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B75" w:rsidRDefault="00231B75" w:rsidP="00231B75">
      <w:pPr>
        <w:pStyle w:val="Portada1"/>
      </w:pPr>
      <w:bookmarkStart w:id="0" w:name="_GoBack"/>
      <w:bookmarkEnd w:id="0"/>
      <w:r>
        <w:t>TRIBUNAL CONSTITUCIONAL</w:t>
      </w:r>
    </w:p>
    <w:p w:rsidR="0025129F" w:rsidRDefault="0025129F" w:rsidP="00231B75">
      <w:pPr>
        <w:pStyle w:val="Portada1"/>
      </w:pPr>
    </w:p>
    <w:p w:rsidR="00231B75" w:rsidRDefault="00231B75" w:rsidP="00231B75">
      <w:pPr>
        <w:pStyle w:val="Portada2"/>
      </w:pPr>
      <w:r>
        <w:t>SECRETARÍA GENERAL</w:t>
      </w:r>
    </w:p>
    <w:p w:rsidR="00231B75" w:rsidRDefault="00231B75" w:rsidP="00231B75">
      <w:pPr>
        <w:pStyle w:val="Portada2"/>
      </w:pPr>
    </w:p>
    <w:p w:rsidR="00231B75" w:rsidRDefault="00231B75" w:rsidP="00231B75">
      <w:pPr>
        <w:pStyle w:val="Portada2"/>
      </w:pPr>
    </w:p>
    <w:p w:rsidR="00231B75" w:rsidRDefault="00231B75" w:rsidP="00231B75">
      <w:pPr>
        <w:pStyle w:val="Portada2"/>
      </w:pPr>
    </w:p>
    <w:p w:rsidR="00231B75" w:rsidRDefault="00231B75" w:rsidP="00231B75">
      <w:pPr>
        <w:pStyle w:val="Portada2"/>
      </w:pPr>
    </w:p>
    <w:p w:rsidR="00231B75" w:rsidRDefault="00231B75" w:rsidP="00231B75">
      <w:pPr>
        <w:pStyle w:val="Portada2"/>
      </w:pPr>
    </w:p>
    <w:p w:rsidR="00231B75" w:rsidRDefault="00231B75" w:rsidP="00231B75">
      <w:pPr>
        <w:pStyle w:val="Portada2"/>
      </w:pPr>
    </w:p>
    <w:p w:rsidR="00231B75" w:rsidRDefault="00231B75" w:rsidP="00231B75">
      <w:pPr>
        <w:pStyle w:val="Portada2"/>
      </w:pPr>
    </w:p>
    <w:p w:rsidR="00231B75" w:rsidRDefault="00231B75" w:rsidP="00231B75">
      <w:pPr>
        <w:pStyle w:val="Portada2"/>
      </w:pPr>
    </w:p>
    <w:p w:rsidR="00231B75" w:rsidRDefault="00231B75" w:rsidP="00231B75">
      <w:pPr>
        <w:pStyle w:val="PortadaPrincipal"/>
      </w:pPr>
      <w:r>
        <w:t>JURISPRUDENCIA</w:t>
      </w:r>
    </w:p>
    <w:p w:rsidR="00231B75" w:rsidRDefault="00231B75" w:rsidP="00231B75">
      <w:pPr>
        <w:pStyle w:val="PortadaPrincipal"/>
      </w:pPr>
      <w:r>
        <w:t>CONSTITUCIONAL</w:t>
      </w:r>
    </w:p>
    <w:p w:rsidR="00231B75" w:rsidRDefault="00231B75" w:rsidP="00231B75">
      <w:pPr>
        <w:pStyle w:val="PortadaPrincipal"/>
      </w:pPr>
    </w:p>
    <w:p w:rsidR="00231B75" w:rsidRPr="00231B75" w:rsidRDefault="00231B75" w:rsidP="00231B75">
      <w:pPr>
        <w:pStyle w:val="Portada1"/>
        <w:rPr>
          <w:b/>
        </w:rPr>
      </w:pPr>
      <w:r w:rsidRPr="00231B75">
        <w:rPr>
          <w:b/>
        </w:rPr>
        <w:t>TOMO SEXAGÉSIMO SEGUNDO</w:t>
      </w:r>
    </w:p>
    <w:p w:rsidR="00231B75" w:rsidRPr="00231B75" w:rsidRDefault="00231B75" w:rsidP="00231B75">
      <w:pPr>
        <w:pStyle w:val="Portada1"/>
        <w:rPr>
          <w:b/>
        </w:rPr>
      </w:pPr>
      <w:r w:rsidRPr="00231B75">
        <w:rPr>
          <w:b/>
        </w:rPr>
        <w:t>(enero - abril 2002)</w:t>
      </w:r>
    </w:p>
    <w:p w:rsidR="00231B75" w:rsidRDefault="00231B75" w:rsidP="00231B75">
      <w:pPr>
        <w:pStyle w:val="Portada1"/>
      </w:pPr>
    </w:p>
    <w:p w:rsidR="00231B75" w:rsidRDefault="00231B75" w:rsidP="00231B75">
      <w:pPr>
        <w:pStyle w:val="Portada1"/>
      </w:pPr>
    </w:p>
    <w:p w:rsidR="00231B75" w:rsidRDefault="00231B75" w:rsidP="00231B75">
      <w:pPr>
        <w:pStyle w:val="Portada1"/>
      </w:pPr>
    </w:p>
    <w:p w:rsidR="00231B75" w:rsidRDefault="00231B75" w:rsidP="00231B7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231B75" w:rsidRDefault="00231B75" w:rsidP="00231B75">
      <w:pPr>
        <w:pStyle w:val="Portada1"/>
      </w:pPr>
    </w:p>
    <w:p w:rsidR="00231B75" w:rsidRDefault="00231B75" w:rsidP="00231B75">
      <w:pPr>
        <w:pStyle w:val="Portada1"/>
      </w:pPr>
    </w:p>
    <w:p w:rsidR="00231B75" w:rsidRDefault="00231B75" w:rsidP="00231B75">
      <w:pPr>
        <w:pStyle w:val="Portada1"/>
      </w:pPr>
    </w:p>
    <w:p w:rsidR="00231B75" w:rsidRDefault="00231B75" w:rsidP="00231B75">
      <w:pPr>
        <w:pStyle w:val="Portada1"/>
      </w:pPr>
    </w:p>
    <w:p w:rsidR="00231B75" w:rsidRDefault="00231B75" w:rsidP="00231B75">
      <w:pPr>
        <w:pStyle w:val="Portada1"/>
      </w:pPr>
    </w:p>
    <w:p w:rsidR="00231B75" w:rsidRDefault="00231B75" w:rsidP="00231B75">
      <w:pPr>
        <w:pStyle w:val="Portada2"/>
      </w:pPr>
      <w:r>
        <w:t>MADRID 2002</w:t>
      </w:r>
    </w:p>
    <w:p w:rsidR="00795BAF" w:rsidRDefault="00795BAF">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795BAF" w:rsidRDefault="00795BAF" w:rsidP="00795BAF">
      <w:pPr>
        <w:pStyle w:val="CabeceraApartadoDerecha"/>
      </w:pPr>
      <w:r>
        <w:lastRenderedPageBreak/>
        <w:t>CONTENIDO</w:t>
      </w:r>
    </w:p>
    <w:p w:rsidR="0025129F" w:rsidRDefault="0025129F" w:rsidP="00795BAF">
      <w:pPr>
        <w:pStyle w:val="CabeceraApartadoDerecha"/>
      </w:pPr>
    </w:p>
    <w:p w:rsidR="00795BAF" w:rsidRDefault="00795BAF" w:rsidP="00795BAF">
      <w:pPr>
        <w:pStyle w:val="EntradandiceSumario"/>
        <w:keepNext w:val="0"/>
      </w:pPr>
      <w:r>
        <w:t>1. SENTENCIAS: STC 1/2002 A STC 98/2002</w:t>
      </w:r>
      <w:r>
        <w:tab/>
      </w:r>
      <w:r>
        <w:tab/>
      </w:r>
      <w:r>
        <w:fldChar w:fldCharType="begin"/>
      </w:r>
      <w:r>
        <w:instrText xml:space="preserve"> PAGEREF SUMARIOSENTENCIAS \h </w:instrText>
      </w:r>
      <w:r>
        <w:fldChar w:fldCharType="separate"/>
      </w:r>
      <w:r w:rsidR="00CE7DF5">
        <w:rPr>
          <w:noProof/>
        </w:rPr>
        <w:t>3</w:t>
      </w:r>
      <w:r>
        <w:fldChar w:fldCharType="end"/>
      </w:r>
    </w:p>
    <w:p w:rsidR="00795BAF" w:rsidRDefault="00795BAF" w:rsidP="00795BAF">
      <w:pPr>
        <w:pStyle w:val="EntradandiceSumario"/>
        <w:keepNext w:val="0"/>
      </w:pPr>
    </w:p>
    <w:p w:rsidR="00795BAF" w:rsidRDefault="00795BAF" w:rsidP="00795BAF">
      <w:pPr>
        <w:pStyle w:val="EntradandiceSumario"/>
        <w:keepNext w:val="0"/>
      </w:pPr>
      <w:bookmarkStart w:id="1" w:name="SUMARIOSINDICES"/>
      <w:r>
        <w:t>2. AUTOS: ATC 1/2002 A ATC 72/2002</w:t>
      </w:r>
      <w:r>
        <w:tab/>
      </w:r>
      <w:r>
        <w:tab/>
      </w:r>
      <w:r>
        <w:fldChar w:fldCharType="begin"/>
      </w:r>
      <w:r>
        <w:instrText xml:space="preserve"> PAGEREF SUMARIOSAUTOS \h </w:instrText>
      </w:r>
      <w:r>
        <w:fldChar w:fldCharType="separate"/>
      </w:r>
      <w:r w:rsidR="00CE7DF5">
        <w:rPr>
          <w:noProof/>
        </w:rPr>
        <w:t>21</w:t>
      </w:r>
      <w:r>
        <w:fldChar w:fldCharType="end"/>
      </w:r>
    </w:p>
    <w:bookmarkEnd w:id="1"/>
    <w:p w:rsidR="00795BAF" w:rsidRDefault="00795BAF" w:rsidP="00795BAF">
      <w:pPr>
        <w:pStyle w:val="EntradandiceSumario"/>
        <w:keepNext w:val="0"/>
      </w:pPr>
    </w:p>
    <w:p w:rsidR="00795BAF" w:rsidRDefault="00CE7C5E" w:rsidP="00795BAF">
      <w:pPr>
        <w:pStyle w:val="EntradandiceSumario"/>
        <w:keepNext w:val="0"/>
      </w:pPr>
      <w:r>
        <w:t>3.</w:t>
      </w:r>
      <w:r w:rsidR="00E95B71">
        <w:t xml:space="preserve"> ÍNDICE DE DISPOSICIONES CON FUERZA DE LEY IMPUGNADAS</w:t>
      </w:r>
      <w:r w:rsidR="00795BAF">
        <w:t>:</w:t>
      </w:r>
    </w:p>
    <w:p w:rsidR="00795BAF" w:rsidRDefault="00795BAF" w:rsidP="00795BAF">
      <w:pPr>
        <w:pStyle w:val="EntradandiceSumario"/>
        <w:keepNext w:val="0"/>
      </w:pPr>
    </w:p>
    <w:p w:rsidR="00795BAF" w:rsidRDefault="005B36A2" w:rsidP="00795BAF">
      <w:pPr>
        <w:pStyle w:val="EntradandiceSumarioNivel2"/>
        <w:keepNext w:val="0"/>
      </w:pPr>
      <w:r>
        <w:t>A) Disposiciones con fuerza de ley del Estado</w:t>
      </w:r>
      <w:r w:rsidR="00795BAF">
        <w:tab/>
      </w:r>
      <w:r w:rsidR="00795BAF">
        <w:tab/>
      </w:r>
      <w:r w:rsidR="00795BAF">
        <w:fldChar w:fldCharType="begin"/>
      </w:r>
      <w:r w:rsidR="00795BAF">
        <w:instrText xml:space="preserve"> PAGEREF INDICE22802 \h </w:instrText>
      </w:r>
      <w:r w:rsidR="00795BAF">
        <w:fldChar w:fldCharType="separate"/>
      </w:r>
      <w:r w:rsidR="00CE7DF5">
        <w:rPr>
          <w:noProof/>
        </w:rPr>
        <w:t>1765</w:t>
      </w:r>
      <w:r w:rsidR="00795BAF">
        <w:fldChar w:fldCharType="end"/>
      </w:r>
    </w:p>
    <w:p w:rsidR="00795BAF" w:rsidRDefault="003B5FAF" w:rsidP="00795BAF">
      <w:pPr>
        <w:pStyle w:val="EntradandiceSumarioNivel2"/>
        <w:keepNext w:val="0"/>
      </w:pPr>
      <w:r>
        <w:t>B) Disposiciones con fuerza de ley de las Comunidades Autónomas</w:t>
      </w:r>
      <w:r w:rsidR="00795BAF">
        <w:tab/>
      </w:r>
      <w:r w:rsidR="00795BAF">
        <w:tab/>
      </w:r>
      <w:r w:rsidR="00795BAF">
        <w:fldChar w:fldCharType="begin"/>
      </w:r>
      <w:r w:rsidR="00795BAF">
        <w:instrText xml:space="preserve"> PAGEREF INDICE22806 \h </w:instrText>
      </w:r>
      <w:r w:rsidR="00795BAF">
        <w:fldChar w:fldCharType="separate"/>
      </w:r>
      <w:r w:rsidR="00CE7DF5">
        <w:rPr>
          <w:noProof/>
        </w:rPr>
        <w:t>1766</w:t>
      </w:r>
      <w:r w:rsidR="00795BAF">
        <w:fldChar w:fldCharType="end"/>
      </w:r>
    </w:p>
    <w:p w:rsidR="00795BAF" w:rsidRDefault="00795BAF" w:rsidP="00795BAF"/>
    <w:p w:rsidR="00795BAF" w:rsidRDefault="00225B2B" w:rsidP="00795BAF">
      <w:pPr>
        <w:pStyle w:val="EntradandiceSumario"/>
        <w:keepNext w:val="0"/>
      </w:pPr>
      <w:r>
        <w:t>4. ÍNDICE DE DISPOSICIONES GENERALES IMPUGNADAS</w:t>
      </w:r>
      <w:r w:rsidR="00795BAF">
        <w:t>:</w:t>
      </w:r>
    </w:p>
    <w:p w:rsidR="00795BAF" w:rsidRDefault="00795BAF" w:rsidP="00795BAF">
      <w:pPr>
        <w:pStyle w:val="EntradandiceSumario"/>
        <w:keepNext w:val="0"/>
      </w:pPr>
    </w:p>
    <w:p w:rsidR="00795BAF" w:rsidRDefault="00795BAF" w:rsidP="00795BAF">
      <w:pPr>
        <w:pStyle w:val="EntradandiceSumarioNivel2"/>
        <w:keepNext w:val="0"/>
      </w:pPr>
      <w:r>
        <w:t>A) Disposiciones del Estado</w:t>
      </w:r>
      <w:r>
        <w:tab/>
      </w:r>
      <w:r>
        <w:tab/>
      </w:r>
      <w:r>
        <w:fldChar w:fldCharType="begin"/>
      </w:r>
      <w:r>
        <w:instrText xml:space="preserve"> PAGEREF INDICE22803 \h </w:instrText>
      </w:r>
      <w:r>
        <w:fldChar w:fldCharType="separate"/>
      </w:r>
      <w:r w:rsidR="00CE7DF5">
        <w:rPr>
          <w:noProof/>
        </w:rPr>
        <w:t>1769</w:t>
      </w:r>
      <w:r>
        <w:fldChar w:fldCharType="end"/>
      </w:r>
    </w:p>
    <w:p w:rsidR="00795BAF" w:rsidRDefault="00795BAF" w:rsidP="00795BA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CE7DF5">
        <w:rPr>
          <w:noProof/>
        </w:rPr>
        <w:t>1769</w:t>
      </w:r>
      <w:r>
        <w:fldChar w:fldCharType="end"/>
      </w:r>
    </w:p>
    <w:p w:rsidR="00795BAF" w:rsidRDefault="00795BAF" w:rsidP="00795BAF"/>
    <w:p w:rsidR="00795BAF" w:rsidRDefault="00795BAF" w:rsidP="00795BAF">
      <w:pPr>
        <w:pStyle w:val="EntradandiceSumario"/>
        <w:keepNext w:val="0"/>
      </w:pPr>
      <w:r>
        <w:t>5. ÍNDICE DE DISPOSICIONES CITADAS:</w:t>
      </w:r>
    </w:p>
    <w:p w:rsidR="00795BAF" w:rsidRDefault="00795BAF" w:rsidP="00795BAF">
      <w:pPr>
        <w:pStyle w:val="EntradandiceSumario"/>
        <w:keepNext w:val="0"/>
      </w:pPr>
    </w:p>
    <w:p w:rsidR="00795BAF" w:rsidRDefault="00795BAF" w:rsidP="00795BAF">
      <w:pPr>
        <w:pStyle w:val="EntradandiceSumarioNivel2"/>
        <w:keepNext w:val="0"/>
      </w:pPr>
      <w:r>
        <w:t>A) Constitución</w:t>
      </w:r>
      <w:r>
        <w:tab/>
      </w:r>
      <w:r>
        <w:tab/>
      </w:r>
      <w:r>
        <w:fldChar w:fldCharType="begin"/>
      </w:r>
      <w:r>
        <w:instrText xml:space="preserve"> PAGEREF INDICE22804 \h </w:instrText>
      </w:r>
      <w:r>
        <w:fldChar w:fldCharType="separate"/>
      </w:r>
      <w:r w:rsidR="00CE7DF5">
        <w:rPr>
          <w:noProof/>
        </w:rPr>
        <w:t>1771</w:t>
      </w:r>
      <w:r>
        <w:fldChar w:fldCharType="end"/>
      </w:r>
    </w:p>
    <w:p w:rsidR="00795BAF" w:rsidRDefault="00795BAF" w:rsidP="00795BAF">
      <w:pPr>
        <w:pStyle w:val="EntradandiceSumarioNivel2"/>
        <w:keepNext w:val="0"/>
      </w:pPr>
      <w:r>
        <w:t>B) Tribunal Constitucional</w:t>
      </w:r>
      <w:r>
        <w:tab/>
      </w:r>
      <w:r>
        <w:tab/>
      </w:r>
      <w:r>
        <w:fldChar w:fldCharType="begin"/>
      </w:r>
      <w:r>
        <w:instrText xml:space="preserve"> PAGEREF INDICE22843 \h </w:instrText>
      </w:r>
      <w:r>
        <w:fldChar w:fldCharType="separate"/>
      </w:r>
      <w:r w:rsidR="00CE7DF5">
        <w:rPr>
          <w:noProof/>
        </w:rPr>
        <w:t>1776</w:t>
      </w:r>
      <w:r>
        <w:fldChar w:fldCharType="end"/>
      </w:r>
    </w:p>
    <w:p w:rsidR="00795BAF" w:rsidRDefault="00795BAF" w:rsidP="00795BAF">
      <w:pPr>
        <w:pStyle w:val="EntradandiceSumarioNivel2"/>
        <w:keepNext w:val="0"/>
      </w:pPr>
      <w:r>
        <w:t>C) Cortes Generales</w:t>
      </w:r>
      <w:r>
        <w:tab/>
      </w:r>
      <w:r>
        <w:tab/>
      </w:r>
      <w:r>
        <w:fldChar w:fldCharType="begin"/>
      </w:r>
      <w:r>
        <w:instrText xml:space="preserve"> PAGEREF INDICE22844 \h </w:instrText>
      </w:r>
      <w:r>
        <w:fldChar w:fldCharType="separate"/>
      </w:r>
      <w:r w:rsidR="00CE7DF5">
        <w:rPr>
          <w:noProof/>
        </w:rPr>
        <w:t>1778</w:t>
      </w:r>
      <w:r>
        <w:fldChar w:fldCharType="end"/>
      </w:r>
    </w:p>
    <w:p w:rsidR="00795BAF" w:rsidRDefault="00795BAF" w:rsidP="00795BAF">
      <w:pPr>
        <w:pStyle w:val="EntradandiceSumarioNivel2"/>
        <w:keepNext w:val="0"/>
      </w:pPr>
      <w:r>
        <w:t>D) Leyes Orgánicas</w:t>
      </w:r>
      <w:r>
        <w:tab/>
      </w:r>
      <w:r>
        <w:tab/>
      </w:r>
      <w:r>
        <w:fldChar w:fldCharType="begin"/>
      </w:r>
      <w:r>
        <w:instrText xml:space="preserve"> PAGEREF INDICE22845 \h </w:instrText>
      </w:r>
      <w:r>
        <w:fldChar w:fldCharType="separate"/>
      </w:r>
      <w:r w:rsidR="00CE7DF5">
        <w:rPr>
          <w:noProof/>
        </w:rPr>
        <w:t>1779</w:t>
      </w:r>
      <w:r>
        <w:fldChar w:fldCharType="end"/>
      </w:r>
    </w:p>
    <w:p w:rsidR="00795BAF" w:rsidRDefault="00795BAF" w:rsidP="00795BAF">
      <w:pPr>
        <w:pStyle w:val="EntradandiceSumarioNivel2"/>
        <w:keepNext w:val="0"/>
      </w:pPr>
      <w:r>
        <w:t>E) Leyes de las Cortes Generales</w:t>
      </w:r>
      <w:r>
        <w:tab/>
      </w:r>
      <w:r>
        <w:tab/>
      </w:r>
      <w:r>
        <w:fldChar w:fldCharType="begin"/>
      </w:r>
      <w:r>
        <w:instrText xml:space="preserve"> PAGEREF INDICE22846 \h </w:instrText>
      </w:r>
      <w:r>
        <w:fldChar w:fldCharType="separate"/>
      </w:r>
      <w:r w:rsidR="00CE7DF5">
        <w:rPr>
          <w:noProof/>
        </w:rPr>
        <w:t>1784</w:t>
      </w:r>
      <w:r>
        <w:fldChar w:fldCharType="end"/>
      </w:r>
    </w:p>
    <w:p w:rsidR="00795BAF" w:rsidRDefault="00795BAF" w:rsidP="00795BAF">
      <w:pPr>
        <w:pStyle w:val="EntradandiceSumarioNivel2"/>
        <w:keepNext w:val="0"/>
      </w:pPr>
      <w:r>
        <w:t>F) Reales Decretos Legislativos</w:t>
      </w:r>
      <w:r>
        <w:tab/>
      </w:r>
      <w:r>
        <w:tab/>
      </w:r>
      <w:r>
        <w:fldChar w:fldCharType="begin"/>
      </w:r>
      <w:r>
        <w:instrText xml:space="preserve"> PAGEREF INDICE22847 \h </w:instrText>
      </w:r>
      <w:r>
        <w:fldChar w:fldCharType="separate"/>
      </w:r>
      <w:r w:rsidR="00CE7DF5">
        <w:rPr>
          <w:noProof/>
        </w:rPr>
        <w:t>1793</w:t>
      </w:r>
      <w:r>
        <w:fldChar w:fldCharType="end"/>
      </w:r>
    </w:p>
    <w:p w:rsidR="00795BAF" w:rsidRDefault="00795BAF" w:rsidP="00795BAF">
      <w:pPr>
        <w:pStyle w:val="EntradandiceSumarioNivel2"/>
        <w:keepNext w:val="0"/>
      </w:pPr>
      <w:r>
        <w:t>G) Reales Decretos-leyes</w:t>
      </w:r>
      <w:r>
        <w:tab/>
      </w:r>
      <w:r>
        <w:tab/>
      </w:r>
      <w:r>
        <w:fldChar w:fldCharType="begin"/>
      </w:r>
      <w:r>
        <w:instrText xml:space="preserve"> PAGEREF INDICE22848 \h </w:instrText>
      </w:r>
      <w:r>
        <w:fldChar w:fldCharType="separate"/>
      </w:r>
      <w:r w:rsidR="00CE7DF5">
        <w:rPr>
          <w:noProof/>
        </w:rPr>
        <w:t>1795</w:t>
      </w:r>
      <w:r>
        <w:fldChar w:fldCharType="end"/>
      </w:r>
    </w:p>
    <w:p w:rsidR="00795BAF" w:rsidRDefault="00795BAF" w:rsidP="00795BA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CE7DF5">
        <w:rPr>
          <w:noProof/>
        </w:rPr>
        <w:t>1795</w:t>
      </w:r>
      <w:r>
        <w:fldChar w:fldCharType="end"/>
      </w:r>
    </w:p>
    <w:p w:rsidR="00795BAF" w:rsidRDefault="00795BAF" w:rsidP="00795BAF">
      <w:pPr>
        <w:pStyle w:val="EntradandiceSumarioNivel2"/>
        <w:keepNext w:val="0"/>
      </w:pPr>
      <w:r>
        <w:t>I) Legislación preconstitucional</w:t>
      </w:r>
      <w:r>
        <w:tab/>
      </w:r>
      <w:r>
        <w:tab/>
      </w:r>
      <w:r>
        <w:fldChar w:fldCharType="begin"/>
      </w:r>
      <w:r>
        <w:instrText xml:space="preserve"> PAGEREF INDICE22850 \h </w:instrText>
      </w:r>
      <w:r>
        <w:fldChar w:fldCharType="separate"/>
      </w:r>
      <w:r w:rsidR="00CE7DF5">
        <w:rPr>
          <w:noProof/>
        </w:rPr>
        <w:t>1799</w:t>
      </w:r>
      <w:r>
        <w:fldChar w:fldCharType="end"/>
      </w:r>
    </w:p>
    <w:p w:rsidR="00795BAF" w:rsidRDefault="00795BAF" w:rsidP="00795BA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CE7DF5">
        <w:rPr>
          <w:noProof/>
        </w:rPr>
        <w:t>1805</w:t>
      </w:r>
      <w:r>
        <w:fldChar w:fldCharType="end"/>
      </w:r>
    </w:p>
    <w:p w:rsidR="00795BAF" w:rsidRDefault="00795BAF" w:rsidP="00795BAF">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CE7DF5">
        <w:rPr>
          <w:noProof/>
        </w:rPr>
        <w:t>1815</w:t>
      </w:r>
      <w:r>
        <w:fldChar w:fldCharType="end"/>
      </w:r>
    </w:p>
    <w:p w:rsidR="00795BAF" w:rsidRDefault="00795BAF" w:rsidP="00795BA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CE7DF5">
        <w:rPr>
          <w:noProof/>
        </w:rPr>
        <w:t>1817</w:t>
      </w:r>
      <w:r>
        <w:fldChar w:fldCharType="end"/>
      </w:r>
    </w:p>
    <w:p w:rsidR="00795BAF" w:rsidRDefault="00795BAF" w:rsidP="00795BAF">
      <w:pPr>
        <w:pStyle w:val="EntradandiceSumarioNivel2"/>
        <w:keepNext w:val="0"/>
      </w:pPr>
      <w:r>
        <w:t>M) Unión Europea</w:t>
      </w:r>
      <w:r>
        <w:tab/>
      </w:r>
      <w:r>
        <w:tab/>
      </w:r>
      <w:r>
        <w:fldChar w:fldCharType="begin"/>
      </w:r>
      <w:r>
        <w:instrText xml:space="preserve"> PAGEREF INDICE22871 \h </w:instrText>
      </w:r>
      <w:r>
        <w:fldChar w:fldCharType="separate"/>
      </w:r>
      <w:r w:rsidR="00CE7DF5">
        <w:rPr>
          <w:noProof/>
        </w:rPr>
        <w:t>1818</w:t>
      </w:r>
      <w:r>
        <w:fldChar w:fldCharType="end"/>
      </w:r>
    </w:p>
    <w:p w:rsidR="00795BAF" w:rsidRDefault="00795BAF" w:rsidP="00795BAF">
      <w:pPr>
        <w:pStyle w:val="EntradandiceSumarioNivel2"/>
        <w:keepNext w:val="0"/>
      </w:pPr>
      <w:r>
        <w:t>N) Consejo de Europa</w:t>
      </w:r>
      <w:r>
        <w:tab/>
      </w:r>
      <w:r>
        <w:tab/>
      </w:r>
      <w:r>
        <w:fldChar w:fldCharType="begin"/>
      </w:r>
      <w:r>
        <w:instrText xml:space="preserve"> PAGEREF INDICE27994 \h </w:instrText>
      </w:r>
      <w:r>
        <w:fldChar w:fldCharType="separate"/>
      </w:r>
      <w:r w:rsidR="00CE7DF5">
        <w:rPr>
          <w:noProof/>
        </w:rPr>
        <w:t>1820</w:t>
      </w:r>
      <w:r>
        <w:fldChar w:fldCharType="end"/>
      </w:r>
    </w:p>
    <w:p w:rsidR="00795BAF" w:rsidRDefault="00795BAF" w:rsidP="00795BAF">
      <w:pPr>
        <w:pStyle w:val="EntradandiceSumarioNivel2"/>
        <w:keepNext w:val="0"/>
      </w:pPr>
      <w:r>
        <w:t>Ñ) Legislación extranjera</w:t>
      </w:r>
      <w:r>
        <w:tab/>
      </w:r>
      <w:r>
        <w:tab/>
      </w:r>
      <w:r>
        <w:fldChar w:fldCharType="begin"/>
      </w:r>
      <w:r>
        <w:instrText xml:space="preserve"> PAGEREF INDICE22872 \h </w:instrText>
      </w:r>
      <w:r>
        <w:fldChar w:fldCharType="separate"/>
      </w:r>
      <w:r w:rsidR="00CE7DF5">
        <w:rPr>
          <w:noProof/>
        </w:rPr>
        <w:t>1820</w:t>
      </w:r>
      <w:r>
        <w:fldChar w:fldCharType="end"/>
      </w:r>
    </w:p>
    <w:p w:rsidR="00795BAF" w:rsidRDefault="00795BAF" w:rsidP="00795BAF"/>
    <w:p w:rsidR="00795BAF" w:rsidRDefault="00BB03C1" w:rsidP="00795BAF">
      <w:pPr>
        <w:pStyle w:val="EntradandiceSumario"/>
        <w:keepNext w:val="0"/>
      </w:pPr>
      <w:r>
        <w:t>6.</w:t>
      </w:r>
      <w:r w:rsidR="000F56B7">
        <w:t xml:space="preserve"> ÍNDICE DE RESOLUCIONES JUDICIALES DE OTROS TRIBUNALES CITADAS</w:t>
      </w:r>
      <w:r w:rsidR="00795BAF">
        <w:t>:</w:t>
      </w:r>
    </w:p>
    <w:p w:rsidR="00795BAF" w:rsidRDefault="00795BAF" w:rsidP="00795BAF">
      <w:pPr>
        <w:pStyle w:val="EntradandiceSumario"/>
        <w:keepNext w:val="0"/>
      </w:pPr>
    </w:p>
    <w:p w:rsidR="00795BAF" w:rsidRDefault="00795BAF" w:rsidP="00795BA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CE7DF5">
        <w:rPr>
          <w:noProof/>
        </w:rPr>
        <w:t>1822</w:t>
      </w:r>
      <w:r>
        <w:fldChar w:fldCharType="end"/>
      </w:r>
    </w:p>
    <w:p w:rsidR="00795BAF" w:rsidRDefault="00795BAF" w:rsidP="00795BAF">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CE7DF5">
        <w:rPr>
          <w:noProof/>
        </w:rPr>
        <w:t>1826</w:t>
      </w:r>
      <w:r>
        <w:fldChar w:fldCharType="end"/>
      </w:r>
    </w:p>
    <w:p w:rsidR="00795BAF" w:rsidRDefault="00795BAF" w:rsidP="00795BAF">
      <w:pPr>
        <w:pStyle w:val="EntradandiceSumarioNivel2"/>
        <w:keepNext w:val="0"/>
      </w:pPr>
      <w:r>
        <w:t>C) Tribunal Supremo</w:t>
      </w:r>
      <w:r>
        <w:tab/>
      </w:r>
      <w:r>
        <w:tab/>
      </w:r>
      <w:r>
        <w:fldChar w:fldCharType="begin"/>
      </w:r>
      <w:r>
        <w:instrText xml:space="preserve"> PAGEREF INDICE22925 \h </w:instrText>
      </w:r>
      <w:r>
        <w:fldChar w:fldCharType="separate"/>
      </w:r>
      <w:r w:rsidR="00CE7DF5">
        <w:rPr>
          <w:noProof/>
        </w:rPr>
        <w:t>1827</w:t>
      </w:r>
      <w:r>
        <w:fldChar w:fldCharType="end"/>
      </w:r>
    </w:p>
    <w:p w:rsidR="00795BAF" w:rsidRDefault="00795BAF" w:rsidP="00795BAF">
      <w:pPr>
        <w:pStyle w:val="EntradandiceSumarioNivel2"/>
        <w:keepNext w:val="0"/>
      </w:pPr>
      <w:r>
        <w:t>D) Otros Tribunales</w:t>
      </w:r>
      <w:r>
        <w:tab/>
      </w:r>
      <w:r>
        <w:tab/>
      </w:r>
      <w:r>
        <w:fldChar w:fldCharType="begin"/>
      </w:r>
      <w:r>
        <w:instrText xml:space="preserve"> PAGEREF INDICE22926 \h </w:instrText>
      </w:r>
      <w:r>
        <w:fldChar w:fldCharType="separate"/>
      </w:r>
      <w:r w:rsidR="00CE7DF5">
        <w:rPr>
          <w:noProof/>
        </w:rPr>
        <w:t>1827</w:t>
      </w:r>
      <w:r>
        <w:fldChar w:fldCharType="end"/>
      </w:r>
    </w:p>
    <w:p w:rsidR="00795BAF" w:rsidRDefault="00795BAF" w:rsidP="00795BAF"/>
    <w:p w:rsidR="00795BAF" w:rsidRDefault="00795BAF" w:rsidP="00795BAF">
      <w:pPr>
        <w:pStyle w:val="EntradandiceSumario"/>
        <w:keepNext w:val="0"/>
      </w:pPr>
      <w:r>
        <w:t>7. ÍNDICE ANALÍTICO</w:t>
      </w:r>
      <w:r>
        <w:tab/>
      </w:r>
      <w:r>
        <w:tab/>
      </w:r>
      <w:r>
        <w:fldChar w:fldCharType="begin"/>
      </w:r>
      <w:r>
        <w:instrText xml:space="preserve"> PAGEREF INDICE5ALFABETICO \h </w:instrText>
      </w:r>
      <w:r>
        <w:fldChar w:fldCharType="separate"/>
      </w:r>
      <w:r w:rsidR="00CE7DF5">
        <w:rPr>
          <w:noProof/>
        </w:rPr>
        <w:t>1829</w:t>
      </w:r>
      <w:r>
        <w:fldChar w:fldCharType="end"/>
      </w:r>
    </w:p>
    <w:p w:rsidR="00795BAF" w:rsidRDefault="00795BAF" w:rsidP="00795BAF"/>
    <w:p w:rsidR="00795BAF" w:rsidRDefault="00795BAF" w:rsidP="00795BAF">
      <w:pPr>
        <w:pStyle w:val="EntradandiceSumario"/>
        <w:keepNext w:val="0"/>
      </w:pPr>
      <w:r>
        <w:t>8. ABREVIATURAS Y ACRÓNIMOS</w:t>
      </w:r>
      <w:r>
        <w:tab/>
      </w:r>
      <w:r>
        <w:tab/>
      </w:r>
      <w:r>
        <w:fldChar w:fldCharType="begin"/>
      </w:r>
      <w:r>
        <w:instrText xml:space="preserve"> PAGEREF ACRONIMOS \h </w:instrText>
      </w:r>
      <w:r>
        <w:fldChar w:fldCharType="separate"/>
      </w:r>
      <w:r w:rsidR="00CE7DF5">
        <w:rPr>
          <w:noProof/>
        </w:rPr>
        <w:t>1857</w:t>
      </w:r>
      <w:r>
        <w:fldChar w:fldCharType="end"/>
      </w:r>
    </w:p>
    <w:p w:rsidR="00795BAF" w:rsidRDefault="00795BAF">
      <w:pPr>
        <w:rPr>
          <w:rFonts w:ascii="Times New Roman" w:eastAsia="Times New Roman" w:hAnsi="Times New Roman" w:cs="Times New Roman"/>
          <w:sz w:val="24"/>
          <w:szCs w:val="24"/>
          <w:lang w:eastAsia="es-ES"/>
        </w:rPr>
      </w:pPr>
      <w:r>
        <w:br w:type="page"/>
      </w:r>
    </w:p>
    <w:p w:rsidR="00795BAF" w:rsidRDefault="00795BAF" w:rsidP="00795BAF">
      <w:pPr>
        <w:pStyle w:val="EntradandiceSumario"/>
        <w:keepNext w:val="0"/>
      </w:pPr>
    </w:p>
    <w:p w:rsidR="00795BAF" w:rsidRDefault="00795BAF" w:rsidP="00795BAF"/>
    <w:p w:rsidR="00795BAF" w:rsidRDefault="00795BAF" w:rsidP="00795BAF"/>
    <w:p w:rsidR="00795BAF" w:rsidRDefault="00795BAF" w:rsidP="00795BAF">
      <w:pPr>
        <w:pStyle w:val="Ttulondice"/>
      </w:pPr>
      <w:bookmarkStart w:id="2" w:name="SUMARIOSENTENCIAS"/>
      <w:r>
        <w:t>1. SENTENCIAS: STC 1/2002 A STC 98/2002</w:t>
      </w:r>
    </w:p>
    <w:bookmarkEnd w:id="2"/>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EntradandiceSentencia"/>
      </w:pPr>
      <w:r>
        <w:t>Sala Primera. Sentencia 1/2002,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64/97. </w:t>
      </w:r>
      <w:r w:rsidRPr="00795BAF">
        <w:rPr>
          <w:rStyle w:val="TextoNormalCursivaCaracter"/>
        </w:rPr>
        <w:t xml:space="preserve"> Vulneración del derecho a la tutela judicial sin indefensión: emplazamiento edictal en pleito civil sin haber logrado una comunicación efectiva en el domicilio designado por una vecina en otra localidad.</w:t>
      </w:r>
      <w:r>
        <w:tab/>
      </w:r>
      <w:r>
        <w:tab/>
      </w:r>
      <w:r>
        <w:fldChar w:fldCharType="begin"/>
      </w:r>
      <w:r>
        <w:instrText xml:space="preserve"> PAGEREF SENTENCIA_2002_1 \h </w:instrText>
      </w:r>
      <w:r>
        <w:fldChar w:fldCharType="separate"/>
      </w:r>
      <w:r w:rsidR="00CE7DF5">
        <w:rPr>
          <w:noProof/>
        </w:rPr>
        <w:t>30</w:t>
      </w:r>
      <w:r>
        <w:fldChar w:fldCharType="end"/>
      </w:r>
    </w:p>
    <w:p w:rsidR="0025129F" w:rsidRDefault="0025129F" w:rsidP="00795BAF"/>
    <w:p w:rsidR="00795BAF" w:rsidRDefault="00795BAF" w:rsidP="00795BAF">
      <w:pPr>
        <w:pStyle w:val="EntradandiceSentencia"/>
      </w:pPr>
      <w:r>
        <w:t>Sala Segunda. Sentencia 2/2002,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4122/97. </w:t>
      </w:r>
      <w:r w:rsidRPr="00795BAF">
        <w:rPr>
          <w:rStyle w:val="TextoNormalCursivaCaracter"/>
        </w:rPr>
        <w:t xml:space="preserve"> Supuesta vulneración de los derechos a la tutela judicial sin indefensión y a la presunción de inocencia: concepto de documento en el recurso de casación; condena fundada en declaraciones de un coimputado, que se negó a declarar en el juicio oral, corroboradas.</w:t>
      </w:r>
      <w:r>
        <w:tab/>
      </w:r>
      <w:r>
        <w:tab/>
      </w:r>
      <w:r>
        <w:fldChar w:fldCharType="begin"/>
      </w:r>
      <w:r>
        <w:instrText xml:space="preserve"> PAGEREF SENTENCIA_2002_2 \h </w:instrText>
      </w:r>
      <w:r>
        <w:fldChar w:fldCharType="separate"/>
      </w:r>
      <w:r w:rsidR="00CE7DF5">
        <w:rPr>
          <w:noProof/>
        </w:rPr>
        <w:t>39</w:t>
      </w:r>
      <w:r>
        <w:fldChar w:fldCharType="end"/>
      </w:r>
    </w:p>
    <w:p w:rsidR="00795BAF" w:rsidRDefault="00795BAF" w:rsidP="00795BAF"/>
    <w:p w:rsidR="00795BAF" w:rsidRDefault="00795BAF" w:rsidP="00795BAF">
      <w:pPr>
        <w:pStyle w:val="EntradandiceSentencia"/>
      </w:pPr>
      <w:r>
        <w:t>Sala Primera. Sentencia 3/2002,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815/98. </w:t>
      </w:r>
      <w:r w:rsidRPr="00795BAF">
        <w:rPr>
          <w:rStyle w:val="TextoNormalCursivaCaracter"/>
        </w:rPr>
        <w:t xml:space="preserve"> Supuesta vulneración de los derechos a la igualdad, a la seguridad jurídica y a la tutela judicial efectiva (ejecución de Sentencia): potestad administrativa de revisión de oficio de actos declarativos de derechos, dictados en ejecución de una Sentencia firme.</w:t>
      </w:r>
      <w:r>
        <w:tab/>
      </w:r>
      <w:r>
        <w:tab/>
      </w:r>
      <w:r>
        <w:fldChar w:fldCharType="begin"/>
      </w:r>
      <w:r>
        <w:instrText xml:space="preserve"> PAGEREF SENTENCIA_2002_3 \h </w:instrText>
      </w:r>
      <w:r>
        <w:fldChar w:fldCharType="separate"/>
      </w:r>
      <w:r w:rsidR="00CE7DF5">
        <w:rPr>
          <w:noProof/>
        </w:rPr>
        <w:t>56</w:t>
      </w:r>
      <w:r>
        <w:fldChar w:fldCharType="end"/>
      </w:r>
    </w:p>
    <w:p w:rsidR="00795BAF" w:rsidRDefault="00795BAF" w:rsidP="00795BAF"/>
    <w:p w:rsidR="00795BAF" w:rsidRDefault="00795BAF" w:rsidP="00795BAF">
      <w:pPr>
        <w:pStyle w:val="EntradandiceSentencia"/>
      </w:pPr>
      <w:r>
        <w:t>Sala Segunda. Sentencia 4/2002,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4597/98. </w:t>
      </w:r>
      <w:r w:rsidRPr="00795BAF">
        <w:rPr>
          <w:rStyle w:val="TextoNormalCursivaCaracter"/>
        </w:rPr>
        <w:t xml:space="preserve"> Vulneración del derecho a conocer la acusación: condena por falta de coacciones a empleados de un banco, que habían bloqueado el saldo de una cuenta, acusados de un delito de apropiación indebida.</w:t>
      </w:r>
      <w:r>
        <w:tab/>
      </w:r>
      <w:r>
        <w:tab/>
      </w:r>
      <w:r>
        <w:fldChar w:fldCharType="begin"/>
      </w:r>
      <w:r>
        <w:instrText xml:space="preserve"> PAGEREF SENTENCIA_2002_4 \h </w:instrText>
      </w:r>
      <w:r>
        <w:fldChar w:fldCharType="separate"/>
      </w:r>
      <w:r w:rsidR="00CE7DF5">
        <w:rPr>
          <w:noProof/>
        </w:rPr>
        <w:t>69</w:t>
      </w:r>
      <w:r>
        <w:fldChar w:fldCharType="end"/>
      </w:r>
    </w:p>
    <w:p w:rsidR="00795BAF" w:rsidRDefault="00795BAF" w:rsidP="00795BAF"/>
    <w:p w:rsidR="00795BAF" w:rsidRDefault="00795BAF" w:rsidP="00795BAF">
      <w:pPr>
        <w:pStyle w:val="EntradandiceSentencia"/>
      </w:pPr>
      <w:r>
        <w:lastRenderedPageBreak/>
        <w:t>Sala Primera. Sentencia 5/2002,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5341/98. </w:t>
      </w:r>
      <w:r w:rsidRPr="00795BAF">
        <w:rPr>
          <w:rStyle w:val="TextoNormalCursivaCaracter"/>
        </w:rPr>
        <w:t xml:space="preserve"> Supuesta vulneración de los derechos a la tutela judicial efectiva, a la vida y a la integridad: resolución motivada y razonable sobre la ejecución de una pena de prisión, cuando el reo alega padecer una enfermedad muy grave e incurable (SSTC 25/2000 y 48/1996).</w:t>
      </w:r>
      <w:r>
        <w:tab/>
      </w:r>
      <w:r>
        <w:tab/>
      </w:r>
      <w:r>
        <w:fldChar w:fldCharType="begin"/>
      </w:r>
      <w:r>
        <w:instrText xml:space="preserve"> PAGEREF SENTENCIA_2002_5 \h </w:instrText>
      </w:r>
      <w:r>
        <w:fldChar w:fldCharType="separate"/>
      </w:r>
      <w:r w:rsidR="00CE7DF5">
        <w:rPr>
          <w:noProof/>
        </w:rPr>
        <w:t>79</w:t>
      </w:r>
      <w:r>
        <w:fldChar w:fldCharType="end"/>
      </w:r>
    </w:p>
    <w:p w:rsidR="00795BAF" w:rsidRDefault="00795BAF" w:rsidP="00795BAF"/>
    <w:p w:rsidR="00795BAF" w:rsidRDefault="00795BAF" w:rsidP="00795BAF">
      <w:pPr>
        <w:pStyle w:val="EntradandiceSentencia"/>
      </w:pPr>
      <w:r>
        <w:t>Sala Primera. Sentencia 6/2002,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2974/99. </w:t>
      </w:r>
      <w:r w:rsidRPr="00795BAF">
        <w:rPr>
          <w:rStyle w:val="TextoNormalCursivaCaracter"/>
        </w:rPr>
        <w:t xml:space="preserve"> Vulneración parcial del derecho a la tutela judicial efectiva (motivación de Sentencia): Sentencia de apelación que da razón de la exclusión de la indemnización por incapacidad, pero no de la disminución de la puntuación baremada de las secuelas.</w:t>
      </w:r>
      <w:r>
        <w:tab/>
      </w:r>
      <w:r>
        <w:tab/>
      </w:r>
      <w:r>
        <w:fldChar w:fldCharType="begin"/>
      </w:r>
      <w:r>
        <w:instrText xml:space="preserve"> PAGEREF SENTENCIA_2002_6 \h </w:instrText>
      </w:r>
      <w:r>
        <w:fldChar w:fldCharType="separate"/>
      </w:r>
      <w:r w:rsidR="00CE7DF5">
        <w:rPr>
          <w:noProof/>
        </w:rPr>
        <w:t>93</w:t>
      </w:r>
      <w:r>
        <w:fldChar w:fldCharType="end"/>
      </w:r>
    </w:p>
    <w:p w:rsidR="00795BAF" w:rsidRDefault="00795BAF" w:rsidP="00795BAF"/>
    <w:p w:rsidR="00795BAF" w:rsidRDefault="00795BAF" w:rsidP="00795BAF">
      <w:pPr>
        <w:pStyle w:val="EntradandiceSentencia"/>
      </w:pPr>
      <w:r>
        <w:t>Sala Segunda. Sentencia 7/2002,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4338/99. </w:t>
      </w:r>
      <w:r w:rsidRPr="00795BAF">
        <w:rPr>
          <w:rStyle w:val="TextoNormalCursivaCaracter"/>
        </w:rPr>
        <w:t xml:space="preserve"> Alegada vulneración del derecho a la tutela judicial efectiva (ejecución de Sentencia), y vulneración del derecho a un proceso sin dilaciones indebidas: actitud pasiva de la Administración al ejecutar una Sentencia que anuló un requisito de una convocatoria de puestos, cubiertos años antes.</w:t>
      </w:r>
      <w:r>
        <w:tab/>
      </w:r>
      <w:r>
        <w:tab/>
      </w:r>
      <w:r>
        <w:fldChar w:fldCharType="begin"/>
      </w:r>
      <w:r>
        <w:instrText xml:space="preserve"> PAGEREF SENTENCIA_2002_7 \h </w:instrText>
      </w:r>
      <w:r>
        <w:fldChar w:fldCharType="separate"/>
      </w:r>
      <w:r w:rsidR="00CE7DF5">
        <w:rPr>
          <w:noProof/>
        </w:rPr>
        <w:t>101</w:t>
      </w:r>
      <w:r>
        <w:fldChar w:fldCharType="end"/>
      </w:r>
    </w:p>
    <w:p w:rsidR="00795BAF" w:rsidRDefault="00795BAF" w:rsidP="00795BAF"/>
    <w:p w:rsidR="00795BAF" w:rsidRDefault="00795BAF" w:rsidP="00795BAF">
      <w:pPr>
        <w:pStyle w:val="EntradandiceSentencia"/>
      </w:pPr>
      <w:r>
        <w:t>Sala Segunda. Sentencia 8/2002, de 14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1496-2000. </w:t>
      </w:r>
      <w:r w:rsidRPr="00795BAF">
        <w:rPr>
          <w:rStyle w:val="TextoNormalCursivaCaracter"/>
        </w:rPr>
        <w:t xml:space="preserve"> Vulneración del derecho a la libertad personal: prisión provisional insuficientemente motivada (STC 128/1995).</w:t>
      </w:r>
      <w:r>
        <w:tab/>
      </w:r>
      <w:r>
        <w:tab/>
      </w:r>
      <w:r>
        <w:fldChar w:fldCharType="begin"/>
      </w:r>
      <w:r>
        <w:instrText xml:space="preserve"> PAGEREF SENTENCIA_2002_8 \h </w:instrText>
      </w:r>
      <w:r>
        <w:fldChar w:fldCharType="separate"/>
      </w:r>
      <w:r w:rsidR="00CE7DF5">
        <w:rPr>
          <w:noProof/>
        </w:rPr>
        <w:t>124</w:t>
      </w:r>
      <w:r>
        <w:fldChar w:fldCharType="end"/>
      </w:r>
    </w:p>
    <w:p w:rsidR="00795BAF" w:rsidRDefault="00795BAF" w:rsidP="00795BAF"/>
    <w:p w:rsidR="00795BAF" w:rsidRDefault="00795BAF" w:rsidP="00795BAF">
      <w:pPr>
        <w:pStyle w:val="EntradandiceSentencia"/>
      </w:pPr>
      <w:r>
        <w:t>Sala Segunda. Sentencia 9/2002, de 15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2272/99. </w:t>
      </w:r>
      <w:r w:rsidRPr="00795BAF">
        <w:rPr>
          <w:rStyle w:val="TextoNormalCursivaCaracter"/>
        </w:rPr>
        <w:t xml:space="preserve"> Supuesta vulneración de los derechos a la igualdad, a la vida e integridad y a la tutela judicial efectiva: cuantía de la indemnización por lesiones causadas en accidente de tráfico (STC 181/2000).</w:t>
      </w:r>
      <w:r>
        <w:tab/>
      </w:r>
      <w:r>
        <w:tab/>
      </w:r>
      <w:r>
        <w:fldChar w:fldCharType="begin"/>
      </w:r>
      <w:r>
        <w:instrText xml:space="preserve"> PAGEREF SENTENCIA_2002_9 \h </w:instrText>
      </w:r>
      <w:r>
        <w:fldChar w:fldCharType="separate"/>
      </w:r>
      <w:r w:rsidR="00CE7DF5">
        <w:rPr>
          <w:noProof/>
        </w:rPr>
        <w:t>136</w:t>
      </w:r>
      <w:r>
        <w:fldChar w:fldCharType="end"/>
      </w:r>
    </w:p>
    <w:p w:rsidR="00795BAF" w:rsidRDefault="00795BAF" w:rsidP="00795BAF"/>
    <w:p w:rsidR="00795BAF" w:rsidRDefault="00795BAF" w:rsidP="00795BAF">
      <w:pPr>
        <w:pStyle w:val="EntradandiceSentencia"/>
      </w:pPr>
      <w:r>
        <w:t>Pleno. Sentencia 10/2002, de 17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Cuestión de inconstitucionalidad 2829/94. </w:t>
      </w:r>
      <w:r w:rsidRPr="00795BAF">
        <w:rPr>
          <w:rStyle w:val="TextoNormalCursivaCaracter"/>
        </w:rPr>
        <w:t xml:space="preserve"> Vulneración del derecho a la inviolabilidad del domicilio: entrada y registro en las habitaciones de un hotel. Derogación del precepto legal.</w:t>
      </w:r>
      <w:r>
        <w:tab/>
      </w:r>
      <w:r>
        <w:tab/>
      </w:r>
      <w:r>
        <w:fldChar w:fldCharType="begin"/>
      </w:r>
      <w:r>
        <w:instrText xml:space="preserve"> PAGEREF SENTENCIA_2002_10 \h </w:instrText>
      </w:r>
      <w:r>
        <w:fldChar w:fldCharType="separate"/>
      </w:r>
      <w:r w:rsidR="00CE7DF5">
        <w:rPr>
          <w:noProof/>
        </w:rPr>
        <w:t>144</w:t>
      </w:r>
      <w:r>
        <w:fldChar w:fldCharType="end"/>
      </w:r>
    </w:p>
    <w:p w:rsidR="00795BAF" w:rsidRDefault="00795BAF" w:rsidP="00795BAF"/>
    <w:p w:rsidR="00795BAF" w:rsidRDefault="00795BAF" w:rsidP="00795BAF">
      <w:pPr>
        <w:pStyle w:val="EntradandiceSentencia"/>
      </w:pPr>
      <w:r>
        <w:lastRenderedPageBreak/>
        <w:t>Pleno. Sentencia 11/2002, de 17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inconstitucionalidad 3584/94 y 3592/94. </w:t>
      </w:r>
      <w:r w:rsidRPr="00795BAF">
        <w:rPr>
          <w:rStyle w:val="TextoNormalCursivaCaracter"/>
        </w:rPr>
        <w:t xml:space="preserve"> Decretos-leyes y competencia sobre corporaciones de Derecho público: validez de los preceptos que suprimen el carácter de corporación pública de las Cámaras (STC 178/1994), someten sus actos a intervención administrativa, y habilitan al Gobierno para reglamentar su personal y patrimonio. Votos particulares.</w:t>
      </w:r>
      <w:r>
        <w:tab/>
      </w:r>
      <w:r>
        <w:tab/>
      </w:r>
      <w:r>
        <w:fldChar w:fldCharType="begin"/>
      </w:r>
      <w:r>
        <w:instrText xml:space="preserve"> PAGEREF SENTENCIA_2002_11 \h </w:instrText>
      </w:r>
      <w:r>
        <w:fldChar w:fldCharType="separate"/>
      </w:r>
      <w:r w:rsidR="00CE7DF5">
        <w:rPr>
          <w:noProof/>
        </w:rPr>
        <w:t>163</w:t>
      </w:r>
      <w:r>
        <w:fldChar w:fldCharType="end"/>
      </w:r>
    </w:p>
    <w:p w:rsidR="00795BAF" w:rsidRDefault="00795BAF" w:rsidP="00795BAF"/>
    <w:p w:rsidR="00795BAF" w:rsidRDefault="00795BAF" w:rsidP="00795BAF">
      <w:pPr>
        <w:pStyle w:val="EntradandiceSentencia"/>
      </w:pPr>
      <w:r>
        <w:t>Sala Primera. Sentencia 12/2002,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4223/97. </w:t>
      </w:r>
      <w:r w:rsidRPr="00795BAF">
        <w:rPr>
          <w:rStyle w:val="TextoNormalCursivaCaracter"/>
        </w:rPr>
        <w:t xml:space="preserve"> Supuesta vulneración de los derechos a la tutela judicial efectiva (acceso al recurso penal) y a la presunción de inocencia: inadmisión de recurso de casación penal y derecho a la revisión de los fallos penales; víctima y testigos que no declararon en el juicio, pero médicos y mordisco que ofrecen prueba de cargo.</w:t>
      </w:r>
      <w:r>
        <w:tab/>
      </w:r>
      <w:r>
        <w:tab/>
      </w:r>
      <w:r>
        <w:fldChar w:fldCharType="begin"/>
      </w:r>
      <w:r>
        <w:instrText xml:space="preserve"> PAGEREF SENTENCIA_2002_12 \h </w:instrText>
      </w:r>
      <w:r>
        <w:fldChar w:fldCharType="separate"/>
      </w:r>
      <w:r w:rsidR="00CE7DF5">
        <w:rPr>
          <w:noProof/>
        </w:rPr>
        <w:t>189</w:t>
      </w:r>
      <w:r>
        <w:fldChar w:fldCharType="end"/>
      </w:r>
    </w:p>
    <w:p w:rsidR="00795BAF" w:rsidRDefault="00795BAF" w:rsidP="00795BAF"/>
    <w:p w:rsidR="00795BAF" w:rsidRDefault="00795BAF" w:rsidP="00795BAF">
      <w:pPr>
        <w:pStyle w:val="EntradandiceSentencia"/>
      </w:pPr>
      <w:r>
        <w:t>Sala Primera. Sentencia 13/2002,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5375/97. </w:t>
      </w:r>
      <w:r w:rsidRPr="00795BAF">
        <w:rPr>
          <w:rStyle w:val="TextoNormalCursivaCaracter"/>
        </w:rPr>
        <w:t xml:space="preserve"> Supuesta vulneración del derecho a la tutela judicial efectiva (acceso a los recursos legales): inadmisión en Sentencia de recurso de casación por razón de la cuantía del pleito, no impugnada por la parte aunque mostrara su disconformidad.</w:t>
      </w:r>
      <w:r>
        <w:tab/>
      </w:r>
      <w:r>
        <w:tab/>
      </w:r>
      <w:r>
        <w:fldChar w:fldCharType="begin"/>
      </w:r>
      <w:r>
        <w:instrText xml:space="preserve"> PAGEREF SENTENCIA_2002_13 \h </w:instrText>
      </w:r>
      <w:r>
        <w:fldChar w:fldCharType="separate"/>
      </w:r>
      <w:r w:rsidR="00CE7DF5">
        <w:rPr>
          <w:noProof/>
        </w:rPr>
        <w:t>204</w:t>
      </w:r>
      <w:r>
        <w:fldChar w:fldCharType="end"/>
      </w:r>
    </w:p>
    <w:p w:rsidR="00795BAF" w:rsidRDefault="00795BAF" w:rsidP="00795BAF"/>
    <w:p w:rsidR="00795BAF" w:rsidRDefault="00795BAF" w:rsidP="00795BAF">
      <w:pPr>
        <w:pStyle w:val="EntradandiceSentencia"/>
      </w:pPr>
      <w:r>
        <w:t>Sala Segunda. Sentencia 14/2002,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1462/98. </w:t>
      </w:r>
      <w:r w:rsidRPr="00795BAF">
        <w:rPr>
          <w:rStyle w:val="TextoNormalCursivaCaracter"/>
        </w:rPr>
        <w:t xml:space="preserve"> Supuesta vulneración del derecho a la libertad sindical: despido sin indicios de discriminación por motivos sindicales, aunque sea improcedente por falta de motivación.</w:t>
      </w:r>
      <w:r>
        <w:tab/>
      </w:r>
      <w:r>
        <w:tab/>
      </w:r>
      <w:r>
        <w:fldChar w:fldCharType="begin"/>
      </w:r>
      <w:r>
        <w:instrText xml:space="preserve"> PAGEREF SENTENCIA_2002_14 \h </w:instrText>
      </w:r>
      <w:r>
        <w:fldChar w:fldCharType="separate"/>
      </w:r>
      <w:r w:rsidR="00CE7DF5">
        <w:rPr>
          <w:noProof/>
        </w:rPr>
        <w:t>218</w:t>
      </w:r>
      <w:r>
        <w:fldChar w:fldCharType="end"/>
      </w:r>
    </w:p>
    <w:p w:rsidR="00795BAF" w:rsidRDefault="00795BAF" w:rsidP="00795BAF"/>
    <w:p w:rsidR="00795BAF" w:rsidRDefault="00795BAF" w:rsidP="00795BAF">
      <w:pPr>
        <w:pStyle w:val="EntradandiceSentencia"/>
      </w:pPr>
      <w:r>
        <w:t>Sala Primera. Sentencia 15/2002,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2613/98. </w:t>
      </w:r>
      <w:r w:rsidRPr="00795BAF">
        <w:rPr>
          <w:rStyle w:val="TextoNormalCursivaCaracter"/>
        </w:rPr>
        <w:t xml:space="preserve"> Vulneración del derecho a la tutela judicial efectiva: inadmisión de demanda civil por apreciar la cosa juzgada de una absolución penal que carece de fundamento, porque la Sentencia penal había dejado imprejuzgada la acción civil.</w:t>
      </w:r>
      <w:r>
        <w:tab/>
      </w:r>
      <w:r>
        <w:tab/>
      </w:r>
      <w:r>
        <w:fldChar w:fldCharType="begin"/>
      </w:r>
      <w:r>
        <w:instrText xml:space="preserve"> PAGEREF SENTENCIA_2002_15 \h </w:instrText>
      </w:r>
      <w:r>
        <w:fldChar w:fldCharType="separate"/>
      </w:r>
      <w:r w:rsidR="00CE7DF5">
        <w:rPr>
          <w:noProof/>
        </w:rPr>
        <w:t>229</w:t>
      </w:r>
      <w:r>
        <w:fldChar w:fldCharType="end"/>
      </w:r>
    </w:p>
    <w:p w:rsidR="00795BAF" w:rsidRDefault="00795BAF" w:rsidP="00795BAF"/>
    <w:p w:rsidR="00795BAF" w:rsidRDefault="00795BAF" w:rsidP="00795BAF">
      <w:pPr>
        <w:pStyle w:val="EntradandiceSentencia"/>
      </w:pPr>
      <w:r>
        <w:t>Sala Segunda. Sentencia 16/2002,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3014/98. </w:t>
      </w:r>
      <w:r w:rsidRPr="00795BAF">
        <w:rPr>
          <w:rStyle w:val="TextoNormalCursivaCaracter"/>
        </w:rPr>
        <w:t xml:space="preserve"> Supuesta vulneración del derecho a la tutela judicial efectiva: Sentencia de suplicación que da respuesta al escrito de impug</w:t>
      </w:r>
      <w:r w:rsidRPr="00795BAF">
        <w:rPr>
          <w:rStyle w:val="TextoNormalCursivaCaracter"/>
        </w:rPr>
        <w:lastRenderedPageBreak/>
        <w:t>nación del recurso, e incurre en error sobre la ratificación de un dictamen irrelevante para el fallo.</w:t>
      </w:r>
      <w:r>
        <w:tab/>
      </w:r>
      <w:r>
        <w:tab/>
      </w:r>
      <w:r>
        <w:fldChar w:fldCharType="begin"/>
      </w:r>
      <w:r>
        <w:instrText xml:space="preserve"> PAGEREF SENTENCIA_2002_16 \h </w:instrText>
      </w:r>
      <w:r>
        <w:fldChar w:fldCharType="separate"/>
      </w:r>
      <w:r w:rsidR="00CE7DF5">
        <w:rPr>
          <w:noProof/>
        </w:rPr>
        <w:t>238</w:t>
      </w:r>
      <w:r>
        <w:fldChar w:fldCharType="end"/>
      </w:r>
    </w:p>
    <w:p w:rsidR="00795BAF" w:rsidRDefault="00795BAF" w:rsidP="00795BAF"/>
    <w:p w:rsidR="00795BAF" w:rsidRDefault="00795BAF" w:rsidP="00795BAF">
      <w:pPr>
        <w:pStyle w:val="EntradandiceSentencia"/>
      </w:pPr>
      <w:r>
        <w:t>Sala Segunda. Sentencia 17/2002,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3148/98. </w:t>
      </w:r>
      <w:r w:rsidRPr="00795BAF">
        <w:rPr>
          <w:rStyle w:val="TextoNormalCursivaCaracter"/>
        </w:rPr>
        <w:t xml:space="preserve"> Vulneración parcial del derecho a la presunción de inocencia: prueba de indicios, consistentes en conducir un vehículo robado, darse a la fuga y ofrecer un descargo inverosímil, que funda la condena por un delito pero no por otro (STC 44/2000).</w:t>
      </w:r>
      <w:r>
        <w:tab/>
      </w:r>
      <w:r>
        <w:tab/>
      </w:r>
      <w:r>
        <w:fldChar w:fldCharType="begin"/>
      </w:r>
      <w:r>
        <w:instrText xml:space="preserve"> PAGEREF SENTENCIA_2002_17 \h </w:instrText>
      </w:r>
      <w:r>
        <w:fldChar w:fldCharType="separate"/>
      </w:r>
      <w:r w:rsidR="00CE7DF5">
        <w:rPr>
          <w:noProof/>
        </w:rPr>
        <w:t>247</w:t>
      </w:r>
      <w:r>
        <w:fldChar w:fldCharType="end"/>
      </w:r>
    </w:p>
    <w:p w:rsidR="00795BAF" w:rsidRDefault="00795BAF" w:rsidP="00795BAF"/>
    <w:p w:rsidR="00795BAF" w:rsidRDefault="00795BAF" w:rsidP="00795BAF">
      <w:pPr>
        <w:pStyle w:val="EntradandiceSentencia"/>
      </w:pPr>
      <w:r>
        <w:t>Sala Segunda. Sentencia 18/2002,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4138/98 y 4167/98 (acumulados). </w:t>
      </w:r>
      <w:r w:rsidRPr="00795BAF">
        <w:rPr>
          <w:rStyle w:val="TextoNormalCursivaCaracter"/>
        </w:rPr>
        <w:t xml:space="preserve"> Supuesta vulneración del derecho a la tutela judicial sin indefensión: emplazamiento edictal de interesados sobrevenidos, al adquirir las viviendas en litigio.</w:t>
      </w:r>
      <w:r>
        <w:tab/>
      </w:r>
      <w:r>
        <w:tab/>
      </w:r>
      <w:r>
        <w:fldChar w:fldCharType="begin"/>
      </w:r>
      <w:r>
        <w:instrText xml:space="preserve"> PAGEREF SENTENCIA_2002_18 \h </w:instrText>
      </w:r>
      <w:r>
        <w:fldChar w:fldCharType="separate"/>
      </w:r>
      <w:r w:rsidR="00CE7DF5">
        <w:rPr>
          <w:noProof/>
        </w:rPr>
        <w:t>255</w:t>
      </w:r>
      <w:r>
        <w:fldChar w:fldCharType="end"/>
      </w:r>
    </w:p>
    <w:p w:rsidR="00795BAF" w:rsidRDefault="00795BAF" w:rsidP="00795BAF"/>
    <w:p w:rsidR="00795BAF" w:rsidRDefault="00795BAF" w:rsidP="00795BAF">
      <w:pPr>
        <w:pStyle w:val="EntradandiceSentencia"/>
      </w:pPr>
      <w:r>
        <w:t>Sala Segunda. Sentencia 19/2002,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4321/98. </w:t>
      </w:r>
      <w:r w:rsidRPr="00795BAF">
        <w:rPr>
          <w:rStyle w:val="TextoNormalCursivaCaracter"/>
        </w:rPr>
        <w:t xml:space="preserve"> Supuesta vulneración del derecho a la tutela judicial efectiva sin indefensión: falta de legitimación de una compañía de seguros para interponer recurso de apelación, dentro de los límites del seguro obligatorio; valoración de daños conforme al baremo legal.</w:t>
      </w:r>
      <w:r>
        <w:tab/>
      </w:r>
      <w:r>
        <w:tab/>
      </w:r>
      <w:r>
        <w:fldChar w:fldCharType="begin"/>
      </w:r>
      <w:r>
        <w:instrText xml:space="preserve"> PAGEREF SENTENCIA_2002_19 \h </w:instrText>
      </w:r>
      <w:r>
        <w:fldChar w:fldCharType="separate"/>
      </w:r>
      <w:r w:rsidR="00CE7DF5">
        <w:rPr>
          <w:noProof/>
        </w:rPr>
        <w:t>268</w:t>
      </w:r>
      <w:r>
        <w:fldChar w:fldCharType="end"/>
      </w:r>
    </w:p>
    <w:p w:rsidR="00795BAF" w:rsidRDefault="00795BAF" w:rsidP="00795BAF"/>
    <w:p w:rsidR="00795BAF" w:rsidRDefault="00795BAF" w:rsidP="00795BAF">
      <w:pPr>
        <w:pStyle w:val="EntradandiceSentencia"/>
      </w:pPr>
      <w:r>
        <w:t>Sala Primera. Sentencia 20/2002,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4342/98. </w:t>
      </w:r>
      <w:r w:rsidRPr="00795BAF">
        <w:rPr>
          <w:rStyle w:val="TextoNormalCursivaCaracter"/>
        </w:rPr>
        <w:t xml:space="preserve"> Vulneración del derecho a la libertad de expresión: nulidad de un despido por criticar al presidente de la empresa en una junta de accionistas, en relación con la gestión social, mediante expresiones que no fueron innecesarias ni vejatorias, y emitidas fuera del vínculo del contrato laboral.</w:t>
      </w:r>
      <w:r>
        <w:tab/>
      </w:r>
      <w:r>
        <w:tab/>
      </w:r>
      <w:r>
        <w:fldChar w:fldCharType="begin"/>
      </w:r>
      <w:r>
        <w:instrText xml:space="preserve"> PAGEREF SENTENCIA_2002_20 \h </w:instrText>
      </w:r>
      <w:r>
        <w:fldChar w:fldCharType="separate"/>
      </w:r>
      <w:r w:rsidR="00CE7DF5">
        <w:rPr>
          <w:noProof/>
        </w:rPr>
        <w:t>278</w:t>
      </w:r>
      <w:r>
        <w:fldChar w:fldCharType="end"/>
      </w:r>
    </w:p>
    <w:p w:rsidR="00795BAF" w:rsidRDefault="00795BAF" w:rsidP="00795BAF"/>
    <w:p w:rsidR="00795BAF" w:rsidRDefault="00795BAF" w:rsidP="00795BAF">
      <w:pPr>
        <w:pStyle w:val="EntradandiceSentencia"/>
      </w:pPr>
      <w:r>
        <w:t>Sala Segunda. Sentencia 21/2002,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1193/99. </w:t>
      </w:r>
      <w:r w:rsidRPr="00795BAF">
        <w:rPr>
          <w:rStyle w:val="TextoNormalCursivaCaracter"/>
        </w:rPr>
        <w:t xml:space="preserve"> Supuesta vulneración del derecho a la igualdad: declaración conjunta en el impuesto sobre la renta de las personas físicas de los matrimonios con hijos, en contraste con los matrimonios separados (SSTC 47/2001 y 212/2001).</w:t>
      </w:r>
      <w:r>
        <w:tab/>
      </w:r>
      <w:r>
        <w:tab/>
      </w:r>
      <w:r>
        <w:fldChar w:fldCharType="begin"/>
      </w:r>
      <w:r>
        <w:instrText xml:space="preserve"> PAGEREF SENTENCIA_2002_21 \h </w:instrText>
      </w:r>
      <w:r>
        <w:fldChar w:fldCharType="separate"/>
      </w:r>
      <w:r w:rsidR="00CE7DF5">
        <w:rPr>
          <w:noProof/>
        </w:rPr>
        <w:t>296</w:t>
      </w:r>
      <w:r>
        <w:fldChar w:fldCharType="end"/>
      </w:r>
    </w:p>
    <w:p w:rsidR="00795BAF" w:rsidRDefault="00795BAF" w:rsidP="00795BAF"/>
    <w:p w:rsidR="00795BAF" w:rsidRDefault="00795BAF" w:rsidP="00795BAF">
      <w:pPr>
        <w:pStyle w:val="EntradandiceSentencia"/>
      </w:pPr>
      <w:r>
        <w:lastRenderedPageBreak/>
        <w:t>Sala Primera. Sentencia 22/2002,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2916/99. </w:t>
      </w:r>
      <w:r w:rsidRPr="00795BAF">
        <w:rPr>
          <w:rStyle w:val="TextoNormalCursivaCaracter"/>
        </w:rPr>
        <w:t xml:space="preserve"> Vulneración del derecho a la tutela judicial efectiva (acceso al recurso legal): inadmisión de recurso por error patente al valorar la consignación de las rentas vencidas de un contrato de arrendamiento.</w:t>
      </w:r>
      <w:r>
        <w:tab/>
      </w:r>
      <w:r>
        <w:tab/>
      </w:r>
      <w:r>
        <w:fldChar w:fldCharType="begin"/>
      </w:r>
      <w:r>
        <w:instrText xml:space="preserve"> PAGEREF SENTENCIA_2002_22 \h </w:instrText>
      </w:r>
      <w:r>
        <w:fldChar w:fldCharType="separate"/>
      </w:r>
      <w:r w:rsidR="00CE7DF5">
        <w:rPr>
          <w:noProof/>
        </w:rPr>
        <w:t>306</w:t>
      </w:r>
      <w:r>
        <w:fldChar w:fldCharType="end"/>
      </w:r>
    </w:p>
    <w:p w:rsidR="00795BAF" w:rsidRDefault="00795BAF" w:rsidP="00795BAF"/>
    <w:p w:rsidR="00795BAF" w:rsidRDefault="00795BAF" w:rsidP="00795BAF">
      <w:pPr>
        <w:pStyle w:val="EntradandiceSentencia"/>
      </w:pPr>
      <w:r>
        <w:t>Sala Segunda. Sentencia 23/2002, de 28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581-2001. </w:t>
      </w:r>
      <w:r w:rsidRPr="00795BAF">
        <w:rPr>
          <w:rStyle w:val="TextoNormalCursivaCaracter"/>
        </w:rPr>
        <w:t xml:space="preserve"> Vulneración del derecho a la libertad personal: prisión provisional insuficientemente motivada (STC 128/1995).</w:t>
      </w:r>
      <w:r>
        <w:tab/>
      </w:r>
      <w:r>
        <w:tab/>
      </w:r>
      <w:r>
        <w:fldChar w:fldCharType="begin"/>
      </w:r>
      <w:r>
        <w:instrText xml:space="preserve"> PAGEREF SENTENCIA_2002_23 \h </w:instrText>
      </w:r>
      <w:r>
        <w:fldChar w:fldCharType="separate"/>
      </w:r>
      <w:r w:rsidR="00CE7DF5">
        <w:rPr>
          <w:noProof/>
        </w:rPr>
        <w:t>317</w:t>
      </w:r>
      <w:r>
        <w:fldChar w:fldCharType="end"/>
      </w:r>
    </w:p>
    <w:p w:rsidR="00795BAF" w:rsidRDefault="00795BAF" w:rsidP="00795BAF"/>
    <w:p w:rsidR="00795BAF" w:rsidRDefault="00795BAF" w:rsidP="00795BAF">
      <w:pPr>
        <w:pStyle w:val="EntradandiceSentencia"/>
      </w:pPr>
      <w:r>
        <w:t>Pleno. Sentencia 24/2002, de 31 de enero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inconstitucionalidad 3079/96. </w:t>
      </w:r>
      <w:r w:rsidRPr="00795BAF">
        <w:rPr>
          <w:rStyle w:val="TextoNormalCursivaCaracter"/>
        </w:rPr>
        <w:t xml:space="preserve"> Competencias sobre régimen estatutario de los funcionarios públicos y sobre planificación general de la actividad económica: límites estatales al incremento de retribuciones (SSTC 63/1986 y 62/2001). Nulidad parcial.</w:t>
      </w:r>
      <w:r>
        <w:tab/>
      </w:r>
      <w:r>
        <w:tab/>
      </w:r>
      <w:r>
        <w:fldChar w:fldCharType="begin"/>
      </w:r>
      <w:r>
        <w:instrText xml:space="preserve"> PAGEREF SENTENCIA_2002_24 \h </w:instrText>
      </w:r>
      <w:r>
        <w:fldChar w:fldCharType="separate"/>
      </w:r>
      <w:r w:rsidR="00CE7DF5">
        <w:rPr>
          <w:noProof/>
        </w:rPr>
        <w:t>328</w:t>
      </w:r>
      <w:r>
        <w:fldChar w:fldCharType="end"/>
      </w:r>
    </w:p>
    <w:p w:rsidR="00795BAF" w:rsidRDefault="00795BAF" w:rsidP="00795BAF"/>
    <w:p w:rsidR="00795BAF" w:rsidRDefault="00795BAF" w:rsidP="00795BAF">
      <w:pPr>
        <w:pStyle w:val="EntradandiceSentencia"/>
      </w:pPr>
      <w:r>
        <w:t>Sala Primera. Sentencia 25/2002,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603/97. </w:t>
      </w:r>
      <w:r w:rsidRPr="00795BAF">
        <w:rPr>
          <w:rStyle w:val="TextoNormalCursivaCaracter"/>
        </w:rPr>
        <w:t xml:space="preserve"> Vulneración del derecho a la legalidad sancionadora: descripción de conductas con remisión a preceptos reglamentarios que cumple la reserva de ley, pero indeterminación de las sanciones administrativas.</w:t>
      </w:r>
      <w:r>
        <w:tab/>
      </w:r>
      <w:r>
        <w:tab/>
      </w:r>
      <w:r>
        <w:fldChar w:fldCharType="begin"/>
      </w:r>
      <w:r>
        <w:instrText xml:space="preserve"> PAGEREF SENTENCIA_2002_25 \h </w:instrText>
      </w:r>
      <w:r>
        <w:fldChar w:fldCharType="separate"/>
      </w:r>
      <w:r w:rsidR="00CE7DF5">
        <w:rPr>
          <w:noProof/>
        </w:rPr>
        <w:t>348</w:t>
      </w:r>
      <w:r>
        <w:fldChar w:fldCharType="end"/>
      </w:r>
    </w:p>
    <w:p w:rsidR="00795BAF" w:rsidRDefault="00795BAF" w:rsidP="00795BAF"/>
    <w:p w:rsidR="00795BAF" w:rsidRDefault="00795BAF" w:rsidP="00795BAF">
      <w:pPr>
        <w:pStyle w:val="EntradandiceSentencia"/>
      </w:pPr>
      <w:r>
        <w:t>Sala Segunda. Sentencia 26/2002,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2123/97. </w:t>
      </w:r>
      <w:r w:rsidRPr="00795BAF">
        <w:rPr>
          <w:rStyle w:val="TextoNormalCursivaCaracter"/>
        </w:rPr>
        <w:t xml:space="preserve"> Vulneración del derecho a la legalidad sancionadora: infracción administrativa que carece de cobertura legal.</w:t>
      </w:r>
      <w:r>
        <w:tab/>
      </w:r>
      <w:r>
        <w:tab/>
      </w:r>
      <w:r>
        <w:fldChar w:fldCharType="begin"/>
      </w:r>
      <w:r>
        <w:instrText xml:space="preserve"> PAGEREF SENTENCIA_2002_26 \h </w:instrText>
      </w:r>
      <w:r>
        <w:fldChar w:fldCharType="separate"/>
      </w:r>
      <w:r w:rsidR="00CE7DF5">
        <w:rPr>
          <w:noProof/>
        </w:rPr>
        <w:t>362</w:t>
      </w:r>
      <w:r>
        <w:fldChar w:fldCharType="end"/>
      </w:r>
    </w:p>
    <w:p w:rsidR="00795BAF" w:rsidRDefault="00795BAF" w:rsidP="00795BAF"/>
    <w:p w:rsidR="00795BAF" w:rsidRDefault="00795BAF" w:rsidP="00795BAF">
      <w:pPr>
        <w:pStyle w:val="EntradandiceSentencia"/>
      </w:pPr>
      <w:r>
        <w:t>Sala Segunda. Sentencia 27/2002,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2397/97. </w:t>
      </w:r>
      <w:r w:rsidRPr="00795BAF">
        <w:rPr>
          <w:rStyle w:val="TextoNormalCursivaCaracter"/>
        </w:rPr>
        <w:t xml:space="preserve"> Vulneración del derecho a la tutela judicial efectiva (incongruencia): falta de respuesta a las cuestiones planteadas en los recursos de reforma y queja, basadas en la previa denegación por otro Juzgado, la necesidad de la entrada y otros extremos.</w:t>
      </w:r>
      <w:r>
        <w:tab/>
      </w:r>
      <w:r>
        <w:tab/>
      </w:r>
      <w:r>
        <w:fldChar w:fldCharType="begin"/>
      </w:r>
      <w:r>
        <w:instrText xml:space="preserve"> PAGEREF SENTENCIA_2002_27 \h </w:instrText>
      </w:r>
      <w:r>
        <w:fldChar w:fldCharType="separate"/>
      </w:r>
      <w:r w:rsidR="00CE7DF5">
        <w:rPr>
          <w:noProof/>
        </w:rPr>
        <w:t>376</w:t>
      </w:r>
      <w:r>
        <w:fldChar w:fldCharType="end"/>
      </w:r>
    </w:p>
    <w:p w:rsidR="00795BAF" w:rsidRDefault="00795BAF" w:rsidP="00795BAF"/>
    <w:p w:rsidR="00795BAF" w:rsidRDefault="00795BAF" w:rsidP="00795BAF">
      <w:pPr>
        <w:pStyle w:val="EntradandiceSentencia"/>
      </w:pPr>
      <w:r>
        <w:lastRenderedPageBreak/>
        <w:t>Sala Segunda. Sentencia 28/2002,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3340/97. </w:t>
      </w:r>
      <w:r w:rsidRPr="00795BAF">
        <w:rPr>
          <w:rStyle w:val="TextoNormalCursivaCaracter"/>
        </w:rPr>
        <w:t xml:space="preserve"> Vulneración del derecho a un proceso con garantías: negativa a excluir el resto de la prueba, afirmando sin motivación que carece de conexión causal con la intervención de las comunicaciones declarada ilícita por el propio Tribunal penal.</w:t>
      </w:r>
      <w:r>
        <w:tab/>
      </w:r>
      <w:r>
        <w:tab/>
      </w:r>
      <w:r>
        <w:fldChar w:fldCharType="begin"/>
      </w:r>
      <w:r>
        <w:instrText xml:space="preserve"> PAGEREF SENTENCIA_2002_28 \h </w:instrText>
      </w:r>
      <w:r>
        <w:fldChar w:fldCharType="separate"/>
      </w:r>
      <w:r w:rsidR="00CE7DF5">
        <w:rPr>
          <w:noProof/>
        </w:rPr>
        <w:t>390</w:t>
      </w:r>
      <w:r>
        <w:fldChar w:fldCharType="end"/>
      </w:r>
    </w:p>
    <w:p w:rsidR="00795BAF" w:rsidRDefault="00795BAF" w:rsidP="00795BAF"/>
    <w:p w:rsidR="00795BAF" w:rsidRDefault="00795BAF" w:rsidP="00795BAF">
      <w:pPr>
        <w:pStyle w:val="EntradandiceSentencia"/>
      </w:pPr>
      <w:r>
        <w:t>Sala Primera. Sentencia 29/2002,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198/98. </w:t>
      </w:r>
      <w:r w:rsidRPr="00795BAF">
        <w:rPr>
          <w:rStyle w:val="TextoNormalCursivaCaracter"/>
        </w:rPr>
        <w:t xml:space="preserve"> Vulneración del derecho a la libertad sindical: extinción del contrato en prácticas de un miembro del comité de empresa que la discrimina.</w:t>
      </w:r>
      <w:r>
        <w:tab/>
      </w:r>
      <w:r>
        <w:tab/>
      </w:r>
      <w:r>
        <w:fldChar w:fldCharType="begin"/>
      </w:r>
      <w:r>
        <w:instrText xml:space="preserve"> PAGEREF SENTENCIA_2002_29 \h </w:instrText>
      </w:r>
      <w:r>
        <w:fldChar w:fldCharType="separate"/>
      </w:r>
      <w:r w:rsidR="00CE7DF5">
        <w:rPr>
          <w:noProof/>
        </w:rPr>
        <w:t>399</w:t>
      </w:r>
      <w:r>
        <w:fldChar w:fldCharType="end"/>
      </w:r>
    </w:p>
    <w:p w:rsidR="00795BAF" w:rsidRDefault="00795BAF" w:rsidP="00795BAF"/>
    <w:p w:rsidR="00795BAF" w:rsidRDefault="00795BAF" w:rsidP="00795BAF">
      <w:pPr>
        <w:pStyle w:val="EntradandiceSentencia"/>
      </w:pPr>
      <w:r>
        <w:t>Sala Primera. Sentencia 30/2002,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1481/98. </w:t>
      </w:r>
      <w:r w:rsidRPr="00795BAF">
        <w:rPr>
          <w:rStyle w:val="TextoNormalCursivaCaracter"/>
        </w:rPr>
        <w:t xml:space="preserve"> Vulneración del derecho a la libertad sindical: STC 29/2002.</w:t>
      </w:r>
      <w:r>
        <w:tab/>
      </w:r>
      <w:r>
        <w:tab/>
      </w:r>
      <w:r>
        <w:fldChar w:fldCharType="begin"/>
      </w:r>
      <w:r>
        <w:instrText xml:space="preserve"> PAGEREF SENTENCIA_2002_30 \h </w:instrText>
      </w:r>
      <w:r>
        <w:fldChar w:fldCharType="separate"/>
      </w:r>
      <w:r w:rsidR="00CE7DF5">
        <w:rPr>
          <w:noProof/>
        </w:rPr>
        <w:t>409</w:t>
      </w:r>
      <w:r>
        <w:fldChar w:fldCharType="end"/>
      </w:r>
    </w:p>
    <w:p w:rsidR="00795BAF" w:rsidRDefault="00795BAF" w:rsidP="00795BAF"/>
    <w:p w:rsidR="00795BAF" w:rsidRDefault="00795BAF" w:rsidP="00795BAF">
      <w:pPr>
        <w:pStyle w:val="EntradandiceSentencia"/>
      </w:pPr>
      <w:r>
        <w:t>Sala Segunda. Sentencia 31/2002,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1730/98. </w:t>
      </w:r>
      <w:r w:rsidRPr="00795BAF">
        <w:rPr>
          <w:rStyle w:val="TextoNormalCursivaCaracter"/>
        </w:rPr>
        <w:t xml:space="preserve"> Supuesta vulneración del derecho a la tutela judicial sin indefensión: emplazamiento efectuado válidamente en el domicilio del interesado, y desconocimiento inverosímil.</w:t>
      </w:r>
      <w:r>
        <w:tab/>
      </w:r>
      <w:r>
        <w:tab/>
      </w:r>
      <w:r>
        <w:fldChar w:fldCharType="begin"/>
      </w:r>
      <w:r>
        <w:instrText xml:space="preserve"> PAGEREF SENTENCIA_2002_31 \h </w:instrText>
      </w:r>
      <w:r>
        <w:fldChar w:fldCharType="separate"/>
      </w:r>
      <w:r w:rsidR="00CE7DF5">
        <w:rPr>
          <w:noProof/>
        </w:rPr>
        <w:t>419</w:t>
      </w:r>
      <w:r>
        <w:fldChar w:fldCharType="end"/>
      </w:r>
    </w:p>
    <w:p w:rsidR="00795BAF" w:rsidRDefault="00795BAF" w:rsidP="00795BAF"/>
    <w:p w:rsidR="00795BAF" w:rsidRDefault="00795BAF" w:rsidP="00795BAF">
      <w:pPr>
        <w:pStyle w:val="EntradandiceSentencia"/>
      </w:pPr>
      <w:r>
        <w:t>Sala Segunda. Sentencia 32/2002,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2160/1998. </w:t>
      </w:r>
      <w:r w:rsidRPr="00795BAF">
        <w:rPr>
          <w:rStyle w:val="TextoNormalCursivaCaracter"/>
        </w:rPr>
        <w:t xml:space="preserve"> Alegada y supuesta vulneración del derecho a la tutela judicial efectiva: queja sobre extemporaneidad que no fue planteada en nulidad de actuaciones; anulación de un laudo que resuelve el fondo del litigio, y que está fundada en Derecho.</w:t>
      </w:r>
      <w:r>
        <w:tab/>
      </w:r>
      <w:r>
        <w:tab/>
      </w:r>
      <w:r>
        <w:fldChar w:fldCharType="begin"/>
      </w:r>
      <w:r>
        <w:instrText xml:space="preserve"> PAGEREF SENTENCIA_2002_32 \h </w:instrText>
      </w:r>
      <w:r>
        <w:fldChar w:fldCharType="separate"/>
      </w:r>
      <w:r w:rsidR="00CE7DF5">
        <w:rPr>
          <w:noProof/>
        </w:rPr>
        <w:t>434</w:t>
      </w:r>
      <w:r>
        <w:fldChar w:fldCharType="end"/>
      </w:r>
    </w:p>
    <w:p w:rsidR="00795BAF" w:rsidRDefault="00795BAF" w:rsidP="00795BAF"/>
    <w:p w:rsidR="00795BAF" w:rsidRDefault="00795BAF" w:rsidP="00795BAF">
      <w:pPr>
        <w:pStyle w:val="EntradandiceSentencia"/>
      </w:pPr>
      <w:r>
        <w:t>Sala Segunda. Sentencia 33/2002,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4061/1998. </w:t>
      </w:r>
      <w:r w:rsidRPr="00795BAF">
        <w:rPr>
          <w:rStyle w:val="TextoNormalCursivaCaracter"/>
        </w:rPr>
        <w:t xml:space="preserve"> Vulneración parcial del derecho a la tutela judicial efectiva: limitación del número de Sentencias en el recurso de casación (Sentencia 89/1998); falta de resolución sobre el fondo por no haber probado el Derecho inglés. Voto particular.</w:t>
      </w:r>
      <w:r>
        <w:tab/>
      </w:r>
      <w:r>
        <w:tab/>
      </w:r>
      <w:r>
        <w:fldChar w:fldCharType="begin"/>
      </w:r>
      <w:r>
        <w:instrText xml:space="preserve"> PAGEREF SENTENCIA_2002_33 \h </w:instrText>
      </w:r>
      <w:r>
        <w:fldChar w:fldCharType="separate"/>
      </w:r>
      <w:r w:rsidR="00CE7DF5">
        <w:rPr>
          <w:noProof/>
        </w:rPr>
        <w:t>441</w:t>
      </w:r>
      <w:r>
        <w:fldChar w:fldCharType="end"/>
      </w:r>
    </w:p>
    <w:p w:rsidR="00795BAF" w:rsidRDefault="00795BAF" w:rsidP="00795BAF"/>
    <w:p w:rsidR="00795BAF" w:rsidRDefault="00795BAF" w:rsidP="00795BAF">
      <w:pPr>
        <w:pStyle w:val="EntradandiceSentencia"/>
      </w:pPr>
      <w:r>
        <w:lastRenderedPageBreak/>
        <w:t>Sala Segunda. Sentencia 34/2002,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1865/1999. </w:t>
      </w:r>
      <w:r w:rsidRPr="00795BAF">
        <w:rPr>
          <w:rStyle w:val="TextoNormalCursivaCaracter"/>
        </w:rPr>
        <w:t xml:space="preserve"> Vulneración del derecho a la tutela judicial efectiva (Sentencia fundada en Derecho): error patente sobre el título de bachillerato requerido para una categoría de funcionarios.</w:t>
      </w:r>
      <w:r>
        <w:tab/>
      </w:r>
      <w:r>
        <w:tab/>
      </w:r>
      <w:r>
        <w:fldChar w:fldCharType="begin"/>
      </w:r>
      <w:r>
        <w:instrText xml:space="preserve"> PAGEREF SENTENCIA_2002_34 \h </w:instrText>
      </w:r>
      <w:r>
        <w:fldChar w:fldCharType="separate"/>
      </w:r>
      <w:r w:rsidR="00CE7DF5">
        <w:rPr>
          <w:noProof/>
        </w:rPr>
        <w:t>460</w:t>
      </w:r>
      <w:r>
        <w:fldChar w:fldCharType="end"/>
      </w:r>
    </w:p>
    <w:p w:rsidR="00795BAF" w:rsidRDefault="00795BAF" w:rsidP="00795BAF"/>
    <w:p w:rsidR="00795BAF" w:rsidRDefault="00795BAF" w:rsidP="00795BAF">
      <w:pPr>
        <w:pStyle w:val="EntradandiceSentencia"/>
      </w:pPr>
      <w:r>
        <w:t>Sala Primera. Sentencia 35/2002,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243-2000. </w:t>
      </w:r>
      <w:r w:rsidRPr="00795BAF">
        <w:rPr>
          <w:rStyle w:val="TextoNormalCursivaCaracter"/>
        </w:rPr>
        <w:t xml:space="preserve"> Vulneración del derecho a la tutela judicial efectiva (incongruencia y motivación): Sentencia que no da respuesta a la cuestión de si se ha aplicado retroactivamente una legislación restrictiva de derechos, y que no motiva la negativa a plantear cuestión de inconstitucionalidad.</w:t>
      </w:r>
      <w:r>
        <w:tab/>
      </w:r>
      <w:r>
        <w:tab/>
      </w:r>
      <w:r>
        <w:fldChar w:fldCharType="begin"/>
      </w:r>
      <w:r>
        <w:instrText xml:space="preserve"> PAGEREF SENTENCIA_2002_35 \h </w:instrText>
      </w:r>
      <w:r>
        <w:fldChar w:fldCharType="separate"/>
      </w:r>
      <w:r w:rsidR="00CE7DF5">
        <w:rPr>
          <w:noProof/>
        </w:rPr>
        <w:t>469</w:t>
      </w:r>
      <w:r>
        <w:fldChar w:fldCharType="end"/>
      </w:r>
    </w:p>
    <w:p w:rsidR="00795BAF" w:rsidRDefault="00795BAF" w:rsidP="00795BAF"/>
    <w:p w:rsidR="00795BAF" w:rsidRDefault="00795BAF" w:rsidP="00795BAF">
      <w:pPr>
        <w:pStyle w:val="EntradandiceSentencia"/>
      </w:pPr>
      <w:r>
        <w:t>Sala Segunda. Sentencia 36/2002, de 11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2319-2000. </w:t>
      </w:r>
      <w:r w:rsidRPr="00795BAF">
        <w:rPr>
          <w:rStyle w:val="TextoNormalCursivaCaracter"/>
        </w:rPr>
        <w:t xml:space="preserve"> Vulneración del derecho a la tutela judicial efectiva: Sentencia de apelación que no resuelve sobre la insuficiencia de un poder para afianzar una póliza de negociación, por considerarlo una cuestión nueva con error patente.</w:t>
      </w:r>
      <w:r>
        <w:tab/>
      </w:r>
      <w:r>
        <w:tab/>
      </w:r>
      <w:r>
        <w:fldChar w:fldCharType="begin"/>
      </w:r>
      <w:r>
        <w:instrText xml:space="preserve"> PAGEREF SENTENCIA_2002_36 \h </w:instrText>
      </w:r>
      <w:r>
        <w:fldChar w:fldCharType="separate"/>
      </w:r>
      <w:r w:rsidR="00CE7DF5">
        <w:rPr>
          <w:noProof/>
        </w:rPr>
        <w:t>478</w:t>
      </w:r>
      <w:r>
        <w:fldChar w:fldCharType="end"/>
      </w:r>
    </w:p>
    <w:p w:rsidR="00795BAF" w:rsidRDefault="00795BAF" w:rsidP="00795BAF"/>
    <w:p w:rsidR="00795BAF" w:rsidRDefault="00795BAF" w:rsidP="00795BAF">
      <w:pPr>
        <w:pStyle w:val="EntradandiceSentencia"/>
      </w:pPr>
      <w:r>
        <w:t>Pleno. Sentencia 37/2002, de 14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Cuestión de inconstitucionalidad 71/94 y 243/95. </w:t>
      </w:r>
      <w:r w:rsidRPr="00795BAF">
        <w:rPr>
          <w:rStyle w:val="TextoNormalCursivaCaracter"/>
        </w:rPr>
        <w:t xml:space="preserve"> Reserva de ley y competencias sobre el estatuto de los funcionarios públicos, e igualdad básica de los españoles: validez de los preceptos estatales que delimitan los puestos locales reservados a funcionarios; legislación básica del Estado preconstitucional; validez de los preceptos autonómicos que establecen una falta disciplinaria novedosa, una medida cautelar de traslado, y una sanción de pérdida de grado personal.</w:t>
      </w:r>
      <w:r>
        <w:tab/>
      </w:r>
      <w:r>
        <w:tab/>
      </w:r>
      <w:r>
        <w:fldChar w:fldCharType="begin"/>
      </w:r>
      <w:r>
        <w:instrText xml:space="preserve"> PAGEREF SENTENCIA_2002_37 \h </w:instrText>
      </w:r>
      <w:r>
        <w:fldChar w:fldCharType="separate"/>
      </w:r>
      <w:r w:rsidR="00CE7DF5">
        <w:rPr>
          <w:noProof/>
        </w:rPr>
        <w:t>494</w:t>
      </w:r>
      <w:r>
        <w:fldChar w:fldCharType="end"/>
      </w:r>
    </w:p>
    <w:p w:rsidR="00795BAF" w:rsidRDefault="00795BAF" w:rsidP="00795BAF"/>
    <w:p w:rsidR="00795BAF" w:rsidRDefault="00795BAF" w:rsidP="00795BAF">
      <w:pPr>
        <w:pStyle w:val="EntradandiceSentencia"/>
      </w:pPr>
      <w:r>
        <w:t>Pleno. Sentencia 38/2002, de 14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Conflictos positivos de competencia 1492/1995 y 3744/1995 (acumulados). </w:t>
      </w:r>
      <w:r w:rsidRPr="00795BAF">
        <w:rPr>
          <w:rStyle w:val="TextoNormalCursivaCaracter"/>
        </w:rPr>
        <w:t xml:space="preserve"> Competencias sobre medio ambiente, pesca marítima y el mar territorial. Delimitación del ámbito de vigencia de varios preceptos autonómicos. Voto particular.</w:t>
      </w:r>
      <w:r>
        <w:tab/>
      </w:r>
      <w:r>
        <w:tab/>
      </w:r>
      <w:r>
        <w:fldChar w:fldCharType="begin"/>
      </w:r>
      <w:r>
        <w:instrText xml:space="preserve"> PAGEREF SENTENCIA_2002_38 \h </w:instrText>
      </w:r>
      <w:r>
        <w:fldChar w:fldCharType="separate"/>
      </w:r>
      <w:r w:rsidR="00CE7DF5">
        <w:rPr>
          <w:noProof/>
        </w:rPr>
        <w:t>542</w:t>
      </w:r>
      <w:r>
        <w:fldChar w:fldCharType="end"/>
      </w:r>
    </w:p>
    <w:p w:rsidR="00795BAF" w:rsidRDefault="00795BAF" w:rsidP="00795BAF"/>
    <w:p w:rsidR="00795BAF" w:rsidRDefault="00795BAF" w:rsidP="00795BAF">
      <w:pPr>
        <w:pStyle w:val="EntradandiceSentencia"/>
      </w:pPr>
      <w:r>
        <w:lastRenderedPageBreak/>
        <w:t>Pleno. Sentencia 39/2002, de 14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Cuestión de inconstitucionalidad 1724/1995. </w:t>
      </w:r>
      <w:r w:rsidRPr="00795BAF">
        <w:rPr>
          <w:rStyle w:val="TextoNormalCursivaCaracter"/>
        </w:rPr>
        <w:t xml:space="preserve"> Vulneración del derecho a la igualdad conyugal: designación de la ley nacional del marido para regir supletoriamente el régimen económico del matrimonio. Derogación del precepto legal.</w:t>
      </w:r>
      <w:r>
        <w:tab/>
      </w:r>
      <w:r>
        <w:tab/>
      </w:r>
      <w:r>
        <w:fldChar w:fldCharType="begin"/>
      </w:r>
      <w:r>
        <w:instrText xml:space="preserve"> PAGEREF SENTENCIA_2002_39 \h </w:instrText>
      </w:r>
      <w:r>
        <w:fldChar w:fldCharType="separate"/>
      </w:r>
      <w:r w:rsidR="00CE7DF5">
        <w:rPr>
          <w:noProof/>
        </w:rPr>
        <w:t>579</w:t>
      </w:r>
      <w:r>
        <w:fldChar w:fldCharType="end"/>
      </w:r>
    </w:p>
    <w:p w:rsidR="00795BAF" w:rsidRDefault="00795BAF" w:rsidP="00795BAF"/>
    <w:p w:rsidR="00795BAF" w:rsidRDefault="00795BAF" w:rsidP="00795BAF">
      <w:pPr>
        <w:pStyle w:val="EntradandiceSentencia"/>
      </w:pPr>
      <w:r>
        <w:t>Sala Primera. Sentencia 40/2002, de 14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4312/1998. </w:t>
      </w:r>
      <w:r w:rsidRPr="00795BAF">
        <w:rPr>
          <w:rStyle w:val="TextoNormalCursivaCaracter"/>
        </w:rPr>
        <w:t xml:space="preserve"> Vulneración del derecho a la tutela judicial efectiva (acceso al recurso legal): personación en el Tribunal de apelación ignorada, anterior a un segundo emplazamiento por el Juzgado (STC 77/1993).</w:t>
      </w:r>
      <w:r>
        <w:tab/>
      </w:r>
      <w:r>
        <w:tab/>
      </w:r>
      <w:r>
        <w:fldChar w:fldCharType="begin"/>
      </w:r>
      <w:r>
        <w:instrText xml:space="preserve"> PAGEREF SENTENCIA_2002_40 \h </w:instrText>
      </w:r>
      <w:r>
        <w:fldChar w:fldCharType="separate"/>
      </w:r>
      <w:r w:rsidR="00CE7DF5">
        <w:rPr>
          <w:noProof/>
        </w:rPr>
        <w:t>593</w:t>
      </w:r>
      <w:r>
        <w:fldChar w:fldCharType="end"/>
      </w:r>
    </w:p>
    <w:p w:rsidR="00795BAF" w:rsidRDefault="00795BAF" w:rsidP="00795BAF"/>
    <w:p w:rsidR="00795BAF" w:rsidRDefault="00795BAF" w:rsidP="00795BAF">
      <w:pPr>
        <w:pStyle w:val="EntradandiceSentencia"/>
      </w:pPr>
      <w:r>
        <w:t>Sala Segunda. Sentencia 41/2002,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1203/1997. </w:t>
      </w:r>
      <w:r w:rsidRPr="00795BAF">
        <w:rPr>
          <w:rStyle w:val="TextoNormalCursivaCaracter"/>
        </w:rPr>
        <w:t xml:space="preserve"> Supuesta vulneración del derecho a no ser discriminada por razón del sexo: despido de una trabajadora embarazada, cuando la empresa lo ignoraba.</w:t>
      </w:r>
      <w:r>
        <w:tab/>
      </w:r>
      <w:r>
        <w:tab/>
      </w:r>
      <w:r>
        <w:fldChar w:fldCharType="begin"/>
      </w:r>
      <w:r>
        <w:instrText xml:space="preserve"> PAGEREF SENTENCIA_2002_41 \h </w:instrText>
      </w:r>
      <w:r>
        <w:fldChar w:fldCharType="separate"/>
      </w:r>
      <w:r w:rsidR="00CE7DF5">
        <w:rPr>
          <w:noProof/>
        </w:rPr>
        <w:t>607</w:t>
      </w:r>
      <w:r>
        <w:fldChar w:fldCharType="end"/>
      </w:r>
    </w:p>
    <w:p w:rsidR="00795BAF" w:rsidRDefault="00795BAF" w:rsidP="00795BAF"/>
    <w:p w:rsidR="00795BAF" w:rsidRDefault="00795BAF" w:rsidP="00795BAF">
      <w:pPr>
        <w:pStyle w:val="EntradandiceSentencia"/>
      </w:pPr>
      <w:r>
        <w:t>Sala Segunda. Sentencia 42/2002,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2311/1997. </w:t>
      </w:r>
      <w:r w:rsidRPr="00795BAF">
        <w:rPr>
          <w:rStyle w:val="TextoNormalCursivaCaracter"/>
        </w:rPr>
        <w:t xml:space="preserve"> Vulneración del derecho a la tutela judicial sin indefensión: notificación de Sentencia a una persona jurídica a través del cónyuge del trabajador que la demanda.</w:t>
      </w:r>
      <w:r>
        <w:tab/>
      </w:r>
      <w:r>
        <w:tab/>
      </w:r>
      <w:r>
        <w:fldChar w:fldCharType="begin"/>
      </w:r>
      <w:r>
        <w:instrText xml:space="preserve"> PAGEREF SENTENCIA_2002_42 \h </w:instrText>
      </w:r>
      <w:r>
        <w:fldChar w:fldCharType="separate"/>
      </w:r>
      <w:r w:rsidR="00CE7DF5">
        <w:rPr>
          <w:noProof/>
        </w:rPr>
        <w:t>618</w:t>
      </w:r>
      <w:r>
        <w:fldChar w:fldCharType="end"/>
      </w:r>
    </w:p>
    <w:p w:rsidR="00795BAF" w:rsidRDefault="00795BAF" w:rsidP="00795BAF"/>
    <w:p w:rsidR="00795BAF" w:rsidRDefault="00795BAF" w:rsidP="00795BAF">
      <w:pPr>
        <w:pStyle w:val="EntradandiceSentencia"/>
      </w:pPr>
      <w:r>
        <w:t>Sala Primera. Sentencia 43/2002,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4304/1997. </w:t>
      </w:r>
      <w:r w:rsidRPr="00795BAF">
        <w:rPr>
          <w:rStyle w:val="TextoNormalCursivaCaracter"/>
        </w:rPr>
        <w:t xml:space="preserve"> Vulneración del derecho a la tutela judicial efectiva: apreciación de la excepción de cosa juzgada por error patente en los hechos probados de la Sentencia de instancia.</w:t>
      </w:r>
      <w:r>
        <w:tab/>
      </w:r>
      <w:r>
        <w:tab/>
      </w:r>
      <w:r>
        <w:fldChar w:fldCharType="begin"/>
      </w:r>
      <w:r>
        <w:instrText xml:space="preserve"> PAGEREF SENTENCIA_2002_43 \h </w:instrText>
      </w:r>
      <w:r>
        <w:fldChar w:fldCharType="separate"/>
      </w:r>
      <w:r w:rsidR="00CE7DF5">
        <w:rPr>
          <w:noProof/>
        </w:rPr>
        <w:t>624</w:t>
      </w:r>
      <w:r>
        <w:fldChar w:fldCharType="end"/>
      </w:r>
    </w:p>
    <w:p w:rsidR="00795BAF" w:rsidRDefault="00795BAF" w:rsidP="00795BAF"/>
    <w:p w:rsidR="00795BAF" w:rsidRDefault="00795BAF" w:rsidP="00795BAF">
      <w:pPr>
        <w:pStyle w:val="EntradandiceSentencia"/>
      </w:pPr>
      <w:r>
        <w:t>Sala Primera. Sentencia 44/2002,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1371/1998. </w:t>
      </w:r>
      <w:r w:rsidRPr="00795BAF">
        <w:rPr>
          <w:rStyle w:val="TextoNormalCursivaCaracter"/>
        </w:rPr>
        <w:t xml:space="preserve"> Alegada vulneración de los derechos a la participación política: presentación de demanda de amparo cuando pendía un contencioso-administrativo igual.</w:t>
      </w:r>
      <w:r>
        <w:tab/>
      </w:r>
      <w:r>
        <w:tab/>
      </w:r>
      <w:r>
        <w:fldChar w:fldCharType="begin"/>
      </w:r>
      <w:r>
        <w:instrText xml:space="preserve"> PAGEREF SENTENCIA_2002_44 \h </w:instrText>
      </w:r>
      <w:r>
        <w:fldChar w:fldCharType="separate"/>
      </w:r>
      <w:r w:rsidR="00CE7DF5">
        <w:rPr>
          <w:noProof/>
        </w:rPr>
        <w:t>632</w:t>
      </w:r>
      <w:r>
        <w:fldChar w:fldCharType="end"/>
      </w:r>
    </w:p>
    <w:p w:rsidR="00795BAF" w:rsidRDefault="00795BAF" w:rsidP="00795BAF"/>
    <w:p w:rsidR="00795BAF" w:rsidRDefault="00795BAF" w:rsidP="00795BAF">
      <w:pPr>
        <w:pStyle w:val="EntradandiceSentencia"/>
      </w:pPr>
      <w:r>
        <w:lastRenderedPageBreak/>
        <w:t>Sala Segunda. Sentencia 45/2002,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2632/1998. </w:t>
      </w:r>
      <w:r w:rsidRPr="00795BAF">
        <w:rPr>
          <w:rStyle w:val="TextoNormalCursivaCaracter"/>
        </w:rPr>
        <w:t xml:space="preserve"> Vulneración del derecho a la tutela judicial efectiva (acceso al proceso): caución desproporcionada para que un demandado, con derecho a asistencia jurídica gratuita, suscite una demanda de contradicción.</w:t>
      </w:r>
      <w:r>
        <w:tab/>
      </w:r>
      <w:r>
        <w:tab/>
      </w:r>
      <w:r>
        <w:fldChar w:fldCharType="begin"/>
      </w:r>
      <w:r>
        <w:instrText xml:space="preserve"> PAGEREF SENTENCIA_2002_45 \h </w:instrText>
      </w:r>
      <w:r>
        <w:fldChar w:fldCharType="separate"/>
      </w:r>
      <w:r w:rsidR="00CE7DF5">
        <w:rPr>
          <w:noProof/>
        </w:rPr>
        <w:t>641</w:t>
      </w:r>
      <w:r>
        <w:fldChar w:fldCharType="end"/>
      </w:r>
    </w:p>
    <w:p w:rsidR="00795BAF" w:rsidRDefault="00795BAF" w:rsidP="00795BAF"/>
    <w:p w:rsidR="00795BAF" w:rsidRDefault="00795BAF" w:rsidP="00795BAF">
      <w:pPr>
        <w:pStyle w:val="EntradandiceSentencia"/>
      </w:pPr>
      <w:r>
        <w:t>Sala Segunda. Sentencia 46/2002,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3251/1998. </w:t>
      </w:r>
      <w:r w:rsidRPr="00795BAF">
        <w:rPr>
          <w:rStyle w:val="TextoNormalCursivaCaracter"/>
        </w:rPr>
        <w:t xml:space="preserve"> Supuesta vulneración del derecho al honor: noticia sobre una Sentencia penal protegida por la libertad de información, aunque mencione los antecedentes penales del interesado.</w:t>
      </w:r>
      <w:r>
        <w:tab/>
      </w:r>
      <w:r>
        <w:tab/>
      </w:r>
      <w:r>
        <w:fldChar w:fldCharType="begin"/>
      </w:r>
      <w:r>
        <w:instrText xml:space="preserve"> PAGEREF SENTENCIA_2002_46 \h </w:instrText>
      </w:r>
      <w:r>
        <w:fldChar w:fldCharType="separate"/>
      </w:r>
      <w:r w:rsidR="00CE7DF5">
        <w:rPr>
          <w:noProof/>
        </w:rPr>
        <w:t>654</w:t>
      </w:r>
      <w:r>
        <w:fldChar w:fldCharType="end"/>
      </w:r>
    </w:p>
    <w:p w:rsidR="00795BAF" w:rsidRDefault="00795BAF" w:rsidP="00795BAF"/>
    <w:p w:rsidR="00795BAF" w:rsidRDefault="00795BAF" w:rsidP="00795BAF">
      <w:pPr>
        <w:pStyle w:val="EntradandiceSentencia"/>
      </w:pPr>
      <w:r>
        <w:t>Sala Segunda. Sentencia 47/2002,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4273/1998. </w:t>
      </w:r>
      <w:r w:rsidRPr="00795BAF">
        <w:rPr>
          <w:rStyle w:val="TextoNormalCursivaCaracter"/>
        </w:rPr>
        <w:t xml:space="preserve"> Supuesta vulneración del derecho a la libertad de información: Concejal que en un tenso Pleno acusa al Alcalde de cohecho, sin ninguna prueba o indicio.</w:t>
      </w:r>
      <w:r>
        <w:tab/>
      </w:r>
      <w:r>
        <w:tab/>
      </w:r>
      <w:r>
        <w:fldChar w:fldCharType="begin"/>
      </w:r>
      <w:r>
        <w:instrText xml:space="preserve"> PAGEREF SENTENCIA_2002_47 \h </w:instrText>
      </w:r>
      <w:r>
        <w:fldChar w:fldCharType="separate"/>
      </w:r>
      <w:r w:rsidR="00CE7DF5">
        <w:rPr>
          <w:noProof/>
        </w:rPr>
        <w:t>671</w:t>
      </w:r>
      <w:r>
        <w:fldChar w:fldCharType="end"/>
      </w:r>
    </w:p>
    <w:p w:rsidR="00795BAF" w:rsidRDefault="00795BAF" w:rsidP="00795BAF"/>
    <w:p w:rsidR="00795BAF" w:rsidRDefault="00795BAF" w:rsidP="00795BAF">
      <w:pPr>
        <w:pStyle w:val="EntradandiceSentencia"/>
      </w:pPr>
      <w:r>
        <w:t>Sala Primera. Sentencia 48/2002,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30/1999. </w:t>
      </w:r>
      <w:r w:rsidRPr="00795BAF">
        <w:rPr>
          <w:rStyle w:val="TextoNormalCursivaCaracter"/>
        </w:rPr>
        <w:t xml:space="preserve"> Vulneración del derecho a la libertad sindical: extinción de los contratos de auxiliares administrativos, en su mayoría afiliados a un sindicato, que no se justifica por causas económicas de reestructuración de plantilla.</w:t>
      </w:r>
      <w:r>
        <w:tab/>
      </w:r>
      <w:r>
        <w:tab/>
      </w:r>
      <w:r>
        <w:fldChar w:fldCharType="begin"/>
      </w:r>
      <w:r>
        <w:instrText xml:space="preserve"> PAGEREF SENTENCIA_2002_48 \h </w:instrText>
      </w:r>
      <w:r>
        <w:fldChar w:fldCharType="separate"/>
      </w:r>
      <w:r w:rsidR="00CE7DF5">
        <w:rPr>
          <w:noProof/>
        </w:rPr>
        <w:t>678</w:t>
      </w:r>
      <w:r>
        <w:fldChar w:fldCharType="end"/>
      </w:r>
    </w:p>
    <w:p w:rsidR="00795BAF" w:rsidRDefault="00795BAF" w:rsidP="00795BAF"/>
    <w:p w:rsidR="00795BAF" w:rsidRDefault="00795BAF" w:rsidP="00795BAF">
      <w:pPr>
        <w:pStyle w:val="EntradandiceSentencia"/>
      </w:pPr>
      <w:r>
        <w:t>Sala Primera. Sentencia 49/2002,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651/1999. </w:t>
      </w:r>
      <w:r w:rsidRPr="00795BAF">
        <w:rPr>
          <w:rStyle w:val="TextoNormalCursivaCaracter"/>
        </w:rPr>
        <w:t xml:space="preserve"> Supuesta vulneración del derecho a la igualdad, y vulneración del derecho a la tutela judicial efectiva: indemnización de los perjuicios por lucro cesante, a causa de la inactividad profesional de un taxista víctima de una imprudencia, en aplicación de los baremos legales (Sentencia 181/2000).</w:t>
      </w:r>
      <w:r>
        <w:tab/>
      </w:r>
      <w:r>
        <w:tab/>
      </w:r>
      <w:r>
        <w:fldChar w:fldCharType="begin"/>
      </w:r>
      <w:r>
        <w:instrText xml:space="preserve"> PAGEREF SENTENCIA_2002_49 \h </w:instrText>
      </w:r>
      <w:r>
        <w:fldChar w:fldCharType="separate"/>
      </w:r>
      <w:r w:rsidR="00CE7DF5">
        <w:rPr>
          <w:noProof/>
        </w:rPr>
        <w:t>695</w:t>
      </w:r>
      <w:r>
        <w:fldChar w:fldCharType="end"/>
      </w:r>
    </w:p>
    <w:p w:rsidR="00795BAF" w:rsidRDefault="00795BAF" w:rsidP="00795BAF"/>
    <w:p w:rsidR="00795BAF" w:rsidRDefault="00795BAF" w:rsidP="00795BAF">
      <w:pPr>
        <w:pStyle w:val="EntradandiceSentencia"/>
      </w:pPr>
      <w:r>
        <w:t>Sala Segunda. Sentencia 50/2002,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880/1999. </w:t>
      </w:r>
      <w:r w:rsidRPr="00795BAF">
        <w:rPr>
          <w:rStyle w:val="TextoNormalCursivaCaracter"/>
        </w:rPr>
        <w:t xml:space="preserve"> Supuesta vulneración de los derechos a la tutela judicial efectiva sin indefensión y a la presunción de inocencia: impugnación en el recurso de casación penal del relato de hechos probados de una Senten</w:t>
      </w:r>
      <w:r w:rsidRPr="00795BAF">
        <w:rPr>
          <w:rStyle w:val="TextoNormalCursivaCaracter"/>
        </w:rPr>
        <w:lastRenderedPageBreak/>
        <w:t>cia absolutoria; condena en grado de recurso que no altera los hechos, y que no fue impugnada en incidente de nulidad de actuaciones. Voto particular.</w:t>
      </w:r>
      <w:r>
        <w:tab/>
      </w:r>
      <w:r>
        <w:tab/>
      </w:r>
      <w:r>
        <w:fldChar w:fldCharType="begin"/>
      </w:r>
      <w:r>
        <w:instrText xml:space="preserve"> PAGEREF SENTENCIA_2002_50 \h </w:instrText>
      </w:r>
      <w:r>
        <w:fldChar w:fldCharType="separate"/>
      </w:r>
      <w:r w:rsidR="00CE7DF5">
        <w:rPr>
          <w:noProof/>
        </w:rPr>
        <w:t>702</w:t>
      </w:r>
      <w:r>
        <w:fldChar w:fldCharType="end"/>
      </w:r>
    </w:p>
    <w:p w:rsidR="00795BAF" w:rsidRDefault="00795BAF" w:rsidP="00795BAF"/>
    <w:p w:rsidR="00795BAF" w:rsidRDefault="00795BAF" w:rsidP="00795BAF">
      <w:pPr>
        <w:pStyle w:val="EntradandiceSentencia"/>
      </w:pPr>
      <w:r>
        <w:t>Sala Segunda. Sentencia 51/2002,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1789/1999. </w:t>
      </w:r>
      <w:r w:rsidRPr="00795BAF">
        <w:rPr>
          <w:rStyle w:val="TextoNormalCursivaCaracter"/>
        </w:rPr>
        <w:t xml:space="preserve"> Alegada vulneración del derecho a un proceso sin dilaciones, y vulneración del derecho al juez imparcial: Magistrado que se abstuvo, con anuencia de la Sala de Gobierno, pero que luego interviene en la causa al resolver el recurso de apelación.</w:t>
      </w:r>
      <w:r>
        <w:tab/>
      </w:r>
      <w:r>
        <w:tab/>
      </w:r>
      <w:r>
        <w:fldChar w:fldCharType="begin"/>
      </w:r>
      <w:r>
        <w:instrText xml:space="preserve"> PAGEREF SENTENCIA_2002_51 \h </w:instrText>
      </w:r>
      <w:r>
        <w:fldChar w:fldCharType="separate"/>
      </w:r>
      <w:r w:rsidR="00CE7DF5">
        <w:rPr>
          <w:noProof/>
        </w:rPr>
        <w:t>732</w:t>
      </w:r>
      <w:r>
        <w:fldChar w:fldCharType="end"/>
      </w:r>
    </w:p>
    <w:p w:rsidR="00795BAF" w:rsidRDefault="00795BAF" w:rsidP="00795BAF"/>
    <w:p w:rsidR="00795BAF" w:rsidRDefault="00795BAF" w:rsidP="00795BAF">
      <w:pPr>
        <w:pStyle w:val="EntradandiceSentencia"/>
      </w:pPr>
      <w:r>
        <w:t>Sala Segunda. Sentencia 52/2002, de 25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5056/1999. </w:t>
      </w:r>
      <w:r w:rsidRPr="00795BAF">
        <w:rPr>
          <w:rStyle w:val="TextoNormalCursivaCaracter"/>
        </w:rPr>
        <w:t xml:space="preserve"> Supuesta vulneración del derecho a la libre información: noticia sobre unas pesquisas policiales que menciona los antecedentes penales de un interesado, confundiéndolos con unos antecedentes policiales, y que eran irrelevantes.</w:t>
      </w:r>
      <w:r>
        <w:tab/>
      </w:r>
      <w:r>
        <w:tab/>
      </w:r>
      <w:r>
        <w:fldChar w:fldCharType="begin"/>
      </w:r>
      <w:r>
        <w:instrText xml:space="preserve"> PAGEREF SENTENCIA_2002_52 \h </w:instrText>
      </w:r>
      <w:r>
        <w:fldChar w:fldCharType="separate"/>
      </w:r>
      <w:r w:rsidR="00CE7DF5">
        <w:rPr>
          <w:noProof/>
        </w:rPr>
        <w:t>742</w:t>
      </w:r>
      <w:r>
        <w:fldChar w:fldCharType="end"/>
      </w:r>
    </w:p>
    <w:p w:rsidR="00795BAF" w:rsidRDefault="00795BAF" w:rsidP="00795BAF"/>
    <w:p w:rsidR="00795BAF" w:rsidRDefault="00795BAF" w:rsidP="00795BAF">
      <w:pPr>
        <w:pStyle w:val="EntradandiceSentencia"/>
      </w:pPr>
      <w:r>
        <w:t>Pleno. Sentencia 53/2002, de 27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inconstitucionalidad 2994/1994. </w:t>
      </w:r>
      <w:r w:rsidRPr="00795BAF">
        <w:rPr>
          <w:rStyle w:val="TextoNormalCursivaCaracter"/>
        </w:rPr>
        <w:t xml:space="preserve"> Supuesta vulneración del derecho a la libertad personal y de la reserva de ley orgánica: permanencia en frontera de quienes piden asilo, mientras se tramita la admisión a trámite. Votos particulares.</w:t>
      </w:r>
      <w:r>
        <w:tab/>
      </w:r>
      <w:r>
        <w:tab/>
      </w:r>
      <w:r>
        <w:fldChar w:fldCharType="begin"/>
      </w:r>
      <w:r>
        <w:instrText xml:space="preserve"> PAGEREF SENTENCIA_2002_53 \h </w:instrText>
      </w:r>
      <w:r>
        <w:fldChar w:fldCharType="separate"/>
      </w:r>
      <w:r w:rsidR="00CE7DF5">
        <w:rPr>
          <w:noProof/>
        </w:rPr>
        <w:t>764</w:t>
      </w:r>
      <w:r>
        <w:fldChar w:fldCharType="end"/>
      </w:r>
    </w:p>
    <w:p w:rsidR="00795BAF" w:rsidRDefault="00795BAF" w:rsidP="00795BAF"/>
    <w:p w:rsidR="00795BAF" w:rsidRDefault="00795BAF" w:rsidP="00795BAF">
      <w:pPr>
        <w:pStyle w:val="EntradandiceSentencia"/>
      </w:pPr>
      <w:r>
        <w:t>Pleno. Sentencia 54/2002, de 27 de febrero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inconstitucionalidad 3550/1998. </w:t>
      </w:r>
      <w:r w:rsidRPr="00795BAF">
        <w:rPr>
          <w:rStyle w:val="TextoNormalCursivaCaracter"/>
        </w:rPr>
        <w:t xml:space="preserve"> Competencias sobre urbanismo y derecho de propiedad: cesión del aprovechamiento urbanístico en suelo urbano consolidado (Sentencia 164/2001). Nulidad del precepto autonómico.</w:t>
      </w:r>
      <w:r>
        <w:tab/>
      </w:r>
      <w:r>
        <w:tab/>
      </w:r>
      <w:r>
        <w:fldChar w:fldCharType="begin"/>
      </w:r>
      <w:r>
        <w:instrText xml:space="preserve"> PAGEREF SENTENCIA_2002_54 \h </w:instrText>
      </w:r>
      <w:r>
        <w:fldChar w:fldCharType="separate"/>
      </w:r>
      <w:r w:rsidR="00CE7DF5">
        <w:rPr>
          <w:noProof/>
        </w:rPr>
        <w:t>788</w:t>
      </w:r>
      <w:r>
        <w:fldChar w:fldCharType="end"/>
      </w:r>
    </w:p>
    <w:p w:rsidR="00795BAF" w:rsidRDefault="00795BAF" w:rsidP="00795BAF"/>
    <w:p w:rsidR="00795BAF" w:rsidRDefault="00795BAF" w:rsidP="00795BAF">
      <w:pPr>
        <w:pStyle w:val="EntradandiceSentencia"/>
      </w:pPr>
      <w:r>
        <w:t>Sala Segunda. Sentencia 55/2002,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3502/1997. </w:t>
      </w:r>
      <w:r w:rsidRPr="00795BAF">
        <w:rPr>
          <w:rStyle w:val="TextoNormalCursivaCaracter"/>
        </w:rPr>
        <w:t xml:space="preserve"> Vulneración del derecho a la tutela judicial efectiva (inmodificabilidad de las resoluciones judiciales firmes): alteración de los intereses legales debidos por el Consorcio de Compensación de Seguros.</w:t>
      </w:r>
      <w:r>
        <w:tab/>
      </w:r>
      <w:r>
        <w:tab/>
      </w:r>
      <w:r>
        <w:fldChar w:fldCharType="begin"/>
      </w:r>
      <w:r>
        <w:instrText xml:space="preserve"> PAGEREF SENTENCIA_2002_55 \h </w:instrText>
      </w:r>
      <w:r>
        <w:fldChar w:fldCharType="separate"/>
      </w:r>
      <w:r w:rsidR="00CE7DF5">
        <w:rPr>
          <w:noProof/>
        </w:rPr>
        <w:t>800</w:t>
      </w:r>
      <w:r>
        <w:fldChar w:fldCharType="end"/>
      </w:r>
    </w:p>
    <w:p w:rsidR="00795BAF" w:rsidRDefault="00795BAF" w:rsidP="00795BAF"/>
    <w:p w:rsidR="00795BAF" w:rsidRDefault="00795BAF" w:rsidP="00795BAF">
      <w:pPr>
        <w:pStyle w:val="EntradandiceSentencia"/>
      </w:pPr>
      <w:r>
        <w:lastRenderedPageBreak/>
        <w:t>Sala Primera. Sentencia 56/2002,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1130/1998. </w:t>
      </w:r>
      <w:r w:rsidRPr="00795BAF">
        <w:rPr>
          <w:rStyle w:val="TextoNormalCursivaCaracter"/>
        </w:rPr>
        <w:t xml:space="preserve"> Vulneración del derecho a la tutela judicial efectiva (inmodificabilidad de las resoluciones judiciales firmes): titularidad de derechos fundamentales por entes públicos; sustitución de Sentencia por error informático.</w:t>
      </w:r>
      <w:r>
        <w:tab/>
      </w:r>
      <w:r>
        <w:tab/>
      </w:r>
      <w:r>
        <w:fldChar w:fldCharType="begin"/>
      </w:r>
      <w:r>
        <w:instrText xml:space="preserve"> PAGEREF SENTENCIA_2002_56 \h </w:instrText>
      </w:r>
      <w:r>
        <w:fldChar w:fldCharType="separate"/>
      </w:r>
      <w:r w:rsidR="00CE7DF5">
        <w:rPr>
          <w:noProof/>
        </w:rPr>
        <w:t>813</w:t>
      </w:r>
      <w:r>
        <w:fldChar w:fldCharType="end"/>
      </w:r>
    </w:p>
    <w:p w:rsidR="00795BAF" w:rsidRDefault="00795BAF" w:rsidP="00795BAF"/>
    <w:p w:rsidR="00795BAF" w:rsidRDefault="00795BAF" w:rsidP="00795BAF">
      <w:pPr>
        <w:pStyle w:val="EntradandiceSentencia"/>
      </w:pPr>
      <w:r>
        <w:t>Sala Segunda. Sentencia 57/2002,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2622/1998. </w:t>
      </w:r>
      <w:r w:rsidRPr="00795BAF">
        <w:rPr>
          <w:rStyle w:val="TextoNormalCursivaCaracter"/>
        </w:rPr>
        <w:t xml:space="preserve"> Supuesta vulneración de los derechos a la igualdad, un proceso con todas las garantías y la presunción de inocencia: condena fundada en la declaración de un coimputado, contrastada en el juicio oral y corroborada.</w:t>
      </w:r>
      <w:r>
        <w:tab/>
      </w:r>
      <w:r>
        <w:tab/>
      </w:r>
      <w:r>
        <w:fldChar w:fldCharType="begin"/>
      </w:r>
      <w:r>
        <w:instrText xml:space="preserve"> PAGEREF SENTENCIA_2002_57 \h </w:instrText>
      </w:r>
      <w:r>
        <w:fldChar w:fldCharType="separate"/>
      </w:r>
      <w:r w:rsidR="00CE7DF5">
        <w:rPr>
          <w:noProof/>
        </w:rPr>
        <w:t>821</w:t>
      </w:r>
      <w:r>
        <w:fldChar w:fldCharType="end"/>
      </w:r>
    </w:p>
    <w:p w:rsidR="00795BAF" w:rsidRDefault="00795BAF" w:rsidP="00795BAF"/>
    <w:p w:rsidR="00795BAF" w:rsidRDefault="00795BAF" w:rsidP="00795BAF">
      <w:pPr>
        <w:pStyle w:val="EntradandiceSentencia"/>
      </w:pPr>
      <w:r>
        <w:t>Sala Segunda. Sentencia 58/2002,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4177/1998. </w:t>
      </w:r>
      <w:r w:rsidRPr="00795BAF">
        <w:rPr>
          <w:rStyle w:val="TextoNormalCursivaCaracter"/>
        </w:rPr>
        <w:t xml:space="preserve"> Vulneración del derecho a la tutela judicial efectiva (acceso a la justicia): inadmisión de demanda por intentar la conciliación previa ante un órgano administrativo incompetente.</w:t>
      </w:r>
      <w:r>
        <w:tab/>
      </w:r>
      <w:r>
        <w:tab/>
      </w:r>
      <w:r>
        <w:fldChar w:fldCharType="begin"/>
      </w:r>
      <w:r>
        <w:instrText xml:space="preserve"> PAGEREF SENTENCIA_2002_58 \h </w:instrText>
      </w:r>
      <w:r>
        <w:fldChar w:fldCharType="separate"/>
      </w:r>
      <w:r w:rsidR="00CE7DF5">
        <w:rPr>
          <w:noProof/>
        </w:rPr>
        <w:t>833</w:t>
      </w:r>
      <w:r>
        <w:fldChar w:fldCharType="end"/>
      </w:r>
    </w:p>
    <w:p w:rsidR="00795BAF" w:rsidRDefault="00795BAF" w:rsidP="00795BAF"/>
    <w:p w:rsidR="00795BAF" w:rsidRDefault="00795BAF" w:rsidP="00795BAF">
      <w:pPr>
        <w:pStyle w:val="EntradandiceSentencia"/>
      </w:pPr>
      <w:r>
        <w:t>Sala Segunda. Sentencia 59/2002,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4411/1998. </w:t>
      </w:r>
      <w:r w:rsidRPr="00795BAF">
        <w:rPr>
          <w:rStyle w:val="TextoNormalCursivaCaracter"/>
        </w:rPr>
        <w:t xml:space="preserve"> Supuesta vulneración del derecho a la tutela judicial sin indefensión: emplazamiento y citaciones judiciales realizados con la debida diligencia; indicios de que la actora tuvo conocimiento del proceso.</w:t>
      </w:r>
      <w:r>
        <w:tab/>
      </w:r>
      <w:r>
        <w:tab/>
      </w:r>
      <w:r>
        <w:fldChar w:fldCharType="begin"/>
      </w:r>
      <w:r>
        <w:instrText xml:space="preserve"> PAGEREF SENTENCIA_2002_59 \h </w:instrText>
      </w:r>
      <w:r>
        <w:fldChar w:fldCharType="separate"/>
      </w:r>
      <w:r w:rsidR="00CE7DF5">
        <w:rPr>
          <w:noProof/>
        </w:rPr>
        <w:t>841</w:t>
      </w:r>
      <w:r>
        <w:fldChar w:fldCharType="end"/>
      </w:r>
    </w:p>
    <w:p w:rsidR="00795BAF" w:rsidRDefault="00795BAF" w:rsidP="00795BAF"/>
    <w:p w:rsidR="00795BAF" w:rsidRDefault="00795BAF" w:rsidP="00795BAF">
      <w:pPr>
        <w:pStyle w:val="EntradandiceSentencia"/>
      </w:pPr>
      <w:r>
        <w:t>Sala Primera. Sentencia 60/2002,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5208/1998. </w:t>
      </w:r>
      <w:r w:rsidRPr="00795BAF">
        <w:rPr>
          <w:rStyle w:val="TextoNormalCursivaCaracter"/>
        </w:rPr>
        <w:t xml:space="preserve"> Supuesta vulneración del derecho a la tutela judicial efectiva (acceso a la justicia y al recurso legal): inadmisión de demanda contra acto administrativo que reproduce un acto anterior firme y consentido; cuantía del recurso de casación.</w:t>
      </w:r>
      <w:r>
        <w:tab/>
      </w:r>
      <w:r>
        <w:tab/>
      </w:r>
      <w:r>
        <w:fldChar w:fldCharType="begin"/>
      </w:r>
      <w:r>
        <w:instrText xml:space="preserve"> PAGEREF SENTENCIA_2002_60 \h </w:instrText>
      </w:r>
      <w:r>
        <w:fldChar w:fldCharType="separate"/>
      </w:r>
      <w:r w:rsidR="00CE7DF5">
        <w:rPr>
          <w:noProof/>
        </w:rPr>
        <w:t>852</w:t>
      </w:r>
      <w:r>
        <w:fldChar w:fldCharType="end"/>
      </w:r>
    </w:p>
    <w:p w:rsidR="00795BAF" w:rsidRDefault="00795BAF" w:rsidP="00795BAF"/>
    <w:p w:rsidR="00795BAF" w:rsidRDefault="00795BAF" w:rsidP="00795BAF">
      <w:pPr>
        <w:pStyle w:val="EntradandiceSentencia"/>
      </w:pPr>
      <w:r>
        <w:t>Sala Primera. Sentencia 61/2002,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111/1999. </w:t>
      </w:r>
      <w:r w:rsidRPr="00795BAF">
        <w:rPr>
          <w:rStyle w:val="TextoNormalCursivaCaracter"/>
        </w:rPr>
        <w:t xml:space="preserve"> Vulneración del derecho a la tutela judicial efectiva sin indefensión y a un proceso con todas las garantías: imposibilidad de acreditar las cotizaciones a la Seguridad Social (STC 227/1991).</w:t>
      </w:r>
      <w:r>
        <w:tab/>
      </w:r>
      <w:r>
        <w:tab/>
      </w:r>
      <w:r>
        <w:fldChar w:fldCharType="begin"/>
      </w:r>
      <w:r>
        <w:instrText xml:space="preserve"> PAGEREF SENTENCIA_2002_61 \h </w:instrText>
      </w:r>
      <w:r>
        <w:fldChar w:fldCharType="separate"/>
      </w:r>
      <w:r w:rsidR="00CE7DF5">
        <w:rPr>
          <w:noProof/>
        </w:rPr>
        <w:t>860</w:t>
      </w:r>
      <w:r>
        <w:fldChar w:fldCharType="end"/>
      </w:r>
    </w:p>
    <w:p w:rsidR="00795BAF" w:rsidRDefault="00795BAF" w:rsidP="00795BAF"/>
    <w:p w:rsidR="00795BAF" w:rsidRDefault="00795BAF" w:rsidP="00795BAF">
      <w:pPr>
        <w:pStyle w:val="EntradandiceSentencia"/>
      </w:pPr>
      <w:r>
        <w:lastRenderedPageBreak/>
        <w:t>Sala Primera. Sentencia 62/2002,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2387/1999. </w:t>
      </w:r>
      <w:r w:rsidRPr="00795BAF">
        <w:rPr>
          <w:rStyle w:val="TextoNormalCursivaCaracter"/>
        </w:rPr>
        <w:t xml:space="preserve"> Vulneración del derecho a la tutela judicial efectiva (acceso al recurso legal): inadmisión rigorista y desproporcionada de recurso de reposición por no citar el precepto infringido.</w:t>
      </w:r>
      <w:r>
        <w:tab/>
      </w:r>
      <w:r>
        <w:tab/>
      </w:r>
      <w:r>
        <w:fldChar w:fldCharType="begin"/>
      </w:r>
      <w:r>
        <w:instrText xml:space="preserve"> PAGEREF SENTENCIA_2002_62 \h </w:instrText>
      </w:r>
      <w:r>
        <w:fldChar w:fldCharType="separate"/>
      </w:r>
      <w:r w:rsidR="00CE7DF5">
        <w:rPr>
          <w:noProof/>
        </w:rPr>
        <w:t>872</w:t>
      </w:r>
      <w:r>
        <w:fldChar w:fldCharType="end"/>
      </w:r>
    </w:p>
    <w:p w:rsidR="00795BAF" w:rsidRDefault="00795BAF" w:rsidP="00795BAF"/>
    <w:p w:rsidR="00795BAF" w:rsidRDefault="00795BAF" w:rsidP="00795BAF">
      <w:pPr>
        <w:pStyle w:val="EntradandiceSentencia"/>
      </w:pPr>
      <w:r>
        <w:t>Sala Primera. Sentencia 63/2002,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4185/1999. </w:t>
      </w:r>
      <w:r w:rsidRPr="00795BAF">
        <w:rPr>
          <w:rStyle w:val="TextoNormalCursivaCaracter"/>
        </w:rPr>
        <w:t xml:space="preserve"> Vulneración del derecho a la tutela judicial efectiva (acción penal): titularidad de derechos fundamentales por las corporaciones de Derecho público; sobreseimiento de una causa por falsedad electoral tras la anulación de las elecciones en sede contencioso-administrativa.</w:t>
      </w:r>
      <w:r>
        <w:tab/>
      </w:r>
      <w:r>
        <w:tab/>
      </w:r>
      <w:r>
        <w:fldChar w:fldCharType="begin"/>
      </w:r>
      <w:r>
        <w:instrText xml:space="preserve"> PAGEREF SENTENCIA_2002_63 \h </w:instrText>
      </w:r>
      <w:r>
        <w:fldChar w:fldCharType="separate"/>
      </w:r>
      <w:r w:rsidR="00CE7DF5">
        <w:rPr>
          <w:noProof/>
        </w:rPr>
        <w:t>882</w:t>
      </w:r>
      <w:r>
        <w:fldChar w:fldCharType="end"/>
      </w:r>
    </w:p>
    <w:p w:rsidR="00795BAF" w:rsidRDefault="00795BAF" w:rsidP="00795BAF"/>
    <w:p w:rsidR="00795BAF" w:rsidRDefault="00795BAF" w:rsidP="00795BAF">
      <w:pPr>
        <w:pStyle w:val="EntradandiceSentencia"/>
      </w:pPr>
      <w:r>
        <w:t>Sala Segunda. Sentencia 64/2002,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3019-2000. </w:t>
      </w:r>
      <w:r w:rsidRPr="00795BAF">
        <w:rPr>
          <w:rStyle w:val="TextoNormalCursivaCaracter"/>
        </w:rPr>
        <w:t xml:space="preserve"> Supuesta vulneración del derecho a acceder en condiciones de igualdad a los cargos públicos: respaldo electoral de las distintas formaciones políticas cuyos Diputados forman un grupo parlamentario.</w:t>
      </w:r>
      <w:r>
        <w:tab/>
      </w:r>
      <w:r>
        <w:tab/>
      </w:r>
      <w:r>
        <w:fldChar w:fldCharType="begin"/>
      </w:r>
      <w:r>
        <w:instrText xml:space="preserve"> PAGEREF SENTENCIA_2002_64 \h </w:instrText>
      </w:r>
      <w:r>
        <w:fldChar w:fldCharType="separate"/>
      </w:r>
      <w:r w:rsidR="00CE7DF5">
        <w:rPr>
          <w:noProof/>
        </w:rPr>
        <w:t>892</w:t>
      </w:r>
      <w:r>
        <w:fldChar w:fldCharType="end"/>
      </w:r>
    </w:p>
    <w:p w:rsidR="00795BAF" w:rsidRDefault="00795BAF" w:rsidP="00795BAF"/>
    <w:p w:rsidR="00795BAF" w:rsidRDefault="00795BAF" w:rsidP="00795BAF">
      <w:pPr>
        <w:pStyle w:val="EntradandiceSentencia"/>
      </w:pPr>
      <w:r>
        <w:t>Sala Primera. Sentencia 65/2002, de 11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3400-2000. </w:t>
      </w:r>
      <w:r w:rsidRPr="00795BAF">
        <w:rPr>
          <w:rStyle w:val="TextoNormalCursivaCaracter"/>
        </w:rPr>
        <w:t xml:space="preserve"> Vulneración del derecho a la tutela judicial efectiva: acceso al recurso frente a resoluciones de los Juzgados de Vigilancia Penitenciaria por parte de reclusos sin asistencia letrada (STC 128/1998).</w:t>
      </w:r>
      <w:r>
        <w:tab/>
      </w:r>
      <w:r>
        <w:tab/>
      </w:r>
      <w:r>
        <w:fldChar w:fldCharType="begin"/>
      </w:r>
      <w:r>
        <w:instrText xml:space="preserve"> PAGEREF SENTENCIA_2002_65 \h </w:instrText>
      </w:r>
      <w:r>
        <w:fldChar w:fldCharType="separate"/>
      </w:r>
      <w:r w:rsidR="00CE7DF5">
        <w:rPr>
          <w:noProof/>
        </w:rPr>
        <w:t>918</w:t>
      </w:r>
      <w:r>
        <w:fldChar w:fldCharType="end"/>
      </w:r>
    </w:p>
    <w:p w:rsidR="00795BAF" w:rsidRDefault="00795BAF" w:rsidP="00795BAF"/>
    <w:p w:rsidR="00795BAF" w:rsidRDefault="00795BAF" w:rsidP="00795BAF">
      <w:pPr>
        <w:pStyle w:val="EntradandiceSentencia"/>
      </w:pPr>
      <w:r>
        <w:t>Sala Primera. Sentencia 66/2002, de 21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2331/1998. </w:t>
      </w:r>
      <w:r w:rsidRPr="00795BAF">
        <w:rPr>
          <w:rStyle w:val="TextoNormalCursivaCaracter"/>
        </w:rPr>
        <w:t xml:space="preserve"> Vulneración del derecho de huelga: despido de trabajadores y contratación de eventuales con ocasión de convocatorias de huelga.</w:t>
      </w:r>
      <w:r>
        <w:tab/>
      </w:r>
      <w:r>
        <w:tab/>
      </w:r>
      <w:r>
        <w:fldChar w:fldCharType="begin"/>
      </w:r>
      <w:r>
        <w:instrText xml:space="preserve"> PAGEREF SENTENCIA_2002_66 \h </w:instrText>
      </w:r>
      <w:r>
        <w:fldChar w:fldCharType="separate"/>
      </w:r>
      <w:r w:rsidR="00CE7DF5">
        <w:rPr>
          <w:noProof/>
        </w:rPr>
        <w:t>925</w:t>
      </w:r>
      <w:r>
        <w:fldChar w:fldCharType="end"/>
      </w:r>
    </w:p>
    <w:p w:rsidR="00795BAF" w:rsidRDefault="00795BAF" w:rsidP="00795BAF"/>
    <w:p w:rsidR="00795BAF" w:rsidRDefault="00795BAF" w:rsidP="00795BAF">
      <w:pPr>
        <w:pStyle w:val="EntradandiceSentencia"/>
      </w:pPr>
      <w:r>
        <w:t>Pleno. Sentencia 67/2002, de 21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Cuestión de inconstitucionalidad 4170/1998. </w:t>
      </w:r>
      <w:r w:rsidRPr="00795BAF">
        <w:rPr>
          <w:rStyle w:val="TextoNormalCursivaCaracter"/>
        </w:rPr>
        <w:t xml:space="preserve"> Límites constitucionales al contenido material de las leyes de presupuestos. Validez del precepto. Voto particular.</w:t>
      </w:r>
      <w:r>
        <w:tab/>
      </w:r>
      <w:r>
        <w:tab/>
      </w:r>
      <w:r>
        <w:fldChar w:fldCharType="begin"/>
      </w:r>
      <w:r>
        <w:instrText xml:space="preserve"> PAGEREF SENTENCIA_2002_67 \h </w:instrText>
      </w:r>
      <w:r>
        <w:fldChar w:fldCharType="separate"/>
      </w:r>
      <w:r w:rsidR="00CE7DF5">
        <w:rPr>
          <w:noProof/>
        </w:rPr>
        <w:t>941</w:t>
      </w:r>
      <w:r>
        <w:fldChar w:fldCharType="end"/>
      </w:r>
    </w:p>
    <w:p w:rsidR="00795BAF" w:rsidRDefault="00795BAF" w:rsidP="00795BAF"/>
    <w:p w:rsidR="00795BAF" w:rsidRDefault="00795BAF" w:rsidP="00795BAF">
      <w:pPr>
        <w:pStyle w:val="EntradandiceSentencia"/>
      </w:pPr>
      <w:r>
        <w:lastRenderedPageBreak/>
        <w:t>Sala Segunda. Sentencia 68/2002, de 21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3147-2000. </w:t>
      </w:r>
      <w:r w:rsidRPr="00795BAF">
        <w:rPr>
          <w:rStyle w:val="TextoNormalCursivaCaracter"/>
        </w:rPr>
        <w:t xml:space="preserve"> Supuesta vulneración del derecho a la tutela judicial (motivación e indefensión), y vulneración del derecho a la presunción de inocencia: condena fundada en declaraciones de coimputados no corroboradas, y testimonio de referencia no avalado.</w:t>
      </w:r>
      <w:r>
        <w:tab/>
      </w:r>
      <w:r>
        <w:tab/>
      </w:r>
      <w:r>
        <w:fldChar w:fldCharType="begin"/>
      </w:r>
      <w:r>
        <w:instrText xml:space="preserve"> PAGEREF SENTENCIA_2002_68 \h </w:instrText>
      </w:r>
      <w:r>
        <w:fldChar w:fldCharType="separate"/>
      </w:r>
      <w:r w:rsidR="00CE7DF5">
        <w:rPr>
          <w:noProof/>
        </w:rPr>
        <w:t>957</w:t>
      </w:r>
      <w:r>
        <w:fldChar w:fldCharType="end"/>
      </w:r>
    </w:p>
    <w:p w:rsidR="00795BAF" w:rsidRDefault="00795BAF" w:rsidP="00795BAF"/>
    <w:p w:rsidR="00795BAF" w:rsidRDefault="00795BAF" w:rsidP="00795BAF">
      <w:pPr>
        <w:pStyle w:val="EntradandiceSentencia"/>
      </w:pPr>
      <w:r>
        <w:t>Sala Primera. Sentencia 69/2002, de 21 de marzo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3746/1999. </w:t>
      </w:r>
      <w:r w:rsidRPr="00795BAF">
        <w:rPr>
          <w:rStyle w:val="TextoNormalCursivaCaracter"/>
        </w:rPr>
        <w:t xml:space="preserve"> Supuesta vulneración del derecho a la igualdad: STC 239/2001.</w:t>
      </w:r>
      <w:r>
        <w:tab/>
      </w:r>
      <w:r>
        <w:tab/>
      </w:r>
      <w:r>
        <w:fldChar w:fldCharType="begin"/>
      </w:r>
      <w:r>
        <w:instrText xml:space="preserve"> PAGEREF SENTENCIA_2002_69 \h </w:instrText>
      </w:r>
      <w:r>
        <w:fldChar w:fldCharType="separate"/>
      </w:r>
      <w:r w:rsidR="00CE7DF5">
        <w:rPr>
          <w:noProof/>
        </w:rPr>
        <w:t>975</w:t>
      </w:r>
      <w:r>
        <w:fldChar w:fldCharType="end"/>
      </w:r>
    </w:p>
    <w:p w:rsidR="00795BAF" w:rsidRDefault="00795BAF" w:rsidP="00795BAF"/>
    <w:p w:rsidR="00795BAF" w:rsidRDefault="00795BAF" w:rsidP="00795BAF">
      <w:pPr>
        <w:pStyle w:val="EntradandiceSentencia"/>
      </w:pPr>
      <w:r>
        <w:t>Sala Primera. Sentencia 70/2002, de 3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3787-2001. </w:t>
      </w:r>
      <w:r w:rsidRPr="00795BAF">
        <w:rPr>
          <w:rStyle w:val="TextoNormalCursivaCaracter"/>
        </w:rPr>
        <w:t xml:space="preserve"> Supuesta vulneración de los derechos a la tutela judicial efectiva (recurso penal), al secreto de las comunicaciones y a la intimidad personal, a la presunción de inocencia, a un proceso con todas las garantías, a la asistencia letrada y a la prueba: el recurso de casación español permite revisar adecuadamente los fallos penales;  intervención de una carta en poder de un detenido por la policía, sin autorización judicial; declaraciones de coimputados que son prueba de cargo válida; asistencia letrada a detenidos, momento de la imputación y preguntas impertinentes.</w:t>
      </w:r>
      <w:r>
        <w:tab/>
      </w:r>
      <w:r>
        <w:tab/>
      </w:r>
      <w:r>
        <w:fldChar w:fldCharType="begin"/>
      </w:r>
      <w:r>
        <w:instrText xml:space="preserve"> PAGEREF SENTENCIA_2002_70 \h </w:instrText>
      </w:r>
      <w:r>
        <w:fldChar w:fldCharType="separate"/>
      </w:r>
      <w:r w:rsidR="00CE7DF5">
        <w:rPr>
          <w:noProof/>
        </w:rPr>
        <w:t>987</w:t>
      </w:r>
      <w:r>
        <w:fldChar w:fldCharType="end"/>
      </w:r>
    </w:p>
    <w:p w:rsidR="00795BAF" w:rsidRDefault="00795BAF" w:rsidP="00795BAF"/>
    <w:p w:rsidR="00795BAF" w:rsidRDefault="00795BAF" w:rsidP="00795BAF">
      <w:pPr>
        <w:pStyle w:val="EntradandiceSentencia"/>
      </w:pPr>
      <w:r>
        <w:t>Sala Segunda. Sentencia 71/2002,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2675/1997. </w:t>
      </w:r>
      <w:r w:rsidRPr="00795BAF">
        <w:rPr>
          <w:rStyle w:val="TextoNormalCursivaCaracter"/>
        </w:rPr>
        <w:t xml:space="preserve"> Supuesta vulneración del derecho a la tutela judicial efectiva (acceso al recurso legal): inadmisión de recurso de suplicación por falta de indicación del precepto procesal en que se fundaba.  Voto particular.</w:t>
      </w:r>
      <w:r>
        <w:tab/>
      </w:r>
      <w:r>
        <w:tab/>
      </w:r>
      <w:r>
        <w:fldChar w:fldCharType="begin"/>
      </w:r>
      <w:r>
        <w:instrText xml:space="preserve"> PAGEREF SENTENCIA_2002_71 \h </w:instrText>
      </w:r>
      <w:r>
        <w:fldChar w:fldCharType="separate"/>
      </w:r>
      <w:r w:rsidR="00CE7DF5">
        <w:rPr>
          <w:noProof/>
        </w:rPr>
        <w:t>1010</w:t>
      </w:r>
      <w:r>
        <w:fldChar w:fldCharType="end"/>
      </w:r>
    </w:p>
    <w:p w:rsidR="00795BAF" w:rsidRDefault="00795BAF" w:rsidP="00795BAF"/>
    <w:p w:rsidR="00795BAF" w:rsidRDefault="00795BAF" w:rsidP="00795BAF">
      <w:pPr>
        <w:pStyle w:val="EntradandiceSentencia"/>
      </w:pPr>
      <w:r>
        <w:t>Sala Segunda. Sentencia 72/2002,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3544/1997. </w:t>
      </w:r>
      <w:r w:rsidRPr="00795BAF">
        <w:rPr>
          <w:rStyle w:val="TextoNormalCursivaCaracter"/>
        </w:rPr>
        <w:t xml:space="preserve"> Vulneración del derecho a la tutela judicial efectiva (acceso a la justicia): demanda que acumula un recurso de amparo judicial y un recurso ordinario.</w:t>
      </w:r>
      <w:r>
        <w:tab/>
      </w:r>
      <w:r>
        <w:tab/>
      </w:r>
      <w:r>
        <w:fldChar w:fldCharType="begin"/>
      </w:r>
      <w:r>
        <w:instrText xml:space="preserve"> PAGEREF SENTENCIA_2002_72 \h </w:instrText>
      </w:r>
      <w:r>
        <w:fldChar w:fldCharType="separate"/>
      </w:r>
      <w:r w:rsidR="00CE7DF5">
        <w:rPr>
          <w:noProof/>
        </w:rPr>
        <w:t>1024</w:t>
      </w:r>
      <w:r>
        <w:fldChar w:fldCharType="end"/>
      </w:r>
    </w:p>
    <w:p w:rsidR="00795BAF" w:rsidRDefault="00795BAF" w:rsidP="00795BAF"/>
    <w:p w:rsidR="00795BAF" w:rsidRDefault="00795BAF" w:rsidP="00795BAF">
      <w:pPr>
        <w:pStyle w:val="EntradandiceSentencia"/>
      </w:pPr>
      <w:r>
        <w:lastRenderedPageBreak/>
        <w:t>Sala Primera. Sentencia 73/2002,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4141/1997. </w:t>
      </w:r>
      <w:r w:rsidRPr="00795BAF">
        <w:rPr>
          <w:rStyle w:val="TextoNormalCursivaCaracter"/>
        </w:rPr>
        <w:t xml:space="preserve"> Supuesta vulneración del derecho a la tutela judicial efectiva (acceso al proceso): denegación de personación en un proceso civil que no causa indefensión.</w:t>
      </w:r>
      <w:r>
        <w:tab/>
      </w:r>
      <w:r>
        <w:tab/>
      </w:r>
      <w:r>
        <w:fldChar w:fldCharType="begin"/>
      </w:r>
      <w:r>
        <w:instrText xml:space="preserve"> PAGEREF SENTENCIA_2002_73 \h </w:instrText>
      </w:r>
      <w:r>
        <w:fldChar w:fldCharType="separate"/>
      </w:r>
      <w:r w:rsidR="00CE7DF5">
        <w:rPr>
          <w:noProof/>
        </w:rPr>
        <w:t>1031</w:t>
      </w:r>
      <w:r>
        <w:fldChar w:fldCharType="end"/>
      </w:r>
    </w:p>
    <w:p w:rsidR="00795BAF" w:rsidRDefault="00795BAF" w:rsidP="00795BAF"/>
    <w:p w:rsidR="00795BAF" w:rsidRDefault="00795BAF" w:rsidP="00795BAF">
      <w:pPr>
        <w:pStyle w:val="EntradandiceSentencia"/>
      </w:pPr>
      <w:r>
        <w:t>Sala Primera. Sentencia 74/2002,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5262/1997. </w:t>
      </w:r>
      <w:r w:rsidRPr="00795BAF">
        <w:rPr>
          <w:rStyle w:val="TextoNormalCursivaCaracter"/>
        </w:rPr>
        <w:t xml:space="preserve"> Vulneración del derecho a la igualdad en la aplicación de la ley: Sentencia de apelación civil con un fallo diferente a otras dictadas en supuestos idénticos sin justificación.</w:t>
      </w:r>
      <w:r>
        <w:tab/>
      </w:r>
      <w:r>
        <w:tab/>
      </w:r>
      <w:r>
        <w:fldChar w:fldCharType="begin"/>
      </w:r>
      <w:r>
        <w:instrText xml:space="preserve"> PAGEREF SENTENCIA_2002_74 \h </w:instrText>
      </w:r>
      <w:r>
        <w:fldChar w:fldCharType="separate"/>
      </w:r>
      <w:r w:rsidR="00CE7DF5">
        <w:rPr>
          <w:noProof/>
        </w:rPr>
        <w:t>1043</w:t>
      </w:r>
      <w:r>
        <w:fldChar w:fldCharType="end"/>
      </w:r>
    </w:p>
    <w:p w:rsidR="00795BAF" w:rsidRDefault="00795BAF" w:rsidP="00795BAF"/>
    <w:p w:rsidR="00795BAF" w:rsidRDefault="00795BAF" w:rsidP="00795BAF">
      <w:pPr>
        <w:pStyle w:val="EntradandiceSentencia"/>
      </w:pPr>
      <w:r>
        <w:t>Sala Primera. Sentencia 75/2002,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2956/1998. </w:t>
      </w:r>
      <w:r w:rsidRPr="00795BAF">
        <w:rPr>
          <w:rStyle w:val="TextoNormalCursivaCaracter"/>
        </w:rPr>
        <w:t xml:space="preserve"> Supuesta vulneración del derecho a la legalidad penal: la supresión del delito monetario por vigencia del Derecho comunitario no impide sanciones administrativas.</w:t>
      </w:r>
      <w:r>
        <w:tab/>
      </w:r>
      <w:r>
        <w:tab/>
      </w:r>
      <w:r>
        <w:fldChar w:fldCharType="begin"/>
      </w:r>
      <w:r>
        <w:instrText xml:space="preserve"> PAGEREF SENTENCIA_2002_75 \h </w:instrText>
      </w:r>
      <w:r>
        <w:fldChar w:fldCharType="separate"/>
      </w:r>
      <w:r w:rsidR="00CE7DF5">
        <w:rPr>
          <w:noProof/>
        </w:rPr>
        <w:t>1059</w:t>
      </w:r>
      <w:r>
        <w:fldChar w:fldCharType="end"/>
      </w:r>
    </w:p>
    <w:p w:rsidR="00795BAF" w:rsidRDefault="00795BAF" w:rsidP="00795BAF"/>
    <w:p w:rsidR="00795BAF" w:rsidRDefault="00795BAF" w:rsidP="00795BAF">
      <w:pPr>
        <w:pStyle w:val="EntradandiceSentencia"/>
      </w:pPr>
      <w:r>
        <w:t>Sala Segunda. Sentencia 76/2002,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3830/1998. </w:t>
      </w:r>
      <w:r w:rsidRPr="00795BAF">
        <w:rPr>
          <w:rStyle w:val="TextoNormalCursivaCaracter"/>
        </w:rPr>
        <w:t xml:space="preserve"> Vulneración del derecho a la libre información: noticia sobre un crimen, que menciona verazmente las sospechas de los familiares de la víctima, y cuyo error sobre los antecedentes penales del interesado fue rectificado.</w:t>
      </w:r>
      <w:r>
        <w:tab/>
      </w:r>
      <w:r>
        <w:tab/>
      </w:r>
      <w:r>
        <w:fldChar w:fldCharType="begin"/>
      </w:r>
      <w:r>
        <w:instrText xml:space="preserve"> PAGEREF SENTENCIA_2002_76 \h </w:instrText>
      </w:r>
      <w:r>
        <w:fldChar w:fldCharType="separate"/>
      </w:r>
      <w:r w:rsidR="00CE7DF5">
        <w:rPr>
          <w:noProof/>
        </w:rPr>
        <w:t>1068</w:t>
      </w:r>
      <w:r>
        <w:fldChar w:fldCharType="end"/>
      </w:r>
    </w:p>
    <w:p w:rsidR="00795BAF" w:rsidRDefault="00795BAF" w:rsidP="00795BAF"/>
    <w:p w:rsidR="00795BAF" w:rsidRDefault="00795BAF" w:rsidP="00795BAF">
      <w:pPr>
        <w:pStyle w:val="EntradandiceSentencia"/>
      </w:pPr>
      <w:r>
        <w:t>Sala Segunda. Sentencia 77/2002,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4643/1998. </w:t>
      </w:r>
      <w:r w:rsidRPr="00795BAF">
        <w:rPr>
          <w:rStyle w:val="TextoNormalCursivaCaracter"/>
        </w:rPr>
        <w:t xml:space="preserve"> Supuesta vulneración del derecho a la tutela judicial efectiva (acceso a la justicia): caducidad de la acción civil de protección del derecho al honor y la intimidad, una vez agotada la vía penal.</w:t>
      </w:r>
      <w:r>
        <w:tab/>
      </w:r>
      <w:r>
        <w:tab/>
      </w:r>
      <w:r>
        <w:fldChar w:fldCharType="begin"/>
      </w:r>
      <w:r>
        <w:instrText xml:space="preserve"> PAGEREF SENTENCIA_2002_77 \h </w:instrText>
      </w:r>
      <w:r>
        <w:fldChar w:fldCharType="separate"/>
      </w:r>
      <w:r w:rsidR="00CE7DF5">
        <w:rPr>
          <w:noProof/>
        </w:rPr>
        <w:t>1080</w:t>
      </w:r>
      <w:r>
        <w:fldChar w:fldCharType="end"/>
      </w:r>
    </w:p>
    <w:p w:rsidR="00795BAF" w:rsidRDefault="00795BAF" w:rsidP="00795BAF"/>
    <w:p w:rsidR="00795BAF" w:rsidRDefault="00795BAF" w:rsidP="00795BAF">
      <w:pPr>
        <w:pStyle w:val="EntradandiceSentencia"/>
      </w:pPr>
      <w:r>
        <w:t>Sala Segunda. Sentencia 78/2002,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1041/1999. </w:t>
      </w:r>
      <w:r w:rsidRPr="00795BAF">
        <w:rPr>
          <w:rStyle w:val="TextoNormalCursivaCaracter"/>
        </w:rPr>
        <w:t xml:space="preserve"> Vulneración del derecho a la tutela judicial efectiva (acceso al recurso legal): inadmisión de recurso de casación civil por razón de la cuantía que incurre en error patente.</w:t>
      </w:r>
      <w:r>
        <w:tab/>
      </w:r>
      <w:r>
        <w:tab/>
      </w:r>
      <w:r>
        <w:fldChar w:fldCharType="begin"/>
      </w:r>
      <w:r>
        <w:instrText xml:space="preserve"> PAGEREF SENTENCIA_2002_78 \h </w:instrText>
      </w:r>
      <w:r>
        <w:fldChar w:fldCharType="separate"/>
      </w:r>
      <w:r w:rsidR="00CE7DF5">
        <w:rPr>
          <w:noProof/>
        </w:rPr>
        <w:t>1095</w:t>
      </w:r>
      <w:r>
        <w:fldChar w:fldCharType="end"/>
      </w:r>
    </w:p>
    <w:p w:rsidR="00795BAF" w:rsidRDefault="00795BAF" w:rsidP="00795BAF"/>
    <w:p w:rsidR="00795BAF" w:rsidRDefault="00795BAF" w:rsidP="00795BAF">
      <w:pPr>
        <w:pStyle w:val="EntradandiceSentencia"/>
      </w:pPr>
      <w:r>
        <w:lastRenderedPageBreak/>
        <w:t>Sala Primera. Sentencia 79/2002,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4839/1999. </w:t>
      </w:r>
      <w:r w:rsidRPr="00795BAF">
        <w:rPr>
          <w:rStyle w:val="TextoNormalCursivaCaracter"/>
        </w:rPr>
        <w:t xml:space="preserve"> Supuesta vulneración de los derechos a un proceso con garantías y a la libertad de expresión en el ejercicio de la defensa letrada: sanción de disciplina procesal a una Abogada, por intentar escribir en el acta su disconformidad, que no causa indefensión y que está justificada. Voto particular.</w:t>
      </w:r>
      <w:r>
        <w:tab/>
      </w:r>
      <w:r>
        <w:tab/>
      </w:r>
      <w:r>
        <w:fldChar w:fldCharType="begin"/>
      </w:r>
      <w:r>
        <w:instrText xml:space="preserve"> PAGEREF SENTENCIA_2002_79 \h </w:instrText>
      </w:r>
      <w:r>
        <w:fldChar w:fldCharType="separate"/>
      </w:r>
      <w:r w:rsidR="00CE7DF5">
        <w:rPr>
          <w:noProof/>
        </w:rPr>
        <w:t>1104</w:t>
      </w:r>
      <w:r>
        <w:fldChar w:fldCharType="end"/>
      </w:r>
    </w:p>
    <w:p w:rsidR="00795BAF" w:rsidRDefault="00795BAF" w:rsidP="00795BAF"/>
    <w:p w:rsidR="00795BAF" w:rsidRDefault="00795BAF" w:rsidP="00795BAF">
      <w:pPr>
        <w:pStyle w:val="EntradandiceSentencia"/>
      </w:pPr>
      <w:r>
        <w:t>Sala Primera. Sentencia 80/2002, de 8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1473-2001. </w:t>
      </w:r>
      <w:r w:rsidRPr="00795BAF">
        <w:rPr>
          <w:rStyle w:val="TextoNormalCursivaCaracter"/>
        </w:rPr>
        <w:t xml:space="preserve"> Supuesta vulneración de los derechos a la tutela judicial efectiva (acceso a la justicia) y de acceso a los cargos públicos: inadmisión de demanda que pretendía corregir un error material fuera de los plazos fijados por la legislación electoral; error en la transcripción informática de las votaciones que no puede ser corregido fuera de los plazos legales.</w:t>
      </w:r>
      <w:r>
        <w:tab/>
      </w:r>
      <w:r>
        <w:tab/>
      </w:r>
      <w:r>
        <w:fldChar w:fldCharType="begin"/>
      </w:r>
      <w:r>
        <w:instrText xml:space="preserve"> PAGEREF SENTENCIA_2002_80 \h </w:instrText>
      </w:r>
      <w:r>
        <w:fldChar w:fldCharType="separate"/>
      </w:r>
      <w:r w:rsidR="00CE7DF5">
        <w:rPr>
          <w:noProof/>
        </w:rPr>
        <w:t>1121</w:t>
      </w:r>
      <w:r>
        <w:fldChar w:fldCharType="end"/>
      </w:r>
    </w:p>
    <w:p w:rsidR="00795BAF" w:rsidRDefault="00795BAF" w:rsidP="00795BAF"/>
    <w:p w:rsidR="00795BAF" w:rsidRDefault="00795BAF" w:rsidP="00795BAF">
      <w:pPr>
        <w:pStyle w:val="EntradandiceSentencia"/>
      </w:pPr>
      <w:r>
        <w:t>Sala Segunda. Sentencia 81/2002,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4397/1997. </w:t>
      </w:r>
      <w:r w:rsidRPr="00795BAF">
        <w:rPr>
          <w:rStyle w:val="TextoNormalCursivaCaracter"/>
        </w:rPr>
        <w:t xml:space="preserve"> Vulneración del derecho a la tutela judicial sin indefensión: Sentencia de apelación penal que falla sin que el Tribunal hubiera resuelto la solicitud de prueba presentada por la acusación al impugnar el recurso. Voto particular.</w:t>
      </w:r>
      <w:r>
        <w:tab/>
      </w:r>
      <w:r>
        <w:tab/>
      </w:r>
      <w:r>
        <w:fldChar w:fldCharType="begin"/>
      </w:r>
      <w:r>
        <w:instrText xml:space="preserve"> PAGEREF SENTENCIA_2002_81 \h </w:instrText>
      </w:r>
      <w:r>
        <w:fldChar w:fldCharType="separate"/>
      </w:r>
      <w:r w:rsidR="00CE7DF5">
        <w:rPr>
          <w:noProof/>
        </w:rPr>
        <w:t>1142</w:t>
      </w:r>
      <w:r>
        <w:fldChar w:fldCharType="end"/>
      </w:r>
    </w:p>
    <w:p w:rsidR="00795BAF" w:rsidRDefault="00795BAF" w:rsidP="00795BAF"/>
    <w:p w:rsidR="00795BAF" w:rsidRDefault="00795BAF" w:rsidP="00795BAF">
      <w:pPr>
        <w:pStyle w:val="EntradandiceSentencia"/>
      </w:pPr>
      <w:r>
        <w:t>Sala Primera. Sentencia 82/2002,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5369/1997. </w:t>
      </w:r>
      <w:r w:rsidRPr="00795BAF">
        <w:rPr>
          <w:rStyle w:val="TextoNormalCursivaCaracter"/>
        </w:rPr>
        <w:t xml:space="preserve"> Supuesta vulneración de los derechos al secreto de las comunicaciones y a la tutela judicial efectiva (resolución fundada en Derecho): intervención telefónica proporcionada, motivada y controlada (STC 14/2001); ausencia de razonamiento explícito sobre el cumplimiento de los requisitos legales para la entrada y registro en lugar cerrado que no es domicilio.</w:t>
      </w:r>
      <w:r>
        <w:tab/>
      </w:r>
      <w:r>
        <w:tab/>
      </w:r>
      <w:r>
        <w:fldChar w:fldCharType="begin"/>
      </w:r>
      <w:r>
        <w:instrText xml:space="preserve"> PAGEREF SENTENCIA_2002_82 \h </w:instrText>
      </w:r>
      <w:r>
        <w:fldChar w:fldCharType="separate"/>
      </w:r>
      <w:r w:rsidR="00CE7DF5">
        <w:rPr>
          <w:noProof/>
        </w:rPr>
        <w:t>1156</w:t>
      </w:r>
      <w:r>
        <w:fldChar w:fldCharType="end"/>
      </w:r>
    </w:p>
    <w:p w:rsidR="00795BAF" w:rsidRDefault="00795BAF" w:rsidP="00795BAF"/>
    <w:p w:rsidR="00795BAF" w:rsidRDefault="00795BAF" w:rsidP="00795BAF">
      <w:pPr>
        <w:pStyle w:val="EntradandiceSentencia"/>
      </w:pPr>
      <w:r>
        <w:t>Sala Primera. Sentencia 83/2002,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182/1998. </w:t>
      </w:r>
      <w:r w:rsidRPr="00795BAF">
        <w:rPr>
          <w:rStyle w:val="TextoNormalCursivaCaracter"/>
        </w:rPr>
        <w:t xml:space="preserve"> Vulneración de los derechos a la intimidad y a la propia imagen: publicación de fotografías privadas obtenidas sin consentimiento de los interesados (STC 139/2001), y que atañen a sus relaciones afectivas, ajenas a su notoriedad profesional.</w:t>
      </w:r>
      <w:r>
        <w:tab/>
      </w:r>
      <w:r>
        <w:tab/>
      </w:r>
      <w:r>
        <w:fldChar w:fldCharType="begin"/>
      </w:r>
      <w:r>
        <w:instrText xml:space="preserve"> PAGEREF SENTENCIA_2002_83 \h </w:instrText>
      </w:r>
      <w:r>
        <w:fldChar w:fldCharType="separate"/>
      </w:r>
      <w:r w:rsidR="00CE7DF5">
        <w:rPr>
          <w:noProof/>
        </w:rPr>
        <w:t>1176</w:t>
      </w:r>
      <w:r>
        <w:fldChar w:fldCharType="end"/>
      </w:r>
    </w:p>
    <w:p w:rsidR="00795BAF" w:rsidRDefault="00795BAF" w:rsidP="00795BAF"/>
    <w:p w:rsidR="00795BAF" w:rsidRDefault="00795BAF" w:rsidP="00795BAF">
      <w:pPr>
        <w:pStyle w:val="EntradandiceSentencia"/>
      </w:pPr>
      <w:r>
        <w:lastRenderedPageBreak/>
        <w:t>Sala Primera. Sentencia 84/2002,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2639/1998. </w:t>
      </w:r>
      <w:r w:rsidRPr="00795BAF">
        <w:rPr>
          <w:rStyle w:val="TextoNormalCursivaCaracter"/>
        </w:rPr>
        <w:t xml:space="preserve"> Vulneración del derecho a la libertad sindical: indicios racionales de marginación laboral de trabajadores por su condición de representantes sindicales.</w:t>
      </w:r>
      <w:r>
        <w:tab/>
      </w:r>
      <w:r>
        <w:tab/>
      </w:r>
      <w:r>
        <w:fldChar w:fldCharType="begin"/>
      </w:r>
      <w:r>
        <w:instrText xml:space="preserve"> PAGEREF SENTENCIA_2002_84 \h </w:instrText>
      </w:r>
      <w:r>
        <w:fldChar w:fldCharType="separate"/>
      </w:r>
      <w:r w:rsidR="00CE7DF5">
        <w:rPr>
          <w:noProof/>
        </w:rPr>
        <w:t>1190</w:t>
      </w:r>
      <w:r>
        <w:fldChar w:fldCharType="end"/>
      </w:r>
    </w:p>
    <w:p w:rsidR="00795BAF" w:rsidRDefault="00795BAF" w:rsidP="00795BAF"/>
    <w:p w:rsidR="00795BAF" w:rsidRDefault="00795BAF" w:rsidP="00795BAF">
      <w:pPr>
        <w:pStyle w:val="EntradandiceSentencia"/>
      </w:pPr>
      <w:r>
        <w:t>Sala Segunda. Sentencia 85/2002,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2770/1998. </w:t>
      </w:r>
      <w:r w:rsidRPr="00795BAF">
        <w:rPr>
          <w:rStyle w:val="TextoNormalCursivaCaracter"/>
        </w:rPr>
        <w:t xml:space="preserve"> Alegada vulneración del derecho a la tutela judicial efectiva: falta de agotamiento de los recursos en la vía judicial, por no pedir la nulidad de actuaciones por incongruencia del fallo (STC 284/2000).</w:t>
      </w:r>
      <w:r>
        <w:tab/>
      </w:r>
      <w:r>
        <w:tab/>
      </w:r>
      <w:r>
        <w:fldChar w:fldCharType="begin"/>
      </w:r>
      <w:r>
        <w:instrText xml:space="preserve"> PAGEREF SENTENCIA_2002_85 \h </w:instrText>
      </w:r>
      <w:r>
        <w:fldChar w:fldCharType="separate"/>
      </w:r>
      <w:r w:rsidR="00CE7DF5">
        <w:rPr>
          <w:noProof/>
        </w:rPr>
        <w:t>1203</w:t>
      </w:r>
      <w:r>
        <w:fldChar w:fldCharType="end"/>
      </w:r>
      <w:r w:rsidR="00883DC2">
        <w:t xml:space="preserve"> </w:t>
      </w:r>
    </w:p>
    <w:p w:rsidR="00795BAF" w:rsidRDefault="00795BAF" w:rsidP="00795BAF"/>
    <w:p w:rsidR="00795BAF" w:rsidRDefault="00795BAF" w:rsidP="00795BAF">
      <w:pPr>
        <w:pStyle w:val="EntradandiceSentencia"/>
      </w:pPr>
      <w:r>
        <w:t>Sala Primera. Sentencia 86/2002,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3757/1998. </w:t>
      </w:r>
      <w:r w:rsidRPr="00795BAF">
        <w:rPr>
          <w:rStyle w:val="TextoNormalCursivaCaracter"/>
        </w:rPr>
        <w:t xml:space="preserve"> Supuesta vulneración del derecho a la tutela judicial efectiva (acceso a la justicia): incompetencia de la jurisdicción civil para conocer de la nulidad de un acuerdo de cooperativa laboral, y denegación de conflicto de competencia con los Tribunales del orden social, que habían resuelto pretensiones diferentes.</w:t>
      </w:r>
      <w:r>
        <w:tab/>
      </w:r>
      <w:r>
        <w:tab/>
      </w:r>
      <w:r>
        <w:fldChar w:fldCharType="begin"/>
      </w:r>
      <w:r>
        <w:instrText xml:space="preserve"> PAGEREF SENTENCIA_2002_86 \h </w:instrText>
      </w:r>
      <w:r>
        <w:fldChar w:fldCharType="separate"/>
      </w:r>
      <w:r w:rsidR="00CE7DF5">
        <w:rPr>
          <w:noProof/>
        </w:rPr>
        <w:t>1212</w:t>
      </w:r>
      <w:r>
        <w:fldChar w:fldCharType="end"/>
      </w:r>
    </w:p>
    <w:p w:rsidR="00795BAF" w:rsidRDefault="00795BAF" w:rsidP="00795BAF"/>
    <w:p w:rsidR="00795BAF" w:rsidRDefault="00795BAF" w:rsidP="00795BAF">
      <w:pPr>
        <w:pStyle w:val="EntradandiceSentencia"/>
      </w:pPr>
      <w:r>
        <w:t>Sala Segunda. Sentencia 87/2002,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3864/1998. </w:t>
      </w:r>
      <w:r w:rsidRPr="00795BAF">
        <w:rPr>
          <w:rStyle w:val="TextoNormalCursivaCaracter"/>
        </w:rPr>
        <w:t xml:space="preserve"> Vulneración del derecho a la tutela judicial sin indefensión: emplazamiento edictal de una profesional colegiada, cuyo domicilio era conocido por la entidad demandante (STC 126/1999).</w:t>
      </w:r>
      <w:r>
        <w:tab/>
      </w:r>
      <w:r>
        <w:tab/>
      </w:r>
      <w:r>
        <w:fldChar w:fldCharType="begin"/>
      </w:r>
      <w:r>
        <w:instrText xml:space="preserve"> PAGEREF SENTENCIA_2002_87 \h </w:instrText>
      </w:r>
      <w:r>
        <w:fldChar w:fldCharType="separate"/>
      </w:r>
      <w:r w:rsidR="00CE7DF5">
        <w:rPr>
          <w:noProof/>
        </w:rPr>
        <w:t>1222</w:t>
      </w:r>
      <w:r>
        <w:fldChar w:fldCharType="end"/>
      </w:r>
    </w:p>
    <w:p w:rsidR="00795BAF" w:rsidRDefault="00795BAF" w:rsidP="00795BAF"/>
    <w:p w:rsidR="00795BAF" w:rsidRDefault="00795BAF" w:rsidP="00795BAF">
      <w:pPr>
        <w:pStyle w:val="EntradandiceSentencia"/>
      </w:pPr>
      <w:r>
        <w:t>Sala Segunda. Sentencia 88/2002,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1548/1999. </w:t>
      </w:r>
      <w:r w:rsidRPr="00795BAF">
        <w:rPr>
          <w:rStyle w:val="TextoNormalCursivaCaracter"/>
        </w:rPr>
        <w:t xml:space="preserve"> Supuesta vulneración del derecho a la tutela judicial efectiva (acceso al recurso legal): término inicial del plazo para interponer recurso de queja, apreciado sin error patente.</w:t>
      </w:r>
      <w:r>
        <w:tab/>
      </w:r>
      <w:r>
        <w:tab/>
      </w:r>
      <w:r>
        <w:fldChar w:fldCharType="begin"/>
      </w:r>
      <w:r>
        <w:instrText xml:space="preserve"> PAGEREF SENTENCIA_2002_88 \h </w:instrText>
      </w:r>
      <w:r>
        <w:fldChar w:fldCharType="separate"/>
      </w:r>
      <w:r w:rsidR="00CE7DF5">
        <w:rPr>
          <w:noProof/>
        </w:rPr>
        <w:t>1235</w:t>
      </w:r>
      <w:r>
        <w:fldChar w:fldCharType="end"/>
      </w:r>
    </w:p>
    <w:p w:rsidR="00795BAF" w:rsidRDefault="00795BAF" w:rsidP="00795BAF"/>
    <w:p w:rsidR="00795BAF" w:rsidRDefault="00795BAF" w:rsidP="00795BAF">
      <w:pPr>
        <w:pStyle w:val="EntradandiceSentencia"/>
      </w:pPr>
      <w:r>
        <w:t>Sala Segunda. Sentencia 89/2002,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2330/1999. </w:t>
      </w:r>
      <w:r w:rsidRPr="00795BAF">
        <w:rPr>
          <w:rStyle w:val="TextoNormalCursivaCaracter"/>
        </w:rPr>
        <w:t xml:space="preserve"> Supuesta vulneración del derecho a la tutela judicial efectiva (acceso al recurso legal): inadmisión de recurso de casación por no justificar la infracción de una norma no autonómica (STC 181/2001) tras la sucesión de Administraciones públicas.</w:t>
      </w:r>
      <w:r>
        <w:tab/>
      </w:r>
      <w:r>
        <w:tab/>
      </w:r>
      <w:r>
        <w:fldChar w:fldCharType="begin"/>
      </w:r>
      <w:r>
        <w:instrText xml:space="preserve"> PAGEREF SENTENCIA_2002_89 \h </w:instrText>
      </w:r>
      <w:r>
        <w:fldChar w:fldCharType="separate"/>
      </w:r>
      <w:r w:rsidR="00CE7DF5">
        <w:rPr>
          <w:noProof/>
        </w:rPr>
        <w:t>1243</w:t>
      </w:r>
      <w:r>
        <w:fldChar w:fldCharType="end"/>
      </w:r>
    </w:p>
    <w:p w:rsidR="00795BAF" w:rsidRDefault="00795BAF" w:rsidP="00795BAF"/>
    <w:p w:rsidR="00795BAF" w:rsidRDefault="00795BAF" w:rsidP="00795BAF">
      <w:pPr>
        <w:pStyle w:val="EntradandiceSentencia"/>
      </w:pPr>
      <w:r>
        <w:lastRenderedPageBreak/>
        <w:t>Sala Primera. Sentencia 90/2002,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2508/1999. </w:t>
      </w:r>
      <w:r w:rsidRPr="00795BAF">
        <w:rPr>
          <w:rStyle w:val="TextoNormalCursivaCaracter"/>
        </w:rPr>
        <w:t xml:space="preserve"> Vulneración del derecho a la tutela judicial efectiva (acceso al recurso legal): presentación de escrito en otro Juzgado el último día del plazo.</w:t>
      </w:r>
      <w:r>
        <w:tab/>
      </w:r>
      <w:r>
        <w:tab/>
      </w:r>
      <w:r>
        <w:fldChar w:fldCharType="begin"/>
      </w:r>
      <w:r>
        <w:instrText xml:space="preserve"> PAGEREF SENTENCIA_2002_90 \h </w:instrText>
      </w:r>
      <w:r>
        <w:fldChar w:fldCharType="separate"/>
      </w:r>
      <w:r w:rsidR="00CE7DF5">
        <w:rPr>
          <w:noProof/>
        </w:rPr>
        <w:t>1254</w:t>
      </w:r>
      <w:r>
        <w:fldChar w:fldCharType="end"/>
      </w:r>
    </w:p>
    <w:p w:rsidR="00795BAF" w:rsidRDefault="00795BAF" w:rsidP="00795BAF"/>
    <w:p w:rsidR="00795BAF" w:rsidRDefault="00795BAF" w:rsidP="00795BAF">
      <w:pPr>
        <w:pStyle w:val="EntradandiceSentencia"/>
      </w:pPr>
      <w:r>
        <w:t>Sala Segunda. Sentencia 91/2002,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2692/1999. </w:t>
      </w:r>
      <w:r w:rsidRPr="00795BAF">
        <w:rPr>
          <w:rStyle w:val="TextoNormalCursivaCaracter"/>
        </w:rPr>
        <w:t xml:space="preserve"> Vulneración del derecho a la tutela judicial efectiva (acceso al recurso penal): inadmisión de recurso de apelación penal tomando como término inicial la notificación al Procurador, ignorando la notificación personal indebidamente omitida.</w:t>
      </w:r>
      <w:r>
        <w:tab/>
      </w:r>
      <w:r>
        <w:tab/>
      </w:r>
      <w:r>
        <w:fldChar w:fldCharType="begin"/>
      </w:r>
      <w:r>
        <w:instrText xml:space="preserve"> PAGEREF SENTENCIA_2002_91 \h </w:instrText>
      </w:r>
      <w:r>
        <w:fldChar w:fldCharType="separate"/>
      </w:r>
      <w:r w:rsidR="00CE7DF5">
        <w:rPr>
          <w:noProof/>
        </w:rPr>
        <w:t>1261</w:t>
      </w:r>
      <w:r>
        <w:fldChar w:fldCharType="end"/>
      </w:r>
    </w:p>
    <w:p w:rsidR="00795BAF" w:rsidRDefault="00795BAF" w:rsidP="00795BAF"/>
    <w:p w:rsidR="00795BAF" w:rsidRDefault="00795BAF" w:rsidP="00795BAF">
      <w:pPr>
        <w:pStyle w:val="EntradandiceSentencia"/>
      </w:pPr>
      <w:r>
        <w:t>Sala Segunda. Sentencia 92/2002,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4021/1999. </w:t>
      </w:r>
      <w:r w:rsidRPr="00795BAF">
        <w:rPr>
          <w:rStyle w:val="TextoNormalCursivaCaracter"/>
        </w:rPr>
        <w:t xml:space="preserve"> Vulneración del derecho a la tutela judicial efectiva: autorización de entrada en lugar cerrado por un Juzgado penal que interfiere con un contencioso-administrativo pendiente (STC 199/1998).</w:t>
      </w:r>
      <w:r>
        <w:tab/>
      </w:r>
      <w:r>
        <w:tab/>
      </w:r>
      <w:r>
        <w:fldChar w:fldCharType="begin"/>
      </w:r>
      <w:r>
        <w:instrText xml:space="preserve"> PAGEREF SENTENCIA_2002_92 \h </w:instrText>
      </w:r>
      <w:r>
        <w:fldChar w:fldCharType="separate"/>
      </w:r>
      <w:r w:rsidR="00CE7DF5">
        <w:rPr>
          <w:noProof/>
        </w:rPr>
        <w:t>1270</w:t>
      </w:r>
      <w:r>
        <w:fldChar w:fldCharType="end"/>
      </w:r>
    </w:p>
    <w:p w:rsidR="00795BAF" w:rsidRDefault="00795BAF" w:rsidP="00795BAF"/>
    <w:p w:rsidR="00795BAF" w:rsidRDefault="00795BAF" w:rsidP="00795BAF">
      <w:pPr>
        <w:pStyle w:val="EntradandiceSentencia"/>
      </w:pPr>
      <w:r>
        <w:t>Sala Segunda. Sentencia 93/2002,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1276/2000. </w:t>
      </w:r>
      <w:r w:rsidRPr="00795BAF">
        <w:rPr>
          <w:rStyle w:val="TextoNormalCursivaCaracter"/>
        </w:rPr>
        <w:t xml:space="preserve"> Alegada vulneración del derecho a la tutela judicial sin indefensión: falta de agotamiento de los recursos en vía judicial, al haber sido inadmitido el incidente de nulidad de actuaciones por extemporáneo sin reproche en la demanda de amparo.</w:t>
      </w:r>
      <w:r>
        <w:tab/>
      </w:r>
      <w:r>
        <w:tab/>
      </w:r>
      <w:r>
        <w:fldChar w:fldCharType="begin"/>
      </w:r>
      <w:r>
        <w:instrText xml:space="preserve"> PAGEREF SENTENCIA_2002_93 \h </w:instrText>
      </w:r>
      <w:r>
        <w:fldChar w:fldCharType="separate"/>
      </w:r>
      <w:r w:rsidR="00CE7DF5">
        <w:rPr>
          <w:noProof/>
        </w:rPr>
        <w:t>1279</w:t>
      </w:r>
      <w:r>
        <w:fldChar w:fldCharType="end"/>
      </w:r>
    </w:p>
    <w:p w:rsidR="00795BAF" w:rsidRDefault="00795BAF" w:rsidP="00795BAF"/>
    <w:p w:rsidR="00795BAF" w:rsidRDefault="00795BAF" w:rsidP="00795BAF">
      <w:pPr>
        <w:pStyle w:val="EntradandiceSentencia"/>
      </w:pPr>
      <w:r>
        <w:t>Sala Segunda. Sentencia 94/2002, de 22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6766/2000. </w:t>
      </w:r>
      <w:r w:rsidRPr="00795BAF">
        <w:rPr>
          <w:rStyle w:val="TextoNormalCursivaCaracter"/>
        </w:rPr>
        <w:t xml:space="preserve"> Supuesta vulneración de los derechos a un proceso con garantías y a la presunción de inocencia: condena fundada en declaraciones sumariales de la víctima, inválidas por falta de contradicción; pero también en prueba de indicios no cuestionada.</w:t>
      </w:r>
      <w:r>
        <w:tab/>
      </w:r>
      <w:r>
        <w:tab/>
      </w:r>
      <w:r>
        <w:fldChar w:fldCharType="begin"/>
      </w:r>
      <w:r>
        <w:instrText xml:space="preserve"> PAGEREF SENTENCIA_2002_94 \h </w:instrText>
      </w:r>
      <w:r>
        <w:fldChar w:fldCharType="separate"/>
      </w:r>
      <w:r w:rsidR="00CE7DF5">
        <w:rPr>
          <w:noProof/>
        </w:rPr>
        <w:t>1290</w:t>
      </w:r>
      <w:r>
        <w:fldChar w:fldCharType="end"/>
      </w:r>
    </w:p>
    <w:p w:rsidR="00795BAF" w:rsidRDefault="00795BAF" w:rsidP="00795BAF"/>
    <w:p w:rsidR="00795BAF" w:rsidRDefault="00795BAF" w:rsidP="00795BAF">
      <w:pPr>
        <w:pStyle w:val="EntradandiceSentencia"/>
      </w:pPr>
      <w:r>
        <w:t>Pleno. Sentencia 95/2002, de 25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Conflicto positivo de competencia 1176-1993, Recurso de inconstitucionalidad 938-1993. </w:t>
      </w:r>
      <w:r w:rsidRPr="00795BAF">
        <w:rPr>
          <w:rStyle w:val="TextoNormalCursivaCaracter"/>
        </w:rPr>
        <w:t xml:space="preserve"> Competencias sobre legislación laboral, educación y formación profesional, fondos de empleo, y ordenación de la economía. Delimitación del ámbito territorial. Votos particulares.</w:t>
      </w:r>
      <w:r>
        <w:tab/>
      </w:r>
      <w:r>
        <w:tab/>
      </w:r>
      <w:r>
        <w:fldChar w:fldCharType="begin"/>
      </w:r>
      <w:r>
        <w:instrText xml:space="preserve"> PAGEREF SENTENCIA_2002_95 \h </w:instrText>
      </w:r>
      <w:r>
        <w:fldChar w:fldCharType="separate"/>
      </w:r>
      <w:r w:rsidR="00CE7DF5">
        <w:rPr>
          <w:noProof/>
        </w:rPr>
        <w:t>1303</w:t>
      </w:r>
      <w:r>
        <w:fldChar w:fldCharType="end"/>
      </w:r>
    </w:p>
    <w:p w:rsidR="00795BAF" w:rsidRDefault="00795BAF" w:rsidP="00795BAF"/>
    <w:p w:rsidR="00795BAF" w:rsidRDefault="00795BAF" w:rsidP="00795BAF">
      <w:pPr>
        <w:pStyle w:val="EntradandiceSentencia"/>
      </w:pPr>
      <w:r>
        <w:lastRenderedPageBreak/>
        <w:t>Pleno. Sentencia 96/2002, de 25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inconstitucionalidad 1135/1995. </w:t>
      </w:r>
      <w:r w:rsidRPr="00795BAF">
        <w:rPr>
          <w:rStyle w:val="TextoNormalCursivaCaracter"/>
        </w:rPr>
        <w:t xml:space="preserve"> Principios de seguridad jurídica e interdicción de la arbitrariedad; vulneración de la igualdad tributaria, territorial y unidad de mercado. Nulidad del precepto. Votos particulares.</w:t>
      </w:r>
      <w:r>
        <w:tab/>
      </w:r>
      <w:r>
        <w:tab/>
      </w:r>
      <w:r>
        <w:fldChar w:fldCharType="begin"/>
      </w:r>
      <w:r>
        <w:instrText xml:space="preserve"> PAGEREF SENTENCIA_2002_96 \h </w:instrText>
      </w:r>
      <w:r>
        <w:fldChar w:fldCharType="separate"/>
      </w:r>
      <w:r w:rsidR="00CE7DF5">
        <w:rPr>
          <w:noProof/>
        </w:rPr>
        <w:t>1354</w:t>
      </w:r>
      <w:r>
        <w:fldChar w:fldCharType="end"/>
      </w:r>
    </w:p>
    <w:p w:rsidR="00795BAF" w:rsidRDefault="00795BAF" w:rsidP="00795BAF"/>
    <w:p w:rsidR="00795BAF" w:rsidRDefault="00795BAF" w:rsidP="00795BAF">
      <w:pPr>
        <w:pStyle w:val="EntradandiceSentencia"/>
      </w:pPr>
      <w:r>
        <w:t>Pleno. Sentencia 97/2002, de 25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inconstitucionalidad 3492/1995 y 3672/1995 (acumulados). </w:t>
      </w:r>
      <w:r w:rsidRPr="00795BAF">
        <w:rPr>
          <w:rStyle w:val="TextoNormalCursivaCaracter"/>
        </w:rPr>
        <w:t xml:space="preserve"> Veto del Senado en el procedimiento legislativo. Competencias sobre medio ambiente y espacios naturales protegidos (STC 195/1998). Nulidad de la ley.</w:t>
      </w:r>
      <w:r>
        <w:tab/>
      </w:r>
      <w:r>
        <w:tab/>
      </w:r>
      <w:r>
        <w:fldChar w:fldCharType="begin"/>
      </w:r>
      <w:r>
        <w:instrText xml:space="preserve"> PAGEREF SENTENCIA_2002_97 \h </w:instrText>
      </w:r>
      <w:r>
        <w:fldChar w:fldCharType="separate"/>
      </w:r>
      <w:r w:rsidR="00CE7DF5">
        <w:rPr>
          <w:noProof/>
        </w:rPr>
        <w:t>1392</w:t>
      </w:r>
      <w:r>
        <w:fldChar w:fldCharType="end"/>
      </w:r>
    </w:p>
    <w:p w:rsidR="00795BAF" w:rsidRDefault="00795BAF" w:rsidP="00795BAF"/>
    <w:p w:rsidR="00795BAF" w:rsidRDefault="00795BAF" w:rsidP="00795BAF">
      <w:pPr>
        <w:pStyle w:val="EntradandiceSentencia"/>
      </w:pPr>
      <w:r>
        <w:t>Sala Primera. Sentencia 98/2002, de 29 de abril de 2002</w:t>
      </w:r>
    </w:p>
    <w:p w:rsidR="00795BAF" w:rsidRDefault="00795BAF" w:rsidP="00795BAF">
      <w:pPr>
        <w:pStyle w:val="EntradandiceSentencia"/>
      </w:pPr>
    </w:p>
    <w:p w:rsidR="00795BAF" w:rsidRDefault="00795BAF" w:rsidP="00795BAF">
      <w:pPr>
        <w:pStyle w:val="EntradaSumario"/>
      </w:pPr>
      <w:r w:rsidRPr="00795BAF">
        <w:rPr>
          <w:rStyle w:val="TextoNormalCaracter"/>
        </w:rPr>
        <w:t xml:space="preserve">Recurso de amparo 2131/2001. </w:t>
      </w:r>
      <w:r w:rsidRPr="00795BAF">
        <w:rPr>
          <w:rStyle w:val="TextoNormalCursivaCaracter"/>
        </w:rPr>
        <w:t xml:space="preserve"> Vulneración del derecho a la libertad personal: prisión provisional prorrogada tardíamente, no pudiendo suspender el cómputo del plazo legal máximo las dilaciones debidas a terceros ni declaradas en su momento.</w:t>
      </w:r>
      <w:r>
        <w:tab/>
      </w:r>
      <w:r>
        <w:tab/>
      </w:r>
      <w:r>
        <w:fldChar w:fldCharType="begin"/>
      </w:r>
      <w:r>
        <w:instrText xml:space="preserve"> PAGEREF SENTENCIA_2002_98 \h </w:instrText>
      </w:r>
      <w:r>
        <w:fldChar w:fldCharType="separate"/>
      </w:r>
      <w:r w:rsidR="00CE7DF5">
        <w:rPr>
          <w:noProof/>
        </w:rPr>
        <w:t>1414</w:t>
      </w:r>
      <w:r>
        <w:fldChar w:fldCharType="end"/>
      </w:r>
    </w:p>
    <w:p w:rsidR="00795BAF" w:rsidRDefault="00795BAF">
      <w:r>
        <w:br w:type="page"/>
      </w:r>
    </w:p>
    <w:p w:rsidR="00795BAF" w:rsidRDefault="00795BAF" w:rsidP="00795BAF"/>
    <w:p w:rsidR="00795BAF" w:rsidRDefault="00795BAF" w:rsidP="00795BAF"/>
    <w:p w:rsidR="00795BAF" w:rsidRDefault="00795BAF" w:rsidP="00795BAF"/>
    <w:p w:rsidR="00795BAF" w:rsidRDefault="00795BAF" w:rsidP="00795BAF">
      <w:pPr>
        <w:pStyle w:val="Ttulondice"/>
      </w:pPr>
      <w:bookmarkStart w:id="3" w:name="SUMARIOSAUTOS"/>
      <w:r>
        <w:t>2. AUTOS: ATC 1/2002 A ATC 72/2002</w:t>
      </w:r>
    </w:p>
    <w:bookmarkEnd w:id="3"/>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Ttulondice"/>
      </w:pPr>
    </w:p>
    <w:p w:rsidR="00795BAF" w:rsidRDefault="00795BAF" w:rsidP="00795BAF">
      <w:pPr>
        <w:pStyle w:val="EntradandiceAuto"/>
      </w:pPr>
      <w:r>
        <w:t>Sala Primera. Auto 1/2002, de 14 de enero de 2002. Acuerda el levantamiento de suspensión decretada por ATC 221/2000, en el recurso de amparo 2843/98, interpuesto por don Juan Palau Alonso</w:t>
      </w:r>
      <w:r>
        <w:tab/>
      </w:r>
      <w:r>
        <w:tab/>
      </w:r>
      <w:r>
        <w:fldChar w:fldCharType="begin"/>
      </w:r>
      <w:r>
        <w:instrText xml:space="preserve"> PAGEREF AUTO_2002_1 \h </w:instrText>
      </w:r>
      <w:r>
        <w:fldChar w:fldCharType="separate"/>
      </w:r>
      <w:r w:rsidR="00CE7DF5">
        <w:rPr>
          <w:noProof/>
        </w:rPr>
        <w:t>1426</w:t>
      </w:r>
      <w:r>
        <w:fldChar w:fldCharType="end"/>
      </w:r>
    </w:p>
    <w:p w:rsidR="0025129F" w:rsidRDefault="0025129F" w:rsidP="00795BAF"/>
    <w:p w:rsidR="00795BAF" w:rsidRDefault="00795BAF" w:rsidP="00795BAF">
      <w:pPr>
        <w:pStyle w:val="EntradandiceAuto"/>
      </w:pPr>
      <w:r>
        <w:t>Sala Primera. Auto 2/2002, de 14 de enero de 2002. Acuerda la suspensión en el recurso de amparo 179/99, promovido por don Nejat Das.</w:t>
      </w:r>
      <w:r>
        <w:tab/>
      </w:r>
      <w:r>
        <w:tab/>
      </w:r>
      <w:r>
        <w:fldChar w:fldCharType="begin"/>
      </w:r>
      <w:r>
        <w:instrText xml:space="preserve"> PAGEREF AUTO_2002_2 \h </w:instrText>
      </w:r>
      <w:r>
        <w:fldChar w:fldCharType="separate"/>
      </w:r>
      <w:r w:rsidR="00CE7DF5">
        <w:rPr>
          <w:noProof/>
        </w:rPr>
        <w:t>1429</w:t>
      </w:r>
      <w:r>
        <w:fldChar w:fldCharType="end"/>
      </w:r>
    </w:p>
    <w:p w:rsidR="00795BAF" w:rsidRDefault="00795BAF" w:rsidP="00795BAF"/>
    <w:p w:rsidR="00795BAF" w:rsidRDefault="00795BAF" w:rsidP="00795BAF">
      <w:pPr>
        <w:pStyle w:val="EntradandiceAuto"/>
      </w:pPr>
      <w:r>
        <w:t>Sala Segunda. Auto 3/2002, de 14 de enero de 2002. Acuerda la extinción del recurso de amparo 106-2000, promovido por don Santiago Fernández Canseco</w:t>
      </w:r>
      <w:r>
        <w:tab/>
      </w:r>
      <w:r>
        <w:tab/>
      </w:r>
      <w:r>
        <w:fldChar w:fldCharType="begin"/>
      </w:r>
      <w:r>
        <w:instrText xml:space="preserve"> PAGEREF AUTO_2002_3 \h </w:instrText>
      </w:r>
      <w:r>
        <w:fldChar w:fldCharType="separate"/>
      </w:r>
      <w:r w:rsidR="00CE7DF5">
        <w:rPr>
          <w:noProof/>
        </w:rPr>
        <w:t>1433</w:t>
      </w:r>
      <w:r>
        <w:fldChar w:fldCharType="end"/>
      </w:r>
    </w:p>
    <w:p w:rsidR="00795BAF" w:rsidRDefault="00795BAF" w:rsidP="00795BAF"/>
    <w:p w:rsidR="00795BAF" w:rsidRDefault="00795BAF" w:rsidP="00795BAF">
      <w:pPr>
        <w:pStyle w:val="EntradandiceAuto"/>
      </w:pPr>
      <w:r>
        <w:t>Sección Cuarta. Auto 4/2002, de 14 de enero de 2002. Inadmite a trámite el recurso de amparo 2983-2000, promovido por don José Ramón López de Elorriaga Urquiano</w:t>
      </w:r>
      <w:r>
        <w:tab/>
      </w:r>
      <w:r>
        <w:tab/>
      </w:r>
      <w:r>
        <w:fldChar w:fldCharType="begin"/>
      </w:r>
      <w:r>
        <w:instrText xml:space="preserve"> PAGEREF AUTO_2002_4 \h </w:instrText>
      </w:r>
      <w:r>
        <w:fldChar w:fldCharType="separate"/>
      </w:r>
      <w:r w:rsidR="00CE7DF5">
        <w:rPr>
          <w:noProof/>
        </w:rPr>
        <w:t>1440</w:t>
      </w:r>
      <w:r>
        <w:fldChar w:fldCharType="end"/>
      </w:r>
    </w:p>
    <w:p w:rsidR="00795BAF" w:rsidRDefault="00795BAF" w:rsidP="00795BAF"/>
    <w:p w:rsidR="00795BAF" w:rsidRDefault="00795BAF" w:rsidP="00795BAF">
      <w:pPr>
        <w:pStyle w:val="EntradandiceAuto"/>
      </w:pPr>
      <w:r>
        <w:t>Pleno. Auto 5/2002, de 15 de enero de 2002. Acuerda el levantamiento de suspensión en el recurso de inconstitucionalidad 4407-2001, planteado por el Presidente del Gobierno respecto a la Ley del Parlamento de las Islas Baleares 7/2001, de 23 de abril de impuesto sobre las estancias en empresas turísticas de alojamiento, destinado a la dotación del fondo para la mejora de la actividad turística y la preservación del medio ambiente</w:t>
      </w:r>
      <w:r>
        <w:tab/>
      </w:r>
      <w:r>
        <w:tab/>
      </w:r>
      <w:r>
        <w:fldChar w:fldCharType="begin"/>
      </w:r>
      <w:r>
        <w:instrText xml:space="preserve"> PAGEREF AUTO_2002_5 \h </w:instrText>
      </w:r>
      <w:r>
        <w:fldChar w:fldCharType="separate"/>
      </w:r>
      <w:r w:rsidR="00CE7DF5">
        <w:rPr>
          <w:noProof/>
        </w:rPr>
        <w:t>1444</w:t>
      </w:r>
      <w:r>
        <w:fldChar w:fldCharType="end"/>
      </w:r>
    </w:p>
    <w:p w:rsidR="00795BAF" w:rsidRDefault="00795BAF" w:rsidP="00795BAF"/>
    <w:p w:rsidR="00795BAF" w:rsidRDefault="00795BAF" w:rsidP="00795BAF">
      <w:pPr>
        <w:pStyle w:val="EntradandiceAuto"/>
      </w:pPr>
      <w:r>
        <w:t>Sección Tercera. Auto 6/2002, de 28 de enero de 2002. Inadmite a trámite el recurso de amparo 290/99, promovido por don Rafael Chico Benítez</w:t>
      </w:r>
      <w:r>
        <w:tab/>
      </w:r>
      <w:r>
        <w:tab/>
      </w:r>
      <w:r>
        <w:fldChar w:fldCharType="begin"/>
      </w:r>
      <w:r>
        <w:instrText xml:space="preserve"> PAGEREF AUTO_2002_6 \h </w:instrText>
      </w:r>
      <w:r>
        <w:fldChar w:fldCharType="separate"/>
      </w:r>
      <w:r w:rsidR="00CE7DF5">
        <w:rPr>
          <w:noProof/>
        </w:rPr>
        <w:t>1452</w:t>
      </w:r>
      <w:r>
        <w:fldChar w:fldCharType="end"/>
      </w:r>
    </w:p>
    <w:p w:rsidR="00795BAF" w:rsidRDefault="00795BAF" w:rsidP="00795BAF"/>
    <w:p w:rsidR="00795BAF" w:rsidRDefault="00795BAF" w:rsidP="00795BAF">
      <w:pPr>
        <w:pStyle w:val="EntradandiceAuto"/>
      </w:pPr>
      <w:r>
        <w:lastRenderedPageBreak/>
        <w:t>Sala Primera. Auto 7/2002, de 28 de enero de 2002. Acuerda suspensión en el recurso de amparo 2760-2000, promovido por don Pedro José Ramírez Codina y otros</w:t>
      </w:r>
      <w:r>
        <w:tab/>
      </w:r>
      <w:r>
        <w:tab/>
      </w:r>
      <w:r>
        <w:fldChar w:fldCharType="begin"/>
      </w:r>
      <w:r>
        <w:instrText xml:space="preserve"> PAGEREF AUTO_2002_7 \h </w:instrText>
      </w:r>
      <w:r>
        <w:fldChar w:fldCharType="separate"/>
      </w:r>
      <w:r w:rsidR="00CE7DF5">
        <w:rPr>
          <w:noProof/>
        </w:rPr>
        <w:t>1458</w:t>
      </w:r>
      <w:r>
        <w:fldChar w:fldCharType="end"/>
      </w:r>
    </w:p>
    <w:p w:rsidR="00795BAF" w:rsidRDefault="00795BAF" w:rsidP="00795BAF"/>
    <w:p w:rsidR="00795BAF" w:rsidRDefault="00795BAF" w:rsidP="00795BAF">
      <w:pPr>
        <w:pStyle w:val="EntradandiceAuto"/>
      </w:pPr>
      <w:r>
        <w:t>Sección Cuarta. Auto 8/2002, de 28 de enero de 2002. Inadmite a trámite el recurso de amparo 4852-2000, promovido por don Francisco Moreno Fernández</w:t>
      </w:r>
      <w:r>
        <w:tab/>
      </w:r>
      <w:r>
        <w:tab/>
      </w:r>
      <w:r>
        <w:fldChar w:fldCharType="begin"/>
      </w:r>
      <w:r>
        <w:instrText xml:space="preserve"> PAGEREF AUTO_2002_8 \h </w:instrText>
      </w:r>
      <w:r>
        <w:fldChar w:fldCharType="separate"/>
      </w:r>
      <w:r w:rsidR="00CE7DF5">
        <w:rPr>
          <w:noProof/>
        </w:rPr>
        <w:t>1461</w:t>
      </w:r>
      <w:r>
        <w:fldChar w:fldCharType="end"/>
      </w:r>
    </w:p>
    <w:p w:rsidR="00795BAF" w:rsidRDefault="00795BAF" w:rsidP="00795BAF"/>
    <w:p w:rsidR="00795BAF" w:rsidRDefault="00795BAF" w:rsidP="00795BAF">
      <w:pPr>
        <w:pStyle w:val="EntradandiceAuto"/>
      </w:pPr>
      <w:r>
        <w:t>Sala Segunda. Auto 9/2002, de 28 de enero de 2002. Deniega suspensión en el recurso de amparo 4914-2000, promovido por la entidad mercantil Hijos de J. Barreras, S.A.</w:t>
      </w:r>
      <w:r>
        <w:tab/>
      </w:r>
      <w:r>
        <w:tab/>
      </w:r>
      <w:r>
        <w:fldChar w:fldCharType="begin"/>
      </w:r>
      <w:r>
        <w:instrText xml:space="preserve"> PAGEREF AUTO_2002_9 \h </w:instrText>
      </w:r>
      <w:r>
        <w:fldChar w:fldCharType="separate"/>
      </w:r>
      <w:r w:rsidR="00CE7DF5">
        <w:rPr>
          <w:noProof/>
        </w:rPr>
        <w:t>1469</w:t>
      </w:r>
      <w:r>
        <w:fldChar w:fldCharType="end"/>
      </w:r>
    </w:p>
    <w:p w:rsidR="00795BAF" w:rsidRDefault="00795BAF" w:rsidP="00795BAF"/>
    <w:p w:rsidR="00795BAF" w:rsidRDefault="00795BAF" w:rsidP="00795BAF">
      <w:pPr>
        <w:pStyle w:val="EntradandiceAuto"/>
      </w:pPr>
      <w:r>
        <w:t>Sección Tercera. Auto 10/2002, de 28 de enero de 2002. Inadmite a trámite el recurso de amparo 339-2001, promovido por doña Noelia Navarro Gaspar y otra</w:t>
      </w:r>
      <w:r>
        <w:tab/>
      </w:r>
      <w:r>
        <w:tab/>
      </w:r>
      <w:r>
        <w:fldChar w:fldCharType="begin"/>
      </w:r>
      <w:r>
        <w:instrText xml:space="preserve"> PAGEREF AUTO_2002_10 \h </w:instrText>
      </w:r>
      <w:r>
        <w:fldChar w:fldCharType="separate"/>
      </w:r>
      <w:r w:rsidR="00CE7DF5">
        <w:rPr>
          <w:noProof/>
        </w:rPr>
        <w:t>1474</w:t>
      </w:r>
      <w:r>
        <w:fldChar w:fldCharType="end"/>
      </w:r>
    </w:p>
    <w:p w:rsidR="00795BAF" w:rsidRDefault="00795BAF" w:rsidP="00795BAF"/>
    <w:p w:rsidR="00795BAF" w:rsidRDefault="00795BAF" w:rsidP="00795BAF">
      <w:pPr>
        <w:pStyle w:val="EntradandiceAuto"/>
      </w:pPr>
      <w:r>
        <w:t>Sección Segunda. Auto 11/2002, de 4 de febrero de 2002. Inadmite a trámite el recurso de amparo 1416/98, interpuesto por doña María Dolores Gorostiaga Retuerto y don José Domingo Sola Torres</w:t>
      </w:r>
      <w:r>
        <w:tab/>
      </w:r>
      <w:r>
        <w:tab/>
      </w:r>
      <w:r>
        <w:fldChar w:fldCharType="begin"/>
      </w:r>
      <w:r>
        <w:instrText xml:space="preserve"> PAGEREF AUTO_2002_11 \h </w:instrText>
      </w:r>
      <w:r>
        <w:fldChar w:fldCharType="separate"/>
      </w:r>
      <w:r w:rsidR="00CE7DF5">
        <w:rPr>
          <w:noProof/>
        </w:rPr>
        <w:t>1477</w:t>
      </w:r>
      <w:r>
        <w:fldChar w:fldCharType="end"/>
      </w:r>
    </w:p>
    <w:p w:rsidR="00795BAF" w:rsidRDefault="00795BAF" w:rsidP="00795BAF"/>
    <w:p w:rsidR="00795BAF" w:rsidRDefault="00795BAF" w:rsidP="00795BAF">
      <w:pPr>
        <w:pStyle w:val="EntradandiceAuto"/>
      </w:pPr>
      <w:r>
        <w:t>Sección Cuarta. Auto 12/2002, de 11 de febrero de 2002. Inadmite a trámite el recurso de amparo 2626/99, interpuesto por la Unión de Sindicatos y Trabajadores y Trabajadoras de Andalucía (USTEA)</w:t>
      </w:r>
      <w:r>
        <w:tab/>
      </w:r>
      <w:r>
        <w:tab/>
      </w:r>
      <w:r>
        <w:fldChar w:fldCharType="begin"/>
      </w:r>
      <w:r>
        <w:instrText xml:space="preserve"> PAGEREF AUTO_2002_12 \h </w:instrText>
      </w:r>
      <w:r>
        <w:fldChar w:fldCharType="separate"/>
      </w:r>
      <w:r w:rsidR="00CE7DF5">
        <w:rPr>
          <w:noProof/>
        </w:rPr>
        <w:t>1484</w:t>
      </w:r>
      <w:r>
        <w:fldChar w:fldCharType="end"/>
      </w:r>
    </w:p>
    <w:p w:rsidR="00795BAF" w:rsidRDefault="00795BAF" w:rsidP="00795BAF"/>
    <w:p w:rsidR="00795BAF" w:rsidRDefault="00795BAF" w:rsidP="00795BAF">
      <w:pPr>
        <w:pStyle w:val="EntradandiceAuto"/>
      </w:pPr>
      <w:r>
        <w:t>Sección Tercera. Auto 13/2002, de 11 de febrero de 2002. Inadmite a trámite el recurso de amparo 2858-2000, interpuesto por la Empresa Necso-Entrecanales-Cubiertas, S.A.</w:t>
      </w:r>
      <w:r>
        <w:tab/>
      </w:r>
      <w:r>
        <w:tab/>
      </w:r>
      <w:r>
        <w:fldChar w:fldCharType="begin"/>
      </w:r>
      <w:r>
        <w:instrText xml:space="preserve"> PAGEREF AUTO_2002_13 \h </w:instrText>
      </w:r>
      <w:r>
        <w:fldChar w:fldCharType="separate"/>
      </w:r>
      <w:r w:rsidR="00CE7DF5">
        <w:rPr>
          <w:noProof/>
        </w:rPr>
        <w:t>1490</w:t>
      </w:r>
      <w:r>
        <w:fldChar w:fldCharType="end"/>
      </w:r>
    </w:p>
    <w:p w:rsidR="00795BAF" w:rsidRDefault="00795BAF" w:rsidP="00795BAF"/>
    <w:p w:rsidR="00795BAF" w:rsidRDefault="00795BAF" w:rsidP="00795BAF">
      <w:pPr>
        <w:pStyle w:val="EntradandiceAuto"/>
      </w:pPr>
      <w:r>
        <w:t>Sección Tercera. Auto 14/2002, de 11 de febrero de 2002. Inadmite a trámite el recurso de amparo 3107-2000, interpuesto por doña Concepción Fos Martínez</w:t>
      </w:r>
      <w:r>
        <w:tab/>
      </w:r>
      <w:r>
        <w:tab/>
      </w:r>
      <w:r>
        <w:fldChar w:fldCharType="begin"/>
      </w:r>
      <w:r>
        <w:instrText xml:space="preserve"> PAGEREF AUTO_2002_14 \h </w:instrText>
      </w:r>
      <w:r>
        <w:fldChar w:fldCharType="separate"/>
      </w:r>
      <w:r w:rsidR="00CE7DF5">
        <w:rPr>
          <w:noProof/>
        </w:rPr>
        <w:t>1495</w:t>
      </w:r>
      <w:r>
        <w:fldChar w:fldCharType="end"/>
      </w:r>
    </w:p>
    <w:p w:rsidR="00795BAF" w:rsidRDefault="00795BAF" w:rsidP="00795BAF"/>
    <w:p w:rsidR="00795BAF" w:rsidRDefault="00795BAF" w:rsidP="00795BAF">
      <w:pPr>
        <w:pStyle w:val="EntradandiceAuto"/>
      </w:pPr>
      <w:r>
        <w:t>Sala Segunda. Auto 15/2002, de 11 de febrero de 2002. Acuerda la suspensión parcial en el recurso de amparo 5340-2000, promovido por don Arlindo Luis Carbalho Cordero.</w:t>
      </w:r>
      <w:r>
        <w:tab/>
      </w:r>
      <w:r>
        <w:tab/>
      </w:r>
      <w:r>
        <w:fldChar w:fldCharType="begin"/>
      </w:r>
      <w:r>
        <w:instrText xml:space="preserve"> PAGEREF AUTO_2002_15 \h </w:instrText>
      </w:r>
      <w:r>
        <w:fldChar w:fldCharType="separate"/>
      </w:r>
      <w:r w:rsidR="00CE7DF5">
        <w:rPr>
          <w:noProof/>
        </w:rPr>
        <w:t>1504</w:t>
      </w:r>
      <w:r>
        <w:fldChar w:fldCharType="end"/>
      </w:r>
    </w:p>
    <w:p w:rsidR="00795BAF" w:rsidRDefault="00795BAF" w:rsidP="00795BAF"/>
    <w:p w:rsidR="00795BAF" w:rsidRDefault="00795BAF" w:rsidP="00795BAF">
      <w:pPr>
        <w:pStyle w:val="EntradandiceAuto"/>
      </w:pPr>
      <w:r>
        <w:t>Sala Segunda. Auto 16/2002, de 11 de febrero de 2002. Desestima el recurso de súplica interpuesto por don Aurelio Luigi Bruzzone en el recurso de amparo 6363-2000</w:t>
      </w:r>
      <w:r>
        <w:tab/>
      </w:r>
      <w:r>
        <w:tab/>
      </w:r>
      <w:r>
        <w:fldChar w:fldCharType="begin"/>
      </w:r>
      <w:r>
        <w:instrText xml:space="preserve"> PAGEREF AUTO_2002_16 \h </w:instrText>
      </w:r>
      <w:r>
        <w:fldChar w:fldCharType="separate"/>
      </w:r>
      <w:r w:rsidR="00CE7DF5">
        <w:rPr>
          <w:noProof/>
        </w:rPr>
        <w:t>1507</w:t>
      </w:r>
      <w:r>
        <w:fldChar w:fldCharType="end"/>
      </w:r>
    </w:p>
    <w:p w:rsidR="00795BAF" w:rsidRDefault="00795BAF" w:rsidP="00795BAF"/>
    <w:p w:rsidR="00795BAF" w:rsidRDefault="00795BAF" w:rsidP="00795BAF">
      <w:pPr>
        <w:pStyle w:val="EntradandiceAuto"/>
      </w:pPr>
      <w:r>
        <w:t>Sección Tercera. Auto 17/2002, de 11 de febrero de 2002. Inadmite a trámite el recurso de amparo 6778-2000, interpuesto por Programa Multi-Sponsor PMS, S.A.</w:t>
      </w:r>
      <w:r>
        <w:tab/>
      </w:r>
      <w:r>
        <w:tab/>
      </w:r>
      <w:r>
        <w:fldChar w:fldCharType="begin"/>
      </w:r>
      <w:r>
        <w:instrText xml:space="preserve"> PAGEREF AUTO_2002_17 \h </w:instrText>
      </w:r>
      <w:r>
        <w:fldChar w:fldCharType="separate"/>
      </w:r>
      <w:r w:rsidR="00CE7DF5">
        <w:rPr>
          <w:noProof/>
        </w:rPr>
        <w:t>1510</w:t>
      </w:r>
      <w:r>
        <w:fldChar w:fldCharType="end"/>
      </w:r>
    </w:p>
    <w:p w:rsidR="00795BAF" w:rsidRDefault="00795BAF" w:rsidP="00795BAF"/>
    <w:p w:rsidR="00795BAF" w:rsidRDefault="00795BAF" w:rsidP="00795BAF">
      <w:pPr>
        <w:pStyle w:val="EntradandiceAuto"/>
      </w:pPr>
      <w:r>
        <w:t>Sala Primera. Auto 18/2002, de 11 de febrero de 2002. Deniega la suspensión en el recurso de amparo 4142-2001, interpuesto por don José Toledo Sobrón y otro Diputado del Parlamento de La Rioja</w:t>
      </w:r>
      <w:r>
        <w:tab/>
      </w:r>
      <w:r>
        <w:tab/>
      </w:r>
      <w:r>
        <w:fldChar w:fldCharType="begin"/>
      </w:r>
      <w:r>
        <w:instrText xml:space="preserve"> PAGEREF AUTO_2002_18 \h </w:instrText>
      </w:r>
      <w:r>
        <w:fldChar w:fldCharType="separate"/>
      </w:r>
      <w:r w:rsidR="00CE7DF5">
        <w:rPr>
          <w:noProof/>
        </w:rPr>
        <w:t>1515</w:t>
      </w:r>
      <w:r>
        <w:fldChar w:fldCharType="end"/>
      </w:r>
    </w:p>
    <w:p w:rsidR="00795BAF" w:rsidRDefault="00795BAF" w:rsidP="00795BAF"/>
    <w:p w:rsidR="00795BAF" w:rsidRDefault="00795BAF" w:rsidP="00795BAF">
      <w:pPr>
        <w:pStyle w:val="EntradandiceAuto"/>
      </w:pPr>
      <w:r>
        <w:t>Sección Primera. Auto 19/2002, de 11 de febrero de 2002. Acuerda el desistimiento en el recurso de amparo 6153-2001, promovido en proceso contencioso-administrativo.</w:t>
      </w:r>
      <w:r>
        <w:tab/>
      </w:r>
      <w:r>
        <w:tab/>
      </w:r>
      <w:r>
        <w:fldChar w:fldCharType="begin"/>
      </w:r>
      <w:r>
        <w:instrText xml:space="preserve"> PAGEREF AUTO_2002_19 \h </w:instrText>
      </w:r>
      <w:r>
        <w:fldChar w:fldCharType="separate"/>
      </w:r>
      <w:r w:rsidR="00CE7DF5">
        <w:rPr>
          <w:noProof/>
        </w:rPr>
        <w:t>1520</w:t>
      </w:r>
      <w:r>
        <w:fldChar w:fldCharType="end"/>
      </w:r>
    </w:p>
    <w:p w:rsidR="00795BAF" w:rsidRDefault="00795BAF" w:rsidP="00795BAF"/>
    <w:p w:rsidR="00795BAF" w:rsidRDefault="00795BAF" w:rsidP="00795BAF">
      <w:pPr>
        <w:pStyle w:val="EntradandiceAuto"/>
      </w:pPr>
      <w:r>
        <w:t>Pleno. Auto 20/2002, de 12 de febrero de 2002. Acuerda el levantamiento de suspensión en el recurso de inconstitucionalidad 5061-2001, planteado por el Presidente del Gobierno respecto de los arts. 4.2; 14.1; 18; 20; 21.1 b); 22.1, inciso final y 54.1¸ y mantener la de los arts. 27 a), 28 y 35.2 de la Ley 11/2001, de 15 de junio, de ordenación de la actividad comercial en las Illes Balears</w:t>
      </w:r>
      <w:r>
        <w:tab/>
      </w:r>
      <w:r>
        <w:tab/>
      </w:r>
      <w:r>
        <w:fldChar w:fldCharType="begin"/>
      </w:r>
      <w:r>
        <w:instrText xml:space="preserve"> PAGEREF AUTO_2002_20 \h </w:instrText>
      </w:r>
      <w:r>
        <w:fldChar w:fldCharType="separate"/>
      </w:r>
      <w:r w:rsidR="00CE7DF5">
        <w:rPr>
          <w:noProof/>
        </w:rPr>
        <w:t>1521</w:t>
      </w:r>
      <w:r>
        <w:fldChar w:fldCharType="end"/>
      </w:r>
    </w:p>
    <w:p w:rsidR="00795BAF" w:rsidRDefault="00795BAF" w:rsidP="00795BAF"/>
    <w:p w:rsidR="00795BAF" w:rsidRDefault="00795BAF" w:rsidP="00795BAF">
      <w:pPr>
        <w:pStyle w:val="EntradandiceAuto"/>
      </w:pPr>
      <w:r>
        <w:t>Sala Segunda. Auto 21/2002, de 25 de febrero de 2002. Deniega la suspensión en el recurso de amparo 4834-2000, interpuesto por don Juan Sánchez Mancebo y otra</w:t>
      </w:r>
      <w:r>
        <w:tab/>
      </w:r>
      <w:r>
        <w:tab/>
      </w:r>
      <w:r>
        <w:fldChar w:fldCharType="begin"/>
      </w:r>
      <w:r>
        <w:instrText xml:space="preserve"> PAGEREF AUTO_2002_21 \h </w:instrText>
      </w:r>
      <w:r>
        <w:fldChar w:fldCharType="separate"/>
      </w:r>
      <w:r w:rsidR="00CE7DF5">
        <w:rPr>
          <w:noProof/>
        </w:rPr>
        <w:t>1530</w:t>
      </w:r>
      <w:r>
        <w:fldChar w:fldCharType="end"/>
      </w:r>
    </w:p>
    <w:p w:rsidR="00795BAF" w:rsidRDefault="00795BAF" w:rsidP="00795BAF"/>
    <w:p w:rsidR="00795BAF" w:rsidRDefault="00795BAF" w:rsidP="00795BAF">
      <w:pPr>
        <w:pStyle w:val="EntradandiceAuto"/>
      </w:pPr>
      <w:r>
        <w:t>Sala Segunda. Auto 22/2002, de 25 de febrero de 2002. Acuerda la suspensión parcial en el recurso de amparo 6577-2000, interpuesto por don Eduardo García Atienza</w:t>
      </w:r>
      <w:r>
        <w:tab/>
      </w:r>
      <w:r>
        <w:tab/>
      </w:r>
      <w:r>
        <w:fldChar w:fldCharType="begin"/>
      </w:r>
      <w:r>
        <w:instrText xml:space="preserve"> PAGEREF AUTO_2002_22 \h </w:instrText>
      </w:r>
      <w:r>
        <w:fldChar w:fldCharType="separate"/>
      </w:r>
      <w:r w:rsidR="00CE7DF5">
        <w:rPr>
          <w:noProof/>
        </w:rPr>
        <w:t>1540</w:t>
      </w:r>
      <w:r>
        <w:fldChar w:fldCharType="end"/>
      </w:r>
    </w:p>
    <w:p w:rsidR="00795BAF" w:rsidRDefault="00795BAF" w:rsidP="00795BAF"/>
    <w:p w:rsidR="00795BAF" w:rsidRDefault="00795BAF" w:rsidP="00795BAF">
      <w:pPr>
        <w:pStyle w:val="EntradandiceAuto"/>
      </w:pPr>
      <w:r>
        <w:t>Sección Cuarta. Auto 23/2002, de 25 de enero de 2002. Acuerda el desistimiento en el recurso de amparo 6616-2000, promovido por el Banco Santander Central Hispano</w:t>
      </w:r>
      <w:r>
        <w:tab/>
      </w:r>
      <w:r>
        <w:tab/>
      </w:r>
      <w:r>
        <w:fldChar w:fldCharType="begin"/>
      </w:r>
      <w:r>
        <w:instrText xml:space="preserve"> PAGEREF AUTO_2002_23 \h </w:instrText>
      </w:r>
      <w:r>
        <w:fldChar w:fldCharType="separate"/>
      </w:r>
      <w:r w:rsidR="00CE7DF5">
        <w:rPr>
          <w:noProof/>
        </w:rPr>
        <w:t>1547</w:t>
      </w:r>
      <w:r>
        <w:fldChar w:fldCharType="end"/>
      </w:r>
    </w:p>
    <w:p w:rsidR="00795BAF" w:rsidRDefault="00795BAF" w:rsidP="00795BAF"/>
    <w:p w:rsidR="00795BAF" w:rsidRDefault="00795BAF" w:rsidP="00795BAF">
      <w:pPr>
        <w:pStyle w:val="EntradandiceAuto"/>
      </w:pPr>
      <w:r>
        <w:t>Sala Primera. Auto 24/2002, de 25 de febrero de 2002. Acuerda el desistimiento en el recurso de amparo 1199-2001, promovido en proceso contencioso-administrativo.</w:t>
      </w:r>
      <w:r>
        <w:tab/>
      </w:r>
      <w:r>
        <w:tab/>
      </w:r>
      <w:r>
        <w:fldChar w:fldCharType="begin"/>
      </w:r>
      <w:r>
        <w:instrText xml:space="preserve"> PAGEREF AUTO_2002_24 \h </w:instrText>
      </w:r>
      <w:r>
        <w:fldChar w:fldCharType="separate"/>
      </w:r>
      <w:r w:rsidR="00CE7DF5">
        <w:rPr>
          <w:noProof/>
        </w:rPr>
        <w:t>1548</w:t>
      </w:r>
      <w:r>
        <w:fldChar w:fldCharType="end"/>
      </w:r>
    </w:p>
    <w:p w:rsidR="00795BAF" w:rsidRDefault="00795BAF" w:rsidP="00795BAF"/>
    <w:p w:rsidR="00795BAF" w:rsidRDefault="00795BAF" w:rsidP="00795BAF">
      <w:pPr>
        <w:pStyle w:val="EntradandiceAuto"/>
      </w:pPr>
      <w:r>
        <w:t>Sala Primera. Auto 25/2002, de 25 de febrero de 2002. Deniega suspensión en el recurso de amparo 3787-2001, interpuesto por don José Luis Pichardo Miranda</w:t>
      </w:r>
      <w:r>
        <w:tab/>
      </w:r>
      <w:r>
        <w:tab/>
      </w:r>
      <w:r>
        <w:fldChar w:fldCharType="begin"/>
      </w:r>
      <w:r>
        <w:instrText xml:space="preserve"> PAGEREF AUTO_2002_25 \h </w:instrText>
      </w:r>
      <w:r>
        <w:fldChar w:fldCharType="separate"/>
      </w:r>
      <w:r w:rsidR="00CE7DF5">
        <w:rPr>
          <w:noProof/>
        </w:rPr>
        <w:t>1549</w:t>
      </w:r>
      <w:r>
        <w:fldChar w:fldCharType="end"/>
      </w:r>
    </w:p>
    <w:p w:rsidR="00795BAF" w:rsidRDefault="00795BAF" w:rsidP="00795BAF"/>
    <w:p w:rsidR="00795BAF" w:rsidRDefault="00795BAF" w:rsidP="00795BAF">
      <w:pPr>
        <w:pStyle w:val="EntradandiceAuto"/>
      </w:pPr>
      <w:r>
        <w:t>Pleno. Auto 26/2002, de 26 de febrero de 2002. Inadmite a trámite la cuestión de inconstitucionalidad 818-2001, planteada por el Juzgado de lo Contencioso-Administrativo núm. 2 de Girona, en relación con el art. 1 a) de la Ley Orgánica 6/1997, de 15 de septiembre, de transferencia de competencias ejecutivas en materia de tráfico y circulación de vehículos a motor a la Comunidad Autónoma de Cataluña</w:t>
      </w:r>
      <w:r>
        <w:tab/>
      </w:r>
      <w:r>
        <w:tab/>
      </w:r>
      <w:r>
        <w:fldChar w:fldCharType="begin"/>
      </w:r>
      <w:r>
        <w:instrText xml:space="preserve"> PAGEREF AUTO_2002_26 \h </w:instrText>
      </w:r>
      <w:r>
        <w:fldChar w:fldCharType="separate"/>
      </w:r>
      <w:r w:rsidR="00CE7DF5">
        <w:rPr>
          <w:noProof/>
        </w:rPr>
        <w:t>1553</w:t>
      </w:r>
      <w:r>
        <w:fldChar w:fldCharType="end"/>
      </w:r>
    </w:p>
    <w:p w:rsidR="00795BAF" w:rsidRDefault="00795BAF" w:rsidP="00795BAF"/>
    <w:p w:rsidR="00795BAF" w:rsidRDefault="00795BAF" w:rsidP="00795BAF">
      <w:pPr>
        <w:pStyle w:val="EntradandiceAuto"/>
      </w:pPr>
      <w:r>
        <w:lastRenderedPageBreak/>
        <w:t>Pleno. Auto 27/2002, de 26 de febrero de 2002. Inadmite a trámite la cuestión de inconstitucionalidad 819-2001, planteada por el Juzgado de lo Contencioso Administrativo núm. 2 de Girona.</w:t>
      </w:r>
      <w:r>
        <w:tab/>
      </w:r>
      <w:r>
        <w:tab/>
      </w:r>
      <w:r>
        <w:fldChar w:fldCharType="begin"/>
      </w:r>
      <w:r>
        <w:instrText xml:space="preserve"> PAGEREF AUTO_2002_27 \h </w:instrText>
      </w:r>
      <w:r>
        <w:fldChar w:fldCharType="separate"/>
      </w:r>
      <w:r w:rsidR="00CE7DF5">
        <w:rPr>
          <w:noProof/>
        </w:rPr>
        <w:t>1567</w:t>
      </w:r>
      <w:r>
        <w:fldChar w:fldCharType="end"/>
      </w:r>
    </w:p>
    <w:p w:rsidR="00795BAF" w:rsidRDefault="00795BAF" w:rsidP="00795BAF"/>
    <w:p w:rsidR="00795BAF" w:rsidRDefault="00795BAF" w:rsidP="00795BAF">
      <w:pPr>
        <w:pStyle w:val="EntradandiceAuto"/>
      </w:pPr>
      <w:r>
        <w:t>Pleno. Auto 28/2002, de 26 de febrero de 2002. Inadmite a trámite la cuestión de inconstitucionalidad 842-2001, planteada por el Juzgado de lo Contencioso Administrativo núm. 2 de Girona</w:t>
      </w:r>
      <w:r>
        <w:tab/>
      </w:r>
      <w:r>
        <w:tab/>
      </w:r>
      <w:r>
        <w:fldChar w:fldCharType="begin"/>
      </w:r>
      <w:r>
        <w:instrText xml:space="preserve"> PAGEREF AUTO_2002_28 \h </w:instrText>
      </w:r>
      <w:r>
        <w:fldChar w:fldCharType="separate"/>
      </w:r>
      <w:r w:rsidR="00CE7DF5">
        <w:rPr>
          <w:noProof/>
        </w:rPr>
        <w:t>1581</w:t>
      </w:r>
      <w:r>
        <w:fldChar w:fldCharType="end"/>
      </w:r>
    </w:p>
    <w:p w:rsidR="00795BAF" w:rsidRDefault="00795BAF" w:rsidP="00795BAF"/>
    <w:p w:rsidR="00795BAF" w:rsidRDefault="00795BAF" w:rsidP="00795BAF">
      <w:pPr>
        <w:pStyle w:val="EntradandiceAuto"/>
      </w:pPr>
      <w:r>
        <w:t>Sección Primera. Auto 29/2002, de 27 de febrero de 2002. Acuerda el desistimiento en el recurso de amparo 5068-2001, promovido en causa penal.</w:t>
      </w:r>
      <w:r>
        <w:tab/>
      </w:r>
      <w:r>
        <w:tab/>
      </w:r>
      <w:r>
        <w:fldChar w:fldCharType="begin"/>
      </w:r>
      <w:r>
        <w:instrText xml:space="preserve"> PAGEREF AUTO_2002_29 \h </w:instrText>
      </w:r>
      <w:r>
        <w:fldChar w:fldCharType="separate"/>
      </w:r>
      <w:r w:rsidR="00CE7DF5">
        <w:rPr>
          <w:noProof/>
        </w:rPr>
        <w:t>1595</w:t>
      </w:r>
      <w:r>
        <w:fldChar w:fldCharType="end"/>
      </w:r>
    </w:p>
    <w:p w:rsidR="00795BAF" w:rsidRDefault="00795BAF" w:rsidP="00795BAF"/>
    <w:p w:rsidR="00795BAF" w:rsidRDefault="00795BAF" w:rsidP="00795BAF">
      <w:pPr>
        <w:pStyle w:val="EntradandiceAuto"/>
      </w:pPr>
      <w:r>
        <w:t>Sección Primera. Auto 30/2002, de 7 de marzo de 2002. Acuerda el desistimiento en el recurso de amparo 6133-2001, promovido en proceso de vigilancia penitenciaria.</w:t>
      </w:r>
      <w:r>
        <w:tab/>
      </w:r>
      <w:r>
        <w:tab/>
      </w:r>
      <w:r>
        <w:fldChar w:fldCharType="begin"/>
      </w:r>
      <w:r>
        <w:instrText xml:space="preserve"> PAGEREF AUTO_2002_30 \h </w:instrText>
      </w:r>
      <w:r>
        <w:fldChar w:fldCharType="separate"/>
      </w:r>
      <w:r w:rsidR="00CE7DF5">
        <w:rPr>
          <w:noProof/>
        </w:rPr>
        <w:t>1596</w:t>
      </w:r>
      <w:r>
        <w:fldChar w:fldCharType="end"/>
      </w:r>
    </w:p>
    <w:p w:rsidR="00795BAF" w:rsidRDefault="00795BAF" w:rsidP="00795BAF"/>
    <w:p w:rsidR="00795BAF" w:rsidRDefault="00795BAF" w:rsidP="00795BAF">
      <w:pPr>
        <w:pStyle w:val="EntradandiceAuto"/>
      </w:pPr>
      <w:r>
        <w:t>Sala Primera. Auto 31/2002, de 11 de marzo de 2002. Declara concluido por falta de objeto el recurso de amparo 3926/99, interpuesto por don Antonio Bermejo Ramas</w:t>
      </w:r>
      <w:r>
        <w:tab/>
      </w:r>
      <w:r>
        <w:tab/>
      </w:r>
      <w:r>
        <w:fldChar w:fldCharType="begin"/>
      </w:r>
      <w:r>
        <w:instrText xml:space="preserve"> PAGEREF AUTO_2002_31 \h </w:instrText>
      </w:r>
      <w:r>
        <w:fldChar w:fldCharType="separate"/>
      </w:r>
      <w:r w:rsidR="00CE7DF5">
        <w:rPr>
          <w:noProof/>
        </w:rPr>
        <w:t>1597</w:t>
      </w:r>
      <w:r>
        <w:fldChar w:fldCharType="end"/>
      </w:r>
    </w:p>
    <w:p w:rsidR="00795BAF" w:rsidRDefault="00795BAF" w:rsidP="00795BAF"/>
    <w:p w:rsidR="00795BAF" w:rsidRDefault="00795BAF" w:rsidP="00795BAF">
      <w:pPr>
        <w:pStyle w:val="EntradandiceAuto"/>
      </w:pPr>
      <w:r>
        <w:t>Sala Primera. Auto 32/2002, de 11 de marzo de 2002. Acumula dos recursos de amparo, promovidos por don Jean Louis Martial Herrera</w:t>
      </w:r>
      <w:r>
        <w:tab/>
      </w:r>
      <w:r>
        <w:tab/>
      </w:r>
      <w:r>
        <w:fldChar w:fldCharType="begin"/>
      </w:r>
      <w:r>
        <w:instrText xml:space="preserve"> PAGEREF AUTO_2002_32 \h </w:instrText>
      </w:r>
      <w:r>
        <w:fldChar w:fldCharType="separate"/>
      </w:r>
      <w:r w:rsidR="00CE7DF5">
        <w:rPr>
          <w:noProof/>
        </w:rPr>
        <w:t>1602</w:t>
      </w:r>
      <w:r>
        <w:fldChar w:fldCharType="end"/>
      </w:r>
    </w:p>
    <w:p w:rsidR="00795BAF" w:rsidRDefault="00795BAF" w:rsidP="00795BAF"/>
    <w:p w:rsidR="00795BAF" w:rsidRDefault="00795BAF" w:rsidP="00795BAF">
      <w:pPr>
        <w:pStyle w:val="EntradandiceAuto"/>
      </w:pPr>
      <w:r>
        <w:t>Sección Cuarta. Auto 33/2002, de 11 de marzo de 2002. Acuerda el desistimiento en el recurso de amparo 444-2001.</w:t>
      </w:r>
      <w:r>
        <w:tab/>
      </w:r>
      <w:r>
        <w:tab/>
      </w:r>
      <w:r>
        <w:fldChar w:fldCharType="begin"/>
      </w:r>
      <w:r>
        <w:instrText xml:space="preserve"> PAGEREF AUTO_2002_33 \h </w:instrText>
      </w:r>
      <w:r>
        <w:fldChar w:fldCharType="separate"/>
      </w:r>
      <w:r w:rsidR="00CE7DF5">
        <w:rPr>
          <w:noProof/>
        </w:rPr>
        <w:t>1603</w:t>
      </w:r>
      <w:r>
        <w:fldChar w:fldCharType="end"/>
      </w:r>
    </w:p>
    <w:p w:rsidR="00795BAF" w:rsidRDefault="00795BAF" w:rsidP="00795BAF"/>
    <w:p w:rsidR="00795BAF" w:rsidRDefault="00795BAF" w:rsidP="00795BAF">
      <w:pPr>
        <w:pStyle w:val="EntradandiceAuto"/>
      </w:pPr>
      <w:r>
        <w:t>Sala Primera. Auto 34/2002, de 11 de marzo de 2002. Acuerda la suspensión en el recurso de amparo 1790-2001, interpuesto por don Andrea Castrignano</w:t>
      </w:r>
      <w:r>
        <w:tab/>
      </w:r>
      <w:r>
        <w:tab/>
      </w:r>
      <w:r>
        <w:fldChar w:fldCharType="begin"/>
      </w:r>
      <w:r>
        <w:instrText xml:space="preserve"> PAGEREF AUTO_2002_34 \h </w:instrText>
      </w:r>
      <w:r>
        <w:fldChar w:fldCharType="separate"/>
      </w:r>
      <w:r w:rsidR="00CE7DF5">
        <w:rPr>
          <w:noProof/>
        </w:rPr>
        <w:t>1604</w:t>
      </w:r>
      <w:r>
        <w:fldChar w:fldCharType="end"/>
      </w:r>
    </w:p>
    <w:p w:rsidR="00795BAF" w:rsidRDefault="00795BAF" w:rsidP="00795BAF"/>
    <w:p w:rsidR="00795BAF" w:rsidRDefault="00795BAF" w:rsidP="00795BAF">
      <w:pPr>
        <w:pStyle w:val="EntradandiceAuto"/>
      </w:pPr>
      <w:r>
        <w:t>Sala Primera. Auto 35/2002, de 11 de marzo de 2002. Deniega la suspensión en el recurso de amparo 3192-2001, interpuesto por don Juan Bautista Ríos Polo</w:t>
      </w:r>
      <w:r>
        <w:tab/>
      </w:r>
      <w:r>
        <w:tab/>
      </w:r>
      <w:r>
        <w:fldChar w:fldCharType="begin"/>
      </w:r>
      <w:r>
        <w:instrText xml:space="preserve"> PAGEREF AUTO_2002_35 \h </w:instrText>
      </w:r>
      <w:r>
        <w:fldChar w:fldCharType="separate"/>
      </w:r>
      <w:r w:rsidR="00CE7DF5">
        <w:rPr>
          <w:noProof/>
        </w:rPr>
        <w:t>1607</w:t>
      </w:r>
      <w:r>
        <w:fldChar w:fldCharType="end"/>
      </w:r>
    </w:p>
    <w:p w:rsidR="00795BAF" w:rsidRDefault="00795BAF" w:rsidP="00795BAF"/>
    <w:p w:rsidR="00795BAF" w:rsidRDefault="00795BAF" w:rsidP="00795BAF">
      <w:pPr>
        <w:pStyle w:val="EntradandiceAuto"/>
      </w:pPr>
      <w:r>
        <w:t>Sección Cuarta. Auto 36/2002, de 11 de marzo de 2002. Acuerda el desistimiento en el recurso de amparo 5622-2001.</w:t>
      </w:r>
      <w:r>
        <w:tab/>
      </w:r>
      <w:r>
        <w:tab/>
      </w:r>
      <w:r>
        <w:fldChar w:fldCharType="begin"/>
      </w:r>
      <w:r>
        <w:instrText xml:space="preserve"> PAGEREF AUTO_2002_36 \h </w:instrText>
      </w:r>
      <w:r>
        <w:fldChar w:fldCharType="separate"/>
      </w:r>
      <w:r w:rsidR="00CE7DF5">
        <w:rPr>
          <w:noProof/>
        </w:rPr>
        <w:t>1611</w:t>
      </w:r>
      <w:r>
        <w:fldChar w:fldCharType="end"/>
      </w:r>
    </w:p>
    <w:p w:rsidR="00795BAF" w:rsidRDefault="00795BAF" w:rsidP="00795BAF"/>
    <w:p w:rsidR="00795BAF" w:rsidRDefault="00795BAF" w:rsidP="00795BAF">
      <w:pPr>
        <w:pStyle w:val="EntradandiceAuto"/>
      </w:pPr>
      <w:r>
        <w:t>Sala Segunda. Auto 37/2002, de 12 de marzo de 2002. Deniega la suspensión en el recurso de amparo 1852-2001, interpuesto por don Francisco Javier Mínguez Villar del Amo</w:t>
      </w:r>
      <w:r>
        <w:tab/>
      </w:r>
      <w:r>
        <w:tab/>
      </w:r>
      <w:r>
        <w:fldChar w:fldCharType="begin"/>
      </w:r>
      <w:r>
        <w:instrText xml:space="preserve"> PAGEREF AUTO_2002_37 \h </w:instrText>
      </w:r>
      <w:r>
        <w:fldChar w:fldCharType="separate"/>
      </w:r>
      <w:r w:rsidR="00CE7DF5">
        <w:rPr>
          <w:noProof/>
        </w:rPr>
        <w:t>1612</w:t>
      </w:r>
      <w:r>
        <w:fldChar w:fldCharType="end"/>
      </w:r>
    </w:p>
    <w:p w:rsidR="00795BAF" w:rsidRDefault="00795BAF" w:rsidP="00795BAF"/>
    <w:p w:rsidR="00795BAF" w:rsidRDefault="00795BAF" w:rsidP="00795BAF">
      <w:pPr>
        <w:pStyle w:val="EntradandiceAuto"/>
      </w:pPr>
      <w:r>
        <w:lastRenderedPageBreak/>
        <w:t>Pleno. Auto 38/2002, de 12 de marzo de 2002. Inadmite a trámite la cuestión de inconstitucionalidad 4551-2001, planteada por la Sala de lo Contencioso-Administrativo del Tribunal Superior de Justicia del País Vasco respecto a la disposición transitoria primera, apartado 4, de la Ley 42/1995, de 22 de diciembre, de telecomunicaciones por cable</w:t>
      </w:r>
      <w:r>
        <w:tab/>
      </w:r>
      <w:r>
        <w:tab/>
      </w:r>
      <w:r>
        <w:fldChar w:fldCharType="begin"/>
      </w:r>
      <w:r>
        <w:instrText xml:space="preserve"> PAGEREF AUTO_2002_38 \h </w:instrText>
      </w:r>
      <w:r>
        <w:fldChar w:fldCharType="separate"/>
      </w:r>
      <w:r w:rsidR="00CE7DF5">
        <w:rPr>
          <w:noProof/>
        </w:rPr>
        <w:t>1616</w:t>
      </w:r>
      <w:r>
        <w:fldChar w:fldCharType="end"/>
      </w:r>
    </w:p>
    <w:p w:rsidR="00795BAF" w:rsidRDefault="00795BAF" w:rsidP="00795BAF"/>
    <w:p w:rsidR="00795BAF" w:rsidRDefault="00795BAF" w:rsidP="00795BAF">
      <w:pPr>
        <w:pStyle w:val="EntradandiceAuto"/>
      </w:pPr>
      <w:r>
        <w:t>Pleno. Auto 39/2002, de 12 de marzo de 2002. Deniega la extensión y suspensión en el recurso de inconstitucionalidad 5061-2001, planteado por el Presidente del Gobierno respecto a la disposición adicional quinta de la Ley del Parlamento de Baleares 20/2001, de 21 de diciembre, de medidas tributarias, administrativas y de función pública</w:t>
      </w:r>
      <w:r>
        <w:tab/>
      </w:r>
      <w:r>
        <w:tab/>
      </w:r>
      <w:r>
        <w:fldChar w:fldCharType="begin"/>
      </w:r>
      <w:r>
        <w:instrText xml:space="preserve"> PAGEREF AUTO_2002_39 \h </w:instrText>
      </w:r>
      <w:r>
        <w:fldChar w:fldCharType="separate"/>
      </w:r>
      <w:r w:rsidR="00CE7DF5">
        <w:rPr>
          <w:noProof/>
        </w:rPr>
        <w:t>1622</w:t>
      </w:r>
      <w:r>
        <w:fldChar w:fldCharType="end"/>
      </w:r>
    </w:p>
    <w:p w:rsidR="00795BAF" w:rsidRDefault="00795BAF" w:rsidP="00795BAF"/>
    <w:p w:rsidR="00795BAF" w:rsidRDefault="00795BAF" w:rsidP="00795BAF">
      <w:pPr>
        <w:pStyle w:val="EntradandiceAuto"/>
      </w:pPr>
      <w:r>
        <w:t>Sala Primera. Auto 40/2002, de 13 de marzo de 2002. Recurso de amparo promovido por don  Miguel Navarro Sánchez</w:t>
      </w:r>
      <w:r>
        <w:tab/>
      </w:r>
      <w:r>
        <w:tab/>
      </w:r>
      <w:r>
        <w:fldChar w:fldCharType="begin"/>
      </w:r>
      <w:r>
        <w:instrText xml:space="preserve"> PAGEREF AUTO_2002_40 \h </w:instrText>
      </w:r>
      <w:r>
        <w:fldChar w:fldCharType="separate"/>
      </w:r>
      <w:r w:rsidR="00CE7DF5">
        <w:rPr>
          <w:noProof/>
        </w:rPr>
        <w:t>1630</w:t>
      </w:r>
      <w:r>
        <w:fldChar w:fldCharType="end"/>
      </w:r>
    </w:p>
    <w:p w:rsidR="00795BAF" w:rsidRDefault="00795BAF" w:rsidP="00795BAF"/>
    <w:p w:rsidR="00795BAF" w:rsidRDefault="00795BAF" w:rsidP="00795BAF">
      <w:pPr>
        <w:pStyle w:val="EntradandiceAuto"/>
      </w:pPr>
      <w:r>
        <w:t>Sala Primera. Auto 41/2002, de 13 de marzo de 2002. Acuerda la suspensión parcial en el recurso de amparo 2175-2001, interpuesto por don Ignacio y don Alvaro Torres García</w:t>
      </w:r>
      <w:r>
        <w:tab/>
      </w:r>
      <w:r>
        <w:tab/>
      </w:r>
      <w:r>
        <w:fldChar w:fldCharType="begin"/>
      </w:r>
      <w:r>
        <w:instrText xml:space="preserve"> PAGEREF AUTO_2002_41 \h </w:instrText>
      </w:r>
      <w:r>
        <w:fldChar w:fldCharType="separate"/>
      </w:r>
      <w:r w:rsidR="00CE7DF5">
        <w:rPr>
          <w:noProof/>
        </w:rPr>
        <w:t>1633</w:t>
      </w:r>
      <w:r>
        <w:fldChar w:fldCharType="end"/>
      </w:r>
    </w:p>
    <w:p w:rsidR="00795BAF" w:rsidRDefault="00795BAF" w:rsidP="00795BAF"/>
    <w:p w:rsidR="00795BAF" w:rsidRDefault="00795BAF" w:rsidP="00795BAF">
      <w:pPr>
        <w:pStyle w:val="EntradandiceAuto"/>
      </w:pPr>
      <w:r>
        <w:t>Sección Primera. Auto 42/2002, de 14 de marzo de 2002. Inadmite a trámite el recurso de amparo 4114/98, interpuesto por don Alfredo Crespo Sánchez</w:t>
      </w:r>
      <w:r>
        <w:tab/>
      </w:r>
      <w:r>
        <w:tab/>
      </w:r>
      <w:r>
        <w:fldChar w:fldCharType="begin"/>
      </w:r>
      <w:r>
        <w:instrText xml:space="preserve"> PAGEREF AUTO_2002_42 \h </w:instrText>
      </w:r>
      <w:r>
        <w:fldChar w:fldCharType="separate"/>
      </w:r>
      <w:r w:rsidR="00CE7DF5">
        <w:rPr>
          <w:noProof/>
        </w:rPr>
        <w:t>1637</w:t>
      </w:r>
      <w:r>
        <w:fldChar w:fldCharType="end"/>
      </w:r>
    </w:p>
    <w:p w:rsidR="00795BAF" w:rsidRDefault="00795BAF" w:rsidP="00795BAF"/>
    <w:p w:rsidR="00795BAF" w:rsidRDefault="00795BAF" w:rsidP="00795BAF">
      <w:pPr>
        <w:pStyle w:val="EntradandiceAuto"/>
      </w:pPr>
      <w:r>
        <w:t>Sección Primera. Auto 43/2002, de 14 de marzo de 2002. Inadmite a trámite el recurso de amparo 1500/99, interpuesto por don Javier Galparsoro García y el Ilustre Colegio de Abogados del Señorío de Vizcaya</w:t>
      </w:r>
      <w:r>
        <w:tab/>
      </w:r>
      <w:r>
        <w:tab/>
      </w:r>
      <w:r>
        <w:fldChar w:fldCharType="begin"/>
      </w:r>
      <w:r>
        <w:instrText xml:space="preserve"> PAGEREF AUTO_2002_43 \h </w:instrText>
      </w:r>
      <w:r>
        <w:fldChar w:fldCharType="separate"/>
      </w:r>
      <w:r w:rsidR="00CE7DF5">
        <w:rPr>
          <w:noProof/>
        </w:rPr>
        <w:t>1641</w:t>
      </w:r>
      <w:r>
        <w:fldChar w:fldCharType="end"/>
      </w:r>
    </w:p>
    <w:p w:rsidR="00795BAF" w:rsidRDefault="00795BAF" w:rsidP="00795BAF"/>
    <w:p w:rsidR="00795BAF" w:rsidRDefault="00795BAF" w:rsidP="00795BAF">
      <w:pPr>
        <w:pStyle w:val="EntradandiceAuto"/>
      </w:pPr>
      <w:r>
        <w:t>Sección Primera. Auto 44/2002, de 14 de marzo de 2002. Inadmite a trámite el recurso de amparo 2798-2001, interpuesto por don Benigno Valdés Bermejo</w:t>
      </w:r>
      <w:r>
        <w:tab/>
      </w:r>
      <w:r>
        <w:tab/>
      </w:r>
      <w:r>
        <w:fldChar w:fldCharType="begin"/>
      </w:r>
      <w:r>
        <w:instrText xml:space="preserve"> PAGEREF AUTO_2002_44 \h </w:instrText>
      </w:r>
      <w:r>
        <w:fldChar w:fldCharType="separate"/>
      </w:r>
      <w:r w:rsidR="00CE7DF5">
        <w:rPr>
          <w:noProof/>
        </w:rPr>
        <w:t>1647</w:t>
      </w:r>
      <w:r>
        <w:fldChar w:fldCharType="end"/>
      </w:r>
    </w:p>
    <w:p w:rsidR="00795BAF" w:rsidRDefault="00795BAF" w:rsidP="00795BAF"/>
    <w:p w:rsidR="00795BAF" w:rsidRDefault="00795BAF" w:rsidP="00795BAF">
      <w:pPr>
        <w:pStyle w:val="EntradandiceAuto"/>
      </w:pPr>
      <w:r>
        <w:t>Sección Segunda. Auto 45/2002, de 20 de marzo de 2002. Acuerda el desistimiento en el recurso de amparo 4631-2001, promovido en causa penal.</w:t>
      </w:r>
      <w:r>
        <w:tab/>
      </w:r>
      <w:r>
        <w:tab/>
      </w:r>
      <w:r>
        <w:fldChar w:fldCharType="begin"/>
      </w:r>
      <w:r>
        <w:instrText xml:space="preserve"> PAGEREF AUTO_2002_45 \h </w:instrText>
      </w:r>
      <w:r>
        <w:fldChar w:fldCharType="separate"/>
      </w:r>
      <w:r w:rsidR="00CE7DF5">
        <w:rPr>
          <w:noProof/>
        </w:rPr>
        <w:t>1651</w:t>
      </w:r>
      <w:r>
        <w:fldChar w:fldCharType="end"/>
      </w:r>
    </w:p>
    <w:p w:rsidR="00795BAF" w:rsidRDefault="00795BAF" w:rsidP="00795BAF"/>
    <w:p w:rsidR="00795BAF" w:rsidRDefault="00795BAF" w:rsidP="00795BAF">
      <w:pPr>
        <w:pStyle w:val="EntradandiceAuto"/>
      </w:pPr>
      <w:r>
        <w:t>Sala Segunda. Auto 46/2002, de 21 de marzo de 2002. Deniega la suspensión en el recurso de amparo 4965/99, interpuesto por doña Ligia-Magaly Aracena Cordero</w:t>
      </w:r>
      <w:r>
        <w:tab/>
      </w:r>
      <w:r>
        <w:tab/>
      </w:r>
      <w:r>
        <w:fldChar w:fldCharType="begin"/>
      </w:r>
      <w:r>
        <w:instrText xml:space="preserve"> PAGEREF AUTO_2002_46 \h </w:instrText>
      </w:r>
      <w:r>
        <w:fldChar w:fldCharType="separate"/>
      </w:r>
      <w:r w:rsidR="00CE7DF5">
        <w:rPr>
          <w:noProof/>
        </w:rPr>
        <w:t>1652</w:t>
      </w:r>
      <w:r>
        <w:fldChar w:fldCharType="end"/>
      </w:r>
    </w:p>
    <w:p w:rsidR="00795BAF" w:rsidRDefault="00795BAF" w:rsidP="00795BAF"/>
    <w:p w:rsidR="00795BAF" w:rsidRDefault="00795BAF" w:rsidP="00795BAF">
      <w:pPr>
        <w:pStyle w:val="EntradandiceAuto"/>
      </w:pPr>
      <w:r>
        <w:t>Pleno. Auto 47/2002, de 21 de marzo de 2002. Levanta parcialmente la suspensión de la Ley Foral 17/2001, de 12 de julio, reguladora del comercio en Navarra, en el recurso de inconstitucionalidad 5343-2001,  promovido por el Presidente del Gobierno</w:t>
      </w:r>
      <w:r>
        <w:tab/>
      </w:r>
      <w:r>
        <w:tab/>
      </w:r>
      <w:r>
        <w:fldChar w:fldCharType="begin"/>
      </w:r>
      <w:r>
        <w:instrText xml:space="preserve"> PAGEREF AUTO_2002_47 \h </w:instrText>
      </w:r>
      <w:r>
        <w:fldChar w:fldCharType="separate"/>
      </w:r>
      <w:r w:rsidR="00CE7DF5">
        <w:rPr>
          <w:noProof/>
        </w:rPr>
        <w:t>1657</w:t>
      </w:r>
      <w:r>
        <w:fldChar w:fldCharType="end"/>
      </w:r>
    </w:p>
    <w:p w:rsidR="00795BAF" w:rsidRDefault="00795BAF" w:rsidP="00795BAF"/>
    <w:p w:rsidR="00795BAF" w:rsidRDefault="00795BAF" w:rsidP="00795BAF">
      <w:pPr>
        <w:pStyle w:val="EntradandiceAuto"/>
      </w:pPr>
      <w:r>
        <w:lastRenderedPageBreak/>
        <w:t>Sección Primera. Auto 48/2002, de 21 de marzo de 2002. Acuerda el desistimiento en el recurso de amparo 5939-2001, promovido en proceso contencioso-administrativo.</w:t>
      </w:r>
      <w:r>
        <w:tab/>
      </w:r>
      <w:r>
        <w:tab/>
      </w:r>
      <w:r>
        <w:fldChar w:fldCharType="begin"/>
      </w:r>
      <w:r>
        <w:instrText xml:space="preserve"> PAGEREF AUTO_2002_48 \h </w:instrText>
      </w:r>
      <w:r>
        <w:fldChar w:fldCharType="separate"/>
      </w:r>
      <w:r w:rsidR="00CE7DF5">
        <w:rPr>
          <w:noProof/>
        </w:rPr>
        <w:t>1666</w:t>
      </w:r>
      <w:r>
        <w:fldChar w:fldCharType="end"/>
      </w:r>
    </w:p>
    <w:p w:rsidR="00795BAF" w:rsidRDefault="00795BAF" w:rsidP="00795BAF"/>
    <w:p w:rsidR="00795BAF" w:rsidRDefault="00795BAF" w:rsidP="00795BAF">
      <w:pPr>
        <w:pStyle w:val="EntradandiceAuto"/>
      </w:pPr>
      <w:r>
        <w:t>Sala Primera. Auto 49/2002, de 22 de marzo de 2002. Acuerda la suspensión en el recurso de amparo 3874-2001, interpuesto por don Joaquín, Pedro, Vicente y José Torregrosa Espinosa</w:t>
      </w:r>
      <w:r>
        <w:tab/>
      </w:r>
      <w:r>
        <w:tab/>
      </w:r>
      <w:r>
        <w:fldChar w:fldCharType="begin"/>
      </w:r>
      <w:r>
        <w:instrText xml:space="preserve"> PAGEREF AUTO_2002_49 \h </w:instrText>
      </w:r>
      <w:r>
        <w:fldChar w:fldCharType="separate"/>
      </w:r>
      <w:r w:rsidR="00CE7DF5">
        <w:rPr>
          <w:noProof/>
        </w:rPr>
        <w:t>1667</w:t>
      </w:r>
      <w:r>
        <w:fldChar w:fldCharType="end"/>
      </w:r>
    </w:p>
    <w:p w:rsidR="00795BAF" w:rsidRDefault="00795BAF" w:rsidP="00795BAF"/>
    <w:p w:rsidR="00795BAF" w:rsidRDefault="00795BAF" w:rsidP="00795BAF">
      <w:pPr>
        <w:pStyle w:val="EntradandiceAuto"/>
      </w:pPr>
      <w:r>
        <w:t>Sección Cuarta. Auto 50/2002, de 2 de abril de 2002. Inadmite a trámite el recurso de amparo 5098/99, interpuesto por don Reinaldo Gómez Guijarro</w:t>
      </w:r>
      <w:r>
        <w:tab/>
      </w:r>
      <w:r>
        <w:tab/>
      </w:r>
      <w:r>
        <w:fldChar w:fldCharType="begin"/>
      </w:r>
      <w:r>
        <w:instrText xml:space="preserve"> PAGEREF AUTO_2002_50 \h </w:instrText>
      </w:r>
      <w:r>
        <w:fldChar w:fldCharType="separate"/>
      </w:r>
      <w:r w:rsidR="00CE7DF5">
        <w:rPr>
          <w:noProof/>
        </w:rPr>
        <w:t>1671</w:t>
      </w:r>
      <w:r>
        <w:fldChar w:fldCharType="end"/>
      </w:r>
    </w:p>
    <w:p w:rsidR="00795BAF" w:rsidRDefault="00795BAF" w:rsidP="00795BAF"/>
    <w:p w:rsidR="00795BAF" w:rsidRDefault="00795BAF" w:rsidP="00795BAF">
      <w:pPr>
        <w:pStyle w:val="EntradandiceAuto"/>
      </w:pPr>
      <w:r>
        <w:t>Sección Cuarta. Auto 51/2002, de 2 de abril de 2002. Inadmite a trámite el recurso de amparo 3069-2000, interpuesto por don José Fernández Cabado</w:t>
      </w:r>
      <w:r>
        <w:tab/>
      </w:r>
      <w:r>
        <w:tab/>
      </w:r>
      <w:r>
        <w:fldChar w:fldCharType="begin"/>
      </w:r>
      <w:r>
        <w:instrText xml:space="preserve"> PAGEREF AUTO_2002_51 \h </w:instrText>
      </w:r>
      <w:r>
        <w:fldChar w:fldCharType="separate"/>
      </w:r>
      <w:r w:rsidR="00CE7DF5">
        <w:rPr>
          <w:noProof/>
        </w:rPr>
        <w:t>1676</w:t>
      </w:r>
      <w:r>
        <w:fldChar w:fldCharType="end"/>
      </w:r>
    </w:p>
    <w:p w:rsidR="00795BAF" w:rsidRDefault="00795BAF" w:rsidP="00795BAF"/>
    <w:p w:rsidR="00795BAF" w:rsidRDefault="00795BAF" w:rsidP="00795BAF">
      <w:pPr>
        <w:pStyle w:val="EntradandiceAuto"/>
      </w:pPr>
      <w:r>
        <w:t>Sección Cuarta. Auto 52/2002, de 2 de abril de 2002. Inadmite a trámite el recurso de amparo 5560-2000, interpuesto por doña Guadalupe Oliveros León</w:t>
      </w:r>
      <w:r>
        <w:tab/>
      </w:r>
      <w:r>
        <w:tab/>
      </w:r>
      <w:r>
        <w:fldChar w:fldCharType="begin"/>
      </w:r>
      <w:r>
        <w:instrText xml:space="preserve"> PAGEREF AUTO_2002_52 \h </w:instrText>
      </w:r>
      <w:r>
        <w:fldChar w:fldCharType="separate"/>
      </w:r>
      <w:r w:rsidR="00CE7DF5">
        <w:rPr>
          <w:noProof/>
        </w:rPr>
        <w:t>1681</w:t>
      </w:r>
      <w:r>
        <w:fldChar w:fldCharType="end"/>
      </w:r>
    </w:p>
    <w:p w:rsidR="00795BAF" w:rsidRDefault="00795BAF" w:rsidP="00795BAF"/>
    <w:p w:rsidR="00795BAF" w:rsidRDefault="00795BAF" w:rsidP="00795BAF">
      <w:pPr>
        <w:pStyle w:val="EntradandiceAuto"/>
      </w:pPr>
      <w:r>
        <w:t>Sala Segunda. Auto 53/2002, de 8 de abril de 2002. No aclara la STC 50/2002, dictada en el recurso de amparo 880/99, promovido por don Eugenio Ortiz de las Heras en causa por delito de imprudencia profesional</w:t>
      </w:r>
      <w:r>
        <w:tab/>
      </w:r>
      <w:r>
        <w:tab/>
      </w:r>
      <w:r>
        <w:fldChar w:fldCharType="begin"/>
      </w:r>
      <w:r>
        <w:instrText xml:space="preserve"> PAGEREF AUTO_2002_53 \h </w:instrText>
      </w:r>
      <w:r>
        <w:fldChar w:fldCharType="separate"/>
      </w:r>
      <w:r w:rsidR="00CE7DF5">
        <w:rPr>
          <w:noProof/>
        </w:rPr>
        <w:t>1687</w:t>
      </w:r>
      <w:r>
        <w:fldChar w:fldCharType="end"/>
      </w:r>
    </w:p>
    <w:p w:rsidR="00795BAF" w:rsidRDefault="00795BAF" w:rsidP="00795BAF"/>
    <w:p w:rsidR="00795BAF" w:rsidRDefault="00795BAF" w:rsidP="00795BAF">
      <w:pPr>
        <w:pStyle w:val="EntradandiceAuto"/>
      </w:pPr>
      <w:r>
        <w:t>Sección Cuarta. Auto 54/2002, de 8 de abril de 2002. Inadmite a trámite el recurso de amparo 2333-2000, interpuesto por Tol Moto S.L</w:t>
      </w:r>
      <w:r>
        <w:tab/>
      </w:r>
      <w:r>
        <w:tab/>
      </w:r>
      <w:r>
        <w:fldChar w:fldCharType="begin"/>
      </w:r>
      <w:r>
        <w:instrText xml:space="preserve"> PAGEREF AUTO_2002_54 \h </w:instrText>
      </w:r>
      <w:r>
        <w:fldChar w:fldCharType="separate"/>
      </w:r>
      <w:r w:rsidR="00CE7DF5">
        <w:rPr>
          <w:noProof/>
        </w:rPr>
        <w:t>1689</w:t>
      </w:r>
      <w:r>
        <w:fldChar w:fldCharType="end"/>
      </w:r>
    </w:p>
    <w:p w:rsidR="00795BAF" w:rsidRDefault="00795BAF" w:rsidP="00795BAF"/>
    <w:p w:rsidR="00795BAF" w:rsidRDefault="00795BAF" w:rsidP="00795BAF">
      <w:pPr>
        <w:pStyle w:val="EntradandiceAuto"/>
      </w:pPr>
      <w:r>
        <w:t>Sección Cuarta. Auto 55/2002, de 8 de abril de 2002. Inadmite a trámite el recurso de amparo 5251-2000, interpuesto por don Luis María Gallardo Rodríguez</w:t>
      </w:r>
      <w:r>
        <w:tab/>
      </w:r>
      <w:r>
        <w:tab/>
      </w:r>
      <w:r>
        <w:fldChar w:fldCharType="begin"/>
      </w:r>
      <w:r>
        <w:instrText xml:space="preserve"> PAGEREF AUTO_2002_55 \h </w:instrText>
      </w:r>
      <w:r>
        <w:fldChar w:fldCharType="separate"/>
      </w:r>
      <w:r w:rsidR="00CE7DF5">
        <w:rPr>
          <w:noProof/>
        </w:rPr>
        <w:t>1693</w:t>
      </w:r>
      <w:r>
        <w:fldChar w:fldCharType="end"/>
      </w:r>
    </w:p>
    <w:p w:rsidR="00795BAF" w:rsidRDefault="00795BAF" w:rsidP="00795BAF"/>
    <w:p w:rsidR="00795BAF" w:rsidRDefault="00795BAF" w:rsidP="00795BAF">
      <w:pPr>
        <w:pStyle w:val="EntradandiceAuto"/>
      </w:pPr>
      <w:r>
        <w:t>Sección Cuarta. Auto 56/2002, de 8 de abril de 2002. Inadmite a trámite el recurso de amparo 5679-2000, interpuesto por don Joaquín Varas Mateos</w:t>
      </w:r>
      <w:r>
        <w:tab/>
      </w:r>
      <w:r>
        <w:tab/>
      </w:r>
      <w:r>
        <w:fldChar w:fldCharType="begin"/>
      </w:r>
      <w:r>
        <w:instrText xml:space="preserve"> PAGEREF AUTO_2002_56 \h </w:instrText>
      </w:r>
      <w:r>
        <w:fldChar w:fldCharType="separate"/>
      </w:r>
      <w:r w:rsidR="00CE7DF5">
        <w:rPr>
          <w:noProof/>
        </w:rPr>
        <w:t>1698</w:t>
      </w:r>
      <w:r>
        <w:fldChar w:fldCharType="end"/>
      </w:r>
    </w:p>
    <w:p w:rsidR="00795BAF" w:rsidRDefault="00795BAF" w:rsidP="00795BAF"/>
    <w:p w:rsidR="00795BAF" w:rsidRDefault="00795BAF" w:rsidP="00795BAF">
      <w:pPr>
        <w:pStyle w:val="EntradandiceAuto"/>
      </w:pPr>
      <w:r>
        <w:t>Sección Primera. Auto 57/2002, de 8 de abril de 2002. Acuerda el desistimiento en el recurso de amparo 6198-2000, promovido por la entidad José Antonio Jiménez Gómez S.L.</w:t>
      </w:r>
      <w:r>
        <w:tab/>
      </w:r>
      <w:r>
        <w:tab/>
      </w:r>
      <w:r>
        <w:fldChar w:fldCharType="begin"/>
      </w:r>
      <w:r>
        <w:instrText xml:space="preserve"> PAGEREF AUTO_2002_57 \h </w:instrText>
      </w:r>
      <w:r>
        <w:fldChar w:fldCharType="separate"/>
      </w:r>
      <w:r w:rsidR="00CE7DF5">
        <w:rPr>
          <w:noProof/>
        </w:rPr>
        <w:t>1704</w:t>
      </w:r>
      <w:r>
        <w:fldChar w:fldCharType="end"/>
      </w:r>
    </w:p>
    <w:p w:rsidR="00795BAF" w:rsidRDefault="00795BAF" w:rsidP="00795BAF"/>
    <w:p w:rsidR="00795BAF" w:rsidRDefault="00795BAF" w:rsidP="00795BAF">
      <w:pPr>
        <w:pStyle w:val="EntradandiceAuto"/>
      </w:pPr>
      <w:r>
        <w:t>Sala Primera. Auto 58/2002, de 8 de abril de 2002. Acuerda la suspensión parcial en el recurso de amparo 2674-2001, interpuesto por don Miguel Arango Arias</w:t>
      </w:r>
      <w:r>
        <w:tab/>
      </w:r>
      <w:r>
        <w:tab/>
      </w:r>
      <w:r>
        <w:fldChar w:fldCharType="begin"/>
      </w:r>
      <w:r>
        <w:instrText xml:space="preserve"> PAGEREF AUTO_2002_58 \h </w:instrText>
      </w:r>
      <w:r>
        <w:fldChar w:fldCharType="separate"/>
      </w:r>
      <w:r w:rsidR="00CE7DF5">
        <w:rPr>
          <w:noProof/>
        </w:rPr>
        <w:t>1705</w:t>
      </w:r>
      <w:r>
        <w:fldChar w:fldCharType="end"/>
      </w:r>
    </w:p>
    <w:p w:rsidR="00795BAF" w:rsidRDefault="00795BAF" w:rsidP="00795BAF"/>
    <w:p w:rsidR="00795BAF" w:rsidRDefault="00795BAF" w:rsidP="00795BAF">
      <w:pPr>
        <w:pStyle w:val="EntradandiceAuto"/>
      </w:pPr>
      <w:r>
        <w:lastRenderedPageBreak/>
        <w:t>Sección Tercera. Auto 59/2002, de 8 de abril de 2002. Acuerda el desistimiento en el recurso de amparo 6140-2001, promovido en proceso contencioso-administrativo.</w:t>
      </w:r>
      <w:r>
        <w:tab/>
      </w:r>
      <w:r>
        <w:tab/>
      </w:r>
      <w:r>
        <w:fldChar w:fldCharType="begin"/>
      </w:r>
      <w:r>
        <w:instrText xml:space="preserve"> PAGEREF AUTO_2002_59 \h </w:instrText>
      </w:r>
      <w:r>
        <w:fldChar w:fldCharType="separate"/>
      </w:r>
      <w:r w:rsidR="00CE7DF5">
        <w:rPr>
          <w:noProof/>
        </w:rPr>
        <w:t>1709</w:t>
      </w:r>
      <w:r>
        <w:fldChar w:fldCharType="end"/>
      </w:r>
    </w:p>
    <w:p w:rsidR="00795BAF" w:rsidRDefault="00795BAF" w:rsidP="00795BAF"/>
    <w:p w:rsidR="00795BAF" w:rsidRDefault="00795BAF" w:rsidP="00795BAF">
      <w:pPr>
        <w:pStyle w:val="EntradandiceAuto"/>
      </w:pPr>
      <w:r>
        <w:t>Sección Tercera. Auto 60/2002, de 8 de abril de 2002. Acuerda el desistimiento en el recurso de amparo 6309-2001, promovido en pleito civil.</w:t>
      </w:r>
      <w:r>
        <w:tab/>
      </w:r>
      <w:r>
        <w:tab/>
      </w:r>
      <w:r>
        <w:fldChar w:fldCharType="begin"/>
      </w:r>
      <w:r>
        <w:instrText xml:space="preserve"> PAGEREF AUTO_2002_60 \h </w:instrText>
      </w:r>
      <w:r>
        <w:fldChar w:fldCharType="separate"/>
      </w:r>
      <w:r w:rsidR="00CE7DF5">
        <w:rPr>
          <w:noProof/>
        </w:rPr>
        <w:t>1710</w:t>
      </w:r>
      <w:r>
        <w:fldChar w:fldCharType="end"/>
      </w:r>
    </w:p>
    <w:p w:rsidR="00795BAF" w:rsidRDefault="00795BAF" w:rsidP="00795BAF"/>
    <w:p w:rsidR="00795BAF" w:rsidRDefault="00795BAF" w:rsidP="00795BAF">
      <w:pPr>
        <w:pStyle w:val="EntradandiceAuto"/>
      </w:pPr>
      <w:r>
        <w:t>Pleno. Auto 61/2002, de 11 de abril de 2002. Deniega la suspensión en el recurso de inconstitucionalidad 1771-2001 planteado por el Presidente del Gobierno en relación con el Decreto de la Junta de Comunidades de Castilla-La Mancha 169/2001, de 24 de julio, para la aplicación de la Ley de las Cortes de Castilla-La Mancha 11/2000, de 26 de diciembre</w:t>
      </w:r>
      <w:r>
        <w:tab/>
      </w:r>
      <w:r>
        <w:tab/>
      </w:r>
      <w:r>
        <w:fldChar w:fldCharType="begin"/>
      </w:r>
      <w:r>
        <w:instrText xml:space="preserve"> PAGEREF AUTO_2002_61 \h </w:instrText>
      </w:r>
      <w:r>
        <w:fldChar w:fldCharType="separate"/>
      </w:r>
      <w:r w:rsidR="00CE7DF5">
        <w:rPr>
          <w:noProof/>
        </w:rPr>
        <w:t>1711</w:t>
      </w:r>
      <w:r>
        <w:fldChar w:fldCharType="end"/>
      </w:r>
    </w:p>
    <w:p w:rsidR="00795BAF" w:rsidRDefault="00795BAF" w:rsidP="00795BAF"/>
    <w:p w:rsidR="00795BAF" w:rsidRDefault="00795BAF" w:rsidP="00795BAF">
      <w:pPr>
        <w:pStyle w:val="EntradandiceAuto"/>
      </w:pPr>
      <w:r>
        <w:t>Sala Segunda. Auto 62/2002, de 22 de abril de 2002. Acuerda la suspensión parcial en el recurso de amparo 3782-2000, interpuesto por don José Antonio Mas Farre</w:t>
      </w:r>
      <w:r>
        <w:tab/>
      </w:r>
      <w:r>
        <w:tab/>
      </w:r>
      <w:r>
        <w:fldChar w:fldCharType="begin"/>
      </w:r>
      <w:r>
        <w:instrText xml:space="preserve"> PAGEREF AUTO_2002_62 \h </w:instrText>
      </w:r>
      <w:r>
        <w:fldChar w:fldCharType="separate"/>
      </w:r>
      <w:r w:rsidR="00CE7DF5">
        <w:rPr>
          <w:noProof/>
        </w:rPr>
        <w:t>1716</w:t>
      </w:r>
      <w:r>
        <w:fldChar w:fldCharType="end"/>
      </w:r>
    </w:p>
    <w:p w:rsidR="00795BAF" w:rsidRDefault="00795BAF" w:rsidP="00795BAF"/>
    <w:p w:rsidR="00795BAF" w:rsidRDefault="00795BAF" w:rsidP="00795BAF">
      <w:pPr>
        <w:pStyle w:val="EntradandiceAuto"/>
      </w:pPr>
      <w:r>
        <w:t>Sala Primera. Auto 63/2002, de 22 de abril de 2002. Deniega la suspensión en el recurso de amparo 45-2001, interpuesto por don Enrique Martínez Santiago</w:t>
      </w:r>
      <w:r>
        <w:tab/>
      </w:r>
      <w:r>
        <w:tab/>
      </w:r>
      <w:r>
        <w:fldChar w:fldCharType="begin"/>
      </w:r>
      <w:r>
        <w:instrText xml:space="preserve"> PAGEREF AUTO_2002_63 \h </w:instrText>
      </w:r>
      <w:r>
        <w:fldChar w:fldCharType="separate"/>
      </w:r>
      <w:r w:rsidR="00CE7DF5">
        <w:rPr>
          <w:noProof/>
        </w:rPr>
        <w:t>1719</w:t>
      </w:r>
      <w:r>
        <w:fldChar w:fldCharType="end"/>
      </w:r>
    </w:p>
    <w:p w:rsidR="00795BAF" w:rsidRDefault="00795BAF" w:rsidP="00795BAF"/>
    <w:p w:rsidR="00795BAF" w:rsidRDefault="00795BAF" w:rsidP="00795BAF">
      <w:pPr>
        <w:pStyle w:val="EntradandiceAuto"/>
      </w:pPr>
      <w:r>
        <w:t>Sala Primera. Auto 64/2002, de 22 de abril de 2002. Deniega la suspensión en el recurso de amparo 240-2001, interpuesto por Imperial Park Country Club Properties Ltd.</w:t>
      </w:r>
      <w:r>
        <w:tab/>
      </w:r>
      <w:r>
        <w:tab/>
      </w:r>
      <w:r>
        <w:fldChar w:fldCharType="begin"/>
      </w:r>
      <w:r>
        <w:instrText xml:space="preserve"> PAGEREF AUTO_2002_64 \h </w:instrText>
      </w:r>
      <w:r>
        <w:fldChar w:fldCharType="separate"/>
      </w:r>
      <w:r w:rsidR="00CE7DF5">
        <w:rPr>
          <w:noProof/>
        </w:rPr>
        <w:t>1723</w:t>
      </w:r>
      <w:r>
        <w:fldChar w:fldCharType="end"/>
      </w:r>
    </w:p>
    <w:p w:rsidR="00795BAF" w:rsidRDefault="00795BAF" w:rsidP="00795BAF"/>
    <w:p w:rsidR="00795BAF" w:rsidRDefault="00795BAF" w:rsidP="00795BAF">
      <w:pPr>
        <w:pStyle w:val="EntradandiceAuto"/>
      </w:pPr>
      <w:r>
        <w:t>Sala Primera. Auto 65/2002, de 22 de abril de 2002. Acuerda la suspensión parcial en el recurso de amparo 404-2001, interpuesto por don Juan Heredia Rodríguez</w:t>
      </w:r>
      <w:r>
        <w:tab/>
      </w:r>
      <w:r>
        <w:tab/>
      </w:r>
      <w:r>
        <w:fldChar w:fldCharType="begin"/>
      </w:r>
      <w:r>
        <w:instrText xml:space="preserve"> PAGEREF AUTO_2002_65 \h </w:instrText>
      </w:r>
      <w:r>
        <w:fldChar w:fldCharType="separate"/>
      </w:r>
      <w:r w:rsidR="00CE7DF5">
        <w:rPr>
          <w:noProof/>
        </w:rPr>
        <w:t>1727</w:t>
      </w:r>
      <w:r>
        <w:fldChar w:fldCharType="end"/>
      </w:r>
    </w:p>
    <w:p w:rsidR="00795BAF" w:rsidRDefault="00795BAF" w:rsidP="00795BAF"/>
    <w:p w:rsidR="00795BAF" w:rsidRDefault="00795BAF" w:rsidP="00795BAF">
      <w:pPr>
        <w:pStyle w:val="EntradandiceAuto"/>
      </w:pPr>
      <w:r>
        <w:t>Sala Segunda. Auto 66/2002, de 22 de abril de 2002. Deniega la suspensión en el recurso de amparo 1544-2001, interpuesto por don Francisco Marín Crujera</w:t>
      </w:r>
      <w:r>
        <w:tab/>
      </w:r>
      <w:r>
        <w:tab/>
      </w:r>
      <w:r>
        <w:fldChar w:fldCharType="begin"/>
      </w:r>
      <w:r>
        <w:instrText xml:space="preserve"> PAGEREF AUTO_2002_66 \h </w:instrText>
      </w:r>
      <w:r>
        <w:fldChar w:fldCharType="separate"/>
      </w:r>
      <w:r w:rsidR="00CE7DF5">
        <w:rPr>
          <w:noProof/>
        </w:rPr>
        <w:t>1731</w:t>
      </w:r>
      <w:r>
        <w:fldChar w:fldCharType="end"/>
      </w:r>
    </w:p>
    <w:p w:rsidR="00795BAF" w:rsidRDefault="00795BAF" w:rsidP="00795BAF"/>
    <w:p w:rsidR="00795BAF" w:rsidRDefault="00795BAF" w:rsidP="00795BAF">
      <w:pPr>
        <w:pStyle w:val="EntradandiceAuto"/>
      </w:pPr>
      <w:r>
        <w:t>Sala Primera. Auto 67/2002, de 22 de abril de 2002. Acuerda la suspensión en el recurso de amparo 1571-2001, interpuesto por don José Arturo Fernández Rodríguez</w:t>
      </w:r>
      <w:r>
        <w:tab/>
      </w:r>
      <w:r>
        <w:tab/>
      </w:r>
      <w:r>
        <w:fldChar w:fldCharType="begin"/>
      </w:r>
      <w:r>
        <w:instrText xml:space="preserve"> PAGEREF AUTO_2002_67 \h </w:instrText>
      </w:r>
      <w:r>
        <w:fldChar w:fldCharType="separate"/>
      </w:r>
      <w:r w:rsidR="00CE7DF5">
        <w:rPr>
          <w:noProof/>
        </w:rPr>
        <w:t>1737</w:t>
      </w:r>
      <w:r>
        <w:fldChar w:fldCharType="end"/>
      </w:r>
    </w:p>
    <w:p w:rsidR="00795BAF" w:rsidRDefault="00795BAF" w:rsidP="00795BAF"/>
    <w:p w:rsidR="00795BAF" w:rsidRDefault="00795BAF" w:rsidP="00795BAF">
      <w:pPr>
        <w:pStyle w:val="EntradandiceAuto"/>
      </w:pPr>
      <w:r>
        <w:t>Sección Cuarta. Auto 68/2002, de 22 de abril de 2002. Inadmite a trámite el recurso de amparo 1634-2001, interpuesto por don Domingo Berruezo García</w:t>
      </w:r>
      <w:r>
        <w:tab/>
      </w:r>
      <w:r>
        <w:tab/>
      </w:r>
      <w:r>
        <w:fldChar w:fldCharType="begin"/>
      </w:r>
      <w:r>
        <w:instrText xml:space="preserve"> PAGEREF AUTO_2002_68 \h </w:instrText>
      </w:r>
      <w:r>
        <w:fldChar w:fldCharType="separate"/>
      </w:r>
      <w:r w:rsidR="00CE7DF5">
        <w:rPr>
          <w:noProof/>
        </w:rPr>
        <w:t>1741</w:t>
      </w:r>
      <w:r>
        <w:fldChar w:fldCharType="end"/>
      </w:r>
    </w:p>
    <w:p w:rsidR="00795BAF" w:rsidRDefault="00795BAF" w:rsidP="00795BAF"/>
    <w:p w:rsidR="00795BAF" w:rsidRDefault="00795BAF" w:rsidP="00795BAF">
      <w:pPr>
        <w:pStyle w:val="EntradandiceAuto"/>
      </w:pPr>
      <w:r>
        <w:t>Sala Segunda. Auto 69/2002, de 22 de abril de 2002. Deniega la suspensión en el recurso de amparo 2581-2001, interpuesto por don Manuel Alejandro Leal Fernández</w:t>
      </w:r>
      <w:r>
        <w:tab/>
      </w:r>
      <w:r>
        <w:tab/>
      </w:r>
      <w:r>
        <w:fldChar w:fldCharType="begin"/>
      </w:r>
      <w:r>
        <w:instrText xml:space="preserve"> PAGEREF AUTO_2002_69 \h </w:instrText>
      </w:r>
      <w:r>
        <w:fldChar w:fldCharType="separate"/>
      </w:r>
      <w:r w:rsidR="00CE7DF5">
        <w:rPr>
          <w:noProof/>
        </w:rPr>
        <w:t>1747</w:t>
      </w:r>
      <w:r>
        <w:fldChar w:fldCharType="end"/>
      </w:r>
    </w:p>
    <w:p w:rsidR="00795BAF" w:rsidRDefault="00795BAF" w:rsidP="00795BAF"/>
    <w:p w:rsidR="00795BAF" w:rsidRDefault="00795BAF" w:rsidP="00795BAF">
      <w:pPr>
        <w:pStyle w:val="EntradandiceAuto"/>
      </w:pPr>
      <w:r>
        <w:t>Sección Tercera. Auto 70/2002, de 22 de abril de 2002. Acuerda el desistimiento en el recurso de amparo 4657-2001.</w:t>
      </w:r>
      <w:r>
        <w:tab/>
      </w:r>
      <w:r>
        <w:tab/>
      </w:r>
      <w:r>
        <w:fldChar w:fldCharType="begin"/>
      </w:r>
      <w:r>
        <w:instrText xml:space="preserve"> PAGEREF AUTO_2002_70 \h </w:instrText>
      </w:r>
      <w:r>
        <w:fldChar w:fldCharType="separate"/>
      </w:r>
      <w:r w:rsidR="00CE7DF5">
        <w:rPr>
          <w:noProof/>
        </w:rPr>
        <w:t>1751</w:t>
      </w:r>
      <w:r>
        <w:fldChar w:fldCharType="end"/>
      </w:r>
    </w:p>
    <w:p w:rsidR="00795BAF" w:rsidRDefault="00795BAF" w:rsidP="00795BAF"/>
    <w:p w:rsidR="00795BAF" w:rsidRDefault="00795BAF" w:rsidP="00795BAF">
      <w:pPr>
        <w:pStyle w:val="EntradandiceAuto"/>
      </w:pPr>
      <w:r>
        <w:t>Sala Primera. Auto 71/2002, de 22 de abril de 2002. Deniega la suspensión en el recurso de amparo 4791-2001, interpuesto por Nationale Nederlanden Vida, Compañía de Seguros y Reaseguros SAE</w:t>
      </w:r>
      <w:r>
        <w:tab/>
      </w:r>
      <w:r>
        <w:tab/>
      </w:r>
      <w:r>
        <w:fldChar w:fldCharType="begin"/>
      </w:r>
      <w:r>
        <w:instrText xml:space="preserve"> PAGEREF AUTO_2002_71 \h </w:instrText>
      </w:r>
      <w:r>
        <w:fldChar w:fldCharType="separate"/>
      </w:r>
      <w:r w:rsidR="00CE7DF5">
        <w:rPr>
          <w:noProof/>
        </w:rPr>
        <w:t>1752</w:t>
      </w:r>
      <w:r>
        <w:fldChar w:fldCharType="end"/>
      </w:r>
    </w:p>
    <w:p w:rsidR="00795BAF" w:rsidRDefault="00795BAF" w:rsidP="00795BAF"/>
    <w:p w:rsidR="00795BAF" w:rsidRDefault="00795BAF" w:rsidP="00795BAF">
      <w:pPr>
        <w:pStyle w:val="EntradandiceAuto"/>
      </w:pPr>
      <w:r>
        <w:t>Pleno. Auto 72/2002, de 23 de abril de 2002. Inadmite a trámite la cuestión de inconstitucionalidad planteada por el Juzgado de Primera Instancia núm. 19 de Valencia respecto disposición adicional tercera de la Ley de las Cortes Valencianas 11/1994, de 27 de diciembre, de espacios naturales protegidos de la Comunidad Valenciana</w:t>
      </w:r>
      <w:r>
        <w:tab/>
      </w:r>
      <w:r>
        <w:tab/>
      </w:r>
      <w:r>
        <w:fldChar w:fldCharType="begin"/>
      </w:r>
      <w:r>
        <w:instrText xml:space="preserve"> PAGEREF AUTO_2002_72 \h </w:instrText>
      </w:r>
      <w:r>
        <w:fldChar w:fldCharType="separate"/>
      </w:r>
      <w:r w:rsidR="00CE7DF5">
        <w:rPr>
          <w:noProof/>
        </w:rPr>
        <w:t>1756</w:t>
      </w:r>
      <w:r>
        <w:fldChar w:fldCharType="end"/>
      </w:r>
    </w:p>
    <w:p w:rsidR="00795BAF" w:rsidRDefault="00795BAF">
      <w:r>
        <w:br w:type="page"/>
      </w:r>
    </w:p>
    <w:p w:rsidR="00795BAF" w:rsidRDefault="00795BAF" w:rsidP="0025129F"/>
    <w:p w:rsidR="00795BAF" w:rsidRDefault="00795BAF" w:rsidP="0025129F"/>
    <w:p w:rsidR="0025129F" w:rsidRDefault="0025129F" w:rsidP="0025129F"/>
    <w:p w:rsidR="0025129F" w:rsidRDefault="0025129F" w:rsidP="0025129F"/>
    <w:p w:rsidR="0025129F" w:rsidRDefault="0025129F" w:rsidP="0025129F"/>
    <w:p w:rsidR="0025129F" w:rsidRDefault="0025129F" w:rsidP="0025129F"/>
    <w:p w:rsidR="0025129F" w:rsidRDefault="0025129F" w:rsidP="0025129F"/>
    <w:p w:rsidR="0025129F" w:rsidRDefault="0025129F" w:rsidP="0025129F"/>
    <w:p w:rsidR="0025129F" w:rsidRDefault="0025129F" w:rsidP="0025129F">
      <w:pPr>
        <w:pStyle w:val="CabeceraApartado"/>
      </w:pPr>
      <w:r>
        <w:t>SENTENCIAS</w:t>
      </w:r>
    </w:p>
    <w:p w:rsidR="0025129F" w:rsidRDefault="0025129F">
      <w:pPr>
        <w:rPr>
          <w:rFonts w:ascii="Times New Roman" w:eastAsia="Times New Roman" w:hAnsi="Times New Roman" w:cs="Times New Roman"/>
          <w:sz w:val="48"/>
          <w:szCs w:val="24"/>
          <w:lang w:eastAsia="es-ES"/>
        </w:rPr>
      </w:pPr>
      <w:r>
        <w:br w:type="page"/>
      </w:r>
    </w:p>
    <w:p w:rsidR="0025129F" w:rsidRDefault="0025129F" w:rsidP="0025129F">
      <w:pPr>
        <w:pStyle w:val="TtuloResolucin"/>
      </w:pPr>
      <w:bookmarkStart w:id="4" w:name="SENTENCIA_2002_1"/>
      <w:r>
        <w:lastRenderedPageBreak/>
        <w:t>SENTENCIA 1/2002, de 14 de enero de 2002</w:t>
      </w:r>
    </w:p>
    <w:bookmarkEnd w:id="4"/>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ECLI:ES:TC:2002:1</w:t>
      </w:r>
    </w:p>
    <w:p w:rsidR="0025129F" w:rsidRDefault="0025129F" w:rsidP="0025129F">
      <w:pPr>
        <w:pStyle w:val="SntesisDescriptiva"/>
      </w:pPr>
    </w:p>
    <w:p w:rsidR="0025129F" w:rsidRDefault="0025129F" w:rsidP="0025129F">
      <w:pPr>
        <w:pStyle w:val="SntesisDescriptiva"/>
      </w:pPr>
      <w:r>
        <w:t>Recurso de amparo 64/97. Promovido por doña Aurora López Díaz y otra frente a la Sentencia del Juzgado de Primera Instancia de Sarria que les condenó a la entrega de la finca “Prado de Veiga”.</w:t>
      </w:r>
    </w:p>
    <w:p w:rsidR="0025129F" w:rsidRDefault="0025129F" w:rsidP="0025129F">
      <w:pPr>
        <w:pStyle w:val="SntesisDescriptiva"/>
      </w:pPr>
    </w:p>
    <w:p w:rsidR="0025129F" w:rsidRDefault="0025129F" w:rsidP="0025129F">
      <w:pPr>
        <w:pStyle w:val="SntesisAnaltica"/>
      </w:pPr>
      <w:r>
        <w:t>Vulneración del derecho a la tutela judicial sin indefensión: emplazamiento edictal en pleito civil sin haber logrado una comunicación efectiva en el domicilio designado por una vecina en otra localidad.</w:t>
      </w:r>
    </w:p>
    <w:p w:rsidR="0025129F" w:rsidRDefault="0025129F" w:rsidP="0025129F">
      <w:pPr>
        <w:pStyle w:val="SntesisAnaltica"/>
      </w:pPr>
    </w:p>
    <w:p w:rsidR="0025129F" w:rsidRDefault="0025129F" w:rsidP="0025129F">
      <w:pPr>
        <w:pStyle w:val="Extracto"/>
      </w:pPr>
      <w:r>
        <w:t>1.</w:t>
      </w:r>
      <w:r>
        <w:tab/>
        <w:t>Una vez conocido un domicilio cierto de las dos demandadas en Armilla ( Granada) y entregado al Procurador del actor exhorto dirigido al Juzgado Decano de los de dicha ciudad para su emplazamiento, al no reportarse tal exhorto, debió el órgano jurisdiccional recabar su devolución, no pasar directamente al emplazamiento edictal [FJ 4].</w:t>
      </w:r>
    </w:p>
    <w:p w:rsidR="0025129F" w:rsidRDefault="0025129F" w:rsidP="0025129F">
      <w:pPr>
        <w:pStyle w:val="Extracto"/>
      </w:pPr>
    </w:p>
    <w:p w:rsidR="0025129F" w:rsidRDefault="0025129F" w:rsidP="0025129F">
      <w:pPr>
        <w:pStyle w:val="Extracto"/>
      </w:pPr>
      <w:r>
        <w:t>2.</w:t>
      </w:r>
      <w:r>
        <w:tab/>
        <w:t>La comparecencia de la vecina que aportó sus señas, y la notificación, integran base bastante para derivar de ellas, con un enlace preciso y directo según las reglas del criterio humano, aquel anterior conocimiento extraprocesal de la pendencia del proceso [FJ 4].</w:t>
      </w:r>
    </w:p>
    <w:p w:rsidR="0025129F" w:rsidRDefault="0025129F" w:rsidP="0025129F">
      <w:pPr>
        <w:pStyle w:val="Extracto"/>
      </w:pPr>
    </w:p>
    <w:p w:rsidR="0025129F" w:rsidRDefault="0025129F" w:rsidP="0025129F">
      <w:pPr>
        <w:pStyle w:val="Extracto"/>
      </w:pPr>
      <w:r>
        <w:t>3.</w:t>
      </w:r>
      <w:r>
        <w:tab/>
        <w:t>El art. 24.1 CE lleva a exigir en lo posible el emplazamiento personal de los demandados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64/97, promovido por doña Aurora López Díaz y doña Aurora López López, representadas por el Procurador de los Tribunales don Manuel Ramiro López Fernández y asistidas del Letrado don Antonio Díaz Fuentes, contra la Sentencia de 21 de marzo de 1995 dictada por el Juzgado en Primera Instancia de Sarria (Lugo) en autos de juicio declarativo de menor cuantía núm. 46/91. Han intervenido el Minis</w:t>
      </w:r>
      <w:r>
        <w:lastRenderedPageBreak/>
        <w:t>terio Fiscal y don Gerardo Vázquez Dosío, representado por el Procurador don Rafael Gamarra Megías y defendido por el Letrado don José M. Campo Moscoso. Ha sido Ponente el Magistrado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que tuvo entrada en el Registro General de este Tribunal el día 7 de enero de 1997, el Procurador de los Tribunales don Manuel Ramiro López Fernández, en nombre y representación de doña Aurora López López y doña Aurora López Díaz, interpuso recurso de amparo contra la Sentencia de 21 de marzo de 1995 dictada por el Juzgado de Primera Instancia de Sarria (Lugo) en autos de juicio declarativo de menor cuantía, por entender que dicha Sentencia había vulnerado su derecho a obtener tutela judicial efectiva sin indefensión (ex art. 24.1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en síntesis, los siguientes: </w:t>
      </w:r>
    </w:p>
    <w:p w:rsidR="0025129F" w:rsidRDefault="0025129F" w:rsidP="0025129F">
      <w:pPr>
        <w:pStyle w:val="TextoNormal"/>
      </w:pPr>
      <w:r>
        <w:t xml:space="preserve">a) En fecha 16 de diciembre de 1996 se notifica a la demandante de amparo doña Aurora López Díaz una providencia, de fecha 18 de noviembre de 1996, dictada por el Juzgado de Primera Instancia de Sarria (Lugo), por la que, en ejecución de sentencia recaída en juicio de menor cuantía seguido en ese Juzgado, se acuerda la entrega de la posesión de la finca “Prado de Abajo o de Veiga”, sin que la recurrente hubiese tenido antes conocimiento de la tramitación y resolución de dicho procedimiento judicial. </w:t>
      </w:r>
    </w:p>
    <w:p w:rsidR="0025129F" w:rsidRDefault="0025129F" w:rsidP="0025129F">
      <w:pPr>
        <w:pStyle w:val="TextoNormal"/>
      </w:pPr>
      <w:r>
        <w:t xml:space="preserve">Ante tal conocimiento de la existencia de las actuaciones judiciales, averiguan las demandantes de amparo en dicho Juzgado que don Gerardo Vázquez Dosío había promovido en su día un proceso declarativo de menor cuantía ante el citado Juzgado contra las recurrentes, doña Aurora López Díaz y su hija doña Aurora López López, señalando a la primera como vecina de Sarria (c/Calvo Sotelo núm. 117) y a la segunda como ausente en ignorado paradero, así como contra otras personas desconocidas e inciertas, instando además de declaración de herederos, la declaración de propiedad de la finca ya referenciada que el actor afirmaba de su propiedad por ser de su causante (doña Purificación Rodríguez Quiroga), teniendo por nulo cualquier título que las demandadas pudieran invocar sobre la referida finca y las consecuentes inscripciones registrales. </w:t>
      </w:r>
    </w:p>
    <w:p w:rsidR="0025129F" w:rsidRDefault="0025129F" w:rsidP="0025129F">
      <w:pPr>
        <w:pStyle w:val="TextoNormal"/>
      </w:pPr>
      <w:r>
        <w:t xml:space="preserve">b) También tuvieron conocimiento las actoras de que el Juzgado había acordado su emplazamiento en el citado juicio declarativo mediante propuesta de providencia de 26 de febrero de 1991 a fin de que el mismo se practicase, respecto de doña Aurora López Díaz, en el domicilio señalado en la demanda, produciéndose una comparecencia el 11 de abril de 1991 por parte de doña Pilar López Torres, vecina de Sarria, c/Diego Pazos, 69, haciendo constar que “la demandada doña Aurora López Díaz reside durante la temporada de invierno en el domicilio de una hija suya, sito en la Urbanización de San Nicolás, nº 18 Armilla de Granada, regresando cada verano a su residencia en ésta y domicilio que se cita en la demanda; acostumbra a venir en junio para volver a Granada en diciembre”. </w:t>
      </w:r>
    </w:p>
    <w:p w:rsidR="0025129F" w:rsidRDefault="0025129F" w:rsidP="0025129F">
      <w:pPr>
        <w:pStyle w:val="TextoNormal"/>
      </w:pPr>
      <w:r>
        <w:t xml:space="preserve">En la misma diligencia se tienen por efectuadas las anteriores manifestaciones y se acuerda dar traslado a la parte actora para que inste lo conveniente a su derecho, lo que verifica mediante escrito de 4 de septiembre de 1991 por el que se pide se libre exhorto a Granada para efectuar el emplazamiento. Consta entregado el exhorto al Procurador del demandante, pero no aparece que fuera nunca devuelto ni cumplimentado. </w:t>
      </w:r>
    </w:p>
    <w:p w:rsidR="0025129F" w:rsidRDefault="0025129F" w:rsidP="0025129F">
      <w:pPr>
        <w:pStyle w:val="TextoNormal"/>
      </w:pPr>
      <w:r>
        <w:lastRenderedPageBreak/>
        <w:t xml:space="preserve">c) Posteriormente, figura en los autos una diligencia de 9 de noviembre de 1992 para el emplazamiento de doña Aurora López Díaz en el domicilio que se señalaba en la demanda donde se consigna que “no es hallado nadie”, de lo que se da traslado a la parte actora que, finalmente, postula el emplazamiento de ambas demandadas por edictos, a lo que accede el Juzgado por providencia de 24 de mayo de 1993, sin haberse cumplimentado el exhorto dirigido al Juzgado de Granada y constando en autos información acerca del domicilio de doña Aurora López López en dicha ciudad, así como la estancia habitual con ella de su madre, doña Aurora López Díaz. </w:t>
      </w:r>
    </w:p>
    <w:p w:rsidR="0025129F" w:rsidRDefault="0025129F" w:rsidP="0025129F">
      <w:pPr>
        <w:pStyle w:val="TextoNormal"/>
      </w:pPr>
      <w:r>
        <w:t xml:space="preserve">Con todo ello, se elude el conocimiento de la existencia del pleito por parte de las demandadas, que permanecieron todo el tiempo en situación procesal de rebeldía, privándose a las mismas de intervenir en el proceso y ejercitar su derecho de defensa, resultando condenadas sin haber sido oídas, pues la declaración de rebeldía se produjo por propuesta de providencia de 8 de junio de 1993 y, tramitado el proceso sólo con la intervención del actor, recayó Sentencia de 21 de marzo de 1995 estimando íntegramente la demanda inicial, que fue notificada también por edicto publicado en el Boletín Oficial de la Provincia de Lugo. </w:t>
      </w:r>
    </w:p>
    <w:p w:rsidR="0025129F" w:rsidRDefault="0025129F" w:rsidP="0025129F">
      <w:pPr>
        <w:pStyle w:val="TextoNormal"/>
      </w:pPr>
      <w:r>
        <w:t>d) Adquirida firmeza por la Sentencia, el demandante dejó transcurrir más de un año para pedir la ejecución, viéndose así también la parte demandada privada del recurso de audiencia en justicia que regulaba el art. 777 LEC. En fecha 14 de octubre de 1996, se insta dicha ejecución, a la que accede el Juzgado por providencia de 18 de noviembre de 1996 y, en esta ocasión, la notificación a doña Aurora López Díaz se verifica, en fecha 16 de diciembre de 1996, en Sarria, donde se encontraba la demandada, manifestando ésta que antes no había tenido noticia alguna del proceso, que no había sido citada personalmente y que solicitaría asesoramiento para presentar una reclamación al Juzgado. A la vista de la anterior comparecencia, se suspende la diligencia de entrega de posesión que se había señalado para ejecución de la Sentencia.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Con base en los anteriores hechos, formulan las actoras su demanda de amparo que dirigen contra la Sentencia recaída en la causa así como contra todas las resoluciones y actuaciones posteriores a su emplazamiento en el proceso del que no tuvieron conocimiento, por entender que todas ellas han lesionado su derecho a la tutela judicial efectiva sin indefensión, ex art. 24.1 CE. Afirman que constituye doctrina constitucional reiterada aquella que señala que, para que se respete el derecho fundamental que consagra el art. 24.1 CE, es preciso que el proceso se tramite de forma contradictoria, y presupuesto básico para ello es el acto de comunicación procesal. En el caso de autos, constaba un domicilio conocido y, de hecho, se iniciaron los actos conducentes a emplazar a las demandadas en él, librando el correspondiente exhorto que fue entregado al Procurador del demandante para su gestión. Pese a ello el Juzgado se avino posteriormente a la citación edictal sin haber reclamado, al menos, la devolución del despacho inicialmente librado, siendo, sin embargo, criterio constitucional reiterado que el emplazamiento edictal implica la necesidad de agotamiento previo de otras modalidades y la constancia de haber intentado practicarlas. Así, continúan las demandantes, la actuación del Juzgado implica, ante todo, la infracción del art. 269 LEC que contempla el llamamiento por edictos con carácter estrictamente subsidiario “cuando no conste el domicilio de la persona que deba ser notificada o por haber mudado de habitación se ignore su paradero”; además, como último medio de comunicación, requiere el agotamiento previo de las otras modalidades preferentes, la constancia formal de haberse intentado su práctica y que el acuerdo de reputar a la parte en paradero desconocido se funde en criterios de razonabilidad. Pero también implica, al </w:t>
      </w:r>
      <w:r>
        <w:lastRenderedPageBreak/>
        <w:t xml:space="preserve">margen de la transgresión de una norma procesal, una verdadera indefensión material y no meramente formal, que se generó en las actuales demandantes de amparo porque el seguimiento del proceso inaudita parte se tradujo en un perjuicio real y efectivo para las mismas, que sufrieron una Sentencia adversa sin haber intervenido ni poder defenderse en el proceso, ni tampoco poder interponer recurso alguno contra la misma. </w:t>
      </w:r>
    </w:p>
    <w:p w:rsidR="0025129F" w:rsidRDefault="0025129F" w:rsidP="0025129F">
      <w:pPr>
        <w:pStyle w:val="TextoNormal"/>
      </w:pPr>
      <w:r>
        <w:t>En virtud de todo ello, la demanda termina suplicando se otorgue el amparo pedido, se declare la nulidad de la Sentencia que se impugna, así como de todas las actuaciones y decisiones practicadas en dichos autos desde el momento inmediatamente anterior al emplazamiento de las demandadas, y, finalmente, se restablezca a las recurrentes en la integridad de su derecho a la tutela judicial ordenando la retroacción de actuaciones en el procedimiento al momento inmediatamente anterior al del referido emplazamiento. Por medio de otrosí se pide, en virtud de lo dispuesto en el art. 56 LOTC, la suspensión de la ejecución de la resolución judicial impugnada.</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13 de mayo de 1998, la Sección Segunda de este Tribunal acuerda admitir a trámite la demanda de amparo presentada, sin perjuicio de lo que resulte de sus antecedentes, requiriendo atentamente, conforme a lo establecido en el art. 51 LOTC, al Juzgado de Primera Instancia de Sarria, a fin de que, en plazo que no exceda de diez días, remita testimonio de los autos de menor cuantía núm. 46/91, interesándose al propio tiempo el emplazamiento de quienes fueran parte en el procedimiento, con excepción de las demandantes de amparo, ya personadas, para que en el plazo de diez días puedan comparecer en este proceso constitucional. Asimismo, se acuerda la formación de la oportuna pieza separada para la tramitación del incidente de la suspensión interesada.</w:t>
      </w:r>
    </w:p>
    <w:p w:rsidR="0025129F" w:rsidRDefault="0025129F" w:rsidP="0025129F">
      <w:pPr>
        <w:pStyle w:val="TextoNormal"/>
      </w:pPr>
    </w:p>
    <w:p w:rsidR="0025129F" w:rsidRDefault="0025129F" w:rsidP="0025129F">
      <w:pPr>
        <w:pStyle w:val="TextoNormal"/>
      </w:pPr>
      <w:r w:rsidRPr="0025129F">
        <w:rPr>
          <w:rStyle w:val="NumeroAFNegritaCaracter"/>
        </w:rPr>
        <w:t>5</w:t>
      </w:r>
      <w:r>
        <w:t>. Por Auto de fecha de 30 de junio de 1998, la Sala acuerda denegar la suspensión instada por las demandantes de amparo.</w:t>
      </w:r>
    </w:p>
    <w:p w:rsidR="0025129F" w:rsidRDefault="0025129F" w:rsidP="0025129F">
      <w:pPr>
        <w:pStyle w:val="TextoNormal"/>
      </w:pPr>
    </w:p>
    <w:p w:rsidR="0025129F" w:rsidRDefault="0025129F" w:rsidP="0025129F">
      <w:pPr>
        <w:pStyle w:val="TextoNormal"/>
      </w:pPr>
      <w:r w:rsidRPr="0025129F">
        <w:rPr>
          <w:rStyle w:val="NumeroAFNegritaCaracter"/>
        </w:rPr>
        <w:t>6</w:t>
      </w:r>
      <w:r>
        <w:t>. En fecha de 12 de junio de 1998, se persona en las actuaciones don Gerardo Vázquez Dosío, representado por el Procurador don Rafael Gamarra Megías y defendido por el Letrado don José M. Campo Moscoso. Por providencia de 19 de junio de 1998 se tiene por recibido el testimonio de actuaciones solicitado y por personado y parte al Procurador Sr. Gamarra Megías en nombre de quien comparece.</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6 de julio de 1998 la Sala acuerda, de conformidad con lo dispuesto en el art. 52 LOTC, dar vista de todo lo actuado, por plazo común de veinte días, al Ministerio Fiscal, a las solicitantes de amparo y a la parte personada para que, dentro de dicho término, presenten las alegaciones que a su derecho convengan.</w:t>
      </w:r>
    </w:p>
    <w:p w:rsidR="0025129F" w:rsidRDefault="0025129F" w:rsidP="0025129F">
      <w:pPr>
        <w:pStyle w:val="TextoNormal"/>
      </w:pPr>
    </w:p>
    <w:p w:rsidR="0025129F" w:rsidRDefault="0025129F" w:rsidP="0025129F">
      <w:pPr>
        <w:pStyle w:val="TextoNormal"/>
      </w:pPr>
      <w:r w:rsidRPr="0025129F">
        <w:rPr>
          <w:rStyle w:val="NumeroAFNegritaCaracter"/>
        </w:rPr>
        <w:t>8</w:t>
      </w:r>
      <w:r>
        <w:t>. En fecha 27 de julio de 1998, se recibe el escrito de alegaciones presentado por la representación de las demandantes de amparo, en el que dan por reproducido íntegramente el contenido de su escrito de demanda y terminan suplicando de este Tribunal una Sentencia estimatoria del amparo en términos similares a los del suplico de aquella demanda inicial.</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En fecha 29 de julio de 1998, se recibe el escrito de alegaciones de la representación de don Gerardo Vázquez Dosío. En él manifiesta que acordado el emplazamiento de la </w:t>
      </w:r>
      <w:r>
        <w:lastRenderedPageBreak/>
        <w:t>demandada, doña Aurora López Díaz, en el domicilio que figuraba consignado en la demanda iniciadora del proceso, se produjo una comparecencia en el Juzgado de la vecina, doña Pilar Torres López, indicando que aquella demandada residía en la temporada de invierno en el domicilio de su hija en Granada, y es obvio deducir que esta comparecencia se produce una vez que la vecina tiene conocimiento del proceso por lo que no es concebible que no se lo comunicara en ningún momento a la demandada doña Aurora López Díaz. De ello deduce el Sr. Vázquez Dosío que la Sra. López Díaz tuvo un conocimiento extraprocesal de la existencia del proceso, y es reiterada la doctrina constitucional que señala que para que la falta de emplazamiento personal genere una indefensión constitucionalmente relevante es preciso que el demandante de amparo haya actuado diligentemente y que no pueda deducirse ese conocimiento extraprocesal de los autos. Cita el Sr. Vázquez diversas resoluciones de este Tribunal en tal sentido, y termina suplicando se dicte Sentencia desestimando íntegramente la demanda inicial.</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En fecha 13 de agosto de 1998, se recibe el escrito de alegaciones del Ministerio Fiscal. En él, tras reseñar, en síntesis, los hechos que fundamentan la petición de amparo, analiza el Ministerio público la queja constitucional de las recurrentes, afirmando que una vez más se plantea ante el Tribunal Constitucional la constitucionalidad de la llamada al proceso a través de la citación edictal, existiendo ya una línea clara de doctrina en torno a esta materia que gira en torno a la ocasión y forma en que es permisible tal citación o emplazamiento más que a la oposición de tal modalidad procesal con el art. 24.1 CE. Procede, pues, en esta materia, más que en otras, la contemplación del caso concreto, como se ha recordado en la STC 143/1998. Y la contemplación del caso presente —prosigue el Ministerio Fiscal— lleva al convencimiento de que se ha producido una lesión constitucional por parte del órgano judicial así como que ha existido una relación causal entre la actuación del poder público y la indefensión de las recurrentes. Pues, en la demanda inicial del proceso, el actor señaló como domicilio de la demandada doña Aurora López Díaz, el de la calle Calvo Sotelo, 117, de Sarria (Lugo) que es la sede del Juzgado de la tramitación del proceso, mientras que se afirmaba que la otra demandada, doña Aurora López López, hija de la anterior, se hallaba en ignorado paradero. La primera providencia del Juez (de 26 de febrero de 1991) es la de ordenar la citación de la primera en el domicilio señalado y por edictos a la segunda. Pero, a partir de aquí, hay un dato determinante, a juicio del Ministerio público, para la suerte del presente recurso de amparo, cual es la comparecencia en fecha 11 de abril de 1991, de doña Pilar López Torres en el Juzgado, vecina que facilita el domicilio de las demandadas al afirmar que la primera reside, durante la temporada de invierno en el domicilio de la segunda, su hija, y vuelve a su residencia en Lugo cada verano. La anterior comparecencia motiva incluso que el Juzgado libre exhorto al Juzgado Decano de Granada para la citación de la localizada y tal exhorto es entregado al Procurador del demandante para su diligenciado, pero en los autos no consta que se le diera cumplimiento y sí únicamente que a la Sra. López Díaz se la volvió a citar infructuosamente en su domicilio de Sarria el 9 de noviembre de 1992. Todo el decurso posterior de los autos viene ya condicionado —afirma el Ministerio Fiscal— por ese emplazamiento fallido, toda vez que, a instancias del actor, la demandada Sra. López Díaz obtiene idéntico tratamiento que su hija, es decir, la citación edictal, y su posterior declaración en rebeldía por providencia de 8 de julio de 1993. </w:t>
      </w:r>
    </w:p>
    <w:p w:rsidR="0025129F" w:rsidRDefault="0025129F" w:rsidP="0025129F">
      <w:pPr>
        <w:pStyle w:val="TextoNormal"/>
      </w:pPr>
      <w:r>
        <w:t xml:space="preserve">Interesa, pues, destacar, continúa el Ministerio público, que no se ha dado cumplimiento -desde la perspectiva constitucional- a las garantías que deben rodear la presencia de las partes en el proceso, al haber sido llamadas las demandadas a través de edictos en el BOP, </w:t>
      </w:r>
      <w:r>
        <w:lastRenderedPageBreak/>
        <w:t xml:space="preserve">cuando podían haber sido localizadas en el domicilio que, desde abril de 1991, constaba en el proceso. El órgano judicial debió, por tanto, exigir al Procurador de la parte la devolución del exhorto que le fue entregado para su diligenciado, y, comprobar en todo caso, ante la ausencia de emplazamiento, si se había realizado la comunicación en condiciones de recepción por su destinatario. No se alcanza, en suma, como razonable la declaración de práctica de citación edictal y la subsiguiente rebeldía procesal respecto de personas cuyo domicilio se conoce y consta en los autos. En tal sentido, no deja de ser contradictoria la actuación del Juzgado que primero libra un exhorto para citar en otra ciudad y luego, sin esperar a su resultado, vuelve a hacerlo en el señalado en la demanda. Por todo ello, concluye el Ministerio Fiscal, la falta de celo del órgano judicial fue determinante para el conocimiento del proceso por las demandadas que, por esa circunstancia, se vieron imposibilitadas de comparecer y, en su caso, de presentar alegaciones y pruebas, en defensa de sus derechos. La Sentencia, dictada inaudita parte, debe ser, por ello mismo, anulada y retrotraerse las actuaciones al momento anterior al del emplazamiento a fin de que las demandadas sean citadas a juicio con las garantías derivadas del art. 24.1 CE. </w:t>
      </w:r>
    </w:p>
    <w:p w:rsidR="0025129F" w:rsidRDefault="0025129F" w:rsidP="0025129F">
      <w:pPr>
        <w:pStyle w:val="TextoNormal"/>
      </w:pPr>
      <w:r>
        <w:t>En virtud de todo ello, el Ministerio Fiscal interesa la estimación del amparo pedido en los términos que se dejan expuestos.</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fecha 10 de enero de 2002 se acordó señalar para deliberación y votación de esta Sentencia el día 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Se plantea, una vez más, a través del presente proceso de amparo ante este Tribunal, la eventual vulneración del derecho fundamental que consagra el art.  24.1 CE como consecuencia de la tramitación de un proceso civil declarativo de menor cuantía seguido inaudita parte, esto es, sin intervención de las dos demandadas en el mismo —hoy recurrentes de amparo— que, por tal causa, entienden que todas las actuaciones judiciales posteriores al momento en que debió llevarse a cabo su emplazamiento personal (que nunca se efectuó) incluida también la Sentencia dictada en la causa, han incurrido en aquella lesión constitucional y deben ser anuladas por ello, con retroacción de lo actuado, a fin de dar la debida oportunidad a las demandadas de intervenir en el proceso en defensa de sus derechos e intereses legítimos.</w:t>
      </w:r>
    </w:p>
    <w:p w:rsidR="0025129F" w:rsidRDefault="0025129F" w:rsidP="0025129F">
      <w:pPr>
        <w:pStyle w:val="TextoNormal"/>
      </w:pPr>
      <w:r>
        <w:t>A dicha petición se suma el Ministerio Fiscal, que entiende y así lo expresa en su escrito de alegaciones, que el órgano judicial no observó el cuidado debido en el llamamiento al proceso de las recurrentes, por lo que se produjo, en efecto, la vulneración del citado derecho fundamental. Por el contrario, la otra parte comparecida en este proceso constitucional, don Gerardo Vázquez Dosío, afirma que no hubo tal lesión del derecho fundamental de las actoras, porque éstas tuvieron un conocimiento extraprocesal de las actuaciones, o así, al menos, ha de presumirse y se desprende del examen de lo actuado en la causa.</w:t>
      </w:r>
    </w:p>
    <w:p w:rsidR="0025129F" w:rsidRDefault="0025129F" w:rsidP="0025129F">
      <w:pPr>
        <w:pStyle w:val="TextoNormal"/>
      </w:pPr>
      <w:r>
        <w:t>Se impone, pues, con tal planteamiento, el examen, primero, de la abundante y reiterada doctrina de este Tribunal sobre la cuestión, que ha sido repetidamente sometida a su consideración en ocasiones anteriores; y, segundo, un detenido examen de las concretas actuaciones judiciales, a fin de verificar si, en efecto, hubo tal falta de diligencia en el llamamiento a la causa de las actuales recurrentes o, por el contrario, es sólo imputable a su conducta la falta de intervención de las mismas en el proceso.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2</w:t>
      </w:r>
      <w:r>
        <w:t>. Para resumir la doctrina constitucional sobre el objeto del presente recurso, bastará citar las recientes SSTC 65/2000, de 13 de marzo; 232/2000, de 2 de octubre, o 254/2000, de 30 de octubre, pues todas ellas contemplan supuestos similares al presente. Así, la primera de las citadas resoluciones (FJ 3) señala que “Los actos procesales de comunicación son el soporte instrumental básico de la existencia de un juicio contradictorio, ya que sin un debido emplazamiento las partes no podrían comparecer en juicio ni defender sus posiciones. En este sentido, desde la STC 9/1981, de 31 de marzo, es reiterada doctrina constitucional que el art. 24.1 CE contiene un mandato implícito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Con arreglo a la indicada doctrina, la citación o emplazamiento por edictos, aunque en sí mismo no es contrario a las exigencias del art. 24.1 CE, sólo resulta admisible cuando no conste el domicilio de quien deba de ser emplazado o se ignore su paradero, pudiendo utilizarse sólo como remedio último de comunicación del órgano judicial con las partes procesales. Así pues,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posibles de comunicación personal antes de pasar a la meramente edictal. Es decir, la citación o el emplazamiento hecho por edictos, cuya recepción por el destinatario del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del hecho que le sirve de factor desencadenante, esto es, no ser localizable el demandado, a cuyo fin la oficina judicial ha de agotar las gestiones de averiguación del paradero por los medios normales a su alcance.  Finalmente, en el marco de la doctrina constitucional reseñada, también se ha precisado,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Sentada la doctrina constitucional expuesta, ha de ser analizado a continuación el concreto caso que nos ocupa, a la luz de los datos fácticos del mismo que con mayor detalle se han expuesto en los antecedentes de la presente resolución y de los que ahora conviene destacar los siguientes: el Juzgado de Primera Instancia de Sarria (Lugo), una vez admitida a trámite la demanda de juicio declarativo de menor cuantía interpuesta contra las actuales recurrentes, acordó el emplazamiento de la demandada, doña Aurora López Díaz, en el domicilio señalado en la demanda por la parte actora, es decir, en Sarria, y el de la otra demandada, doña Aurora López López, que, según se afirmaba en la demanda, </w:t>
      </w:r>
      <w:r>
        <w:lastRenderedPageBreak/>
        <w:t>se encontraba en ignorado paradero, mediante la publicación de edicto en el Boletín Oficial de la Provincia, siendo de añadir que con posterioridad se produjo la comparecencia en el Juzgado de una vecina, doña Pilar López Torres, que aporta al Juzgado datos acerca tanto del domicilio de la primera demandada, que figuraba en la demanda inicial, como del de su hija y también demandada que se desconocía, según el escrito de demanda. Afirma la citada vecina en la comparecencia que efectúa que la primera suele residir durante la temporada de invierno en el domicilio de la segunda, en Granada, aportando las señas concretas, y que solamente cada verano regresa a Sarria. Con causa en estos datos, el Juzgado da traslado de la información recibida a la parte actora, que insta la citación por auxilio judicial en el domicilio de Granada; entregándose el oportuno exhorto para su diligenciado al Procurador del actor. No consta, sin embargo, a continuación en las actuaciones, cuál fue la suerte que siguió el acto de comunicación que había sido acordado mediante auxilio judicial y únicamente se verifica la existencia de un nuevo emplazamiento a la Sra. López Díaz, efectuado en la temporada de invierno (9 de noviembre de 1992) en el domicilio de Sarria en el que no se encontraba la demandada por lo que arroja resultado negativo. A continuación acude ya el Juzgado a la citación edictal de ambas demandadas sin verificar ninguna otra actuación o diligencia.</w:t>
      </w:r>
    </w:p>
    <w:p w:rsidR="0025129F" w:rsidRDefault="0025129F" w:rsidP="0025129F">
      <w:pPr>
        <w:pStyle w:val="TextoNormal"/>
      </w:pPr>
    </w:p>
    <w:p w:rsidR="0025129F" w:rsidRDefault="0025129F" w:rsidP="0025129F">
      <w:pPr>
        <w:pStyle w:val="TextoNormal"/>
      </w:pPr>
      <w:r w:rsidRPr="0025129F">
        <w:rPr>
          <w:rStyle w:val="NumeroAFNegritaCaracter"/>
        </w:rPr>
        <w:t>4</w:t>
      </w:r>
      <w:r>
        <w:t>. Pues bien, los anteriores datos fácticos, examinados a la luz de la doctrina constitucional que se ha dejado expuesta, determinan la necesaria estimación de la presente petición de amparo, pues evidencian —conforme mantiene el Ministerio Fiscal— que la falta de llamamiento al proceso de las dos demandadas y, por ende, su falta de participación en el mismo, sólo fue debida a la omisión por parte del órgano judicial de la diligencia que el respeto al derecho consagrado en el art. 24.1 CE exigía.</w:t>
      </w:r>
    </w:p>
    <w:p w:rsidR="0025129F" w:rsidRDefault="0025129F" w:rsidP="0025129F">
      <w:pPr>
        <w:pStyle w:val="TextoNormal"/>
      </w:pPr>
      <w:r>
        <w:t>Así, una vez conocido un domicilio cierto de las dos demandadas en Armilla (Granada) y entregado al Procurador del actor exhorto dirigido al Juzgado Decano de los de dicha ciudad para su emplazamiento, al no reportarse tal exhorto, debió el órgano jurisdiccional recabar su devolución para conocer la suerte que hubiera podido correr. No lo hizo así y accediendo a la petición de la representación de la parte actora —que no aportaba el exhorto que se le había entregado—, pasó directamente al emplazamiento edictal que era, además, manifiestamente prematuro como remedio último sólo utilizable cuando se han agotado previamente las otras formas de localización personal que, en este supuesto, eran conocidas por el Juzgado por encontrarse aportadas a los autos. Y, finalmente, no puede servir de obstáculo a tal apreciación, la circunstancia a la que alude la otra parte comparecida en este proceso de amparo y referente al conocimiento extraprocesal de lo actuado que afirma ha de presumirse tuvieron las recurrentes en amparo y que deduce precisamente de la comparecencia de la vecina que aportó sus señas y de la notificación en Sarria a la Sra. López Díaz de la providencia que, ya en ejecución de sentencia, ordenaba la entrega de la posesión, pues estos datos no integran base bastante para derivar de ellos, con un enlace preciso y directo según las reglas del criterio humano, aquel anterior conocimiento extraprocesal de la pendencia del proceso. La indefensión material, y no meramente formal, que se produjo por el defectuoso llamamiento judicial, se desprende asimismo del examen de los autos, pues impidió a las demandadas, por causa que no les es imputable, todo conocimiento y participación en la litis, con la consecuente imposibilidad de alegar y acreditar cuanto tuviesen por conveniente en relación con la pretensión esgrimida de contrario, amén de la exclusión de todo recurso contra la resolución judicial que resolvió el proceso.</w:t>
      </w:r>
    </w:p>
    <w:p w:rsidR="0025129F" w:rsidRDefault="0025129F" w:rsidP="0025129F">
      <w:pPr>
        <w:pStyle w:val="TextoNormal"/>
      </w:pPr>
    </w:p>
    <w:p w:rsidR="0025129F" w:rsidRDefault="0025129F" w:rsidP="0025129F">
      <w:pPr>
        <w:pStyle w:val="TextoNormalCentrado"/>
        <w:keepNext/>
      </w:pPr>
      <w:r>
        <w:lastRenderedPageBreak/>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su virtud:</w:t>
      </w:r>
    </w:p>
    <w:p w:rsidR="0025129F" w:rsidRDefault="0025129F" w:rsidP="0025129F">
      <w:pPr>
        <w:pStyle w:val="TextoNormal"/>
      </w:pPr>
      <w:r>
        <w:t>1º Reconocer el derecho de las demandantes de amparo a la tutela judicial efectiva sin indefensión (art. 24.1 CE).</w:t>
      </w:r>
    </w:p>
    <w:p w:rsidR="0025129F" w:rsidRDefault="0025129F" w:rsidP="0025129F">
      <w:pPr>
        <w:pStyle w:val="TextoNormal"/>
      </w:pPr>
      <w:r>
        <w:t>2º Anular la Sentencia del Juzgado de Primera Instancia de Sarria (Lugo) dictada en el juicio declarativo de menor cuantía núm. 46/91 el 21 de marzo de 1995, así como las actuaciones del referido juicio desde el momento inmediatamente anterior a aquél en el que fueron emplazadas mediante edictos.</w:t>
      </w:r>
    </w:p>
    <w:p w:rsidR="0025129F" w:rsidRDefault="0025129F" w:rsidP="0025129F">
      <w:pPr>
        <w:pStyle w:val="TextoNormal"/>
      </w:pPr>
      <w:r>
        <w:t>3º Retrotraer las actuaciones a dicho momento para que sean de nuevo emplazadas personal y debidamente con todas las garantías.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 w:name="SENTENCIA_2002_2"/>
      <w:r>
        <w:lastRenderedPageBreak/>
        <w:t>SENTENCIA 2/2002, de 14 de enero de 2002</w:t>
      </w:r>
    </w:p>
    <w:bookmarkEnd w:id="5"/>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ECLI:ES:TC:2002:2</w:t>
      </w:r>
    </w:p>
    <w:p w:rsidR="0025129F" w:rsidRDefault="0025129F" w:rsidP="0025129F">
      <w:pPr>
        <w:pStyle w:val="SntesisDescriptiva"/>
      </w:pPr>
    </w:p>
    <w:p w:rsidR="0025129F" w:rsidRDefault="0025129F" w:rsidP="0025129F">
      <w:pPr>
        <w:pStyle w:val="SntesisDescriptiva"/>
      </w:pPr>
      <w:r>
        <w:t>Recurso de amparo 4122/97. Promovido por don José Nocelo Novoa respecto a la Sentencia de la Audiencia Provincial de Orense y el Auto de la Sala Segunda de lo Penal del Tribunal Supremo que dieron lugar a su condena por un delito contra la salud pública.</w:t>
      </w:r>
    </w:p>
    <w:p w:rsidR="0025129F" w:rsidRDefault="0025129F" w:rsidP="0025129F">
      <w:pPr>
        <w:pStyle w:val="SntesisDescriptiva"/>
      </w:pPr>
    </w:p>
    <w:p w:rsidR="0025129F" w:rsidRDefault="0025129F" w:rsidP="0025129F">
      <w:pPr>
        <w:pStyle w:val="SntesisAnaltica"/>
      </w:pPr>
      <w:r>
        <w:t>Supuesta vulneración de los derechos a la tutela judicial sin indefensión y a la presunción de inocencia: concepto de documento en el recurso de casación; condena fundada en declaraciones de un coimputado, que se negó a declarar en el juicio oral, corroboradas.</w:t>
      </w:r>
    </w:p>
    <w:p w:rsidR="0025129F" w:rsidRDefault="0025129F" w:rsidP="0025129F">
      <w:pPr>
        <w:pStyle w:val="SntesisAnaltica"/>
      </w:pPr>
    </w:p>
    <w:p w:rsidR="0025129F" w:rsidRDefault="0025129F" w:rsidP="0025129F">
      <w:pPr>
        <w:pStyle w:val="Extracto"/>
      </w:pPr>
      <w:r>
        <w:t>1.</w:t>
      </w:r>
      <w:r>
        <w:tab/>
        <w:t>El contenido incriminatorio de las declaraciones sumariales accedió al juicio oral a través del interrogatorio del recurrente y, parcialmente, a través del interrogatorio de los testigos, por lo que  las exigencias constitucionales de publicidad pueden darse por satisfechas pese a no haber sido leídos los folios sumariales en que se documentaron (STC 161/1990) [FJ 7].</w:t>
      </w:r>
    </w:p>
    <w:p w:rsidR="0025129F" w:rsidRDefault="0025129F" w:rsidP="0025129F">
      <w:pPr>
        <w:pStyle w:val="Extracto"/>
      </w:pPr>
    </w:p>
    <w:p w:rsidR="0025129F" w:rsidRDefault="0025129F" w:rsidP="0025129F">
      <w:pPr>
        <w:pStyle w:val="Extracto"/>
      </w:pPr>
      <w:r>
        <w:t>2.</w:t>
      </w:r>
      <w:r>
        <w:tab/>
        <w:t>Hay en un testimonio policial datos externos a la versión de los hechos facilitada por el coimputado que la corroboran en lo esencial, superando así el umbral mínimo que da paso al campo de libre valoración judicial de la prueba practicada [FJ 8].</w:t>
      </w:r>
    </w:p>
    <w:p w:rsidR="0025129F" w:rsidRDefault="0025129F" w:rsidP="0025129F">
      <w:pPr>
        <w:pStyle w:val="Extracto"/>
      </w:pPr>
    </w:p>
    <w:p w:rsidR="0025129F" w:rsidRDefault="0025129F" w:rsidP="0025129F">
      <w:pPr>
        <w:pStyle w:val="Extracto"/>
      </w:pPr>
      <w:r>
        <w:t>3.</w:t>
      </w:r>
      <w:r>
        <w:tab/>
        <w:t>Doctrina constitucional y europea sobre las declaraciones del coimputado como prueba de cargo [FJ 6].</w:t>
      </w:r>
    </w:p>
    <w:p w:rsidR="0025129F" w:rsidRDefault="0025129F" w:rsidP="0025129F">
      <w:pPr>
        <w:pStyle w:val="Extracto"/>
      </w:pPr>
    </w:p>
    <w:p w:rsidR="0025129F" w:rsidRDefault="0025129F" w:rsidP="0025129F">
      <w:pPr>
        <w:pStyle w:val="Extracto"/>
      </w:pPr>
      <w:r>
        <w:t>4.</w:t>
      </w:r>
      <w:r>
        <w:tab/>
        <w:t>El contenido de la diligencia practicada en el sumario, cuyo resultado se pretende integrar en la valoración probatoria, debe ser reproducido en el acto del juicio mediante la lectura pública del acta en la que se documentó (arts. 714 y 730 LECrim; SSTC 150/1987 y 14/2001) [FJ 6].</w:t>
      </w:r>
    </w:p>
    <w:p w:rsidR="0025129F" w:rsidRDefault="0025129F" w:rsidP="0025129F">
      <w:pPr>
        <w:pStyle w:val="Extracto"/>
      </w:pPr>
    </w:p>
    <w:p w:rsidR="0025129F" w:rsidRDefault="0025129F" w:rsidP="0025129F">
      <w:pPr>
        <w:pStyle w:val="Extracto"/>
      </w:pPr>
      <w:r>
        <w:t>5.</w:t>
      </w:r>
      <w:r>
        <w:tab/>
        <w:t>Las declaraciones que son una simple ratificación de anteriores manifestaciones incriminatorias no pierden un ápice de contenido incriminatorio [ FJ 4].</w:t>
      </w:r>
    </w:p>
    <w:p w:rsidR="0025129F" w:rsidRDefault="0025129F" w:rsidP="0025129F">
      <w:pPr>
        <w:pStyle w:val="Extracto"/>
      </w:pPr>
    </w:p>
    <w:p w:rsidR="0025129F" w:rsidRDefault="0025129F" w:rsidP="0025129F">
      <w:pPr>
        <w:pStyle w:val="Extracto"/>
      </w:pPr>
      <w:r>
        <w:t>6.</w:t>
      </w:r>
      <w:r>
        <w:tab/>
        <w:t>El hecho de que las partes personadas no formularon preguntas al coimputado en fase sumarial, o no asistieron a dichas actuaciones pese a estar personadas, son omisiones no imputables al órgano judicial, sino al propio recurrente o a su defensa [FJ 4].</w:t>
      </w:r>
    </w:p>
    <w:p w:rsidR="0025129F" w:rsidRDefault="0025129F" w:rsidP="0025129F">
      <w:pPr>
        <w:pStyle w:val="Extracto"/>
      </w:pPr>
    </w:p>
    <w:p w:rsidR="0025129F" w:rsidRDefault="0025129F" w:rsidP="0025129F">
      <w:pPr>
        <w:pStyle w:val="Extracto"/>
      </w:pPr>
      <w:r>
        <w:t>7.</w:t>
      </w:r>
      <w:r>
        <w:tab/>
        <w:t>El derecho a interrogar o hacer interrogar a los testigos de la acusación se satisface dando al acusado una ocasión adecuada y suficiente para discutir un testimonio en su contra e interrogar a su autor (SSTEDH Unterpertinger, 1986; Luca, 2001) [FJ 4].</w:t>
      </w:r>
    </w:p>
    <w:p w:rsidR="0025129F" w:rsidRDefault="0025129F" w:rsidP="0025129F">
      <w:pPr>
        <w:pStyle w:val="Extracto"/>
      </w:pPr>
    </w:p>
    <w:p w:rsidR="0025129F" w:rsidRDefault="0025129F" w:rsidP="0025129F">
      <w:pPr>
        <w:pStyle w:val="Extracto"/>
      </w:pPr>
      <w:r>
        <w:lastRenderedPageBreak/>
        <w:t>8.</w:t>
      </w:r>
      <w:r>
        <w:tab/>
        <w:t>El Tribunal Supremo se limitó a interpretar de forma razonada los requisitos legales de acceso a la casación, excluyendo la documentación de una diligencia sumarial del concepto de «documento» que justifica, ex art. 849 LECrim, la posibilidad de queja por error en la apreciación de la prueba [FJ 2].</w:t>
      </w:r>
    </w:p>
    <w:p w:rsidR="0025129F" w:rsidRDefault="0025129F" w:rsidP="0025129F">
      <w:pPr>
        <w:pStyle w:val="Extracto"/>
      </w:pPr>
    </w:p>
    <w:p w:rsidR="0025129F" w:rsidRDefault="0025129F" w:rsidP="0025129F">
      <w:pPr>
        <w:pStyle w:val="Extracto"/>
      </w:pPr>
      <w:r>
        <w:t>9.</w:t>
      </w:r>
      <w:r>
        <w:tab/>
        <w:t>Tampoco causó indefensión el hecho de que los agentes policiales no documentaran el hallazgo de la droga en un «acta», sino que lo hicieran constar mediante comparecencia personal reflejada en el atestado [FJ 2].</w:t>
      </w:r>
    </w:p>
    <w:p w:rsidR="0025129F" w:rsidRDefault="0025129F" w:rsidP="0025129F">
      <w:pPr>
        <w:pStyle w:val="Extracto"/>
      </w:pPr>
    </w:p>
    <w:p w:rsidR="0025129F" w:rsidRDefault="0025129F" w:rsidP="0025129F">
      <w:pPr>
        <w:pStyle w:val="Extracto"/>
      </w:pPr>
      <w:r>
        <w:t>10.</w:t>
      </w:r>
      <w:r>
        <w:tab/>
        <w:t>La indefensión que el art. 24.1 CE proscribe ha de ser efectiva (SSTC 35/1989, 52/1999) [FJ 2].</w:t>
      </w:r>
    </w:p>
    <w:p w:rsidR="0025129F" w:rsidRDefault="0025129F" w:rsidP="0025129F">
      <w:pPr>
        <w:pStyle w:val="Extracto"/>
      </w:pPr>
    </w:p>
    <w:p w:rsidR="0025129F" w:rsidRDefault="0025129F" w:rsidP="0025129F">
      <w:pPr>
        <w:pStyle w:val="Extracto"/>
      </w:pPr>
      <w:r>
        <w:t>11.</w:t>
      </w:r>
      <w:r>
        <w:tab/>
        <w:t>El examen de las actuaciones no permite respaldar la premisa fáctica de la queja en amparo [FJ 5].</w:t>
      </w:r>
    </w:p>
    <w:p w:rsidR="0025129F" w:rsidRDefault="0025129F" w:rsidP="0025129F">
      <w:pPr>
        <w:pStyle w:val="Extracto"/>
      </w:pPr>
    </w:p>
    <w:p w:rsidR="0025129F" w:rsidRDefault="0025129F" w:rsidP="0025129F">
      <w:pPr>
        <w:pStyle w:val="Extracto"/>
      </w:pPr>
      <w:r>
        <w:t>12.</w:t>
      </w:r>
      <w:r>
        <w:tab/>
        <w:t>Este Tribunal no puede entrar en la valoración de la prueba [FJ 8].</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Vives Antón, Presidente, don Pablo Cachón Villar, don Vicente Conde Martín de Hijas, don Guillermo Jiménez Sánchez, doña Elisa Pérez Vera y don Eugeni Gay Montalvo, Magistrados, han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4122/97, promovido por don José Nocelo Novoa, representado por el Procurador de los Tribunales don Vicente Ruigómez Muriedas y asistido por el Letrado don Alberto Javier González Atanes, contra el Auto núm. 1553/1997 de la Sala Segunda del Tribunal Supremo, dictado el 23 de julio de 1997, que inadmitió el recurso de casación formulado contra la Sentencia núm. 71/1996 de la Audiencia Provincial de Orense, dictada en el sumario núm. 1/95, seguido por un delito contra la salud pública. Ha intervenido el Ministerio Fiscal.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la sede de este Tribunal el 17 de octubre de 1997, el Procurador don Vicente Ruigómez Muriedas interpuso recurso de amparo en nombre y representación de don José Nocelo Novoa, contra las resoluciones mencionadas en el encabezamiento.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2</w:t>
      </w:r>
      <w:r>
        <w:t xml:space="preserve">. Son hechos relevantes para el examen de este recurso de amparo, según se deduce de las actuaciones y del relato de hechos probados, los que a continuación se resumen: </w:t>
      </w:r>
    </w:p>
    <w:p w:rsidR="0025129F" w:rsidRDefault="0025129F" w:rsidP="0025129F">
      <w:pPr>
        <w:pStyle w:val="TextoNormal"/>
      </w:pPr>
      <w:r>
        <w:t xml:space="preserve">a) Sobre las 14 horas del día 12 de noviembre de 1993, varios agentes del Cuerpo Nacional de Policía detuvieron a don Enrique Gutiérrez Cortés cuando, procedente de Verín (Orense), conducía un vehículo de su propiedad con dirección a Portugal. En el registro del vehículo se halló oculto un paquete de cocaína. En su declaración ante la policía, prestada ese mismo día (folio 1 vuelto), admitió que transportaba dicho paquete hasta Portugal por encargo de un tal “Pepe” (de Verín), aunque desconocía el contenido exacto del mismo. Tras aportar algunos datos identificativos de “Pepe”, manifestó que fue él quien le ofreció cierta cantidad de dinero por llevar a cabo el porte de un paquete hasta Portugal, lugar donde debía entregarlo a una tercera persona. Con los datos facilitados, la policía identificó a don José Nocelo Novoa como la persona que había encargado a Enrique el transporte de la droga. </w:t>
      </w:r>
    </w:p>
    <w:p w:rsidR="0025129F" w:rsidRDefault="0025129F" w:rsidP="0025129F">
      <w:pPr>
        <w:pStyle w:val="TextoNormal"/>
      </w:pPr>
      <w:r>
        <w:t xml:space="preserve">El día siguiente, 13 de noviembre de 1993, don Enrique Gutiérrez Cortes prestó declaración ante la Juez de Instrucción núm. 1 de Verín (folio 11), ratificando lo manifestado ante la policía y reiterando que fue “Pepe” quien le encargó hacer el porte y quien le pagaría por ello. Afirmó desconocer el contenido del paquete y explicó que el mismo fue introducido en su automóvil por personas que le eran desconocidas. Tras la declaración, la Juez decretó su prisión provisional. Un día mas tarde, el 14 de noviembre, agentes de la policía nacional detuvieron a don José Nocelo, que negó las anteriores imputaciones, pese a lo cual fue también decretada su prisión provisional. </w:t>
      </w:r>
    </w:p>
    <w:p w:rsidR="0025129F" w:rsidRDefault="0025129F" w:rsidP="0025129F">
      <w:pPr>
        <w:pStyle w:val="TextoNormal"/>
      </w:pPr>
      <w:r>
        <w:t xml:space="preserve">El 26 de noviembre de 1993 se recibió un telegrama en el Juzgado de Instrucción con el siguiente texto: “Deseo formular nueva declaración. Soy Enrique Gutiérrez Cortés”. El 7 de diciembre siguiente la Juez acuerda librar exhorto a Orense a fin de que Enrique Gutiérrez y José Nocelo ratifiquen el contenido de sus manifestaciones. El 1 de enero de 1994, el recurrente remite telegrama al Juzgado designando Procurador. El 11 de enero la Juez acuerda de nuevo remitir exhorto a Orense con el fin de que José Nocelo ratifique la designación de Procurador y se reciba declaración a Enrique Gutiérrez. Tres días después ambos detenidos ratificaron la designación de Letrado y Procurador. El 17 de enero (folio 84), en Orense, presta nueva declaración Enrique Gutiérrez (con la asistencia de una Letrada designada de oficio) y ratifica sus anteriores manifestaciones prestadas ante la policía y la Juez, en las que involucra a José Nocelo como organizador del transporte de la droga. Mientras tanto José Nocelo solicita a la Juez que declare nulas las declaraciones de Enrique Gutiérrez a las que no asistió su Letrado. La petición es rechazada por la Juez, por Auto de 28 de febrero de 1994. </w:t>
      </w:r>
    </w:p>
    <w:p w:rsidR="0025129F" w:rsidRDefault="0025129F" w:rsidP="0025129F">
      <w:pPr>
        <w:pStyle w:val="TextoNormal"/>
      </w:pPr>
      <w:r>
        <w:t xml:space="preserve">El 18 de febrero de 1994 se recibe en el Juzgado de Instrucción una carta mecanografiada, firmada por Enrique Gutiérrez, en la que se retracta de las anteriores declaraciones en las que imputaba a José Nocelo como la persona que le encargó el transporte de la droga. El 9 de marzo de 1994, tras recibir una petición del Sr. Nocelo que solicita un careo con el otro detenido, la Juez acuerda recibir nueva declaración a Enrique Gutiérrez, lo cual se lleva a efecto el 11 de abril (folio 136). A ella asisten la Fiscal, su Letrado y el Letrado del recurrente. En esta declaración el Sr. Gutiérrez ratifica íntegramente, de nuevo, sus anteriores manifestaciones, aclarando que si remitió un telegrama al Juzgado solicitando hacer una nueva declaración fue porque le presionaron en la prisión mediante amenazas de muerte dirigidas a él y su familia. </w:t>
      </w:r>
    </w:p>
    <w:p w:rsidR="0025129F" w:rsidRDefault="0025129F" w:rsidP="0025129F">
      <w:pPr>
        <w:pStyle w:val="TextoNormal"/>
      </w:pPr>
      <w:r>
        <w:t xml:space="preserve">El 2 de mayo de 1995, la Juez dicta Auto declarando procesados a José Nocelo, a Enrique Gutiérrez y a Rafael Valle. Al primero le imputa haber ofrecido dinero al segundo para que transportara algo más de 1 Kg. de cocaína a Portugal, la cual era propiedad de </w:t>
      </w:r>
      <w:r>
        <w:lastRenderedPageBreak/>
        <w:t xml:space="preserve">Rafael Valle. El 5 de mayo de 1995 la Juez acuerda librar exhorto a Orense a fin de recibir declaración indagatoria a Enrique Gutiérrez, en la cual, el 25 de mayo siguiente (folio 246), ratifica las imputaciones contra José Nocelo respecto al viaje del día 12 de noviembre de 1993 en que fue detenido, aclarando que sólo efectuó dicho viaje, y no dos, como se indicaba en el Auto de procesamiento. A dicha declaración no asiste el Letrado del Sr. Nocelo, pese a estar personado en los autos. </w:t>
      </w:r>
    </w:p>
    <w:p w:rsidR="0025129F" w:rsidRDefault="0025129F" w:rsidP="0025129F">
      <w:pPr>
        <w:pStyle w:val="TextoNormal"/>
      </w:pPr>
      <w:r>
        <w:t xml:space="preserve">En el juicio oral, el 20 de noviembre de 1996, don Enrique Gutiérrez Cortés expresó su deseo de no declarar. Los Letrados de los otros acusados solicitaron que se les permitiera hacerle preguntas breves, denunciando que, en caso contrario, se les causaría indefensión. El Presidente del Tribunal denegó dicha petición “en virtud del derecho que asiste a todo procesado a no contestar y a permanecer callado”. Al ejercer su derecho a la última palabra Enrique Gutiérrez manifestó que “nunca ha tenido intención de mentir y que la policía miente sobre como fue la detención, y que no conoce a Rafael Valle, que sí conoce a Nocelo, y que ‘Tito’ no es Rafael Valle”. </w:t>
      </w:r>
    </w:p>
    <w:p w:rsidR="0025129F" w:rsidRDefault="0025129F" w:rsidP="0025129F">
      <w:pPr>
        <w:pStyle w:val="TextoNormal"/>
      </w:pPr>
      <w:r>
        <w:t xml:space="preserve">b) La Sentencia de la Audiencia Provincial de Orense, de 23 de noviembre de 1996, condenó al ahora recurrente de amparo y al otro acusado, don Enrique Gutiérrez Cortés como autores de un delito de tráfico de drogas del art. 344 del Código Penal de 1973, en cantidad de notoria importancia, de conformidad con lo dispuesto en el art. 344 bis a) del mismo texto legal, sin la concurrencia de circunstancias modificativas, a la pena de nueve años y un día de prisión mayor y multa de 110 millones de pesetas, con arresto sustitutorio de dos meses en caso de impago a cada uno de los dos acusados ya mencionados, así como a las accesorias correspondientes y al pago de la tercera parte de las costas procesales. </w:t>
      </w:r>
    </w:p>
    <w:p w:rsidR="0025129F" w:rsidRDefault="0025129F" w:rsidP="0025129F">
      <w:pPr>
        <w:pStyle w:val="TextoNormal"/>
      </w:pPr>
      <w:r>
        <w:t xml:space="preserve">En el relato de hechos probados se describía que don Enrique Gutiérrez Cortés fue detenido cuando conducía un vehículo desde Verín hacia Portugal, en el que previamente otro individuo de identidad no acreditada había introducido en un habitáculo existente tras el radio-casette un paquete que contenía 1002'1 gramos de cocaína, con una riqueza de 89'2 por 100. Y se añadía lo siguiente: </w:t>
      </w:r>
    </w:p>
    <w:p w:rsidR="0025129F" w:rsidRDefault="0025129F" w:rsidP="0025129F">
      <w:pPr>
        <w:pStyle w:val="TextoNormal"/>
      </w:pPr>
      <w:r>
        <w:t xml:space="preserve">“Dicho transporte se verificaba por cuenta y encargo del también acusado José Nocelo Novoa, mayor de edad y sin antecedentes penales, puestos ambos de común acuerdo, el cual había dado a Enrique las directrices a seguir en la operación y los oportunos contactos, y asimismo era el encargado de abonar la actividad de transporte.” </w:t>
      </w:r>
    </w:p>
    <w:p w:rsidR="0025129F" w:rsidRDefault="0025129F" w:rsidP="0025129F">
      <w:pPr>
        <w:pStyle w:val="TextoNormal"/>
      </w:pPr>
      <w:r>
        <w:t xml:space="preserve">La Sentencia de la Audiencia expresó en el fundamento de Derecho tercero los datos que, en su opinión, acreditaban la participación en los hechos del ahora actor de amparo don José Nocelo Novoa: </w:t>
      </w:r>
    </w:p>
    <w:p w:rsidR="0025129F" w:rsidRDefault="0025129F" w:rsidP="0025129F">
      <w:pPr>
        <w:pStyle w:val="TextoNormal"/>
      </w:pPr>
      <w:r>
        <w:t xml:space="preserve">“Participación que se deriva, en primer término de la declaración del coacusado Enrique Gutiérrez Cortés, que de modo claro, tanto en la primera declaración que prestó en las dependencias policiales asistido del letrado de oficio, como en las posteriores prestadas a presencia judicial en diversas ocasiones y también con asistencia letrada, ratificó aquella primera versión de los hechos, así al folio 11 de los Autos, al folio 82 (en declaración prestada por segunda vez en 17 Enero 1994), al folio 136 y al folio 246 al prestar declaración indagatoria, declaraciones en las que sin incurrir en contradicción alguna manifestó como el porte se lo abonaba José Nocelo Novoa, como el transporte lo realizaba por encargo del mismo y como le daba además el número de teléfono del contacto de Villanueva de Arosa, como ya lo había hecho en otra ocasión anterior, dando toda clase de datos identificativos de la persona de dicho coacusado, del vehículo que utilizaba, del negocio de su compañera sentimental en la ciudad de Chaves, que al ser ciertos y confirmados por la policía, dieron lugar a su detención. Y esta declaración del coimputado, al no obedecer a móviles de odio, enemistad u obediencia a tercera persona, pues el propio José Nocelo </w:t>
      </w:r>
      <w:r>
        <w:lastRenderedPageBreak/>
        <w:t xml:space="preserve">Novoa manifestó que no tenía enemistad con Enrique, ni aún ánimo de exculpación propio, reúne los elementos necesarios para estimarla como actividad probatoria de cargo, según reiterada doctrina jurisprudencial (Ss. T.S. 24 Septiembre 1987, 22 Mayo 1995, entre otras). Y si efectivamente tales manifestaciones inculpatorias no pudieron ser ratificadas en el acto de juicio oral, al hacer uso el coacusado de su derecho a permanecer callado, sin embargo tales diligencias sumariales, practicadas con todas las formalidades legales, fueron introducidas en el marco contradictorio del juicio oral integradas como prueba documental por el Ministerio Fiscal, sin que la defensa del acusado en esa fase de juicio, hiciera protesta o reserva alguna a los efectos pertinentes, y sin que pueda dejar de tenerse en cuenta que también las declaraciones vertidas en el acto de juicio por el funcionario de policía con carnet 43.843, que dirigía la investigación, constituyen prueba de cargo bastante para acreditar la participación de dicho acusado, y vienen a corroborar las inculpatorias del coprocesado Enrique Gutiérrez Cortés, pues en contra de lo manifestado por José Nocelo Novoa que manifestó haber estado con Enrique en sólo una ocasión, sin embargo dicho funcionario manifestó haber observado como ambos inculpados mantuvieron varios contactos en distintas ocasiones en la zona de Chaves y Verín y en días previos a la ocupación de la droga y que tenían información de que ambos pasaban estupefacientes a Portugal, lo que dio lugar al inicio de las investigaciones policiales y a la posterior aprehensión de la droga; manifestando además un dato revelador cual es que el día de los hechos delante del coche de Enrique viajaba Nocelo en el Peugeot-205, que utilizaba habitualmente.” </w:t>
      </w:r>
    </w:p>
    <w:p w:rsidR="0025129F" w:rsidRDefault="0025129F" w:rsidP="0025129F">
      <w:pPr>
        <w:pStyle w:val="TextoNormal"/>
      </w:pPr>
      <w:r>
        <w:t xml:space="preserve">c) El ahora demandante de amparo interpuso recurso de casación contra la anterior resolución, que fue inadmitido a trámite por el Auto de la Sala Segunda del Tribunal Supremo de 23 de julio de 1997. En su recurso el demandante de amparo denunció: a) Indebida aplicación de los arts. 344 y 344 bis a) CP, al considerar no probada su participación en los hechos; b) Infracción de ley por error en la apreciación de la prueba (art. 849.2 LECrim) que derivaba de documentos que mostraban la equivocación del juzgador (se citaban como documentos las declaraciones sumariales utilizadas por el Tribunal como elemento de prueba); c) Vulneración del art. 24.2 CE, al considerar que no se practicó en el juicio oral prueba válida de cargo que destruyera la presunción de inocencia del Sr. Nocelo. </w:t>
      </w:r>
    </w:p>
    <w:p w:rsidR="0025129F" w:rsidRDefault="0025129F" w:rsidP="0025129F">
      <w:pPr>
        <w:pStyle w:val="TextoNormal"/>
      </w:pPr>
      <w:r>
        <w:t>El Auto de 23 de julio de 1997 por el que se inadmitió a trámite el recurso de casación al apreciar carencia manifiesta de fundamento y falta de respeto al relato de hechos probados, señaló: a) que era correcta la subsunción de los hechos probados en los arts. 344 y 344 bis a) dado que existió concierto de voluntades entre ambos condenados para proceder al transporte y distribución de la droga ilícita; b) que la documentación de las declaraciones sumariales del coacusado Enrique Gutiérrez no es uno de los “documentos” que permiten alegar en casación supuestos “errores en la apreciación de la prueba”, ex art. 849.2 LECrim; c) que carece de fundamento la alegada lesión del derecho a la presunción de inocencia pues el Tribunal de instancia había contado con actividad probatoria de cargo obtenida con todas las garantías sobre la que fundar la condena. Dicha actividad probatoria de cargo la constituían las declaraciones sumariales del coimputado don Enrique Gutiérrez Cortés y la declaración en el juicio oral de uno de los funcionarios de policía que declaró haber visto a los dos acusados mantener contactos en los días previos al transporte de la droga. Se añadió que existían sospechas de que ambos pasaban droga a Portugal, lo que dio lugar a la investigación; y por último, que el día en que se produjo la aprehensión de la droga, el Sr. Nocelo Novoa viajaba con el vehículo que usaba habitualmente delante del que conducía Enrique Gutiérrez.</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su demanda, solicita el actor que se le otorgue amparo y se declare la nulidad de las resoluciones impugnadas. Mediante otrosí pide la suspensión de la ejecución de la condena, afirmando que si se estimara el recurso, sería imposible repararle el daño ocasionado al estar privado innecesariamente de libertad. </w:t>
      </w:r>
    </w:p>
    <w:p w:rsidR="0025129F" w:rsidRDefault="0025129F" w:rsidP="0025129F">
      <w:pPr>
        <w:pStyle w:val="TextoNormal"/>
      </w:pPr>
      <w:r>
        <w:t xml:space="preserve">Dos son las vulneraciones de derechos fundamentales que en la demanda se aducen: </w:t>
      </w:r>
    </w:p>
    <w:p w:rsidR="0025129F" w:rsidRDefault="0025129F" w:rsidP="0025129F">
      <w:pPr>
        <w:pStyle w:val="TextoNormal"/>
      </w:pPr>
      <w:r>
        <w:t xml:space="preserve">a) En la primera queja afirma el recurrente que fue condenado sin prueba de cargo suficiente practicada con todas las garantías, lo que lesionaría su derecho a ser presumido inocente. Considera que sólo las dos primeras declaraciones sumariales de Enrique Gutiérrez, prestadas ante la Juez de Instrucción antes de su personación en el proceso, tienen contenido incriminatorio, pues las otras dos no son sino “una simple ratificación (de las anteriores) sin sometimiento a preguntas ni contradicción alguna por parte de las demás partes personadas”. Aun admitiendo su contenido incriminatorio, dichas declaraciones sumariales (que han fundamentado su condena), no son, en su opinión, prueba válida que pueda desvirtuar su presunción de inocencia por cuanto las mismas ni se han prestado en el juicio oral (ya que Enrique Gutiérrez se negó entonces a declarar y a contestar a ninguna de las preguntas que pretendiera dirigírsele), ni su contenido ha sido leído públicamente en dicho acto, sino que tales declaraciones accedieron al plenario como prueba documental al darse “por reproducidas”, por lo que no pueden fundar una decisión condenatoria al no cumplir las exigencias constitucionales de contradicción, oralidad, inmediación y publicidad. </w:t>
      </w:r>
    </w:p>
    <w:p w:rsidR="0025129F" w:rsidRDefault="0025129F" w:rsidP="0025129F">
      <w:pPr>
        <w:pStyle w:val="TextoNormal"/>
      </w:pPr>
      <w:r>
        <w:t xml:space="preserve">Al cuestionar la razonabilidad de la decisión de condena impugnada pone de manifiesto que las declaraciones del Sr. Gutiérrez Cortés también facilitaron datos identificadores de otro de los acusados en el proceso penal a quo (don Rafael Valle), pese a lo cual, dichas manifestaciones no sirvieron para condenar a este tercer acusado que, por el contrario, resultó absuelto, por lo que reclama para él el mismo trato. Dice el recurrente que el Sr. Gutiérrez Cortés efectuó lo que denomina “testimonio impropio del arrepentido”, impulsado por un móvil de autoexculpación, para obtener un trato más favorable, atendiendo así, quizás, a las sugerencias policiales, por lo que sus manifestaciones carecen de toda credibilidad. </w:t>
      </w:r>
    </w:p>
    <w:p w:rsidR="0025129F" w:rsidRDefault="0025129F" w:rsidP="0025129F">
      <w:pPr>
        <w:pStyle w:val="TextoNormal"/>
      </w:pPr>
      <w:r>
        <w:t xml:space="preserve">Por lo que se refiere a las declaraciones testificales ofrecidas por los agentes de policía, considera el recurrente que no son pruebas de cargo pues se trata de pruebas indirectas o de referencia, ya que los agentes sólo tenían un conocimiento mediato de los hechos, por lo que no podían tener la virtualidad probatoria que se les ha dado. Además, en tales declaraciones los agentes habrían incurrido en multitud de contradicciones e inexactitudes que también les restan cualquier credibilidad. </w:t>
      </w:r>
    </w:p>
    <w:p w:rsidR="0025129F" w:rsidRDefault="0025129F" w:rsidP="0025129F">
      <w:pPr>
        <w:pStyle w:val="TextoNormal"/>
      </w:pPr>
      <w:r>
        <w:t xml:space="preserve">b) Con la segunda queja alega el recurrente la infracción del art. 24.1 CE, afirmando haber quedado indefenso por dos motivos: En primer lugar, la indefensión se habría producido al considerar el Tribunal Supremo que carecía de fundamento el motivo de casación por el que, al amparo de lo previsto en el art. 849.2 LECrim, adujo error en la apreciación de la prueba en relación con la documentación de las declaraciones sumariales del coimputado don Enrique Gutiérrez Cortés. Considera el recurrente que cuando la condena se basa en declaraciones sumariales, que se dan por reproducidas en el juicio oral como prueba documental, su valoración judicial ha de poder ser impugnada por la vía prevista en el precepto procesal citado, pues en otro caso no es posible debatir en casación acerca del contenido de tales manifestaciones. Tal indefensión se habría visto incrementada porque no se dio lectura a dichas declaraciones, ni se dejó a las defensas formular preguntas al coimputado ni hacer constar en el acta el contenido de las mismas. Afirma el recurrente </w:t>
      </w:r>
      <w:r>
        <w:lastRenderedPageBreak/>
        <w:t xml:space="preserve">que la resolución impugnada incurrió en error al valorar el contenido de las manifestaciones sumariales del coimputado porque de las mismas no cabe deducir, como se afirma en los hechos probados, que el registro del vehículo se hiciera en su presencia, ni que el paquete de droga que la policía aportó al Juzgado fuera el mismo que supuestamente habían introducido en el coche terceras personas. </w:t>
      </w:r>
    </w:p>
    <w:p w:rsidR="0025129F" w:rsidRDefault="0025129F" w:rsidP="0025129F">
      <w:pPr>
        <w:pStyle w:val="TextoNormal"/>
      </w:pPr>
      <w:r>
        <w:t>En segundo término, se habría producido también indefensión por no haberse incorporado a las actuaciones ningún acta policial de aprehensión que diera cuenta detallada del hallazgo de la droga. Esta omisión conduce al recurrente a afirmar que no se ha practicado prueba alguna con las suficientes garantías de legalidad que acredite el hallazgo de la droga, pues las manifestaciones del coimputado y de los testigos (los agentes de policía que intervinieron en el hallazgo) incurren en numerosas contradicciones que impiden dar por probada la existencia de la droga.</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9 de julio de 1998, la Sección Cuarta de este Tribunal acordó admitir a trámite la presente demanda de amparo, requerir las actuaciones a los órganos judiciales que habían dictado las resoluciones impugnadas, así como emplazar a quienes hubieran sido parte en el proceso judicial para que, si lo deseaban, pudieran comparecer en el recurso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Por otra providencia de idéntica fecha, se ordenó formar la pieza separada para tramitar el incidente de suspensión. Tras las alegaciones de las partes, el incidente se decidió por Auto de la Sala Segunda de este Tribunal, de 14 de septiembre de 1998, en el sentido de denegar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6</w:t>
      </w:r>
      <w:r>
        <w:t>. Una vez recibidas las actuaciones del Tribunal Supremo y de la Audiencia Provincial de Orense, la Sección dictó providencia de fecha 28 de septiembre de 1998, en la que acordó dar vista de las actuaciones a la parte recurrente y al Ministerio Fiscal por plazo común de veinte días, para que dentro de dicho plazo pudieran presentar las alegaciones que estimasen pertinentes.</w:t>
      </w:r>
    </w:p>
    <w:p w:rsidR="0025129F" w:rsidRDefault="0025129F" w:rsidP="0025129F">
      <w:pPr>
        <w:pStyle w:val="TextoNormal"/>
      </w:pPr>
    </w:p>
    <w:p w:rsidR="0025129F" w:rsidRDefault="0025129F" w:rsidP="0025129F">
      <w:pPr>
        <w:pStyle w:val="TextoNormal"/>
      </w:pPr>
      <w:r w:rsidRPr="0025129F">
        <w:rPr>
          <w:rStyle w:val="NumeroAFNegritaCaracter"/>
        </w:rPr>
        <w:t>7</w:t>
      </w:r>
      <w:r>
        <w:t>. La representación procesal del recurrente presentó su escrito de alegaciones el 27 de octubre de 1998, reiterando en lo sustancial los argumentos ya expresados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La representante del Ministerio Fiscal presentó sus alegaciones el 29 de octubre de 1998, solicitando que se dictara Sentencia denegando el amparo solicitado. Tras resumir los hechos y las alegaciones del demandante, resalta que el coimputado Sr. Gutiérrez declaró después de ser detenido en presencia de Letrado, dando todo tipo de datos de otra persona, que resultó ser el ahora recurrente, y de un tal “Tito”. La segunda declaración del Sr. Gutiérrez se efectuó con la asistencia del Letrado del ahora demandante (folio 136), y en ella ratificó sus anteriores manifestaciones, aclarando que si había solicitado de nuevo prestar declaración fue por haber sido presionado en la cárcel para que así lo hiciera. La declaración indagatoria del Sr. Gutiérrez se produjo también en presencia del Abogado del recurrente de amparo (folio 246) (sic) y en ella volvió a ratificar sus anteriores manifestaciones, refiriéndose ahora al recurrente como “Pepe el de Verín”. En el acto del juicio oral el coimputado Sr. Gutiérrez rectificó su anterior postura de estar dispuesto a declarar y se negó a contestar cualquier pregunta. Concedida la última palabra, manifestó que nunca </w:t>
      </w:r>
      <w:r>
        <w:lastRenderedPageBreak/>
        <w:t xml:space="preserve">había tenido intención de mentir, que la policía mentía acerca de cómo había ocurrido la detención, que no conocía a Rafael del Valle (procesado posteriormente absuelto), que sí conocía a Nocelo (ahora recurrente de amparo), y que Tito no es Rafael del Valle. </w:t>
      </w:r>
    </w:p>
    <w:p w:rsidR="0025129F" w:rsidRDefault="0025129F" w:rsidP="0025129F">
      <w:pPr>
        <w:pStyle w:val="TextoNormal"/>
      </w:pPr>
      <w:r>
        <w:t xml:space="preserve">En suma, en el plenario, el otro coimputado, si bien en el uso de la última palabra y no en el interrogatorio, manifestó no haber mentido, discrepó en la forma en que los policías —no se sabe cuál de los agentes— manifestó que se había producido la detención, y aclaró que el otro procesado no era aquél al que él había designado como Tito, al que no conocía, a diferencia del ahora recurrente al que sí conocía. De ello se infiere que las declaraciones constantes y reiteradas del coimputado, inculpatorias tanto para él mismo como para el ahora demandante y para un tercero, fueron prestadas parte de ellas, y con una total ratificación, en presencia del Letrado del ahora actor de amparo, y fueron ratificadas en el plenario, aunque con las aclaraciones antedichas. Según la representante del Ministerio Fiscal, no estamos en presencia de declaraciones de un coimputado incriminatorias en fase sumarial y de las que después se retracta en el plenario, ni tampoco en presencia de declaraciones prestadas en fase sumarial, pero en ausencia de la representación del ahora recurrente, puesto que tales declaraciones han permanecido sustancialmente iguales en sede policial, sumarial y de plenario. </w:t>
      </w:r>
    </w:p>
    <w:p w:rsidR="0025129F" w:rsidRDefault="0025129F" w:rsidP="0025129F">
      <w:pPr>
        <w:pStyle w:val="TextoNormal"/>
      </w:pPr>
      <w:r>
        <w:t xml:space="preserve">Cuando fue posible, esto es, tras su detención, a la representación del ahora recurrente se le dio la posibilidad de intervención en la toma de las declaraciones, habiendo estado presente en los actos de deposición del coimputado; cosa distinta es que éste se haya negado a contestar las preguntas de aquél, haciendo uso de los derechos constitucionales que le amparan. Es cierto que las declaraciones no fueron leídas en el plenario, pero el Fiscal añade que ni hubo retractación, por lo que no era idónea su lectura en virtud del art. 714 LECrim, ni tampoco la prueba dejó de practicarse por causa independiente de la voluntad de las partes, por cuanto obedeció a la decisión legítima del coimputado. Por ello, tampoco era factible su lectura al amparo del art. 730 LECrim. A ello hay que añadir que tales declaraciones fueron ratificadas en el uso del derecho a la última palabra. Ciertamente, no hubiera estado de más su pública lectura, pero si se examina el acta del juicio oral, se comprueba que todas las partes estuvieron concordes en dar por reproducida la misma, incluso respecto a periciales automovilísticas solicitadas por la defensa. </w:t>
      </w:r>
    </w:p>
    <w:p w:rsidR="0025129F" w:rsidRDefault="0025129F" w:rsidP="0025129F">
      <w:pPr>
        <w:pStyle w:val="TextoNormal"/>
      </w:pPr>
      <w:r>
        <w:t xml:space="preserve">Frente al criterio del recurrente, la representante del Ministerio público insiste en que se han puesto a disposición del recurrente todos los mecanismos procesales existentes y en todos los momentos procesales para facilitar su presencia en la toma de las declaraciones, sin que exista ningún precepto procesal ni constitucional que consagre el derecho a interrogar a los imputados, por cuanto a los mismos se les reconoce, por el contrario, el derecho a no contestar. Ningún derecho de defensa se les han vulnerado ni al recurrente ni tampoco al coimputado, ya que en sus declaraciones se les ha respetado escrupulosamente sus derechos. Afirma, con cita de la STC 115/1998, que la prueba es válida en su obtención y, en consecuencia, susceptible de ser valorada por la Sala sentenciadora, tanto en lo que a él respecta como en lo referente a la persona que prestó la declaración. </w:t>
      </w:r>
    </w:p>
    <w:p w:rsidR="0025129F" w:rsidRDefault="0025129F" w:rsidP="0025129F">
      <w:pPr>
        <w:pStyle w:val="TextoNormal"/>
      </w:pPr>
      <w:r>
        <w:t>No aprecia la Fiscal que en el presente caso exista un móvil autoexculpatorio en las declaraciones del coimputado, por cuanto éste reconoció con ellas su intervención en los hechos; asimismo, está ausente cualquier enemistad entre ambos, puesto que el ahora recurrente reconoció incluso en el plenario relaciones totalmente cordiales con el coimputado. El Tribunal sentenciador ha dispuesto además del testimonio prestado en el plenario por el funcionario policial con carné profesional núm. 43.843, testigo directo de los hechos, quien manifestó poseer informaciones que vinculaban a ambos acusados en la actividad ilícita, haberlos observado juntos en diversas localidades, tanto españolas como ex</w:t>
      </w:r>
      <w:r>
        <w:lastRenderedPageBreak/>
        <w:t xml:space="preserve">tranjeras, en fechas inmediatamente anteriores al día de la detención, así como haber visto el día de la detención que el ahora recurrente precedía en su automóvil al otro condenado que llevaba la sustancia. Además, existen toda una serie de datos que corroboran las declaraciones del coimputado: la previa relación existente entre ambos acusados, no negada por nadie ni tampoco por el recurrente; la inexistencia de problemas previos entre ellos; la inexistencia de afán exculpatorio del otro procesado; el testimonio del agente instructor del atestado policial quien, en el curso de las investigaciones policiales, los observó juntos en diversas localidades a ambos lados de la frontera; el hecho de que la droga fuera llevada a Portugal; y el hecho de que el día de autos, en el momento de la detención, el ahora recurrente también fuera visto dirigiéndose a Portugal, precediendo al transportista de la sustancia. </w:t>
      </w:r>
    </w:p>
    <w:p w:rsidR="0025129F" w:rsidRDefault="0025129F" w:rsidP="0025129F">
      <w:pPr>
        <w:pStyle w:val="TextoNormal"/>
      </w:pPr>
      <w:r>
        <w:t xml:space="preserve">Considera que tampoco puede ser estimada la segunda de las quejas pues, bajo la invocación de una supuesta indefensión, subyace de nuevo una simple diferencia de criterio acerca de la suficiencia de la prueba en la que el órgano judicial fundó su decisión de condena. </w:t>
      </w:r>
    </w:p>
    <w:p w:rsidR="0025129F" w:rsidRDefault="0025129F" w:rsidP="0025129F">
      <w:pPr>
        <w:pStyle w:val="TextoNormal"/>
      </w:pPr>
      <w:r>
        <w:t>Por todo ello, la Fiscal concluye interesando que el Tribunal Constitucional dicte Sentencia denegando el amparo.</w:t>
      </w:r>
    </w:p>
    <w:p w:rsidR="0025129F" w:rsidRDefault="0025129F" w:rsidP="0025129F">
      <w:pPr>
        <w:pStyle w:val="TextoNormal"/>
      </w:pPr>
    </w:p>
    <w:p w:rsidR="0025129F" w:rsidRDefault="0025129F" w:rsidP="0025129F">
      <w:pPr>
        <w:pStyle w:val="TextoNormal"/>
      </w:pPr>
      <w:r w:rsidRPr="0025129F">
        <w:rPr>
          <w:rStyle w:val="NumeroAFNegritaCaracter"/>
        </w:rPr>
        <w:t>9</w:t>
      </w:r>
      <w:r>
        <w:t>. Mediante providencia de 5 de junio de 2001, la Sala Segunda de este Tribunal requirió a la Audiencia Provincial de Orense para que remitiera certificación o fotocopia adverada de las actuaciones correspondientes al sumario 1/95 del Juzgado de Instrucción núm. 1 de Verín. Tales actuaciones fueron recibidas en el Registro de este Tribunal el día 19 de junio de 2001.</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10 de enero de 2002, se señaló el día 14 del mismo mes y año para la votación y fallo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Quien demanda el amparo de este Tribunal fue condenado como autor de un delito contra la salud pública a las penas de nueve años de privación de libertad y 110 millones de pesetas de multa. En el relato de hechos probados de la Sentencia condenatoria se describe cómo, con simultánea promesa de remuneración, encargó a otro condenado en el mismo proceso (don Enrique Gutiérrez Cortés), que transportara en su vehículo desde Villagarcía de Arosa hasta una localidad portuguesa, un paquete que contenía poco más de un kilogramo de cocaína, el cual debía recoger y entregar a personas que no llegaron a ser identificadas.</w:t>
      </w:r>
    </w:p>
    <w:p w:rsidR="0025129F" w:rsidRDefault="0025129F" w:rsidP="0025129F">
      <w:pPr>
        <w:pStyle w:val="TextoNormal"/>
      </w:pPr>
      <w:r>
        <w:t>La demanda de amparo se dirige tanto contra la Sentencia condenatoria de la Audiencia Provincial de Orense, como contra el Auto dictado por la Sala Segunda del Tribunal Supremo que inadmitió el subsiguiente recurso de casación al considerarlo carente de fundamento. Al exponer la base de sus quejas considera el actor que se ha vulnerado su derecho a la presunción de inocencia, garantizado en el art. 24.2 de la norma fundamental, al haber sido condenado sin prueba de cargo obtenida con todas las garantías, así como que durante el proceso se le ha causado indefensión. Teniendo en cuenta los distintos efectos que conlleva cada una de las peticiones de amparo formuladas, comenzaremos el análisis de la demanda por esta segunda queja, dado que su eventual estimación podría dar lugar a un fallo anulatorio con retroacción de actuaciones en el proceso judicial a quo.</w:t>
      </w:r>
    </w:p>
    <w:p w:rsidR="0025129F" w:rsidRDefault="0025129F" w:rsidP="0025129F">
      <w:pPr>
        <w:pStyle w:val="TextoNormal"/>
      </w:pPr>
    </w:p>
    <w:p w:rsidR="0025129F" w:rsidRDefault="0025129F" w:rsidP="0025129F">
      <w:pPr>
        <w:pStyle w:val="TextoNormal"/>
      </w:pPr>
      <w:r w:rsidRPr="0025129F">
        <w:rPr>
          <w:rStyle w:val="NumeroAFNegritaCaracter"/>
        </w:rPr>
        <w:t>2</w:t>
      </w:r>
      <w:r>
        <w:t>. Entiende el recurrente que le produjo indefensión la decisión de inadmisión adoptada por la Sala Segunda del Tribunal Supremo, cuando declaró que el segundo de los motivos aducidos en casación —a través del cual alegaba la existencia de error en la apreciación de la prueba basado en “documentos que obren en autos” (art. 849.2 LECrim)—, carecía manifiestamente de fundamento por no tener tal carácter “documental” las actas en las que se transcribió el contenido de las declaraciones sumariales prestadas por el coimputado Sr.  Gutiérrez Cortés. El actor intentaba impugnar ante el Tribunal Supremo, por esta vía, la valoración judicial del contenido de dichas declaraciones sumariales para, así, poner de manifiesto que las mismas incurrían en contradicciones y, por ello, que de las mismas no debía deducirse una decisión de condena.  La supuesta indefensión padecida se anuda a dicha decisión judicial afirmando que, por ella, no pudo cuestionar en casación el contenido de las declaraciones sumariales que sirvieron para fundamentar su condena. Tal efecto se habría visto reforzado en este caso por la imposibilidad de interrogar al coimputado Sr. Gutiérrez Cortés, pues, en el juicio oral, se acogió a su derecho fundamental a no declarar (art.  24.2 CE).</w:t>
      </w:r>
    </w:p>
    <w:p w:rsidR="0025129F" w:rsidRDefault="0025129F" w:rsidP="0025129F">
      <w:pPr>
        <w:pStyle w:val="TextoNormal"/>
      </w:pPr>
      <w:r>
        <w:t>Para contestar la queja debemos recordar que, de acuerdo con la doctrina constitucional (STC 52/1999, de 12 de abril, FJ 5),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de replicar dialécticamente las posiciones contrarias en el ejercicio del indispensable principio de contradicción, siempre que la actuación judicial produzca un efectivo y real menoscabo del derecho de defensa (SSTC 48/1984, de 4 de abril; 155/1988, de 22 de julio; 145/1990, de 1 de octubre; 188/1993, de 14 de junio; 185/1994, de 20 de junio; 1/1996, de 15 de enero; 89/1997, de 5 de mayo, y 186/1998, de 28 de septiembre); en efecto, sobre la indefensión que el art. 24.1 CE proscribe, se ha dicho reiteradamente por este Tribunal que solo cabe otorgar relevancia constitucional a aquélla que resulta efectiva, de tal forma que no toda infracción o irregularidad procesal cometida por los órganos judiciales provoca, en todos los casos, la eliminación o disminución material de los derechos que corresponden a las partes en el proceso (SSTC 35/1989, de 14 de febrero; 52/1989, de 22 de febrero, y 91/2000, de 30 de marzo).</w:t>
      </w:r>
    </w:p>
    <w:p w:rsidR="0025129F" w:rsidRDefault="0025129F" w:rsidP="0025129F">
      <w:pPr>
        <w:pStyle w:val="TextoNormal"/>
      </w:pPr>
      <w:r>
        <w:t xml:space="preserve">Descrito así el contenido del derecho fundamental alegado, resulta claro que la lesión aducida no puede ser apreciada por cuanto que el Tribunal Supremo, lejos de restringir indebidamente las facultades de participación, alegación y prueba del actor en el proceso, se limitó, en ejercicio de las facultades jurisdiccionales que tiene atribuidas, a interpretar de forma razonada los requisitos legales de acceso a la casación excluyendo la documentación de una diligencia sumarial del concepto de “documento” que justifica, ex art. 849 LECrim, la posibilidad de queja por error en la apreciación de la prueba.  Con ello no quedó reducida sino delimitada la capacidad de alegación e impugnación del recurrente, pues la pretensión que indebidamente pretendía articular a través de este motivo de casación pudo formularla, e implícitamente así lo hizo, mediante el tercero de los motivos aducidos en casación por el que alegó infracción del derecho fundamental a la presunción de inocencia. A través de este motivo de casación pudo cuestionar no sólo el cumplimiento de las garantías legales y constitucionales de la prueba practicada, sino la declaración de culpabilidad que la Audiencia provincial dedujo de su contenido. Basta leer el recurso de casación interpuesto así como el fundamento jurídico tercero del Auto de 23 de julio de 1997, por el que el recurso de casación fue inadmitido a trámite, para encontrar planteada </w:t>
      </w:r>
      <w:r>
        <w:lastRenderedPageBreak/>
        <w:t>y contestada la impugnación que cuestionaba el carácter incriminatorio de las pruebas utilizadas para fundar la condena.</w:t>
      </w:r>
    </w:p>
    <w:p w:rsidR="0025129F" w:rsidRDefault="0025129F" w:rsidP="0025129F">
      <w:pPr>
        <w:pStyle w:val="TextoNormal"/>
      </w:pPr>
      <w:r>
        <w:t>Tampoco le causó indefensión alguna el hecho de que los agentes policiales no documentaran el hallazgo de la droga en un “acta”, sino que lo hicieran constar mediante comparecencia personal reflejada en el atestado. No se atisba rasgo alguno de indefensión constitucionalmente relevante en dicho proceder policial, al margen de cuál sea su virtualidad probatoria, cuestión esta que se abordará al examinar la queja referida al derecho a la presunción de inocencia. Por el contrario, cabe constatar que el recurrente pudo alegar y proponer en su defensa la prueba que estimó necesaria sobre el hallazgo de la droga y su existencia. Su Letrado alegó con plena libertad todo lo que estimó conveniente para la defensa de sus intereses, sin que el ejercicio de este derecho fuera impedido u obstaculizado por los dos órganos judiciales que intervinieron en el proceso. Pudo interrogar e interrogó a los agentes policiales sobre éste y otros extremos, expuso sus alegaciones y contestó a las del Ministerio Fiscal en el informe final en el juicio y, con ello, expuso la cuestión de la inexistencia del acta de aprehensión de la droga tan extensamente como deseó en uno de los motivos incluidos en el recurso de casación. Por todo ello, la queja carece de fundamento y debe también ser desestimada.</w:t>
      </w:r>
    </w:p>
    <w:p w:rsidR="0025129F" w:rsidRDefault="0025129F" w:rsidP="0025129F">
      <w:pPr>
        <w:pStyle w:val="TextoNormal"/>
      </w:pPr>
    </w:p>
    <w:p w:rsidR="0025129F" w:rsidRDefault="0025129F" w:rsidP="0025129F">
      <w:pPr>
        <w:pStyle w:val="TextoNormal"/>
      </w:pPr>
      <w:r w:rsidRPr="0025129F">
        <w:rPr>
          <w:rStyle w:val="NumeroAFNegritaCaracter"/>
        </w:rPr>
        <w:t>3</w:t>
      </w:r>
      <w:r>
        <w:t>. Llegamos así a la cuestión que es nuclear en la demanda: la supuesta lesión del derecho a la presunción de inocencia. Para el recurrente la Sentencia condenatoria vulneró el art.  24.2 CE al basarse en pruebas que, o no son de cargo (las declaraciones testificales de los agentes policiales), o no han sido obtenidas con todas las garantías (la declaración del coimputado don Enrique Gutiérrez Cortés).</w:t>
      </w:r>
    </w:p>
    <w:p w:rsidR="0025129F" w:rsidRDefault="0025129F" w:rsidP="0025129F">
      <w:pPr>
        <w:pStyle w:val="TextoNormal"/>
      </w:pPr>
      <w:r>
        <w:t>El Ministerio Fiscal, por contra, entiende que las pruebas que han servido para justificar la declaración de condena del recurrente son de cargo y han sido obtenidas con todas las garantías, pues las declaraciones plenamente incriminatorias del Sr.  Gutiérrez Cortés, prestadas en fase sumarial, lo fueron con posibilidad plena de contradicción (folios 136 y 246 de las actuaciones) y, pese a que al inicio del juicio oral el coimputado Sr. Gutiérrez Cortés se acogió a su derecho a no declarar, más tarde, en el uso de la última palabra (art. 739 LECrim), manifestó que no había mentido en el curso del proceso, discrepando de la forma en que los agentes policiales describieron las circunstancias de su detención y el hallazgo de la droga, y aclarando que el tercero de los acusados —don Rafael Valle— no era aquél al que en sus manifestaciones había designado como “Tito”, pues no le conocía, a diferencia del Sr.  Nocelo, al que sí conocía. En su opinión, tales manifestaciones, en lo que interesa para enjuiciar la condena del recurrente, no son sino la plena ratificación del contenido de las declaraciones sumariales y, por ello, son constitucionalmente válidas para justificar la decisión de condena impugnada.</w:t>
      </w:r>
    </w:p>
    <w:p w:rsidR="0025129F" w:rsidRDefault="0025129F" w:rsidP="0025129F">
      <w:pPr>
        <w:pStyle w:val="TextoNormal"/>
      </w:pPr>
      <w:r>
        <w:t>Dos son, por tanto, las cuestiones planteadas en esta queja: la invalidez y la insuficiencia de la prueba que ha justificado la condena del recurrente.</w:t>
      </w:r>
    </w:p>
    <w:p w:rsidR="0025129F" w:rsidRDefault="0025129F" w:rsidP="0025129F">
      <w:pPr>
        <w:pStyle w:val="TextoNormal"/>
      </w:pPr>
      <w:r>
        <w:t>En relación con la validez de la prueba utilizada para justificar su condena, admite el recurrente que la misma se apoya en el testimonio del coimputado complementado con el de los agentes policiales que tras vigilar sus movimientos y contactos, detuvieron el vehículo del Sr. Gutiérrez Cortés y encontraron escondido en él un paquete de droga. Sin embargo, por diversas razones que analizaremos a continuación, considera el recurrente que las manifestaciones incriminatorias del coimputado no se prestaron conforme a las exigencias constitucionalmente impuestas por los principios de contradicción, oralidad, inmediación y publicidad (art. 24.2 CE).</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Afirma el recurrente que de las cuatro declaraciones prestadas en fase sumarial por el Sr. Gutiérrez Cortés sólo las dos primeras (folios 11 y 84) tienen contenido incriminatorio, ya que las dos últimas (folios 136 y 246) “se reducen a una mera y simple ratificación sin sometimiento a preguntas ni contradicción alguna por parte de las demás partes personadas”. Con esta alegación inicial cuestiona el recurrente la suficiencia y validez de las declaraciones sumariales con consideraciones que no pueden compartirse.</w:t>
      </w:r>
    </w:p>
    <w:p w:rsidR="0025129F" w:rsidRDefault="0025129F" w:rsidP="0025129F">
      <w:pPr>
        <w:pStyle w:val="TextoNormal"/>
      </w:pPr>
      <w:r>
        <w:t>En cuanto a su suficiencia, se dice que las dos últimas declaraciones no tienen contenido porque son “una simple ratificación” de anteriores manifestaciones incriminatorias. Sin embargo, esta circunstancia no les resta un ápice de contenido incriminatorio. Precisamente, si a la vista del contenido incriminatorio de las primeras manifestaciones se le recibió de nuevo declaración al Sr. Gutiérrez Cortés, fue para posibilitar al recurrente la defensa contradictoria, ya en fase de investigación, que hasta esa fecha no había sido posible por haberse prestado antes de su detención y personación en la fase sumarial. Esta circunstancia explica que, al no haber ningún nuevo dato de hecho en las actuaciones, la tercera declaración fuera una simple ratificación de las anteriores manifestaciones. Más amplitud tuvo su declaración indagatoria, y tampoco en ella, al contestar los hechos imputados en el Auto de procesamiento, rectificó o desmintió las imputaciones relativas al recurrente.</w:t>
      </w:r>
    </w:p>
    <w:p w:rsidR="0025129F" w:rsidRDefault="0025129F" w:rsidP="0025129F">
      <w:pPr>
        <w:pStyle w:val="TextoNormal"/>
      </w:pPr>
      <w:r>
        <w:t>En cuanto a la supuesta falta de contradicción que en la demanda se anuda al hecho de que las partes personadas no le formularon preguntas, o al de no haber asistido a dichas actuaciones pese a estar personados, se trata, en ambos casos, de omisiones no imputables al órgano judicial, sino al propio recurrente o a su defensa. Tal y como se recoge en el acta en que se documentó, en la declaración sumarial prestada el 11 de abril de 1996 (folio 136) estuvieron presentes y participaron los Letrados de todos los imputados. Pudieron así hacer efectiva plenamente su posibilidad de confrontarse con el testigo e interrogarle acerca de sus imputaciones [arts. 24.2 CE y 6.3 d) CEDH]. Por lo tanto, si no llegaron a formular preguntas ni exigir aclaraciones al coimputado no fue debido a ninguna actuación judicial constitucionalmente censurable, sino a su propia pasividad, pues asistiendo a la declaración y estando personados en autos pudieron intentar confrontar sus declaraciones mediante el oportuno interrogatorio. Cabe recordar que, conforme a las exigencias dimanantes del art.  24.2 CE [interpretado conforme al art. 6.3 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Kostovsky c. Holanda, §.  41; de 27 de septiembre de 1990, caso Windisch c. Austria, §. 26; de 19 de febrero de 1991, caso Isgro c. Italia, §. 34; de 20 de septiembre de 1993, caso Saïdi c.  Francia, §. 43; y la más reciente, de 27 de febrero de 2001, caso Luca c. Italia, §. 40). Por tanto, en este caso, desde la perspectiva cuestionada, ha de afirmarse que, por su forma de producirse, las manifestaciones sumariales del Sr. Gutiérrez Cortés fueron prestadas en condiciones que permitieron al recurrente oponerse a su contenido e interrogar o hacer interrogar a su autor. Por lo expuesto, todas ellas son incriminatorias y fueron obtenidas, en fase sumarial, con plena posibilidad de contradicción (a diferencia del supuesto analizado en la STEDH de 6 de diciembre de 1988, caso Barberá, Messegué y Jabardo c. España, § 84 a 86).</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Todavía desde la misma perspectiva de la validez de la prueba, se afirma en la demanda que, por haber hecho uso de su derecho a no declarar, las manifestaciones incriminatorias del coimputado que han fundado la condena accedieron al juicio oral únicamente </w:t>
      </w:r>
      <w:r>
        <w:lastRenderedPageBreak/>
        <w:t>como prueba documental y que, en la medida en que la misma se dio “por reproducida” sin procederse a su lectura pública, se incumplieron las exigencias constitucionales de contradicción, inmediación y publicidad que conforman los requisitos de validez de la prueba desde la perspectiva del derecho a la presunción de inocencia. La anterior afirmación exige dos precisiones de hecho.</w:t>
      </w:r>
    </w:p>
    <w:p w:rsidR="0025129F" w:rsidRDefault="0025129F" w:rsidP="0025129F">
      <w:pPr>
        <w:pStyle w:val="TextoNormal"/>
      </w:pPr>
      <w:r>
        <w:t>Debemos advertir, en primer lugar, que el examen de las actuaciones no permite respaldar la premisa fáctica de la queja que analizamos pues, como acertadamente ha señalado el Ministerio Fiscal, pese a su silencio inicial, la participación del Sr.  Gutiérrez Cortés en el juicio oral no fue meramente pasiva. Si bien es cierto que en el momento de ser interrogado, tras no confesarse autor del delito imputado en el escrito de acusación, se negó a declarar y, por tanto, a contestar a ninguna de las preguntas que pretendieran formulársele, sin embargo, cuando, ex art. 739 LECrim, se le preguntó, terminados los informes del Ministerio Fiscal y de los Letrados de las defensas, si tenía algo que manifestar al Tribunal, señaló “que nunca ha tenido intención de mentir, y que la policía miente sobre como fue la detención, y que no conoce a Rafael Valle, que si conoce a Nocelo, que Tito no es Rafael Valle”. Hay en estas manifestaciones, por referencia a las anteriormente prestadas que se afirman como verdaderas y por contraste con lo manifestado sobre la supuesta implicación de don Rafael Valle, un evidente sentido incriminatorio en contra del recurrente Sr. Nocelo Novoa. Cabe concluir, por tanto, que el coimputado no solo asistió al juicio oral, sino que también declaró en el mismo, si bien parcial y limitadamente, sin que se intentara por la defensa del Sr. Nocelo reabrir el debate contradictorio.</w:t>
      </w:r>
    </w:p>
    <w:p w:rsidR="0025129F" w:rsidRDefault="0025129F" w:rsidP="0025129F">
      <w:pPr>
        <w:pStyle w:val="TextoNormal"/>
      </w:pPr>
      <w:r>
        <w:t>No es tampoco correcto afirmar que fue únicamente a través de la prueba documental como las manifestaciones sumariales del Sr. Gutiérrez Cortés accedieron al debate en el juicio oral. Según hemos dicho, el coimputado asistió al acto del juicio, y pese a su silencio inicial, el hecho de no haber rectificado el contenido de sus declaraciones anteriores pudo ser entendido por el Tribunal sentenciador como una ratificación tácita.  Además, el contenido incriminatorio de sus declaraciones sumariales se aportó al debate a través de las preguntas formuladas al recurrente, que hubo de defenderse de las imputaciones que le hacía el acusador público negando su participación en los hechos y manifestando expresamente que el Sr. Gutiérrez Cortés mentía. También se incorporaron, parcialmente, a través de las preguntas formuladas a los agentes policiales que declararon como testigos, los cuales, como veremos más adelante, ratificaron algunos aspectos esenciales de las manifestaciones incriminatorias del coimputado.</w:t>
      </w:r>
    </w:p>
    <w:p w:rsidR="0025129F" w:rsidRDefault="0025129F" w:rsidP="0025129F">
      <w:pPr>
        <w:pStyle w:val="TextoNormal"/>
      </w:pPr>
    </w:p>
    <w:p w:rsidR="0025129F" w:rsidRDefault="0025129F" w:rsidP="0025129F">
      <w:pPr>
        <w:pStyle w:val="TextoNormal"/>
      </w:pPr>
      <w:r w:rsidRPr="0025129F">
        <w:rPr>
          <w:rStyle w:val="NumeroAFNegritaCaracter"/>
        </w:rPr>
        <w:t>6</w:t>
      </w:r>
      <w:r>
        <w:t>. Hechas las anteriores precisiones fácticas acerca de la participación del coimputado en el acto del juicio y sobre la forma en que el contenido de sus declaraciones sumariales se incorporó al debate procesal, hemos de analizar si, como se afirma en la demanda, por haberse acogido a su derecho a no declarar y por no haberse procedido a dar lectura a las declaraciones sumariales del coimputado, su declaración no constituye una prueba válida capaz de desvirtuar la presunción de inocencia debido a las limitaciones en el ejercicio del derecho de defensa contradictoria que concurrieron en su práctica.</w:t>
      </w:r>
    </w:p>
    <w:p w:rsidR="0025129F" w:rsidRDefault="0025129F" w:rsidP="0025129F">
      <w:pPr>
        <w:pStyle w:val="TextoNormal"/>
      </w:pPr>
      <w:r>
        <w:t>De acuerdo con la doctrina constitucional, las declaraciones de los coimputados, que no están prohibidas por la ley procesal, pueden valorarse como pruebas aptas para destruir la presunción de inocencia, dado su carácter testimonial [AATC 479/1986, de 4 de junio, FJ 1; 293/1987, de 11 de marzo, FJ único, y 343/1987, de 18 de marzo, FJ 2 a), así como SSTC 137/1988, de 7 de julio, FJ 4; 98/1990, de 24 de mayo, FJ 2; 50/1992, de 2 de abril, FJ 3, y 51/1995, de 23 de febrero, FJ 4].</w:t>
      </w:r>
    </w:p>
    <w:p w:rsidR="0025129F" w:rsidRDefault="0025129F" w:rsidP="0025129F">
      <w:pPr>
        <w:pStyle w:val="TextoNormal"/>
      </w:pPr>
      <w:r>
        <w:lastRenderedPageBreak/>
        <w:t>Sin embargo, hemos afirmado también que tanto por la posición que ocupa el coimputado en el proceso, cuanto porque no se le exige legalmente decir verdad, se trata de una prueba intrínsecamente sospechosa (STC 68/2001, de 17 de marzo, FJ 5), no sólo por su escasa fiabilidad derivada de la posibilidad de que en su manifestación concurran móviles espurios (entre los que es relevante el de autoexculpación o reducción de su responsabilidad) sino porque se trata de un testimonio que sólo de forma muy limitada puede someterse a contradicción. Y es que, como se acaba de señalar, el acusado, a diferencia del testigo, no sólo no tiene obligación legal de decir la verdad, sino que puede callar en virtud del derecho a no declarar contra sí mismo y a no confesarse culpable, reconocido expresamente en el art. 24.2 CE, que es una garantía instrumental del más amplio derecho a la defensa en cuanto reconoce a todo ciudadano el derecho a no contribuir a su propia incriminación (SSTC 29/1995, de 6 de febrero; 197/1995, de 21 de diciembre; 153/1997, de 29 de septiembre; 49/1998 y 115/1998, de 2 de marzo y 1 de junio; en el mismo sentido, las SSTEDH de 25 de febrero de 1993, caso Funke c.  Francia, § 44; de 17 de diciembre de 1996, caso Saunders contra Reino Unido, § 68, y la ya citada de 27 de febrero de 2001, caso Luca c.  Italia, § 33, han señalado que, pese a no venir expresamente recogido en el art. 6 CEDH, el derecho a no contribuir a la propia incriminación forma parte de la noción misma de proceso justo consagrada en dicho precepto).</w:t>
      </w:r>
    </w:p>
    <w:p w:rsidR="0025129F" w:rsidRDefault="0025129F" w:rsidP="0025129F">
      <w:pPr>
        <w:pStyle w:val="TextoNormal"/>
      </w:pPr>
      <w:r>
        <w:t>Precisamente dicho déficit de contradicción, que es consustancial a la declaración de cualquier coimputado en nuestro ordenamiento jurídico, unido a su posición en el proceso, es lo que justifica que sus manifestaciones, cuando son prueba única, no adquieran entidad suficiente para desvirtuar la presunción constitucional de inocencia, por lo que su veracidad ha de verse avalada por algún hecho, dato o circunstancia externa (STC 68/2001, antes citada). Hemos de advertir, sin embargo, que no es en esos extremos en los que el recurrente pone el acento, pues no cuestiona el derecho del Sr.  Gutiérrez Cortés a permanecer en silencio, sino en el hecho de no haberse procedido a dar lectura a las manifestaciones sumariales en el juicio oral. Tal omisión se convierte así en argumento justificativo de la pretensión de amparo afirmando que sólo mediante la lectura de las declaraciones sumariales se colmarían las exigencias constitucionales de contradicción, inmediación y publicidad que permitirían integrar el contenido incriminatorio de las declaraciones sumariales en la declaración prestada en el juicio oral.</w:t>
      </w:r>
    </w:p>
    <w:p w:rsidR="0025129F" w:rsidRDefault="0025129F" w:rsidP="0025129F">
      <w:pPr>
        <w:pStyle w:val="TextoNormal"/>
      </w:pPr>
      <w:r>
        <w:t>El recurrente cita en su apoyo numerosas Sentencias de este Tribunal que han puesto el acento, cuando de reproducir diligencias sumariales en el juicio oral se trata, en la necesidad de que tal reproducción se haga en condiciones que permitan a la defensa del acusado someterlas a contradicción. Sin embargo, el supuesto que analizamos no es el mismo que dio lugar a aquellas resoluciones ni, por tanto, su solución es trasladable a este caso sin matización alguna.</w:t>
      </w:r>
    </w:p>
    <w:p w:rsidR="0025129F" w:rsidRDefault="0025129F" w:rsidP="0025129F">
      <w:pPr>
        <w:pStyle w:val="TextoNormal"/>
      </w:pPr>
      <w:r>
        <w:t xml:space="preserve">En efecto, desde la STC 31/1981, de 28 de julio, FJ 3, al analizar los requisitos constitucionales de validez de las pruebas capaces de desvirtuar la presunción de inocencia, hemos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No obstante, hemos señalado expresamente también que dicha regla general admite excepciones (STC 80/1986, de 17 de junio, FJ 1), a través de las cuales es conforme a la Constitución, en </w:t>
      </w:r>
      <w:r>
        <w:lastRenderedPageBreak/>
        <w:t>limitadas ocasiones, integrar en la valoración probatoria el resultado de diligencias sumariales de investigación (específicamente en los supuestos recogidos en los arts. 714 y 730 LECrim), o el contenido de las pruebas practicadas anticipadamente (legalmente previstas en el art.  657.3 LECrim, para el proceso ordinario, y en los arts. 790.5, 791.2 y 792.1 LECrim, para el procedimiento abreviado).</w:t>
      </w:r>
    </w:p>
    <w:p w:rsidR="0025129F" w:rsidRDefault="0025129F" w:rsidP="0025129F">
      <w:pPr>
        <w:pStyle w:val="TextoNormal"/>
      </w:pPr>
      <w:r>
        <w:t>Singularmente, en lo que se refiere a las diligencias sumariales cuyo resultado se pretende integrar en la valoración probatoria, al analizar la aplicación judicial de lo previsto en los arts. 714 y 730 LECrim, hemos resaltado en numerosas ocasiones la necesidad de que en estos supuestos, dado el carácter secreto de la fase sumarial, el contenido de la diligencia practicada en el sumario se reproduzca en el acto del juicio mediante la lectura pública del acta en la que se documentó, pues sólo de esta manera, ante la rectificación o retractación del testimonio operada en el acto del juicio oral (art. 714 LECrim), o ante la imposibilidad material de su reproducción (art. 730 LECrim), el resultado de la diligencia accede al debate procesal público, pudiendo así el órgano sentenciador dar verosimilitud a uno u otro testimonio, y la defensa impugnar su contenido haciendo sobre ellas las alegaciones que tenga por oportunas (SSTC 150/1987, de 1 de octubre, FJ 2; 137/1988, de 7 de julio, FJ 3; 93/1994, de 21 de marzo, FJ 4; y 14/2001, de 29 de enero, FJ 7).</w:t>
      </w:r>
    </w:p>
    <w:p w:rsidR="0025129F" w:rsidRDefault="0025129F" w:rsidP="0025129F">
      <w:pPr>
        <w:pStyle w:val="TextoNormal"/>
      </w:pPr>
    </w:p>
    <w:p w:rsidR="0025129F" w:rsidRDefault="0025129F" w:rsidP="0025129F">
      <w:pPr>
        <w:pStyle w:val="TextoNormal"/>
      </w:pPr>
      <w:r w:rsidRPr="0025129F">
        <w:rPr>
          <w:rStyle w:val="NumeroAFNegritaCaracter"/>
        </w:rPr>
        <w:t>7</w:t>
      </w:r>
      <w:r>
        <w:t>. El supuesto que analizamos, pese a lo expresado en la demanda, no es uno de los recogidos en los arts. 714 y 730 LECrim, y por ello el déficit de contradicción que justifica la queja del recurrente, centrado en la falta de lectura de las declaraciones sumariales del coimputado, no puede ser apreciado como lesión del derecho a la presunción de inocencia. No estamos aquí ante una rectificación o retractación de un testimonio sobre la que se puedan pedir explicaciones a su autor, ni ante una prueba cuya reproducción sea materialmente imposible, sino en el trance de analizar la virtualidad probatoria de la declaración de un coimputado que asistió al acto del juicio y que, como antes se dijo, ejerció inicialmente su derecho a no declarar, pero más tarde hizo declaraciones, al menos parciales, al hacer uso de la última palabra.</w:t>
      </w:r>
    </w:p>
    <w:p w:rsidR="0025129F" w:rsidRDefault="0025129F" w:rsidP="0025129F">
      <w:pPr>
        <w:pStyle w:val="TextoNormal"/>
      </w:pPr>
      <w:r>
        <w:t>Desde la perspectiva de la inmediación, el órgano sentenciador tuvo en su presencia al autor del testimonio. Pudo por ello valorar su decisión de guardar silencio pese a sus imputaciones anteriores, y también pudo valorar lo manifestado al ejercer la última palabra. Atendiendo a las exigencias de publicidad del debate (esencial en este tipo de supuestos, como se recoge en la STEDH de 6 de diciembre de 1988, caso Barberá, Messegué y Jabardo c. España, § 81), ya hemos expuesto antes cómo el contenido incriminatorio de las declaraciones sumariales accedió al juicio oral a través del interrogatorio del recurrente y, parcialmente, a través de interrogatorio de los testigos, por lo que (como concluimos en la STC 161/1990, de 19 de octubre, FJ 6), las exigencias constitucionales de publicidad pueden darse por satisfechas pese a no haber sido leídos los folios sumariales en que se documentaron.</w:t>
      </w:r>
    </w:p>
    <w:p w:rsidR="0025129F" w:rsidRDefault="0025129F" w:rsidP="0025129F">
      <w:pPr>
        <w:pStyle w:val="TextoNormal"/>
      </w:pPr>
      <w:r>
        <w:t xml:space="preserve">Hemos de coincidir con el recurrente en que la declaración del coimputado Sr. Gutiérrez Cortés se prestó en condiciones de contradicción limitada, sin duda menores de las que concurren cuando de una declaración testifical se trata, pero al derivar tal déficit del ejercicio del derecho fundamental a no declarar, no puede imputarse al órgano judicial. Apreciamos también que el hecho de que no se permitiera a la defensa del recurrente formular al coimputado todas las preguntas que, relacionadas con las imputaciones previamente manifestadas, deseara formularle, supuso un empobrecimiento del debate. Ahora bien, la incidencia de tal circunstancia en el caso concreto no puede ser analizada en esta sede por cuanto el recurrente, pese a formular protesta en el acto del juicio, y anunciar </w:t>
      </w:r>
      <w:r>
        <w:lastRenderedPageBreak/>
        <w:t>después su intención de acudir en casación para denunciar esta prohibición, obvió esta decisión judicial en su recurso ante el Tribunal Supremo y centró sus motivos de casación en otros aspectos del proceso, lo que, por razones de subsidiariedad del amparo, imposibilita un análisis más profundo de la cuestión.</w:t>
      </w:r>
    </w:p>
    <w:p w:rsidR="0025129F" w:rsidRDefault="0025129F" w:rsidP="0025129F">
      <w:pPr>
        <w:pStyle w:val="TextoNormal"/>
      </w:pPr>
      <w:r>
        <w:t>En conclusión, por las razones antes expuestas, debemos rechazar las tachas de invalidez constitucional de las pruebas por falta de contradicción, inmediación y publicidad, que justifican la pretensión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Resta por analizar la supuesta insuficiencia de la actividad probatoria desarrollada para justificar la condena que en la demanda se denuncia. Ya hemos señalado que la declaración incriminatoria del coimputado, cuando es prueba única, carece de entidad suficiente para entender desvirtuada la presunción de inocencia. En el presente supuesto, dado que tales manifestaciones son la única prueba directa practicada acerca del encargo bajo promesa de remuneración del transporte de la droga, debemos analizar si la veracidad de dichas afirmaciones se encuentra corroborada por algún dato, hecho o circunstancia externa a la misma.</w:t>
      </w:r>
    </w:p>
    <w:p w:rsidR="0025129F" w:rsidRDefault="0025129F" w:rsidP="0025129F">
      <w:pPr>
        <w:pStyle w:val="TextoNormal"/>
      </w:pPr>
      <w:r>
        <w:t>Como antes se expuso en la letra b) del antecedente de hecho 2 de esta resolución, la Sentencia condenatoria de la Audiencia Provincial de Orense considera que las manifestaciones de uno de los agentes de policía que declaró como testigo corroboran las manifestaciones del coimputado, por cuanto “en contra de lo manifestado por José Nocelo Novoa que manifestó haber estado con Enrique (Gutiérrez Cortés) en sólo una ocasión, sin embargo dicho funcionario manifestó haber observado cómo ambos inculpados mantuvieron varios contactos en distintas ocasiones en la zona de Chaves y Verín y en días previos a la ocupación de la droga y que tenían información de que ambos pasaban estupefacientes a Portugal, lo que dio lugar al inicio de las investigaciones policiales y a la posterior aprehensión de la droga; manifestando además un dato revelador cual es que el día de los hechos delante del coche de Enrique viajaba Nocelo en el Peugeot- 205, que utilizaba habitualmente”.</w:t>
      </w:r>
    </w:p>
    <w:p w:rsidR="0025129F" w:rsidRDefault="0025129F" w:rsidP="0025129F">
      <w:pPr>
        <w:pStyle w:val="TextoNormal"/>
      </w:pPr>
      <w:r>
        <w:t>El análisis de su contenido permite afirmar que hay en este testimonio policial datos externos a la versión de los hechos facilitada por el coimputado que la corroboran en lo esencial, superando así el umbral mínimo que da paso al campo de libre valoración judicial de la prueba practicada, pues permiten dar por probados aspectos relevantes de su declaración (los encuentros previos al transporte en los que se encargó la droga, y el acompañamiento con el vehículo propio para vigilar la entrega, indicarle dónde depositar la droga y pagar al porteador una vez que la operación finalizara con éxito) que se corresponden con lo que el Tribunal apreció como realmente ocurrido.</w:t>
      </w:r>
    </w:p>
    <w:p w:rsidR="0025129F" w:rsidRDefault="0025129F" w:rsidP="0025129F">
      <w:pPr>
        <w:pStyle w:val="TextoNormal"/>
      </w:pPr>
      <w:r>
        <w:t>Esta conclusión obliga a desestimar la relevancia constitucional de las supuestas contradicciones en que habrían incurrido los agentes policiales al prestar su testimonio sobre aspectos de hecho que no sirvieron para fundamentar la condena del recurrente, pues este Tribunal no puede entrar en la valoración de la prueba.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lastRenderedPageBreak/>
        <w:t>Ha decidido</w:t>
      </w:r>
    </w:p>
    <w:p w:rsidR="0025129F" w:rsidRDefault="0025129F" w:rsidP="0025129F">
      <w:pPr>
        <w:pStyle w:val="TextoNormalCentrado"/>
        <w:keepNext/>
      </w:pPr>
    </w:p>
    <w:p w:rsidR="0025129F" w:rsidRDefault="0025129F" w:rsidP="0025129F">
      <w:pPr>
        <w:pStyle w:val="TextoNormal"/>
      </w:pPr>
      <w:r>
        <w:t>Desestimar el recurso de amparo interpuesto por don José Nocelo Novoa.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 w:name="SENTENCIA_2002_3"/>
      <w:r>
        <w:lastRenderedPageBreak/>
        <w:t>SENTENCIA 3/2002, de 14 de enero de 2002</w:t>
      </w:r>
    </w:p>
    <w:bookmarkEnd w:id="6"/>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ECLI:ES:TC:2002:3</w:t>
      </w:r>
    </w:p>
    <w:p w:rsidR="0025129F" w:rsidRDefault="0025129F" w:rsidP="0025129F">
      <w:pPr>
        <w:pStyle w:val="SntesisDescriptiva"/>
      </w:pPr>
    </w:p>
    <w:p w:rsidR="0025129F" w:rsidRDefault="0025129F" w:rsidP="0025129F">
      <w:pPr>
        <w:pStyle w:val="SntesisDescriptiva"/>
      </w:pPr>
      <w:r>
        <w:t>Recurso de amparo 815/98. Promovido por don Alfredo González Coto frente a las resoluciones del Juzgado de lo Social de Oviedo y del Tribunal Superior de Justicia de Asturias que denegaron la suspensión de la revisión de su pensión de invalidez por el INSS en incidente de ejecución de Sentencia.</w:t>
      </w:r>
    </w:p>
    <w:p w:rsidR="0025129F" w:rsidRDefault="0025129F" w:rsidP="0025129F">
      <w:pPr>
        <w:pStyle w:val="SntesisDescriptiva"/>
      </w:pPr>
    </w:p>
    <w:p w:rsidR="0025129F" w:rsidRDefault="0025129F" w:rsidP="0025129F">
      <w:pPr>
        <w:pStyle w:val="SntesisAnaltica"/>
      </w:pPr>
      <w:r>
        <w:t>Supuesta vulneración de los derechos a la igualdad, a la seguridad jurídica y a la tutela judicial efectiva (ejecución de Sentencia): potestad administrativa de revisión de oficio de actos declarativos de derechos, dictados en ejecución de una Sentencia firme.</w:t>
      </w:r>
    </w:p>
    <w:p w:rsidR="0025129F" w:rsidRDefault="0025129F" w:rsidP="0025129F">
      <w:pPr>
        <w:pStyle w:val="SntesisAnaltica"/>
      </w:pPr>
    </w:p>
    <w:p w:rsidR="0025129F" w:rsidRDefault="0025129F" w:rsidP="0025129F">
      <w:pPr>
        <w:pStyle w:val="Extracto"/>
      </w:pPr>
      <w:r>
        <w:t>1.</w:t>
      </w:r>
      <w:r>
        <w:tab/>
        <w:t>Las decisiones judiciales impugnadas respondieron a la petición ejecutiva del recurrente de amparo afirmando que el incidente de ejecución tramitado no era el cauce procesal adecuado para poner en cuestión el procedimiento y los efectos de la revisión de oficio de la pensión acordada por la entidad gestora [FJ 4].</w:t>
      </w:r>
    </w:p>
    <w:p w:rsidR="0025129F" w:rsidRDefault="0025129F" w:rsidP="0025129F">
      <w:pPr>
        <w:pStyle w:val="Extracto"/>
      </w:pPr>
    </w:p>
    <w:p w:rsidR="0025129F" w:rsidRDefault="0025129F" w:rsidP="0025129F">
      <w:pPr>
        <w:pStyle w:val="Extracto"/>
      </w:pPr>
      <w:r>
        <w:t>2.</w:t>
      </w:r>
      <w:r>
        <w:tab/>
        <w:t>Fuera o no posible solución distinta a la adoptada en las resoluciones judiciales impugnadas, disponer que no procede la suspensión de los efectos del acto de revisión de oficio de la pensión acordada por la entidad gestora, en el incidente de ejecución de una Sentencia, no lesionó el derecho a la tutela judicial efectiva en su vertiente del derecho a la ejecución en conexión con el principio de seguridad jurídica (SSTC 231/1991, 136/1997) [FJ 4.c].</w:t>
      </w:r>
    </w:p>
    <w:p w:rsidR="0025129F" w:rsidRDefault="0025129F" w:rsidP="0025129F">
      <w:pPr>
        <w:pStyle w:val="Extracto"/>
      </w:pPr>
    </w:p>
    <w:p w:rsidR="0025129F" w:rsidRDefault="0025129F" w:rsidP="0025129F">
      <w:pPr>
        <w:pStyle w:val="Extracto"/>
      </w:pPr>
      <w:r>
        <w:t>3.</w:t>
      </w:r>
      <w:r>
        <w:tab/>
        <w:t>No es contrario al art. 24.1 CE entender que no afecta al derecho de ejecución de la Sentencia de referencia el regular ejercicio de las facultades revisoras del Instituto Nacional de la Seguridad Social sobre los aspectos de la pensión no abordados en juicio, incluso cuando encadenadamente resulten afectados [FJ 4].</w:t>
      </w:r>
    </w:p>
    <w:p w:rsidR="0025129F" w:rsidRDefault="0025129F" w:rsidP="0025129F">
      <w:pPr>
        <w:pStyle w:val="Extracto"/>
      </w:pPr>
    </w:p>
    <w:p w:rsidR="0025129F" w:rsidRDefault="0025129F" w:rsidP="0025129F">
      <w:pPr>
        <w:pStyle w:val="Extracto"/>
      </w:pPr>
      <w:r>
        <w:t>4.</w:t>
      </w:r>
      <w:r>
        <w:tab/>
        <w:t>Era posible la reconducción de la potencial suspensión de los efectos del nuevo acto administrativo al proceso declarativo anunciado por el propio recurrente para cuestionar su validez, negando la virtualidad del incidente de ejecución para tal propósito [FJ 4].</w:t>
      </w:r>
    </w:p>
    <w:p w:rsidR="0025129F" w:rsidRDefault="0025129F" w:rsidP="0025129F">
      <w:pPr>
        <w:pStyle w:val="Extracto"/>
      </w:pPr>
    </w:p>
    <w:p w:rsidR="0025129F" w:rsidRDefault="0025129F" w:rsidP="0025129F">
      <w:pPr>
        <w:pStyle w:val="Extracto"/>
      </w:pPr>
      <w:r>
        <w:t>5.</w:t>
      </w:r>
      <w:r>
        <w:tab/>
        <w:t>Los derechos a la ejecución en sus términos y a no alterar el contenido mismo de la Sentencia firme están relacionados, pero no son equiparables (SSTC 15/1986, 92/1999) [FJ 4.a].</w:t>
      </w:r>
    </w:p>
    <w:p w:rsidR="0025129F" w:rsidRDefault="0025129F" w:rsidP="0025129F">
      <w:pPr>
        <w:pStyle w:val="Extracto"/>
      </w:pPr>
    </w:p>
    <w:p w:rsidR="0025129F" w:rsidRDefault="0025129F" w:rsidP="0025129F">
      <w:pPr>
        <w:pStyle w:val="Extracto"/>
      </w:pPr>
      <w:r>
        <w:t>6.</w:t>
      </w:r>
      <w:r>
        <w:tab/>
        <w:t>Distingue la STC 155/1985 [FJ 4].</w:t>
      </w:r>
    </w:p>
    <w:p w:rsidR="0025129F" w:rsidRDefault="0025129F" w:rsidP="0025129F">
      <w:pPr>
        <w:pStyle w:val="Extracto"/>
      </w:pPr>
    </w:p>
    <w:p w:rsidR="0025129F" w:rsidRDefault="0025129F" w:rsidP="0025129F">
      <w:pPr>
        <w:pStyle w:val="Extracto"/>
      </w:pPr>
      <w:r>
        <w:t>7.</w:t>
      </w:r>
      <w:r>
        <w:tab/>
        <w:t>La seguridad jurídica (art. 9.3 CE) es un principio general del ordenamiento jurídico que no configura un derecho fundamental (SSTC 68/1982, 26/2001) sin perjuicio de que pueda imbricarse con alguno de ellos (SSTC 119/1988, 136/1997) [ FJ 2].</w:t>
      </w:r>
    </w:p>
    <w:p w:rsidR="0025129F" w:rsidRDefault="0025129F" w:rsidP="0025129F">
      <w:pPr>
        <w:pStyle w:val="Extracto"/>
      </w:pPr>
    </w:p>
    <w:p w:rsidR="0025129F" w:rsidRDefault="0025129F" w:rsidP="0025129F">
      <w:pPr>
        <w:pStyle w:val="Extracto"/>
      </w:pPr>
      <w:r>
        <w:t>8.</w:t>
      </w:r>
      <w:r>
        <w:tab/>
        <w:t>Las lesiones aducidas de los arts. 17 y 14 CE no fueron invocadas en la vía judicial tan pronto hubo lugar para ello, esto es, en el recurso de reposición [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815/98, interpuesto por don Alfredo González Coto, representado por la Procuradora de los Tribunales doña Begoña Fernández Pérez Zabalgoitia y asistido de la Letrada doña María José Pérez García, contra la providencia del Juzgado de lo Social núm. 1 de Oviedo de 15 de abril de 1996 sobre ejecución de la Sentencia de 2 de marzo de 1992, recaída en los autos núm. 82/92 de dicho Juzgado de lo Social, sustanciados a instancia del demandante de amparo contra el Instituto Nacional de la Seguridad Social (INSS) y la empresa Hulleras del Norte, S.A. (HUNOSA), en materia de invalidez permanente derivada de enfermedad profesional, así como contra el Auto de dicho Juzgado, de 9 de mayo de 1996, que confirmó la anterior providencia, la Sentencia de la Sala de lo Social del Tribunal Superior de Justicia de Asturias, de 20 de diciembre de 1996, que lo ratifica, y el Auto de la Sala de lo Social del Tribunal Supremo de 15 de diciembre de 1997, que inadmitió el sucesivo recurso de casación para la unificación de doctrina. Han intervenido el Ministerio Fiscal y el Instituto Nacional de la Seguridad Social, representado por el Procurador de los Tribunales don Carlos de Zulueta Cebrián y asistido del Letrado don Alberto Llorente Álvarez.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día 25 de febrero de 1998, la representación procesal de don Alfredo González Coto formalizó recurso de amparo contra las resoluciones judiciales citadas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que originaron la demanda son, sucintamente expuestos, los siguientes: </w:t>
      </w:r>
    </w:p>
    <w:p w:rsidR="0025129F" w:rsidRDefault="0025129F" w:rsidP="0025129F">
      <w:pPr>
        <w:pStyle w:val="TextoNormal"/>
      </w:pPr>
      <w:r>
        <w:t xml:space="preserve">a) El actor figuró afiliado y en alta en el régimen especial de la Seguridad Social de la Minería del Carbón, prestando servicios para HUNOSA con la categoría profesional de picador. Teniendo reconocida una pensión de jubilación, en febrero de 1988 se le declaró afecto de una incapacidad permanente total para su profesión habitual, siendo el estado invalidante una profusión nodular importante y conglomeración de tipo A. En el mes de </w:t>
      </w:r>
      <w:r>
        <w:lastRenderedPageBreak/>
        <w:t xml:space="preserve">febrero de 1990 solicitó la revisión del grado de invalidez, desestimando el INSS su petición por Resolución de 27 de noviembre. Reiteró su instancia en 1991, el 22 de mayo, siendo rechazada en ese caso por no haber transcurrido el plazo legalmente establecido para proceder a la revisión. En septiembre del mismo año, tras haber sido reconocido por el Instituto de Silicosis, interpuso reclamación previa en orden al reconocimiento de la agravación del grado invalidante, desestimada por Acuerdo de 26 de septiembre. </w:t>
      </w:r>
    </w:p>
    <w:p w:rsidR="0025129F" w:rsidRDefault="0025129F" w:rsidP="0025129F">
      <w:pPr>
        <w:pStyle w:val="TextoNormal"/>
      </w:pPr>
      <w:r>
        <w:t xml:space="preserve">Contra dicho Acuerdo formuló demanda solicitando la declaración de incapacidad permanente en grado de absoluta. El Juzgado de lo Social núm. 1 de Oviedo, tras declarar probado que el actor aquejaba silicosis con patrón nodular QR de profusión II/II y fibrosis masiva progresiva, así como hemibloqueo anterior izquierdo, por Sentencia de 2 de marzo de 1992 estimó su pretensión indicando textualmente en el fallo lo que sigue: “Que estimando la demanda presentada por Alfredo González Coto, contra el Instituto Nacional de la Seguridad Social y HUNOSA, debo declarar y declaro que el actor aqueja el tercer grado de la enfermedad profesional de silicosis es decir la incapacidad permanente y absoluta que propugna, condenando a los demandados a estar y pasar por esta declaración y en consecuencia debo condenar y condeno al Instituto Nacional de la Seguridad Social, como subrogado en las obligaciones de la patronal demandada a que otorgue al actor con efectos al día 1 de junio de 1991 una pensión equivalente al 100 por 100, de su base reguladora de 168.823 pts., sin perjuicio de las obligaciones subsidiarias del INSS”. </w:t>
      </w:r>
    </w:p>
    <w:p w:rsidR="0025129F" w:rsidRDefault="0025129F" w:rsidP="0025129F">
      <w:pPr>
        <w:pStyle w:val="TextoNormal"/>
      </w:pPr>
      <w:r>
        <w:t xml:space="preserve">b) Desde el 1 de junio de 1991, día primero del mes siguiente a la fecha de la última solicitud a la entidad gestora y fecha de efectos a la que se retrotrajo la resolución judicial reseñada, el actor vino percibiendo la pensión, por incapacidad permanente absoluta, sin vicisitudes de tipo alguno. Fue en enero de 1996 cuando se le comunicó la apertura de un expediente de revisión de oficio de actos declarativos de derechos por ocultación de datos. Según el INSS, el interesado no advirtió que era perceptor desde años atrás de una prestación similar con cargo a la Seguridad Social alemana, por haber trabajado igualmente en minas de carbón de ese país. La Resolución, que consta en las actuaciones, indica: “De acuerdo con todos los hechos constatados, procede aplicar el art. 57 del Reglamento de la CEE 1408/71 el cual no deja lugar a dudas al establecer que cuando la víctima de una enfermedad profesional haya ejercido, bajo la legislación de dos o más Estados miembros, una actividad que por su propia naturaleza pueda provocar dicha enfermedad, las prestaciones a las que la víctima o sus supervivientes puedan aspirar se concederán exclusivamente en virtud de la legislación del último de dichos Estados, y en virtud precisamente de esta normativa, viene percibiendo pensión con cargo a la Seguridad Social Alemana desde 14-12- 87, según Resolución de este Organismo de la que esta Mutualidad de la Minería del Carbón ha tenido conocimiento”. </w:t>
      </w:r>
    </w:p>
    <w:p w:rsidR="0025129F" w:rsidRDefault="0025129F" w:rsidP="0025129F">
      <w:pPr>
        <w:pStyle w:val="TextoNormal"/>
      </w:pPr>
      <w:r>
        <w:t xml:space="preserve">Desde esas premisas la Resolución dispone, en primer lugar, revisar la declaración de invalidez permanente realizada en 1988 y, por ende, declarar que no ha lugar a la misma por estar fundada en hechos que se han constituido como falsos e imputables directamente al interesado, procediéndose a la baja cautelar de su pensión con efectos de 31 de enero de 1996; en segundo término, acuerda reponer en su lugar la pensión de jubilación que el interesado venía percibiendo correctamente hasta la fecha en que se le reconoció la invalidez permanente, y, finalmente, reclama la devolución de cantidades indebidamente percibidas en el período 1 de febrero de 1991 a 31 de enero de 1996 —últimos cinco años—, por un total de 8.071.478 pesetas, una vez descontadas en la liquidación las cantidades que le hubieran correspondido por la pensión de jubilación en la que se le restituye. </w:t>
      </w:r>
    </w:p>
    <w:p w:rsidR="0025129F" w:rsidRDefault="0025129F" w:rsidP="0025129F">
      <w:pPr>
        <w:pStyle w:val="TextoNormal"/>
      </w:pPr>
      <w:r>
        <w:t xml:space="preserve">c) El interesado presentó escrito de reclamación previa. Solicitaba que se dejara sin efecto la anterior Resolución, restableciéndole en su situación precedente. Razonaba que </w:t>
      </w:r>
      <w:r>
        <w:lastRenderedPageBreak/>
        <w:t xml:space="preserve">no era posible revisar de oficio el acto administrativo declarativo de derechos al existir una Sentencia firme relativa a la pensión, condicionante de la capacidad de intervención administrativa a tenor del valor de la cosa juzgada. Al desatenderse esa circunstancia, la actuación de la entidad gestora le habría ocasionado indefensión y discriminación respecto a los trabajadores no emigrantes con igual enfermedad y cotizaciones. Junto a ello, negaba el fundamento de la actuación administrativa, oponiéndose a la existencia de una ocultación de datos. Las razones que aducía en esto último eran varias: en primer lugar, que por imperativo de los Reglamentos 1408/71 y 574/72/CEE, la propia entidad gestora para proceder a la tramitación de su pensión de jubilación y de su invalidez tenía en su poder toda la información precisa de los períodos, empresas y cotizaciones efectuadas no sólo en España, sino también en Alemania, estando obligada si no la tuviera a requerirla a la Seguridad Social alemana; en segundo lugar, que la pensión de jubilación, reconocida con carácter previo a la incapacidad permanente, se tramitó con arreglo a los Reglamentos comunitarios mencionados, y con aplicación de los mismos, teniendo en cuenta la entidad gestora toda la vida laboral del trabajador, también la desarrollada en Alemania; y, finalmente, que fue el propio INSS-Mutualidad Laboral de la Minería del Carbón quien procedió a remitir a la Seguridad Social alemana la documentación precisa para la concesión de la pensión a su cargo (allí otorgada y notificado su reconocimiento al interesado, según decía éste, por la propia entidad gestora española). </w:t>
      </w:r>
    </w:p>
    <w:p w:rsidR="0025129F" w:rsidRDefault="0025129F" w:rsidP="0025129F">
      <w:pPr>
        <w:pStyle w:val="TextoNormal"/>
      </w:pPr>
      <w:r>
        <w:t xml:space="preserve">d) En atención a la documentación obrante en las actuaciones, por Resolución de 13 de marzo de 1996 la citada reclamación previa fue desestimada. Razonaba la Dirección Provincial del INSS que no había resultado afectado el valor de cosa juzgada de la Sentencia, “ya que pese haber sido reconocida la invalidez permanente absoluta por Resolución judicial, ésta sólo se pronunció sobre la existencia de agravación suficiente en el estado clínico del actor”. Insistía, de igual modo, en que omitió el beneficiario cualquier referencia a su trabajo en Alemania, tanto en su solicitud inicial como en las posteriores en las que demandaba la revisión de la incapacidad por agravación, hasta el punto que llegó a indicar que la última empresa con riesgo donde había trabajado era HUNOSA, lo que sería falso visto que más tarde lo hizo en minas de carbón alemanas. En dichos presupuestos se sustentaba la desestimación de la reclamación previa, invocándose las prerrogativas revisoras del art. 145.2 del Real Decreto Legislativo 2/1995, de 7 de abril, por el que se aprueba el texto refundido de la Ley de Procedimiento Laboral (LPL). Por lo demás, añadía la Resolución, conocer la existencia de períodos de seguro cubiertos bajo otra legislación, con ocupación laboral consiguiente en otros Estados, no equivale a saber de “las características de la actividad” que se realizó, cosa de la que se habría tenido noticia cuando la entidad competente alemana lo comunicó con ocasión de la remisión del formulario relativo a los trabajos desempeñados en minas de carbón, pasando a ser notorio que la misma prestación estaba siendo abonada por Alemania sólo desde ese momento. Esa situación sería contraria, se concluía, a lo establecido en el art. 57.1 del Reglamento CEE 1408/71, que fija un sistema de prorrata temporis en la asunción del coste financiero de la pensión, estableciendo los correspondientes mecanismos de compensación e impidiendo toda posibilidad de duplicarla, pues aquélla se percibirá únicamente en un país y conforme a su legislación. En cuanto a la presunta vulneración del art. 14 CE, en el contraste con trabajadores no emigrantes, rechazaba el INSS la idoneidad del término de comparación ofrecido. </w:t>
      </w:r>
    </w:p>
    <w:p w:rsidR="0025129F" w:rsidRDefault="0025129F" w:rsidP="0025129F">
      <w:pPr>
        <w:pStyle w:val="TextoNormal"/>
      </w:pPr>
      <w:r>
        <w:t xml:space="preserve">e) Tras esa Resolución, además de instar el actor un proceso frente al acto de revisión, solicitó al Juzgado núm. 1 de Oviedo, por escrito de 28 de marzo de 1996, la ejecución de la Sentencia de 2 de marzo de 1992 (relativa al grado de la incapacidad permanente), requiriendo por medio del incidente de ejecución correspondiente la reposición en el estado </w:t>
      </w:r>
      <w:r>
        <w:lastRenderedPageBreak/>
        <w:t xml:space="preserve">antecedente a la revisión administrativa de oficio, considerando que la resolución judicial firme quedaba interferida en sus efectos por el acto administrativo sobrevenido. El órgano judicial, en providencia de 15 de abril de 1996, resolvió que no había lugar a la ejecución interesada, toda vez que “de la misma exposición de hechos se desprende que la Sentencia fue ejecutada en sus propios términos y en el momento actual estamos en presencia de un procedimiento de revisión cuya impugnación no puede llevarse por los trámites de ejecución”. </w:t>
      </w:r>
    </w:p>
    <w:p w:rsidR="0025129F" w:rsidRDefault="0025129F" w:rsidP="0025129F">
      <w:pPr>
        <w:pStyle w:val="TextoNormal"/>
      </w:pPr>
      <w:r>
        <w:t xml:space="preserve">f) Contra dicha providencia se interpuso recurso de reposición, alegándose, con fundamento en diversos preceptos constitucionales y legales, que el INSS no podía interrumpir unilateralmente el pago al que le obligaba la ejecución regular de la Sentencia de 2 de marzo de 1992. El problema sería así ejecutivo, no meramente declarativo en opinión de la parte, cauce este que no obstante anunciaba al objeto de lograr la nulidad de la Resolución administrativa controvertida, dado que en ella no se limitó el INSS a suspender el pago de la pensión de incapacidad permanente absoluta, sino que adoptó además otros acuerdos (devolución de cantidades y reposición de la pensión de jubilación precedente). </w:t>
      </w:r>
    </w:p>
    <w:p w:rsidR="0025129F" w:rsidRDefault="0025129F" w:rsidP="0025129F">
      <w:pPr>
        <w:pStyle w:val="TextoNormal"/>
      </w:pPr>
      <w:r>
        <w:t xml:space="preserve">Resolvió el juzgador el recurso de reposición por Auto de 9 de mayo de 1996, perseverando en la fundamentación de la providencia cuestionada. Razonaba que el interesado no planteaba un problema de ejecución, sino las consecuencias de un procedimiento de revisión de oficio cuya censura no podía hacerse por el cauce incidental utilizado. Las facultades previstas en el art. 143 del Real Decreto Legislativo 1/1994, de 20 de junio, por el que se aprueba el texto refundido de la Ley General de la Seguridad Social (LGSS), y en el art. 145.2 del Real Decreto Legislativo 2/1995, de 7 de abril, por el que se aprueba el texto refundido de la Ley de Procedimiento Laboral (LPL), así como el cumplimiento regular de la Sentencia durante años — justamente hasta la acreditación de los nuevos datos que desencadenaron la revisión de oficio—, constituían los restantes fundamentos en los que se apoyaba el pronunciamiento desestimatorio de ese Auto. </w:t>
      </w:r>
    </w:p>
    <w:p w:rsidR="0025129F" w:rsidRDefault="0025129F" w:rsidP="0025129F">
      <w:pPr>
        <w:pStyle w:val="TextoNormal"/>
      </w:pPr>
      <w:r>
        <w:t xml:space="preserve">g) Anunciado recurso de suplicación, se formalizó en plazo, siendo impugnado de contrario. El recurrente se oponía a la posibilidad misma de la revisión, en tanto que, a su juicio, los arts. 143 LGSS y 145 LPL no prestan cobertura a procedimientos modificativos en circunstancias como las de autos, señaladamente porque permiten la revisión de oficio de un acto administrativo, pero nunca de una Sentencia firme dictada por los Tribunales, como en esta ocasión sucedía. El único conducto que restaba a la entidad gestora, decía en su escrito de suplicación el reclamante, era el recurso de revisión ante la Sala Cuarta del Tribunal Supremo. Por su parte, la representación procesal del INSS, en su escrito de impugnación, argüía el conocimiento sobrevenido de hechos nuevos, que respaldarían la revisión operada al haber quedado desvirtuada la procedencia del reconocimiento del derecho a la prestación por incapacidad permanente, y que, ocultados como fueron, no llegaron a ser atendidos por la Sentencia firme que concedió el superior grado de invalidez por agravación. Indicaba, por lo demás, que la improcedencia del incidente de ejecución entablado se corroboraba a la vista de que el Juzgado de lo Social núm. 3 de Oviedo, en el procedimiento declarativo instado paralelamente, había dictado Sentencia, recurrida a su vez en suplicación por la entidad gestora, en donde se acordaba reponer al actor en el cobro de la pensión de invalidez permanente absoluta, que le había sido retirada. Se oponía finalmente a la alegación de cosa juzgada, trayendo a colación para ello la existencia de actos administrativos diversos fundados en situaciones de hecho diferentes. </w:t>
      </w:r>
    </w:p>
    <w:p w:rsidR="0025129F" w:rsidRDefault="0025129F" w:rsidP="0025129F">
      <w:pPr>
        <w:pStyle w:val="TextoNormal"/>
      </w:pPr>
      <w:r>
        <w:t xml:space="preserve">El Tribunal Superior de Justicia de Asturias dictó Sentencia el día 20 de diciembre de 1996. Desestimó el recurso con base en lo dispuesto en los arts. 143 LGSS y 145 LPL, reflejando en su pronunciamiento, con los mismos argumentos utilizados por el juzgador a </w:t>
      </w:r>
      <w:r>
        <w:lastRenderedPageBreak/>
        <w:t xml:space="preserve">quo, que el cauce apropiado para la pretensión de paralización del nuevo acto administrativo no era el incidente de ejecución formulado. </w:t>
      </w:r>
    </w:p>
    <w:p w:rsidR="0025129F" w:rsidRDefault="0025129F" w:rsidP="0025129F">
      <w:pPr>
        <w:pStyle w:val="TextoNormal"/>
      </w:pPr>
      <w:r>
        <w:t>h) Interpuso el interesado recurso de casación para la unificación de doctrina, inadmitido por Auto del Tribunal Supremo de 15 de diciembre de 1997 por falta de contradicción y de la correspondiente relación precisa y circunstanciada de la misma.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Entiende el recurrente en amparo que ha sido violado su derecho a la igualdad ante la ley, previsto en el art. 14 CE, por cuanto que la providencia de 15 de abril de 1996, y las restantes resoluciones judiciales que la convalidaron, al no proceder a dar ejecución a la Sentencia del Juzgado de lo Social núm. 1 de Oviedo, de 2 de marzo de 1992, otorgarían soluciones diferentes a situaciones que el recurrente juzga idénticas, sin que sea admisible en Derecho, se dice, que por ser una Administración pública la condenada al pago se le permita dejar sin efecto el contenido de una Sentencia firme mediante una simple Resolución administrativa. </w:t>
      </w:r>
    </w:p>
    <w:p w:rsidR="0025129F" w:rsidRDefault="0025129F" w:rsidP="0025129F">
      <w:pPr>
        <w:pStyle w:val="TextoNormal"/>
      </w:pPr>
      <w:r>
        <w:t xml:space="preserve">También invoca la lesión del derecho fundamental a la tutela judicial efectiva (art. 24.1 CE), que, conforme a lo anteriormente relatado, hace descansar en que la entidad gestora se habría extralimitado en su competencia revisora, competencia que le permite revisar actos administrativos, pero no Sentencias firmes, como la de 2 marzo de 1992 del Juzgado de lo Social núm. 1 de Oviedo. Semejante forma de proceder, en su opinión, provocó la fractura del estatuto de la cosa juzgada, lo mismo que, por ser lo anterior presupuesto de lo que sigue, de su derecho a la ejecución de las Sentencias firmes, afirmando que era el procedimiento de ejecución y no otro el apto para adoptar las medidas necesarias que garantizasen la eficacia real de la resolución judicial, debiendo, por su parte, el INSS formular un recurso de revisión de la Sentencia de 2 de marzo de 1992 conforme a los arts. 234 LPL y 1796 y ss. LEC, en lugar de dictar un acto administrativo de revisión que supone el incumplimiento de una sentencia firme. Estima vulnerado, finalmente, su derecho a la seguridad jurídica, consagrado en el art. 17.1 en relación con el art. 9.3 CE. </w:t>
      </w:r>
    </w:p>
    <w:p w:rsidR="0025129F" w:rsidRDefault="0025129F" w:rsidP="0025129F">
      <w:pPr>
        <w:pStyle w:val="TextoNormal"/>
      </w:pPr>
      <w:r>
        <w:t>Conforme a lo expuesto solicita la anulación de la providencia de 15 de abril de 1996 y de todas las resoluciones que la siguieron, reclamando que se requiera al INSS a fin de que proceda a cumplir el fallo de la Sentencia de 2 de marzo de 1992, abonando la pensión vitalicia de invalidez permanente absoluta derivada de enfermedad profesional, acordándose, en su caso, la retroacción de las actuaciones para que el juzgador de instancia adopte las medidas reparadoras de la lesión del art. 24.1 CE.</w:t>
      </w:r>
    </w:p>
    <w:p w:rsidR="0025129F" w:rsidRDefault="0025129F" w:rsidP="0025129F">
      <w:pPr>
        <w:pStyle w:val="TextoNormal"/>
      </w:pPr>
    </w:p>
    <w:p w:rsidR="0025129F" w:rsidRDefault="0025129F" w:rsidP="0025129F">
      <w:pPr>
        <w:pStyle w:val="TextoNormal"/>
      </w:pPr>
      <w:r w:rsidRPr="0025129F">
        <w:rPr>
          <w:rStyle w:val="NumeroAFNegritaCaracter"/>
        </w:rPr>
        <w:t>4</w:t>
      </w:r>
      <w:r>
        <w:t>. El 22 de abril de 1999 la Sección Segunda de este Tribunal acordó admitir a trámite la demanda de amparo, una vez recibidos los testimonios de las actuaciones requeridos por providencia de 26 de octubre de 1998. A tenor de lo dispuesto en el art. 51 LOTC, se exhortó al Juzgado de lo Social núm.1 de Oviedo para que en el plazo de diez días emplazara a quienes fueron parte en los autos núm. 82/92, en los que recayó la Sentencia de 2 de marzo de 1992 sobre cuya ejecución se discute, con excepción del recurrente de amparo. Así se hizo con el INSS y HUNOSA, personándose aquél a través de don Carlos de Zulueta Cebrián, Procurador de los Tribunales. Por providencia de 31 de mayo de 1999, la Sala Primera acuerda dar vista de las actuaciones al Ministerio Fiscal y a las representaciones procesales de las partes (art. 52 LOTC).</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El INSS, en escrito registrado el 22 de junio de 1999, sostiene que existen dos resoluciones firmes, de naturaleza diversa: la primera, la Resolución administrativa de 22 de </w:t>
      </w:r>
      <w:r>
        <w:lastRenderedPageBreak/>
        <w:t>febrero de 1988, que reconoció al demandante su situación de incapacidad permanente, y la segunda, la Sentencia de marzo de 1992, que sin entrar a conocer sobre lo resuelto en aquélla se limitó a declarar que el demandante había sufrido una agravación de sus lesiones. Esto así, el trabajador, ocultando en su solicitud inicial la circunstancia de haber prestado sus servicios en Alemania, condicionó la Resolución dictada por la Administración en 1988, impidiendo valorar la incidencia de los referidos servicios en el reconocimiento inicial de la prestación, sin que de ello tuviera conocimiento tampoco, por igual motivo, el Juzgado de lo Social que dictó la Sentencia sobre agravación de la incapacidad en 1992. En suma, la comprobación sobrevenida del dato de la percepción de pensión en Alemania desencadenó la revisión del inicial acto administrativo, no la de la Sentencia referida, pues ésta no afectaba al derecho a la pensión, sino sólo a la agravación del cuadro invalidante. El art. 145.2 LPL, añade, habilita a la entidad gestora para actuar de esa forma cuando, como sería el caso, se acreditan omisiones o inexactitudes en las declaraciones del beneficiario, de manera que el efecto de cosa juzgada de la Sentencia de 1992 se restringe a la evaluación de las lesiones que el interesado padecía en un momento concreto, siendo otro el problema a debate tras los nuevos hechos conocidos.</w:t>
      </w:r>
    </w:p>
    <w:p w:rsidR="0025129F" w:rsidRDefault="0025129F" w:rsidP="0025129F">
      <w:pPr>
        <w:pStyle w:val="TextoNormal"/>
      </w:pPr>
    </w:p>
    <w:p w:rsidR="0025129F" w:rsidRDefault="0025129F" w:rsidP="0025129F">
      <w:pPr>
        <w:pStyle w:val="TextoNormal"/>
      </w:pPr>
      <w:r w:rsidRPr="0025129F">
        <w:rPr>
          <w:rStyle w:val="NumeroAFNegritaCaracter"/>
        </w:rPr>
        <w:t>6</w:t>
      </w:r>
      <w:r>
        <w:t>. El recurrente en amparo, en escrito registrado el 29 de junio de 1999, reproduce sus anteriores alegaciones.</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Ministerio Fiscal, por su parte, interesó la desestimación del recurso de amparo en escrito registrado el día 6 de julio de 1999. En relación con la pretendida vulneración del principio de igualdad, consagrado en el art.14 CE, considera que el recurrente no invocó dicho derecho hasta el momento de la interposición del recurso de casación para la unificación de doctrina. No obstante, y en cuanto al problema de fondo, alude a la carencia de un término idóneo de comparación, pues no son términos válidos de comparación los ciudadanos y las Administraciones u organismos públicos, dado que el INSS y el particular no se encuentran en la misma situación como si de una relación jurídico-privada se tratara, atribuyéndose a aquél potestades que por esencia le sitúan como potentior persona, en una situación de superioridad sobre el particular, a cuyo objeto cita nuestra STC 76/1990, de 26 de abril. </w:t>
      </w:r>
    </w:p>
    <w:p w:rsidR="0025129F" w:rsidRDefault="0025129F" w:rsidP="0025129F">
      <w:pPr>
        <w:pStyle w:val="TextoNormal"/>
      </w:pPr>
      <w:r>
        <w:t xml:space="preserve">En relación con el art. 17.1 en su conexión con el art.9.3 CE, recuerda que este precepto no concede derecho fundamental invocable en el recurso de amparo, sin que, por lo demás, añade, pueda prosperar la queja relativa a la vulneración del primero, que partiría de una concepción claramente errónea de su contenido. </w:t>
      </w:r>
    </w:p>
    <w:p w:rsidR="0025129F" w:rsidRDefault="0025129F" w:rsidP="0025129F">
      <w:pPr>
        <w:pStyle w:val="TextoNormal"/>
      </w:pPr>
      <w:r>
        <w:t>Centra su atención el Ministerio público en la presunta lesión del art. 24.1 CE. Si bien en la regulación vigente las entidades gestoras tienen prohibido revisar por propio imperio sus actos declarativos de derechos en perjuicio de sus beneficiarios, el art.145.2 LPL representa una excepción ejercitable sin necesidad de acudir a la revisión judicial cuando aquella modificación esté motivada por la comprobación de omisiones en la declaración del beneficiario, como sucede en los presentes autos. Esto así, es correcta la Resolución administrativa revisora. En su opinión, “que la invalidez permanente, de quien ahora recurre en amparo, en el curso de su dinámica haya dado lugar a una intervención judicial ... a efectos de la revisión del grado, no impide que el acto declaratorio de la incapacidad o invalidez, en cuanto tal y en cuanto que declaratorio de derechos, sea susceptible de revisión revocatoria por parte del INSS, conforme a las facultades otorgadas por el artículo 145.2 de la LPL, dado que ... son cuestiones distintas la revisión de actos declarativos de derechos y la revisión de incapacidad o invalidez en cuanto al grado”. Que tal diferencia</w:t>
      </w:r>
      <w:r>
        <w:lastRenderedPageBreak/>
        <w:t>ción, de fundamento legal conlleve la pérdida de virtualidad práctica de la Sentencia de 2 de marzo de 1992, concluye el Ministerio Fiscal, no menoscaba el derecho a la tutela judicial efectiva, pues aquélla deviene de imposible cumplimiento.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10 de enero de 2002, se señaló para deliberación y votación de la presente Sentencia el día 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Denuncia la demanda de amparo la supuesta vulneración por parte de las resoluciones judiciales citadas en el encabezamiento de tres derechos fundamentales: en primer lugar, del derecho a la igualdad ante la ley (art. 14 CE), dado que dichas resoluciones convalidaron las consecuencias de un acto administrativo revisor de otro anterior declarativo de derechos que paralizó la ejecución regular de una Sentencia firme por ser una Administración pública y no un particular el condenado al pago, permitiendo a aquélla dejar sin efecto una decisión judicial firme mediante una simple resolución administrativa; en segundo lugar, del principio de seguridad jurídica, que la demanda inserta en los arts. 9.3 y 17 CE; y, por último, del derecho a la ejecución de sentencias firmes como garantía integrada en el derecho a la tutela judicial efectiva (art. 24.1 CE), en tanto que la decisión judicial que afectó a la determinación de la pensión de incapacidad permanente del demandante (Sentencia del Juzgado de lo Social núm. 1 de Oviedo, de 2 marzo de 1992) impedía al INSS revisar de oficio su acto previo de reconocimiento del derecho. De esa manera, el acto administrativo convalidado por los órganos judiciales obstaculizó la ejecución de la Sentencia citada, que había reconocido al demandante de amparo una agravación de su cuadro clínico con los efectos económicos aparejados en la pensión de incapacidad permanente que tenía concedida, y que pasó, de conformidad con el fallo de la mencionada Sentencia, a calificarse como absoluta frente al grado de total que se había fijado en la fase administrativa.</w:t>
      </w:r>
    </w:p>
    <w:p w:rsidR="0025129F" w:rsidRDefault="0025129F" w:rsidP="0025129F">
      <w:pPr>
        <w:pStyle w:val="TextoNormal"/>
      </w:pPr>
      <w:r>
        <w:t>Según se comprueba en las actuaciones, el acto administrativo de revisión de oficio del reconocimiento del derecho a la pensión, dictado por la entidad gestora el 29 de enero de 1996 con fundamento en el art. 145.2 LPL y ratificado por Resolución de 13 de marzo de 1996, causó la interrupción “cautelar” del pago de la pensión de incapacidad permanente absoluta con efectos desde el 31 de enero de 1996, la reposición del actor en la pensión de jubilación que tenía previamente reconocida y la reclamación de devolución de cantidades indebidamente percibidas.  Todo ello como consecuencia de una supuesta omisión voluntaria de datos por parte del beneficiario en el momento de la solicitud y calificación de su cuadro médico, así como en los momentos sucesivos al reconocimiento del derecho, señaladamente en aquéllos en los que el interesado demandó la revisión del grado de incapacidad por agravación, que terminó por obtener como consecuencia de la Sentencia cuya ejecución se discutió en el incidente en el cual se produjeron, según la demanda de amparo, las vulneraciones constitucionales que a nuestra jurisdicción se someten.</w:t>
      </w:r>
    </w:p>
    <w:p w:rsidR="0025129F" w:rsidRDefault="0025129F" w:rsidP="0025129F">
      <w:pPr>
        <w:pStyle w:val="TextoNormal"/>
      </w:pPr>
      <w:r>
        <w:t>El Ministerio Fiscal interesa la desestimación del recurso al no haber existido la vulneración denunciada de los derechos fundamentales a la igualdad, la seguridad y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2</w:t>
      </w:r>
      <w:r>
        <w:t>. Antes de centrar nuestro análisis en la alegación relativa a la lesión del derecho a la tutela judicial efectiva, debemos pronunciarnos sobre las restantes quejas esgrimidas en la demanda de amparo relativas a los arts. 9.3, 14 y 17.1 CE.</w:t>
      </w:r>
    </w:p>
    <w:p w:rsidR="0025129F" w:rsidRDefault="0025129F" w:rsidP="0025129F">
      <w:pPr>
        <w:pStyle w:val="TextoNormal"/>
      </w:pPr>
      <w:r>
        <w:t>Hemos de comenzar advirtiendo que, de acuerdo con las alegaciones del Ministerio Fiscal y a pesar de lo señalado en la demanda, en el presente caso se ha incumplido el requisito previsto en el art. 44.1 c) LOTC, ya que las lesiones aducidas no fueron invocadas en la vía judicial tan pronto hubo lugar para ello, esto es, en el recurso de reposición interpuesto frente a la providencia de 15 de abril de 1996 dictada por el Juzgado de lo Social núm. 1 de Oviedo en el incidente de ejecución de la Sentencia del mismo órgano judicial de 2 de marzo de 1992. La lesión del art. 17 CE se planteó por vez primera en el grado de suplicación, mientras que la queja a propósito de la vulneración del derecho de igualdad ante la ley del art. 14 CE no se trajo a colación hasta el momento casacional. El recurso, por tanto, debe ser inadmitido en relación con dichas quejas.</w:t>
      </w:r>
    </w:p>
    <w:p w:rsidR="0025129F" w:rsidRDefault="0025129F" w:rsidP="0025129F">
      <w:pPr>
        <w:pStyle w:val="TextoNormal"/>
      </w:pPr>
      <w:r>
        <w:t>Por otro lado, hemos dicho con reiteración que la seguridad jurídica (art. 9.3 CE) es un principio general del ordenamiento jurídico y un mandato dirigido a los poderes públicos que no configura, sin embargo, derecho fundamental alguno en favor de los ciudadanos que pueda interesarse en el proceso constitucional de amparo conforme al art.  53.2 CE y al art. 41.1 LOTC (SSTC 68/1982, de 22 de noviembre; 10/1985, de 28 de enero; 32/1987, de 10 de marzo; 122/1987, de 14 de julio; 18/1988, de 16 de febrero; 119/1988, de 20 de junio; 325/1994, de 12 de diciembre; 159/1997, de 2 de octubre; 183/1997, de 28 de octubre; 71/1998, de 30 de marzo; 137/1998, de 29 de junio; 84/1999, de 10 de mayo; 124/2000, de 16 de mayo; 1/2001, de 15 de enero; y 26/2001, de 29 de enero). Así sucede con carácter general, sin perjuicio de que, como también hemos señalado, el principio de seguridad jurídica, en cuanto denominador común de numerosas categorías jurídicas y exigencia objetiva del ordenamiento que “se impone al funcionamiento de todos los órganos del Estado” (SSTC 62/1984, de 21 de mayo, FJ 5; 158/1985, de 26 de noviembre, FJ 4; 30/1996, de 27 de febrero, FJ 5; y 50/1996, de 26 de marzo, FJ 3), al entrar en conexión con otros derechos constitucionales pueda producir una vulneración de derechos fundamentales susceptibles de amparo de acuerdo con los presupuestos de la jurisdicción de este Tribunal. Esa imbricación de los arts. 9.3 y 24.1 CE ha sido recogida por nuestros pronunciamientos (STC 119/1988, de 20 de junio) en cuestiones próximas a las aquí enjuiciadas, como la protección constitucional de la inmodificabilidad de las sentencias firmes (STC 231/1991, de 10 de diciembre), y también directamente en la vertiente del derecho a la ejecución de las resoluciones judiciales firmes (SSTC 231/1991, de 10 de diciembre; y 136/1997, de 21 de julio). Ahora bien, desde esta perspectiva, el problema se vincula a la solución que deba darse a la pretendida lesión del art. 24.1 CE.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Nuestro análisis debe limitarse, por tanto, al examen de la pretensión relativa a la inejecución de la Sentencia firme del Juzgado de lo Social núm.1 de Oviedo de 2 de marzo de 1992. Esta vulneración del art. 24.1 CE se alega por el demandante de amparo frente a las decisiones judiciales impugnadas de dicho Juzgado de lo Social y de la Sala de lo Social del Tribunal Superior de Justicia de Asturias, según las cuales no pueden ser objeto de cognición en ejecución de la citada Sentencia del Juzgado de lo Social de 2 de marzo de 1992 los efectos que sobre la pensión de incapacidad permanente que venía percibiendo el demandante de amparo se derivaron de las nuevas Resoluciones del INSS, justificadas en la actuación de su potestad revisora ex art.  145.2 LPL en un caso de ocultación de datos por parte del beneficiario. En estrecha unión con lo anterior, se denuncia también en la </w:t>
      </w:r>
      <w:r>
        <w:lastRenderedPageBreak/>
        <w:t>demanda de amparo que las resoluciones judiciales recurridas afectaron a la garantía de la cosa juzgada.</w:t>
      </w:r>
    </w:p>
    <w:p w:rsidR="0025129F" w:rsidRDefault="0025129F" w:rsidP="0025129F">
      <w:pPr>
        <w:pStyle w:val="TextoNormal"/>
      </w:pPr>
      <w:r>
        <w:t>Esto así, es obligado precisar ahora que no es objeto de este recurso de amparo decidir si la revisión operada por la entidad gestora supuso un ejercicio regular y ajustado a aquella potestad según su regulación en el art. 145.2 LPL. Más allá de la respuesta que esa cuestión merezca en el proceso declarativo paralelamente instado por el demandante, en el que corresponderá examinar la potestad administrativa ejercida con fundamento en el art. 145.2 LPL, la subsunción o no del supuesto de hecho en el ámbito de esa potestad administrativa de revisión y el espacio de esas facultades modificativas frente al modelo ordinario de revisión judicial contemplado en el art.  145.1 LPL, la cuestión que a este Tribunal corresponde enjuiciar, por suponer a juicio del recurrente una vulneración de su derecho a la tutela judicial efectiva en su vertiente de derecho a la ejecución de las resoluciones judiciales, es la negativa judicial a paralizar en el incidente de ejecución de la Sentencia de 2 de marzo de 1992 los efectos de las nuevas Resoluciones administrativas del INSS.</w:t>
      </w:r>
    </w:p>
    <w:p w:rsidR="0025129F" w:rsidRDefault="0025129F" w:rsidP="0025129F">
      <w:pPr>
        <w:pStyle w:val="TextoNormal"/>
      </w:pPr>
    </w:p>
    <w:p w:rsidR="0025129F" w:rsidRDefault="0025129F" w:rsidP="0025129F">
      <w:pPr>
        <w:pStyle w:val="TextoNormal"/>
      </w:pPr>
      <w:r w:rsidRPr="0025129F">
        <w:rPr>
          <w:rStyle w:val="NumeroAFNegritaCaracter"/>
        </w:rPr>
        <w:t>4</w:t>
      </w:r>
      <w:r>
        <w:t>. Perfilado así el objeto del recurso, resultará imprescindible separar las distintas esferas de enjuiciamiento que se articulan en la demanda de amparo.</w:t>
      </w:r>
    </w:p>
    <w:p w:rsidR="0025129F" w:rsidRDefault="0025129F" w:rsidP="0025129F">
      <w:pPr>
        <w:pStyle w:val="TextoNormal"/>
      </w:pPr>
      <w:r>
        <w:t>a) La primera se refiere a la garantía procesal de la cosa juzgada material de la Sentencia de 2 de marzo de 1992. Pese a lo que sostiene el demandante, las decisiones judiciales adoptadas en ejecución, ahora impugnadas, no implicaron reforma alguna de aquella decisión judicial firme.  Las resoluciones judiciales recurridas se limitan, en realidad, a no paralizar en trámite de ejecución de la Sentencia de 2 de marzo de 1992 los efectos ordinarios que el acto administrativo de revisión provocó sobre la pensión que estaba en la base de aquella Sentencia. Por ello, tales decisiones son objetables desde la perspectiva del derecho a la ejecución en sus términos de las Sentencias firmes (conforme a un hipotético deber de detención por parte del órgano judicial de los efectos derivados de la nueva Resolución del INSS, confirmada al desestimar la reclamación administrativa previa, que influye y transforma los que venía desplegando la Sentencia de 2 de marzo de 1992), pero no con arreglo al derecho de inmodificabilidad de las resoluciones judiciales firmes toda vez que los órganos judiciales no variaron la parte declarativa de la resolución judicial de referencia. Las decisiones ahora impugnadas, en suma, no supusieron una mutación de lo juzgado en ejecución de Sentencia.</w:t>
      </w:r>
    </w:p>
    <w:p w:rsidR="0025129F" w:rsidRDefault="0025129F" w:rsidP="0025129F">
      <w:pPr>
        <w:pStyle w:val="TextoNormal"/>
      </w:pPr>
      <w:r>
        <w:t>En efecto, según los órganos judiciales, que el acto administrativo de revisión desencadenara, a tenor de los nuevos datos conocidos, una interrupción de los efectos ordinarios de ejecución de la Sentencia de referencia, constituía un resultado que no podía neutralizarse por medio del incidente de ejecución instado. De ese modo, la efectividad de la tutela judicial conecta aquí con su rendimiento aplicativo, con el derecho a la ejecución, y no con un derecho subjetivo del justiciable a la inmodificabilidad de lo juzgado y firme, a la intangibilidad del componente declarativo de la Sentencia (STC 92/1999, de 26 de mayo). Y es que los derechos a la ejecución en sus términos y a no alterar el contenido mismo de la Sentencia firme están relacionados, pero no son equiparables (entre otras, SSTC 15/1986, de 31 de enero; 189/1990, de 26 de noviembre; 16/1991, de 28 de enero; 34/1993, de 8 de febrero; 1/1997, de 13 de enero; 80/1999, de 26 de abril; y 92/1999, de 26 de mayo).</w:t>
      </w:r>
    </w:p>
    <w:p w:rsidR="0025129F" w:rsidRDefault="0025129F" w:rsidP="0025129F">
      <w:pPr>
        <w:pStyle w:val="TextoNormal"/>
      </w:pPr>
      <w:r>
        <w:t>b) El siguiente planteamiento de la demanda de amparo se centra en el posible ejercicio de la potestad administrativa de revisión de oficio de actos declarativos de derechos (art. 145.2 LPL) cuando la pensión revisada por ese cauce ha sido previamente objeto de pro</w:t>
      </w:r>
      <w:r>
        <w:lastRenderedPageBreak/>
        <w:t>nunciamiento judicial (como habría ocurrido en esta ocasión con la Sentencia de 2 de marzo de 1992, no obstante pronunciarse ésta sobre la revisión por agravación de la incapacidad permanente y sus consecuencias sobre el derecho a la pensión inicialmente reconocida por el INSS).  Entiende el recurrente que, existiendo una intervención judicial previa, la entidad gestora no podía operar al amparo de aquel precepto legal.</w:t>
      </w:r>
    </w:p>
    <w:p w:rsidR="0025129F" w:rsidRDefault="0025129F" w:rsidP="0025129F">
      <w:pPr>
        <w:pStyle w:val="TextoNormal"/>
      </w:pPr>
      <w:r>
        <w:t>Para resolver este punto bastará recordar la pretensión formulada en la vía judicial, el cauce procesal empleado y la respuesta judicial recibida. En efecto, el actor solicitó del Juzgado de lo Social núm. 1 de Oviedo, por escrito de 28 de marzo de 1996, la ejecución de la Sentencia de 2 de marzo de 1992 (relativa, como se ha dicho, al grado de la incapacidad permanente), requiriendo por medio del incidente de ejecución la reposición en el estado anterior a la revisión administrativa de oficio de su derecho a la pensión vitalicia de invalidez permanente absoluta, considerando que la resolución judicial firme quedaba interferida en sus efectos por el acto administrativo sobrevenido. Por esa razón suplicaba al Juzgado en ese escrito inicial que adoptara las medidas oportunas para que se cumpliese la Sentencia de 2 de marzo de 1992, obligando al INSS a “reponer y abonar la pensión vitalicia de Invalidez Permanente Absoluta derivada de enfermedad profesional y reconocida al actor en la cuantía que venía percibiendo abonándole las mensualidades retenidas con efectos desde el 31 de Enero de 1996 fecha a partir de la cual no se le viene abonando por la Entidad Gestora así como las sucesivas, de conformidad con el contenido del fallo de la sentencia dictada en los presentes Autos”. Y por esa misma razón y con ese mismo objeto se interpuso recurso de reposición cuando el órgano judicial, en providencia de 15 de abril de 1996, resolvió que no había lugar a la ejecución interesada. En el escrito del recurso de reposición, en efecto, el recurrente señalaba que no pretendía impugnar las Resoluciones administrativas de revisión (para lo que anunciaba el correspondiente proceso declarativo ordinario), ni pretendía el examen de la regularidad del acto del INSS, en concreto, “si la Entidad Gestora puede o no basándose en el art. 145 de la Ley de Procedimiento Laboral proceder a dictar las Resoluciones Administrativas que fueron adoptadas”, lo que reiteró en el escrito de suplicación, si bien acompañándolo de una mayor argumentación. El objeto del incidente, así pues, según se sigue del petitum de cada uno de los escritos del recurrente, consistía en asegurar única y exclusivamente la ejecución de la Sentencia, obligando al INSS a reponerle en la pensión cuyo abono había suspendido.</w:t>
      </w:r>
    </w:p>
    <w:p w:rsidR="0025129F" w:rsidRDefault="0025129F" w:rsidP="0025129F">
      <w:pPr>
        <w:pStyle w:val="TextoNormal"/>
      </w:pPr>
      <w:r>
        <w:t>La demanda de amparo, ciertamente, añade a lo anterior el planteamiento al que nos estamos refiriendo en este punto (análisis del ejercicio de la potestad administrativa revisora frente a decisiones judiciales firmes y su potencial relevancia constitucional), pero ese plano del problema, independientemente de su dimensión constitucional, no constituyó en el proceso judicial el objeto de las pretensiones de la parte recurrente en amparo. En el incidente de ejecución únicamente se reclamó del órgano judicial la paralización de los efectos de las Resoluciones administrativas de revisión, cuestión sobre la que ahora se insiste y a la que damos respuesta a continuación por constituir la pretensión que se suscitó en el pleito que da origen a este procedimiento de amparo. Nuestro pronunciamiento, por ello, no puede alcanzar al análisis del ejercicio de la potestad administrativa revisora en situaciones como la de autos, lo que viene impuesto por la garantía del principio de subsidiariedad en la actuación de este Tribunal Constitucional respecto de la tutela judicial de los derechos fundamentales por los órganos jurisdiccionales ordinarios.</w:t>
      </w:r>
    </w:p>
    <w:p w:rsidR="0025129F" w:rsidRDefault="0025129F" w:rsidP="0025129F">
      <w:pPr>
        <w:pStyle w:val="TextoNormal"/>
      </w:pPr>
      <w:r>
        <w:t>c) En efecto, las decisiones judiciales impugnadas respondieron a la petición ejecutiva del recurrente de amparo afirmando que el incidente de ejecución tramitado no era el cauce procesal adecuado para poner en cuestión el procedimiento y los efectos de la revisión de oficio de la pensión acordada por la entidad gestora.</w:t>
      </w:r>
    </w:p>
    <w:p w:rsidR="0025129F" w:rsidRDefault="0025129F" w:rsidP="0025129F">
      <w:pPr>
        <w:pStyle w:val="TextoNormal"/>
      </w:pPr>
      <w:r>
        <w:lastRenderedPageBreak/>
        <w:t>En este caso, como quedó expuesto en los antecedentes, el órgano judicial, en providencia de 15 de abril de 1996 resolvió que no había lugar a la ejecución interesada, toda vez que “de la misma exposición de hechos se desprende que la Sentencia fue ejecutada en sus propios términos y en el momento actual estamos en presencia de un procedimiento de revisión cuya impugnación no puede llevarse por los trámites de ejecución”.  El Auto de 9 de mayo de 1996 del propio Juzgado y la Sentencia de 20 de diciembre de 1996 del Tribunal Superior de Justicia de Asturias, respectivamente, resolvieron los sucesivos recursos de reposición y suplicación con similar fundamentación jurídica. “En el supuesto litigioso”, declaró el Auto, “no se trata de un desconocimiento o incumplimiento de una sentencia, sino de un proceso de revisión según nuevos datos y cuya impugnación no puede realizarse en el proceso incidental”.</w:t>
      </w:r>
    </w:p>
    <w:p w:rsidR="0025129F" w:rsidRDefault="0025129F" w:rsidP="0025129F">
      <w:pPr>
        <w:pStyle w:val="TextoNormal"/>
      </w:pPr>
      <w:r>
        <w:t>Pues bien, fuera o no posible solución distinta a la adoptada en esas resoluciones, disponer que no procede la suspensión de los efectos del acto de revisión en el incidente de ejecución entablado, como hizo el juzgador a quo y confirmó la Sala, no lesionó el derecho a la tutela judicial efectiva en su vertiente del derecho a la ejecución en conexión con el principio de seguridad jurídica, consagrado en el art. 9.3 CE (SSTC 231/1991, de 10 de diciembre; y 136/1997, de 21 de julio). En efecto, como hemos tenido ocasión de declarar con reiteración, el derecho a la ejecución de sentencia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(SSTC 202/1998, de 14 de octubre, FJ 2; 240/1998, de 15 de diciembre, FJ 2; 108/1999, de 14 de junio, FJ 4; 110/1999, de 14 de junio, FJ 3; y 170/1999, de 27 de septiembre, FJ 3). Con todo, hemos advertido que “el alcance de las posibilidades de control, por parte de este Tribunal, del cumplimiento de la potestad jurisdiccional de hacer ejecutar lo juzgado (art. 117.3 CE) no es ilimitado” (STC 240/1998, FJ 2). Y es también doctrina constitucional consolidada que la interpretación del sentido del fallo de las resoluciones judiciales es una función estrictamente jurisdiccional que, como tal, corresponde en exclusiva a los órganos judiciales. Por esta razón, según hemos establecido en la STC 144/2000, de 29 de mayo, FJ 6,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[entre las más recientes SSTC 87/1996, de 21 de mayo, FJ 5; 163/1998, de 14 de julio, FJ 2 b); 202/1998, FJ 2; 240/1998, FJ 2; 106/1999, de 14 de junio, FJ 3] o incurran en error patente, podrán considerarse lesivas del derecho que consagra el art. 24.1 CE”.</w:t>
      </w:r>
    </w:p>
    <w:p w:rsidR="0025129F" w:rsidRDefault="0025129F" w:rsidP="0025129F">
      <w:pPr>
        <w:pStyle w:val="TextoNormal"/>
      </w:pPr>
      <w:r>
        <w:t xml:space="preserve">Aplicada esa doctrina al caso enjuiciado la conclusión ha de ser la desestimación de la alegación sobre la pretendida vulneración del derecho a la ejecución de las sentencias firmes.  En primer lugar, las resoluciones judiciales recurridas dan respuesta congruente a la pretensión ejecutiva, aunque fuera desestimatoria, anunciando, por lo demás, que la cuestión que se les sometía podía canalizarse a través de otras vías de impugnación. En segundo lugar, la solución de las decisiones judiciales impugnadas no incurre en arbitrariedad, pues tiene su fundamento jurídico en una interpretación posible de la habilitación legal contenida en el art. 145.2 LPL, así como en el art. 143 LGSS, atribuyendo efectos ordinarios a un acto administrativo de revisión de oficio en perjuicio del beneficiario. En otros términos, no es contrario al art. 24.1 CE entender que no afecta al derecho de ejecución de la Sentencia de referencia el regular ejercicio de las facultades revisoras del INSS sobre </w:t>
      </w:r>
      <w:r>
        <w:lastRenderedPageBreak/>
        <w:t>los aspectos de la pensión no abordados en juicio, incluso cuando encadenadamente resulten afectados.</w:t>
      </w:r>
    </w:p>
    <w:p w:rsidR="0025129F" w:rsidRDefault="0025129F" w:rsidP="0025129F">
      <w:pPr>
        <w:pStyle w:val="TextoNormal"/>
      </w:pPr>
      <w:r>
        <w:t>Tampoco nos encontramos ante decisiones judiciales manifiestamente erróneas o irrazonables. Era posible la interpretación efectuada, aunque obviamente no sea la más favorable para el beneficiario. El derecho a la tutela judicial efectiva se satisface, hemos afirmado reiteradamente, cuando los Jueces y Tribunales a quienes corresponde hacer ejecutar lo juzgado (art. 117.3 CE) según las normas de competencia y procedimiento aplicables, adoptan las medidas oportunas para el estricto cumplimiento del fallo, sin alterar el contenido y el sentido del mismo; y esta exigencia constitucional ex art.  24.1 CE, hemos precisado, impone al órgano judicial adoptar las medidas que sean precisas para reaccionar frente a comportamientos impeditivos, dilatorios o fraudulentos en orden al cumplimiento de lo judicialmente decidido (por todas, STC 197/2000, de 24 de julio). Sin embargo, conviene reiterar que también hemos dicho que a este Tribunal no le corresponde en vía de amparo sustituir a la autoridad judicial en el cometido de interpretar y fijar el alcance de sus propios pronunciamientos, ni en el modo de llevarlos a su puro y debido efecto (SSTC 148/1989, de 21 de septiembre; 153/1992, de 19 de octubre; 27/1999, de 8 de marzo; y 92/1999, de 26 de mayo).</w:t>
      </w:r>
    </w:p>
    <w:p w:rsidR="0025129F" w:rsidRDefault="0025129F" w:rsidP="0025129F">
      <w:pPr>
        <w:pStyle w:val="TextoNormal"/>
      </w:pPr>
      <w:r>
        <w:t>Así, atendiendo a la función de salvaguarda de los derechos fundamentales que nos compete, teniendo en cuenta que la situación fáctica era distinta a la sometida a los órganos de la jurisdicción social en 1992 y que en la Sentencia de 2 de marzo de ese año se revisó el grado de la pensión sin estar en cuestión la atribución del derecho previamente reconocido por el INSS, hemos de concluir que los pronunciamientos impugnados respetaron el art. 24.1 CE, pues era posible la reconducción de la potencial suspensión de los efectos del nuevo acto administrativo al proceso declarativo anunciado por el propio recurrente para cuestionar su validez, negando la virtualidad del incidente de ejecución para tal propósito, puesto que aquella Sentencia se había ejecutado en sus términos durante años.</w:t>
      </w:r>
    </w:p>
    <w:p w:rsidR="0025129F" w:rsidRDefault="0025129F" w:rsidP="0025129F">
      <w:pPr>
        <w:pStyle w:val="TextoNormal"/>
      </w:pPr>
      <w:r>
        <w:t>Debemos afirmar, no obstante, que no es calificable la situación examinada como de imposibilidad jurídica de ejecución, a pesar de lo que dice el Ministerio público con cita de nuestra STC 155/1985, de 12 de noviembre, en tanto que la solución inversa no podía descartarse, como tampoco puede desecharse que el recurrente obtenga su propósito en el proceso declarativo.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don Alfredo González Coto.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 w:name="SENTENCIA_2002_4"/>
      <w:r>
        <w:lastRenderedPageBreak/>
        <w:t>SENTENCIA 4/2002, de 14 de enero de 2002</w:t>
      </w:r>
    </w:p>
    <w:bookmarkEnd w:id="7"/>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ECLI:ES:TC:2002:4</w:t>
      </w:r>
    </w:p>
    <w:p w:rsidR="0025129F" w:rsidRDefault="0025129F" w:rsidP="0025129F">
      <w:pPr>
        <w:pStyle w:val="SntesisDescriptiva"/>
      </w:pPr>
    </w:p>
    <w:p w:rsidR="0025129F" w:rsidRDefault="0025129F" w:rsidP="0025129F">
      <w:pPr>
        <w:pStyle w:val="SntesisDescriptiva"/>
      </w:pPr>
      <w:r>
        <w:t>Recurso de amparo 4597/98. Promovido por don Felipe Juan Tormos Oliver y otro frente a las Sentencias de la Audiencia Provincial y de un Juzgado de lo Penal de Valencia, que les condenaron por una falta de coacciones.</w:t>
      </w:r>
    </w:p>
    <w:p w:rsidR="0025129F" w:rsidRDefault="0025129F" w:rsidP="0025129F">
      <w:pPr>
        <w:pStyle w:val="SntesisDescriptiva"/>
      </w:pPr>
    </w:p>
    <w:p w:rsidR="0025129F" w:rsidRDefault="0025129F" w:rsidP="0025129F">
      <w:pPr>
        <w:pStyle w:val="SntesisAnaltica"/>
      </w:pPr>
      <w:r>
        <w:t>Vulneración del derecho a conocer la acusación: condena por falta de coacciones a empleados de un banco, que habían bloqueado el saldo de una cuenta, acusados de un delito de apropiación indebida.</w:t>
      </w:r>
    </w:p>
    <w:p w:rsidR="0025129F" w:rsidRDefault="0025129F" w:rsidP="0025129F">
      <w:pPr>
        <w:pStyle w:val="SntesisAnaltica"/>
      </w:pPr>
    </w:p>
    <w:p w:rsidR="0025129F" w:rsidRDefault="0025129F" w:rsidP="0025129F">
      <w:pPr>
        <w:pStyle w:val="Extracto"/>
      </w:pPr>
      <w:r>
        <w:t>1.</w:t>
      </w:r>
      <w:r>
        <w:tab/>
        <w:t>Se vulneró el derecho a la defensa en la medida en que se condenó a los demandantes como responsables de una infracción penal, uno de cuyos elementos integrantes no fue ni pudo ser debatido a partir de las calificaciones efectuadas por las acusaciones y de lo debatido en el acto del juicio oral [FJ 4].</w:t>
      </w:r>
    </w:p>
    <w:p w:rsidR="0025129F" w:rsidRDefault="0025129F" w:rsidP="0025129F">
      <w:pPr>
        <w:pStyle w:val="Extracto"/>
      </w:pPr>
    </w:p>
    <w:p w:rsidR="0025129F" w:rsidRDefault="0025129F" w:rsidP="0025129F">
      <w:pPr>
        <w:pStyle w:val="Extracto"/>
      </w:pPr>
      <w:r>
        <w:t>2.</w:t>
      </w:r>
      <w:r>
        <w:tab/>
        <w:t>Entre las garantías que incluye el principio acusatorio se encuentra la de que nadie puede ser condenado por cosa distinta de la que se le ha acusado y la de que, por lo tanto, haya podido defenderse (SSTC 12/1981, 225/1997) [FJ 3].</w:t>
      </w:r>
    </w:p>
    <w:p w:rsidR="0025129F" w:rsidRDefault="0025129F" w:rsidP="0025129F">
      <w:pPr>
        <w:pStyle w:val="Extracto"/>
      </w:pPr>
    </w:p>
    <w:p w:rsidR="0025129F" w:rsidRDefault="0025129F" w:rsidP="0025129F">
      <w:pPr>
        <w:pStyle w:val="Extracto"/>
      </w:pPr>
      <w:r>
        <w:t>3.</w:t>
      </w:r>
      <w:r>
        <w:tab/>
        <w:t>Lo decisivo no es si las infracciones penales por las que se formuló acusación y se condenó son homogéneas desde un punto de vista abstracto sino si, en las circunstancias concretas del caso, el demandante de amparo pudo contradecir la totalidad de los elementos que integran la valoración jurídica o tipificación de los hechos efectuadas en la resolución judicial [FJ 4].</w:t>
      </w:r>
    </w:p>
    <w:p w:rsidR="0025129F" w:rsidRDefault="0025129F" w:rsidP="0025129F">
      <w:pPr>
        <w:pStyle w:val="Extracto"/>
      </w:pPr>
    </w:p>
    <w:p w:rsidR="0025129F" w:rsidRDefault="0025129F" w:rsidP="0025129F">
      <w:pPr>
        <w:pStyle w:val="Extracto"/>
      </w:pPr>
      <w:r>
        <w:t>4.</w:t>
      </w:r>
      <w:r>
        <w:tab/>
        <w:t>La vulneración del derecho de defensa que se produjo en la primera instancia es, además, insubsanable por la existencia de debate procesal en la segunda sobre la nueva perspectiva jurídica con la que fueron apreciados los hechos de la acusación (STC 17/1988)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4597/98, promovido por don Felipe Juan Tormos Oliver y don Adolfo Vanaclocha Escoms, representados por el Procurador de los Tribunales don Francisco Guinea y Gauna y asistidos por el Letrado don Adolfo Vanacocha Escoms, contra la Sentencia de 21 de septiembre de 1998 dictada por la Sección Segunda de la Audiencia Provincial de Valencia que confirma la del Juzgado de lo Penal núm. 12 de dicha localidad de fecha 31 de diciembre de 1997. Ha intervenido el Ministerio Fiscal.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Con fecha 3 de noviembre de 1998 tuvo entrada en el Juzgado de Instrucción núm. 27 de Madrid, en funciones de guardia, demanda de amparo deducida por don Felipe Juan Tormos Olivert y don Adolfo Vanaclocha Escoms, bajo la representación indicada, contra las resoluciones judiciales reseñadas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El recurso de amparo trae causa de los siguientes hechos: </w:t>
      </w:r>
    </w:p>
    <w:p w:rsidR="0025129F" w:rsidRDefault="0025129F" w:rsidP="0025129F">
      <w:pPr>
        <w:pStyle w:val="TextoNormal"/>
      </w:pPr>
      <w:r>
        <w:t xml:space="preserve">a) Ante el Juzgado de Instrucción núm. 2 de Alzira se tramitaron diligencias previas contra los demandantes de amparo, las cuales fueron transformadas en el procedimiento abreviado núm. 488/96, del indicado Juzgado. En dichas diligencias se formularon acusaciones por el Fiscal y por la acusación particular. En las conclusiones provisionales del Ministerio público se recogía el siguiente hecho: “Los acusados Felipe Juan Tormos Olivert y Adolfo Vanaclocha Escoms, ambos mayores de edad y sin antecedentes penales, de común acuerdo, el primero en calidad de Director de la Caja de Ahorros de Carlet, sucursal de Alcántara del Júcar, y el segundo en calidad de Asesor Jurídico de dicha sucursal, en fecha comprendida entre el 10 y el 16 de mayo de 1994, procedieron al bloqueo de la libreta de ahorro 2021-3005-3-90000092407, perteneciente a Alfredo Carbonell Ballester y en la cual tenía domiciliada su pensión de jubilación, con el fin de destinar su saldo, que a fecha 10 de mayo de 1994 era de 399.028 pesetas, a cubrir una póliza de préstamo de doña Francisca Montaner, en la que el referido Alfredo Carbonell figura como fiador, teniendo los acusados pleno conocimiento de que en la fecha en que ordenaron el bloqueo carecían de resolución judicial que justificare el mismo. Personado el Sr. Carbonell el día 16 de mayo en la referida sucursal a fin de realizar un reintegro, le fue denegado el mismo por las razones aducidas”. Tales hechos se calificaban como constitutivos de un delito de apropiación indebida del art. 535, en relación con el art. 528, del Código Penal, solicitándose la imposición de la pena de 3 meses de arresto mayor, accesorias legales y costas para cada uno de los acusados. </w:t>
      </w:r>
    </w:p>
    <w:p w:rsidR="0025129F" w:rsidRDefault="0025129F" w:rsidP="0025129F">
      <w:pPr>
        <w:pStyle w:val="TextoNormal"/>
      </w:pPr>
      <w:r>
        <w:t xml:space="preserve">La acusación particular formuló sus conclusiones provisionales en semejantes términos, solicitando una pena de 6 meses de arresto mayor y accesorias legales, así como la imposición de las costas causadas. </w:t>
      </w:r>
    </w:p>
    <w:p w:rsidR="0025129F" w:rsidRDefault="0025129F" w:rsidP="0025129F">
      <w:pPr>
        <w:pStyle w:val="TextoNormal"/>
      </w:pPr>
      <w:r>
        <w:t xml:space="preserve">b) Remitidos los autos al Juzgado de lo Penal núm. 12 de Valencia se celebró el juicio oral el día 1 de diciembre de 1997. Tras la práctica de la prueba pertinente, el Fiscal elevó a definitivas sus conclusiones provisionales, mientras que la acusación particular las modificó, en el sentido de entender que concurría la agravante específica contenida en el apartado 5 del art. 529 del Código Penal, por haberse colocado a la víctima en grave situación </w:t>
      </w:r>
      <w:r>
        <w:lastRenderedPageBreak/>
        <w:t xml:space="preserve">económica, manteniendo su solicitud de imposición de una pena de 6 meses de arresto mayor a cada uno de los acusados. </w:t>
      </w:r>
    </w:p>
    <w:p w:rsidR="0025129F" w:rsidRDefault="0025129F" w:rsidP="0025129F">
      <w:pPr>
        <w:pStyle w:val="TextoNormal"/>
      </w:pPr>
      <w:r>
        <w:t xml:space="preserve">c) El Juzgado de lo Penal núm. 12 de Valencia dictó Sentencia el 31 de diciembre de 1997 en la que, declarando probados los hechos tal como fueron redactados por el Ministerio público, absolvía a ambos acusados del delito de apropiación indebida que les era imputado, condenándolos, como autores de una falta de coacciones sin concurrencia de circunstancias modificativas de responsabilidad criminal, a la pena de 15.000 pesetas de multa con 3 días de arresto sustitutorio en caso de impago a cada uno de ellos. Igualmente se les imponían las costas por mitad. El Juzgado razona que: “no se demuestra la comisión del delito de apropiación indebida al faltar el animus o elemento subjetivo del propósito de incrementar su patrimonio los acusados por lo cual se debe absolver a los mismos del delito objeto de acusación; no obstante la conducta declarada probada constituye una infracción penal de carácter leve calificada como falta de coacciones ya que procedieron al bloqueo de la cuenta corriente del Sr. Carbonell Ballester de forma indebida ya que en el mes de mayo de 1994 se produce tal hecho con anterioridad a la existencia del embargo material de dicha cuenta que se llevó a efecto el 12 de septiembre de 1994 según consta en el folio 33 luego de manera indebida se procedió al bloqueo de la cuenta corriente por los acusados llevados de su celo excesivo en salvaguardar el cobro de una deuda bancaria sin seguir el procedimiento reglamentario de las normas civiles y sin tener documento alguno que apoye su acción; ambos acusados participaron en la coacción leve tal como se demuestra de las declaraciones de ellos mismos, del testigo Juan José Carbonell y del acta notarial con fe pública que obra unida al folio 8”. </w:t>
      </w:r>
    </w:p>
    <w:p w:rsidR="0025129F" w:rsidRDefault="0025129F" w:rsidP="0025129F">
      <w:pPr>
        <w:pStyle w:val="TextoNormal"/>
      </w:pPr>
      <w:r>
        <w:t>d) Deducido recurso de apelación por ambos acusados, la Sentencia de la Audiencia Provincial de Valencia de fecha 21 de septiembre de 1998 lo desestimó. En dicha Sentencia, que acepta los hechos declarados probados por la de instancia, se desestima el motivo de apelación fundado en la vulneración del principio acusatorio y del derecho a la tutela judicial efectiva razonando que no se han variado los hechos imputados a los acusados y que, pese a ser distintos los bienes jurídicos protegidos por las infracciones penales de las que fueron objeto de acusación y de condena sin haberse hecho uso del art. 733 de la Ley de Enjuiciamiento Criminal, “si el cambio de calificación jurídica no produce indefensión o menosprecio al derecho del acusado al conocimiento previo de la acusación y a la articulación de la pertinente actividad probatoria, sino que, sin dar entrada a nuevos hechos, se produce un cambio de calificación incluso mas beneficiosa para los acusados, podría llegarse a la conclusión de que no se ha vulnerado el principio acusatorio en los términos definidos”. “En consecuencia, procederá desestimar también este segundo motivo del recurso”.</w:t>
      </w:r>
    </w:p>
    <w:p w:rsidR="0025129F" w:rsidRDefault="0025129F" w:rsidP="0025129F">
      <w:pPr>
        <w:pStyle w:val="TextoNormal"/>
      </w:pPr>
    </w:p>
    <w:p w:rsidR="0025129F" w:rsidRDefault="0025129F" w:rsidP="0025129F">
      <w:pPr>
        <w:pStyle w:val="TextoNormal"/>
      </w:pPr>
      <w:r w:rsidRPr="0025129F">
        <w:rPr>
          <w:rStyle w:val="NumeroAFNegritaCaracter"/>
        </w:rPr>
        <w:t>3</w:t>
      </w:r>
      <w:r>
        <w:t>. Los demandantes de amparo aducen vulneración del derecho fundamental a la tutela judicial efectiva y a la defensa (art. 24.1 y 2 CE) porque, siendo absueltos del delito de apropiación indebida del que habían sido acusados, resultaron condenados por una falta de coacciones de la que nunca fueron acusados, y respecto de la cual nada se planteó desde el inicio del procedimiento penal. Afirman que nadie puede cuestionar la absoluta heterogeneidad existente entre las figuras típicas de apropiación indebida y de coacciones, pues el bien jurídico protegido es totalmente distinto, y lo mismo cabe decir respecto de la dinámica comisiva y la estructura típica de las indicadas figuras penales. Tras recoger la doctrina constitucional acerca del principio acusatorio, entienden que en el presente caso se ha vulnerado dicho principio en la medida en que los acusados no pudieron defenderse de una inexistente imputación de coacciones, de manera que no pudieron realizar plantea</w:t>
      </w:r>
      <w:r>
        <w:lastRenderedPageBreak/>
        <w:t>mientos jurídicos, ni articular prueba alguna, ni, finalmente, defenderse jurídicamente en el acto del juicio oral en relación con la falta de coacciones por la que resultaron finalmente condenados.</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10 de marzo de 1999 la Sección Cuarta de este Tribunal acordó, de conformidad con lo dispuesto en el art. 50.3 LOTC, conceder al demandante de amparo y al Fiscal el plazo común de diez días para que formulasen las alegaciones que estimaran pertinentes en relación con la carencia manifiesta de contenido constitucional de la demanda [art. 50.1 c) LOTC].</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Los demandantes de amparo evacuaron sus alegaciones mediante escrito presentado en el Registro General de este Tribunal el 16 de abril de 1999. En él insisten en que nadie puede cuestionar la heterogeneidad de las figuras de apropiación indebida y coacciones, y que, con independencia de que la pena impuesta haya resultado más beneficiosa para los acusados, no pudieron desplegar una adecuada defensa en relación con la falta de coacciones por la que fueron condenados. Mientras que el delito de apropiación indebida protege la propiedad, la coacción supone una lesión de la libertad de ejecutar lo decidido. </w:t>
      </w:r>
    </w:p>
    <w:p w:rsidR="0025129F" w:rsidRDefault="0025129F" w:rsidP="0025129F">
      <w:pPr>
        <w:pStyle w:val="TextoNormal"/>
      </w:pPr>
      <w:r>
        <w:t>Llaman la atención sobre el hecho de que el Juzgado de lo Penal no hiciese uso de la facultad atribuida por el art. 733 LECrim, por lo que no podía condenar por un delito distinto y heterogéneo a aquél por el que fueron acusados, de lo cual resulta que se ha producido la lesión del principio acusatorio que vienen denunciando, lo que, a su juicio, justifica el contenido constitucional de la demanda de amparo y, en suma, su admisión a trámite.</w:t>
      </w:r>
    </w:p>
    <w:p w:rsidR="0025129F" w:rsidRDefault="0025129F" w:rsidP="0025129F">
      <w:pPr>
        <w:pStyle w:val="TextoNormal"/>
      </w:pPr>
    </w:p>
    <w:p w:rsidR="0025129F" w:rsidRDefault="0025129F" w:rsidP="0025129F">
      <w:pPr>
        <w:pStyle w:val="TextoNormal"/>
      </w:pPr>
      <w:r w:rsidRPr="0025129F">
        <w:rPr>
          <w:rStyle w:val="NumeroAFNegritaCaracter"/>
        </w:rPr>
        <w:t>6</w:t>
      </w:r>
      <w:r>
        <w:t>. El Ministerio público, con fecha 19 de abril de 1999, interesó la admisión a trámite de la demanda, toda vez que, efectivamente, el cambio de título incriminatorio entre la acusación y la condena pronunciada pudiera plantear dificultades en orden a la posible vulneración del principio alegado.</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providencia de 21 de septiembre de 1999 la Sala Segunda de este Tribunal acordó, de conformidad con lo dispuesto en el art. 11.2 LOTC, admitir a trámite la demanda de amparo contra las resoluciones judiciales ya indicadas en el encabezamiento de esta resolución. Por ello, en aplicación de lo dispuesto en el art. 51 LOTC, acordó dirigir atenta comunicación a la Sección Segunda de la Audiencia Provincial de Valencia y al Juzgado de lo Penal núm. 12 de dicha localidad para que, en plazo no superior a diez días, remitiesen certificación o copia adverada de las actuaciones correspondientes al rollo de apelación núm. 129/98 y al procedimiento abreviado núm. 488/96 –procedimiento abreviado 61/94 del Juzgado de Instrucción núm. 2 de Alzira. Previamente el Juzgado debía emplazar a quienes hubieran sido parte en el proceso, excepto a la parte recurrente en amparo, para que, en plazo de diez días, pudiesen comparecer, si así lo desearan, en el presente recurso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13 de enero de 2000 la Sala acordó dar vista de las actuaciones recibidas a la parte recurrente y al Fiscal por término común de veinte días, dentro de los cuales podrían presentar las alegaciones que estimasen pertinentes,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9</w:t>
      </w:r>
      <w:r>
        <w:t>. Los demandantes de amparo presentaron el 6 de febrero de 2000 un escrito en el cual reiteraban y daban por reproducidas las alegaciones que ya habían formulado en este recurso de amparo.</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Ministerio público evacuó con fecha 16 de febrero de 2000 el trámite conferido. Tras realizar una sucinta exposición de los hechos de los que el presente recurso de amparo trae causa, se hace eco de la doctrina de este Tribunal en relación con los derechos a la tutela judicial efectiva, al proceso con todas las garantías y a ser informado de la acusación. Al aplicar dicha doctrina al presente supuesto afirma que: “la acusación, tanto del Fiscal como de la acusación particular se concretaron en un delito de apropiación indebida del art. 535 CP y debe entenderse que tanto la prueba practicada como el debate y en suma, el ejercicio de la acusación como la defensa, se ajustaron a tal objeto perfectamente definido. Por ello, la condena, sin alegación que la sustente, por falta de coacciones, produjo la indefensión que los recurrentes alegan”. “Cierto que el hecho histórico se respetó en todo caso, pero no así el título de incriminación que sugiere muy diversas consideraciones en orden a los elementos que configuran los tipos respectivos”. “Y está fuera de toda duda razonable la heterogeneidad de las dos figuras en cuestión: la una configura un delito contra el patrimonio —contra la propiedad en el Código de 1973 aplicado—, la otra sanciona una conducta contra la libertad y seguridad de las personas, lo que pone de manifiesto la diversidad de bienes jurídicos tutelados en que radica, en último extremo, la homogeneidad”. </w:t>
      </w:r>
    </w:p>
    <w:p w:rsidR="0025129F" w:rsidRDefault="0025129F" w:rsidP="0025129F">
      <w:pPr>
        <w:pStyle w:val="TextoNormal"/>
      </w:pPr>
      <w:r>
        <w:t>Por todo ello solicita el Fiscal se dicte una Sentencia estimando el recurso de amparo.</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10 de enero de 2002 se señaló para la deliberación y votación de la presente Sentencia el día 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acto del poder público al que se reprocha haber vulnerado derechos fundamentales está constituido por la Sentencia del Juzgado de lo Penal núm. 12 de Valencia que, absolviendo a los demandantes de amparo del delito de apropiación indebida del que eran acusados, tanto por el Fiscal como por la acusación particular, les condenó como responsables de una falta de coacciones. Contra la Sentencia de la Audiencia Provincial que desestimó el recurso de apelación deducido contra la anterior Sentencia no se formula queja autónoma, sino tan solo el reproche de no haber reparado la vulneración de derechos fundamentales ya producida por la Sentencia del Juzgado de lo Penal, ahondando así en la propia lesión denunciada.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Como se ha expuesto con más detalle en los antecedentes de esta Sentencia, tras la instrucción del correspondiente proceso penal abreviado los demandantes de amparo, asesor jurídico y director de la sucursal de la Caja de Ahorros y Préstamos de Carlet en la localidad de Alcántara del Júcar, fueron acusados de un delito de apropiación indebida porque, antes de existir resolución judicial que amparase su actuación, bloquearon el saldo de la libreta de ahorros de un cliente con el fin de cubrir con su importe la deuda de un tercero que había sido avalado por él, lo que dio lugar a que, cuando el titular de la cuenta quiso efectuar un reintegro, se viera imposibilitado de hacerlo. En el acto del juicio oral, </w:t>
      </w:r>
      <w:r>
        <w:lastRenderedPageBreak/>
        <w:t>celebrado en el Juzgado de lo Penal núm.  12 de Valencia, el Ministerio público elevó a definitivas las conclusiones provisionales, y la acusación particular introdujo la concurrencia de la circunstancia agravante específica de haber colocado a la víctima en grave situación económica (art. 529.5 CP, texto refundido de 1973).</w:t>
      </w:r>
    </w:p>
    <w:p w:rsidR="0025129F" w:rsidRDefault="0025129F" w:rsidP="0025129F">
      <w:pPr>
        <w:pStyle w:val="TextoNormal"/>
      </w:pPr>
      <w:r>
        <w:t>La vulneración del principio acusatorio se habría producido, según la demanda de amparo, porque el Juez, manteniendo como hechos probados los relatados por las acusaciones pública y particular en sus escritos de conclusiones, absolvió a los demandantes de amparo del delito de apropiación indebida (art. 535 del Código Penal) del que eran acusados y los condenó como responsables de una falta de coacciones prevista en el art. 585.4 del Código Penal. Tal resolución fue confirmada por la Audiencia Provincial al desestimar el recurso de apelación deducido por los condenados. En la demanda de amparo presentada por éstos se sostiene que, si bien la resolución judicial respetó la identidad de hechos por los que se formulaba la acusación, la figura penal por la cual resultaron condenados no guarda la necesaria homogeneidad con la que fue objeto de acusación, pues la apropiación indebida y las coacciones tienen diferentes bienes jurídicos protegidos, dinámicas comisivas y estructuras típicas.</w:t>
      </w:r>
    </w:p>
    <w:p w:rsidR="0025129F" w:rsidRDefault="0025129F" w:rsidP="0025129F">
      <w:pPr>
        <w:pStyle w:val="TextoNormal"/>
      </w:pPr>
    </w:p>
    <w:p w:rsidR="0025129F" w:rsidRDefault="0025129F" w:rsidP="0025129F">
      <w:pPr>
        <w:pStyle w:val="TextoNormal"/>
      </w:pPr>
      <w:r w:rsidRPr="0025129F">
        <w:rPr>
          <w:rStyle w:val="NumeroAFNegritaCaracter"/>
        </w:rPr>
        <w:t>3</w:t>
      </w:r>
      <w:r>
        <w:t>. Este Tribunal ha tenido ya ocasión de afirmar, en no pocas ocasiones, que entre las garantías que incluye el principio acusatorio se encuentra la de que nadie puede ser condenado por cosa distinta de la que se le ha acusado y la de que, por lo tanto, haya podido defenderse. Ahora bien, por “cosa” en este contexto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En la última Sentencia citada recordábamos cómo ya la STC 53/1987, de 7 de mayo, ponía de manifiesto la estrecha relación existente entre el principio acusatorio y el derecho de defensa al señalar que:“El principio acusatorio admite y presupone el derecho de defensa del imputado y, consecuentemente, la posibilidad de ‘contestación’ o rechazo de la acusación.  Provoca en el proceso penal la aplicación de la contradicción, o sea, el enfrentamiento dialéctico entre las partes, y hace posible el conocer los argumentos de la otra parte, el manifestar ante el Juez los propios, el indicar los elementos fácticos y jurídicos que constituyen su base, y el ejercitar una actividad plena en el proceso” (STC 53/1987, FJ 2). Así pues,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de 27 de enero, FJ 3; 95/1995, de 19 de junio, FJ 2, y 36/1996, de 11 de marzo, FJ 4).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defenderse’ (STC 205/1989, FJ 2; reiterado en la STC 161/1994)” (STC 95/1995, FJ 2).</w:t>
      </w:r>
    </w:p>
    <w:p w:rsidR="0025129F" w:rsidRDefault="0025129F" w:rsidP="0025129F">
      <w:pPr>
        <w:pStyle w:val="TextoNormal"/>
      </w:pPr>
      <w:r>
        <w:t>En la STC 225/1997, de 15 de diciembre, añadíamos a las consideraciones anteriores que:</w:t>
      </w:r>
    </w:p>
    <w:p w:rsidR="0025129F" w:rsidRDefault="0025129F" w:rsidP="0025129F">
      <w:pPr>
        <w:pStyle w:val="TextoNormal"/>
      </w:pPr>
      <w:r>
        <w:lastRenderedPageBreak/>
        <w:t>“Sin embargo, so pena de frustrar la solución más adecuada al conflicto que se ventila en el proceso,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FJ 2). En este sentido, ‘el órgano judicial, si así lo considera, no está vinculado por la tipificación o la imputación’ que en la acusación se verifique (STC 11/1992, FJ 3).</w:t>
      </w:r>
    </w:p>
    <w:p w:rsidR="0025129F" w:rsidRDefault="0025129F" w:rsidP="0025129F">
      <w:pPr>
        <w:pStyle w:val="TextoNormal"/>
      </w:pPr>
      <w:r>
        <w:t>“A esto es a lo que se refieren los conceptos de identidad fáctica y de homogeneidad en la calificación jurídica: A la existencia de una analogía tal entre los elementos esenciales de los tipos delictivos que la acusación por un determinado delito posibilita también per se la defensa en relación con los homogéneos respecto a él. En palabras del ATC 244/1995, son delitos o faltas ‘generalmente homogéneos’ los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(FJ 2). Debe así advertirse, en primer lugar, que aquellos elementos no comprenden sólo el bien o interés protegido por la norma, sino también, obviamente, las formas de comportamiento respecto de las que se protegen; en segundo lugar, que podría no bastar que un elemento esencial constitutivo del tipo por el que se condena esté genéricamente contenido en el tipo por el que se acusa cuando esta genericidad sea tal que no posibilite un debate pleno y frontal acerca de su concurrencia. En suma, el apartamiento del órgano judicial de las calificaciones propuestas por la acusación ‘requiere el cumplimiento de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ante el que se ha recurrido aquella decisión ‘sean homogéneos, es decir, tengan la misma naturaleza porque el hecho que configure los tipos correspondientes sea sustancialmente el mismo’ (STC 12/1981, FJ 5)’ (STC 95/1995, FJ 3 a)]”</w:t>
      </w:r>
    </w:p>
    <w:p w:rsidR="0025129F" w:rsidRDefault="0025129F" w:rsidP="0025129F">
      <w:pPr>
        <w:pStyle w:val="TextoNormal"/>
      </w:pPr>
      <w:r>
        <w:t>Más adelante matizábamos que habían de realizarse dos precisiones de singular importancia sobre el alcance de la función de este Tribunal en la fiscalización de si se respetó o no el principio acusatorio. La primera matización hacía referencia a que:</w:t>
      </w:r>
    </w:p>
    <w:p w:rsidR="0025129F" w:rsidRDefault="0025129F" w:rsidP="0025129F">
      <w:pPr>
        <w:pStyle w:val="TextoNormal"/>
      </w:pPr>
      <w:r>
        <w:t>“[N]o forma parte de nuestra función jurisdiccional, sino que corresponde a la jurisdicción ordinaria, la interpretación de las normas penales, ni, con ello, la determinación de sus elementos esenciales. De ahí que tampoco nos competa establecer las relaciones de homogeneidad entre los tipos penales (ATC 36/1996, FJ 3), siquiera desde la perspectiva del derecho fundamental de defensa. El análisis pertinente de esta jurisdicción es un análisis externo relativo a la razonabilidad del juicio de homogeneidad realizado por los órganos judiciales, razonabilidad que toma como punto de partida la configuración de cada uno de los tipos que, en el plano de la legalidad ordinaria, ha llevado a cabo el órgano judicial y tiene como perspectiva el derecho fundamental mencionado y, por ende, la de la inherencia del nuevo tipo -el tipo por el que se condena- al que formaba parte de la acusación, o la de una cercanía tal de ambos que la acusación por uno de ellos integre implícitamente la acusación por el otro.”</w:t>
      </w:r>
    </w:p>
    <w:p w:rsidR="0025129F" w:rsidRDefault="0025129F" w:rsidP="0025129F">
      <w:pPr>
        <w:pStyle w:val="TextoNormal"/>
      </w:pPr>
      <w:r>
        <w:t>En la segunda de las precisiones nos referíamos:</w:t>
      </w:r>
    </w:p>
    <w:p w:rsidR="0025129F" w:rsidRDefault="0025129F" w:rsidP="0025129F">
      <w:pPr>
        <w:pStyle w:val="TextoNormal"/>
      </w:pPr>
      <w:r>
        <w:lastRenderedPageBreak/>
        <w:t>“[A]l necesario carácter material de la lesión del derecho fundamental para la afirmación de su relieve constitucional. Para constatar la correspondiente infracción del art. 24.2 CE no es lo finalmente decisivo la falta de homogeneidad formal entre objeto de la acusación y objeto de la condena, sino la efectiva constancia de que hubo elementos esenciales de la calificación final que de hecho no fueron ni pudieron ser plena y frontalmente debatidos (ATC 36/1996, FJ 3): ‘es imprescindible ponderar las circunstancias concretas que concurran en cada caso, comprobando cuidadosamente cuáles han sido los términos en que se desarrolló el debate procesal’ (ATC 11/1992, FJ 3)”</w:t>
      </w:r>
    </w:p>
    <w:p w:rsidR="0025129F" w:rsidRDefault="0025129F" w:rsidP="0025129F">
      <w:pPr>
        <w:pStyle w:val="TextoNormal"/>
      </w:pPr>
      <w:r>
        <w:t>En definitiva, concluíamos que:</w:t>
      </w:r>
    </w:p>
    <w:p w:rsidR="0025129F" w:rsidRDefault="0025129F" w:rsidP="0025129F">
      <w:pPr>
        <w:pStyle w:val="TextoNormal"/>
      </w:pPr>
      <w:r>
        <w:t>“[D]esde la perspectiva constitucional del derecho de defensa lo que resulta relevante es que la condena no se produzca por hechos o perspectivas jurídicas que de facto no hayan sido o no hayan podido ser plenamente debatidas.  La ‘homogeneidad’ entre la acusación y la condena es, sobre todo, un instrumento útil, extraordinariamente útil, si se quiere, para enjuiciar la posibilidad real de debate.”</w:t>
      </w:r>
    </w:p>
    <w:p w:rsidR="0025129F" w:rsidRDefault="0025129F" w:rsidP="0025129F">
      <w:pPr>
        <w:pStyle w:val="TextoNormal"/>
      </w:pPr>
    </w:p>
    <w:p w:rsidR="0025129F" w:rsidRDefault="0025129F" w:rsidP="0025129F">
      <w:pPr>
        <w:pStyle w:val="TextoNormal"/>
      </w:pPr>
      <w:r w:rsidRPr="0025129F">
        <w:rPr>
          <w:rStyle w:val="NumeroAFNegritaCaracter"/>
        </w:rPr>
        <w:t>4</w:t>
      </w:r>
      <w:r>
        <w:t>. Con estas pautas interpretativas estamos ya en condiciones de evaluar si en el asunto sometido a nuestra consideración se respetó el principio acusatorio o si, por el contrario, se lesionó el derecho a la defensa causando indefensión a los demandantes de amparo. Para ello habremos de partir de los hechos concretos imputados y por los que se condena (su identidad no es puesta en cuestión), pues lo decisivo no es si las infracciones penales por las que se formuló acusación y se condenó son homogéneas desde un punto de vista abstracto, sino si en la calificación de los hechos que realizó el órgano judicial se contienen elementos o perspectivas jurídicas en relación a los cuales los demandantes de amparo no pudieron defenderse porque, al estar completamente ausentes en las calificaciones acusatorias del Ministerio Fiscal y de la acusación particular, no fueron ni pudieron ser debatidas en el juicio.</w:t>
      </w:r>
    </w:p>
    <w:p w:rsidR="0025129F" w:rsidRDefault="0025129F" w:rsidP="0025129F">
      <w:pPr>
        <w:pStyle w:val="TextoNormal"/>
      </w:pPr>
      <w:r>
        <w:t>El reproche formulado por los demandantes de amparo se centra escuetamente en la falta de homogeneidad entre el delito de apropiación indebida por el que se acusó y la falta de coacciones por la que finalmente fueron condenados. Como hemos avanzado, el concepto de homogeneidad entre las infracciones por las que se acusa y se condena, relevante desde el punto de vista de la legalidad ordinaria para no pocas cuestiones (ad exemplum, la posibilidad de apreciar el delito continuado), sirve para aproximarnos en la apreciación de si existió o no indefensión por falta de controversia sobre la concurrencia de los elementos configuradores del tipo penal por el que se condena, pero la falta de homogeneidad indicada no determina, por sí sola, la existencia de indefensión.  Dicho de otro modo, lo decisivo no es si los tipos son homogéneos, sino si, en las circunstancias concretas del caso, el demandante de amparo pudo contradecir, en lo que ahora interesa, la totalidad de los elementos que integran la valoración jurídica o tipificación de los hechos efectuados en la resolución judicial. Para ello habremos de partir del razonamiento de la Sentencia del Juzgado de lo Penal, según la cual no concurría el ánimo de lucro preciso para apreciar la existencia de un delito de apropiación indebida, pero los hechos sí eran constitutivos de una falta de coacciones porque los demandantes de amparo, llevados por su celo excesivo de salvaguardar el cobro de una deuda bancaria, bloquearon la cuenta corriente antes de que se hubiera acordado judicialmente su embargo.</w:t>
      </w:r>
    </w:p>
    <w:p w:rsidR="0025129F" w:rsidRDefault="0025129F" w:rsidP="0025129F">
      <w:pPr>
        <w:pStyle w:val="TextoNormal"/>
      </w:pPr>
      <w:r>
        <w:t>Desde una óptica externa, que es la que corresponde a este Tribunal, ha de concluirse que, en este caso concreto, no todos los elementos que configuran la falta de coacciones por la que los demandantes de amparo fueron condenados se deducen de los hechos por los que se formuló acusación y que después se declararon probados, por lo que no se res</w:t>
      </w:r>
      <w:r>
        <w:lastRenderedPageBreak/>
        <w:t>petó la necesaria correlación entre el debate procesal y los términos de la condena. En efecto, la Sentencia del Juzgado de lo Penal razona que no concurre el ánimo de lucro preciso para la existencia de un delito de apropiación indebida, pero que el indebido bloqueo de la cuenta corriente antes de la existencia del embargo material sobre la misma se produjo por un celo excesivo en salvaguardar los intereses de la entidad bancaria. Esta genérica intención de coartar la libertad de obrar se encuentra presente en la conducta descrita en las conclusiones provisionales, luego elevadas a definitivas, de las acusaciones pública y particular, en la medida en que se afirma que se pretendía garantizar la posición jurídica acreedora de la entidad de crédito mediante el bloqueo, carente de toda cobertura jurídica, de una cuenta corriente.  Cabe concluir, pues, que la ilegitimidad de la acción de los acusados que impidió al titular de la cuenta corriente realizar una conducta no prohibida, consistente en retirar su dinero de tal cuenta, y el consecuente quebranto de su libertad de obrar, son elementos que, por deducirse de los hechos imputados, permitieron a los demandantes de amparo articular su defensa respecto a ellos. Es más, el estudio del acta del juicio oral y de la Sentencia del Juzgado de lo Penal revela que la legitimidad del bloqueo fue objeto de un amplio debate procesal, pues no sólo se cuestionaba la existencia del embargo como título autorizante del bloqueo, sino que se afirmaba que tenía también cobertura contractual en una póliza de crédito que autorizaba la compensación de las deudas, lo que es negado por la Sentencia de la Audiencia al resolver el recurso de apelación.</w:t>
      </w:r>
    </w:p>
    <w:p w:rsidR="0025129F" w:rsidRDefault="0025129F" w:rsidP="0025129F">
      <w:pPr>
        <w:pStyle w:val="TextoNormal"/>
      </w:pPr>
      <w:r>
        <w:t>Ahora bien, si la ausencia de ánimo de lucro condujo al órgano judicial a entender que los hechos no podían ser calificados como apropiación indebida, ello no quiere decir que cupiese calificarlos como falta de coacciones sin la adición por el órgano judicial de instancia de una perspectiva jurídica respecto de la cual no existió ni pudo existir debate procesal, pues tal calificación no se deducía de los hechos por los que se acusaba y que pasaron, sin alteración sustancial, a considerarse probados.</w:t>
      </w:r>
    </w:p>
    <w:p w:rsidR="0025129F" w:rsidRDefault="0025129F" w:rsidP="0025129F">
      <w:pPr>
        <w:pStyle w:val="TextoNormal"/>
      </w:pPr>
      <w:r>
        <w:t>En efecto, para la apreciación de los hechos como falta de coacciones (sólo diferenciable del delito por criterios cuantitativos, pero sometida a las mismas exigencias de tipicidad penal) no bastaba con la constatación de una genérica intención de coartar la libertad de obrar para la consecución de un fin determinado (en este caso garantizar el cobro de una deuda) y con que para tal conducta no se estuviese autorizado, sino que era preciso que la limitación de la libertad ajena constitutiva de la coacción se realizase por medios que pudieran tener encaje en el concepto de violencia que exige el art. 496 CP de 1973 conforme al cual se enjuiciaban los hechos.</w:t>
      </w:r>
    </w:p>
    <w:p w:rsidR="0025129F" w:rsidRDefault="0025129F" w:rsidP="0025129F">
      <w:pPr>
        <w:pStyle w:val="TextoNormal"/>
      </w:pPr>
      <w:r>
        <w:t>Pues bien, por más que el concepto de violencia exigido por el precepto legal haya sido entendido jurisprudencialmente con progresiva amplitud, cuya adecuación ahora queda extramuros de nuestro enjuiciamiento, es lo cierto que la concurrencia de tal elemento estuvo ausente del debate procesal desarrollado ante el Juzgado de lo Penal, y que sólo al apelar la Sentencia ante la Audiencia Procesal, cuando la vulneración del derecho ya se había producido, los demandantes de amparo tuvieron ocasión de rebatir la concurrencia de la violencia exigida por el tipo penal aplicado, provocando entonces el primer razonamiento judicial, el de la Audiencia Provincial, sobre la aptitud de uno de los hechos imputados (el bloqueo informático de la cuenta corriente) para integrar o llenar la exigencia de un actuar violento en la conducta ilegítimamente cercenadora de la libertad ajena que constituye el núcleo esencial de la infracción penal por la que se condena.</w:t>
      </w:r>
    </w:p>
    <w:p w:rsidR="0025129F" w:rsidRDefault="0025129F" w:rsidP="0025129F">
      <w:pPr>
        <w:pStyle w:val="TextoNormal"/>
      </w:pPr>
      <w:r>
        <w:t xml:space="preserve">La vulneración del derecho de defensa que así se produjo en la primera instancia es, además, insubsanable por la existencia de debate procesal en la segunda sobre la nueva perspectiva jurídica con la que fueron apreciados los hechos de la acusación.  Ya tuvimos ocasión de afirmar en la STC 17/1988, de 16 de febrero de 1988 que “la información en </w:t>
      </w:r>
      <w:r>
        <w:lastRenderedPageBreak/>
        <w:t>segunda instancia de la acusación formulada [de la nueva perspectiva jurídica, en este caso] no subsanaría el aducido defecto cometido en la primera, pues el resultado final de todo el proceso sería que el acusado habría tenido una única ocasión de informarse y defenderse de la acusación —esto es, en la apelación— y, en consecuencia, se le habría privado, efectivamente, de una primera instancia con todas las garantías, y con ello, de la tutela judicial que las leyes le reconocen y el art. 24 CE le garantiza”.</w:t>
      </w:r>
    </w:p>
    <w:p w:rsidR="0025129F" w:rsidRDefault="0025129F" w:rsidP="0025129F">
      <w:pPr>
        <w:pStyle w:val="TextoNormal"/>
      </w:pPr>
      <w:r>
        <w:t>Todo ello conduce derechamente a otorgar el amparo solicitado, pues se vulneró el derecho a la defensa en la medida en que se condenó a los demandantes como responsables de una infracción penal uno de cuyos elementos integrantes no fue ni pudo ser debatido a partir de las calificaciones efectuadas por las acusaciones y de lo debatido en el acto del juicio oral.</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por don Felipe Juan Tormos Oliver y don Adolfo Vanaclocha Escoms y, en consecuencia:</w:t>
      </w:r>
    </w:p>
    <w:p w:rsidR="0025129F" w:rsidRDefault="0025129F" w:rsidP="0025129F">
      <w:pPr>
        <w:pStyle w:val="TextoNormal"/>
      </w:pPr>
      <w:r>
        <w:t>1º Declarar que se ha vulnerado el derecho de los demandantes a no ser condenados sin conocer la acusación en el momento procesal oportuno.</w:t>
      </w:r>
    </w:p>
    <w:p w:rsidR="0025129F" w:rsidRDefault="0025129F" w:rsidP="0025129F">
      <w:pPr>
        <w:pStyle w:val="TextoNormal"/>
      </w:pPr>
      <w:r>
        <w:t>2º Restablecerles en la integridad de su derecho y, a tal fin, anular la Sentencia del Juzgado de lo Penal núm. 12 de Valencia, de fecha 31 de diciembre de 1997, así como la dictada por la Sección Segunda de la Audiencia Provincial de Valencia, de 21 de septiembre de 1998, que desestimó el recuso de apelación deducido contra la primera.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 w:name="SENTENCIA_2002_5"/>
      <w:r>
        <w:lastRenderedPageBreak/>
        <w:t>SENTENCIA 5/2002, de 14 de enero de 2002</w:t>
      </w:r>
    </w:p>
    <w:bookmarkEnd w:id="8"/>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ECLI:ES:TC:2002:5</w:t>
      </w:r>
    </w:p>
    <w:p w:rsidR="0025129F" w:rsidRDefault="0025129F" w:rsidP="0025129F">
      <w:pPr>
        <w:pStyle w:val="SntesisDescriptiva"/>
      </w:pPr>
    </w:p>
    <w:p w:rsidR="0025129F" w:rsidRDefault="0025129F" w:rsidP="0025129F">
      <w:pPr>
        <w:pStyle w:val="SntesisDescriptiva"/>
      </w:pPr>
      <w:r>
        <w:t>Recurso de amparo 5341/98. Promovido por don Óscar Vaamonde Vázquez respecto a las resoluciones de la Audiencia Provincial de A Coruña que denegaron la suspensión de una pena de prisión.</w:t>
      </w:r>
    </w:p>
    <w:p w:rsidR="0025129F" w:rsidRDefault="0025129F" w:rsidP="0025129F">
      <w:pPr>
        <w:pStyle w:val="SntesisDescriptiva"/>
      </w:pPr>
    </w:p>
    <w:p w:rsidR="0025129F" w:rsidRDefault="0025129F" w:rsidP="0025129F">
      <w:pPr>
        <w:pStyle w:val="SntesisAnaltica"/>
      </w:pPr>
      <w:r>
        <w:t>Supuesta vulneración de los derechos a la tutela judicial efectiva, a la vida y a la integridad: resolución motivada y razonable sobre la ejecución de una pena de prisión, cuando el reo alega padecer una enfermedad muy grave e incurable (SSTC 25/2000 y 48/1996).</w:t>
      </w:r>
    </w:p>
    <w:p w:rsidR="0025129F" w:rsidRDefault="0025129F" w:rsidP="0025129F">
      <w:pPr>
        <w:pStyle w:val="SntesisAnaltica"/>
      </w:pPr>
    </w:p>
    <w:p w:rsidR="0025129F" w:rsidRDefault="0025129F" w:rsidP="0025129F">
      <w:pPr>
        <w:pStyle w:val="Extracto"/>
      </w:pPr>
      <w:r>
        <w:t>1.</w:t>
      </w:r>
      <w:r>
        <w:tab/>
        <w:t>Los órganos judiciales sentenciadores cuentan con un amplio margen valorativo para la apreciación de si el penado está aquejado de una enfermedad que pueda ser calificada como muy grave y de si le ocasiona padecimientos incurables (STC 25/2000) [FJ 3].</w:t>
      </w:r>
    </w:p>
    <w:p w:rsidR="0025129F" w:rsidRDefault="0025129F" w:rsidP="0025129F">
      <w:pPr>
        <w:pStyle w:val="Extracto"/>
      </w:pPr>
    </w:p>
    <w:p w:rsidR="0025129F" w:rsidRDefault="0025129F" w:rsidP="0025129F">
      <w:pPr>
        <w:pStyle w:val="Extracto"/>
      </w:pPr>
      <w:r>
        <w:t>2.</w:t>
      </w:r>
      <w:r>
        <w:tab/>
        <w:t>Cuando la Audiencia Provincial utiliza la expresión «visto el dictamen del Ministerio Fiscal», para inmediatamente resolver sobre la solicitud formulada en el recurso de súplica, hace suyos en su integridad los razonamientos del mismo, que quedan así incorporados, por remisión, al contenido de la resolución judicial, que viene de esta manera a satisfacer las exigencias de motivación [FJ 3].</w:t>
      </w:r>
    </w:p>
    <w:p w:rsidR="0025129F" w:rsidRDefault="0025129F" w:rsidP="0025129F">
      <w:pPr>
        <w:pStyle w:val="Extracto"/>
      </w:pPr>
    </w:p>
    <w:p w:rsidR="0025129F" w:rsidRDefault="0025129F" w:rsidP="0025129F">
      <w:pPr>
        <w:pStyle w:val="Extracto"/>
      </w:pPr>
      <w:r>
        <w:t>3.</w:t>
      </w:r>
      <w:r>
        <w:tab/>
        <w:t>Distingue las SSTC 55/1999 y 164/1999 [FJ 3].</w:t>
      </w:r>
    </w:p>
    <w:p w:rsidR="0025129F" w:rsidRDefault="0025129F" w:rsidP="0025129F">
      <w:pPr>
        <w:pStyle w:val="Extracto"/>
      </w:pPr>
    </w:p>
    <w:p w:rsidR="0025129F" w:rsidRDefault="0025129F" w:rsidP="0025129F">
      <w:pPr>
        <w:pStyle w:val="Extracto"/>
      </w:pPr>
      <w:r>
        <w:t>4.</w:t>
      </w:r>
      <w:r>
        <w:tab/>
        <w:t>El derecho fundamental a la tutela judicial efectiva exige siempre que las resoluciones judiciales sean motivadas y fundadas en Derecho (STC 214/2000) [FJ 2].</w:t>
      </w:r>
    </w:p>
    <w:p w:rsidR="0025129F" w:rsidRDefault="0025129F" w:rsidP="0025129F">
      <w:pPr>
        <w:pStyle w:val="Extracto"/>
      </w:pPr>
    </w:p>
    <w:p w:rsidR="0025129F" w:rsidRDefault="0025129F" w:rsidP="0025129F">
      <w:pPr>
        <w:pStyle w:val="Extracto"/>
      </w:pPr>
      <w:r>
        <w:t>5.</w:t>
      </w:r>
      <w:r>
        <w:tab/>
        <w:t>El órgano judicial expone una concreta fundamentación, plenamente razonable, en torno a la inexistencia de riesgo grave y cierto para la vida e integridad, tanto física como moral, del recurrente, identificando adecuadamente el contenido de los correspondientes derechos fundamentales [FJ 4].</w:t>
      </w:r>
    </w:p>
    <w:p w:rsidR="0025129F" w:rsidRDefault="0025129F" w:rsidP="0025129F">
      <w:pPr>
        <w:pStyle w:val="Extracto"/>
      </w:pPr>
    </w:p>
    <w:p w:rsidR="0025129F" w:rsidRDefault="0025129F" w:rsidP="0025129F">
      <w:pPr>
        <w:pStyle w:val="Extracto"/>
      </w:pPr>
      <w:r>
        <w:t>6.</w:t>
      </w:r>
      <w:r>
        <w:tab/>
        <w:t>No corresponde a este Tribunal reconstruir de oficio las demandas (SSTC 281/2000, 21/2001) [FJ 1].</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5341/98, interpuesto por don Óscar Vaamonde Vázquez, representado por la Procuradora de los Tribunales doña María Jesús Jaén Jiménez y asistido por el Letrado don Alberto Holgado Lanillos, en relación con el Auto de la Sección Primera de la Audiencia Provincial de A Coruña de 12 de marzo de 1998 y la providencia del mismo órgano judicial de 4 de noviembre de 1998, denegatorios de suspensión de ejecución de pena privativa de libertad. Ha intervenido el Ministerio Fiscal. Ha sido Ponente el Magistrado don Pablo García Manzano,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día 10 de diciembre de 1998, don Óscar Vaamonde Vázquez presentó un escrito (suscrito también por quien decía actuar en representación de la Asociación Pre.S.O.S. de Galicia) en el Juzgado de guardia de Santiago de Compostela, que tuvo entrada en el Tribunal Constitucional, vía correo, el día 16 de diciembre de 1998, solicitando de éste que se le designara Abogado y Procurador de oficio, a fin de poder interponer recurso de amparo contra la que denominaba Resolución de la Audiencia Provincial de A Coruña de 5 de noviembre de 1998, por la que, según el Sr. Vaamonde, se le denegaba de manera tácita el recurso de súplica formulado frente a Auto de 12 de marzo de 1998, que denegó la suspensión de ejecución de pena privativa de libertad, solicitada al amparo del artículo 80.4 del Código Penal, que se refiere a quienes estén aquejados de enfermedades muy graves con padecimientos incurables. </w:t>
      </w:r>
    </w:p>
    <w:p w:rsidR="0025129F" w:rsidRDefault="0025129F" w:rsidP="0025129F">
      <w:pPr>
        <w:pStyle w:val="TextoNormal"/>
      </w:pPr>
      <w:r>
        <w:t>Tras la correspondiente tramitación, doña María Jesús Jaén Jiménez, Procuradora de los Tribunales, mediante escrito presentado en el Juzgado de guardia de Madrid el día 20 de marzo de 1999, con entrada en el Registro General de este Tribunal Constitucional el día 23 siguiente, interpuso, en nombre y representación del Sr. Vaamonde Vázquez, con la asistencia letrada de don Alberto Holgado Lanillos, recurso de amparo contra los anteriormente citados Auto de 12 de marzo de 1998 y Resolución de 5 de noviembre de 1998, ambos de la Audiencia Provincial de A Coruña.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relevancia para el presente recurso de amparo son, en esencia, los que siguen: </w:t>
      </w:r>
    </w:p>
    <w:p w:rsidR="0025129F" w:rsidRDefault="0025129F" w:rsidP="0025129F">
      <w:pPr>
        <w:pStyle w:val="TextoNormal"/>
      </w:pPr>
      <w:r>
        <w:t xml:space="preserve">a) La Sección Primera de la Audiencia Provincial de A Coruña dictó Sentencia el día 5 de diciembre de 1997 (recaída en el rollo núm. 535/97, dimanante de la causa que con el número 39/97 se siguió ante el Juzgado de Primera Instancia e Instrucción núm. 2 de Santiago de Compostela), condenando al hoy recurrente en amparo, don Óscar Vaamonde Vázquez, por conformidad y aceptación de las partes, como autor responsable de un delito intentado de robo con fuerza en las cosas, concurriendo la circunstancia agravante de reincidencia, a las penas de nueve meses de prisión e inhabilitación especial para el derecho de sufragio pasivo durante igual periodo. </w:t>
      </w:r>
    </w:p>
    <w:p w:rsidR="0025129F" w:rsidRDefault="0025129F" w:rsidP="0025129F">
      <w:pPr>
        <w:pStyle w:val="TextoNormal"/>
      </w:pPr>
      <w:r>
        <w:lastRenderedPageBreak/>
        <w:t xml:space="preserve">b) Mediante escrito de 10 de diciembre de 1997, dirigido a la citada Sección Primera de la Audiencia Provincial de A Coruña, la Asociación Pre.S.O.S. de Galicia, en representación de su asociado don Óscar Vaamonde Vázquez, solicitó la suspensión de la ejecución de la pena privativa de libertad impuesta, por padecimiento de enfermedad grave e incurable, conforme a lo establecido en el artículo 80.4 del Código Penal, exponiendo que el Sr. Vaamonde era V.I.H. positivo, padeciendo la patología denominada SIDA. Además, se encontraba aquejado de una hepatopatía, inflamación constante del hígado con elevación de las transaminasas, siendo positivo al virus de la hepatitis C. Tras expresar las características de su enfermedad, el tratamiento médico al que se hallaba sometido, y otros factores y aspectos relacionados con tales cuestiones, considerando los efectos que generaría su ingreso en prisión (señalando que al tratarse de un enfermo de SIDA, en fase terminal, rodearlo de un ambiente hostil, como es la prisión, significaría condenarlo al sufrimiento en el poco tiempo que le quedare de vida), se citaban la normativa que se consideraba de aplicación y diversas resoluciones judiciales y circulares relacionadas con el supuesto planteado, además de un informe del Defensor del Pueblo. Se acompañaban también distintos documentos, entre ellos un informe de 7 de noviembre de 1997 del Servicio de Medicina Interna, Unidad de Seguimiento del VIH, del Complexo Hospitalario Universitario de Santiago de Compostela, en el que se hacía constar su clasificación en 1993, que era A-3, así como que el paciente no acudía a consulta desde el día 16 de mayo de 1997, por lo que se desconocía su estado actual y si cumplía tratamiento, habiendo faltado a las citas de análisis los días 12 de agosto de 1997 y 22 de octubre de 1997, de manera que era imposible valorar su estado actual y cumplimentación de terapia indicada. </w:t>
      </w:r>
    </w:p>
    <w:p w:rsidR="0025129F" w:rsidRDefault="0025129F" w:rsidP="0025129F">
      <w:pPr>
        <w:pStyle w:val="TextoNormal"/>
      </w:pPr>
      <w:r>
        <w:t xml:space="preserve">El Ministerio Fiscal, mediante escrito de 2 de marzo de 1998, informó en el sentido de que no procedía la suspensión solicitada, en razón a la falta de informe clínico sobre el estado actual de la enfermedad. </w:t>
      </w:r>
    </w:p>
    <w:p w:rsidR="0025129F" w:rsidRDefault="0025129F" w:rsidP="0025129F">
      <w:pPr>
        <w:pStyle w:val="TextoNormal"/>
      </w:pPr>
      <w:r>
        <w:t xml:space="preserve">Por Auto de 12 de marzo de 1998, la Sección Primera de la Audiencia Provincial de A Coruña acuerda no haber lugar a la suspensión de la ejecución de la pena. Sus razonamientos jurídicos, literalmente, señalan: </w:t>
      </w:r>
    </w:p>
    <w:p w:rsidR="0025129F" w:rsidRDefault="0025129F" w:rsidP="0025129F">
      <w:pPr>
        <w:pStyle w:val="TextoNormal"/>
      </w:pPr>
      <w:r>
        <w:t xml:space="preserve">“El beneficio de la suspensión de la ejecución de la pena privativa de libertad precisa, para su concesión, la concurrencia de los requisitos prevenidos en los artículos 80 y siguientes del Código Penal, y en el supuesto de autos y a la vista de los antecedentes del penado, ha de denegarse la concesión de tal beneficio” </w:t>
      </w:r>
    </w:p>
    <w:p w:rsidR="0025129F" w:rsidRDefault="0025129F" w:rsidP="0025129F">
      <w:pPr>
        <w:pStyle w:val="TextoNormal"/>
      </w:pPr>
      <w:r>
        <w:t xml:space="preserve">c) La Asociación Pre.S.O.S. de Galicia, en defensa de los derechos constitucionales del hoy recurrente en amparo, interpuso recurso de súplica contra el citado Auto de 12 de marzo de 1998, señalando que la denegación de lo solicitado carecía de la fundamentación exigible, añadiendo que la enfermedad padecida determinaba que, en otra causa penal, el Juzgado de lo Penal núm. 1 de Santiago estuviere realizando los trámites oportunos a fin de otorgar la suspensión de la ejecución de la pena por padecimiento de enfermedad grave incurable, y acompañando un informe emitido por la Médico-Forense de los Juzgados de Primera Instancia e Instrucción núms. 2 y 5 de Santiago, de 11 de marzo de 1998, en el que se hacía constar que el paciente es un caso franco de SIDA, con inmunodepresión severa, lo que obliga a la administración rigurosa de la medicación, debiendo evitar situaciones o ambientes que agraven todavía más su ya penosa inmunosupresión y alteren su régimen de tratamiento médico, concluyendo que, desde una perspectiva médico-legal, parece absolutamente desaconsejable su ingreso y permanencia en prisión. </w:t>
      </w:r>
    </w:p>
    <w:p w:rsidR="0025129F" w:rsidRDefault="0025129F" w:rsidP="0025129F">
      <w:pPr>
        <w:pStyle w:val="TextoNormal"/>
      </w:pPr>
      <w:r>
        <w:t xml:space="preserve">El Ministerio Fiscal emitió informe el día 30 de octubre de 1998, del siguiente tenor literal: </w:t>
      </w:r>
    </w:p>
    <w:p w:rsidR="0025129F" w:rsidRDefault="0025129F" w:rsidP="0025129F">
      <w:pPr>
        <w:pStyle w:val="TextoNormal"/>
      </w:pPr>
      <w:r>
        <w:t xml:space="preserve">“El Fiscal se opone a la concesión del beneficio de la suspensión de la condena. </w:t>
      </w:r>
    </w:p>
    <w:p w:rsidR="0025129F" w:rsidRDefault="0025129F" w:rsidP="0025129F">
      <w:pPr>
        <w:pStyle w:val="TextoNormal"/>
      </w:pPr>
      <w:r>
        <w:lastRenderedPageBreak/>
        <w:t xml:space="preserve">Pese al informe del Médico Forense excesivamente general en cuanto a que no determina el estadio o categoría clínica de la enfermedad SIDA padecida por el condenado, consta en el presente rollo informe del Complejo Hospitalario Universitario de Santiago de Compostela donde se clasifica su enfermedad como A-3, estado que debe entenderse, según el Plan Nacional sobre SIDA del Ministerio de Sanidad y Consumo, que se dan alguna o algunas de las condiciones siguientes: </w:t>
      </w:r>
    </w:p>
    <w:p w:rsidR="0025129F" w:rsidRDefault="0025129F" w:rsidP="0025129F">
      <w:pPr>
        <w:pStyle w:val="TextoNormal"/>
      </w:pPr>
      <w:r>
        <w:t xml:space="preserve">- Infección por VIH asintomática - - Linfadenopatía generalizada persistente - - Infección aguda por VIH (primaria) con enfermedad acompañante o historia de infección aguda por VIH. - Por tanto no se está en una situación extrema que pueda aconsejar la aplicación del nº 4 del artículo 80 CP y menos cuando del informe mencionado se deduce que el tratamiento seguido por el condenado sufre retrasos al faltar a citas el 12-VIII-97 y el 22-X- 97, y entendemos que en prisión existen los medios adecuados para tratar suficientemente su enfermedad” </w:t>
      </w:r>
    </w:p>
    <w:p w:rsidR="0025129F" w:rsidRDefault="0025129F" w:rsidP="0025129F">
      <w:pPr>
        <w:pStyle w:val="TextoNormal"/>
      </w:pPr>
      <w:r>
        <w:t xml:space="preserve">El día 4 de noviembre de 1998, la Sección Primera de la Audiencia Provincial de A Coruña dictó providencia, con el siguiente contenido literal: </w:t>
      </w:r>
    </w:p>
    <w:p w:rsidR="0025129F" w:rsidRDefault="0025129F" w:rsidP="0025129F">
      <w:pPr>
        <w:pStyle w:val="TextoNormal"/>
      </w:pPr>
      <w:r>
        <w:t xml:space="preserve">“Visto el dictamen del Ministerio Fiscal, no ha lugar a la solicitud formulada por la Asociación Pre.S.O.S. de suspensión de ejecución de la pena privativa de libertad impuesta al penado VAAMONDE VAZQUEZ. Requiérase a éste para que, en el plazo de diez días, se constituya en prisión, como viene acordado por auto de fecha 12 de marzo de 1998” </w:t>
      </w:r>
    </w:p>
    <w:p w:rsidR="0025129F" w:rsidRDefault="0025129F" w:rsidP="0025129F">
      <w:pPr>
        <w:pStyle w:val="TextoNormal"/>
      </w:pPr>
      <w:r>
        <w:t xml:space="preserve">Dicha providencia fue notificada a la representación procesal del hoy recurrente en amparo el día 19 de noviembre de 1998 y al Ministerio Fiscal el día 9 de noviembre de 1998. </w:t>
      </w:r>
    </w:p>
    <w:p w:rsidR="0025129F" w:rsidRDefault="0025129F" w:rsidP="0025129F">
      <w:pPr>
        <w:pStyle w:val="TextoNormal"/>
      </w:pPr>
      <w:r>
        <w:t xml:space="preserve">d) El día 5 de noviembre de 1998, el Secretario de la Sección Primera de la Audiencia Provincial de A Coruña dirige diligencia al Ilmo. Sr. Magistrado-Juez del Juzgado de Instrucción Decano de Santiago en la que señala: </w:t>
      </w:r>
    </w:p>
    <w:p w:rsidR="0025129F" w:rsidRDefault="0025129F" w:rsidP="0025129F">
      <w:pPr>
        <w:pStyle w:val="TextoNormal"/>
      </w:pPr>
      <w:r>
        <w:t>“En cumplimiento de lo acordado por la Sala en la causa referenciada, seguida contra ÓSCAR VAAMONDE VAZQUEZ por delito de ROBO y CON FUERZA EN LAS COSAS, cúmpleme dirigir a V.I. la presente a fin de que se haga saber al penado arriba mencionado ... que no ha lugar a la solicitud de suspensión de ejecución formulada por la Asociación Pre. S.O.S.; requiérase al mismo para que, en el plazo de diez días, se constituya en prisión, para el cumplimiento de la pena impuesta, bajo apercibimiento de que le parará el perjuicio a que haya lugar en derecho”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 de amparo se dirige frente al Auto de 12 de marzo de 1998 y la que denomina Resolución de 5 de noviembre de 1998 (que se considera como desestimación tácita del recurso de súplica interpuesto frente al anterior Auto), a los que hemos hecho referencia en las letras b) y d) del antecedente 2, sin hacer la más mínima alusión a la providencia de 4 de noviembre de 1998, que hemos citado en la letra c) de tal antecedente 2. Sobre esta base, se entiende que las citadas resoluciones judiciales han vulnerado, por una parte, el derecho fundamental del recurrente a la tutela judicial efectiva sin que en ningún caso pueda producirse indefensión, reconocido en el artículo 24.1 CE y, por otra parte, sus derechos fundamentales a la vida y a la integridad física y moral, sin que, en ningún caso, pueda ser sometido a torturas ni a penas o tratos inhumanos o degradantes, consagrados en el artículo 15 CE. </w:t>
      </w:r>
    </w:p>
    <w:p w:rsidR="0025129F" w:rsidRDefault="0025129F" w:rsidP="0025129F">
      <w:pPr>
        <w:pStyle w:val="TextoNormal"/>
      </w:pPr>
      <w:r>
        <w:t xml:space="preserve">Respecto del derecho fundamental a la tutela judicial efectiva sin indefensión, se considera que las resoluciones citadas de la Audiencia Provincial de A Coruña carecen de toda motivación, no existiendo modo alguno de averiguar qué razones condujeron al órgano judicial a denegar el beneficio de la suspensión de la ejecución de la pena privativa de </w:t>
      </w:r>
      <w:r>
        <w:lastRenderedPageBreak/>
        <w:t xml:space="preserve">libertad, a fin de que, en función de las mismas, pudiera procederse a un control de dichas resoluciones a efectos de determinar su condición de arbitrarias o no arbitrarias. En particular, se señala que la alusión del Auto de 12 de marzo de 1998 a los antecedentes penales del recurrente carece de valor a efectos de motivación de tal resolución, en cuanto que lo que se solicitaba era la suspensión de cualquier pena impuesta sin sujeción a requisito alguno, tal y como establece el artículo 80.4 del Código Penal cuando el penado esté aquejado de una enfermedad muy grave con padecimientos incurables. La Audiencia Provincial, se añade, se limitó a ofrecer una motivación tan genérica que puede ser aplicada a cualquier caso, y sin razonamiento justificado concreto alguno en torno al supuesto de autos que permita afirmar que el órgano judicial ha considerado elementos concretos y determinados del recurrente. </w:t>
      </w:r>
    </w:p>
    <w:p w:rsidR="0025129F" w:rsidRDefault="0025129F" w:rsidP="0025129F">
      <w:pPr>
        <w:pStyle w:val="TextoNormal"/>
      </w:pPr>
      <w:r>
        <w:t xml:space="preserve">En cuanto a la supuesta vulneración de los derechos fundamentales a la vida y a la integridad física y moral, con interdicción de torturas y penas o tratos inhumanos o degradantes, en la demanda de amparo se busca apoyo en las declaraciones contenidas en la STC 48/1996, realizando una interpretación de las mismas que lleva a la conclusión de que en el presente supuesto se han lesionado tales derechos fundamentales del recurrente. En este sentido, se afirma que éste es VIH positivo, padeciendo la patología denominada SIDA, siendo un enfermo con una inmunodeficiencia severa que, además, se encuentra aquejado de una hepatopatía, inflamación constante del hígado con elevación de las transaminasas, siendo positivo al virus de la hepatitis C. Se añade que los centros penitenciarios se encuentran con una grave problemática respecto del tratamiento de las enfermedades infecto-contagiosas, encontrándose activa la tuberculosis en gran cantidad de internos, así como en miembros del equipo técnico y funcionarios, debiendo tenerse en cuenta que tal enfermedad, u otra como la toxoplasmosis, desencadenarían en el hoy recurrente en amparo una muerte segura. Asimismo, se afirma que ingresar a una persona enferma de SIDA, en fase terminal, rodearla de un ambiente hostil como es la prisión, significa condenarla al sufrimiento en el poco tiempo que le quede de vida. Se expone también que el mero hecho de estar en prisión imposibilita al interno el acceso a tratamientos dignos y apropiados, tanto de orden profiláctico, como de observación y diagnóstico, paliativos o alimenticios. </w:t>
      </w:r>
    </w:p>
    <w:p w:rsidR="0025129F" w:rsidRDefault="0025129F" w:rsidP="0025129F">
      <w:pPr>
        <w:pStyle w:val="TextoNormal"/>
      </w:pPr>
      <w:r>
        <w:t xml:space="preserve">Por todo ello, se solicita de este Tribunal que dicte Sentencia estimando el amparo interpuesto, declarando nulas de pleno derecho las resoluciones judiciales impugnadas, esto es, el Auto de 12 de marzo de 1998 y la denominada Resolución de 5 de noviembre de 1998, que desestimaba tácitamente el recurso de súplica interpuesto frente al anterior, acordando asimismo la retroacción del procedimiento al momento en que se cometieron las infracciones indicadas, mandando reponer las actuaciones en primera instancia a fin de que prosigan hasta su debida conclusión conforme a Derecho. </w:t>
      </w:r>
    </w:p>
    <w:p w:rsidR="0025129F" w:rsidRDefault="0025129F" w:rsidP="0025129F">
      <w:pPr>
        <w:pStyle w:val="TextoNormal"/>
      </w:pPr>
      <w:r>
        <w:t>Mediante otrosí digo se solicitó, al amparo de lo previsto en el artículo 56 LOTC, que se acordara la suspensión de la ejecución de las resoluciones judiciales impugnadas.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providencia de la Sección Segunda de este Tribunal Constitucional de 5 de julio de 1999 se acordó requerir atentamente a la Sección Primera de la Audiencia Provincial de A Coruña, de conformidad con lo prevenido en el artículo 88 LOTC, para que en el plazo de diez días remitiera testimonio del rollo 535/97, en el que se dictó Auto de fecha 12 de marzo de 1998. </w:t>
      </w:r>
    </w:p>
    <w:p w:rsidR="0025129F" w:rsidRDefault="0025129F" w:rsidP="0025129F">
      <w:pPr>
        <w:pStyle w:val="TextoNormal"/>
      </w:pPr>
      <w:r>
        <w:t xml:space="preserve">Recibido el testimonio de las actuaciones solicitado, la Sección Segunda de este Tribunal, por providencia de 2 de octubre de 2000, acordó, a tenor de lo dispuesto en el artículo 50.3 LOTC, conceder un plazo común de diez días al Ministerio Fiscal y al solicitante del amparo, para que dentro de dicho término alegaren lo que estimaren pertinente en relación </w:t>
      </w:r>
      <w:r>
        <w:lastRenderedPageBreak/>
        <w:t xml:space="preserve">con la posible existencia del motivo de inadmisión del recurso de amparo consistente en carecer la demanda manifiestamente de contenido que justifique una decisión sobre el fondo de la misma por parte de este Tribunal Constitucional, de conformidad con lo prevenido en el artículo 50.1 c) LOTC. Mediante escrito que tuvo entrada en el Registro General de este Tribunal el día 18 de octubre de 2000, el Ministerio Fiscal formuló sus alegaciones, considerando que la demanda de amparo poseía contenido constitucional exclusivamente en lo que afecta al derecho a la tutela judicial efectiva, interesando la admisión a trámite del recurso planteado. Mediante escrito presentado en el Juzgado de guardia de Madrid el día 21 de octubre de 2000, con entrada en el Registro General de este Tribunal el día 23 siguiente, el recurrente en amparo formuló sus alegaciones, reiterando esencialmente lo expuesto en su demanda sobre la vulneración de sus derechos fundamentales a la tutela judicial efectiva sin indefensión y a la vida y a la integridad física y moral, con interdicción de torturas y penas o tratos inhumanos o degradantes. </w:t>
      </w:r>
    </w:p>
    <w:p w:rsidR="0025129F" w:rsidRDefault="0025129F" w:rsidP="0025129F">
      <w:pPr>
        <w:pStyle w:val="TextoNormal"/>
      </w:pPr>
      <w:r>
        <w:t xml:space="preserve">Por providencia de 30 de octubre de 2000, la Sección Segunda de este Tribunal acordó la admisión a trámite de la demanda de amparo, ordenando, a tenor de lo dispuesto en el artículo 51 LOTC, que se requiriera atentamente a la Sección Primera de la Audiencia Provincial de A Coruña para que en el plazo de diez días emplazare a quienes fueron parte en el procedimiento judicial, con excepción del recurrente en amparo, a fin de que en el plazo de diez días pudieran comparecer en este proceso constitucional, con traslado a dichos efectos de copia de la demanda presentada. </w:t>
      </w:r>
    </w:p>
    <w:p w:rsidR="0025129F" w:rsidRDefault="0025129F" w:rsidP="0025129F">
      <w:pPr>
        <w:pStyle w:val="TextoNormal"/>
      </w:pPr>
      <w:r>
        <w:t>En esta última providencia se ordenó también que se formara la correspondiente pieza de suspensión. Tras la oportuna tramitación, la Sala Primera del Tribunal Constitucional, por Auto de 11 de diciembre de 2000, acordó suspender la ejecución de las resoluciones judiciales impugnadas en la demanda de amparo, así como del fallo de la Sentencia condenatoria de 5 de diciembre de 1997, exclusivamente en lo que se refería al cumplimiento de la pena de nueve meses de prisión.</w:t>
      </w:r>
    </w:p>
    <w:p w:rsidR="0025129F" w:rsidRDefault="0025129F" w:rsidP="0025129F">
      <w:pPr>
        <w:pStyle w:val="TextoNormal"/>
      </w:pPr>
    </w:p>
    <w:p w:rsidR="0025129F" w:rsidRDefault="0025129F" w:rsidP="0025129F">
      <w:pPr>
        <w:pStyle w:val="TextoNormal"/>
      </w:pPr>
      <w:r w:rsidRPr="0025129F">
        <w:rPr>
          <w:rStyle w:val="NumeroAFNegritaCaracter"/>
        </w:rPr>
        <w:t>5</w:t>
      </w:r>
      <w:r>
        <w:t>. Mediante diligencia de ordenación del Secretario de Justicia de la Sala Primera de este Tribunal de 8 de enero de 2001, se acordó, a tenor de lo dispuesto en el artículo 52 LOTC, dar vista de todas las actuaciones del presente recurso de amparo, por un plazo común de veinte días, al Ministerio Fiscal y al recurrente, para que dentro de dicho término pudieran presentar las alegaciones que a su derecho convinieren.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Mediante escrito que tuvo entrada en el Registro General de este Tribunal el día 23 de enero de 2001, el Ministerio Fiscal formuló sus alegaciones. Comienza por exponer los hechos esenciales del presente supuesto, si bien refiere que el Auto de 12 de marzo de 1998 fue recurrido en súplica, recurso que fue implícitamente desestimado al no resolverse el mismo, si bien se dictó la que denomina Resolución de 5 de noviembre de 1998, por la que se le hizo saber al penado que no había lugar a la suspensión de la ejecución de la pena (de lo que, a juicio del Ministerio Fiscal, implícitamente parece deducirse que el órgano judicial estimó que contra el citado Auto no cabía recurso alguno). No alude, pues, el Ministerio Fiscal a la providencia de la Sección Primera de la Audiencia Provincial de A Coruña de 4 de noviembre de 1998. </w:t>
      </w:r>
    </w:p>
    <w:p w:rsidR="0025129F" w:rsidRDefault="0025129F" w:rsidP="0025129F">
      <w:pPr>
        <w:pStyle w:val="TextoNormal"/>
      </w:pPr>
      <w:r>
        <w:t xml:space="preserve">Sobre estas bases, el Ministerio Fiscal entiende que las resoluciones judiciales consideradas (esto es, el Auto de 12 de marzo de 1998 y la denominada Resolución de 5 de noviembre de 1998) han vulnerado el derecho fundamental a la tutela judicial efectiva del recurrente, por carecer de la motivación constitucionalmente exigible, apoyándose al efecto en la STC 164/1999, considerando, con cita de la STC 2/1999, que tales exigencias de </w:t>
      </w:r>
      <w:r>
        <w:lastRenderedPageBreak/>
        <w:t xml:space="preserve">motivación se refuerzan cuando se ven afectados otros derechos fundamentales, requiriéndose entonces una particular carga argumentativa. A su juicio, del parco razonamiento del Auto de 12 de marzo de 1998 y de la total carencia de tal razonamiento en la Resolución de 5 de noviembre de 1998, no es posible extraer los criterios que los han fundamentado. Así, el Auto de 12 de marzo se limita a mencionar la existencia de antecedentes del penado, pero no se concreta ni cuáles son éstos, ni qué influencia deben tener en la final resolución del objeto sometido al conocimiento del órgano judicial, por lo que no parece que con ello se cumplan las exigencias de motivación del artículo 24.1 CE. De este modo, se ha lesionado al recurrente su derecho fundamental a conocer las razones por las que el Tribunal competente denegó la suspensión de la ejecución de la pena, menoscabando así sus posibilidades de defensa, al privarle de la posibilidad de ponderar si el órgano judicial hizo un adecuado uso de sus facultades discrecionales o si, por el contrario, pronunció una decisión carente de verdadera apoyatura jurídica. </w:t>
      </w:r>
    </w:p>
    <w:p w:rsidR="0025129F" w:rsidRDefault="0025129F" w:rsidP="0025129F">
      <w:pPr>
        <w:pStyle w:val="TextoNormal"/>
      </w:pPr>
      <w:r>
        <w:t xml:space="preserve">Por el contrario, entiende el Ministerio Fiscal que las alegaciones relativas al artículo 15 CE resultan patentemente inadmisibles, pues con relación a los tratos inhumanos o degradantes entiende, con cita de distintas Sentencias de este Tribunal Constitucional, que sólo pueden merecer tan graves calificativos los tratos que acarreen sufrimientos de una especial intensidad o provoquen una humillación o sensación de envilecimiento distinto y superior al que suele llevar aparejada la simple imposición de la condena, y desde luego no pueden considerarse como tales las particulares condiciones que rodean la vida penitenciaria, aún cuando éstas, por su propia naturaleza, no sean obviamente soportadas en libertad. </w:t>
      </w:r>
    </w:p>
    <w:p w:rsidR="0025129F" w:rsidRDefault="0025129F" w:rsidP="0025129F">
      <w:pPr>
        <w:pStyle w:val="TextoNormal"/>
      </w:pPr>
      <w:r>
        <w:t>En consecuencia, el Ministerio Fiscal interesa que se dicte Sentencia por la que se otorgue el amparo, se reconozca al actor su derecho fundamental a la tutela judicial efectiva (artículo 24.1 CE), y se declare la nulidad del Auto de 12 de marzo de 1998 y de la Resolución de 5 de noviembre de 1998, dictados por la Sección Primera de la Audiencia Provincial de A Coruña, para que por el citado órgano judicial se resuelva motivadamente sobre la concesión o denegación de los beneficios de la suspensión de condena.</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escrito con entrada en el Registro General de este Tribunal el día 2 de febrero de 2001, el recurrente en amparo formuló sus alegaciones, reiterando, en lo esencial, las contenidas en su demanda de amparo, y solicitando de este Tribunal Constitucional que reconozca que se han lesionado los derechos fundamentales del recurrente a la tutela judicial efectiva, a la vida y a la integridad física y moral, sin que en ningún caso pueda ser sometido a torturas ni a penas o tratos inhumanos o degradantes, restableciéndole en sus derechos y, a tal fin, anule el Auto de 12 de marzo de 1998 y retrotraiga las actuaciones a fin de que se dicte una nueva resolución adecuada a las exigencias de los derechos constitucionales reconocidos, resolviendo motivadamente sobre la solicitud del recurrente.</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10 de enero de 2002 se señaló para votación y fallo de la presente Sentencia el día 14 del mismo mes y año, fecha en que ha tenido lugar.</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Es preciso, ante todo, destacar las peculiares circunstancias que concurren en el presente recurso de amparo. Como resulta de los antecedentes, el demandante, don Óscar Vaamonde Vázquez, solicitó de la Sección Primera de la Audiencia Provincial de A Coru</w:t>
      </w:r>
      <w:r>
        <w:lastRenderedPageBreak/>
        <w:t>ña la suspensión de la ejecución de la pena privativa de libertad de nueve meses de prisión que le había sido impuesta, amparándose en lo previsto en el artículo 80.4 del Código Penal, en cuanto que consideraba que sufría una enfermedad muy grave con padecimientos incurables.  Dicha solicitud fue denegada por el citado órgano judicial mediante Auto de 12 de marzo de 1998.  Interpuesto recurso de súplica frente al mismo, emitió el Ministerio Fiscal informe al respecto, oponiéndose al otorgamiento de la considerada suspensión. El órgano judicial dio respuesta al recurso de súplica mediante providencia de 4 de noviembre de 1998, cuyo contenido se recoge en el antecedente 2 c), providencia que fue notificada a la representación procesal del hoy recurrente en amparo, así como al Ministerio Fiscal. Sin embargo, ni éste ni aquél, en los distintos escritos que han presentado en el presente proceso constitucional, hacen la más mínima referencia a dicha providencia de 4 de noviembre, ni al reseñado informe del Ministerio Fiscal, que es citado en la misma. Por el contrario, ambos se centran en la que denominan Resolución de 5 de noviembre de 1998, suscrita por el Secretario del órgano judicial considerado y dirigida al Ilmo. Sr. Magistrado-Juez del Juzgado de Instrucción Decano de Santiago de Compostela, por la que simplemente se procede a dar cumplimiento a lo previamente acordado en la providencia de 4 de noviembre. Tal denominada Resolución es considerada por el recurrente en amparo como la desestimación tácita de su recurso de súplica, y por el Ministerio Fiscal como indicativa de que el órgano judicial estimó que contra el Auto de 12 de marzo de 1998 no cabía recurso alguno, de modo que el recurso de súplica había sido implícitamente desestimado.</w:t>
      </w:r>
    </w:p>
    <w:p w:rsidR="0025129F" w:rsidRDefault="0025129F" w:rsidP="0025129F">
      <w:pPr>
        <w:pStyle w:val="TextoNormal"/>
      </w:pPr>
      <w:r>
        <w:t>La citada omisión del demandante y del Ministerio Fiscal determina que sus alegaciones se realicen sin consideración a una circunstancia esencial para el presente recurso de amparo. En efecto, denunciándose en la demanda de amparo que la Sección Primera de la Audiencia Provincial de A Coruña había denegado la suspensión de ejecución de la pena privativa de libertad de manera inmotivada, vulnerando así el derecho fundamental a la tutela judicial efectiva del recurrente, reconocido en el artículo 24.1 CE (lesión constitucional que el Ministerio Fiscal considera también existente), es claro que los intervinientes en el presente proceso constitucional no han analizado si la providencia de 4 de noviembre de 1998 ofrecía esa motivación constitucionalmente exigible. No obstante, este Tribunal Constitucional puede decidir, a la vista de la documentación de que dispone, sobre tal cuestión, en cuanto que, en definitiva, el recurrente ha sometido a nuestra consideración, con la correspondiente argumentación jurídica, que la denegación de la suspensión de la ejecución de la pena se produjo de forma inmotivada. Sin embargo, lo que no puede este Tribunal es pronunciarse sobre otros aspectos, fácticos o jurídicos, del supuesto que nos ocupa, en cuanto el recurrente no los haya cuestionado. Y es que, como hemos señalado reiteradamente (por todas, SSTC 281/2000, de 27 de noviembre, FJ 5, o 21/2001, de 29 de enero, FJ 3),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w:t>
      </w:r>
    </w:p>
    <w:p w:rsidR="0025129F" w:rsidRDefault="0025129F" w:rsidP="0025129F">
      <w:pPr>
        <w:pStyle w:val="TextoNormal"/>
      </w:pPr>
      <w:r>
        <w:t>En consecuencia, debe señalarse que el objeto real del presente recurso de amparo es determinar si el Auto de 12 de marzo de 1998 de la Sección Primera de la Audiencia Provincial de A Coruña, que denegó la suspensión de la ejecución de la pena privativa de libertad, solicitada al amparo del artículo 80.4 del Código Penal, y la providencia del mismo órgano judicial de 4 de noviembre de 1998, que se pronunció, también en sentido denegatorio de la suspensión solicitada, respecto del recurso de súplica formulado frente al ante</w:t>
      </w:r>
      <w:r>
        <w:lastRenderedPageBreak/>
        <w:t>rior Auto, han vulnerado, por una parte, el derecho fundamental a la tutela judicial efectiva del recurrente, reconocido en el artículo 24.1 CE, al no ofrecer la motivación de esa denegación que resultaba constitucionalmente exigible y, por otro lado, los derechos fundamentales a la vida y a la integridad física y moral, con interdicción de torturas y de penas o tratos inhumanos o degradantes, consagrados en el artículo 15 CE. Y es evidente que la denominada Resolución del Secretario del órgano judicial de 5 de noviembre de 1998 ninguna relevancia tiene para la solución del presente supuesto, en cuanto que, simplemente, venía a dar cumplimiento a lo previamente acordado por la Audiencia Provincial.</w:t>
      </w:r>
    </w:p>
    <w:p w:rsidR="0025129F" w:rsidRDefault="0025129F" w:rsidP="0025129F">
      <w:pPr>
        <w:pStyle w:val="TextoNormal"/>
      </w:pPr>
    </w:p>
    <w:p w:rsidR="0025129F" w:rsidRDefault="0025129F" w:rsidP="0025129F">
      <w:pPr>
        <w:pStyle w:val="TextoNormal"/>
      </w:pPr>
      <w:r w:rsidRPr="0025129F">
        <w:rPr>
          <w:rStyle w:val="NumeroAFNegritaCaracter"/>
        </w:rPr>
        <w:t>2</w:t>
      </w:r>
      <w:r>
        <w:t>. Sentado lo anterior, hay que precisar que, de acuerdo con lo que exponíamos en la STC 25/2000, de 31 de enero (FJ 1), en un supuesto que guardaba analogía con el presente, el examen de las vulneraciones aducidas ha de iniciarse por la referida al derecho fundamental a la tutela judicial efectiva, no obstante lo cual incluso en el análisis de ésta habrá de tenerse presente la denunciada lesión de los derechos fundamentales a la vida y a la integridad física y moral, puesto que al haber alegado el recurrente como fundamento de la solicitud de la suspensión de la ejecución de la pena el padecer una enfermedad muy grave e incurable, ambas pretensiones aparecen conectadas.</w:t>
      </w:r>
    </w:p>
    <w:p w:rsidR="0025129F" w:rsidRDefault="0025129F" w:rsidP="0025129F">
      <w:pPr>
        <w:pStyle w:val="TextoNormal"/>
      </w:pPr>
      <w:r>
        <w:t>De esta manera, debe comenzarse afirmando que el derecho fundamental a la tutela judicial efectiva exige siempre, desde luego, y sin perjuicio de los específicos requerimientos que imponen cada una de sus distintas facetas o vertientes, que las resoluciones judiciales sean motivadas y fundadas en Derecho, sin incurrir en irrazonabilidad, arbitrariedad o error patente.  En particular, el deber de motivación supone (por todas, STC 214/2000, de 18 de septiembre, FJ 4) que las resoluciones judiciales han de venir apoyadas en razones que permitan conocer cuáles han sido los criterios jurídicos esenciales fundamentadores de la decisión, cuál ha sido su ratio decidendi.  No obstante, como recuerda la STC 116/1998, de 2 de junio (FJ 4), existen diversos supuestos en que es exigible un específico y reforzado deber de motivación de las resoluciones judiciales, entre los que cabe citar, en lo que ahora interesa, aquéllos en que se ven afectados otros derechos fundamentales o libertades públicas o en que se incide de alguna manera sobre la libertad como valor superior del ordenamiento jurídico. Asimismo, este Tribunal ha tenido ocasión de declarar que la técnica de la motivación por remisión no resulta contraria a las exigencias constitucionales, aun cuando las resoluciones judiciales se refieran a derechos fundamentales o libertades públicas e, incluso, en el caso de que adopten medidas restrictivas de los mismos [por todas, STC 127/2000, de 16 de mayo, FJ 3 c)].  También hemos puesto de manifiesto (por todas, STC 214/2000, citada, FJ 4) que la suficiencia de la motivación no puede ser apreciada apriorísticamente, con criterios generales, requiriendo por el contrario examinar el caso concreto para comprobar si, a la vista de las circunstancias concurrentes, se ha cumplido o no este requisito; e incluso en los supuestos en que se precisa una específica motivación, la determinación del concreto alcance del reforzamiento de la misma obligará asimismo a estar a las circunstancias presentes en cada caso. Por fin, debemos recordar que este Tribunal ha admitido la posibilidad de que los defectos de motivación padecidos por una resolución judicial puedan ser subsanados y reparados por la resolución que resuelve la impugnación formulada frente a aquélla (STC 225/1997, de 15 de diciembre, FJ 7, ó ATC 321/1992, de 26 de octubre, FJ 5).</w:t>
      </w:r>
    </w:p>
    <w:p w:rsidR="0025129F" w:rsidRDefault="0025129F" w:rsidP="0025129F">
      <w:pPr>
        <w:pStyle w:val="TextoNormal"/>
      </w:pPr>
      <w:r>
        <w:t xml:space="preserve">Pues bien, en el supuesto que nos ocupa, tal y como señalábamos en la ya citada STC 25/2000 (FJ 3), la vulneración del derecho fundamental a la tutela judicial efectiva, por supuesta falta de motivación de las resoluciones judiciales, ha de ser examinada atendiendo al mencionado canon de constitucionalidad reforzado, dado que el deber de explicitar el </w:t>
      </w:r>
      <w:r>
        <w:lastRenderedPageBreak/>
        <w:t>fundamento de la decisión se conecta tanto con el valor libertad como con los derechos fundamentales a la vida y a la integridad física y moral. Por un lado, en efecto, las resoluciones sobre la suspensión de la ejecución de las penas privativas de libertad, si bien no constituyen decisiones sobre la restricción de la libertad en sentido estricto, sin embargo afectan al valor libertad, en cuanto determinan la forma en que la ejecución de la restricción de la libertad se llevará a cabo. Por otra parte, el recurrente, en su demanda de amparo, sostiene que el cumplimiento de la pena privativa de libertad supondrá la imposibilidad de acceder a tratamientos dignos y apropiados, con la consecuente posible agravación de su enfermedad, inflingiéndole un sufrimiento insostenible, con riesgo, incluso, de contraer enfermedades que le llevarían a una muerte segura. De este modo, es evidente que la decisión judicial se conecta, a juicio del recurrente, con sus derechos fundamentales a la vida y a la integridad física y moral.</w:t>
      </w:r>
    </w:p>
    <w:p w:rsidR="0025129F" w:rsidRDefault="0025129F" w:rsidP="0025129F">
      <w:pPr>
        <w:pStyle w:val="TextoNormal"/>
      </w:pPr>
    </w:p>
    <w:p w:rsidR="0025129F" w:rsidRDefault="0025129F" w:rsidP="0025129F">
      <w:pPr>
        <w:pStyle w:val="TextoNormal"/>
      </w:pPr>
      <w:r w:rsidRPr="0025129F">
        <w:rPr>
          <w:rStyle w:val="NumeroAFNegritaCaracter"/>
        </w:rPr>
        <w:t>3</w:t>
      </w:r>
      <w:r>
        <w:t>. La aplicación de las consideraciones expuestas al supuesto sometido a nuestro examen conduce a estimar, adelantémoslo ya, que no existe vulneración del derecho fundamental a la tutela judicial efectiva del recurrente derivada del incumplimiento del deber de motivación de las resoluciones judiciales.</w:t>
      </w:r>
    </w:p>
    <w:p w:rsidR="0025129F" w:rsidRDefault="0025129F" w:rsidP="0025129F">
      <w:pPr>
        <w:pStyle w:val="TextoNormal"/>
      </w:pPr>
      <w:r>
        <w:t>La solicitud de suspensión de ejecución de la pena formulada por el hoy recurrente en amparo se apoyó en el artículo 80.4 del Código Penal, a cuyo tenor “Los Jueces y Tribunales sentenciadores podrán otorgar la suspensión de cualquier pena impuesta sin sujeción a requisito alguno en el caso de que el penado esté aquejado de una enfermedad muy grave con padecimientos incurables, salvo que en el momento de la comisión del delito tuviera ya otra pena suspendida por el mismo motivo”. Del precepto se desprende con toda claridad que el otorgamiento de la suspensión exige, como primer e inexorable requisito, que el penado esté aquejado de una enfermedad muy grave con padecimientos incurables.  Ciertamente, como resulta de la STC 25/2000 (FJ 4), los órganos judiciales sentenciadores cuentan con un amplio margen valorativo para la apreciación de si el penado está aquejado de una enfermedad que pueda ser calificada como muy grave y de si le ocasiona padecimientos incurables. Pero si el órgano judicial llega, de forma jurídicamente regular, a la conclusión de que tal presupuesto para el otorgamiento de la suspensión no existe, simplemente no podrá otorgar la suspensión. Y debe recordarse que en la STC 25/2000 (FJ 6) pusimos de manifiesto también que este Tribunal Constitucional no puede afirmar ni cuestionar la concurrencia en cada caso de una enfermedad grave que ocasiona padecimientos incurables, ni tampoco imaginar las razones que podrían avalar una u otra hipótesis, al constituir su apreciación tarea atribuida a los Tribunales ordinarios, a los que sólo debemos exigir, como señalábamos, para satisfacer las exigencias del derecho fundamental a la tutela judicial efectiva, que expresen su decisión al respecto de forma motivada y razonable, sin caer en la arbitrariedad o en el error patente.</w:t>
      </w:r>
    </w:p>
    <w:p w:rsidR="0025129F" w:rsidRDefault="0025129F" w:rsidP="0025129F">
      <w:pPr>
        <w:pStyle w:val="TextoNormal"/>
      </w:pPr>
      <w:r>
        <w:t>En el supuesto que nos ocupa, el informe del Ministerio Fiscal de 30 de octubre de 1998, emitido con motivo de la interposición del recurso de súplica contra el Auto de 12 de marzo de 1998, y cuyo contenido recogemos en el antecedente 2 c), expone de manera ampliamente motivada y con sólidos razonamientos, fundados en los informes obrantes en las actuaciones, tomando en cuenta la clasificación otorgada a la enfermedad del penado, que éste no se encuentra en la situación descrita en el artículo 80.4 del Código Penal, esto es, que no se encuentra aquejado de una enfermedad muy grave con padecimientos incurables. Y como señalábamos más arriba, el recurrente ni siquiera ha intentado desvirtuar directamente la corrección de tales afirmaciones.  Supuesto, por tanto, que el contenido del citado informe del Ministerio Fiscal serviría para fundamentar, en términos constitucio</w:t>
      </w:r>
      <w:r>
        <w:lastRenderedPageBreak/>
        <w:t>nalmente correctos, una decisión judicial denegatoria del beneficio previsto en el artículo 80.4 del Código Penal, incluso en este caso de exigencia de una motivación específica y reforzada, la cuestión se centra en determinar si la providencia de 4 de noviembre de 1998 que, en respuesta al recurso de súplica, deniega también la suspensión, incorpora una motivación por remisión, constitucionalmente correcta, según vimos, al dictamen del Ministerio Fiscal. Para ello, bueno será recordar el tenor literal de la considerada providencia:</w:t>
      </w:r>
    </w:p>
    <w:p w:rsidR="0025129F" w:rsidRDefault="0025129F" w:rsidP="0025129F">
      <w:pPr>
        <w:pStyle w:val="TextoNormal"/>
      </w:pPr>
      <w:r>
        <w:t>“Visto el dictamen del Ministerio Fiscal, no ha lugar a la solicitud formulada por la asociación Pre.S.O.S. de suspensión de ejecución de la pena privativa de libertad impuesta al penado VAAMONDE VAZQUEZ. Requiérase a éste para que, en el plazo de diez días, se constituya en prisión, como viene acordado por auto de fecha 12 de marzo de 1998”</w:t>
      </w:r>
    </w:p>
    <w:p w:rsidR="0025129F" w:rsidRDefault="0025129F" w:rsidP="0025129F">
      <w:pPr>
        <w:pStyle w:val="TextoNormal"/>
      </w:pPr>
      <w:r>
        <w:t>Pues bien, parece claro para este Tribunal que cuando la Audiencia Provincial de A Coruña utiliza la expresión “visto el dictamen del Ministerio Fiscal”, para inmediatamente resolver sobre la solicitud formulada en el recurso de súplica, sin ninguna otra consideración, está apoyándose en el contenido del citado dictamen, haciendo suyos en su integridad los razonamientos del mismo, que quedan así incorporados, por remisión, al contenido de la resolución judicial, que viene de esta manera a satisfacer las exigencias de motivación del derecho fundamental a la tutela judicial efectiva del recurrente.  En este sentido, cabe añadir que no nos encontramos ante un supuesto semejante a los que fueron objeto de las SSTC 55/1999, de 12 de abril, FJ 4, y 164/1999, de 27 de septiembre, FJ 3 (en los que, por lo demás, venía también implícitamente a admitirse la corrección constitucional de la motivación por remisión al informe del Ministerio Fiscal), en cuanto que en aquéllos, como expresamente señalan las citadas Sentencias, las resoluciones judiciales denegatorias del beneficio contenían solamente una mera alusión al informe emitido por el Ministerio Fiscal, y sin que la misma pudiera tener el alcance de incorporación fundamentadora que en el presente caso concurre, pues en el decidido por la STC 55/1999, el dictamen del Ministerio público no aparecía en las actuaciones remitidas, y en el resuelto por la STC 164/1999, el informe evacuado se limitaba a señalar la oposición a la concesión del beneficio sin razonamiento alguno justificativo de tal criterio, por lo que en estos casos, a diferencia del que ahora enjuiciamos, el órgano judicial no pudo tener en cuenta, a la hora de fundamentar su decisión, los criterios previamente emitidos por el Ministerio público ni, por tanto, incorporarlos a la resolución judicial para apoyar en ellos la denegación del beneficio solicitado.</w:t>
      </w:r>
    </w:p>
    <w:p w:rsidR="0025129F" w:rsidRDefault="0025129F" w:rsidP="0025129F">
      <w:pPr>
        <w:pStyle w:val="TextoNormal"/>
      </w:pPr>
      <w:r>
        <w:t>De este modo, la resolución judicial de 4 de noviembre de 1998 respeta las exigencias del derecho fundamental a la tutela judicial efectiva reconocido en el artículo 24.1 CE, en cuanto que, expuestas adecuadamente las razones que llevan a considerar que no concurre el imprescindible presupuesto habilitante de la suspensión de la ejecución de la pena, cual es que el recurrente se encuentre aquejado de una enfermedad muy grave con padecimientos incurables, necesariamente se ha de proceder, por imperativo del artículo 80.4 del Código Penal, a denegar tal suspensión. Y debemos recordar, conforme a la doctrina que exponíamos más arriba, que tal corrección constitucional, en los aspectos considerados, de dicha resolución judicial viene a reparar y subsanar los defectos en que, al respecto, hubiera podido incurrir el Auto de 12 de marzo de 1998.</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Descartada la lesión del derecho fundamental a la tutela judicial efectiva, hemos de pronunciarnos sobre si el Auto de 12 de marzo de 1998 y la providencia de 4 de noviembre de 1998 han vulnerado, según aduce la demanda de amparo, los derechos fundamentales a la vida y a la integridad física y moral del recurrente, con interdicción de torturas y penas o tratos inhumanos o degradantes, reconocidos en el artículo 15 CE. No obstante, el </w:t>
      </w:r>
      <w:r>
        <w:lastRenderedPageBreak/>
        <w:t>análisis de esta cuestión exige que expresemos una serie de consideraciones previas, máxime habida cuenta de que, al resolver sobre la supuesta lesión del derecho fundamental a la tutela judicial efectiva, hemos debido tener ya en cuenta que las decisiones judiciales afectaban a los citados derechos fundamentales consagrados en el artículo 15 CE.</w:t>
      </w:r>
    </w:p>
    <w:p w:rsidR="0025129F" w:rsidRDefault="0025129F" w:rsidP="0025129F">
      <w:pPr>
        <w:pStyle w:val="TextoNormal"/>
      </w:pPr>
      <w:r>
        <w:t>En este sentido, debe tenerse presente que cuando un órgano judicial, al enfrentarse con un caso concreto sometido a su consideración, para cuya solución ha de proceder a la interpretación y aplicación de un precepto, adopta una decisión que puede afectar a derechos fundamentales o libertades públicas de una persona, no puede limitarse, para asegurar su corrección constitucional, a resolver la cuestión de manera motivada y razonable.  Dicho en otros términos, una decisión motivada y fundada en Derecho, que no incurra en irrazonabilidad, arbitrariedad y error patente satisfará, en su caso, las exigencias del derecho fundamental a la tutela judicial efectiva, pero puede lesionar los derechos fundamentales y libertades públicas que se encuentran relacionados con tal decisión o afectados por la misma. Así, en el caso que estamos examinando, no cabría descartar que, aun apreciada la corrección constitucional de las decisiones judiciales desde la perspectiva del artículo 24.1 CE, sin embargo las mismas lesionaran los derechos fundamentales a la vida o a la integridad física y moral del demandante de amparo.</w:t>
      </w:r>
    </w:p>
    <w:p w:rsidR="0025129F" w:rsidRDefault="0025129F" w:rsidP="0025129F">
      <w:pPr>
        <w:pStyle w:val="TextoNormal"/>
      </w:pPr>
      <w:r>
        <w:t>El esencial problema, en supuestos como el que nos ocupa, radica en que, aun cuando, en efecto, la decisión judicial puede afectar a un derecho fundamental, dicha decisión ha de ser consecuencia de la interpretación de un precepto, de cuya constitucionalidad nadie duda, y de su aplicación concreta en función de las circunstancias concurrentes. Y a la hora de determinar si la solución adoptada es correcta constitucionalmente, deben tenerse en cuenta dos elementos o aspectos esenciales.  En primer lugar, que, como reiteradamente hemos dicho (por todas, STC 239/2000, de 16 de octubre, FJ 5), compete en exclusiva a los órganos judiciales la interpretación y aplicación de las normas jurídicas a los casos controvertidos (artículo 117.3 CE).  En segundo lugar, que cuando dicha interpretación y aplicación del precepto pueda afectar a un derecho fundamental, será preciso aplicar el criterio, también reiteradamente sostenido por este Tribunal (por todas, STC 219/2001, de 30 de octubre, FJ 10), de que las mismas han de guiarse por el que hemos denominado principio de interpretación de la legalidad en el sentido más favorable a la efectividad de los derechos fundamentales, lo que no es sino consecuencia de la especial relevancia y posición que en nuestro sistema tienen los derechos fundamentales y libertades públicas (por todas, STC 133/2001, de 13 de junio, FJ 5). En definitiva, en estos supuestos el órgano judicial ha de escoger, entre las diversas soluciones que entiende posibles, una vez realizada la interpretación del precepto conforme a los criterios existentes al respecto, y examinadas las específicas circunstancias concurrentes en el caso concreto, aquella solución que contribuya a otorgar la máxima eficacia posible al derecho fundamental afectado.</w:t>
      </w:r>
    </w:p>
    <w:p w:rsidR="0025129F" w:rsidRDefault="0025129F" w:rsidP="0025129F">
      <w:pPr>
        <w:pStyle w:val="TextoNormal"/>
      </w:pPr>
      <w:r>
        <w:t xml:space="preserve">A este Tribunal Constitucional, por tanto, en supuestos como el que nos ocupa, en que se ven afectados derechos fundamentales y libertades públicas, tan sólo le corresponde (además, por supuesto, de comprobar que la interpretación del precepto asumida por el órgano judicial es conforme con la Constitución, por respetar las exigencias del derecho fundamental considerado, habiendo aquél realizado correctamente, en su caso, la ponderación de los derechos o bienes en posible conflicto) verificar, por un lado, que el órgano judicial ha identificado adecuadamente el contenido del derecho o libertad y que, al adoptar la resolución pertinente, ha tenido presente esa exigencia de entender en ese caso concreto y aplicar el precepto de la manera que mejor permita la efectividad del derecho fundamental de acuerdo con ese contenido previamente definido. Este es el sentido de la STC 160/1997, de 2 de octubre (FJ 4), cuando puso de manifiesto que la Constitución, y muy </w:t>
      </w:r>
      <w:r>
        <w:lastRenderedPageBreak/>
        <w:t>particularmente los derechos fundamentales, inspiran y alientan todo nuestro ordenamiento, hasta sus últimas o más modestas manifestaciones, pero sin que ello pueda implicar el que este Tribunal esté llamado a imponer su criterio, determinando, hasta el último extremo, la medida en que todas y cada una de las interpretaciones de la legalidad deben quedar influidas por los contenidos constitucionales, ya que, en caso contrario, el ámbito de las “garantías constitucionales” (artículo 123.1 CE), que marca el límite de nuestra jurisdicción, se extendería a la interpretación de todo el ordenamiento, porque una cosa es la garantía de los derechos fundamentales y otra, necesariamente muy distinta, la de la máxima irradiación de los contenidos constitucionales en todos y cada uno de los supuestos de interpretación de la legalidad: esto último puede no ocurrir sin que ello implique siempre la vulneración de un derecho fundamental.</w:t>
      </w:r>
    </w:p>
    <w:p w:rsidR="0025129F" w:rsidRDefault="0025129F" w:rsidP="0025129F">
      <w:pPr>
        <w:pStyle w:val="TextoNormal"/>
      </w:pPr>
      <w:r>
        <w:t>Pues bien, en el supuesto que nos ocupa, la Audiencia Provincial de A Coruña, en su resolución de 4 de noviembre de 1998, ha satisfecho las exigencias expuestas, de manera que no ha lesionado los derechos fundamentales a la vida y a la integridad física y moral del recurrente, con interdicción de las torturas y de las penas o tratos inhumanos o degradantes. En efecto, ante todo, habiéndose solicitado la suspensión de ejecución de la pena por vía del artículo 80.4 del Código Penal, que exige estar aquejado de una enfermedad muy grave que ocasione padecimientos incurables, el órgano judicial llega a la conclusión, de manera razonable, según vimos, de que, considerando las circunstancias concurrentes en el caso, no es posible entender que nos encontremos ante el presupuesto legalmente previsto para otorgar la suspensión, sin que se planteen dudas sobre que la interpretación del precepto acogida por el órgano judicial en relación con tal presupuesto de la suspensión resulte conforme con la Constitución.</w:t>
      </w:r>
    </w:p>
    <w:p w:rsidR="0025129F" w:rsidRDefault="0025129F" w:rsidP="0025129F">
      <w:pPr>
        <w:pStyle w:val="TextoNormal"/>
      </w:pPr>
      <w:r>
        <w:t xml:space="preserve">Por otra parte, debe recordarse que este Tribunal ha declarado (STC 120/1990, de 27 de junio, FJ 7) que el derecho fundamental a la vida, en cuanto derecho subjetivo, da a sus titulares la posibilidad de recabar el amparo judicial o, en su caso, de este Tribunal, frente a toda actuación de los poderes públicos que amenace su propia vida, siempre, naturalmente, debemos añadir ahora, que tal amenaza revista una determinada intensidad. De manera análoga, hemos señalado (STC 35/1996, de 11 de marzo, FJ 3) que el derecho a la salud o, mejor aún, el derecho a que no se dañe o perjudique la salud personal, queda comprendido en el derecho a la integridad personal del artículo 15 CE, si bien no todo supuesto de riesgo o daño para la salud implica una vulneración del derecho fundamental a la integridad física y moral, sino tan sólo aquél que genere un peligro grave y cierto para la misma (STC 119/2001, de 14 de mayo, FJ 6).  Asimismo, hemos afirmado (por todas, STC 91/2000, de 30 de marzo, FJ 9) que la calificación como inhumana o degradante de una pena depende de su forma de ejecución y de las modalidades que ésta reviste, de manera que por su propia naturaleza la pena no acarree sufrimientos de una especial intensidad (penas inhumanas), o provoquen una humillación o sensación de envilecimiento que alcance un nivel determinado, distinto y superior al que suele llevar aparejada la simple imposición de la condena, criterios que también hemos aplicado (por todas, STC 120/1990, FJ 9) para la calificación de los tratos como inhumanos o degradantes, añadiendo que aunque una concreta medida no pueda considerarse constitutiva de trato inhumano o degradante en razón del objetivo que persigue, ello no impide que pueda considerarse como tal en razón de los medios utilizados [también, STC 57/1994, de 28 de febrero, FJ 4 a)]. En particular, no cabe descartar que el especial sufrimiento físico o moral que para una persona pueda tener la adopción de una medida por los poderes públicos, como puede ser el ingreso o el mantenimiento en prisión, teniendo en cuenta todas las circunstancias concurrentes, tanto respecto de ella misma como de su entorno, determine que aquella </w:t>
      </w:r>
      <w:r>
        <w:lastRenderedPageBreak/>
        <w:t>medida pueda constituir una pena o un trato inhumano o degradante, o suponer una lesión del derecho fundamental a la integridad física y moral.</w:t>
      </w:r>
    </w:p>
    <w:p w:rsidR="0025129F" w:rsidRDefault="0025129F" w:rsidP="0025129F">
      <w:pPr>
        <w:pStyle w:val="TextoNormal"/>
      </w:pPr>
      <w:r>
        <w:t>Pues bien, sobre estas bases, el órgano judicial, por remisión al contenido del dictamen del Ministerio Fiscal, no sólo entiende que la enfermedad del penado no reviste caracteres que permitan considerar que el ingreso en prisión vaya a suponer una pena o un trato inhumano o degradante o un riesgo significativo para su vida o integridad, atendiendo a las circunstancias presentes en el centro penitenciario, sino que, además, afirma que en éste existen los medios adecuados para tratar suficientemente su enfermedad, lo que no es discutido directamente por el recurrente en su demanda de amparo, de manera que se expone judicialmente una concreta fundamentación, plenamente razonable, en torno a la inexistencia de riesgo grave y cierto para la vida e integridad, tanto física como moral, del recurrente, identificando adecuadamente el contenido de los correspondientes derechos fundamentales.</w:t>
      </w:r>
    </w:p>
    <w:p w:rsidR="0025129F" w:rsidRDefault="0025129F" w:rsidP="0025129F">
      <w:pPr>
        <w:pStyle w:val="TextoNormal"/>
      </w:pPr>
      <w:r>
        <w:t>Por otra parte, el órgano judicial considera, y tampoco es discutido por el recurrente, que ni siquiera intenta justificar tal circunstancia, que el tratamiento seguido por el condenado sufre retrasos como consecuencia de que éste ha faltado a dos citas para la realización de los pertinentes análisis.</w:t>
      </w:r>
    </w:p>
    <w:p w:rsidR="0025129F" w:rsidRDefault="0025129F" w:rsidP="0025129F">
      <w:pPr>
        <w:pStyle w:val="TextoNormal"/>
      </w:pPr>
      <w:r>
        <w:t>En definitiva, todas las consideraciones expuestas determinan que la decisión del órgano judicial, a la vista de las circunstancias concurrentes, no lesione los derechos fundamentales a la vida y a la integridad física y moral del recurrente, sin que haya permitido tampoco su sometimiento a penas o tratos inhumanos o degradantes.</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don Óscar Vaamonde Vázquez.</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 w:name="SENTENCIA_2002_6"/>
      <w:r>
        <w:lastRenderedPageBreak/>
        <w:t>SENTENCIA 6/2002, de 14 de enero de 2002</w:t>
      </w:r>
    </w:p>
    <w:bookmarkEnd w:id="9"/>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ECLI:ES:TC:2002:6</w:t>
      </w:r>
    </w:p>
    <w:p w:rsidR="0025129F" w:rsidRDefault="0025129F" w:rsidP="0025129F">
      <w:pPr>
        <w:pStyle w:val="SntesisDescriptiva"/>
      </w:pPr>
    </w:p>
    <w:p w:rsidR="0025129F" w:rsidRDefault="0025129F" w:rsidP="0025129F">
      <w:pPr>
        <w:pStyle w:val="SntesisDescriptiva"/>
      </w:pPr>
      <w:r>
        <w:t>Recurso de amparo 2974/99. Promovido por don Juan Lladós Granja frente a la Sentencia de la Audiencia Provincial de Lleida que disminuyó la cantidad a percibir como indemnización por un accidente de tráfico</w:t>
      </w:r>
    </w:p>
    <w:p w:rsidR="0025129F" w:rsidRDefault="0025129F" w:rsidP="0025129F">
      <w:pPr>
        <w:pStyle w:val="SntesisDescriptiva"/>
      </w:pPr>
    </w:p>
    <w:p w:rsidR="0025129F" w:rsidRDefault="0025129F" w:rsidP="0025129F">
      <w:pPr>
        <w:pStyle w:val="SntesisAnaltica"/>
      </w:pPr>
      <w:r>
        <w:t>Vulneración parcial del derecho a la tutela judicial efectiva (motivación de Sentencia): Sentencia de apelación que da razón de la exclusión de la indemnización por incapacidad, pero no de la disminución de la puntuación baremada de las secuelas.</w:t>
      </w:r>
    </w:p>
    <w:p w:rsidR="0025129F" w:rsidRDefault="0025129F" w:rsidP="0025129F">
      <w:pPr>
        <w:pStyle w:val="SntesisAnaltica"/>
      </w:pPr>
    </w:p>
    <w:p w:rsidR="0025129F" w:rsidRDefault="0025129F" w:rsidP="0025129F">
      <w:pPr>
        <w:pStyle w:val="Extracto"/>
      </w:pPr>
      <w:r>
        <w:t>1.</w:t>
      </w:r>
      <w:r>
        <w:tab/>
        <w:t>Debemos descartar que la Sentencia impugnada adolezca de falta de motivación en el particular referido a la exclusión de indemnización por incapacidad permanente parcial [FJ 4].</w:t>
      </w:r>
    </w:p>
    <w:p w:rsidR="0025129F" w:rsidRDefault="0025129F" w:rsidP="0025129F">
      <w:pPr>
        <w:pStyle w:val="Extracto"/>
      </w:pPr>
    </w:p>
    <w:p w:rsidR="0025129F" w:rsidRDefault="0025129F" w:rsidP="0025129F">
      <w:pPr>
        <w:pStyle w:val="Extracto"/>
      </w:pPr>
      <w:r>
        <w:t>2.</w:t>
      </w:r>
      <w:r>
        <w:tab/>
        <w:t>La Sentencia recaída en apelación, en el extremo referente a la nueva puntuación baremada por las secuelas, parte de una afirmación meramente apodíctica, que no satisface las exigencias constitucionales de motivación pues se limita a disminuir la puntuación de las secuelas declaradas en el fallo de instancia a treinta y tres puntos (más otros tres por perjuicio estético), sin más argumento para esta decisión que el de considerar excesiva la puntuación propuesta por el actor y aceptada por el Juzgador a quo [FJ 5].</w:t>
      </w:r>
    </w:p>
    <w:p w:rsidR="0025129F" w:rsidRDefault="0025129F" w:rsidP="0025129F">
      <w:pPr>
        <w:pStyle w:val="Extracto"/>
      </w:pPr>
    </w:p>
    <w:p w:rsidR="0025129F" w:rsidRDefault="0025129F" w:rsidP="0025129F">
      <w:pPr>
        <w:pStyle w:val="Extracto"/>
      </w:pPr>
      <w:r>
        <w:t>3.</w:t>
      </w:r>
      <w:r>
        <w:tab/>
        <w:t>La obligación de motivar las Sentencias forma parte del derecho fundamental a la tutela judicial efectiva (SSTC 13/1987, 139/2000) [FJ 3].</w:t>
      </w:r>
    </w:p>
    <w:p w:rsidR="0025129F" w:rsidRDefault="0025129F" w:rsidP="0025129F">
      <w:pPr>
        <w:pStyle w:val="Extracto"/>
      </w:pPr>
    </w:p>
    <w:p w:rsidR="0025129F" w:rsidRDefault="0025129F" w:rsidP="0025129F">
      <w:pPr>
        <w:pStyle w:val="Extracto"/>
      </w:pPr>
      <w:r>
        <w:t>4.</w:t>
      </w:r>
      <w:r>
        <w:tab/>
        <w:t>El recurso de apelación confiere plenas facultades al órgano judicial ad quem para resolver cuantas cuestiones se le planteen, sean de hecho o de Derecho (SSTC 194/1990, 152/1998)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2974/99, promovido por don Juan Lladós Granja, representado por el Procurador de los Tribunales don Francisco Velasco Muñoz-Cuellar y asistido por el Abogado don Juan José González Martínez, contra la Sentencia dictada en apelación por la Audiencia Provincial de Lleida el 19 de junio de 1999, rollo núm. 120/99, que revocó parcialmente la dictada con fecha 30 de marzo de 1999 por el Juzgado de Instrucción núm. 2 de Lleida en el juicio de faltas núm. 210/98, seguido por lesiones en accidente de circulación, por la que se condenó a don Francisco Javier Más Paris en concepto de autor de una falta de lesiones imprudentes y se declaró la responsabilidad civil directa de la sociedad Mutua Lleidatana, Societat d’Assegurances i Reassegurances a Prima Fixa, condenándola al pago de la cantidad fijada en dicha Sentencia en concepto de indemnización de daños y perjuicios a don Juan Lladós Granja. Han intervenido el Ministerio Fiscal y la mercantil Mutua Lleidatana, Societat d’Assegurances i Reassegurances a Prima Fixa, representada por el Procurador de los Tribunales don Antonio Sorribes Calle y asistida por el Abogado don Óscar Salomón. Ha sido Ponente el Magistrado don Fernando Garrido Falla,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7 de julio de 1999, don Juan Lladós Granja, representado por el Procurador de los Tribunales don Francisco Velasco Muñoz-Cuellar y defendido por el Abogado don Juan José González Martínez, interpuso recurso de amparo contra la Sentencia dictada en apelación por la Sección Primera de la Audiencia Provincial de Lleida el 19 de junio de 1999, rollo núm. 120/99, citada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relevantes para la resolución de este recurso, son los que se expresan a continuación: </w:t>
      </w:r>
    </w:p>
    <w:p w:rsidR="0025129F" w:rsidRDefault="0025129F" w:rsidP="0025129F">
      <w:pPr>
        <w:pStyle w:val="TextoNormal"/>
      </w:pPr>
      <w:r>
        <w:t xml:space="preserve">a) El día 17 de julio de 1998 un turismo auto-taxi conducido por don Francisco Javier Más Paris, propiedad de don Francisco Más Carné y asegurado en la compañía Mutua Lleidatana, Societat d’Assegurances i Reassegurances a Prima Fixa (en adelante Mutua Lleidatana), invadió el carril de sentido contrario y colisionó con el vehículo conducido por el demandante de amparo, que sufrió diversas lesiones a consecuencia de la colisión. </w:t>
      </w:r>
    </w:p>
    <w:p w:rsidR="0025129F" w:rsidRDefault="0025129F" w:rsidP="0025129F">
      <w:pPr>
        <w:pStyle w:val="TextoNormal"/>
      </w:pPr>
      <w:r>
        <w:t xml:space="preserve">b) La denuncia formulada por tales hechos por el demandante de amparo dio lugar a la incoación en el Juzgado de Instrucción núm. 2 de Lleida del juicio de faltas núm. 210/98, en el que recayó Sentencia el 30 de marzo de 1999, por la que se condenó al conductor del auto-taxi don Francisco Javier Más Paris como responsable en concepto de autor de una falta de lesiones imprudentes a la pena de multa de treinta días a razón de 1.000 pesetas diarias, así como a indemnizar a don Juan Lladós Granja en la cantidad de 20.172.381 pesetas (que es la cantidad solicitada por éste), declarando la responsabilidad civil directa de la sociedad Mutua Lleidatana en el pago de dicha cantidad, más el interés legal incrementado en el 50 por 100 desde la fecha del accidente o desde el día del abono de la indemnización. Se condena igualmente a Mutua Lleidatana al pago de las costas causadas. </w:t>
      </w:r>
    </w:p>
    <w:p w:rsidR="0025129F" w:rsidRDefault="0025129F" w:rsidP="0025129F">
      <w:pPr>
        <w:pStyle w:val="TextoNormal"/>
      </w:pPr>
      <w:r>
        <w:t xml:space="preserve">c) Contra esta Sentencia interpusieron recurso de apelación don Francisco Javier Más Paris y la sociedad Mutua Lleidatana, limitándose el recurso a discutir la cuestión de la responsabilidad civil, por entender los apelantes que la valoración correcta de las lesiones </w:t>
      </w:r>
      <w:r>
        <w:lastRenderedPageBreak/>
        <w:t xml:space="preserve">ocasionadas y de las secuelas derivadas de las mismas debe conducir a fijar la indemnización en la cantidad de 1.699.497 pesetas, alegando, en contra de lo razonado en la Sentencia, que no han existido lesiones en los miembros superiores debidas al accidente y que no ha quedado acreditado que las secuelas de las lesiones sufridas por el perjudicado le incapaciten parcialmente para el desempeño de su actividad laboral. Por su parte, el demandante de amparo impugnó el recurso de apelación alegando que la valoración de lesiones y secuelas realizada por el Juzgado había sido correcta, por lo que la indemnización fijada debía mantenerse. </w:t>
      </w:r>
    </w:p>
    <w:p w:rsidR="0025129F" w:rsidRDefault="0025129F" w:rsidP="0025129F">
      <w:pPr>
        <w:pStyle w:val="TextoNormal"/>
      </w:pPr>
      <w:r>
        <w:t>d) La Sección Primera de la Audiencia Provincial de Lleida dictó Sentencia el 19 de junio de 1999, estimando en parte el recurso de apelación contra la Sentencia del Juzgado de Instrucción núm. 2 de Lleida, que revocó en el sentido de fijar en 7.639.220 pesetas la cantidad a la que tiene derecho el perjudicado en concepto de indemnización, sin perjuicio de deducción de las cantidades ya percibidas por aquél, confirmando el resto de pronunciamientos de instancia. La Audiencia acepta que las lesiones y secuelas a valorar son las determinadas por el Juzgado, conforme a los dictámenes del Médico forense, pero rechaza la puntuación de las secuelas efectuada por el perjudicado (que fijaba la valoración de las secuelas en sesenta y tres puntos, más tres de perjuicio estético) y aceptada por el Juzgado, al considerarla excesiva por entender que se ha establecido en valores máximos, lo que lleva a la Audiencia a fijar la indemnización conforme a su propia puntuación de secuelas (que fija en treinta y tres puntos, aumentados por otros tres de perjuicio estético), rechazando además la indemnización por incapacidad permanente parcial, al considerar que la misma no puede entenderse acreditada y que en todo caso la supuesta disminución de rendimiento laboral no alcanzaría trascendencia suficiente a efectos de generar indemnización, dado que el perjudicado se halla muy próximo al fin de su edad laboral.</w:t>
      </w:r>
    </w:p>
    <w:p w:rsidR="0025129F" w:rsidRDefault="0025129F" w:rsidP="0025129F">
      <w:pPr>
        <w:pStyle w:val="TextoNormal"/>
      </w:pPr>
    </w:p>
    <w:p w:rsidR="0025129F" w:rsidRDefault="0025129F" w:rsidP="0025129F">
      <w:pPr>
        <w:pStyle w:val="TextoNormal"/>
      </w:pPr>
      <w:r w:rsidRPr="0025129F">
        <w:rPr>
          <w:rStyle w:val="NumeroAFNegritaCaracter"/>
        </w:rPr>
        <w:t>3</w:t>
      </w:r>
      <w:r>
        <w:t>. El demandante de amparo considera, en síntesis, que la Sentencia dictada en apelación ha lesionado su derecho a la tutela judicial efectiva (art. 24.1 CE), en relación con la exigencia de motivación establecida por el art. 120.3 CE, al tratarse de una resolución judicial arbitraria, irrazonable e inmotivada, pues la Audiencia Provincial de Lleida omite cualquier razonamiento sobre el modo de calcular la indemnización por secuelas, apartándose de los criterios de la Sentencia de instancia sin ofrecer justificación alguna para ello y contraviniendo incluso la puntuación resultante de aplicar el baremo incorporado como anexo de la Ley sobre responsabilidad civil y seguro en la circulación de los vehículos a motor por la Disposición adicional octava de la Ley 30/1995, de 8 de noviembre, de ordenación y supervisión de seguros privados, pues, aun aplicando la puntuación mínima a las secuelas que se declaran probadas, resultarían cincuenta y cuatro puntos, a los que hay que añadir otros tres por perjuicio estético, lo que arroja un total de cincuenta y siete puntos (frente a los treinta y seis puntos totales establecidos por la Sentencia impugnada). Asimismo carece de motivación la revocación de la indemnización por incapacidad permanente parcial, a juicio del recurrente. En fin, la Audiencia se habría excedido en su función revisora, al rebajar la indemnización fijada en la instancia conforme a la valoración de las secuelas efectuada por la parte perjudicada que la Mutua Lleidatana no discutió. Por todo ello, solicita que se anule la Sentencia recurrida y se retrotraigan las actuaciones para que la Audiencia Provincial de Lleida dicte una nueva Sentencia motivada y razonable.</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23 de febrero de 2000, la Sección Segunda de este Tribunal acordó, a tenor de lo dispuesto en el art. 50.3 LOTC, conceder un plazo común de diez días al Ministerio Fiscal y al solicitante de amparo para que dentro de dicho término ale</w:t>
      </w:r>
      <w:r>
        <w:lastRenderedPageBreak/>
        <w:t>gasen lo estimaran pertinente en relación con la posible existencia del motivo de inadmisión consistente en carecer manifiestamente la demanda de amparo de contenido que justifique una decisión sobre su fondo por parte del Tribunal Constitucional, de conformidad con el art. 50.1.c LOTC.</w:t>
      </w:r>
    </w:p>
    <w:p w:rsidR="0025129F" w:rsidRDefault="0025129F" w:rsidP="0025129F">
      <w:pPr>
        <w:pStyle w:val="TextoNormal"/>
      </w:pPr>
    </w:p>
    <w:p w:rsidR="0025129F" w:rsidRDefault="0025129F" w:rsidP="0025129F">
      <w:pPr>
        <w:pStyle w:val="TextoNormal"/>
      </w:pPr>
      <w:r w:rsidRPr="0025129F">
        <w:rPr>
          <w:rStyle w:val="NumeroAFNegritaCaracter"/>
        </w:rPr>
        <w:t>5</w:t>
      </w:r>
      <w:r>
        <w:t>. Recibidas y examinadas las alegaciones del recurrente y del Ministerio Fiscal, la Sección Segunda, mediante providencia de 5 de mayo de 2000, acordó admitir a trámite la demanda de amparo y, a tenor de lo dispuesto en el art. 51 LOTC, requerir al Juzgado de Instrucción núm. 2 de Lleida y a la Sección Primera de la Audiencia Provincial de la misma ciudad para que en el plazo de diez días remitiesen testimonio íntegro de las actuaciones respectivas (juicio de faltas núm. 210/98 y rollo de apelación núm. 120/99), interesándose asimismo el emplazamiento de quienes fueron parte para que, en el plazo de diez días pudiesen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20 de junio de 2000, la Sección Primera acordó tener por recibidos los testimonios solicitados y por personado y parte, en nombre y representación de Mutua Lleidatana, al Procurador de los Tribunales don Antonio Sorribes Calle; asimismo acordó, conforme a lo dispuesto en el art. 52 LOTC, dar vista de las actuaciones por un plazo común de veinte días al Ministerio Fiscal y a las partes personadas, para que dentro de dicho plazo presentasen las alegaciones que a su derecho conviniesen.</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escrito registrado en este Tribunal el 27 de junio de 2000, el recurrente en amparo formuló sus alegaciones, dando por reproducidas las expresadas en el escrito de demanda y reiterando que la Sentencia impugnada ha vulnerado su derecho a la tutela judicial efectiva por carecer de la motivación y explicitación exigible de los argumentos que conducen al fallo.</w:t>
      </w:r>
    </w:p>
    <w:p w:rsidR="0025129F" w:rsidRDefault="0025129F" w:rsidP="0025129F">
      <w:pPr>
        <w:pStyle w:val="TextoNormal"/>
      </w:pPr>
    </w:p>
    <w:p w:rsidR="0025129F" w:rsidRDefault="0025129F" w:rsidP="0025129F">
      <w:pPr>
        <w:pStyle w:val="TextoNormal"/>
      </w:pPr>
      <w:r w:rsidRPr="0025129F">
        <w:rPr>
          <w:rStyle w:val="NumeroAFNegritaCaracter"/>
        </w:rPr>
        <w:t>8</w:t>
      </w:r>
      <w:r>
        <w:t>. El Procurador de los Tribunales don Antonio Sorribes Calle, en nombre y representación de Mutua Lleidatana, presentó su escrito de alegaciones ante este Tribunal con fecha 3 de julio de 2000, solicitando la desestimación del recurso de amparo. Alega la Mutua Lleidatana que la Sentencia impugnada en amparo no ha conculcado el derecho del recurrente a la tutela judicial efectiva, pues se trata de una resolución judicial perfectamente motivada, congruente y razonada, sin que el art. 24.1 CE consagre un pretendido derecho al acierto judicial. Más aún, es la Sentencia de instancia, parcialmente revocada por la recurrida, la que adolece de un grave defecto de motivación, puesto que en la misma se accede a la cantidad solicitada como indemnización por el perjudicado, sin que en la fundamentación jurídica se establezca qué puntuación con arreglo al baremo legal se otorga a las secuelas de las lesiones que se entienden producidas por el accidente. Es precisamente esta deficiencia de motivación en la Sentencia de instancia la que viene a ser subsanada por la Sentencia de la Audiencia Provincial, de conformidad con las facultades revisoras que competen a ésta como Tribunal de apelación, mediante una nueva valoración de las secuelas, llegando a la conclusión de que han de establecerse en treinta y tres puntos (más tres por perjuicio estético), conforme al baremo legal. Por tanto, lo que realmente pretende el recurrente en amparo es que el Tribunal Constitucional actúe como si de una nueva instancia se tratase, baremando de nuevo las lesiones y secuelas a efectos de fijar la indemnización correspondiente, pretensión por completo ajena a la naturaleza y funciones de este Tribunal.</w:t>
      </w:r>
    </w:p>
    <w:p w:rsidR="0025129F" w:rsidRDefault="0025129F" w:rsidP="0025129F">
      <w:pPr>
        <w:pStyle w:val="TextoNormal"/>
      </w:pPr>
    </w:p>
    <w:p w:rsidR="0025129F" w:rsidRDefault="0025129F" w:rsidP="0025129F">
      <w:pPr>
        <w:pStyle w:val="TextoNormal"/>
      </w:pPr>
      <w:r w:rsidRPr="0025129F">
        <w:rPr>
          <w:rStyle w:val="NumeroAFNegritaCaracter"/>
        </w:rPr>
        <w:t>9</w:t>
      </w:r>
      <w:r>
        <w:t>. El Ministerio Fiscal presentó su escrito de alegaciones el 18 de julio de 2000, interesando el otorgamiento del amparo. Entiende el Ministerio Fiscal que debe rechazarse el argumento de que la Audiencia se haya excedido en sus funciones revisoras, por cuanto la pretensión deducida en apelación ha sido justamente la minoración de la indemnización establecida en la instancia, al discrepar la Mutua Lleidatana de la valoración de las secuelas y de la puntuación otorgada por la Sentencia de instancia. Del mismo modo, ha de rechazarse la alegada insuficiencia de motivación en relación con la revocación de la indemnización por incapacidad permanente parcial, pues en este extremo la Sentencia recurrida en amparo ofrece una fundamentación que satisface sobradamente las exigencias de motivación y razonabilidad en la respuesta judicial. No puede decirse lo mismo, sin embargo, de la valoración de las secuelas en treinta y tres puntos, valoración que no resulta apoyada en ningún razonamiento previo, por lo que no es sino expresión de un mero voluntarismo jurídico, siendo por otra parte inexplicable cómo se puede llegar a esa puntuación aplicando el baremo legal a las secuelas establecidas por el Médico forense (aceptadas tanto en la Sentencia de instancia como en la de apelación), ya que tal puntuación no puede resultar en ningún caso inferior a cincuenta y cuatro puntos (a los que hay que sumar tres puntos más por perjuicio estético, como se reconoce en la Sentencia impugnada). La Audiencia Provincial no puede, partiendo de las secuelas establecidas, asignar una puntuación inferior a la resultante de la aplicación del baremo legal y no justificar los motivos de tal decisión. Al hacerlo así, ha vulnerado el derecho a la tutela judicial efectiva del recurrente, por lo que debe otorgarse el amparo, anulando la Sentencia recurrida y retrotrayendo las actuaciones a fin de que la Audiencia Provincial de Lleida dicte otra nueva que sea acorde con el derecho fundamental vulnerado.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10 enero 2002, se acordó señalar para deliberación y votación de la presente Sentencia el día 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Como se expone en los antecedentes, el demandante de amparo considera que la Sentencia dictada en apelación por la Sección Primera de la Audiencia Provincial de Lleida el 19 de junio de 1999, que revocó parcialmente la dictada el 30 de marzo de 1999 por el Juzgado de Instrucción núm. 2 de Lleida en el juicio de faltas núm. 210/98, minorando la indemnización fijada por ésta, ha lesionado su derecho a la tutela judicial efectiva. Para el recurrente, la Audiencia Provincial ha decidido rebajar la indemnización excediéndose de sus facultades revisoras y sin que la Sentencia contenga una argumentación mínima que permita conocer el razonamiento lógico-jurídico que conduce a la puntuación otorgada a las secuelas, que por otra parte contraviene el sistema tasado de baremos introducido por la Ley 30/1995, extendiéndose la insuficiencia de motivación a la negativa a considerar al recurrente en situación de incapacidad permanente parcial.</w:t>
      </w:r>
    </w:p>
    <w:p w:rsidR="0025129F" w:rsidRDefault="0025129F" w:rsidP="0025129F">
      <w:pPr>
        <w:pStyle w:val="TextoNormal"/>
      </w:pPr>
      <w:r>
        <w:t>La representación procesal de Mutua Lleidatana considera que no es la Sentencia recurrida la que incumple el deber de motivación, sino la de instancia, de suerte que la Audiencia Provincial de Lleida ha subsanado ese defecto de motivación y ha dado una respuesta razonable, congruente y motivada a la cuestión planteada, por lo que estamos ante una Sentencia plenamente respetuosa con el derecho a la tutela judicial efectiva, que no consagra en cualquier caso un pretendido derecho al acierto judicial.  Entiende que la Au</w:t>
      </w:r>
      <w:r>
        <w:lastRenderedPageBreak/>
        <w:t>diencia, de acuerdo con sus facultades revisoras en apelación, ha aplicado de manera motivada y razonable los baremos legales a efectos de fijar la indemnización correspondiente, sin que a este Tribunal le competa actuar como si de una nueva instancia se tratase revisando la puntuación establecida en apelación, como pretende el demandante.</w:t>
      </w:r>
    </w:p>
    <w:p w:rsidR="0025129F" w:rsidRDefault="0025129F" w:rsidP="0025129F">
      <w:pPr>
        <w:pStyle w:val="TextoNormal"/>
      </w:pPr>
      <w:r>
        <w:t>Por su parte, el Ministerio Fiscal interesa el otorgamiento del amparo, porque si bien es cierto que la Audiencia no se ha excedido en sus competencias revisoras, ni la Sentencia dictada en apelación puede reputarse de insuficientemente motivada en el extremo relativo a la no consideración del demandante en situación de incapacidad permanente parcial, en cambio no puede considerarse conforme al derecho a la tutela judicial efectiva que la Audiencia, partiendo de las secuelas establecidas, asigne una puntuación inferior a la resultante de la aplicación del baremo legal y no justifique los motivos de tal decisión, que se convierte así en mero voluntarismo judicial.</w:t>
      </w:r>
    </w:p>
    <w:p w:rsidR="0025129F" w:rsidRDefault="0025129F" w:rsidP="0025129F">
      <w:pPr>
        <w:pStyle w:val="TextoNormal"/>
      </w:pPr>
    </w:p>
    <w:p w:rsidR="0025129F" w:rsidRDefault="0025129F" w:rsidP="0025129F">
      <w:pPr>
        <w:pStyle w:val="TextoNormal"/>
      </w:pPr>
      <w:r w:rsidRPr="0025129F">
        <w:rPr>
          <w:rStyle w:val="NumeroAFNegritaCaracter"/>
        </w:rPr>
        <w:t>2</w:t>
      </w:r>
      <w:r>
        <w:t>. Para centrar el análisis del supuesto que nos ocupa, hemos de descartar, en primer lugar, la lesión del derecho a la tutela judicial efectiva fundada en el supuesto exceso en que habría incurrido la Audiencia Provincial al resolver el recurso de apelación interpuesto por Mutua Lleidatana y el Sr. Más Paris contra la Sentencia de instancia. En efecto, en contra de lo que se afirma en el fundamento de derecho 6 de esta Sentencia, no es cierto que la defensa de Mutua Lleidatana y del Sr. Más se conformase con la puntuación de las secuelas presentada por el perjudicado y recurrente en amparo, como lo evidencia la oposición reflejada en el acta del juicio oral y su propia propuesta de baremación en diez puntos, así como el rechazo a la indemnización por incapacidad permanente parcial, todo lo cual resulta coherente con la pretensión deducida en el recurso de apelación. Partiendo de estas premisas, ha de rechazarse la queja del recurrente, debiendo recordarse nuestra reiterada doctrina conforme a la cual “el recurso de apelación confiere plenas facultades al órgano judicial ad quem para resolver cuantas cuestiones se le planteen, sean de hecho o de Derecho, por tratarse de un recurso ordinario que permite un novum iuditium” (SSTC 194/1990, de 29 de noviembre, FJ 5; 323/1993, de 8 de noviembre, FJ 4; 120/1994, de 25 de abril, FJ 2; 157/1995, de 6 de noviembre, FJ 4; 172/1997, de 14 de octubre, FJ 4; y 152/1998, de 13 de julio, FJ 2, entre otras muchas).</w:t>
      </w:r>
    </w:p>
    <w:p w:rsidR="0025129F" w:rsidRDefault="0025129F" w:rsidP="0025129F">
      <w:pPr>
        <w:pStyle w:val="TextoNormal"/>
      </w:pPr>
    </w:p>
    <w:p w:rsidR="0025129F" w:rsidRDefault="0025129F" w:rsidP="0025129F">
      <w:pPr>
        <w:pStyle w:val="TextoNormal"/>
      </w:pPr>
      <w:r w:rsidRPr="0025129F">
        <w:rPr>
          <w:rStyle w:val="NumeroAFNegritaCaracter"/>
        </w:rPr>
        <w:t>3</w:t>
      </w:r>
      <w:r>
        <w:t>. Descartada la queja que antecede, debemos entrar a examinar la alegación fundamental del recurrente, que se fundamenta igualmente en la vulneración de su derecho a la tutela judicial efectiva (art. 24.1 CE). Para el demandante de amparo, la Sentencia de apelación incumple la exigencia constitucional de motivación, contemplada en el art. 120.3 CE, siendo fruto de un mero decisionismo judicial, toda vez que la Audiencia Provincial de Lleida realiza una arbitraria valoración de las secuelas indemnizables, fijándola en treinta y tres puntos, sin expresar el razonamiento por el que se llega a tal puntuación, por otra parte contraria a la que resulta de aplicar el baremo tasado de la Disposición adicional octava de la Ley 30/1995; a ello hay que añadir la injustificada denegación de la indemnización por incapacidad permanente parcial.</w:t>
      </w:r>
    </w:p>
    <w:p w:rsidR="0025129F" w:rsidRDefault="0025129F" w:rsidP="0025129F">
      <w:pPr>
        <w:pStyle w:val="TextoNormal"/>
      </w:pPr>
      <w:r>
        <w:t xml:space="preserve">Centrada así la cuestión planteada, debemos señalar que es cierto, como alega el recurrente, que la obligación de motivar las Sentencias no es sólo una obligación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w:t>
      </w:r>
      <w:r>
        <w:lastRenderedPageBreak/>
        <w:t>puedan conocer cuáles han sido los criterios jurídicos que fundamentan la decisión. Es por lo tanto —y sobre todo— una garantía esencial para el justiciable mediante la cual es posible comprobar que la decisión judicial es consecuencia de la aplicación razonada del ordenamiento jurídico y no el fruto de la arbitrariedad. En conclusión, una Sentencia que no dé respuesta a las cuestiones planteadas en el proceso, o de cuyo contenido no puedan extraerse cuáles son las razones próximas o remotas que justifican aquélla, es una decisión judicial que no sólo viola la Ley, sino que vulnera el derecho a la tutela judicial efectiva (por todas, SSTC 13/1987, de 5 de febrero, FJ 3; 56/1987, de 14 de mayo, FJ 3; 14/1991, de 28 de enero, FJ 2; 122/1991, de 3 de junio, FJ 2; 165/1993, de 18 de mayo, FJ 4; 122/1994, de 25 de abril, FJ 5; 5/1995, de 10 de enero, FJ 3; 115/1996, de 25 de junio, FJ 2, 79/1996, de 20 de mayo, FJ 3; 50/1997, de 18 de marzo, FJ 4 y 139/2000, de 29 de mayo, FJ 4).</w:t>
      </w:r>
    </w:p>
    <w:p w:rsidR="0025129F" w:rsidRDefault="0025129F" w:rsidP="0025129F">
      <w:pPr>
        <w:pStyle w:val="TextoNormal"/>
      </w:pPr>
    </w:p>
    <w:p w:rsidR="0025129F" w:rsidRDefault="0025129F" w:rsidP="0025129F">
      <w:pPr>
        <w:pStyle w:val="TextoNormal"/>
      </w:pPr>
      <w:r w:rsidRPr="0025129F">
        <w:rPr>
          <w:rStyle w:val="NumeroAFNegritaCaracter"/>
        </w:rPr>
        <w:t>4</w:t>
      </w:r>
      <w:r>
        <w:t>. Aplicando esta doctrina al supuesto enjuiciado, debemos descartar ante todo que la Sentencia impugnada adolezca de falta de motivación en el particular referido a la exclusión de indemnización por incapacidad permanente parcial, toda vez que, como señala el Ministerio Fiscal, en este punto la Sentencia ofrece una fundamentación suficiente de las razones por las que considera que el demandante no tiene derecho a indemnización por tal concepto. Estima la Audiencia, en el ejercicio de las facultades revisoras que le confiere el Ordenamiento jurídico, en cuanto Tribunal de apelación, que no considera acreditado por las pruebas practicadas en el juicio que el demandante se halle afecto de tal grado de incapacidad. Y a mayor abundamiento considera que, encontrándose muy próximo al fin de su edad laboral, aun en la hipótesis de haberse demostrado una disminución de rendimiento, la misma no alcanzaría la suficiente trascendencia para dar lugar a indemnización alguna a su favor. En suma, en este punto la Sentencia impugnada ha dado una respuesta motivada, razonable y congruente con la pretensión planteada, que satisface plenamente el contenido esencial del derecho a la tutela judicial efectiva, lo que conduce al rechazo de la queja del recurrente.</w:t>
      </w:r>
    </w:p>
    <w:p w:rsidR="0025129F" w:rsidRDefault="0025129F" w:rsidP="0025129F">
      <w:pPr>
        <w:pStyle w:val="TextoNormal"/>
      </w:pPr>
    </w:p>
    <w:p w:rsidR="0025129F" w:rsidRDefault="0025129F" w:rsidP="0025129F">
      <w:pPr>
        <w:pStyle w:val="TextoNormal"/>
      </w:pPr>
      <w:r w:rsidRPr="0025129F">
        <w:rPr>
          <w:rStyle w:val="NumeroAFNegritaCaracter"/>
        </w:rPr>
        <w:t>5</w:t>
      </w:r>
      <w:r>
        <w:t>. Por el contrario, la queja relativa a la falta de motivación de la Sentencia recaída en apelación en el extremo referente a la nueva puntuación baremada por las secuelas ha de ser acogida, pues la decisión de la Audiencia Provincial, que supone una minoración sustancial respecto de la puntuación otorgada por la Sentencia de instancia a las mismas secuelas, parte de una afirmación meramente apodíctica, que no satisface las exigencias constitucionales de motivación, vulnerando así el derecho a la tutela judicial efectiva sin indefensión (art. 24.1 CE) del demandante de amparo.</w:t>
      </w:r>
    </w:p>
    <w:p w:rsidR="0025129F" w:rsidRDefault="0025129F" w:rsidP="0025129F">
      <w:pPr>
        <w:pStyle w:val="TextoNormal"/>
      </w:pPr>
      <w:r>
        <w:t>En efecto, en la Sentencia impugnada en amparo (que ni siquiera contiene cita alguna de los preceptos legales que sean de aplicación al caso), la Audiencia Provincial acepta la apreciación de las lesiones y secuelas efectuada por el Juzgado de instancia, conforme a lo dictaminado por el Médico forense, pero no así la puntuación baremada de las secuelas determinada por el mismo Juzgado (que resultaba ser de sesenta y tres puntos, más tres por perjuicio estético, por remisión a la propuesta realizada por el perjudicado, obrante en las actuaciones), con la afirmación siguiente: “la valoración a efectos de puntuación por secuelas debemos fijarla, al considerar excesiva la efectuada por la representación del perjudicado por valoraciones máximas, en treinta y tres puntos, a los que hay que añadir otros tres por perjuicio estético…”.</w:t>
      </w:r>
    </w:p>
    <w:p w:rsidR="0025129F" w:rsidRDefault="0025129F" w:rsidP="0025129F">
      <w:pPr>
        <w:pStyle w:val="TextoNormal"/>
      </w:pPr>
      <w:r>
        <w:t xml:space="preserve">De este modo, frente a la Sentencia de instancia que, siquiera por remisión a la baremación efectuada por la parte actora, cumple las exigencias mínimas de motivación exigidas </w:t>
      </w:r>
      <w:r>
        <w:lastRenderedPageBreak/>
        <w:t>por nuestra doctrina (SSTC 184/1988, de 14 de octubre, FJ 2; 146/1990, de 1 de octubre, FJ 2; y 187/2000, de 10 de julio, FJ 2, por todas), la Sentencia impugnada en amparo carece en este punto de un razonamiento fundado en Derecho, pues se limita a disminuir la puntuación de las mismas secuelas a treinta y tres puntos (más otros tres por perjuicio estético), sin más argumento para esta decisión que el de considerar excesiva la puntuación propuesta por el actor y aceptada por el Juzgador a quo, es decir, sin ofrecer un razonamiento que sirva de soporte para tal pronunciamiento: pues no se expresan en esta Sentencia los fundamentos legales en que se apoya la Audiencia Provincial para apartarse de los criterios de puntuación aplicados por la Sentencia de instancia, ni cabe deducir de la escueta argumentación antes transcrita cuáles son las razones próximas o remotas que justifican la decisión de otorgar esa concreta puntuación y no otra, lo que impide comprobar si la decisión judicial cuestionada es consecuencia de la aplicación razonada del Ordenamiento jurídico y no el fruto de la arbitrariedad. En consecuencia, la Sentencia impugnada supone en este punto un claro menoscabo del derecho del demandante de amparo a obtener una resolución judicial motivada y razonable, en el sentido que no resulte arbitraria o manifiestamente infundada (entre otras muchas, SSTC 5/1995, de 10 de enero, FJ 7; 117/1996, de 25 de junio, FJ 4; 160/1996, de 15 de octubre, FJ 4; 112/1998, de 1 de junio, FJ 2; 60/1999, de 12 de abril, FJ 2; 89/2000, 27 de marzo, FJ 2; y 169/2000, de 26 de junio, FJ 2), por lo que resulta procedente el otorgamiento del amparo, anulando la Sentencia impugnada y ordenando la correspondiente retroacción de actuaciones a fin de que la Audiencia Provincial dicte nueva Sentencia que cumpla las exigencias constitucionales de motivación en cuanto a la puntuación baremada, a efectos de declarar la correspondiente indemnización, de las lesiones y secuelas sufridas por el demandante que se consideran acreditadas.</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Juan Lladós Granja y, en su virtud:</w:t>
      </w:r>
    </w:p>
    <w:p w:rsidR="0025129F" w:rsidRDefault="0025129F" w:rsidP="0025129F">
      <w:pPr>
        <w:pStyle w:val="TextoNormal"/>
      </w:pPr>
      <w:r>
        <w:t>1º Reconocer su derecho fundamental a la tutela judicial efectiva sin indefensión (art. 24.1 CE).</w:t>
      </w:r>
    </w:p>
    <w:p w:rsidR="0025129F" w:rsidRDefault="0025129F" w:rsidP="0025129F">
      <w:pPr>
        <w:pStyle w:val="TextoNormal"/>
      </w:pPr>
      <w:r>
        <w:t>2º Declarar la nulidad de la Sentencia dictada por la Audiencia Provincial de Lleida el 19 de junio de 1999, en el recurso de apelación núm. 120/99.</w:t>
      </w:r>
    </w:p>
    <w:p w:rsidR="0025129F" w:rsidRDefault="0025129F" w:rsidP="0025129F">
      <w:pPr>
        <w:pStyle w:val="TextoNormal"/>
      </w:pPr>
      <w:r>
        <w:t>3º Retrotraer las actuaciones al momento anterior a dictar Sentencia, para que la Audiencia Provincial de Lleida dicte nueva Sentencia en la que se respete el derecho fundamental lesionado, en el extremo relativo a la motivación de la puntuación baremada por secuelas.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0" w:name="SENTENCIA_2002_7"/>
      <w:r>
        <w:lastRenderedPageBreak/>
        <w:t>SENTENCIA 7/2002, de 14 de enero de 2002</w:t>
      </w:r>
    </w:p>
    <w:bookmarkEnd w:id="10"/>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ECLI:ES:TC:2002:7</w:t>
      </w:r>
    </w:p>
    <w:p w:rsidR="0025129F" w:rsidRDefault="0025129F" w:rsidP="0025129F">
      <w:pPr>
        <w:pStyle w:val="SntesisDescriptiva"/>
      </w:pPr>
    </w:p>
    <w:p w:rsidR="0025129F" w:rsidRDefault="0025129F" w:rsidP="0025129F">
      <w:pPr>
        <w:pStyle w:val="SntesisDescriptiva"/>
      </w:pPr>
      <w:r>
        <w:t>Recurso de amparo 4338/99. Promovido por don Gerardo Álvarez Reza frente a las resoluciones de la Sala de lo Contencioso-Administrativo del Tribunal Superior de Justicia de Galicia, dictadas en ejecución de una Sentencia sobre provisión de puestos de trabajo en la Xunta de Galicia.</w:t>
      </w:r>
    </w:p>
    <w:p w:rsidR="0025129F" w:rsidRDefault="0025129F" w:rsidP="0025129F">
      <w:pPr>
        <w:pStyle w:val="SntesisDescriptiva"/>
      </w:pPr>
    </w:p>
    <w:p w:rsidR="0025129F" w:rsidRDefault="0025129F" w:rsidP="0025129F">
      <w:pPr>
        <w:pStyle w:val="SntesisAnaltica"/>
      </w:pPr>
      <w:r>
        <w:t>Alegada vulneración del derecho a la tutela judicial efectiva (ejecución de Sentencia), y vulneración del derecho a un proceso sin dilaciones indebidas: actitud pasiva de la Administración al ejecutar una Sentencia que anuló un requisito de una convocatoria de puestos, cubiertos años antes.</w:t>
      </w:r>
    </w:p>
    <w:p w:rsidR="0025129F" w:rsidRDefault="0025129F" w:rsidP="0025129F">
      <w:pPr>
        <w:pStyle w:val="SntesisAnaltica"/>
      </w:pPr>
    </w:p>
    <w:p w:rsidR="0025129F" w:rsidRDefault="0025129F" w:rsidP="0025129F">
      <w:pPr>
        <w:pStyle w:val="Extracto"/>
      </w:pPr>
      <w:r>
        <w:t>1.</w:t>
      </w:r>
      <w:r>
        <w:tab/>
        <w:t>La Sala de lo Contencioso-Administrativo en ningún momento ha dado por concluido el incidente de ejecución de la Sentencia, por lo que la denunciada lesión del derecho a la ejecución de las Sentencias firmes es prematura (ATC 522/1987) [FJ 3].</w:t>
      </w:r>
    </w:p>
    <w:p w:rsidR="0025129F" w:rsidRDefault="0025129F" w:rsidP="0025129F">
      <w:pPr>
        <w:pStyle w:val="Extracto"/>
      </w:pPr>
    </w:p>
    <w:p w:rsidR="0025129F" w:rsidRDefault="0025129F" w:rsidP="0025129F">
      <w:pPr>
        <w:pStyle w:val="Extracto"/>
      </w:pPr>
      <w:r>
        <w:t>2.</w:t>
      </w:r>
      <w:r>
        <w:tab/>
        <w:t>El incidente procesal de ejecución es, ya de por sí, un instrumento procesal extraordinario respecto de la normal ejecución inmediata de las Sentencias contencioso-administrativas [FJ 10].</w:t>
      </w:r>
    </w:p>
    <w:p w:rsidR="0025129F" w:rsidRDefault="0025129F" w:rsidP="0025129F">
      <w:pPr>
        <w:pStyle w:val="Extracto"/>
      </w:pPr>
    </w:p>
    <w:p w:rsidR="0025129F" w:rsidRDefault="0025129F" w:rsidP="0025129F">
      <w:pPr>
        <w:pStyle w:val="Extracto"/>
      </w:pPr>
      <w:r>
        <w:t>3.</w:t>
      </w:r>
      <w:r>
        <w:tab/>
        <w:t>Es también la actitud pasiva de la Administración, y no sólo el comportamiento del recurrente, el factor que viene provocando la repetición de una misma secuencia contradictoria en el incidente de ejecución. Es, además, una secuencia dilatoria tolerada por el órgano judicial, lo que ha lesionado el derecho fundamental a no sufrir dilaciones indebidas en ejecución de Sentencia [ FJ 1].</w:t>
      </w:r>
    </w:p>
    <w:p w:rsidR="0025129F" w:rsidRDefault="0025129F" w:rsidP="0025129F">
      <w:pPr>
        <w:pStyle w:val="Extracto"/>
      </w:pPr>
    </w:p>
    <w:p w:rsidR="0025129F" w:rsidRDefault="0025129F" w:rsidP="0025129F">
      <w:pPr>
        <w:pStyle w:val="Extracto"/>
      </w:pPr>
      <w:r>
        <w:t>4.</w:t>
      </w:r>
      <w:r>
        <w:tab/>
        <w:t>Con frecuencia el derecho a la ejecución de las Sentencias firmes, que garantiza el art. 24.1 CE, aparece íntimamente conectado con el derecho a no sufrir dilaciones indebidas en la fase de ejecución (art. 24.2 CE; SSTC 6/1981, 155/1985, 39/1995) [FJ 3].</w:t>
      </w:r>
    </w:p>
    <w:p w:rsidR="0025129F" w:rsidRDefault="0025129F" w:rsidP="0025129F">
      <w:pPr>
        <w:pStyle w:val="Extracto"/>
      </w:pPr>
    </w:p>
    <w:p w:rsidR="0025129F" w:rsidRDefault="0025129F" w:rsidP="0025129F">
      <w:pPr>
        <w:pStyle w:val="Extracto"/>
      </w:pPr>
      <w:r>
        <w:t>5.</w:t>
      </w:r>
      <w:r>
        <w:tab/>
        <w:t>El derecho fundamental a un proceso sin dilaciones indebidas rige sin excepción en fase de ejecución de Sentencia (SSTC 26/1983, 32/1999) [FJ 7].</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4338/99, promovido por don Gerardo Álvarez Reza, representado por la Procuradora de los Tribunales doña María Luisa Fernández García y defendido por sí mismo en su condición de Letrado, contra las siguientes resoluciones dictadas en el incidente de ejecución de la Sentencia núm. 290/97, de 23 de abril, de la Sala de lo Contencioso-Administrativo del Tribunal Superior de Justicia de Galicia, Sección Primera: providencia de 12 de marzo de 1998; Auto de 6 de abril de 1998; providencia de 14 de septiembre de 1998; providencia de 4 de marzo de 1999; providencia de 26 de mayo de 1999; Auto de 11 de septiembre de 1999; y Auto de 13 de septiembre de 1999. Han intervenido la Letrada de la Xunta de Galicia y el Ministerio Fiscal.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el 22 de octubre de 1999 la Procuradora de los Tribunales doña María Luisa González García, en nombre y representación de don Gerardo Álvarez Reza, formuló demanda de amparo contra las providencias y los Autos reseñados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son, en síntesis, los siguientes: </w:t>
      </w:r>
    </w:p>
    <w:p w:rsidR="0025129F" w:rsidRDefault="0025129F" w:rsidP="0025129F">
      <w:pPr>
        <w:pStyle w:val="TextoNormal"/>
      </w:pPr>
      <w:r>
        <w:t xml:space="preserve">a) En 1993 la Xunta de Galicia convocó un concurso para la provisión de puestos de trabajo vacantes en la función pública gallega (Orden de 7 de junio de 1993). En el Anexo II de aquella convocatoria se ofertaban, para provisión, varios puestos de trabajo a los cuales podían concursar funcionarios de los grupos “A”, “B” y “C”. Como requisito específico para participar en el concurso se requería estar en posesión de un título superior, que propiamente es una condición de acceso sólo exigible a los funcionarios del grupo “A”. La convocatoria de 1993 fue impugnada por varias personas, entre otras por el hoy demandante de amparo, que al tiempo de la convocatoria era funcionario del Cuerpo de Gestión de la Xunta de Galicia (Grupo “B”) sin titulación superior. Pendiente la resolución de los recursos contenciosos, por Orden de 14 de septiembre de 1993 se resolvió definitivamente el concurso, adjudicándose los puestos de trabajo en él relacionados. Posteriormente la Sala de lo Contencioso-Administrativo del Tribunal Superior de Justicia de Galicia anuló, en varias Sentencias dictadas en 1997, la convocatoria en lo referente al requisito de título superior establecido en el Anexo II. El fundamento de esta anulación se encuentra en que, dado que no se exige titulación superior a los funcionarios de los grupos “B” y “C” para el acceso a la función pública, la convocatoria de un concurso con ese requisito actúa de facto como una promoción interna para ciertos funcionarios que, siendo de los grupos “B” y “C”, tienen título superior. Esta forma de promoción interna sería irregular, y, por tanto, </w:t>
      </w:r>
      <w:r>
        <w:lastRenderedPageBreak/>
        <w:t xml:space="preserve">nula. Una de las Sentencias anulatorias mencionadas, la núm. 290/97, de 23 de abril de 1997 (rec. núm. 1/1333/93), tiene por actor al hoy recurrente en amparo. </w:t>
      </w:r>
    </w:p>
    <w:p w:rsidR="0025129F" w:rsidRDefault="0025129F" w:rsidP="0025129F">
      <w:pPr>
        <w:pStyle w:val="TextoNormal"/>
      </w:pPr>
      <w:r>
        <w:t xml:space="preserve">b) Ordenada la ejecución de las distintas Sentencias anulatorias (en lo que hace a la Sentencia dictada en el recurso núm. 1/1333/93, por medio de providencia de 25 de junio de 1997), el Director General Jefe de la Asesoría Jurídica General de la Xunta de Galicia remitió a la Sala de lo Contencioso-Administrativo un informe, registrado de entrada el 11 de febrero de 1998, en el que se explican las dificultades para la ejecución de las Sentencias parcialmente anulatorias de la convocatoria de 1993. Se parte para ello de la premisa de que ha de evitarse, por principio, la revocación de provisiones de puestos de trabajo realizadas al amparo de la convocatoria de 1993 (por lo que los funcionarios de los grupos “A” y “B” y “C” con titulación superior conservarían sus puestos de trabajo), así como las provisiones de puestos de trabajo conforme a posteriores convocatorias (como la 1/1995) y de puestos de personal laboral estable. En este informe se especifica que la Xunta de Galicia sigue tres vías de ejecución: La primera consiste en redefinir (en las relaciones de puestos de trabajo, en lo sucesivo, RPT) los distintos puestos de trabajo, cerrando al grupo “A” aquellos puestos que requieran titulación superior y convocando seguidamente un concurso general para su provisión; la segunda consiste en ofertar directamente a los concursantes recurrentes otras plazas que vayan quedando vacantes; por fin, la tercera vía consiste en convocar nuevas plazas (ya sin el requisito de titulación superior) para los funcionarios de los grupos “B” y “C”: aquí se inscribiría una convocatoria de 9 de diciembre de 1997 para la provisión de puestos de trabajo en la Administración de la Xunta de Galicia. </w:t>
      </w:r>
    </w:p>
    <w:p w:rsidR="0025129F" w:rsidRDefault="0025129F" w:rsidP="0025129F">
      <w:pPr>
        <w:pStyle w:val="TextoNormal"/>
      </w:pPr>
      <w:r>
        <w:t xml:space="preserve">c) Del informe de la Asesoría Jurídica General de la Xunta de Galicia se dio traslado a don Gerardo Álvarez Reza, quien formuló las siguientes alegaciones por medio de escrito registrado el 2 de abril de 1998. En él se afirmaba, en primer lugar, que la redefinición de varios puestos de trabajo por la Xunta de Galicia (cerrando los puestos de trabajo donde se exigía titulación superior a funcionarios del grupo “A”) venía a consolidar los efectos de la convocatoria anulada, ya que precisamente impedía el acceso del recurrente (del grupo “B”) a esos puestos. En consecuencia alegaba el recurrente (con abundante cita de jurisprudencia constitucional) que aquella forma de ejecución vulneraba su derecho a la ejecución de la Sentencia (y, por ello, el derecho fundamental consagrado en el art. 24.1 CE). Como forma adecuada de ejecución de la Sentencia anulatoria proponía el recurrente, en principio, la retroacción de actuaciones a fin de poder optar a uno de los puestos ofertados originariamente (en especial, los de nivel 24 en Ourense), ahora ya sin la exigencia de titulación superior. Con todo aceptaba el recurrente una “solución consensuada”. A la espera de la correcta ejecución de la Sentencia anulatoria solicitaba que no se formalizaran acuerdos parciales con otros recurrentes; que, en virtud del principio de “ampliación de la legitimación”, se le notificaran las medidas y actuaciones que se adoptaran en relación con las convocatorias 1/1993 y 1/1995; que se le tuviera por parte en la ejecución de las demás Sentencias anulatorias de la convocatoria de 1993 (las pronunciadas bajo los núms. 166/1997; 94/1997; 241/1997; 245/1997; 246/1997; 256/1997; y 87/1997); que se le reconociera una indemnización provisional de 2.500.000 pesetas; que se le asignara a su puesto de trabajo actual el nivel 25, sin alterar su carácter de puesto de trabajo singularizado y las demás características que lo definen desde su origen, y que dicho puesto de trabajo no fuera amortizado. </w:t>
      </w:r>
    </w:p>
    <w:p w:rsidR="0025129F" w:rsidRDefault="0025129F" w:rsidP="0025129F">
      <w:pPr>
        <w:pStyle w:val="TextoNormal"/>
      </w:pPr>
      <w:r>
        <w:t>d) Por Auto de 6 de abril de 1998, la Sala de lo Contencioso-Administrativo acordó “tener en vía de ejecución la Sentencia dictada en el presente recurso, debiendo, el aquí recurrente, no obstante, indicar el puesto de trabajo al que aspira y pudiera haberle corres</w:t>
      </w:r>
      <w:r>
        <w:lastRenderedPageBreak/>
        <w:t xml:space="preserve">pondido en el caso de que el Anexo II del concurso hubiera sido conforme a Derecho, desestimando las demás pretensiones que el recurrente formula en su escrito de 31-3-98”. En la motivación de esta resolución se alude a que la Administración está procediendo a la modificación de la RPT, así como a la complejidad de ejecución de una Sentencia que afecta a un concurso general. Expresamente se afirmaba en la motivación del Auto que en la Sentencia anulatoria “no se le reconoció [al recurrente] ninguna situación jurídica individualizada concreta, ni mucho menos la compensación económica que ahora solicita”, a lo que se añadía que: “Nada impide, en cambio, en coherencia con el fallo, que se adjudique al actor uno de los puestos a los que en su día no pudo acceder por la exigencia de la titulación superior anulada, caso de no interesarlo otro con mejor derecho al que también puede afectar la Sentencia dictada”. </w:t>
      </w:r>
    </w:p>
    <w:p w:rsidR="0025129F" w:rsidRDefault="0025129F" w:rsidP="0025129F">
      <w:pPr>
        <w:pStyle w:val="TextoNormal"/>
      </w:pPr>
      <w:r>
        <w:t xml:space="preserve">e) El Auto de 6 de abril de 1998 fue recurrido en súplica por el recurrente. Alegaba éste, en lo que es relevante para este proceso de amparo, que la Administración no estaba ejecutando la Sentencia anulatoria, lo que implicaría una vulneración del art. 24.1 CE. En primer lugar porque la convocatoria de 9 de diciembre de 1997 cerraba los puestos núms. 843 y siguientes a titulados superiores, con lo que se habrían consolidado los efectos de la primera convocatoria anulada. En segundo lugar porque aquella convocatoria infringía diversos preceptos de la legislación de función pública del Estado y de la gallega; así, al parecer, varios puestos de trabajo estaban condicionados a la posesión de un “título específico”, lo que viciaría a la convocatoria de 1997, por incurrir en el mismo defecto que llevó a la anulación de la convocatoria de 1993. Insistía el recurrente, en su extenso recurso de súplica, en que de la Sentencia anulatoria resultaba necesariamente que todos los puestos de trabajo ofertados en la convocatoria de 1993 de forma indistinta para funcionarios de los grupos “A”, “B” y “C” (aunque entonces con el requisito de la titulación superior, luego anulado) debían ofertarse de nuevo en las mismas condiciones, salvo en lo referido a la titulación superior; otra cosa supondría una reformatio in peius respecto de la situación original. Por eso sería contrario al art. 24.1 CE que la convocatoria de 1997 reservase al grupo “A” ciertos puestos de trabajo que originariamente se habían ofertado de forma indistinta para funcionarios de los grupos “A”, “B” y “C”. En conexión con lo anterior el recurrente denunciaba también de forma expresa la vulneración de sus derechos a acceder en condiciones de igualdad a las funciones y cargos públicos (art. 23.2 CE) y a la ejecución de la Sentencia sin dilaciones indebidas (art. 24.2 CE). Afirmaba también que, frente a lo afirmado en el Auto impugnado, el fallo de la Sentencia anulatoria sí le reconocía una especial situación jurídica individualizada: la de optar a los puestos convocados en 1993. En relación con este derecho a concursar alegaba el recurrente que no le correspondía a él proponer a la Administración un concreto puesto de trabajo, sino que había de ser precisamente la Administración quien le aportase la lista completa de los puestos de trabajo convocados en 1993, con expresa indicación de su situación y características actuales; otra cosa sería cargar sobre el recurrente la ejecución de una Sentencia que condenaba a la Administración. Para ejemplificar el perjuicio sufrido por el recurrente en virtud de la convocatoria de 1993, luego parcialmente anulada, se hace referencia al puesto de trabajo núm. 2175, adjudicado en su momento a don Álvaro Aldemira Requejo (funcionario del grupo “B”, pero con titulación superior), quien habría mejorado su situación funcionarial precisamente por concurrir en él un requisito de la convocatoria (la titulación superior) luego declarado ilegal. Terminaba el recurso de súplica con las mismas peticiones contenidas en el primer escrito de alegaciones. </w:t>
      </w:r>
    </w:p>
    <w:p w:rsidR="0025129F" w:rsidRDefault="0025129F" w:rsidP="0025129F">
      <w:pPr>
        <w:pStyle w:val="TextoNormal"/>
      </w:pPr>
      <w:r>
        <w:t xml:space="preserve">f) El Letrado de la Xunta de Galicia alegó, en relación con el anterior recurso de súplica, que la Administración estaba ultimando la ejecución de la Sentencia. Esta ejecución no </w:t>
      </w:r>
      <w:r>
        <w:lastRenderedPageBreak/>
        <w:t xml:space="preserve">podía pasar por la repetición de concurso, habida cuenta de que ya habían transcurrido cuatro años, pero sí por tener en cuenta las concretas situaciones de los recurrentes en el nuevo concurso 1/1997. Además en la adaptación de las relaciones de puestos de trabajo se había suprimido ya el requisito de titulación superior en los casos de plazas abiertas de forma indistinta a funcionarios de los grupos “A”, “B” y “C”. Y el hecho de que ciertas plazas técnicas se hubieran limitado a los funcionarios del grupo “A” tenía que ver, precisamente, con la cualificación necesaria para esos puestos de trabajo. Por último el escrito de alegaciones motivaba la oposición a la indemnización pedida por el recurrente, así como a los demás beneficios funcionariales que solicitaba. </w:t>
      </w:r>
    </w:p>
    <w:p w:rsidR="0025129F" w:rsidRDefault="0025129F" w:rsidP="0025129F">
      <w:pPr>
        <w:pStyle w:val="TextoNormal"/>
      </w:pPr>
      <w:r>
        <w:t xml:space="preserve">g) El 14 de septiembre de 1998 el recurrente y doña Pastora Vázquez Vázquez, que se decía personada en la ejecución de la Sentencia núm. 290/1997, además de pedimentos anteriores sobre indemnización e información de la ejecución de otras Sentencias, solicitaron de la Sala que suspendiera cautelarmente la eficacia de la Orden de 31 de julio de 1998 por la que se resolvía el concurso 1/1997. A juicio de los dos firmantes del escrito aquella resolución habría incurrido en los mismos vicios que el concurso de 1993, luego anulado, porque exigía titulación superior para la provisión indistinta de puestos abiertos a funcionarios de los grupos “A”, “B” y “C”. Además por medio de aquella resolución se habría llegado al resultado de inejecución de facto de la Sentencia 290/1997. </w:t>
      </w:r>
    </w:p>
    <w:p w:rsidR="0025129F" w:rsidRDefault="0025129F" w:rsidP="0025129F">
      <w:pPr>
        <w:pStyle w:val="TextoNormal"/>
      </w:pPr>
      <w:r>
        <w:t xml:space="preserve">h) En nuevo escrito, registrado en la Sala de lo Contencioso-Administrativo el 3 de octubre de 1998, el recurrente formuló varias alegaciones en relación con la oposición del Letrado de Xunta de Galicia al recurso de súplica. Las alegaciones son, en sustancia, los motivos del recurso de súplica. Se hace especial hincapié ahora en el agravio comparativo del recurrente respecto de don Álvaro Aldemira Requejo (a quien se adjudicó el puesto núm. 2175 de la convocatoria de 1993), pues aun cuando posteriormente aquel funcionario habría pasado a ocupar otro puesto, habría consolidado una antigüedad y una experiencia que (teniendo por fundamento una convocatoria ilegal) no deberían ser oponibles al recurrente. Expresamente pedía éste la plena retroacción de las actuaciones al momento inicial, y que se incluyesen en una nueva los puestos ilegales de la convocatoria de 1993, para que resultaran provistos conforme a los méritos que ostentaban los concurrentes en el momento de la convocatoria. En el mismo escrito se solicitaba, amén de las peticiones ya incluidas en el recurso de súplica, que se revocase el nombramiento de don Álvaro Aldemira Requejo en el puesto de trabajo núm. 2175. </w:t>
      </w:r>
    </w:p>
    <w:p w:rsidR="0025129F" w:rsidRDefault="0025129F" w:rsidP="0025129F">
      <w:pPr>
        <w:pStyle w:val="TextoNormal"/>
      </w:pPr>
      <w:r>
        <w:t>i) El 2 de marzo de 1999 se registró en la Sala de lo Contencioso- Administrativo un escrito remitido por el recurrente y por doña Pastora Vázquez Vázquez en el que, anunciando recurso de amparo ante el Tribunal Constitucional, se pedía una entrevista o audiencia urgente con el Presidente de la Sala; de nuevo se reiteraba también la solicitud de certificación o informe sobre todas las actuaciones judiciales o administrativas relacionadas con las Sentencias anulatorias de la convocatoria de 1993. El 3 de marzo de 1999 se registró en la Sala de lo Contencioso-Administrativo un escrito remitido por el recurrente y por doña Pastora Vázquez Vázquez en el que, una vez más, se pedía copia de las resoluciones judiciales y administrativas relativas a la ejecución de las Sentencias anulatorias de la convocatoria de 1993; afirmaban los remitentes del escrito que habían tenido acceso privado a un Auto de 28 de mayo de 1998, relativo a la ejecución de la Sentencia núm. 287/1997, en el cual se ordenaba la ejecución puntual de la Sentencia a favor de doña Ángeles Vaquero Gregorio, doña Emilia Torres Pérez y otras personas; también decían conocer una resolución administrativa del Director Xeral da Función Pública, por la que, disponiendo el cese de don Álvaro Aldemira Requejo en el puesto de trabajo obtenido en la convocatoria de 1993, se le había adjudicado de forma directa e indefinida un nuevo pues</w:t>
      </w:r>
      <w:r>
        <w:lastRenderedPageBreak/>
        <w:t xml:space="preserve">to de nivel 24 en los servicios periféricos del SERGA. Concluían el recurrente y doña Pastora Vázquez Vázquez que, en ejecución de Sentencia, la Administración no estaba adjudicando los puestos convocados en 1993, sino nuevos puestos de trabajo que no existían entonces; también denunciaban los alegantes que la adjudicación directa de los nuevos puestos infringía el art. 23.2 CE (así como el art. 21.2 de la Declaración universal de derechos humanos; los arts. 25 y 26 del Pacto internacional de derechos civiles y políticos; y el art. 7 del Pacto internacional de derechos económicos, sociales y culturales). En el escrito de referencia se pedía, finalmente, que se anularan los actos de ejecución de las Sentencias relativas a la convocatoria de 1993; que se determinara el estado de inejecución de aquellas resoluciones judiciales; que se extendieran a doña Pastora Vázquez Vázquez los efectos de dichas Sentencias; que se eliminasen todos los efectos de la convocatoria de 1993, bien privando a los adjudicatarios de los puestos de trabajo de todos los beneficios obtenidos, bien extendiendo aquellos efectos favorables a doña Pastora Vázquez Vázquez y compensando al recurrente por los daños y perjuicios sufridos. Finalmente se reiteraba la disposición de los recurrentes a llegar a un acuerdo. </w:t>
      </w:r>
    </w:p>
    <w:p w:rsidR="0025129F" w:rsidRDefault="0025129F" w:rsidP="0025129F">
      <w:pPr>
        <w:pStyle w:val="TextoNormal"/>
      </w:pPr>
      <w:r>
        <w:t xml:space="preserve">j) El 4 de marzo de 1999 se registró también en la Sala de lo Contencioso- Administrativo un escrito remitido por los mismos firmantes en el que, previo anuncio de interposición de recurso de amparo ante el Tribunal Constitucional, se pedía copia de varias resoluciones judiciales: unas dictadas en el recurso núm. 1/1333/93; otras dictadas en otras causas. La Sala, por providencia de 4 de marzo de 1999, acordó la expedición de certificación de las resoluciones dictadas en el recurso núm. 1/1333/93. Las demás peticiones de certificación fueron llevadas a las actuaciones judiciales a que correspondían (“diligencias indeterminadas”) o fueron denegadas por corresponder a procesos donde los solicitantes no habían sido parte. </w:t>
      </w:r>
    </w:p>
    <w:p w:rsidR="0025129F" w:rsidRDefault="0025129F" w:rsidP="0025129F">
      <w:pPr>
        <w:pStyle w:val="TextoNormal"/>
      </w:pPr>
      <w:r>
        <w:t xml:space="preserve">k) La Sala de lo Contencioso-Administrativo, por providencia de 26 de marzo de 1999, acordó, antes de resolver sobre las distintas peticiones formuladas por el recurrente, citar a éste y al representante de la Administración para comparecencia el 13 de abril de 1999. En la misma providencia se denegaba la personación de doña Pastora Vázquez Vázquez por no haber sido parte en el procedimiento ni haber acreditado su condición de interesada. Por providencia de 29 marzo de 1999 se modificó la fecha de la comparecencia, que pasó a ser el 29 de abril. El 12 de abril de 1999 se registró en la Sala un escrito remitido por el recurrente en relación con el trámite de comparecencia, en el cual se denunciaba la excesiva dilación de la ejecución (casi dos años), se afirmaba que la alegación administrativa de imposibilidad material de ejecución era extemporánea (conforme al art. 105 LJCA de 1998) y se insistía, una vez más, en que la Administración no estaba ejecutando las Sentencias anulatorias, pues no se cesaba a los seleccionados en el procedimiento ilegal de 1993, sino que se estaban ofreciendo nuevos puestos de trabajo a los recurrentes (en perjuicio de otras personas que pudieran tener derecho a concursar a esas plazas). En el mismo escrito se pedía que se adoptaran las medidas de ejecución previstas en la LJCA de 1998 y, en especial, éstas: ofrecimiento de “los siguientes puestos de trabajo convocados en 1993 con los núms.: 98, 1608, 2150, 2173, 2175, 3075, y cualquier otro que estando vacante en 1993 a la fecha del concurso se sustrajo a la obligatoria oferta o fuese objeto de ulterior cobertura ‘a resultas’”; extensión de los efectos de la ejecución de las demás Sentencias anulatorias de la convocatoria de 1993; adopción de las medidas coercitivas y sancionadoras previstas en el art. 112 LJCA; declaración de nulidad de los actos de ejecución de las otras Sentencias referidas a la convocatoria de 1993; eliminación de todos los efectos resultantes de la provisión ilegal de puestos de trabajo al amparo de la convocatoria de 1993; requerimiento a la Consellería de Presidencia y Administración Pública para que </w:t>
      </w:r>
      <w:r>
        <w:lastRenderedPageBreak/>
        <w:t xml:space="preserve">informase sobre el estado de ejecución de las Sentencias anulatorias y, en su caso, sobre cuáles eran las medidas de ejecución que se habían adoptado. </w:t>
      </w:r>
    </w:p>
    <w:p w:rsidR="0025129F" w:rsidRDefault="0025129F" w:rsidP="0025129F">
      <w:pPr>
        <w:pStyle w:val="TextoNormal"/>
      </w:pPr>
      <w:r>
        <w:t xml:space="preserve">l) El 29 de abril de 1999 comparecieron el recurrente y el Letrado Asesor de la Xunta de Galicia ante la Magistrada-Ponente en el recurso núm. 1/1333/93. El recurrente propuso tres fórmulas compactas (A, B y C) de ejecución de la Sentencia, que acompañaba de extensa documentación. La fórmula A consistía, en síntesis, en la adjudicación de alguno de los siguientes puestos de trabajo de la convocatoria de 1993: 98, 99, 100, 97, 101, 102, 1608, 2150, 2173, 2175, 2392, 3075, añadiéndose luego “etc.”; y la nueva convocatoria de los puestos de trabajo ilegalmente adjudicados, así como la revocación de todos los derechos y efectos favorables derivados de las adjudicaciones ilegales. La opción B se componía, según parece, de un catálogo de indemnizaciones (3.300.000 pesetas por “equiparación económica”, más 3.000.000 pesetas como “indemnización compensatoria” por daños y perjuicios, más 2.000.000 pesetas por daños y perjuicios morales) y de la reclasificación de su puesto de trabajo (de nivel 24 a nivel 26). La opción C, que el propio recurrente denominaba consensual, se componía de una indemnización a tanto alzado de 1.000.000 pesetas; reclasificación de su puesto de trabajo (de nivel 24 a nivel 26); de una indemnización para doña Pastora Vázquez Vázquez, a la sazón esposa del recurrente, de 4.550.000 pesetas; de la reclasificación del puesto de trabajo de esta última (de nivel 16 a nivel 24); y de la resolución de la Sala de lo Contencioso-Administrativo ratificando la validez del acuerdo de ejecución consensual, haciendo además manifestación expresa de la conveniencia de que se acordase el archivo de todas las actuaciones en trámite (el propio recurrente adjuntaba una relación de esas actuaciones). En el acto de la comparecencia la Magistrada-Ponente preguntó al Letrado Asesor de la Xunta de Galicia si sería posible la opción A, a lo que éste objetó que no era factible adoptar las medidas revocatorias pedidas por el recurrente, y que se aportaría al órgano judicial un listado de las plazas ofertables. </w:t>
      </w:r>
    </w:p>
    <w:p w:rsidR="0025129F" w:rsidRDefault="0025129F" w:rsidP="0025129F">
      <w:pPr>
        <w:pStyle w:val="TextoNormal"/>
      </w:pPr>
      <w:r>
        <w:t xml:space="preserve">m) El mismo día 29 de abril de 1999 fechó el recurrente un escrito, remitido a la Sala de lo Contencioso-Administrativo y registrado el 5 de mayo, en el que se aclaraban algunas cuestiones planteadas en el acto de comparecencia. Entre muchas afirmaciones, la mayoría no atinentes estrictamente a la ejecución de la Sentencia, y sí a la defensa de la profesionalidad del recurrente, se sostenía que no era posible aceptar sin más la adjudicación directa de un puesto por la Administración, a riesgo de cometer el delito tipificado en el art. 406 del Código Penal. Al final de este escrito se pedía por el recurrente, entre otras cosas, la expedición de copias de 13 resoluciones y de otros actos judiciales (unos referidos al recurso núm. 1/1333/93, otros no). Por providencia de 26 de mayo de 1999 se ordenó la expedición de las copias de documentos correspondientes al recurso núm. 1/1333/93, remitiendo al recurrente a que solicitara las demás copias en los autos correspondientes. </w:t>
      </w:r>
    </w:p>
    <w:p w:rsidR="0025129F" w:rsidRDefault="0025129F" w:rsidP="0025129F">
      <w:pPr>
        <w:pStyle w:val="TextoNormal"/>
      </w:pPr>
      <w:r>
        <w:t xml:space="preserve">n) El 15 de junio de 1999 se registró en la Sala de lo Contencioso- Administrativo recurso de súplica contra la providencia de 26 de mayo de 1999. En lo que es relevante para el presente proceso de amparo el recurrente impugnaba la denegación de copia de documentos judiciales no obrantes en los autos del recurso núm. 1/1333/93. El recurrente invocaba, además de la infracción de numerosos preceptos legales, la contravención del art. 24, apartados 1 y 2, CE, en la medida en que garantizan el derecho a la igualdad de armas procesales. El recurso de súplica fue desestimado por Auto de 13 de septiembre de 1999. </w:t>
      </w:r>
    </w:p>
    <w:p w:rsidR="0025129F" w:rsidRDefault="0025129F" w:rsidP="0025129F">
      <w:pPr>
        <w:pStyle w:val="TextoNormal"/>
      </w:pPr>
      <w:r>
        <w:t xml:space="preserve">ñ) Por Auto de 11 de septiembre de 1999 la Sala de lo Contencioso- Administrativo desestimó el recurso de súplica interpuesto contra el previo Auto de la misma Sala de 6 de abril de 1998. A juicio del órgano jurisdiccional, el recurrente no exponía “cuáles son las disposiciones que a favor del interesado habría que adoptar en concreto y que resultaron impedidas por la actuación administrativa; pues, eso es lo que él debe defender y no que se </w:t>
      </w:r>
      <w:r>
        <w:lastRenderedPageBreak/>
        <w:t xml:space="preserve">arme un mayor o menor trastueque de todo lo actuado en general, de lo cual no se ve qué ventaja podría obtener él, y sí un enorme perjuicio al interés colectivo”. Este Auto, al igual que otras resoluciones anteriores dictadas en el mismo proceso, fue recurrido en amparo ante el Tribunal Constitucional con fecha de registro de 22 de octubre de 1999. </w:t>
      </w:r>
    </w:p>
    <w:p w:rsidR="0025129F" w:rsidRDefault="0025129F" w:rsidP="0025129F">
      <w:pPr>
        <w:pStyle w:val="TextoNormal"/>
      </w:pPr>
      <w:r>
        <w:t xml:space="preserve">o) Por nuevo escrito, registrado en la Sala de lo Contencioso-Administrativo el 2 de noviembre de 1999, el recurrente propuso tres formas de ejecución de Sentencia: 1) adjudicación del puesto de trabajo núm. 2720 (Director de la Residencia de Ancianos de Meixoeiro, grupo A-B, nivel 26), más una indemnización económica; 2) en defecto de la propuesta anterior, un puesto de nivel 26 en la ciudad de Ourense, más la correspondiente indemnización económica; 3) en defecto de las dos anteriores, adjudicación del nivel 26 a su actual puesto de trabajo, más una indemnización compensatoria. El mismo día 2 de noviembre de 1999 se registró en la Sala un escrito, esta vez remitido conjuntamente por el recurrente y su esposa, doña Pastora Vázquez Vázquez, en el que pedían que, conforme al art. 110.2 LJCA se les extendieran a ellos los efectos de la Sentencia 287/1997, en los términos fijados para doña Ángeles Vaquero Gregorio y doña Emilia Torres Pérez en la resolución de la Sala de lo Contencioso-Administrativo de 28 de mayo de 1998; en lo que hace al recurrente ello supondría alguna de las siguientes posibilidades: 1) asignación de un puesto de nivel 26 (por ejemplo, el núm. 2720), más una indemnización; 2) asignación de un puesto de nivel 25 (por ejemplo, el núm. 2754), más una indemnización compensatoria de retribuciones no percibidas y otra indemnización por daños morales y funcionariales (3.000.000 pesetas); 3) asignación de un puesto de nivel 24, de entre los siguientes (por orden de preferencia, núms. 3075, 1780, 2173, 2746, 2747, 2748, 1763, 1764, 2392, 411, 1607, 98), más una indemnización de 5.000.000 pesetas. </w:t>
      </w:r>
    </w:p>
    <w:p w:rsidR="0025129F" w:rsidRDefault="0025129F" w:rsidP="0025129F">
      <w:pPr>
        <w:pStyle w:val="TextoNormal"/>
      </w:pPr>
      <w:r>
        <w:t xml:space="preserve">p) Por medio de escritos registrados los días 1 de abril y 22 de junio de 2000 el recurrente solicitó a la Sala de lo Contencioso-Administrativo información sobre el estado de ejecución de la Sentencia núm. 290/1997, así como la expedición de varias certificaciones y la fijación de un plazo máximo para la ejecución de la Sentencia núm. 290/1997. Por providencia de la Sala, de 3 de julio de 2000, se rechazó la petición de informe sobre el estado de ejecución de la Sentencia, al poderse obtener aquella información por el recurrente mediante la puesta de manifiesto de los autos en Secretaría; también se rechazó la petición de certificaciones. </w:t>
      </w:r>
    </w:p>
    <w:p w:rsidR="0025129F" w:rsidRDefault="0025129F" w:rsidP="0025129F">
      <w:pPr>
        <w:pStyle w:val="TextoNormal"/>
      </w:pPr>
      <w:r>
        <w:t xml:space="preserve">q) El 12 de julio de 2000 tuvo entrada en la Sala de lo Contencioso- Administrativo un escrito de alegaciones firmado por el Letrado de la Xunta de Galicia. En este escrito se rechazan las opciones de ejecución de Sentencia propuestas por el recurrente, en atención a los siguientes motivos: En primer lugar, porque no sería posible la adjudicación de un puesto de nivel 26, dado que la convocatoria de 1993 no incluía ningún puesto de ese nivel, salvo por error el núm. 2720, que fue luego objeto de una corrección de errores debidamente publicada. En segundo lugar, si al recurrente no se le había ofrecido ningún puesto de nivel 24 era porque ya ocupaba (desde 1987) un puesto de nivel 24 (Jefatura de Sección); esta situación sería distinta a la de otras personas, también recurrentes contra la convocatoria de 1993, que, al ocupar puestos inferiores, sí pudieron beneficiarse de la adjudicación de un puesto de nivel 24 de los ofertados en la convocatoria de 1993. Concluye este escrito de alegaciones con la afirmación de que “Por ello estimamos que difícilmente el mismo [el recurrente] puede obtener beneficio alguno de la ejecución de la Sentencia dictada en el presente procedimiento, razón por la cual interesamos de la Sala que declare definitivamente ejecutada la sentencia respecto al recurrente”. </w:t>
      </w:r>
    </w:p>
    <w:p w:rsidR="0025129F" w:rsidRDefault="0025129F" w:rsidP="0025129F">
      <w:pPr>
        <w:pStyle w:val="TextoNormal"/>
      </w:pPr>
      <w:r>
        <w:t xml:space="preserve">r) El 1 de agosto de 2000 el recurrente interpuso recurso de súplica contra la providencia de 3 de julio de 2000 por habérsele denegado certificaciones con relevancia probatoria </w:t>
      </w:r>
      <w:r>
        <w:lastRenderedPageBreak/>
        <w:t xml:space="preserve">(a lo que anudaba diversas infracciones del art. 24 CE) y por no haberse pronunciado la Sala sobre la fijación de un plazo máximo para la ejecución y sobre la adopción de medidas eficaces para la ejecución. Especial invocación se hacía en este recurso del derecho a un proceso sin dilaciones indebidas (art. 24.2 CE). </w:t>
      </w:r>
    </w:p>
    <w:p w:rsidR="0025129F" w:rsidRDefault="0025129F" w:rsidP="0025129F">
      <w:pPr>
        <w:pStyle w:val="TextoNormal"/>
      </w:pPr>
      <w:r>
        <w:t>s) Por Auto de 12 de septiembre de 2000 la Sala de lo Contencioso- Administrativo rechazó la posibilidad de adjudicación al recurrente del puesto núm. 2720, ya que éste había sido extraído de la convocatoria de 1993 por vía de corrección de errores; también rechazó la adjudicación de otro puesto de nivel 26, pues ninguno de esta clase incluía la convocatoria de 1993, razón por la cual tampoco estaría justificada la reclasificación con nivel 26 del puesto actual del recurrente. Se afirmaba expresamente en este Auto que “el mentado recurrente no puede obtener (por muy favorables que hayan sido los pronunciamientos de la Sentencia) mayores beneficios en ejecución de ésta que los que hubiese podido obtener en el concurso...”. En el mismo Auto se ordenó la expedición de los testimonios solicitado en los apartados 1 y 2 del escrito de 3 de noviembre de 1999.</w:t>
      </w:r>
    </w:p>
    <w:p w:rsidR="0025129F" w:rsidRDefault="0025129F" w:rsidP="0025129F">
      <w:pPr>
        <w:pStyle w:val="TextoNormal"/>
      </w:pPr>
    </w:p>
    <w:p w:rsidR="0025129F" w:rsidRDefault="0025129F" w:rsidP="0025129F">
      <w:pPr>
        <w:pStyle w:val="TextoNormal"/>
      </w:pPr>
      <w:r w:rsidRPr="0025129F">
        <w:rPr>
          <w:rStyle w:val="NumeroAFNegritaCaracter"/>
        </w:rPr>
        <w:t>3</w:t>
      </w:r>
      <w:r>
        <w:t>. El recurso de amparo, en el que se invocan los arts. 14, 23 apartado 2; y 24 apartados 1 y 2, CE, expresamente se dirige contra un largo listado de resoluciones y omisiones judiciales de la Sala de lo Contencioso-Administrativo del Tribunal Superior de Justicia de Galicia, a saber: a) La situación de pendencia de ejecución de la Sentencia núm. 290/1997, de 23 de abril, del Tribunal Superior de Justicia de Galicia. b) El trato desigual en la ejecución de las Sentencias núms. 290/1997 y 287/1997. c) Diversas resoluciones recaídas en el incidente de ejecución de la Sentencia núm. 290/1997: providencia de 12 de marzo de 1998; Auto de 6 de abril de 1998; providencia de 14 de septiembre de 1998; providencia de 4 de marzo de 1999; providencia de 26 de mayo de 1999; Auto de 11 de septiembre de 1999; Auto de 13 de septiembre de 1999. Y d) la denegación “expresa, tácita y presunta” de las copias, certificaciones o informes solicitados en relación con las actuaciones judiciales aludidas en los apartados precedentes.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En la demanda de amparo se cruzan denuncias de infracción de derechos fundamentales y de preceptos legales. Además varios son los ámbitos procesales sobre los que se proyectan las denuncias de vulneración de derechos fundamentales. </w:t>
      </w:r>
    </w:p>
    <w:p w:rsidR="0025129F" w:rsidRDefault="0025129F" w:rsidP="0025129F">
      <w:pPr>
        <w:pStyle w:val="TextoNormal"/>
      </w:pPr>
      <w:r>
        <w:t xml:space="preserve">a) Alega el recurrente, en primer lugar, que la denegación de personación en la ejecución de varias Sentencias que anulaban la misma convocatoria por él impugnada (se refiere a las Sentencias núms. 94/1997, 166/1997, 241/1997, 245/1997, 246/1997, 256/1997 y 287/1997) es causante de lesión en varios de sus derechos fundamentales: </w:t>
      </w:r>
    </w:p>
    <w:p w:rsidR="0025129F" w:rsidRDefault="0025129F" w:rsidP="0025129F">
      <w:pPr>
        <w:pStyle w:val="TextoNormal"/>
      </w:pPr>
      <w:r>
        <w:t xml:space="preserve">1) El derecho a concurrir en condiciones de igualdad a los cargos y funciones públicos (art. 23.2 CE), derecho que, afirma el recurrente, con invocación de las SSTC 293/1993, 73/1994, y 115/1996, regiría, no sólo en el acceso a la función pública, sino también en la promoción del funcionariado. El derecho del art. 23.2 CE habría sido vulnerado al ejecutarse las Sentencias estimatorias dictadas en aquellos procesos mediante la adjudicación directa y privilegiada de puestos funcionariales a los distintos recurrentes, al margen de todo procedimiento selectivo. Destaca el recurrente que al tiempo de la convocatoria reunía más méritos para la adjudicación de varios de los puestos de trabajo asignados ahora de forma directa en ejecución de sentencia. Añade que una forma de reparar la lesión sufrida consistiría en la adjudicación de un puesto de nivel 26 de los que se ofertaron en la convocatoria 1/1993. </w:t>
      </w:r>
    </w:p>
    <w:p w:rsidR="0025129F" w:rsidRDefault="0025129F" w:rsidP="0025129F">
      <w:pPr>
        <w:pStyle w:val="TextoNormal"/>
      </w:pPr>
      <w:r>
        <w:t xml:space="preserve">2) El derecho a la tutela judicial efectiva (art. 24.1 CE) habría sido lesionado porque la ejecución de aquellas Sentencias, que afecta a la ejecución de la Sentencia estimatoria </w:t>
      </w:r>
      <w:r>
        <w:lastRenderedPageBreak/>
        <w:t xml:space="preserve">obtenida por el recurrente, ha tenido lugar sin contradicción alguna. De esta forma se habría infringido, no sólo el art. 110.1 LJCA (de 1956), que prevé la personación en ejecución de sentencia de las personas interesadas, sino también el propio derecho a la tutela judicial efectiva (art. 24.1 CE). En apoyo de lo dicho cita el recurrente varias SSTC referidas a al acceso a la jurisdicción y a la prohibición de toda indefensión; también se refiere al nuevo art. 110 LJCA (de 1998), que expresamente prevé la legitimación de terceros afectados en la ejecución de sentencia. </w:t>
      </w:r>
    </w:p>
    <w:p w:rsidR="0025129F" w:rsidRDefault="0025129F" w:rsidP="0025129F">
      <w:pPr>
        <w:pStyle w:val="TextoNormal"/>
      </w:pPr>
      <w:r>
        <w:t xml:space="preserve">b) En relación con la Sentencia núm. 290/1997, dictada en el recurso contencioso-administrativo núm. 1/1333/93, interpuesto, el recurrente, se denuncia su estado de inejecución. Y con base en esta denuncia principal alega también la existencia de dilaciones indebidas (art. 24.2 CE) y discriminación (art. 14 CE) por comparación con la forma en que han sido ejecutadas otras Sentencias con el mismo objeto, en especial por comparación con la ejecución de la Sentencia núm. 287/1997. La alegación de inejecución de la Sentencia núm. 290/1997 se hace con invocación del art. 24.1 CE, conforme a la doctrina expresada por el Tribunal Constitucional en varias Sentencias: de 22 de septiembre de 1989, de 21 de septiembre de 1989, de 15 de julio de 1987 y 28 de octubre de 1987. Afirma el recurrente que el fallo de la Sentencia núm. 290/1997, conforme con la pretensión estimada, habría configurado un derecho a su favor a la retroacción de actuaciones y a la consiguiente nueva convocatoria de las plazas ofertadas en 1993. Denuncia, además, que los Autos dictados en el incidente de ejecución (de 6 de abril de 1998 y de 11 de septiembre de 1999) contradicen lo resuelto en la Sentencia estimatoria y la reforman peyorativamente: así resultaría de que la Sala de lo Contencioso-Administrativo haya aceptado, en los dos Autos impugnados, la consolidación de los nombramientos que traen causa de la convocatoria (anulada) de 1993. A los mismos Autos reprocha que carecen de toda motivación y que son incongruentes con las propuestas de ejecución por él formuladas. </w:t>
      </w:r>
    </w:p>
    <w:p w:rsidR="0025129F" w:rsidRDefault="0025129F" w:rsidP="0025129F">
      <w:pPr>
        <w:pStyle w:val="TextoNormal"/>
      </w:pPr>
      <w:r>
        <w:t xml:space="preserve">c) El recurrente denuncia también que, tanto en el proceso de ejecución de la Sentencia núm. 290/1997, como en el de otras Sentencias que también anularon parcialmente la convocatoria de 1993, se le han denegado diversas certificaciones, copias e informes obrantes en autos. Estas denegaciones le habrían impedido la probanza de un hecho: el de que la ejecución de las demás Sentencias anulatorias de la convocatoria de 1993 se estaría produciendo con el reconocimiento de derechos profesionales y económicos a favor de los recurrentes (así, en la ejecución de la Sentencia núm. 287/1997), lo que no estaría ocurriendo en la ejecución de la Sentencia núm. 290/1997. De esta forma se habría lesionado su derecho a probar y defenderse (art. 24.1 y 2 CE). Invoca aquí el recurrente las SSTC de 3 de julio de 1995, 17 de marzo de 1994, 10 de febrero de 1992, y 23 de septiembre de 1991. </w:t>
      </w:r>
    </w:p>
    <w:p w:rsidR="0025129F" w:rsidRDefault="0025129F" w:rsidP="0025129F">
      <w:pPr>
        <w:pStyle w:val="TextoNormal"/>
      </w:pPr>
      <w:r>
        <w:t xml:space="preserve">d) En el extenso suplico que se inserta en la demanda de amparo se pide de este Tribunal que se declare la nulidad de las resoluciones impugnadas; que se reconozca la legitimación del recurrente para ser parte en la ejecución de las Sentencias de la misma Sala de lo Contencioso-Administrativo núms. 94/1997, 166/1997, 241/1997, 245/1997, 246/1997, 256/1997, 287/1997, “etc.”; que se declare su derecho a la inmediata ejecución de la Sentencia núm. 290/1997 y a la adopción de las medidas de ejecución necesarias para garantizar el restablecimiento de su posición prioritaria inicial; que se reconozca su derecho a que, dando plena efectividad a los arts. 14 y 23.2 CE, en ejecución de las Sentencias núms. 287/1997 y 290/1997 se adopten las medidas necesarias para garantizar un trato de igualdad pero en todo caso respetuoso con la distinta situación originaria de los afectados; que se le declare su derecho a obtener del Tribunal Superior de Galicia los elementos de prueba solicitados, así como las copias, certificaciones e informes interesados; que se le restablezca en la integridad de sus derechos (incluso el de prioridad o prelación), y al efecto se </w:t>
      </w:r>
      <w:r>
        <w:lastRenderedPageBreak/>
        <w:t>adopten las oportunas medidas con efectos retrotraídos a la fecha de la resolución del concurso 1/1993; y finalmente solicita que se le reconozca y asigne el “nivel 26” con todos los derechos económicos y funcionariales vinculados a él y con efectos retrotraídos a la fecha de resolución del concurso 1/1993.</w:t>
      </w:r>
    </w:p>
    <w:p w:rsidR="0025129F" w:rsidRDefault="0025129F" w:rsidP="0025129F">
      <w:pPr>
        <w:pStyle w:val="TextoNormal"/>
      </w:pPr>
    </w:p>
    <w:p w:rsidR="0025129F" w:rsidRDefault="0025129F" w:rsidP="0025129F">
      <w:pPr>
        <w:pStyle w:val="TextoNormal"/>
      </w:pPr>
      <w:r w:rsidRPr="0025129F">
        <w:rPr>
          <w:rStyle w:val="NumeroAFNegritaCaracter"/>
        </w:rPr>
        <w:t>5</w:t>
      </w:r>
      <w:r>
        <w:t>. La Sección Tercera acordó, por providencia de 27 de marzo de 2000, de conformidad con lo dispuesto en el art. 50.3 LOTC, conceder al demandante y al Ministerio Fiscal un plazo común de diez días para formular alegaciones en relación con la posible carencia manifiesta de contenido constitucional de la demanda (art. 50.1.c LOTC).</w:t>
      </w:r>
    </w:p>
    <w:p w:rsidR="0025129F" w:rsidRDefault="0025129F" w:rsidP="0025129F">
      <w:pPr>
        <w:pStyle w:val="TextoNormal"/>
      </w:pPr>
    </w:p>
    <w:p w:rsidR="0025129F" w:rsidRDefault="0025129F" w:rsidP="0025129F">
      <w:pPr>
        <w:pStyle w:val="TextoNormal"/>
      </w:pPr>
      <w:r w:rsidRPr="0025129F">
        <w:rPr>
          <w:rStyle w:val="NumeroAFNegritaCaracter"/>
        </w:rPr>
        <w:t>6</w:t>
      </w:r>
      <w:r>
        <w:t>. El escrito de alegaciones del demandante de amparo tuvo entrada en este Tribunal el 26 de abril de 2000. En él se reiteran las denuncias de vulneración de derechos fundamentales, así como los motivos en que se basan. Hay que destacar que la denuncia de infracción del art. 23.2 CE, que en la demanda de amparo se refería a la ejecución de una larga lista de Sentencias, se centra ahora en la forma en que se ha ejecutado la Sentencia núm. 287/1997. En el escrito de alegaciones se cita con mayor precisión la doctrina del Tribunal Constitucional y se invoca la que resulta de las SSTC 67/1984, 195/1997, 5/1985, 160/1999, 15/1999, 39/1999 y 56/1999. También se cita la STC 152/1999, si bien en relación con el agotamiento de la vía judicial previa al amparo constitucional. Asimismo se hace invocación reiterada, y en bloque, de los arts 7, 8 10, 21.2, 23.1 de la Declaración universal de derechos humanos; de los arts. 6.1 y 13 CEDH; de los arts. 2.3, 14, 25 y 26, PIDCP; y de los arts. 6.1 y 7c) PIDESC; lo que se completa con la cita de la STEDH de 8 de febrero de 1996 (caso A. y otros contra Dinamarca), referido a la invocación de dilaciones indebidas.</w:t>
      </w:r>
    </w:p>
    <w:p w:rsidR="0025129F" w:rsidRDefault="0025129F" w:rsidP="0025129F">
      <w:pPr>
        <w:pStyle w:val="TextoNormal"/>
      </w:pPr>
    </w:p>
    <w:p w:rsidR="0025129F" w:rsidRDefault="0025129F" w:rsidP="0025129F">
      <w:pPr>
        <w:pStyle w:val="TextoNormal"/>
      </w:pPr>
      <w:r w:rsidRPr="0025129F">
        <w:rPr>
          <w:rStyle w:val="NumeroAFNegritaCaracter"/>
        </w:rPr>
        <w:t>7</w:t>
      </w:r>
      <w:r>
        <w:t>. El escrito de alegaciones del Fiscal tuvo entrada en este Tribunal el 9 de mayo de 2000. En él se dice, en primer lugar, que la demanda de amparo carece de la concisión y claridad que exige el art. 49 LOTC. En relación con la denuncia de inejecución de la Sentencia núm. 290/1997 alega el Ministerio público que, a la vista de la complejidad del asunto, no puede considerarse que exista ni desfallecimiento ni arbitrariedad en la forma en que la Sala de lo Contencioso- Administrativo esté ejecutando la Sentencia. Respecto de la invocada vulneración del art. 23.2 CE alega el Fiscal que se trata de una denuncia no suficientemente justificada. Destaca, además, que no estamos ante un caso de acceso inicial, sino de ascenso, y que no corresponde al órgano judicial adjudicar un concreto puesto de trabajo. Tampoco acepta el Ministerio público la alegación de dilaciones indebidas, a la vista de la complejidad del asunto y de lo motivado por la Sala. Tampoco para el Fiscal habría quedado acreditada la diferencia de trato respecto de la forma en que se ha ejecutado la Sentencia de la misma Sala núm. 287/1997. Por último, alega el Ministerio Fiscal que la falta de expedición de copias y certificaciones no ha sido causante de indefensión material. Conforme a lo expuesto solicita la inadmisión del presente recurso de amparo en virtud de lo dispuesto en el art. 50.1 c) LOTC.</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La Sala Segunda, por providencia de 25 de julio de 2000, y de conformidad con lo dispuesto en el art. 11.2 LOTC, acordó conocer de este asunto y admitir a trámite la demanda de amparo. Por ello, en aplicación del art. 51 LOTC, se ordenó dirigir comunicación a la Sala de lo Contencioso- Administrativo del Tribunal Superior de Galicia a fin de que, en plazo no excedente de diez días, remitiera certificación o fotocopia adverada de las </w:t>
      </w:r>
      <w:r>
        <w:lastRenderedPageBreak/>
        <w:t>actuaciones correspondientes al recurso 01333/93, previo emplazamiento a quienes hubieran sido parte, excepto al demandante de amparo, en aquel procedimiento para que, en plazo de diez días, pudieran comparecer en este proceso de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diligencia de ordenación de 10 de octubre de 2000 se acordó tener por personada y parte a la Xunta de Galicia, y en su nombre y representación a la Letrada de sus servicios jurídicos doña Beatriz Rodríguez Fraga. En la misma diligencia se acordó dar vista de las actuaciones recibidas a las partes personadas y al Ministerio Fiscal por plazo común de veinte días, todo ello conforme al art. 52 LOTC.</w:t>
      </w:r>
    </w:p>
    <w:p w:rsidR="0025129F" w:rsidRDefault="0025129F" w:rsidP="0025129F">
      <w:pPr>
        <w:pStyle w:val="TextoNormal"/>
      </w:pPr>
    </w:p>
    <w:p w:rsidR="0025129F" w:rsidRDefault="0025129F" w:rsidP="0025129F">
      <w:pPr>
        <w:pStyle w:val="TextoNormal"/>
      </w:pPr>
      <w:r w:rsidRPr="0025129F">
        <w:rPr>
          <w:rStyle w:val="NumeroAFNegritaCaracter"/>
        </w:rPr>
        <w:t>10</w:t>
      </w:r>
      <w:r>
        <w:t>. El 16 de noviembre de 2000 accedió al Registro de este Tribunal el escrito de alegaciones presentado por don Gerardo Álvarez Reza, al que acompaña copia de numerosos documentos. Se reitera, en sustancia, lo alegado tanto en la demanda de amparo como en el escrito de alegaciones formulado en la fase de admisión. Como peculiaridad respecto del último escrito de alegaciones, la queja de impedimento de personación en ejecución (con vulneración del art. 23.2 CE) se formula no sólo en relación con la Sentencia núm. 287/1997, sino también con la sentencia núm. 246/1997.</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Las alegaciones formuladas por el Letrado de la Xunta de Galicia fueron recibidas en este Tribunal el 16 de noviembre de 2000. Varios son los motivos principales con los que el Letrado de la Xunta se opone al otorgamiento del amparo: </w:t>
      </w:r>
    </w:p>
    <w:p w:rsidR="0025129F" w:rsidRDefault="0025129F" w:rsidP="0025129F">
      <w:pPr>
        <w:pStyle w:val="TextoNormal"/>
      </w:pPr>
      <w:r>
        <w:t xml:space="preserve">a) Se inicia el escrito de alegaciones con una exposición detallada de los antecedentes del caso. Se destaca que el sentido del fallo contenido en la Sentencia núm. 290/1997 consiste en impedir que funcionarios de los grupos “B” y “C” puedan desempeñar puestos que, por requerir titulación superior, deben estar reservados a funcionarios del grupo “A”. Y si este es el sentido del fallo, prosigue el Letrado, la ejecución de aquella Sentencia ampara la reclasificación (a favor de los funcionarios del grupo “A”) de todos aquellos puestos de trabajo donde se considere necesaria una titulación superior, calificándose para el grupo “B” las plazas donde sea necesaria una titulación media y para el grupo “C” las plazas donde no fuera necesaria ninguna de las dos titulaciones. De esta forma estaría plenamente justificado que en ejecución de sentencia la Administración iniciara un proceso de reclasificación de los puestos de trabajo, proceso éste lento y complejo. Destaca también el Letrado de la Xunta que la restitución a los recurrentes en sus derechos presentaba grandes dificultades, a la vista del tiempo transcurrido (cuatro años) desde la provisión de las plazas, hasta el punto de que varias de las plazas de la convocatoria de 1993 luego habían sido provistas en un concurso posterior, y otras incluso habían sido amortizadas; todo ello impedía la convocatoria de un nuevo concurso con las mismas condiciones que el de 1993. </w:t>
      </w:r>
    </w:p>
    <w:p w:rsidR="0025129F" w:rsidRDefault="0025129F" w:rsidP="0025129F">
      <w:pPr>
        <w:pStyle w:val="TextoNormal"/>
      </w:pPr>
      <w:r>
        <w:t>b) Alega el Letrado de la Xunta que ni el Auto de 6 de abril de 1998 ni el de 11 de septiembre de 1999 vulneran el derecho del recurrente a la ejecución de la Sentencia núm. 290/1997. Se subraya, en este sentido, que en el Auto de 6 de abril de 1998 se consideraba posible que en ejecución de sentencia se asignara al recurrente un puesto de trabajo de los ofertados en el concurso de 1993 y que al recurrente correspondería concretar ese puesto. Desoyendo tal requerimiento el recurrente habría formulado propuestas inasumibles por la Administración, que no guardaban relación con el fallo. Y habría sido esta actitud del recurrente la que, en última instancia, habría llevado a la situación presente. Por lo demás en ninguno de los dos Autos impugnados habría renunciado la Sala de lo Contencioso- Ad</w:t>
      </w:r>
      <w:r>
        <w:lastRenderedPageBreak/>
        <w:t xml:space="preserve">ministrativo al cumplimiento de lo resuelto, siendo muestra de ello un nuevo Auto dictado por la misma Sala el 12 de septiembre de 2000. </w:t>
      </w:r>
    </w:p>
    <w:p w:rsidR="0025129F" w:rsidRDefault="0025129F" w:rsidP="0025129F">
      <w:pPr>
        <w:pStyle w:val="TextoNormal"/>
      </w:pPr>
      <w:r>
        <w:t xml:space="preserve">c) Centrando la atención en la fundamentación de la demanda de amparo el Letrado de la Xunta alega, en primer lugar, que el recurso de amparo es inadmisible por falta de agotamiento de la vía judicial previa (art. 44.1.a LOTC), ya que el incidente de ejecución aún no ha concluido. Seguidamente se refiere el Letrado alegante al alcance del derecho a la ejecución de las sentencias (art. 24.1 CE), y lo hace con extensa transcripción del ATC 187/1999, de 14 de julio. De la doctrina afirmada en él resultaría que al Tribunal Constitucional sólo corresponde determinar si la forma de ejecución de la Sentencia es irrazonable o arbitraria, sin que esté facultado dicho Tribunal para determinar la forma correcta de ejecución, función ésta que correspondería a la Sala de lo Contencioso-Administrativo ex art. 24.1 CE. Sobre esta base alega el Letrado de la Xunta que no resulta irrazonable la forma en la cual el órgano judicial ha encauzado la ejecución. Y ello porque el fallo de la Sentencia núm. 290/1997 no otorga derecho a ningún puesto concreto, sino a concurrir en igualdad de condiciones (y sin la exigencia de título superior) a los puestos de trabajo que convoque la Administración y cuya adjudicación sea indistinta para los funcionarios de los grupos “A”, “B” y “C”. Esto sería precisamente lo intentado por la Administración gallega como forma de restablecer el derecho del recurrente y, simultáneamente, no afectar a situaciones jurídicas consolidadas. Reitera el Letrado de la Xunta que ha sido la pretensión del recurrente de que se repitiera el concurso de 1993 lo que ha impedido hasta ahora la completa ejecución de la Sentencia. </w:t>
      </w:r>
    </w:p>
    <w:p w:rsidR="0025129F" w:rsidRDefault="0025129F" w:rsidP="0025129F">
      <w:pPr>
        <w:pStyle w:val="TextoNormal"/>
      </w:pPr>
      <w:r>
        <w:t xml:space="preserve">d) Respecto de la denuncia de trato desigual el Letrado de la Xunta alega que el recurrente no ha justificado los supuestos con los que traba la comparación. Adjunta el Letrado de la Xunta un informe en el que se especifica el caso de otros funcionarios a los que les fue asignado un concreto puesto comprendido en la convocatoria de 1993 al haber justificado los méritos necesarios al efecto. Aquellos casos serían bien distintos del presente, pues el recurrente viene pidiendo puestos que en ningún caso le habrían correspondido conforme a la convocatoria de 1993: bien porque pide una reclasificación de su actual puesto de trabajo (de nivel 24 a nivel 25), más una injustificada indemnización compensatoria; bien porque pide una plaza inexistente en la convocatoria 1/1993 (de nivel 26, en Ourense); bien porque en Ourense no existen plazas de nivel 25. </w:t>
      </w:r>
    </w:p>
    <w:p w:rsidR="0025129F" w:rsidRDefault="0025129F" w:rsidP="0025129F">
      <w:pPr>
        <w:pStyle w:val="TextoNormal"/>
      </w:pPr>
      <w:r>
        <w:t>e) En relación con la invocación del art. 24.1 y 2 CE por falta de expedición de varias certificaciones y copias de documentos obrantes en los autos de varias causas, el Letrado de la Xunta alega que el art. 72.2 LJCA no justifica la personación del recurrente en la ejecución de otros procesos contenciosos donde se impugnaba la misma Orden recurrida por el hoy demandante de amparo. No estando justificada aquella personación, tampoco lo estaría la dación de copias y testimonios de los documentos obrantes en autos.</w:t>
      </w:r>
    </w:p>
    <w:p w:rsidR="0025129F" w:rsidRDefault="0025129F" w:rsidP="0025129F">
      <w:pPr>
        <w:pStyle w:val="TextoNormal"/>
      </w:pPr>
    </w:p>
    <w:p w:rsidR="0025129F" w:rsidRDefault="0025129F" w:rsidP="0025129F">
      <w:pPr>
        <w:pStyle w:val="TextoNormal"/>
      </w:pPr>
      <w:r w:rsidRPr="0025129F">
        <w:rPr>
          <w:rStyle w:val="NumeroAFNegritaCaracter"/>
        </w:rPr>
        <w:t>12</w:t>
      </w:r>
      <w:r>
        <w:t xml:space="preserve">. El escrito de alegaciones del Ministerio Fiscal fue registrado en este Tribunal el 22 de noviembre de 2000, y en él se pide el otorgamiento parcial del amparo por vulneración del derecho a un proceso sin dilaciones indebidas (art. 24.2 CE). Los demás motivos de amparo se califican de prematuros, dado que aún no ha concluido el incidente de ejecución. De esta forma, no sólo no habría vulneración del derecho a la ejecución de la Sentencia en sus propios términos (art. 24.1 CE), sino que tampoco podría identificarse discriminación alguna por comparación con otras Sentencias ya ejecutadas (art. 14 CE), ni tampoco vulneración del derecho a la prueba (pues la denegación de copias de documentos obrantes en autos sólo sería relevante si el resultado final del incidente de ejecución afectara a los intereses materiales defendidos por el recurrente). La invocación del art. </w:t>
      </w:r>
      <w:r>
        <w:lastRenderedPageBreak/>
        <w:t>24.1 CE por denegación de personación en la ejecución de otras Sentencias (que también tenían por objeto la convocatoria 1/1993) sería igualmente rechazable, ya que se trataría de una resolución judicial no irrazonable ni arbitraria: la personación en aquellos procesos debía ser pedida en cada uno de ellos, y resuelta en su seno, pues sólo de esta forma se podría garantizar también la contradicción de las partes en cada uno de los procesos, evitándose así la personación sorpresiva de terceros en procesos propios. A juicio del Ministerio Fiscal sí concurriría, en cambio, una lesión del derecho a no sufrir dilaciones indebidas (art. 24.2 CE). Tomando como punto de partida la doctrina del Tribunal Europeo de Derechos Humanos (SSTEDH de 24 de abril de 1998, caso Mavronichis contra Chipre; y de 30 de marzo de 2000, caso Procaccini contra Italia) y del Tribunal Constitucional (STC 119/2000, por todas) se llega a la conclusión de que, aun reconociendo la complejidad del caso, el órgano judicial no ha actuado con la diligencia exigible, siendo lo cierto que otras Sentencias referidas a la misma convocatoria 1/1993 se han ejecutado tempestivamente. Las dilaciones indebidas se concretan en la tolerancia de un lapso de casi ocho meses desde la primera providencia requiriendo el cumplimiento de la Sentencia sin que la Administración emprendiera actuaciones ejecutorias; luego en la dilación de más de un año en la resolución del recurso de súplica interpuesto contra el Auto de 6 de abril de 1998, tiempo durante el cual se habrían producido varias comparecencias reiterativas sin fruto alguno. Además durante todo este tiempo la actitud del recurrente habría sido claramente diligente, manteniendo una continua insistencia en reclamar el cumplimiento de la Sentencia. A la vista de lo anterior el Ministerio Fiscal pide que se declare la existencia de dilaciones indebidas y que se requiera a la Sala que ejecute la Sentencia núm. 290/1997.</w:t>
      </w:r>
    </w:p>
    <w:p w:rsidR="0025129F" w:rsidRDefault="0025129F" w:rsidP="0025129F">
      <w:pPr>
        <w:pStyle w:val="TextoNormal"/>
      </w:pPr>
    </w:p>
    <w:p w:rsidR="0025129F" w:rsidRDefault="0025129F" w:rsidP="0025129F">
      <w:pPr>
        <w:pStyle w:val="TextoNormal"/>
      </w:pPr>
      <w:r w:rsidRPr="0025129F">
        <w:rPr>
          <w:rStyle w:val="NumeroAFNegritaCaracter"/>
        </w:rPr>
        <w:t>13</w:t>
      </w:r>
      <w:r>
        <w:t>. Por diligencia de ordenación de 25 de enero de 2001 se dirigió comunicación a la Sala de lo Contencioso-Administrativo del Tribunal Superior de Justicia de Galicia a fin de que, a la mayor brevedad posible, informase sobre el estado de ejecución de la Sentencia recaída en el recurso contencioso- administrativo núm. 1333/93. Resultado de este requerimiento fue la recepción, en primer lugar, de un informe emitido por el Director General de la Función Pública de Galicia, de fecha 13 de marzo de 2001. En él se especifica que la Xunta de Galicia ha procedido, desde 1997, a la modificación de las relaciones de puestos de trabajo a fin de hacer coincidir la titulación exigible en cada puesto con los requisitos de acceso para cada grupo funcionarial; la única excepción serían, aún, 14 Jefaturas de Sección donde se exige titulación superior pese a estar abiertas a su provisión indistinta por funcionarios de los grupos “A”, “B” y “C”. En relación con las concretas peticiones formuladas por el recurrente de amparo en su recurso de súplica contra el Auto de 12 de septiembre de 2000 se precisa lo siguiente: el puesto núm. 2720 se suprimió de la convocatoria 1/1993 mediante corrección de errores debidamente publicada, por lo que no se puede adjudicar al recurrente; en la localidad de Ourense no existen puestos de trabajo de nivel 25 cuya provisión se realice por concurso de méritos.</w:t>
      </w:r>
    </w:p>
    <w:p w:rsidR="0025129F" w:rsidRDefault="0025129F" w:rsidP="0025129F">
      <w:pPr>
        <w:pStyle w:val="TextoNormal"/>
      </w:pPr>
    </w:p>
    <w:p w:rsidR="0025129F" w:rsidRDefault="0025129F" w:rsidP="0025129F">
      <w:pPr>
        <w:pStyle w:val="TextoNormal"/>
      </w:pPr>
      <w:r w:rsidRPr="0025129F">
        <w:rPr>
          <w:rStyle w:val="NumeroAFNegritaCaracter"/>
        </w:rPr>
        <w:t>14</w:t>
      </w:r>
      <w:r>
        <w:t>. En escrito registrado en este Tribunal el 20 de marzo de 2001 la Sala de lo Contencioso-Administrativo daba cuenta del estado de ejecución de la Sentencia núm. 290/1997. Tras extenso relato de los trámites hasta ahora practicados se concluye que el actual estado de inejecución de la Sentencia en cuestión es consecuencia de la falta de acuerdo entre las partes y de la imposibilidad de acceder a lo pedido por el recurrente, por la segura afectación a los intereses de numerosos terceros. Se subraya la falta de colaboración del recurrente al haber modificado en varias ocasiones sus peticiones sobre la ejecución. También se informa de que la Sala no ha acordado la paralización de la ejecución de otras Senten</w:t>
      </w:r>
      <w:r>
        <w:lastRenderedPageBreak/>
        <w:t>cias anulatorias de la misma convocatoria 1/1993 por tratarse de resoluciones anteriores a la Sentencia núm. 290/1997; y que tampoco se han anulado concursos posteriores por no haberse impugnado. Se informa también de que la Sala no desiste de la ejecución de la Sentencia en cuestión, y que a tal efecto tiene prevista una convocatoria a las partes para que formulen propuestas de puestos de trabajo concretos y cerrados. Finalmente se advierte que pudiera llegarse a una situación final de imposibilidad de ejecución in integro de la Sentencia, y que procedería entonces hacer uso de las facultades previstas en el art. 18.2 LOPJ y 105 LJCA.</w:t>
      </w:r>
    </w:p>
    <w:p w:rsidR="0025129F" w:rsidRDefault="0025129F" w:rsidP="0025129F">
      <w:pPr>
        <w:pStyle w:val="TextoNormal"/>
      </w:pPr>
    </w:p>
    <w:p w:rsidR="0025129F" w:rsidRDefault="0025129F" w:rsidP="0025129F">
      <w:pPr>
        <w:pStyle w:val="TextoNormal"/>
      </w:pPr>
      <w:r w:rsidRPr="0025129F">
        <w:rPr>
          <w:rStyle w:val="NumeroAFNegritaCaracter"/>
        </w:rPr>
        <w:t>15</w:t>
      </w:r>
      <w:r>
        <w:t>. Por providencia de la Sala Segunda, de 22 de marzo de 2001, se acordó devolver a la Procuradora señora González García el escrito y los documentos presentados el 8 de marzo de 2001. También se acordó dar traslado a todas las partes y al Ministerio Fiscal de los escritos recibidos de la Xunta de Galicia y del Tribunal Superior de Justicia de Galicia, a fin de que, en plazo de diez días, formulasen alegaciones.</w:t>
      </w:r>
    </w:p>
    <w:p w:rsidR="0025129F" w:rsidRDefault="0025129F" w:rsidP="0025129F">
      <w:pPr>
        <w:pStyle w:val="TextoNormal"/>
      </w:pPr>
    </w:p>
    <w:p w:rsidR="0025129F" w:rsidRDefault="0025129F" w:rsidP="0025129F">
      <w:pPr>
        <w:pStyle w:val="TextoNormal"/>
      </w:pPr>
      <w:r w:rsidRPr="0025129F">
        <w:rPr>
          <w:rStyle w:val="NumeroAFNegritaCaracter"/>
        </w:rPr>
        <w:t>16</w:t>
      </w:r>
      <w:r>
        <w:t>. Las alegaciones del recurrente fueron registradas en este Tribunal el 5 de abril de 2001. Se expone en ellas, en primer lugar, que la Sala de lo Contencioso-Administrativo dejó pasar más de dos meses desde que se dictó Sentencia sin adoptar alguna de las medidas previstas en los arts. 105 y 107 LJCA. Seguidamente se hace referencia al informe remitido por la Xunta de Galicia, destacando que el puesto de trabajo núm. 2720 fue suprimido de forma ilegal (por medio de corrección de errores) y se cita al respecto una Sentencia de la Audiencia Nacional de 26 de febrero de 1998. Respecto de la inexistencia de plazas disponibles de nivel 25 en Ourense afirma el recurrente que en la convocatoria 1/1993 había más de noventa plazas de este nivel y que fueron adjudicadas a diversos funcionarios; de manera que sería precisamente por la provisión de plazas con base en un concurso ilegal (el 1/1993) por lo que hoy no habría plaza de nivel 25 para él. Considera, además, que ni siquiera el nivel 25 bastaría para la correcta ejecución de Sentencia, pues a fin de conservar su situación de prioridad respecto de los que en 1993 fueron adjudicatarios (ilegítimos) de puestos de nivel 25 hoy sería necesario que ocupase un puesto de nivel 26; a ello habría que sumar, además, una indemnización compensadora por todos los daños y perjuicios sufridos en ejecución de Sentencia. Seguidamente se refiere a la forma de ejecución de las Sentencias núms. 246/1997 y 265/1997, y concluye que en ambos casos se adjudicaron plazas ilícitamente, pues se cubrieron al margen de todo procedimiento. Respecto del escrito remitido por la Sala de lo Contencioso-Administrativo alega, en síntesis, que se han producido continuas dilaciones en la ejecución de la Sentencia núm. 290/1997, que su propio comportamiento fue en todo momento diligente, y que también en todo momento estuvo dispuesto a una ejecución consensuada.</w:t>
      </w:r>
    </w:p>
    <w:p w:rsidR="0025129F" w:rsidRDefault="0025129F" w:rsidP="0025129F">
      <w:pPr>
        <w:pStyle w:val="TextoNormal"/>
      </w:pPr>
    </w:p>
    <w:p w:rsidR="0025129F" w:rsidRDefault="0025129F" w:rsidP="0025129F">
      <w:pPr>
        <w:pStyle w:val="TextoNormal"/>
      </w:pPr>
      <w:r w:rsidRPr="0025129F">
        <w:rPr>
          <w:rStyle w:val="NumeroAFNegritaCaracter"/>
        </w:rPr>
        <w:t>17</w:t>
      </w:r>
      <w:r>
        <w:t>. El Letrado de la Xunta de Galicia formuló sus alegaciones en escrito que fue registrado en este Tribunal el 16 de abril de 2001. Alega, en primer lugar, que el recurso de amparo debe ser inadmitido conforme al art. 44.1 a) LOTC, toda vez que aún no ha concluido el incidente de ejecución de sentencia, por lo que el recurso de amparo sería prematuro; muestra de ello sería el hecho de las partes estaban convocadas para comparecencia en la Sala de lo Contencioso- Administrativo el 19 de abril de 2001. Alega también el Letrado que en el fondo del asunto late una clara contradicción de las partes sobre el alcance del fallo de la Sentencia núm. 290/1997, siendo así que el recurrente pretendería la obtención de mayores beneficios de aquellos que le hubieran podido corresponder en el concur</w:t>
      </w:r>
      <w:r>
        <w:lastRenderedPageBreak/>
        <w:t>so, pretensión esta que habría sido en todo caso desestimada en los Autos de 12 de septiembre de 2000 y de 28 de febrero de 2001. Por último se insiste en que no resultaría legalmente posible la repetición de las actuaciones anuladas por la Sala, tanto por razones organizativas como por la necesaria preservación de los derechos de terceros.</w:t>
      </w:r>
    </w:p>
    <w:p w:rsidR="0025129F" w:rsidRDefault="0025129F" w:rsidP="0025129F">
      <w:pPr>
        <w:pStyle w:val="TextoNormal"/>
      </w:pPr>
    </w:p>
    <w:p w:rsidR="0025129F" w:rsidRDefault="0025129F" w:rsidP="0025129F">
      <w:pPr>
        <w:pStyle w:val="TextoNormal"/>
      </w:pPr>
      <w:r w:rsidRPr="0025129F">
        <w:rPr>
          <w:rStyle w:val="NumeroAFNegritaCaracter"/>
        </w:rPr>
        <w:t>18</w:t>
      </w:r>
      <w:r>
        <w:t>. El Fiscal, por escrito registrado en este Tribunal el 11 de abril de 2001, constata que aún no se ha ejecutado la Sentencia núm. 290/1997, razón por la cual no habría perdido virtualidad la denuncia de dilaciones indebidas y la consiguiente petición de amparo previamente formulada por el Ministerio público.</w:t>
      </w:r>
    </w:p>
    <w:p w:rsidR="0025129F" w:rsidRDefault="0025129F" w:rsidP="0025129F">
      <w:pPr>
        <w:pStyle w:val="TextoNormal"/>
      </w:pPr>
    </w:p>
    <w:p w:rsidR="0025129F" w:rsidRDefault="0025129F" w:rsidP="0025129F">
      <w:pPr>
        <w:pStyle w:val="TextoNormal"/>
      </w:pPr>
      <w:r w:rsidRPr="0025129F">
        <w:rPr>
          <w:rStyle w:val="NumeroAFNegritaCaracter"/>
        </w:rPr>
        <w:t>19</w:t>
      </w:r>
      <w:r>
        <w:t>. Por providencia de 10 de enero de 2002 se señaló para la deliberación y votación de la presente Sentencia el siguiente día.14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Como se expone detalladamente en los antecedentes, el demandante de amparo denuncia la vulneración de varios derechos fundamentales en la fase de ejecución de la Sentencia núm. 290/1997, de 23 de abril, de la Sala de lo Contencioso-Administrativo del Tribunal Superior de Justicia de Galicia, Sección Primera. Aquella Sentencia había anulado parcialmente, al igual que otras coetáneas, una Orden de la Consellería de Presidencia e Administración Pública, de 7 de junio de 1993, por la que se convocaba concurso general núm. 1/1993 para la provisión de vacantes en la función pública de Galicia. La anulación parcial estaba referida al Anexo II de la convocatoria en la medida en que exigía el requisito de titulación superior para poder acceder a puestos de trabajo convocados de forma indistinta para funcionarios de los grupos “A”, “B” y “C”. A juicio del recurrente en la ejecución de aquella Sentencia se le han vulnerado varios derechos fundamentales: a la ejecución de las sentencias firmes (art. 24.1 CE); a la prueba (art. 24.2 CE); a no sufrir dilaciones indebidas (art. 24.2 CE); a la personación (art. 24.1 CE); a la igualdad en la aplicación de la Ley (art. 14 CE); y por último, a la igualdad en el acceso a las funciones y cargos públicos (art. 23.2 CE).  El Ministerio Fiscal interesa el otorgamiento del amparo por vulneración del derecho a no sufrir dilaciones indebidas, considerando infundada la denuncia de impedimento a la personación y prematuras las demás invocaciones de derechos fundamentales. Si bien el buen orden expositivo aconseja, con carácter general, abordar con carácter preliminar las posibles causas de inadmisión, la complejidad fáctica de este proceso de amparo nos lleva a iniciar nuestro juicio por la denuncia de dilaciones indebidas.</w:t>
      </w:r>
    </w:p>
    <w:p w:rsidR="0025129F" w:rsidRDefault="0025129F" w:rsidP="0025129F">
      <w:pPr>
        <w:pStyle w:val="TextoNormal"/>
      </w:pPr>
      <w:r>
        <w:t>Pues el enjuiciamiento de este motivo de amparo precisa de una reconstrucción cronológica completa del incidente de ejecución, reconstrucción ésta que vendría a allanar el juicio de admisibilidad sobre los demás motivos de amparo. Empecemos, pues, por la alegada vulneración del derecho fundamental a no sufrir dilaciones indebidas (art. 24.2 CE).</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enjuiciar las vulneraciones de derechos fundamentales conviene traer aquí una versión sintética y selectiva del complejo incidente de ejecución, del que hemos hecho ya una descripción extensa en el antecedente 2. Recordemos, en primer lugar, que la Sentencia núm. 290/1997 fue dictada el 23 de abril de 1997. Según se expuso con detenimiento en los antecedentes, aquella Sentencia anulaba parcialmente la convocatoria del concur</w:t>
      </w:r>
      <w:r>
        <w:lastRenderedPageBreak/>
        <w:t>so 1/1993, de la Xunta de Galicia, en lo referente al requisito de “titulación superior” del Anexo II. El itinerario ejecutivo de aquella Sentencia es el que sigue:</w:t>
      </w:r>
    </w:p>
    <w:p w:rsidR="0025129F" w:rsidRDefault="0025129F" w:rsidP="0025129F">
      <w:pPr>
        <w:pStyle w:val="TextoNormal"/>
      </w:pPr>
      <w:r>
        <w:t>a) Por la Sala de lo Contencioso-Administrativo del Tribunal Superior de Justicia de Galicia se dictó una primera providencia, de 25 de junio de 1997, en la que se ordenaba la ejecución de la Sentencia núm. 290/1997. Seis meses más tarde (el 11 de febrero de 1998) se recibió en la Sala de lo Contencioso- Administrativo un informe del Director General Jefe de la Asesoría Jurídica General de la Xunta de Galicia en el que se daba cuenta de las dificultades que entrañaba la ejecución de las Sentencias parcialmente anulatorias de la convocatoria 1/1993, al tiempo que se comunicaba de que la Xunta de Galicia estaba procediendo a una modificación general de las relaciones de puestos de trabajo para adecuarlas a lo resuelto en las Sentencias anulatorias de 1993. Se descartaba, a la vista del tiempo transcurrido desde la convocatoria 1/1993, la revocación de las provisiones de puestos de trabajo realizadas al amparo del Anexo II de la convocatoria 1/1993. En respuesta a este informe administrativo el recurrente pidió la retroacción de actuaciones a fin de poder optar a alguna de las plazas de nivel 24 ofertadas en la localidad de Ourense a las que habría podido concurrir de no haber mediado el requisito de titulación superior, luego anulado.  Por Auto de 6 de abril de 1998 la Sala rechazó la petición del recurrente y le instó a que señalase cuál era el concreto puesto de trabajo al que aspiraba. En aquel momento había transcurrido ya casi un año desde que se dictó la Sentencia núm.  290/1997.</w:t>
      </w:r>
    </w:p>
    <w:p w:rsidR="0025129F" w:rsidRDefault="0025129F" w:rsidP="0025129F">
      <w:pPr>
        <w:pStyle w:val="TextoNormal"/>
      </w:pPr>
      <w:r>
        <w:t>b) El recurrente insistió, por medio de recurso de súplica, en que en ejecución de sentencia debía poder optar a los puestos que le fueron vedados en la convocatoria de 1993, y que no le correspondía a él señalar concretos puestos de trabajo pretendidos; con todo hizo especial referencia al puesto núm. 2175.  Formulada oposición por el Letrado de la Xunta de Galicia, el 29 de abril de 1999 comparecieron las dos partes procesales ante la Magistrada-Ponente. Entonces habían transcurrido ya dos años desde que se dictara la Sentencia núm.  290/1997. En esta comparecencia el recurrente presentó varias opciones para la ejecución de la Sentencia, haciendo referencia a concretos puestos de trabajo ofertados en la convocatoria 1/1993. El Letrado de la Xunta de Galicia manifestó que no era posible revocar la provisión de los puestos ya cubiertos y se comprometió a remitir a la Sala un listado de plazas ofertables al recurrente. Con posterioridad, el 11 de septiembre de 1999, la Sala dictó Auto en el que desestimaba el recurso de súplica interpuesto el 27 de abril de 1998 precisando que corresponde al recurrente identificar los concretos puestos de trabajo a los que aspira. En esta secuencia de actuaciones ejecutorias tuvo lugar la interposición del presente recurso de amparo, que fue registrado el 22 de octubre de 1999.</w:t>
      </w:r>
    </w:p>
    <w:p w:rsidR="0025129F" w:rsidRDefault="0025129F" w:rsidP="0025129F">
      <w:pPr>
        <w:pStyle w:val="TextoNormal"/>
      </w:pPr>
      <w:r>
        <w:t>c) Durante la tramitación de este proceso de amparo se requirió informe de la Sala de lo Contencioso-Administrativo sobre el estado de ejecución de la Sentencia núm. 290/1997. En respuesta a este requerimiento se recibió, el 20 de marzo de 2001, un escrito de aquel órgano judicial, en el cual se daba cuenta de que dicha Sentencia aún no había sido plenamente ejecutada.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recurrente ha invocado el art. 24.1 CE, en su vertiente de derecho a la ejecución de las sentencias firmes. Denuncia, tras esta invocación, que la Sentencia núm. 290/1997 aún no ha sido ejecutada. Este motivo de amparo se considera prematuro por el Ministerio Fiscal, ya que todavía no ha concluido el incidente de ejecución. En relación con esta causa de inadmisión debemos empezar por señalar que con frecuencia el derecho a la ejecución de las Sentencias firmes, que garantiza el art. 24.1 CE, aparece íntimamente conectado con el derecho a no sufrir dilaciones indebidas en la fase de ejecución (art. 24.2 CE), derecho éste también invocado por el demandante en su recurso de amparo y al que se </w:t>
      </w:r>
      <w:r>
        <w:lastRenderedPageBreak/>
        <w:t>hará referencia detallada más adelante (FJ 7). Es claro, y así lo viene afirmando este Tribunal desde la STC 6/1981, de 14 de julio, FJ 3, que un retraso injustificado en la adopción de las medidas de ejecución afecta, desde una perspectiva temporal, a la efectividad del derecho a la tutela judicial efectiva.  Ahora bien, esta conexión no permite concluir que las dilaciones indebidas en ejecución de sentencia contengan, siempre y de forma simultánea, una lesión del derecho a la ejecución (art. 24.1 CE) reparable por medio del amparo constitucional. Cierto es que en ocasiones anteriores hemos apreciado aquella infracción simultánea del art. 24.1 y 2 CE, como ocurre en las SSTC 155/1985, de 12 de noviembre, y 39/1995, de 13 de febrero. En los dos casos señalados se impugnaban sendos Autos que impedían directamente la ejecución de sentencias en sus propios términos: en el primer caso (el de la STC 155/1985) un Auto había negado la legitimación del recurrente para pedir medidas de ejecución; en el otro caso (el de la STC 39/1995) el Auto impugnado había acordado la suspensión indefinida del incidente de ejecución. Se trataba, en ambos casos, de resoluciones judiciales no sólo dilatorias, sino también directamente limitativas del derecho a la ejecución. En el asunto que no ocupa, en cambio, la posible incidencia de las dilaciones denunciadas en el disfrute del derecho a la ejecución de la Sentencia núm. 290/1997 no permite apreciar una lesión actual y directa en el derecho enunciado en el art. 24.1 CE y por eso este motivo de amparo resulta prematuro.  La Sala de lo Contencioso-Administrativo en ningún momento ha dado por concluido el incidente de ejecución de la Sentencia núm. 290/1997; tampoco ha suspendido indefinidamente la ejecución; menos aún ha impedido las iniciativas del recurrente en el procedimiento de ejecución. Antes bien, varias son las resoluciones adoptadas para la ejecución de aquella Sentencia. Entre ellas, los Autos de 6 de abril de 1998 y 11 de septiembre de 1999. En ambos Autos se impulsa la ejecución de la Sentencia núm.  290/1997: se requiere al recurrente para que indique concretos puestos de trabajo cuya adjudicación pudiera, a juicio del propio recurrente, satisfacer su interés. Además, nada permite pronosticar que estos requerimientos aboquen a la inejecución de la Sentencia núm. 290/1997; antes bien, el propio recurrente ha formulado concretas propuestas de provisión de puestos de trabajo que servirían para la ejecución de la Sentencia. Conforme a lo expuesto, y a semejanza de lo resuelto en el ATC 522/1987, de 6 de mayo, FJ 2, debemos concluir ahora que la denunciada lesión del derecho a la ejecución de las Sentencias firmes es prematura, y por tanto inadmisible conforme a lo dispuesto en el art. 44.1 a) LOTC [en relación con el art. 50.1 a) LOTC].</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inadmisión, por prematura, de la denunciada infracción del derecho a la ejecución de las sentencias firmes (art. 24.1 CE) debe extenderse a otros motivos de amparo directamente relacionados con el estado de inejecución de la Sentencia núm.  290/1997.  En efecto, hasta la conclusión del incidente de ejecución no puede trabarse comparación idónea entre la forma en que han sido ejecutadas otras Sentencias —como la núm. 287/1997, a la que con insistencia se refiere el recurrente— y la Sentencia núm.  290/1997; en consecuencia resulta prematura la invocación del art. 14 CE. Similar suerte corre la invocada vulneración del derecho a la prueba (art. 24.2 CE), que el recurrente dirige contra las resoluciones judiciales denegatorias de copias y testimonios de actuaciones obrantes en otras causas: sólo con la conclusión del incidente de ejecución podrá observarse la relevancia de los testimonios y copias denegados para la resolución final de aquel incidente de ejecución; y sólo por medio de ese juicio de relevancia sobre la decisión final podría concluirse que se ha vulnerado el derecho del recurrente a utilizar los medios de prueba pertinentes para su defensa (art. 24.2 CE), según viene declarando reiteradamente </w:t>
      </w:r>
      <w:r>
        <w:lastRenderedPageBreak/>
        <w:t>este Tribunal (por todas, SSTC 26/2000, de 31 de enero, FJ 2; y 43/2000, de 14 de febrero. FJ 2).</w:t>
      </w:r>
    </w:p>
    <w:p w:rsidR="0025129F" w:rsidRDefault="0025129F" w:rsidP="0025129F">
      <w:pPr>
        <w:pStyle w:val="TextoNormal"/>
      </w:pPr>
    </w:p>
    <w:p w:rsidR="0025129F" w:rsidRDefault="0025129F" w:rsidP="0025129F">
      <w:pPr>
        <w:pStyle w:val="TextoNormal"/>
      </w:pPr>
      <w:r w:rsidRPr="0025129F">
        <w:rPr>
          <w:rStyle w:val="NumeroAFNegritaCaracter"/>
        </w:rPr>
        <w:t>5</w:t>
      </w:r>
      <w:r>
        <w:t>. El recurrente también denuncia en su demanda de amparo la vulneración del derecho a la personación en la ejecución de otras sentencias (art. 24.1 CE). La formulación de este motivo de amparo infringe, por su notoria confusión e imprecisión, las exigencias de claridad y concisión que establece el art. 49 LOTC.  Es significativo, en este sentido, que la demanda de amparo ni siquiera precise con claridad qué actos u omisiones procesales habían sido los causantes de la infracción constitucional denunciada. En lo que la confusión de la demanda aún permite el juicio de este Tribunal debemos recordar que, conforme a lo resuelto en la STC 4/1985, de 18 de enero, FFJJ 2 y 3, los terceros que no fueron parte en un proceso pueden, si media interés legítimo, comparecer en ejecución de Sentencia, personación ésta que —desde la perspectiva del art. 24.1 CE— ha de ser rogada (ATC 377/1990, de 22 de octubre, FJ 2). Resulta, en este sentido, que el recurrente no solicitó su personación en cada uno de los procesos en los que se consideraba interesado, justificando su interés en cada uno de ellos, sino que formuló una petición única de personación (sobre un listado de procedimientos) en su escrito de alegaciones de 2 de abril de 1998, presentado en el incidente de ejecución de la Sentencia núm. 290/1997. Obviamente, la personación del recurrente en cada una de las causas del listado debía ser permitida o denegada por el órgano judicial caso por caso y con respeto a los intereses y derechos de quienes eran parte en cada proceso. Y si la personación sólo podía tener lugar causa por causa, también las hipotéticas infracciones del art. 24.1 CE debían tener lugar en cada proceso, y en ellas hallar primariamente su reparación. Incluso un hipotético silencio ante peticiones de personación debía ser denunciado y combatido en cada causa. Pues bien, en forma alguna ha acreditado el recurrente la invocación, en ninguno de los procesos indicados, de su derecho a la personación en fase de ejecución (art. 24.1 CE).  Al contrario, la única invocación del aquel derecho ha tenido lugar, de forma claramente extravagante, en el único proceso en el que el recurrente es parte. A la vista de lo anterior, debemos concluir que en relación con este motivo de amparo concurre la causa de inadmisión del art. 44.1 c) LOTC, en relación con el art. 50.1 a) LOTC, por falta de invocación formal del derecho fundamental en el proceso en que, en hipótesis, habría sido vulnerado.</w:t>
      </w:r>
    </w:p>
    <w:p w:rsidR="0025129F" w:rsidRDefault="0025129F" w:rsidP="0025129F">
      <w:pPr>
        <w:pStyle w:val="TextoNormal"/>
      </w:pPr>
    </w:p>
    <w:p w:rsidR="0025129F" w:rsidRDefault="0025129F" w:rsidP="0025129F">
      <w:pPr>
        <w:pStyle w:val="TextoNormal"/>
      </w:pPr>
      <w:r w:rsidRPr="0025129F">
        <w:rPr>
          <w:rStyle w:val="NumeroAFNegritaCaracter"/>
        </w:rPr>
        <w:t>6</w:t>
      </w:r>
      <w:r>
        <w:t>. Inadmitido el anterior motivo de amparo, también hemos de abstenernos de todo juicio de fondo sobre la alegada vulneración del derecho a acceder a los cargos y funciones públicas en condiciones de igualdad (art. 23.2 CE). Y ello, de nuevo, por falta de invocación formal del derecho fundamental en el proceso en que tiene lugar la lesión denunciada (art. 44.1.c LOTC, en relación con el art.  50.1.a LOTC). El recurrente alega que la forma en que se han ejecutado otras Sentencias de la misma Sala, también parcialmente anulatorias de la convocatoria 1/1993, impide el acceso del demandante en condiciones de igualdad a las funciones públicas, pues en la ejecución de aquellas Sentencias se estarían adjudicando, de forma directa, puestos de trabajo concretos a los distintos demandantes, al margen de todo procedimiento selectivo de función pública. Es claro que las lesiones de que se queja el recurrentes se habrían producido en cada uno de los procesos a que hace referencia. Pues bien, en forma alguna ha acreditado el recurrente la invocación del art. 23.2 CE en aquellos procesos donde han tenido lugar —a decir del recurrente— las infracciones constitucionales. Antes bien, la invocación ha tenido lugar en el proceso núm. 1333/93, en el que es actor el recurrente y en el que el mismo demandante denuncia que aún no ha tenido lugar la ejecución de la Sentencia.</w:t>
      </w:r>
    </w:p>
    <w:p w:rsidR="0025129F" w:rsidRDefault="0025129F" w:rsidP="0025129F">
      <w:pPr>
        <w:pStyle w:val="TextoNormal"/>
      </w:pPr>
    </w:p>
    <w:p w:rsidR="0025129F" w:rsidRDefault="0025129F" w:rsidP="0025129F">
      <w:pPr>
        <w:pStyle w:val="TextoNormal"/>
      </w:pPr>
      <w:r w:rsidRPr="0025129F">
        <w:rPr>
          <w:rStyle w:val="NumeroAFNegritaCaracter"/>
        </w:rPr>
        <w:t>7</w:t>
      </w:r>
      <w:r>
        <w:t>. El demandante de amparo también ha denunciado dilaciones indebidas en la ejecución de la Sentencia 290/1997. Este Tribunal ha ido acuñando una consolidada jurisprudencia sobre el derecho fundamental a un proceso sin dilaciones indebidas (art. 24.2 CE) que puede encontrarse, entre las recientes, en las SSTC 58/1999, de 12 de abril, FJ 6; 124/1999, de 28 de junio, FJ 2; 160/1999, de 14 de septiembre, FJ 3; 230/1999, de 13 de diciembre, FJ 2; y 103/2000, de 10 de abril, FJ 2. Para lo que aquí interesa cabe sintetizar nuestra doctrina diciendo que el art. 24.2 CE consagra el derecho, no al estricto cumplimiento de los plazos procesales, sino a la tramitación de los asuntos ante los Tribunales de Justicia en un “plazo razonable” (según señala el art.  6.1 CEDH), y que son varios los criterios para determinar si este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se haya dado a éste un tiempo que razonablemente le permita remediar la dilación, al objeto de respetar el carácter subsidiario del recurso de amparo constitucional. El canon de constitucionalidad a que hemos hecho referencia rige sin excepción en fase de ejecución de sentencia, según viene declarando este Tribunal desde la STC 26/1983, de 13 de abril, FJ 3, y ha reiterado —entre otras— en las SSTC 313/1993, de 25 de octubre, FJ 4; 33/1997, de 24 de febrero, FJ 2; 78/1998, de 31 de marzo, FJ 3; y 32/1999, de 8 de marzo, FJ 2.</w:t>
      </w:r>
    </w:p>
    <w:p w:rsidR="0025129F" w:rsidRDefault="0025129F" w:rsidP="0025129F">
      <w:pPr>
        <w:pStyle w:val="TextoNormal"/>
      </w:pPr>
    </w:p>
    <w:p w:rsidR="0025129F" w:rsidRDefault="0025129F" w:rsidP="0025129F">
      <w:pPr>
        <w:pStyle w:val="TextoNormal"/>
      </w:pPr>
      <w:r w:rsidRPr="0025129F">
        <w:rPr>
          <w:rStyle w:val="NumeroAFNegritaCaracter"/>
        </w:rPr>
        <w:t>8</w:t>
      </w:r>
      <w:r>
        <w:t>. Precisado el alcance del derecho a no sufrir dilaciones indebidas, lo primero que debemos destacar en el presente asunto es que desde la fecha en que se dictó la Sentencia (la de 23 de abril de 1997) hasta la interposición del presente recurso de amparo (el 22 de octubre de 1999) han transcurrido dos años y seis meses. Durante todo ese tiempo ha permanecido abierto el incidente de ejecución de la Sentencia núm. 290/1997. En ese procedimiento fue reiterada, por parte del recurrente, la denuncia de dilaciones indebidas, habiendo constancia de esta denuncia, por primera vez, en el escrito de interposición de recurso de súplica que fue registrado en la Sala de lo Contencioso-Administrativo el 27 de abril de 1998. Basta con lo dicho para constatar que la ejecución de la Sentencia 290/1997 se ha dilatado en el tiempo; no sólo tomando como referencia la fecha en que se dictó, sino también partiendo del día en que denunció, por primera vez, la dilación. Una vez constatada la notable extensión temporal del incidente de ejecución debemos enjuiciar si de ahí resulta una infracción del art. 24.2 CE.  Nuestro juicio ha de consistir, por este orden, en comprobar la complejidad del caso; cotejar la duración del procedimiento con lo que es propio de aquel incidente; y, finalmente, valorar la actuación de las partes y del propio órgano judicial. A ello dedicamos los fundamentos jurídicos que siguen.</w:t>
      </w:r>
    </w:p>
    <w:p w:rsidR="0025129F" w:rsidRDefault="0025129F" w:rsidP="0025129F">
      <w:pPr>
        <w:pStyle w:val="TextoNormal"/>
      </w:pPr>
    </w:p>
    <w:p w:rsidR="0025129F" w:rsidRDefault="0025129F" w:rsidP="0025129F">
      <w:pPr>
        <w:pStyle w:val="TextoNormal"/>
      </w:pPr>
      <w:r w:rsidRPr="0025129F">
        <w:rPr>
          <w:rStyle w:val="NumeroAFNegritaCaracter"/>
        </w:rPr>
        <w:t>9</w:t>
      </w:r>
      <w:r>
        <w:t>. Basta, para percatarse de lo compleja que viene resultando la ejecución de la Sentencia núm. 290/1997, con pasar revista a las actuaciones, de cuya mera contemplación resulta claro que aquella complejidad está estrechamente relacionada con la forma en que la Xunta de Galicia, con la conformidad de la Sala de lo Contencioso-Administrativo, pretende ejecutar la Sentencia. Desde el principio viene afirmando la Xunta de Galicia que no es posible la convocatoria de un nuevo concurso para la provisión de las plazas ya asignadas conforme a la convocatoria 1/1993. Justifica esta posición de principio en la necesidad de dispensar la debida protección a los derechos de los terceros y en las exigencias de es</w:t>
      </w:r>
      <w:r>
        <w:lastRenderedPageBreak/>
        <w:t>tabilidad de la organización administrativa. Por eso ha optado por ir asignando plazas vacantes a quienes fueron recurrentes contra la convocatoria 1/1993. Además, el ente autonómico reclama del recurrente que identifique puestos concretos (de los convocados en 1993) que, estando vacantes, puedan ser asignados al demandante, a la vista de los méritos que en él concurrían. Estos planteamientos de principio han sido aceptados por la Sala de lo Contencioso- Administrativo en sus Autos de 6 de abril de 1998 y de 11 de septiembre de 1999.</w:t>
      </w:r>
    </w:p>
    <w:p w:rsidR="0025129F" w:rsidRDefault="0025129F" w:rsidP="0025129F">
      <w:pPr>
        <w:pStyle w:val="TextoNormal"/>
      </w:pPr>
      <w:r>
        <w:t>Cierto es que no corresponde al Tribunal Constitucional sustituir al órgano judicial competente en la tarea de dirigir la ejecución administrativa de la Sentencia núm. 290/1997, pero sí debemos valorar la relevancia que para el derecho a no sufrir dilaciones indebidas (art. 24.2 CE) presenta la forma de ejecución de la Sentencia núm. 290/1997. Dos datos son aquí relevantes: primero, que la modificación de la relaciones de puestos de trabajo (en el sentido de reclasificar como propias del grupo “A” las plazas donde es necesaria titulación superior) tiene por consecuencia que se limitan las plazas adjudicables en ejecución de Sentencia, efecto éste limitativo que de por sí dificulta la ejecución, o al menos la hace más compleja. Segundo, que la opción de adjudicar al recurrente una de las plazas vacantes, pero sólo de las convocadas en 1993, tiene por consecuencia que el simple paso del tiempo hace cada vez más compleja la ejecución. En efecto, con el transcurso del tiempo van cambiando los puestos de trabajo, al punto, incluso, de que algunos de los puestos de 1993 ya ni siquiera existen; y los que existen se van adjudicando a otros funcionarios (así, como consecuencia de la convocatoria 1/1997). En suma, la complejidad de la ejecución, aunque innegable, es consecuencia, al menos en parte, de la opción ejecutiva adoptada por la Administración y aceptada por el órgano judicial; y, por lo mismo, no es oponible a quien sufre las dilaciones y constantemente ha propuesto otra forma de ejecución.</w:t>
      </w:r>
    </w:p>
    <w:p w:rsidR="0025129F" w:rsidRDefault="0025129F" w:rsidP="0025129F">
      <w:pPr>
        <w:pStyle w:val="TextoNormal"/>
      </w:pPr>
    </w:p>
    <w:p w:rsidR="0025129F" w:rsidRDefault="0025129F" w:rsidP="0025129F">
      <w:pPr>
        <w:pStyle w:val="TextoNormal"/>
      </w:pPr>
      <w:r w:rsidRPr="0025129F">
        <w:rPr>
          <w:rStyle w:val="NumeroAFNegritaCaracter"/>
        </w:rPr>
        <w:t>10</w:t>
      </w:r>
      <w:r>
        <w:t>. El segundo escalón de nuestro juicio ha de consistir en cotejar la dilación denunciada con la duración normal constitucionalmente aceptable del incidente en cuestión.</w:t>
      </w:r>
    </w:p>
    <w:p w:rsidR="0025129F" w:rsidRDefault="0025129F" w:rsidP="0025129F">
      <w:pPr>
        <w:pStyle w:val="TextoNormal"/>
      </w:pPr>
      <w:r>
        <w:t>Al efecto debemos destacar, en primer lugar, que el incidente procesal de ejecución es, ya de por sí, un instrumento procesal extraordinario respecto de la normal ejecución inmediata de las Sentencias contencioso-administrativas.  Conviene subrayar, en este sentido, que lo ordinario no es la existencia de controversias en la ejecución sino, antes bien, la ejecución incontestada e inmediata por el correspondiente órgano administrativo. Las Sentencias en materia de personal no son aquí una excepción.  Sentado lo anterior aún debemos referirnos a los plazos legales que para la plena ejecución del fallo fijaba la LJCA de 1956. Obvio es que el nuestro no es un juicio de legalidad procesal, sino de estricta constitucionalidad; pero a la hora de valorar la existencia de dilaciones indebidas (prohibidas ex art. 24.2 CE) conviene tener a la vista, como primera referencia, los plazos que la propia Ley procesal establece para la ejecución de las sentencias. Tenemos, en este sentido, que, conforme al art.  105.1 a) LJCA (de 1956), el órgano administrativo debía adoptar las medidas adecuadas para la ejecución del fallo en el plazo de dos meses. Además, según el art. 110.2 LJCA (de 1956), una vez transcurridos seis meses desde la recepción de la Sentencia por el órgano administrativo, la Sala de lo Contencioso-Administrativo debía haber adoptado directamente las medidas procedentes para el cumplimiento de lo mandado. A partir de las anteriores referencias temporales, que sirven para valorar cuál es el lapso común del incidente (extraordinario) de ejecución, debemos concluir que la ejecución de la Sentencia núm. 290/1997 no tiene encaje en los parámetros temporales aceptables desde la óptica constitucional. Una extensión temporal tan dilatada explica por la singular estructu</w:t>
      </w:r>
      <w:r>
        <w:lastRenderedPageBreak/>
        <w:t>ra contradictoria con la que se ha tramitado el incidente de ejecución. En efecto, ya el Auto de 6 de abril de 1998 impone al recurrente la carga de identificar los concretos puestos de trabajo, de los convocados en 1993, a cuya adjudicación aspira. Desde este momento, el incidente de ejecución responde a una secuencia fija: primero, propuestas de ejecución del recurrente (algunas —no todas— con referencias a concretos puestos de trabajo); después, alegaciones de la Xunta de Galicia, en las que se explica por qué no se puede atender a lo pedido por el recurrente; y finalmente, resolución del órgano judicial, en la que se deniega lo pedido y se vuelve encargar al recurrente que formule peticiones atendibles. En esta secuencia la Xunta de Galicia adopta una actitud pasiva de la que resultan las dilaciones. Lo expuesto basta para excluir, de forma tajante, que el lapso de dos años y seis meses esté dentro de los márgenes temporales ordinarios para la ejecución de las sentencias contencioso-administrativas.</w:t>
      </w:r>
    </w:p>
    <w:p w:rsidR="0025129F" w:rsidRDefault="0025129F" w:rsidP="0025129F">
      <w:pPr>
        <w:pStyle w:val="TextoNormal"/>
      </w:pPr>
    </w:p>
    <w:p w:rsidR="0025129F" w:rsidRDefault="0025129F" w:rsidP="0025129F">
      <w:pPr>
        <w:pStyle w:val="TextoNormal"/>
      </w:pPr>
      <w:r w:rsidRPr="0025129F">
        <w:rPr>
          <w:rStyle w:val="NumeroAFNegritaCaracter"/>
        </w:rPr>
        <w:t>11</w:t>
      </w:r>
      <w:r>
        <w:t>. Finalmente, procede valorar la actuación de las partes y del órgano judicial. Tanto el Letrado de la Xunta de Galicia como el propio órgano judicial reprochan en varias ocasiones la falta de colaboración del recurrente. No cabe duda de que la continua remisión de escritos por el recurrente, así como la extravagancia de algunas de sus peticiones, ha lastrado la tramitación del incidente de ejecución. Sin embargo, no es aquella conducta procesal la única determinante de las dilaciones. En los distintos trámites de alegaciones el recurrente viene defendiendo que la correcta ejecución de la Sentencia núm.  290/1997 consiste en la convocatoria de un nuevo concurso, que sustituya al de 1993. Y aunque ese es su criterio original (que viene defendiendo con insistencia en todo el procedimiento de ejecución, pero que no tuvo reflejo en el fallo de la Sentencia origen del caso) también ha presentado, porque así se lo requirió el órgano judicial, varias propuestas de ejecución de sentencia mediante la asignación de puestos de trabajos singularizados. Y a las propuestas del recurrente la Administración viene respondiendo con denegaciones motivadas, pero no con propuestas propias. Por tanto es también la actitud pasiva de la Xunta de Galicia, y no sólo el comportamiento del recurrente, el factor que viene provocando la repetición de una misma secuencia contradictoria en el incidente de ejecución. Es, además, una secuencia dilatoria tolerada por el órgano judicial, tanto porque acepta la posición pasiva en que se sitúa la Administración, como por la indulgencia con que ha tratado los silencios y demoras de la propia Xunta.  Lo expuesto, sumado a lo razonado en los fundamentos jurídicos precedentes, lleva derechamente a concluir que el recurrente ha sido lesionado en su derecho fundamental a no sufrir dilaciones indebidas en ejecución de sentencia, derecho que le reconoce el art. 24.2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parcialmente el presente recurso de amparo y, en consecuencia:</w:t>
      </w:r>
    </w:p>
    <w:p w:rsidR="0025129F" w:rsidRDefault="0025129F" w:rsidP="0025129F">
      <w:pPr>
        <w:pStyle w:val="TextoNormal"/>
      </w:pPr>
      <w:r>
        <w:t xml:space="preserve">1º Declarar que ha sido vulnerado el derecho fundamental del demandante a un proceso sin dilaciones indebidas en la ejecución de la Sentencia núm.  290/1997, de 23 de abril, </w:t>
      </w:r>
      <w:r>
        <w:lastRenderedPageBreak/>
        <w:t>dictada por la Sala de lo Contencioso-Administrativo del Tribunal Superior de Justicia de Galicia en el recurso núm. 1333/93.</w:t>
      </w:r>
    </w:p>
    <w:p w:rsidR="0025129F" w:rsidRDefault="0025129F" w:rsidP="0025129F">
      <w:pPr>
        <w:pStyle w:val="TextoNormal"/>
      </w:pPr>
      <w:r>
        <w:t>2º Restablecer al recurrente en el disfrute de su derecho, y a tal fin ordenar que se adopten las medidas pertinentes para poner fin a las dilaciones en la ejecución de la referida Sentencia.</w:t>
      </w:r>
    </w:p>
    <w:p w:rsidR="0025129F" w:rsidRDefault="0025129F" w:rsidP="0025129F">
      <w:pPr>
        <w:pStyle w:val="TextoNormal"/>
      </w:pPr>
      <w:r>
        <w:t>Denegar el amparo en todo lo demás.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1" w:name="SENTENCIA_2002_8"/>
      <w:r>
        <w:lastRenderedPageBreak/>
        <w:t>SENTENCIA 8/2002, de 14 de enero de 2002</w:t>
      </w:r>
    </w:p>
    <w:bookmarkEnd w:id="11"/>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ECLI:ES:TC:2002:8</w:t>
      </w:r>
    </w:p>
    <w:p w:rsidR="0025129F" w:rsidRDefault="0025129F" w:rsidP="0025129F">
      <w:pPr>
        <w:pStyle w:val="SntesisDescriptiva"/>
      </w:pPr>
    </w:p>
    <w:p w:rsidR="0025129F" w:rsidRDefault="0025129F" w:rsidP="0025129F">
      <w:pPr>
        <w:pStyle w:val="SntesisDescriptiva"/>
      </w:pPr>
      <w:r>
        <w:t>Recurso de amparo 1496-2000. Promovido por don Antonio Luque Rodríguez respecto de los Autos de la Audiencia Provincial de Almería y de un Juzgado de Instrucción de Vera que acordaron mantener su situación de prisión provisional, en una causa seguida por delito contra la salud pública.</w:t>
      </w:r>
    </w:p>
    <w:p w:rsidR="0025129F" w:rsidRDefault="0025129F" w:rsidP="0025129F">
      <w:pPr>
        <w:pStyle w:val="SntesisDescriptiva"/>
      </w:pPr>
    </w:p>
    <w:p w:rsidR="0025129F" w:rsidRDefault="0025129F" w:rsidP="0025129F">
      <w:pPr>
        <w:pStyle w:val="SntesisAnaltica"/>
      </w:pPr>
      <w:r>
        <w:t>Vulneración del derecho a la libertad personal: prisión provisional insuficientemente motivada (STC 128/1995).</w:t>
      </w:r>
    </w:p>
    <w:p w:rsidR="0025129F" w:rsidRDefault="0025129F" w:rsidP="0025129F">
      <w:pPr>
        <w:pStyle w:val="SntesisAnaltica"/>
      </w:pPr>
    </w:p>
    <w:p w:rsidR="0025129F" w:rsidRDefault="0025129F" w:rsidP="0025129F">
      <w:pPr>
        <w:pStyle w:val="Extracto"/>
      </w:pPr>
      <w:r>
        <w:t>1.</w:t>
      </w:r>
      <w:r>
        <w:tab/>
        <w:t>La motivación del Auto que acordó la prisión provisional es virtualmente inexistente, y las motivaciones de los Autos que la mantuvieron son incompletas, porque no evalúan ni las circunstancias concretas del caso ni las circunstancias personales del imputado, y porque no contienen además referencia alguna a los fines constitucionalmente legítimos de la institución [FFJJ 6 y 7].</w:t>
      </w:r>
    </w:p>
    <w:p w:rsidR="0025129F" w:rsidRDefault="0025129F" w:rsidP="0025129F">
      <w:pPr>
        <w:pStyle w:val="Extracto"/>
      </w:pPr>
    </w:p>
    <w:p w:rsidR="0025129F" w:rsidRDefault="0025129F" w:rsidP="0025129F">
      <w:pPr>
        <w:pStyle w:val="Extracto"/>
      </w:pPr>
      <w:r>
        <w:t>2.</w:t>
      </w:r>
      <w:r>
        <w:tab/>
        <w:t>La utilización de formularios no es siempre ni necesariamente contraria a la tutela judicial efectiva (SSTC 74/1990, 128/1996) [FJ 5].</w:t>
      </w:r>
    </w:p>
    <w:p w:rsidR="0025129F" w:rsidRDefault="0025129F" w:rsidP="0025129F">
      <w:pPr>
        <w:pStyle w:val="Extracto"/>
      </w:pPr>
    </w:p>
    <w:p w:rsidR="0025129F" w:rsidRDefault="0025129F" w:rsidP="0025129F">
      <w:pPr>
        <w:pStyle w:val="Extracto"/>
      </w:pPr>
      <w:r>
        <w:t>3.</w:t>
      </w:r>
      <w:r>
        <w:tab/>
        <w:t>Las decisiones relativas a la adopción y al mantenimiento de la prisión provisional deben expresarse en una resolución judicial motivada (SSTC 128/1995, 14/2000) [FJ 4].</w:t>
      </w:r>
    </w:p>
    <w:p w:rsidR="0025129F" w:rsidRDefault="0025129F" w:rsidP="0025129F">
      <w:pPr>
        <w:pStyle w:val="Extracto"/>
      </w:pPr>
    </w:p>
    <w:p w:rsidR="0025129F" w:rsidRDefault="0025129F" w:rsidP="0025129F">
      <w:pPr>
        <w:pStyle w:val="Extracto"/>
      </w:pPr>
      <w:r>
        <w:t>4.</w:t>
      </w:r>
      <w:r>
        <w:tab/>
        <w:t>La puesta en libertad del demandante de amparo no priva de objeto a este recurso (SSTC 47/2000, 61/2001)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1496-2000, promovido por don Antonio Luque Rodríguez, representado por el Procurador de los Tribunales don José Castillo Ruiz y asistido por el Letrado don Aquilino Garfias Espejo, contra el Auto del Juzgado de Instrucción </w:t>
      </w:r>
      <w:r>
        <w:lastRenderedPageBreak/>
        <w:t>núm. 2 de Vera (Almería), dictado el 23 de septiembre de 1999 en las diligencias previas número 1392/99, en el que se acordó la prisión provisional comunicada y sin fianza del ahora recurrente, contra el Auto del mismo Juzgado de Instrucción, de fecha 5 de octubre de 1999, que desestimó el recurso en que se postulaba la reforma del anterior Auto, así como contra el Auto núm. 20/2000, de 3 de febrero, de la Sección Segunda de la Audiencia Provincial de Almería, que desestimó el recurso interpuesto contra los anteriores Autos. Ha sido parte el Ministerio Fiscal.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medio de escrito registrado en este Tribunal el 15 de marzo de 2000 el Procurador de los Tribunales don José Castillo Ruiz, en nombre y representación de don Antonio Luque Rodríguez, interpone recurso de amparo contra los Autos indicados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que se fundamenta la demanda son, sucintamente expuestos, los siguientes: </w:t>
      </w:r>
    </w:p>
    <w:p w:rsidR="0025129F" w:rsidRDefault="0025129F" w:rsidP="0025129F">
      <w:pPr>
        <w:pStyle w:val="TextoNormal"/>
      </w:pPr>
      <w:r>
        <w:t xml:space="preserve">a) En el Juzgado de Instrucción núm. 2 de Vera se incoaron las diligencias previas núm. 1392/99, por delito contra la salud pública. El 23 de septiembre de 1999 el Juzgado dictó Auto acordando la prisión provisional del ahora recurrente en amparo. Dicho Auto tiene como motivación dos párrafos correspondientes a un formulario, que se completa con datos del presente caso en mayúsculas, en los que se dice lo siguiente: </w:t>
      </w:r>
    </w:p>
    <w:p w:rsidR="0025129F" w:rsidRDefault="0025129F" w:rsidP="0025129F">
      <w:pPr>
        <w:pStyle w:val="TextoNormal"/>
      </w:pPr>
      <w:r>
        <w:t xml:space="preserve">“Que los artículos 489, 497, 499, 503 y 504 de la Ley de Enjuiciamiento Criminal facultan al Juez para acordar la detención, prisión de los presuntos responsables o su libertad provisional, con fianza o sin ella y en el caso presente prisión provisional comunicada sin fianza de Antonio Luque Rodríguez... </w:t>
      </w:r>
    </w:p>
    <w:p w:rsidR="0025129F" w:rsidRDefault="0025129F" w:rsidP="0025129F">
      <w:pPr>
        <w:pStyle w:val="TextoNormal"/>
      </w:pPr>
      <w:r>
        <w:t xml:space="preserve">Vistos los preceptos citados artículos 501, 505, 506, 520, 527, 528 s.s. de la Ley de Enjuiciamiento Criminal y demás de pertinente aplicación”. </w:t>
      </w:r>
    </w:p>
    <w:p w:rsidR="0025129F" w:rsidRDefault="0025129F" w:rsidP="0025129F">
      <w:pPr>
        <w:pStyle w:val="TextoNormal"/>
      </w:pPr>
      <w:r>
        <w:t>b) El 26 de septiembre de 1999 el actor presentó ante el mismo Juzgado recurso de reforma contra dicho Auto, aduciendo que el mismo carece de motivación, por lo que vulnera los arts. 17 y 24 CE, toda vez que no pondera el peligro que se quiere evitar, ni las circunstancias concretas del hecho ni las circunstancias personales y sociales del imputado, como exige la doctrina de este Tribunal, cuyas Sentencias 128/1995, 14/1996, 107/1997 y 108/1998 cita. Añade que no hay una adecuada fundamentación del riesgo de fuga, como exige la STC 128/1995 y la jurisprudencia del Tribunal Europeo de Derechos Humanos, señalando que dicho riesgo no existía toda vez que el recurrente había comparecido voluntariamente tras la llamada de la Guardia Civil, era joven, no había salido de su pueblo, estaba realizando la prestación social sustitutoria en Protección Civil, pertenecía a una familia de economía moderada, no tenía relaciones con el extranjero ni tenía antecedentes penales. Argumenta que para poder decretar la prisión provisional debían constar indicios de responsabilidad criminal, con motivos bastantes para vincular el hecho a la supuesta participación en el mismo de la persona afectada por la medida, conforme a la STC 128/1995, lo que no existe en este caso, toda vez que sólo existían meros indicios (el hallazgo de un teléfono móvil y una cartera del recurrente en el lugar donde se encontraba la droga, así como un determinado mensaje de la madre) respecto de los cuales había dado explicaciones no absurdas (la pérdida de tales efectos y el lugar donde se encontraba dur</w:t>
      </w:r>
      <w:r>
        <w:lastRenderedPageBreak/>
        <w:t xml:space="preserve">miendo). Invoca la presunción de inocencia y concluye afirmando la concurrencia de indefensión. </w:t>
      </w:r>
    </w:p>
    <w:p w:rsidR="0025129F" w:rsidRDefault="0025129F" w:rsidP="0025129F">
      <w:pPr>
        <w:pStyle w:val="TextoNormal"/>
      </w:pPr>
      <w:r>
        <w:t xml:space="preserve">c) Tal petición fue desestimada por Auto del Juzgado de 5 de octubre de 1999, que también tiene apariencia de formulario y en el que se recoge el siguiente fundamento de Derecho único: </w:t>
      </w:r>
    </w:p>
    <w:p w:rsidR="0025129F" w:rsidRDefault="0025129F" w:rsidP="0025129F">
      <w:pPr>
        <w:pStyle w:val="TextoNormal"/>
      </w:pPr>
      <w:r>
        <w:t xml:space="preserve">“Los artículos 496, 497, 498, 499, 503 y 504 de la Ley de Enjuiciamiento Criminal establecen acordar la prisión o la libertad provisional, con fianza o sin ella, siempre que se den los requisitos exigidos para ello. </w:t>
      </w:r>
    </w:p>
    <w:p w:rsidR="0025129F" w:rsidRDefault="0025129F" w:rsidP="0025129F">
      <w:pPr>
        <w:pStyle w:val="TextoNormal"/>
      </w:pPr>
      <w:r>
        <w:t xml:space="preserve">En el presente supuesto nos encontramos ante un supuesto delito contra la salud pública presuntamente cometido por el preso, para los que la ley prevé la pena señalada en los artículos 368 y 369 del Código Penal. </w:t>
      </w:r>
    </w:p>
    <w:p w:rsidR="0025129F" w:rsidRDefault="0025129F" w:rsidP="0025129F">
      <w:pPr>
        <w:pStyle w:val="TextoNormal"/>
      </w:pPr>
      <w:r>
        <w:t xml:space="preserve">Atendidas las circunstancias del hecho, la gravedad del mismo, la alarma social que produce el delito cometido y la pena señalada por la Ley para el delito en cuestión, los indicios racionales de criminalidad; no ha perdido su justificación la adopción de la medida cautelar, debe mantenerse la misma, debiendo con ello desestimar el recurso planteado. </w:t>
      </w:r>
    </w:p>
    <w:p w:rsidR="0025129F" w:rsidRDefault="0025129F" w:rsidP="0025129F">
      <w:pPr>
        <w:pStyle w:val="TextoNormal"/>
      </w:pPr>
      <w:r>
        <w:t xml:space="preserve">Vistos los preceptos citados y demás de general y pertinente aplicación.” </w:t>
      </w:r>
    </w:p>
    <w:p w:rsidR="0025129F" w:rsidRDefault="0025129F" w:rsidP="0025129F">
      <w:pPr>
        <w:pStyle w:val="TextoNormal"/>
      </w:pPr>
      <w:r>
        <w:t xml:space="preserve">d) Contra el Auto de 23 de septiembre anteriormente citado presenta el actor con fecha 26 de octubre de 1999 el correspondiente recurso ante la Audiencia Provincial de Almería. En dicho recurso reitera la argumentación expuesta en su recurso de reforma de 26 de septiembre de 1999, que se ha sintetizado en el apartado b) de este antecedente, con diferencias de matiz que no es necesario consignar. </w:t>
      </w:r>
    </w:p>
    <w:p w:rsidR="0025129F" w:rsidRDefault="0025129F" w:rsidP="0025129F">
      <w:pPr>
        <w:pStyle w:val="TextoNormal"/>
      </w:pPr>
      <w:r>
        <w:t xml:space="preserve">e) El recurso es desestimado por Auto núm. 20/2000 (en el rollo núm. 241/99), de la Sección Segunda de la Audiencia Provincial con la siguiente fundamentación: </w:t>
      </w:r>
    </w:p>
    <w:p w:rsidR="0025129F" w:rsidRDefault="0025129F" w:rsidP="0025129F">
      <w:pPr>
        <w:pStyle w:val="TextoNormal"/>
      </w:pPr>
      <w:r>
        <w:t xml:space="preserve">“El recurso interpuesto ha de ser desestimado en cuanto que, conforme a lo interesado por el Ministerio Fiscal, y del propio contenido del Auto recurrido y otro por el que se desestimó el recurso de reforma interpuesto contra el anterior, así como de la propia información suministrada por la Instructora, se da en el presente supuesto los elementos necesarios, conforme a lo dispuesto en los arts. 503 y 504 de la L.E. Crim. para adoptar la medida cautelar de privación de libertad provisional al acusado. </w:t>
      </w:r>
    </w:p>
    <w:p w:rsidR="0025129F" w:rsidRDefault="0025129F" w:rsidP="0025129F">
      <w:pPr>
        <w:pStyle w:val="TextoNormal"/>
      </w:pPr>
      <w:r>
        <w:t xml:space="preserve">Para ello se valoró la clase de delito cometido y frecuencia con que se da en la zona, la propia intervención del hoy recurrente en los hechos procesales y la pena que en su día pueda corresponderle. </w:t>
      </w:r>
    </w:p>
    <w:p w:rsidR="0025129F" w:rsidRDefault="0025129F" w:rsidP="0025129F">
      <w:pPr>
        <w:pStyle w:val="TextoNormal"/>
      </w:pPr>
      <w:r>
        <w:t>Frente a ello el recurrente no aporta elementos suficientes que determinen la existencia de inoportunidad de aquella medida, con base en los elementos antes mencionados y por tanto no podrá prosperar tal solicitud, sin perjuicio de la modificación de la misma en el momento que así lo considere oportuno el Instructor.”</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su demanda de amparo, el recurrente dice que tanto el Auto de 23 de septiembre de 1999 como el de 5 de octubre del mismo año vulneran el derecho a la libertad del art. 17 CE y el derecho a la tutela judicial efectiva del art. 24 CE porque carecen de motivación, tratándose de formularios. También incurre en dichas vulneraciones, dice, el Auto de la Audiencia Provincial de 3 de febrero de 2000, que no contesta a la alegación del recurrente. Invoca la jurisprudencia de este Tribunal (SSTC 26 de julio de 1995 y 14 de septiembre de 1998) en el sentido de que la prisión provisional no puede servir a fines distintos del aseguramiento del proceso, y ha de perseguir algún fin constitucionalmente legítimo que responda a la necesidad de conjurar riesgos relevantes para el proceso, como el peligro de fuga o la obstrucción de la investigación, sin que nada de esto se argumente en los autos. </w:t>
      </w:r>
    </w:p>
    <w:p w:rsidR="0025129F" w:rsidRDefault="0025129F" w:rsidP="0025129F">
      <w:pPr>
        <w:pStyle w:val="TextoNormal"/>
      </w:pPr>
      <w:r>
        <w:lastRenderedPageBreak/>
        <w:t>Por estas razones solicita se dicte sentencia “por la que se otorgue al recurrente el amparo solicitado, declarando la nulidad del auto de fecha 23 de septiembre y 5 de octubre de 1999, dictado por el Juzgado de Instrucción número 2 de Vera, así como el de fecha 3 de febrero último dictado por la Audiencia Provincial de Almería, Sección 2, por haberse vulnerado su derecho a la libertad y a la tutela judicial efectiva y demás procedente”. Por otrosí interesa se acuerde la suspensión del Auto de 23 de septiembre de 1999 a que se ha hecho referencia.</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6 de julio de 2000 esta Sala acordó admitir a trámite la demanda de amparo y, en aplicación de lo dispuesto en el art. 51 LOTC, requerir a la Sección Segunda de la Audiencia Provincial de Almería a fin de que remitiera, en plazo que no excediera de diez días, certificación o fotocopia adverada de las actuaciones correspondientes al rollo de apelación penal núm. 241/99. En la misma providencia se acordó requerir al Juzgado de Instrucción núm. 2 de Vera a fin de que remitiera, también en plazo que no excediera de diez días, certificación o fotocopia adverada de las actuaciones correspondientes a las diligencias previas núm. 1392/99 y para que previamente emplazara a quienes hubieran sido parte en el procedimiento, con excepción del recurrente en amparo, a fin de que, si lo deseaban, pudieran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otra providencia de la misma fecha la Sala Segunda acordó formar la pieza separada de suspensión y conceder un plazo común de tres días al Ministerio Fiscal y al solicitante en amparo para que alegasen lo que estimaran pertinente sobre dicha suspensión, de conformidad con el art. 56 LOTC. </w:t>
      </w:r>
    </w:p>
    <w:p w:rsidR="0025129F" w:rsidRDefault="0025129F" w:rsidP="0025129F">
      <w:pPr>
        <w:pStyle w:val="TextoNormal"/>
      </w:pPr>
      <w:r>
        <w:t xml:space="preserve">Por escrito registrado el 11 de julio de 2000 el actor formuló alegaciones afirmando que la tramitación de la pieza de suspensión carecía ya de sentido, toda vez que en ese momento el demandante se encontraba ya en situación de libertad provisional, decretada bajo fianza y después de la interposición del recurso de amparo. </w:t>
      </w:r>
    </w:p>
    <w:p w:rsidR="0025129F" w:rsidRDefault="0025129F" w:rsidP="0025129F">
      <w:pPr>
        <w:pStyle w:val="TextoNormal"/>
      </w:pPr>
      <w:r>
        <w:t>Por Auto de 13 de noviembre de 2000 la Sala acordó tener por desistido al demandante de amparo de la solicitud de suspensión de los efectos de las resoluciones recurridas.</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28 de noviembre de 2000 la Sala acordó, de conformidad con el art. 52 LOTC, dar vista de las actuaciones del presente recurso de amparo a la representación procesal del recurrente y al Ministerio Fiscal para que formularan las alegaciones que consideraran convenientes en el plazo común de veinte días.</w:t>
      </w:r>
    </w:p>
    <w:p w:rsidR="0025129F" w:rsidRDefault="0025129F" w:rsidP="0025129F">
      <w:pPr>
        <w:pStyle w:val="TextoNormal"/>
      </w:pPr>
    </w:p>
    <w:p w:rsidR="0025129F" w:rsidRDefault="0025129F" w:rsidP="0025129F">
      <w:pPr>
        <w:pStyle w:val="TextoNormal"/>
      </w:pPr>
      <w:r w:rsidRPr="0025129F">
        <w:rPr>
          <w:rStyle w:val="NumeroAFNegritaCaracter"/>
        </w:rPr>
        <w:t>7</w:t>
      </w:r>
      <w:r>
        <w:t>. La representación procesal del demandante de amparo presentó escrito de alegaciones el 28 de diciembre de 2000 ratificándose en su escrito de demanda. Invoca además la STC de 17 de febrero de 2000 para indicar que una cosa es que una resolución esté motivada y otra que, desde la perspectiva del derecho fundamental a la libertad, pueda decirse que se expresan de modo constitucionalmente adecuado las razones justificativas de la prisión acordada. Añade que el Auto de la Audiencia Provincial podría ir en contra de la presunción de inocencia.</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Ministerio Fiscal presentó su escrito de alegaciones el 8 de enero de 2001. En él interesa se dicte Sentencia declarando la desaparición sobrevenida del objeto, o, subsidiariamente, otorgando el amparo pedido. </w:t>
      </w:r>
    </w:p>
    <w:p w:rsidR="0025129F" w:rsidRDefault="0025129F" w:rsidP="0025129F">
      <w:pPr>
        <w:pStyle w:val="TextoNormal"/>
      </w:pPr>
      <w:r>
        <w:lastRenderedPageBreak/>
        <w:t xml:space="preserve">Entre los hechos, destaca que mediante Auto de 13 de abril de 2000 el Juzgado de Instrucción de Vera declaró bastante la fianza constituida para la exoneración de la prisión provisional decretada contra el ahora demandante y se decretó su libertad provisional. </w:t>
      </w:r>
    </w:p>
    <w:p w:rsidR="0025129F" w:rsidRDefault="0025129F" w:rsidP="0025129F">
      <w:pPr>
        <w:pStyle w:val="TextoNormal"/>
      </w:pPr>
      <w:r>
        <w:t xml:space="preserve">Señala que en la STC 47/2000, FJ 1 in fine, se afirmó que “es preciso dejar sentado que la puesta en libertad del demandante de amparo no priva de objeto a este recurso, pues si se hubiera cometido alguna de las vulneraciones de derechos fundamentales que denuncia, a este Tribunal correspondería repararla, al menos en parte, otorgando el amparo en los términos procedentes (art. 55 LOTC)”. No obstante, a juicio del Ministerio Fiscal, en el presente caso se han producido ciertos hechos que dieron lugar a una situación diferente de la contemplada por la antedicha sentencia del Pleno. Así, antes de que transcurriera un mes desde que la demanda se hubiese deducido ante el Tribunal Constitucional la situación de prisión del recurrente fue dejada sin efecto, de tal modo que cuando este Tribunal adoptó la decisión de admisión de la demanda el recurrente llevaba ya tres meses en libertad. Tales extremos no habían acaecido en el proceso del que dimanó la STC 47/2000, pues en dicho procedimiento la puesta en libertad se produjo casi un año después de que se hubiere tomado por el Tribunal la decisión de admisión de la demanda y más de un año y medio después de que se hubiera presentado la misma. </w:t>
      </w:r>
    </w:p>
    <w:p w:rsidR="0025129F" w:rsidRDefault="0025129F" w:rsidP="0025129F">
      <w:pPr>
        <w:pStyle w:val="TextoNormal"/>
      </w:pPr>
      <w:r>
        <w:t xml:space="preserve">Así las cosas, a su juicio, cabría aplicar al presente supuesto la doctrina de este Tribunal de la que son exponentes los AATC 150/1997 y 3/1999. En virtud del primero, “puede declararse la terminación del proceso por desaparición de la materia litigiosa o por cesación de su objeto cuando se producen circunstancias sobrevenidas que modifican de manera sustancial la controversia”, concluyendo que “en atención a la anterior circunstancia ha perdido su objeto la queja planteada mediante el presente recurso de amparo, que se orientaba a la petición de libertad provisional solicitada (que ha obtenido satisfacción en el propio proceso penal)... que, en la actualidad, como se ha dicho, ha sido modificada”, de modo que “es manifiesta la carencia de contenido que justifique una decisión sobre el fondo por parte de este Tribunal”. En el mismo sentido, indica el Ministerio Fiscal que, según el ATC 3/1999, “es evidente que el objeto de amparo queda precisado en la petición inicial de la actora, pues lo que pretende es que se declare haber lugar al amparo constitucional, acordando su libertad provisional y anular las resoluciones que acordaban su prisión provisional”; y añade que “esta petición, objeto del amparo constitucional, no puede sostenerse, una vez que el órgano judicial ha decretado tal libertad provisional y que la misma se ha llevado a efecto”, lo cual conllevó que se declarase producida la extinción del proceso. </w:t>
      </w:r>
    </w:p>
    <w:p w:rsidR="0025129F" w:rsidRDefault="0025129F" w:rsidP="0025129F">
      <w:pPr>
        <w:pStyle w:val="TextoNormal"/>
      </w:pPr>
      <w:r>
        <w:t xml:space="preserve">Esta cuestión, dice el Ministerio Fiscal, fue analizada con mayor profundidad en la STC 305/2000, de 11 de diciembre, FJ 9, que reproduce en lo sustancial. En éste se dijo que “a pesar de la dificultad de sentar criterios taxativos, como regla general cabe declarar que nuestro enjuiciamiento debe concretarse temporalmente en el momento en que se formula la demanda de amparo, de modo que son las circunstancias concurrentes en esa ocasión las que debemos tener en cuenta a los efectos de determinar si se produjo o no la vulneración del derecho fundamental invocado”, pero que, “por otro lado, circunstancias que tienen lugar en el proceso a quo, y acaecidas con posterioridad a la admisión de la demanda de amparo, también pueden llegar a tener influencia en el proceso constitucional”. Añade al efecto dicha Sentencia que “en este ámbito nuestra doctrina ha estimado que puede producir la extinción del proceso en la vía constitucional la desaparición sobrevenida del objeto”. </w:t>
      </w:r>
    </w:p>
    <w:p w:rsidR="0025129F" w:rsidRDefault="0025129F" w:rsidP="0025129F">
      <w:pPr>
        <w:pStyle w:val="TextoNormal"/>
      </w:pPr>
      <w:r>
        <w:t xml:space="preserve">En suma, a juicio del Ministerio Fiscal, cabría declarar la desaparición sobrevenida del objeto, dado que, con mucha antelación a que la demanda de amparo fuese admitida por este Alto Tribunal, el propio órgano judicial había dejado sin efecto las resoluciones que </w:t>
      </w:r>
      <w:r>
        <w:lastRenderedPageBreak/>
        <w:t xml:space="preserve">decretaban la prisión provisional que en esta demanda se pide sean anuladas y se había adoptado la decisión de libertad que en la misma se postula. </w:t>
      </w:r>
    </w:p>
    <w:p w:rsidR="0025129F" w:rsidRDefault="0025129F" w:rsidP="0025129F">
      <w:pPr>
        <w:pStyle w:val="TextoNormal"/>
      </w:pPr>
      <w:r>
        <w:t xml:space="preserve">Prosigue el fiscal, con citas de la STC 47/1997 (que a su vez recoge el FJ 5 de la STC 44/1997), haciendo un resumen de la doctrina de este Tribunal sobre el fundamento jurídico de la adopción de la medida de prisión provisional y la necesaria motivación de las decisiones relativas a su adopción y mantenimiento. </w:t>
      </w:r>
    </w:p>
    <w:p w:rsidR="0025129F" w:rsidRDefault="0025129F" w:rsidP="0025129F">
      <w:pPr>
        <w:pStyle w:val="TextoNormal"/>
      </w:pPr>
      <w:r>
        <w:t xml:space="preserve">Tras reproducir la motivación de los tres Autos recurridos (lo que aquí se ha hecho en el antecedente número 2) el Fiscal afirma que del examen de las resoluciones cuestionadas se infiere que ninguna de ellas expresa la finalidad que se persigue con la adopción de la medida, ni la relación de ésta con el fin perseguido, ni las circunstancias personales del recurrente, a pesar de que éste había cuestionado extensamente dicha medida, invocando expresamente la doctrina constitucional al respecto, y había argumentado la inexistencia de riesgo de fuga. Nada de ello encontró respuesta adecuada de los órganos judiciales, lo que motivó que sus resoluciones careciesen de uno de sus elementos esenciales. Concluye recordando que la STC 47/2000 dijo, en supuesto similar, que “es lo cierto que estamos ante una situación —la de prisión— que en cualquier momento puede revisarse de oficio y que había transcurrido el tiempo suficiente para que las alegaciones del demandante, que invocaba expresamente la doctrina de este Tribunal en la Sentencia 128/1995, pudiesen obtener una respuesta fácticamente adecuada por parte de los órganos judiciales.” </w:t>
      </w:r>
    </w:p>
    <w:p w:rsidR="0025129F" w:rsidRDefault="0025129F" w:rsidP="0025129F">
      <w:pPr>
        <w:pStyle w:val="TextoNormal"/>
      </w:pPr>
      <w:r>
        <w:t>Por lo expuesto, el Ministerio Fiscal interesa del Tribunal Constitucional que dicte Sentencia declarando la desaparición sobrevenida de objeto o, subsidiariamente, declarando que se ha vulnerado el derecho del recurrente a la libertad del art. 17.1 CE, restableciéndole en su derecho y anulando los Autos de 23 de septiembre y 5 de octubre de 1999 del Juzgado de Instrucción núm. 2 de Vera y el Auto de 3 de febrero de 2000 de la Sección Segunda de la Audiencia Provincial de Almería.</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11 de enero de 2002, se señaló para deliberación y votación de la presente Sentencia el día 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demandante de amparo ha estado en situación de prisión provisional desde el 23 de septiembre de 1999 hasta el 13 de abril de 2000. Por Auto de 23 de septiembre de 1999 el Juzgado de Primera Instancia núm. 2 de Vera decretó su prisión provisional.  Este Auto fue recurrido en reforma, alegándose vulneración del derecho a la tutela judicial efectiva (art. 24 CE) y a la libertad personal (art. 17 CE) por falta de motivación. El recurso de reforma fue desestimado por el propio Juzgado mediante Auto de 5 de octubre de 1999. Interpuesto recurso ante la Audiencia Provincial de Almería, la Sección Segunda de ésta lo desestimó por Auto de 3 de febrero de 2000. La motivación de estos tres Autos se ha reproducido en el antecedente núm. 2, donde también se han resumido los argumentos de los recursos correspondientes.</w:t>
      </w:r>
    </w:p>
    <w:p w:rsidR="0025129F" w:rsidRDefault="0025129F" w:rsidP="0025129F">
      <w:pPr>
        <w:pStyle w:val="TextoNormal"/>
      </w:pPr>
      <w:r>
        <w:t>En la demanda de amparo se denuncia que las resoluciones judiciales han vulnerado los derechos fundamentales del recurrente a la libertad (art. 17.1 CE) y a la tutela judicial efectiva (art. 24 CE) por razón de carecer todas ellas de motivación.</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Antes de analizar la cuestión esencial planteada, esto es, la falta de motivación de las resoluciones que acuerdan o confirman la situación de privación de libertad del recurrente, </w:t>
      </w:r>
      <w:r>
        <w:lastRenderedPageBreak/>
        <w:t>es preciso despejar el óbice procesal, señalado por el Ministerio Fiscal, que pone de manifiesto la posible desaparición sobrevenida de objeto del recurso de amparo, por haber sido puesto en libertad bajo fianza el actor tras la formulación del recurso de amparo pero antes de que este Tribunal acordase la admisión de la demanda.</w:t>
      </w:r>
    </w:p>
    <w:p w:rsidR="0025129F" w:rsidRDefault="0025129F" w:rsidP="0025129F">
      <w:pPr>
        <w:pStyle w:val="TextoNormal"/>
      </w:pPr>
      <w:r>
        <w:t>Al respecto ha de señalarse que, como se declaró en la STC 47/2000, de 17 de febrero, FJ 1, y recuerda la STC 61/2001, de 26 de febrero, FJ 2, “la puesta en libertad del demandante de amparo no priva de objeto a este recurso, pues si se hubiera cometido alguna de las vulneraciones de los derechos fundamentales que denuncia, a este Tribunal correspondería repararla, al menos en parte, otorgando el amparo en los términos procedentes (art. 55 LOTC)”. No cabe oponer a ello la diferencia del decurso procesal entre este caso y el resuelto por la STC 47/2000, pues como se dijo en la STC 61/2001 (FJ 1) —que conoció de un recurso dimanante de un proceso penal en el que, al igual que en el presente, el recurrente había sido puesto en libertad después de formulada la demanda de amparo y antes de su admisión a trámite— en los casos conocidos por ambos recursos (los resueltos por las SSTC 47/2000 y 61/2001) “los recurrentes se encontraban en prisión cuando acudieron a este Tribunal en demanda de amparo, sin que el hecho diferenciado de que la libertad se produjera antes o después de la admisión a trámite del recurso de amparo pueda ser determinante a efectos del control que este Tribunal debe realizar sobre la decisión judicial de decretar o mantener la medida cautelar”.</w:t>
      </w:r>
    </w:p>
    <w:p w:rsidR="0025129F" w:rsidRDefault="0025129F" w:rsidP="0025129F">
      <w:pPr>
        <w:pStyle w:val="TextoNormal"/>
      </w:pPr>
      <w:r>
        <w:t>Así pues, como ya ocurría en el caso de la STC 61/2001, no cabe en este supuesto convenir en la pérdida sobrevenida de objeto. Recuerda, al efecto, esta misma Sentencia lo que se dice en el fundamento jurídico 9 de la STC 305/2000, de 11 de diciembre (bien que ésta llegase a una conclusión diferente a la que aquí alcanzamos), en el sentido de que cabe declarar como regla general, a pesar de la dificultad de sentar criterios taxativos, que nuestro enjuiciamiento debe concretarse temporalmente en el momento en que se formula la demanda de amparo, de modo que son las circunstancias concurrentes en esa ocasión las que deben ser tenidas en cuenta a los efectos de determinar si se produce o no la vulneración del derecho fundamental invocado.</w:t>
      </w:r>
    </w:p>
    <w:p w:rsidR="0025129F" w:rsidRDefault="0025129F" w:rsidP="0025129F">
      <w:pPr>
        <w:pStyle w:val="TextoNormal"/>
      </w:pPr>
    </w:p>
    <w:p w:rsidR="0025129F" w:rsidRDefault="0025129F" w:rsidP="0025129F">
      <w:pPr>
        <w:pStyle w:val="TextoNormal"/>
      </w:pPr>
      <w:r w:rsidRPr="0025129F">
        <w:rPr>
          <w:rStyle w:val="NumeroAFNegritaCaracter"/>
        </w:rPr>
        <w:t>3</w:t>
      </w:r>
      <w:r>
        <w:t>. Una vez definido el objeto del presente recurso, ha de subrayarse que en el mismo se cuestiona la adecuada motivación de las resoluciones judiciales impugnadas, denunciándose vulneración de los derechos fundamentales a la libertad personal (art.  17.1 CE) y a la tutela judicial (art. 24.1 CE). Sin embargo, no procede abordar el estudio autónomo de la alegada vulneración del art. 24.1 CE, puesto que, recogiéndose en los Autos impugnados la respuesta a la demanda de libertad personal frente a su privación de origen judicial, lo que está ante todo en juego, en la fundamentación y motivación de tales decisiones, es la libertad misma (SSTC 33/1999, de 8 de marzo, FJ 2, 14/2000, de 17 de enero, FJ 3, y 165/2000, de 12 de junio, FJ 2). En este sentido ha de recordarse que, según nuestra doctrina, el canon de la conformidad constitucional de la motivación de las decisiones judiciales que habilitan la restricción de derechos fundamentales es más estricto que el canon de motivación exigido como garantía inherente al derecho a la tutela judicial, ya que si la conformidad con éste exige únicamente la expresión de un razonamiento fundado en Derecho, la de aquél requiere además que dicho razonamiento respete el contenido constitucionalmente garantizado del derecho fundamental afectado (SSTC 44/1997, de 10 de marzo, FJ 4, y 14/2000, de 17 de enero, FJ 3, por todas). En consecuencia, nuestro análisis versará sobre el cumplimiento de las exigencias de motivación impuestas en el presente caso por la salvaguarda del derecho a la libertad personal.</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Acotado como objeto de nuestro examen la alegada infracción del derecho a la libertad personal del recurrente, como consecuencia de la insuficiente motivación del Auto que decretó la prisión provisional y de los sucesivos Autos que decretaron el mantenimiento de la misma, parece oportuno recordar brevemente la doctrina constitucional elaborada por este Tribunal, sintetizada en la STC 14/2000, de 17 de enero, FJ 4, y que resulta relevante para la resolución del caso sometido a nuestro enjuiciamiento.</w:t>
      </w:r>
    </w:p>
    <w:p w:rsidR="0025129F" w:rsidRDefault="0025129F" w:rsidP="0025129F">
      <w:pPr>
        <w:pStyle w:val="TextoNormal"/>
      </w:pPr>
      <w:r>
        <w:t>Al respecto, este Tribunal ha venido señalando reiteradamente que la constitucionalidad de la prisión provisional exige que su configuración y aplicación tengan como presupuesto la existencia de indicios racionales de la comisión de la acción delictiva y que su objetivo sea la consecución de fines constitucionalmente legítimos y congruentes con la naturaleza de la medida, mereciendo tal consideración únicamente aquellos que remiten a “la conjuración de ciertos riesgos relevantes que, teniendo su origen en el imputado se proyectan sobre el normal desarrollo del proceso o la ejecución del fallo, así como, en general, sobre la sociedad” (SSTC 128/1995, de 26 de julio, FJ 3; y 14/2000, de 17 de enero, FJ 4, por todas). En particular, esos riesgos a prevenir serían los de sustracción a la acción de la Administración de Justicia, la obstrucción de la justicia penal o la reiteración delictiva (entre otras, STC 33/1999, de 8 de marzo, FJ 3).</w:t>
      </w:r>
    </w:p>
    <w:p w:rsidR="0025129F" w:rsidRDefault="0025129F" w:rsidP="0025129F">
      <w:pPr>
        <w:pStyle w:val="TextoNormal"/>
      </w:pPr>
      <w:r>
        <w:t>Atendiendo a una perspectiva formal, se ha insistido en que las decisiones relativas a la adopción y al mantenimiento de la prisión provisional deben expresarse en una resolución judicial motivada (por todas, SSTC 18/1999, de 22 de febrero, FJ 2, y 33/1999, de 8 de marzo, FJ 3). Dicha motivación ha de ser suficiente y razonada, lo que supone que el órgano judicial debe ponderar la concurrencia de todos los extremos que justifican la adopción de dicha medida y que esa apreciación no resulte arbitraria, debiendo entenderse por tal aquélla que no resulte acorde con las pautas del normal razonamiento lógico y, muy especialmente, con los fines que justifican la institución de la prisión provisional [SSTC 128/1995, FJ 4 b); y 33/1999, FJ 3].  En consecuencia, la suficiencia y razonabilidad de la motivación serán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que ha de adoptarse la decisión, de las reglas del razonamiento lógico y del entendimiento de la prisión provisional como una medida de aplicación excepcional, subsidiaria y proporcionada a la consecución de los fines que la legitiman (STC 128/1995, FJ 3; y 33/1999, FJ 3).</w:t>
      </w:r>
    </w:p>
    <w:p w:rsidR="0025129F" w:rsidRDefault="0025129F" w:rsidP="0025129F">
      <w:pPr>
        <w:pStyle w:val="TextoNormal"/>
      </w:pPr>
      <w:r>
        <w:t>Concretando dichas directrices, este Tribunal ha identificado dos criterios de enjuiciamiento en la motivación de la medida cautelar. El primero exige tomar en consideración, además de las características y gravedad del delito imputado y de la pena con que se le amenaza, las circunstancias concretas del caso y las personales del imputado. El segundo introduce una matización en el anterior al valorar la incidencia que el transcurso del tiempo ha de tener en la toma de la decisión de mantenimiento de la prisión, de modo que si bien es cierto que, en un primer momento, la necesidad de preservar los fines constitucionalmente legítimos de la prisión provisional así como los datos de que en ese instante disponga el instructor pueden justificar que el decreto de la prisión se lleve a cabo atendiendo solamente al tipo de delito y a la gravedad de la pena, también es verdad que el paso del tiempo modifica estas circunstancias y obliga a ponderar los datos personales y los del caso concreto conocidos en momentos posteriores [entre otras, SSTC 128/1995, FJ 4 b), 37/1996, de 11 de marzo, FJ 6 a), 62/1996, de 16 de abril, FJ 5, y 33/1999]. En suma, la medida de prisión provisional debe responder en todo momento a los fines constitucionalmente legítimos de la misma, y así debe poder deducirse de la motivación de la resolu</w:t>
      </w:r>
      <w:r>
        <w:lastRenderedPageBreak/>
        <w:t>ción que la acuerda, aunque en un primer momento estos fines pueden justificarse atendiendo a criterios objetivos como la gravedad de la pena o el tipo de delito [por todas, STC 44/1997, FJ 5 b)].</w:t>
      </w:r>
    </w:p>
    <w:p w:rsidR="0025129F" w:rsidRDefault="0025129F" w:rsidP="0025129F">
      <w:pPr>
        <w:pStyle w:val="TextoNormal"/>
      </w:pPr>
      <w:r>
        <w:t>Finalmente, y partiendo de la insoslayable premisa de que la decisión de este Tribunal debe circunscribirse exclusivamente a apreciar si se ha vulnerado el derecho fundamental a la libertad personal, absteniéndose de cualesquiera otras consideraciones sobre la actuación de los órganos judiciales en virtud de lo establecido en el art. 54 LOTC (STC 41/1982, de 2 de julio, FJ 1), hemos precisado igualmente que no nos corresponde determinar la concurrencia en cada caso concreto de las circunstancias que legitiman la adopción o mantenimiento de la prisión provisional sino únicamente hacer un control externo, tendente a verificar que la decisión ha sido adoptada de forma fundada, razonada, completa y acorde con los fines de la institución (STC 40/1987, de 3 de abril, FJ 2, 18/1999, de 22 de febrero, FJ 2, y 33/1999, de 8 de marzo, FJ 3).</w:t>
      </w:r>
    </w:p>
    <w:p w:rsidR="0025129F" w:rsidRDefault="0025129F" w:rsidP="0025129F">
      <w:pPr>
        <w:pStyle w:val="TextoNormal"/>
      </w:pPr>
      <w:r>
        <w:t>De conformidad con lo expuesto, hemos de examinar seguidamente si existe motivación que pueda calificarse de suficiente y razonable en las resoluciones judiciales a las que se extiende el presente proceso constitucional.  Dicho examen habrá de versar sobre la concurrencia tanto de los presupuestos que, en principio, habilitan legalmente para la adopción y, en su caso, el mantenimiento de la prisión provisional —existencia de indicios racionales sobre la comisión de un hecho delictivo por el imputado—, como del fin legítimo y acorde con la naturaleza de la institución. Además, desde la perspectiva del control externo que a este Tribunal le compete, importa especialmente analizar la ponderación que de las circunstancias personales y del caso hayan llevado a cabo los órganos judiciales actuantes.</w:t>
      </w:r>
    </w:p>
    <w:p w:rsidR="0025129F" w:rsidRDefault="0025129F" w:rsidP="0025129F">
      <w:pPr>
        <w:pStyle w:val="TextoNormal"/>
      </w:pPr>
      <w:r>
        <w:t>El estudio de las resoluciones judiciales en cuestión permite destacar los datos que se exponen a continuación, en los fundamentos jurídicos que siguen.</w:t>
      </w:r>
    </w:p>
    <w:p w:rsidR="0025129F" w:rsidRDefault="0025129F" w:rsidP="0025129F">
      <w:pPr>
        <w:pStyle w:val="TextoNormal"/>
      </w:pPr>
    </w:p>
    <w:p w:rsidR="0025129F" w:rsidRDefault="0025129F" w:rsidP="0025129F">
      <w:pPr>
        <w:pStyle w:val="TextoNormal"/>
      </w:pPr>
      <w:r w:rsidRPr="0025129F">
        <w:rPr>
          <w:rStyle w:val="NumeroAFNegritaCaracter"/>
        </w:rPr>
        <w:t>5</w:t>
      </w:r>
      <w:r>
        <w:t>. La primera alegación que ha analizarse es la referente al hecho de que tanto el Auto de 23 de septiembre de 1999 como el de 5 de octubre del mismo año parecen ser formularios. Pues bien, como dijimos en la STC 128/1996, de 9 de julio, FJ 10, “respecto al uso en las resoluciones judiciales de modelos impresos o formularios estereotipados, hemos tenido múltiples ocasiones de afirmar que, aunque desaconsejable su utilización por ser potencialmente contraria al derecho a la tutela judicial efectiva, no implica necesariamente una falta o insuficiencia de la motivación (SSTC 184/1988, 125/1989, 74/1990 y ATC 73/1996), pues ‘peticiones idénticas pueden recibir respuestas idénticas sin que la reiteración en la fundamentación suponga ausencia de ésta’ (ATC 73/1993), debiendo analizarse el caso concreto para determinar la suficiencia de la respuesta ofrecida”.</w:t>
      </w:r>
    </w:p>
    <w:p w:rsidR="0025129F" w:rsidRDefault="0025129F" w:rsidP="0025129F">
      <w:pPr>
        <w:pStyle w:val="TextoNormal"/>
      </w:pPr>
      <w:r>
        <w:t>Así pues, la utilización de formularios no es siempre ni necesariamente contraria a la tutela judicial efectiva pues no impide, de suyo, la consideración correcta o completa del caso propuesto, con una congruente respuesta al objeto del recurso (STC 74/1990, de 23 de abril, FJ 3). En consecuencia, tal utilización es admisible siempre que la resolución en la que se haya utilizado el modelo impreso o formulario constituya una respuesta —incluida su motivación— que satisfaga las exigencias constitucionales.</w:t>
      </w:r>
    </w:p>
    <w:p w:rsidR="0025129F" w:rsidRDefault="0025129F" w:rsidP="0025129F">
      <w:pPr>
        <w:pStyle w:val="TextoNormal"/>
      </w:pPr>
    </w:p>
    <w:p w:rsidR="0025129F" w:rsidRDefault="0025129F" w:rsidP="0025129F">
      <w:pPr>
        <w:pStyle w:val="TextoNormal"/>
      </w:pPr>
      <w:r w:rsidRPr="0025129F">
        <w:rPr>
          <w:rStyle w:val="NumeroAFNegritaCaracter"/>
        </w:rPr>
        <w:t>6</w:t>
      </w:r>
      <w:r>
        <w:t>. Procede, por tanto, aplicar la doctrina antes expuesta al contenido de los Autos impugnados, cuya fundamentación jurídica ha sido reproducida en el antecedente número 2.</w:t>
      </w:r>
    </w:p>
    <w:p w:rsidR="0025129F" w:rsidRDefault="0025129F" w:rsidP="0025129F">
      <w:pPr>
        <w:pStyle w:val="TextoNormal"/>
      </w:pPr>
      <w:r>
        <w:t>a) El Auto de 23 de septiembre de 1999 carece de motivación suficiente.  En efecto, ni explica cuáles sean los indicios racionales de la comisión de la acción delictiva, ni alude a los riesgos que se pretenden evitar (objetivos o fines de la aplicación de la prisión provi</w:t>
      </w:r>
      <w:r>
        <w:lastRenderedPageBreak/>
        <w:t>sional), ni pondera las circunstancias concretas concurrentes, sean las objetivas del caso sean las personales del imputado.</w:t>
      </w:r>
    </w:p>
    <w:p w:rsidR="0025129F" w:rsidRDefault="0025129F" w:rsidP="0025129F">
      <w:pPr>
        <w:pStyle w:val="TextoNormal"/>
      </w:pPr>
      <w:r>
        <w:t>b) El Auto de 5 de octubre de 1999, cuya motivación también ha sido reproducida en los antecedentes, menciona los requisitos para la adopción de la prisión provisional y dice que concurren en el caso contemplado, mas sin explicar en qué términos. Así, alude genéricamente a “las circunstancias del hecho, la gravedad del mismo, la alarma social que produce el delito cometido y la pena señalada por la ley para el delito en cuestión, [y] los indicios racionales de criminalidad”, para concluir que “no ha perdido su justificación la adopción de la medida cautelar”. Pero no concreta, en absoluto, las circunstancias concurrentes sobre las que pudiera sustentarse el mantenimiento de la medida de privación de libertad, sean las objetivas (relativas a los hechos) sean las subjetivas (relativas a la persona afectada).</w:t>
      </w:r>
    </w:p>
    <w:p w:rsidR="0025129F" w:rsidRDefault="0025129F" w:rsidP="0025129F">
      <w:pPr>
        <w:pStyle w:val="TextoNormal"/>
      </w:pPr>
      <w:r>
        <w:t>Cabe resaltar además que el Auto no contiene consideración alguna respecto de las alegaciones de parte, formuladas para evidenciar la inexistencia de riesgo de fuga o de obstrucción de la justicia, relativas a la edad, situación familiar, domicilio, actividad, carencia de antecedentes y otras circunstancias del afectado por la medida.</w:t>
      </w:r>
    </w:p>
    <w:p w:rsidR="0025129F" w:rsidRDefault="0025129F" w:rsidP="0025129F">
      <w:pPr>
        <w:pStyle w:val="TextoNormal"/>
      </w:pPr>
      <w:r>
        <w:t>Por otra parte, tampoco es relevante, a los efectos ahora contemplados, la genérica referencia a “la alarma social que produce el delito”. Como dijimos en la STC 66/1997, de 7 de abril, FJ 6, y reiteramos en las SSTC 98/1997, de 20 de mayo, FJ 9, y 47/2000, de 17 de febrero, FJ 5, “con independencia del correspondiente juicio que pueda merecer la finalidad de mitigación de otras alarmas sociales que posean otros contenidos —la alarma social que se concreta en disturbios sociales, por ejemplo— y otros orígenes —la fuga del imputado o su libertad provisional—, juicio en el que ahora no es pertinente entrar,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w:t>
      </w:r>
    </w:p>
    <w:p w:rsidR="0025129F" w:rsidRDefault="0025129F" w:rsidP="0025129F">
      <w:pPr>
        <w:pStyle w:val="TextoNormal"/>
      </w:pPr>
      <w:r>
        <w:t>En definitiva, la aludida parquedad argumental de este Auto de 5 de octubre de 1999 impide avalar la constitucionalidad de la medida, al no haberse adoptado de forma suficientemente razonada y acorde con los fines de la institución.</w:t>
      </w:r>
    </w:p>
    <w:p w:rsidR="0025129F" w:rsidRDefault="0025129F" w:rsidP="0025129F">
      <w:pPr>
        <w:pStyle w:val="TextoNormal"/>
      </w:pPr>
      <w:r>
        <w:t>c) Por lo que se refiere al Auto de la Audiencia Provincial de Almería de 3 de febrero de 2000, cuya fundamentación jurídica ha sido igualmente recogida en el antecedente núm. 2, han de hacerse varias observaciones, que seguidamente se relacionan, y que ponen de manifiesto que dicho Auto no remedia las carencias apreciadas en las anteriores resoluciones, de modo que la propia motivación que contiene tampoco satisface las exigencias constitucionales.</w:t>
      </w:r>
    </w:p>
    <w:p w:rsidR="0025129F" w:rsidRDefault="0025129F" w:rsidP="0025129F">
      <w:pPr>
        <w:pStyle w:val="TextoNormal"/>
      </w:pPr>
      <w:r>
        <w:t>En primer lugar, se limita a invocar la información suministrada por la Instructora y a decir que se valoraron determinados extremos (la clase de delito cometido, su frecuencia en la zona, la intervención del recurrente en los hechos y la pena que pudiera corresponderle), pero no hace explícita esa valoración.</w:t>
      </w:r>
    </w:p>
    <w:p w:rsidR="0025129F" w:rsidRDefault="0025129F" w:rsidP="0025129F">
      <w:pPr>
        <w:pStyle w:val="TextoNormal"/>
      </w:pPr>
      <w:r>
        <w:t xml:space="preserve">En segundo lugar, aparte de no referirse a las concretas circunstancias objetivas del caso, tampoco contiene referencias a las concretas circunstancias personales del interesado, que han de ponderarse para el mantenimiento de la medida cautelar en cuestión, entre ellas las que —ya expresadas en su día en el recurso de reforma, a que se ha hecho alusión anteriormente— se reiteran en el recurso dirigido a la Audiencia Provincial. Se limita el Auto, en este punto, a estimar que “el recurrente no aporta elementos suficientes que determinen </w:t>
      </w:r>
      <w:r>
        <w:lastRenderedPageBreak/>
        <w:t>la existencia de la inoportunidad de aquella medida [de prisión]”, consideración ésta que es insuficiente, a los fines ahora contemplados, visto que habían ya transcurrido varios meses desde la primera adopción de la medida, lo cual hace obligado, como ya dijimos en la STC 47/2000, FJ 10, que en la decisión de mantenimiento de la medida se ponderen “inexcusablemente los datos personales del preso preventivo así como los del caso concreto”.</w:t>
      </w:r>
    </w:p>
    <w:p w:rsidR="0025129F" w:rsidRDefault="0025129F" w:rsidP="0025129F">
      <w:pPr>
        <w:pStyle w:val="TextoNormal"/>
      </w:pPr>
      <w:r>
        <w:t>En tercer lugar, ninguna referencia se hace a la consecución de los fines legítimos de la institución, justificando la evitación de ciertos riesgos relevantes, como pudieran ser los de fuga, obstrucción a la justicia o reiteración delictiva.</w:t>
      </w:r>
    </w:p>
    <w:p w:rsidR="0025129F" w:rsidRDefault="0025129F" w:rsidP="0025129F">
      <w:pPr>
        <w:pStyle w:val="TextoNormal"/>
      </w:pPr>
      <w:r>
        <w:t>En cuarto lugar, afirma el Auto que se cumplen las previsiones de los artículos 503 y 504 LECrim para adoptar la medida de prisión. Pues bien, ha de señalarse al respecto que el cumplimiento de las expresas previsiones de dichos preceptos no es suficiente —por sí solo— para afirmar la constitucionalidad de la adopción de la medida de prisión provisional, como declara la STC 47/2000. En ella se señala (FJ 5) que la comparación entre los requerimientos dimanantes del art. 17 de nuestra Constitución, tal y como los ha delimitado nuestra doctrina, y las circunstancias bajo las que el art. 503 y los dos primeros párrafos del art. 504 LECrim permiten acordar la prisión, “pone de manifiesto prima facie que la Ley ni exige la presencia de un fin constitucionalmente legítimo para acordar tal medida, ni determina cuáles son los fines constitucionalmente legítimos que permiten acordarla ni, por lo tanto, exige que éstos se expresen en la resolución que lo acuerda”.</w:t>
      </w:r>
    </w:p>
    <w:p w:rsidR="0025129F" w:rsidRDefault="0025129F" w:rsidP="0025129F">
      <w:pPr>
        <w:pStyle w:val="TextoNormal"/>
      </w:pPr>
    </w:p>
    <w:p w:rsidR="0025129F" w:rsidRDefault="0025129F" w:rsidP="0025129F">
      <w:pPr>
        <w:pStyle w:val="TextoNormal"/>
      </w:pPr>
      <w:r w:rsidRPr="0025129F">
        <w:rPr>
          <w:rStyle w:val="NumeroAFNegritaCaracter"/>
        </w:rPr>
        <w:t>7</w:t>
      </w:r>
      <w:r>
        <w:t>. En definitiva, de lo expuesto se concluye que la motivación del Auto que acordó la prisión provisional, de 23 de septiembre de 1999, es virtualmente inexistente, y que las motivaciones de los Autos de 5 de octubre de 1999 y de 3 de febrero de 2000 son incompletas, porque no evalúan ni las circunstancias concretas del caso ni las circunstancias personales del imputado —a pesar de que se hizo explícita referencia a éstas en los recursos desestimados—, y porque no contienen además referencia alguna a los fines constitucionalmente legítimos de la institución relativa a la privación de libertad.</w:t>
      </w:r>
    </w:p>
    <w:p w:rsidR="0025129F" w:rsidRDefault="0025129F" w:rsidP="0025129F">
      <w:pPr>
        <w:pStyle w:val="TextoNormal"/>
      </w:pPr>
      <w:r>
        <w:t>En consecuencia, procede estimar la demanda y anular los Autos recurridos, pues la prisión provisional acordada en el primero y mantenida en el segundo y en el tercero ha quebrantado el derecho del demandante a la libertad personal (art. 17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Antonio Luque Rodríguez y, en consecuencia:</w:t>
      </w:r>
    </w:p>
    <w:p w:rsidR="0025129F" w:rsidRDefault="0025129F" w:rsidP="0025129F">
      <w:pPr>
        <w:pStyle w:val="TextoNormal"/>
      </w:pPr>
      <w:r>
        <w:t>1º Declarar que se ha vulnerado el derecho del recurrente a la libertad (art.  17.1 CE).</w:t>
      </w:r>
    </w:p>
    <w:p w:rsidR="0025129F" w:rsidRDefault="0025129F" w:rsidP="0025129F">
      <w:pPr>
        <w:pStyle w:val="TextoNormal"/>
      </w:pPr>
      <w:r>
        <w:t>2º Restablecerle en su derecho y, a tal fin, anular los Autos del Juzgado de Instrucción núm. 2 de Vera (Almería) de 23 de septiembre de 1999 y de 5 de octubre del mismo año, así como el de la Audiencia Provincial de Almería, Sección Segunda, de 3 de febrero de 2000.</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lastRenderedPageBreak/>
        <w:t>Dada en Madrid, a catorce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2" w:name="SENTENCIA_2002_9"/>
      <w:r>
        <w:lastRenderedPageBreak/>
        <w:t>SENTENCIA 9/2002, de 15 de enero de 2002</w:t>
      </w:r>
    </w:p>
    <w:bookmarkEnd w:id="12"/>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ECLI:ES:TC:2002:9</w:t>
      </w:r>
    </w:p>
    <w:p w:rsidR="0025129F" w:rsidRDefault="0025129F" w:rsidP="0025129F">
      <w:pPr>
        <w:pStyle w:val="SntesisDescriptiva"/>
      </w:pPr>
    </w:p>
    <w:p w:rsidR="0025129F" w:rsidRDefault="0025129F" w:rsidP="0025129F">
      <w:pPr>
        <w:pStyle w:val="SntesisDescriptiva"/>
      </w:pPr>
      <w:r>
        <w:t>Recurso de amparo 2272/99. Promovido por doña María Niel Rivera, en representación de su hija menor Jessica, frente a la Sentencia de la Audiencia Provincial de Almería que, en grado de apelación de un juicio de faltas por imprudencia, disminuyó su indemnización.</w:t>
      </w:r>
    </w:p>
    <w:p w:rsidR="0025129F" w:rsidRDefault="0025129F" w:rsidP="0025129F">
      <w:pPr>
        <w:pStyle w:val="SntesisDescriptiva"/>
      </w:pPr>
    </w:p>
    <w:p w:rsidR="0025129F" w:rsidRDefault="0025129F" w:rsidP="0025129F">
      <w:pPr>
        <w:pStyle w:val="SntesisAnaltica"/>
      </w:pPr>
      <w:r>
        <w:t>Supuesta vulneración de los derechos a la igualdad, a la vida e integridad y a la tutela judicial efectiva: cuantía de la indemnización por lesiones causadas en accidente de tráfico (STC 181/2000).</w:t>
      </w:r>
    </w:p>
    <w:p w:rsidR="0025129F" w:rsidRDefault="0025129F" w:rsidP="0025129F">
      <w:pPr>
        <w:pStyle w:val="SntesisAnaltica"/>
      </w:pPr>
    </w:p>
    <w:p w:rsidR="0025129F" w:rsidRDefault="0025129F" w:rsidP="0025129F">
      <w:pPr>
        <w:pStyle w:val="Extracto"/>
      </w:pPr>
      <w:r>
        <w:t>1.</w:t>
      </w:r>
      <w:r>
        <w:tab/>
        <w:t>El análisis y resolución de la pretensión de amparo ha de tener en cuenta, necesariamente, la doctrina expresada en nuestra STC 181/2000, que resolvió las dudas de constitucionalidad planteadas sobre algunos aspectos de la Ley de responsabilidad civil y seguro en la circulación de vehículos a motor [FFJJ 2, 3 y 4].</w:t>
      </w:r>
    </w:p>
    <w:p w:rsidR="0025129F" w:rsidRDefault="0025129F" w:rsidP="0025129F">
      <w:pPr>
        <w:pStyle w:val="Extracto"/>
      </w:pPr>
    </w:p>
    <w:p w:rsidR="0025129F" w:rsidRDefault="0025129F" w:rsidP="0025129F">
      <w:pPr>
        <w:pStyle w:val="Extracto"/>
      </w:pPr>
      <w:r>
        <w:t>2.</w:t>
      </w:r>
      <w:r>
        <w:tab/>
        <w:t>En el caso presente, el fundamento de la denegación de la indemnización por daño moral que se reclama en favor de la hija de la recurrente, y en favor de ella misma y su cónyuge, no reside en la mecánica aplicación de la Ley 30/1995, sino en una diferencia de criterio acerca de su cuantía y en la consideración de que no han resultado acreditados en el proceso judicial previo los perjuicios indemnizables que se reclaman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2272/99, interpuesto por doña María Niel Rivera, que actúa en representación legal de su hija menor de edad, Jessica Juárez Niel, representada por la Procuradora doña María Rodríguez Puyol, con la asistencia del Letrado don Manuel Enrique Sánchez, contra la Sentencia de 28 de abril de 1999, dictada por la Sección Primera de la Audiencia Provincial de Almería, en el rollo de apelación núm. 24/1999, al resolver el recurso presentado contra la Sentencia de 20 de noviembre de 1998, dictada por la Juez de Instrucción núm. 1 de Berja (Almería), en el juicio de faltas núm. 241/1997, sobre </w:t>
      </w:r>
      <w:r>
        <w:lastRenderedPageBreak/>
        <w:t>imprudencia cometida en accidente de tráfico. Ha intervenido el Ministerio Fiscal y la Compañía La Estrella, S.A., de Seguros y Reaseguros, representada por el Procurador don José Manuel de Dorremochea Aramburu, y asistida por el Letrado don Miguel Ángel Ortiz Ortiz. Ha sido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28 de mayo de 1999 se interpuso el recurso de amparo que se ha dejado mencionado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más relevantes para su comprensión y resolución, tal y como se desprenden de la demanda y de las resoluciones impugnadas son, en síntesis, los siguientes: </w:t>
      </w:r>
    </w:p>
    <w:p w:rsidR="0025129F" w:rsidRDefault="0025129F" w:rsidP="0025129F">
      <w:pPr>
        <w:pStyle w:val="TextoNormal"/>
      </w:pPr>
      <w:r>
        <w:t xml:space="preserve">a) Según el relato de hechos probados de la Sentencia dictada en primera instancia, el 3 de julio de 1997, la hija de la demandante de amparo, que tenía entonces 13 años de edad, recibió un golpe en el tobillo izquierdo cuando trataba de sujetar un carrito de bebé que manejaba, el cual había quedado enganchado en el paragolpes trasero de un autobús que, al efectuar un giro en una bifurcación, invadió la acera por la que paseaba la menor con sus familiares. Como consecuencia del golpe sufrió lesiones que tardaron en curar 45 días, durante los que estuvo impedida para sus ocupaciones habituales. Como secuela le quedó una metatarsalgia en el pie izquierdo. </w:t>
      </w:r>
    </w:p>
    <w:p w:rsidR="0025129F" w:rsidRDefault="0025129F" w:rsidP="0025129F">
      <w:pPr>
        <w:pStyle w:val="TextoNormal"/>
      </w:pPr>
      <w:r>
        <w:t xml:space="preserve">b) La Sentencia de primera instancia, tras calificar penalmente como imprudente la conducta del conductor del autobús, le condenó al pago de la responsabilidad civil derivada del hecho ilícito, para cuyo cálculo utilizó los criterios y límites indemnizatorios previstos en la Disposición adicional octava de la Ley 30/1995, de 8 de noviembre, de ordenación y supervisión de los seguros privados, que modificó la Ley de uso y circulación de vehículos de motor. En su virtud, en lo que al objeto de este recurso se refiere, concedió, en favor de la lesionada, las siguientes indemnizaciones: 142.110 pesetas por los 45 días de lesiones; 2.122.929 pesetas por la metatarsalgia padecida (cantidad correspondiente a 17 puntos, de los que 7 corresponderían al perjuicio estético causado y 10 a la secuela), y 47.372 pesetas por gastos médicos, farmacéuticos y de transporte que se consideraron acreditados. La indemnización por perjuicios solicitada por la madre de la menor fue rechazada al entender que los mismos no habían sido acreditados. </w:t>
      </w:r>
    </w:p>
    <w:p w:rsidR="0025129F" w:rsidRDefault="0025129F" w:rsidP="0025129F">
      <w:pPr>
        <w:pStyle w:val="TextoNormal"/>
      </w:pPr>
      <w:r>
        <w:t xml:space="preserve">c) Todas las partes personadas en el proceso a quo —la demandante de amparo, la entidad aseguradora del autobús, su conductor y la empresa propietaria del vehículo—, interpusieron recurso de apelación contra dicha Sentencia. En el suyo, la demandante de amparo denunció que el juzgador de instancia había incurrido en diversos errores en la apreciación de la prueba al concretar los días de lesión, y al no declarar la concurrencia de dos secuelas (la metatarsalgia y una cojera derivada de ésta), ni la de los perjuicios a los padres por los que se reclamó indemnización, que en el recurso se concretaron en las molestias y desplazamientos obligados por la necesidad de acompañar a su hija menor a revisiones médicas, así como el daño moral derivado de tener que contemplar y convivir con la cojera de su hija. Dichos errores en la apreciación de los hechos probados, así como la cuantía de las indemnizaciones fijadas supondrían diversas infracciones jurídicas, entre ellas, las de los arts. 14 y 15 CE, por cuanto la aplicación de los baremos establecidos en la Ley 30/1995 habría impedido que le fuera restituido integralmente el daño causado mediante una reparación económica conforme con el perjuicio realmente sufrido, lo que sí </w:t>
      </w:r>
      <w:r>
        <w:lastRenderedPageBreak/>
        <w:t xml:space="preserve">habría conseguido si las lesiones se hubieran producido en un ámbito distinto al de la circulación de vehículos de motor. </w:t>
      </w:r>
    </w:p>
    <w:p w:rsidR="0025129F" w:rsidRDefault="0025129F" w:rsidP="0025129F">
      <w:pPr>
        <w:pStyle w:val="TextoNormal"/>
      </w:pPr>
      <w:r>
        <w:t>d) La Sentencia de apelación aceptó la declaración de hechos probados de la instancia y rechazó los motivos de impugnación planteados por quien hoy demanda el amparo de este Tribunal. Por contra, acogió parcialmente los de la entidad aseguradora del vehículo causante del accidente y modificó el pronunciamiento indemnizatorio, disminuyendo su cuantía, al considerar no acreditados algunos de los perjuicios o conceptos por los que se inicialmente se concedió indemnización. Concretamente, en cuanto a la supuesta cojera derivada de la lesión padecida que la representación de la Sra. Niel Rivera calificaba como perjuicio estético, señaló, en el fundamento jurídico 3, lo siguiente: “En orden a la indemnización por perjuicio estético, sí tiene razón la parte recurrente, puesto que, según el repetido dictamen forense, acogido en la Sentencia apelada, la única secuela reflejada es la mencionada de metatarsalgia, sin aludir a perjuicio estético alguno. Por tanto, ha de resultar como indemnización por secuelas (sin factor de corrección por lo antes señalado), la suma de 1.013.540 pesetas (10 puntos por 101.354 ptas.).”</w:t>
      </w:r>
    </w:p>
    <w:p w:rsidR="0025129F" w:rsidRDefault="0025129F" w:rsidP="0025129F">
      <w:pPr>
        <w:pStyle w:val="TextoNormal"/>
      </w:pPr>
    </w:p>
    <w:p w:rsidR="0025129F" w:rsidRDefault="0025129F" w:rsidP="0025129F">
      <w:pPr>
        <w:pStyle w:val="TextoNormal"/>
      </w:pPr>
      <w:r w:rsidRPr="0025129F">
        <w:rPr>
          <w:rStyle w:val="NumeroAFNegritaCaracter"/>
        </w:rPr>
        <w:t>3</w:t>
      </w:r>
      <w:r>
        <w:t>. En su demanda la recurrente considera que las resoluciones judiciales impugnadas han lesionado su derecho a la igualdad en la ley (art. 14 CE), por cuanto, por aplicación imperativa de la citada Ley 30/1995, la reparación económica que por el daño sufrido se ha concedido en favor de su hija es menor que la que recibiría si el accidente hubiera ocurrido en un ámbito distinto al de la circulación de vehículos de motor, pues los límites indemnizatorios fijados en la ley aplicada impiden al Juez determinar la reparación económica conforme a su justa valoración, de manera que únicamente se repara el dolor sufrido, pero no el resto de consecuencias dañosas anejas a la dolencia (el perjuicio estético o imposibilidad de realizar normalmente sus actividades escolares). Aduce también la recurrente la supuesta lesión de su derecho a la integridad física y moral, reconocido en el art. 15 CE. Tal vulneración se habría producido como consecuencia de la resolución de su pretensión resarcitoria conforme a los criterios y límites establecidos en la Ley 30/1995, pues, en su opinión, su aplicación habría impedido la restitución íntegra del daño realmente sufrido. Finalmente se afirma en la demanda que la obligada aplicación de la Ley 30/1995 viola el derecho a obtener la tutela judicial efectiva, al juez predeterminado por la ley y a un proceso con todas las garantías, porque impide al Juez fallar conforme a su libre apreciación de las pruebas, imponiéndole que lo haga conforme al criterio médico expresado por los peritos en el acto del juicio. En su opinión la Ley aplicada traslada la decisión del Juez al facultativo. Además, en el caso presente, el juzgador habría obviado la valoración del informe forense emitido en el acto de la vista, dando valor preferente al informe escrito emitido en la fase de investigación.</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18 de enero de 2001 la Sala acordó admitir a trámite la demanda presentada, así como requerir al órgano judicial para que remitiera certificación o fotocopia adverada de las actuaciones y emplazara a quienes hubieran sido parte en el procedimiento judicial previo al objeto de que pudieran comparecer si lo deseaban, con excepción de la parte recurrente en amparo.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Mediante escrito registrado el 24 de abril de 2001 la compañía aseguradora La Estrella, S.A., de Seguros y Reaseguros, representada por el Procurador don Jose Manuel de Dorremochea Aramburu, se personó en las presentes actuaciones. Por providencia de 24 </w:t>
      </w:r>
      <w:r>
        <w:lastRenderedPageBreak/>
        <w:t>de mayo de 2001 se la tuvo por personada y parte, a condición de que acreditara su representación con poder original, y se acordó dar vista de las actuaciones recibidas a las partes personadas y al Ministerio Fiscal para que en el plazo común de veinte días presentaran las alegaciones que estimasen pertinentes, de conformidad con el art. 52.1 LOTC.</w:t>
      </w:r>
    </w:p>
    <w:p w:rsidR="0025129F" w:rsidRDefault="0025129F" w:rsidP="0025129F">
      <w:pPr>
        <w:pStyle w:val="TextoNormal"/>
      </w:pPr>
    </w:p>
    <w:p w:rsidR="0025129F" w:rsidRDefault="0025129F" w:rsidP="0025129F">
      <w:pPr>
        <w:pStyle w:val="TextoNormal"/>
      </w:pPr>
      <w:r w:rsidRPr="0025129F">
        <w:rPr>
          <w:rStyle w:val="NumeroAFNegritaCaracter"/>
        </w:rPr>
        <w:t>6</w:t>
      </w:r>
      <w:r>
        <w:t>. La representación de la recurrente presentó su escrito de alegaciones el 20 de junio de 2001, solicitando que se tuvieran por reproducidas las efectuadas en la demanda. La compañía La Estrella, S.A., de Seguros y Reaseguros presentó sus alegaciones el mismo día, propugnando la desestimación de la demanda de amparo, con remisión íntegra a la fundamentación de la STC 181/2000, de 29 de junio.</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escrito registrado el 15 de junio de 2001 el Fiscal ante el Tribunal Constitucional interesó la desestimación de las pretensiones de amparo, remitiéndose también a la fundamentación de la STC 181/2000, en lo relativo a las supuestas vulneraciones de los derechos a la igualdad en la ley y a la integridad física y moral (arts. 14 y 15 CE). En su escrito considera también carente de fundamento la alegada lesión del art. 24 CE, en su vertiente de derecho al juez predeterminado por la ley, rechazando que los órganos judiciales no hayan tenido plena libertad para valorar las pruebas propuestas y practicadas en el proceso judicial, pues no puede aducirse que tal situación haya ocurrido al apreciarse que motivadamente los órganos judiciales han atendido a los informes médicos emitidos, aceptando las conclusiones de uno frente a las propugnadas por la recurrente en el aportado a su instancia. Descarta, por último, que la sujeción a los criterios y límites establecidos en la ley aplicada a la resolución del caso hayan supuesto, en este caso, limitación alguna en las facultades que corresponden, ex art. 117.3 CE, a los órganos judiciales para ejercer la potestad que tiene atribuida.</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10 de enero de 2002, se acordó señalar el día 15 del mismo mes y año para deliberación y votación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En la demanda se solicita amparo frente los pronunciamientos indemnizatorios de las Sentencias dictadas, en primera instancia y apelación, por el Juzgado de Instrucción núm. 1 de Berja y la Sección Primera de la Audiencia Provincial de Almería, al enjuiciar penalmente un accidente de tráfico acaecido el 3 de julio de 1997 en el que la hija de la demandante resultó lesionada en el tobillo izquierdo al quedar enganchado un carrito que manejaba con el paragolpes trasero de un autobús. En dichas resoluciones se declaró la culpa del conductor del autobús, se le impuso una sanción penal y se fijó la indemnización que se estimó legalmente adecuada al perjuicio causado, tal y como ha quedado expuesto en el antecedente 2 letra b) de esta resolución.</w:t>
      </w:r>
    </w:p>
    <w:p w:rsidR="0025129F" w:rsidRDefault="0025129F" w:rsidP="0025129F">
      <w:pPr>
        <w:pStyle w:val="TextoNormal"/>
      </w:pPr>
      <w:r>
        <w:t xml:space="preserve">Considera la recurrente que tales pronunciamientos han lesionado sus derechos a la igualdad en la ley, a la integridad física y moral y al juez ordinario predeterminado por la ley y a un proceso con todas las garantías y a la tutela judicial efectiva, en la medida en que, para resolver sobre su pretensión, han aplicado imperativamente las previsiones de la Ley sobre responsabilidad civil y seguro en la circulación de vehículos a motor, en la redacción dada por la Disposición adicional octava de la Ley 30/1995, de 8 de noviembre, </w:t>
      </w:r>
      <w:r>
        <w:lastRenderedPageBreak/>
        <w:t>de ordenación y supervisión de los seguros privados. Al justificar su queja señala que, como consecuencia de la aplicación de la Ley 30/1995, la reparación económica declarada en favor de su hija es menor que la que hubiera percibido de producirse el accidente en un ámbito distinto al de la circulación de vehículos de motor, y, en todo caso, no ha obtenido la restitución íntegra del perjuicio sufrido al verse los órganos judiciales impelidos a aplicar los criterios y límites indemnizatorios legalmente establecidos y no los que, conforme al principio de libre valoración de la prueba, le corresponderían.</w:t>
      </w:r>
    </w:p>
    <w:p w:rsidR="0025129F" w:rsidRDefault="0025129F" w:rsidP="0025129F">
      <w:pPr>
        <w:pStyle w:val="TextoNormal"/>
      </w:pPr>
      <w:r>
        <w:t>De distinta opinión es el Ministerio Fiscal, y la entidad aseguradora La Estrella, S.A., de Seguros y Reaseguros, para quienes las resoluciones judiciales impugnadas no son sino justa aplicación de una Ley cuya adecuación a la Constitución ha sido declarada en la STC 181/2000, de 29 de junio, que rechazó las dudas de constitucionalidad que hoy justifican la presente demanda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Tal y como ha quedado expuesto, aunque las quejas formuladas por la demandante se dirigen contra las resoluciones judiciales que han sido reseñadas, lo hacen únicamente en cuanto las mismas han sido el cauce de concreción de una Ley (la de responsabilidad civil y seguro en la circulación de vehículos a motor) cuya aplicación provoca, en su opinión, consecuencias contrarias al contenido de los derechos cuya vulneración alega. En tal medida, dada su identidad de fundamento, el análisis y resolución de la pretensión de amparo ha de tener en cuenta, necesariamente, la doctrina expresada en nuestra STC 181/2000, que resolvió las dudas de constitucionalidad planteadas sobre algunos aspectos de dicha Ley, pues tanto el Ministerio Fiscal como la entidad aseguradora del autobús se remiten a la misma para justificar su propuesta de desestimación de la queja al considerar que su objeto coincide con el de este proceso constitucional de amparo.</w:t>
      </w:r>
    </w:p>
    <w:p w:rsidR="0025129F" w:rsidRDefault="0025129F" w:rsidP="0025129F">
      <w:pPr>
        <w:pStyle w:val="TextoNormal"/>
      </w:pPr>
      <w:r>
        <w:t>Como dijimos en la citada resolución (FJ 1), la Disposición adicional octava de la Ley 30/1995 ha establecido un detallado sistema normativo de predeterminación y cuantificación legal de los daños a las personas (daños corporales), que tienen su causa en accidentes producidos por la circulación de vehículos a motor, en el que se establecen, mediante el sistema de baremación, límites cuantitativos que operan como topes máximos para fijar las correspondientes indemnizaciones por tales daños, en función de la aplicación generalizada de los criterios y de las tablas allí determinadas. Las dudas de constitucionalidad planteadas por los órganos judiciales partían de la obligada vinculación jurídica que establecía la ley, la cual, según entendían, les impedía atender a las singularidades del caso concreto y satisfacer, en su caso, pretensiones resarcitorias derivadas de daños procesalmente acreditados pero no contemplados en el baremo, o que superasen los límites indemnizatorios legalmente establecidos en aquél. Basta esta somera descripción del objeto de aquel proceso para concluir en la identidad de razón de aquellas dudas judiciales y las quejas que fundamentan la pretensión que analizamos.</w:t>
      </w:r>
    </w:p>
    <w:p w:rsidR="0025129F" w:rsidRDefault="0025129F" w:rsidP="0025129F">
      <w:pPr>
        <w:pStyle w:val="TextoNormal"/>
      </w:pPr>
      <w:r>
        <w:t>Pues bien, tal y como la Juez de Instrucción núm. 1 de Berja y los Magistrados de la Sección Primera de la Audiencia Provincial de Almería afirman en las resoluciones cuestionadas, no cabe duda de que “el sistema tasado o de baremo introducido por la cuestionada Ley 30/1995 vincula, como es lo propio de una disposición con ese rango normativo,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Y tal sujeción “se produce no sólo en los casos de responsabilidad civil por simple riesgo (responsabilidad cuasi objeti</w:t>
      </w:r>
      <w:r>
        <w:lastRenderedPageBreak/>
        <w:t>va), sino también cuando los daños sean ocasionados por actuación culposa o negligente del conductor del vehículo” (STC 181/2000, FJ 4).</w:t>
      </w:r>
    </w:p>
    <w:p w:rsidR="0025129F" w:rsidRDefault="0025129F" w:rsidP="0025129F">
      <w:pPr>
        <w:pStyle w:val="TextoNormal"/>
      </w:pPr>
    </w:p>
    <w:p w:rsidR="0025129F" w:rsidRDefault="0025129F" w:rsidP="0025129F">
      <w:pPr>
        <w:pStyle w:val="TextoNormal"/>
      </w:pPr>
      <w:r w:rsidRPr="0025129F">
        <w:rPr>
          <w:rStyle w:val="NumeroAFNegritaCaracter"/>
        </w:rPr>
        <w:t>3</w:t>
      </w:r>
      <w:r>
        <w:t>. En primer término, hemos de rechazar en este supuesto, al igual que hicimos en el análisis abstracto de la Ley (FFJJ 7 a 12), que la aplicación en las resoluciones impugnadas de los criterios y límites indemnizatorios establecidos por el legislador haya provocado, como consecuencia, la vulneración del contenido de los arts. 14 y 15 CE.</w:t>
      </w:r>
    </w:p>
    <w:p w:rsidR="0025129F" w:rsidRDefault="0025129F" w:rsidP="0025129F">
      <w:pPr>
        <w:pStyle w:val="TextoNormal"/>
      </w:pPr>
      <w:r>
        <w:t>En lo que se refiere al principio de igualdad en la ley porque hay que descartar que el establecimiento legal de un máximo indemnizatorio por todos los daños personales y por todos los conceptos genere un tratamiento injustificadamente diferenciado para las víctimas de un siniestro circulatorio, pues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(FJ 11). Por ello, al constatar que la concreta regulación especial o diferenciada que está en la base de la queja no se ha articulado a partir de categorías de personas o grupos de las mismas, sino en atención exclusivamente al específico ámbito o sector de la realidad social en que acaece la conducta o actividad productora de los daños, cabe afirmar que “se opera en función de un elemento objetivo y rigurosamente neutro, que explica por qué esa pluralidad de regímenes jurídicos especiales se aplica por igual a todos los ciudadanos, es decir, a todos los dañados, sin que implique, directa o indirectamente, un menoscabo de la posición jurídica de unos respecto de la de otros”.</w:t>
      </w:r>
    </w:p>
    <w:p w:rsidR="0025129F" w:rsidRDefault="0025129F" w:rsidP="0025129F">
      <w:pPr>
        <w:pStyle w:val="TextoNormal"/>
      </w:pPr>
      <w:r>
        <w:t>Y en relación con el derecho a la integridad física y moral basta con recordar que “la Ley 30/1995 por la que se introdujo el baremo, no desarrolla ni regula los derechos a la vida y a la integridad física y moral que reconoce el art.  15 CE” (FJ 8), por más que sus contenidos tengan incidencia directa sobre los bienes de la personalidad a los que aquellos derechos sirven. Y pese a que “el art.  15 de la Constitución no puede ser considerado como un precepto irrelevante a la hora de examinar el régimen legal de la tutela, en sede de responsabilidad civil, de los bienes de la personalidad que dicho precepto constitucional reconoce y garantiza”, ese mandato constitucional de protección suficiente de la vida y la integridad personal que incorpora no significa que el principio de total reparación de lo dañado encuentre asiento en el art. 15 de la Constitución, que “sólo condiciona al legislador de la responsabilidad civil en dos extremos: en primer lugar, en el sentido de exigirle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w:t>
      </w:r>
    </w:p>
    <w:p w:rsidR="0025129F" w:rsidRDefault="0025129F" w:rsidP="0025129F">
      <w:pPr>
        <w:pStyle w:val="TextoNormal"/>
      </w:pPr>
      <w:r>
        <w:t>Por ello, la conclusión entonces alcanzada, conforme a la cual el sistema de baremación establecido por la Ley 30/1995 no es contrario tampoco al art. 15 CE, pues atiende no sólo al supuesto de muerte, sino también a las lesiones causadas en la integridad física y moral de las personas estableciendo unas cuantías que no pueden estimarse insuficientes desde la perspectiva constitucional que nos es propia, ha de extenderse a su aplicación, y por tanto a la presente pretensión de amparo, lo que conlleva su desestimación.</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tercera de las quejas expresadas por la recurrente aduce la lesión del art. 24 CE, en varios de sus contenidos, con una fundamentación que guarda íntima relación con la </w:t>
      </w:r>
      <w:r>
        <w:lastRenderedPageBreak/>
        <w:t>que sustenta las dos anteriores pretensiones de amparo.  Entiende la recurrente que, al tener que sujetarse a los dictados de la Ley 30/1995 en el momento de fijar el quantum indemnizatorio, los órganos judiciales no han podido juzgar conforme al principio de libre valoración de las pruebas, sino que lo han tenido que hacer “bajo el prisma o la imposición del dictamen médico” por lo que “se expropia al Juez su facultad o potestad y obligación de juzgar” porque ya no juzga el juez sino el médico. Por ello considera que se ha vulnerado una de las garantías básicas del juicio, la de libre valoración de las prueba en conciencia por el juez, lesionando el derecho al juez ordinario predeterminado por la ley y a un proceso con todas las garantías.</w:t>
      </w:r>
    </w:p>
    <w:p w:rsidR="0025129F" w:rsidRDefault="0025129F" w:rsidP="0025129F">
      <w:pPr>
        <w:pStyle w:val="TextoNormal"/>
      </w:pPr>
      <w:r>
        <w:t>Así planteada, la queja carece de fundamento, pues en anteriores pronunciamientos hemos descartado ya que las previsiones normativas de la Ley aplicada interfieran en modo alguno en el adecuado ejercicio de la potestad jurisdiccional (SSTC 181/2000, de 29 de junio, FJ 9; 267/2000, de 13 de noviembre, FJ 5; y 21/2001, de 29 de enero, FJ 4), puesto que no impiden a cada Juez o Tribunal verificar, con arreglo a lo alegado por las partes y lo que hubiese resultado de la prueba practicada, la realidad del hecho dañoso y la conducta e imputación al agente causante del daño, determinando su incidencia en relación con los daños producidos; así como subsumir los hechos en las normas, seleccionando e interpretando el Derecho de aplicación al caso, lo que supone, cuando así sea pertinente, concretar los diversos índices y reglas tabulares que utilizará para el cálculo de las indemnizaciones a que hubiese lugar, modulando su cuantía en función de su estimación acerca de la concurrencia o no de los distintos factores de corrección legalmente establecidos; y, en definitiva, emitir los oportunos pronunciamientos resolviendo, conforme a la ley, la controversia existente entre las partes, cuidándose, en su caso, de la ejecución del fallo.</w:t>
      </w:r>
    </w:p>
    <w:p w:rsidR="0025129F" w:rsidRDefault="0025129F" w:rsidP="0025129F">
      <w:pPr>
        <w:pStyle w:val="TextoNormal"/>
      </w:pPr>
      <w:r>
        <w:t>Resulta así que de la mayor o menor densidad de contenidos normativos que, en lo que atañe a la valoración y cuantificación de los daños personales, presenta el régimen legal introducido por la Ley 30/1995, no se deriva restricción alguna de las facultades pertenecientes a Jueces y Tribunales para el ejercicio exclusivo “de la potestad jurisdiccional en todo tipo de procesos, juzgando y haciendo ejecutar lo juzgado” (art. 117.3 CE), por lo que no cabe apreciar la vulneración del derecho a la tutela judicial efectiva que se alega.</w:t>
      </w:r>
    </w:p>
    <w:p w:rsidR="0025129F" w:rsidRDefault="0025129F" w:rsidP="0025129F">
      <w:pPr>
        <w:pStyle w:val="TextoNormal"/>
      </w:pPr>
      <w:r>
        <w:t>A lo que hay que añadir que, en el caso presente, el fundamento de la denegación de la indemnización por daño moral que se reclama en favor de la hija de la recurrente, y en favor de ella misma y su cónyuge, no reside en la mecánica aplicación de la Ley 30/1995, sino en una diferencia de criterio acerca de su cuantía y en la consideración de que no han resultado acreditados en el proceso judicial previo los perjuicios indemnizables que se reclaman. Así, por ejemplo, basta leer el fundamento jurídico tercero de la Sentencia de apelación para constatar que la razón por la que se rebaja la indemnización en favor de la menor, y se deniega la elevación de su cuantía, como se solicitaba, se encuentra en considerar no probado el presupuesto del que podía derivar su derecho a ser indemnizada en mayor cuantía (el perjuicio estético). Para formar esa convicción la Sección de la Audiencia Provincial ha valorado el informe del Médico forense emitido en la fase de investigación, que fue ratificado y aclarado en el acto del juicio oral, llegando a la conclusión de que “en orden a la indemnización por perjuicio estético, [sí] tiene razón la parte recurrente, puesto que, según el repetido dictamen forense, acogido en la sentencia apelada, la única secuela reflejada es la mencionada de metatarsalgia, sin aludir a perjuicio estético alguno.  Por tanto, ha de resultar como indemnización por secuelas (sin factor de corrección por lo antes señalado), la suma de 1.013.540 pesetas (10 puntos por 101.354 ptas.)”.</w:t>
      </w:r>
    </w:p>
    <w:p w:rsidR="0025129F" w:rsidRDefault="0025129F" w:rsidP="0025129F">
      <w:pPr>
        <w:pStyle w:val="TextoNormal"/>
      </w:pPr>
      <w:r>
        <w:t xml:space="preserve">En definitiva, ni los órganos judiciales han abdicado de su función jurisdiccional ni, mediante su resolución, han impedido la reparación del daño causado por el accidente, </w:t>
      </w:r>
      <w:r>
        <w:lastRenderedPageBreak/>
        <w:t>sino que en aplicación de la ley, tras analizar la pretensión punitiva e indemnizatoria que les fue formulada, determinaron la responsabilidad del conductor y los daños derivados de la acción culposa, excluyendo aquéllos que consideraron no probados, y fijando a los acreditados una indemnización razonada que, desde la perspectiva constitucional que nos corresponde, ha de ser enjuiciada como suficiente, por más que no satisfaga las aspiraciones de la demandante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la petición de amparo formulada por doña María Niel Rivera.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quince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3" w:name="SENTENCIA_2002_10"/>
      <w:r>
        <w:lastRenderedPageBreak/>
        <w:t>SENTENCIA 10/2002, de 17 de enero de 2002</w:t>
      </w:r>
    </w:p>
    <w:bookmarkEnd w:id="13"/>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ECLI:ES:TC:2002:10</w:t>
      </w:r>
    </w:p>
    <w:p w:rsidR="0025129F" w:rsidRDefault="0025129F" w:rsidP="0025129F">
      <w:pPr>
        <w:pStyle w:val="SntesisDescriptiva"/>
      </w:pPr>
    </w:p>
    <w:p w:rsidR="0025129F" w:rsidRDefault="0025129F" w:rsidP="0025129F">
      <w:pPr>
        <w:pStyle w:val="SntesisDescriptiva"/>
      </w:pPr>
      <w:r>
        <w:t>Cuestión de inconstitucionalidad 2829/94. Planteada por la Sección Cuarta de la Audiencia Provincial de Sevilla respecto del art. 557 de la Ley de enjuiciamiento criminal.</w:t>
      </w:r>
    </w:p>
    <w:p w:rsidR="0025129F" w:rsidRDefault="0025129F" w:rsidP="0025129F">
      <w:pPr>
        <w:pStyle w:val="SntesisDescriptiva"/>
      </w:pPr>
    </w:p>
    <w:p w:rsidR="0025129F" w:rsidRDefault="0025129F" w:rsidP="0025129F">
      <w:pPr>
        <w:pStyle w:val="SntesisAnaltica"/>
      </w:pPr>
      <w:r>
        <w:t>Vulneración del derecho a la inviolabilidad del domicilio: entrada y registro en las habitaciones de un hotel. Derogación del precepto legal.</w:t>
      </w:r>
    </w:p>
    <w:p w:rsidR="0025129F" w:rsidRDefault="0025129F" w:rsidP="0025129F">
      <w:pPr>
        <w:pStyle w:val="SntesisAnaltica"/>
      </w:pPr>
    </w:p>
    <w:p w:rsidR="0025129F" w:rsidRDefault="0025129F" w:rsidP="0025129F">
      <w:pPr>
        <w:pStyle w:val="Extracto"/>
      </w:pPr>
      <w:r>
        <w:t>1.</w:t>
      </w:r>
      <w:r>
        <w:tab/>
        <w:t>Las habitaciones de los hoteles pueden constituir domicilio de sus huéspedes. Ello, no obstante, no significa que no puedan ser utilizadas también para realizar otro tipo de actividades en cuyo caso no se considerarán domicilio de quien las usa a tales fines [FJ 8].</w:t>
      </w:r>
    </w:p>
    <w:p w:rsidR="0025129F" w:rsidRDefault="0025129F" w:rsidP="0025129F">
      <w:pPr>
        <w:pStyle w:val="Extracto"/>
      </w:pPr>
    </w:p>
    <w:p w:rsidR="0025129F" w:rsidRDefault="0025129F" w:rsidP="0025129F">
      <w:pPr>
        <w:pStyle w:val="Extracto"/>
      </w:pPr>
      <w:r>
        <w:t>2.</w:t>
      </w:r>
      <w:r>
        <w:tab/>
        <w:t>Ni la accidentalidad, temporalidad o ausencia de habitualidad del uso de la habitación del hotel, ni las limitaciones al disfrute de las mismas que derivan del contrato de hospedaje, pueden constituir obstáculos a su consideración como domicilio de los clientes del hotel mientras han contratado con éste su alojamiento en ellas [FJ 8].</w:t>
      </w:r>
    </w:p>
    <w:p w:rsidR="0025129F" w:rsidRDefault="0025129F" w:rsidP="0025129F">
      <w:pPr>
        <w:pStyle w:val="Extracto"/>
      </w:pPr>
    </w:p>
    <w:p w:rsidR="0025129F" w:rsidRDefault="0025129F" w:rsidP="0025129F">
      <w:pPr>
        <w:pStyle w:val="Extracto"/>
      </w:pPr>
      <w:r>
        <w:t>3.</w:t>
      </w:r>
      <w:r>
        <w:tab/>
        <w:t>La incompatibilidad del art. 557 LECrim con el derecho reconocido en el art. 18.2 CE se produce sólo en la medida en que impide con carácter absoluto que dichos establecimientos o una parte de los mismos, específicamente sus habitaciones respecto de sus huéspedes, sean consideradas domicilio [FJ 9].</w:t>
      </w:r>
    </w:p>
    <w:p w:rsidR="0025129F" w:rsidRDefault="0025129F" w:rsidP="0025129F">
      <w:pPr>
        <w:pStyle w:val="Extracto"/>
      </w:pPr>
    </w:p>
    <w:p w:rsidR="0025129F" w:rsidRDefault="0025129F" w:rsidP="0025129F">
      <w:pPr>
        <w:pStyle w:val="Extracto"/>
      </w:pPr>
      <w:r>
        <w:t>4.</w:t>
      </w:r>
      <w:r>
        <w:tab/>
        <w:t>La exigencia de autorización judicial constituye un requisito que no puede ser excepcionado (SSTC 22/1984, 136/2000) [FJ 9].</w:t>
      </w:r>
    </w:p>
    <w:p w:rsidR="0025129F" w:rsidRDefault="0025129F" w:rsidP="0025129F">
      <w:pPr>
        <w:pStyle w:val="Extracto"/>
      </w:pPr>
    </w:p>
    <w:p w:rsidR="0025129F" w:rsidRDefault="0025129F" w:rsidP="0025129F">
      <w:pPr>
        <w:pStyle w:val="Extracto"/>
      </w:pPr>
      <w:r>
        <w:t>5.</w:t>
      </w:r>
      <w:r>
        <w:tab/>
        <w:t>La incompatibilidad del art. 557 LECrim con el derecho reconocido en el art. 18.2 CE se produce sólo en la medida en que impide con carácter absoluto que dichos establecimientos o una parte de los mismos, específicamente sus habitaciones respecto de sus huéspedes, sean consideradas domicilio (SSTC 22/1984, 119/2001) [FJ 5].</w:t>
      </w:r>
    </w:p>
    <w:p w:rsidR="0025129F" w:rsidRDefault="0025129F" w:rsidP="0025129F">
      <w:pPr>
        <w:pStyle w:val="Extracto"/>
      </w:pPr>
    </w:p>
    <w:p w:rsidR="0025129F" w:rsidRDefault="0025129F" w:rsidP="0025129F">
      <w:pPr>
        <w:pStyle w:val="Extracto"/>
      </w:pPr>
      <w:r>
        <w:t>6.</w:t>
      </w:r>
      <w:r>
        <w:tab/>
        <w:t>El rasgo esencial que define el domicilio a los efectos de la protección dispensada por el art. 18.2 CE reside en la aptitud para desarrollar en él vida privada y en su destino específico a tal desarrollo, aunque sea eventual [FFJJ 6 y 7].</w:t>
      </w:r>
    </w:p>
    <w:p w:rsidR="0025129F" w:rsidRDefault="0025129F" w:rsidP="0025129F">
      <w:pPr>
        <w:pStyle w:val="Extracto"/>
      </w:pPr>
    </w:p>
    <w:p w:rsidR="0025129F" w:rsidRDefault="0025129F" w:rsidP="0025129F">
      <w:pPr>
        <w:pStyle w:val="Extracto"/>
      </w:pPr>
      <w:r>
        <w:t>7.</w:t>
      </w:r>
      <w:r>
        <w:tab/>
        <w:t>No nos corresponde analizar aquí la incidencia que la inconstitucionalidad del precepto cuestionado pueda tener en el enjuiciamiento del caso desde la perspectiva del art. 25.1 CE [FJ 2].</w:t>
      </w:r>
    </w:p>
    <w:p w:rsidR="0025129F" w:rsidRDefault="0025129F" w:rsidP="0025129F">
      <w:pPr>
        <w:pStyle w:val="Extracto"/>
      </w:pPr>
    </w:p>
    <w:p w:rsidR="0025129F" w:rsidRDefault="0025129F" w:rsidP="0025129F">
      <w:pPr>
        <w:pStyle w:val="Extracto"/>
      </w:pPr>
      <w:r>
        <w:t>8.</w:t>
      </w:r>
      <w:r>
        <w:tab/>
        <w:t>Los Jueces y Tribunales tienen la opción de inaplicar las normas preconstitucionales si entienden que han quedado derogadas por la Constitución, o bien some</w:t>
      </w:r>
      <w:r>
        <w:lastRenderedPageBreak/>
        <w:t>terlas a este Tribunal Constitucional a través de la cuestión de inconstitucionalidad (SSTC 4/1981, 126/1997, 159/2001) [FJ 2].</w:t>
      </w:r>
    </w:p>
    <w:p w:rsidR="0025129F" w:rsidRDefault="0025129F" w:rsidP="0025129F">
      <w:pPr>
        <w:pStyle w:val="Extracto"/>
      </w:pPr>
    </w:p>
    <w:p w:rsidR="0025129F" w:rsidRDefault="0025129F" w:rsidP="0025129F">
      <w:pPr>
        <w:pStyle w:val="Extracto"/>
      </w:pPr>
      <w:r>
        <w:t>9.</w:t>
      </w:r>
      <w:r>
        <w:tab/>
        <w:t>El examen de la relevancia de la constitucionalidad de la norma para la decisión del proceso origen de la cuestión constituye una cuestión de orden público procesal (SSTC 17/1981, 109/2001) [FJ 3].</w:t>
      </w:r>
    </w:p>
    <w:p w:rsidR="0025129F" w:rsidRDefault="0025129F" w:rsidP="0025129F">
      <w:pPr>
        <w:pStyle w:val="Extracto"/>
      </w:pPr>
    </w:p>
    <w:p w:rsidR="0025129F" w:rsidRDefault="0025129F" w:rsidP="0025129F">
      <w:pPr>
        <w:pStyle w:val="Extracto"/>
      </w:pPr>
      <w:r>
        <w:t>10.</w:t>
      </w:r>
      <w:r>
        <w:tab/>
        <w:t>La constitucionalidad del precepto cuestionado incide en la decisión del proceso a quo, pues es determinante, en opinión del órgano judicial, de un fallo absolutorio, con independencia de la eventual existencia de otras interpretaciones alternativas [FJ 3].</w:t>
      </w:r>
    </w:p>
    <w:p w:rsidR="0025129F" w:rsidRDefault="0025129F" w:rsidP="0025129F">
      <w:pPr>
        <w:pStyle w:val="Extracto"/>
      </w:pPr>
    </w:p>
    <w:p w:rsidR="0025129F" w:rsidRDefault="0025129F" w:rsidP="0025129F">
      <w:pPr>
        <w:pStyle w:val="Extracto"/>
      </w:pPr>
      <w:r>
        <w:t>11.</w:t>
      </w:r>
      <w:r>
        <w:tab/>
        <w:t>La protección del derecho a la inviolabilidad del domicilio no se satisface con una declaración de inconstitucionalidad parcial del precepto [FJ 10].</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 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la cuestión de inconstitucionalidad núm. 2829/94, planteada por la Sección Cuarta de la Audiencia Provincial de Sevilla respecto del art. 557 de la Ley de Enjuiciamiento Criminal. Han comparecido el Ministerio Fiscal y el Abogado del Estado, en la representación que legalmente ostenta. Ha sido Ponente la Magistrada doña María Emilia Casas Baamonde, quien expresa el parecer del Tribunal.</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3 de agosto de 1994 tuvo entrada en el Registro General de este Tribunal un escrito del Presidente de la Sección Cuarta de la Audiencia Provincial de Sevilla al que se acompaña, junto al testimonio del correspondiente procedimiento, el Auto de la referida Sección de 8 de julio de 1995, en el que se acuerda plantear cuestión de inconstitucionalidad respecto del art. 557 de la Ley de Enjuiciamiento Criminal, por su posible contradicción con el art. 18.2 CE.</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2</w:t>
      </w:r>
      <w:r>
        <w:t xml:space="preserve">. La cuestión trae causa del procedimiento penal abreviado núm. 326/93 seguido contra don José Gálvez Lozano, Director del Hotel Macarena Sol de Sevilla, y contra los funcionarios del Cuerpo Nacional de Policía don Demetrio Baello Toré, don Ignacio Javier Conde Salgado, y don Francisco Javier Leal Velasco y contra el Inspector de Policía don Manuel Arjona Fernández, como presuntos autores de dos delitos de allanamiento y registro de domicilio ilegales del art. 191, núms. 1 y 2, del Código Penal (texto refundido 1973). En el origen del citado procedimiento se encuentra la entrada y registro efectuada por uno de los citados funcionarios, mientras los otros dos vigilaban el regreso de los huéspedes, de dos habitaciones del hotel mencionado que eran ocupadas por dos periodistas, sin consentimiento de éstos, ni autorización judicial y siendo posibilitadas dichas entrada y registro por el director del hotel, quien facilitó la llave maestra para acceder a las habitaciones y acompañó al policía a las mismas. </w:t>
      </w:r>
    </w:p>
    <w:p w:rsidR="0025129F" w:rsidRDefault="0025129F" w:rsidP="0025129F">
      <w:pPr>
        <w:pStyle w:val="TextoNormal"/>
      </w:pPr>
      <w:r>
        <w:t xml:space="preserve">Concluidas las sesiones del juicio oral, la Sección Cuarta de la Audiencia Provincial de Sevilla, por providencia de 12 de abril de 1994, acordó dar audiencia al Ministerio Fiscal y a las defensas de los acusados para que, en el plazo común e improrrogable de diez días, pudieran formular alegaciones sobre la pertinencia de plantear cuestión de inconstitucionalidad respecto al art. 557 de la Ley de Enjuiciamiento Criminal, en cuanto el mismo pudiera ser contrario al art. 18.2 de la Constitución Española. </w:t>
      </w:r>
    </w:p>
    <w:p w:rsidR="0025129F" w:rsidRDefault="0025129F" w:rsidP="0025129F">
      <w:pPr>
        <w:pStyle w:val="TextoNormal"/>
      </w:pPr>
      <w:r>
        <w:t>Evacuado el trámite de alegaciones conferido, el Ministerio Fiscal no estimó pertinente el planteamiento de la cuestión de inconstitucionalidad, ya que, a su juicio, era posible la acomodación de las normas objeto de debate a la Constitución por vía interpretativa, y, de otro lado, porque el órgano judicial podía entender derogado el art. 557 de la Ley de Enjuiciamiento Criminal en virtud de la Disposición derogatoria, párrafo 3, de la Constitución, al tratarse de una Ley preconstitucional. Por su parte, la representación procesal de los funcionarios del Cuerpo Nacional de Policía inculpados evacuó el trámite de alegaciones conferido considerando pertinente el planteamiento de la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fundamentación del Auto de planteamiento, el órgano judicial proponente realiza las siguientes consideraciones: </w:t>
      </w:r>
    </w:p>
    <w:p w:rsidR="0025129F" w:rsidRDefault="0025129F" w:rsidP="0025129F">
      <w:pPr>
        <w:pStyle w:val="TextoNormal"/>
      </w:pPr>
      <w:r>
        <w:t xml:space="preserve">a) En cuanto al cumplimiento de los requisitos procesales para el planteamiento de las cuestiones de inconstitucionalidad que establecen los arts. 163 CE y 35 LOTC, comienza por señalar que en el presente caso está fuera de discusión que la cuestión se suscita una vez concluso el procedimiento y dentro del plazo para dictar Sentencia, así como el rango de Ley de la norma cuestionada, deteniéndose, a continuación, en un análisis más detallado del juicio de aplicabilidad y relevancia. </w:t>
      </w:r>
    </w:p>
    <w:p w:rsidR="0025129F" w:rsidRDefault="0025129F" w:rsidP="0025129F">
      <w:pPr>
        <w:pStyle w:val="TextoNormal"/>
      </w:pPr>
      <w:r>
        <w:t xml:space="preserve">b) El problema decisivo en sede de aplicabilidad considera que es el de dilucidar si el concepto de domicilio empleado por el art. 191 del Código Penal constituye un elemento normativo del tipo, a integrar con la definición, precisiones y exclusiones que de dicho concepto proporciona la Ley de Enjuiciamiento Criminal, a los efectos de la diligencia de entrada y registro, en el Título VIII de su Libro II; o si, por el contrario, se trata de un concepto autónomo y más amplio que el proporcionado por la Ley procesal penal. </w:t>
      </w:r>
    </w:p>
    <w:p w:rsidR="0025129F" w:rsidRDefault="0025129F" w:rsidP="0025129F">
      <w:pPr>
        <w:pStyle w:val="TextoNormal"/>
      </w:pPr>
      <w:r>
        <w:t xml:space="preserve">Tras reflejar las distintas respuestas doctrinales dadas a la cuestión suscitada, entiende el órgano proponente, frente a los argumentos esgrimidos a favor de la autonomía del concepto de domicilio del art. 191 del Código Penal, que el bien protegido por el citado precepto no es la privacidad o intimidad domiciliaria en general, sino más precisamente la inviolabilidad constitucional del domicilio frente a su invasión arbitraria por un órgano del Estado. De forma que la proclamación constitucional de la inviolabilidad del domicilio, su </w:t>
      </w:r>
      <w:r>
        <w:lastRenderedPageBreak/>
        <w:t xml:space="preserve">regulación procesal en la Ley de Enjuiciamiento Criminal y su sanción penal en el art. 191 del Código punitivo “constituyen un triángulo garantista cuyos lados son en principio inseparables”. Ha de entenderse, por tanto, que la regulación procesal y la sustantiva tienen el mismo objeto e igual fin de protección, de modo que la protección penal de la inviolabilidad domiciliaria se articula a través de dos instrumentos: a través de la Ley de Enjuiciamiento Criminal que contendría una orden dirigida a las autoridades judiciales y policiales, indicándoles cómo deben actuar en lo referente a la diligencia de entrada y registro y cuáles son los presupuestos y límites de su actuación; y mediante el Código Penal que establece la sanción penal correspondiente a las posibles desviaciones o extralimitaciones, ya que cualquier entrada o registro “fuera de los casos permitidos por las leyes” será, en principio, constitutivo del delito del art. 191. Parece obvio, pues, que si la determinación de los casos en que se permite el allanamiento domiciliario por funcionario público, que no sea autoridad judicial, se remite por el Código Penal a la Ley de Enjuiciamiento Criminal, el propio concepto de domicilio ha de ser también el de la Ley procesal. En otro caso, al considerar que el concepto jurídico-penal de domicilio es autónomo respecto del contenido en la Ley de Enjuiciamiento Criminal y más amplio que el mismo se produciría la “insostenible paradoja de que un funcionario que hubiera cumplido escrupulosamente las prescripciones de la Ley de Enjuiciamiento Criminal pudiera luego ser castigado por ello”. </w:t>
      </w:r>
    </w:p>
    <w:p w:rsidR="0025129F" w:rsidRDefault="0025129F" w:rsidP="0025129F">
      <w:pPr>
        <w:pStyle w:val="TextoNormal"/>
      </w:pPr>
      <w:r>
        <w:t xml:space="preserve">En esta línea de razonamiento, añade que si no pueden establecerse diferencias entre el concepto de domicilio del art. 191 del Código Penal y el de la Ley de Enjuiciamiento Criminal, de esta conclusión se sigue la consecuencia de que la argumentación efectuada directamente ex art. 18.2 CE en nada contribuye a resolver el problema de la aplicabilidad al caso de autos del art. 557 de la Ley de Enjuiciamiento Criminal. En primer lugar, porque el mentado precepto constitucional no contiene un concepto o definición expresa de domicilio; pero, sobre todo, porque la operación intelectual de decantar el concepto constitucional de domicilio es útil e imperativa para contrastar la conformidad de tales preceptos con la Norma fundamental, mas no puede servir para seleccionar la norma aplicable al caso, prescindiendo de una que indudablemente lo es. En definitiva, “el órgano jurisdiccional no puede ampararse directa y exclusivamente en ellas para prescindir de una interpositio legislatoris existente y aplicable ratione materiae, lo que valdría tanto como establecer en la práctica el control difuso de constitucionalidad que el legislador constituyente quiso explícitamente excluir”. </w:t>
      </w:r>
    </w:p>
    <w:p w:rsidR="0025129F" w:rsidRDefault="0025129F" w:rsidP="0025129F">
      <w:pPr>
        <w:pStyle w:val="TextoNormal"/>
      </w:pPr>
      <w:r>
        <w:t xml:space="preserve">Para concluir con el juicio de aplicabilidad, señala la Audiencia Provincial de Sevilla que si bien la cuestión de la vigencia del art. 557 LECrim o su derogación en virtud de la Disposición derogatoria, apartado 3, de la Constitución, pertenece en puridad a la resolución de esta cuestión, pues sólo son aplicables al caso las normas vigentes, sin embargo, habrá de abordarse con posterioridad al examen de fondo del problema, pues, “tratándose de leyes preconstitucionales, ‘el primer juicio que hay que hacer es el de disconformidad —en términos de oposición— de tales leyes con la Constitución, única forma de determinar si se ha producido como consecuencia la derogación’ (STC 4/1981, de 2 de febrero, FJ 1), por cuanto ‘en la medida en que la derogación se produce por contradicción con la Constitución, la contradicción con la Constitución es una premisa de su derogación’ (STC 11/1981, de 8 de abril, FJ 1)”. Por ello, concluye el órgano judicial cuestionante, que “para el juicio de aplicabilidad bastará, pues, la simple constatación de que la norma preconstitucional no ha sido derogada expresamente por el legislador constituido”. </w:t>
      </w:r>
    </w:p>
    <w:p w:rsidR="0025129F" w:rsidRDefault="0025129F" w:rsidP="0025129F">
      <w:pPr>
        <w:pStyle w:val="TextoNormal"/>
      </w:pPr>
      <w:r>
        <w:t>c) De otra parte, la Audiencia estima relevante para el fallo de la causa enjuiciada la validez de una norma de la que depende la concurrencia del elemento normativo del tipo del delito objeto de la acusación, lo que es tanto como decir —se señala en el Auto de plan</w:t>
      </w:r>
      <w:r>
        <w:lastRenderedPageBreak/>
        <w:t xml:space="preserve">teamiento— que de su validez depende la absolución o condena de los acusados. Esta afirmación se efectúa sin dejar de reconocer la peculiaridad del caso, en cuanto que “la inconstitucionalidad de la norma debatida sería presupuesto del pronunciamiento de condena, y no de su absolución”; si bien, se entiende que dicha peculiaridad no afecta de forma definitiva al juicio de relevancia. </w:t>
      </w:r>
    </w:p>
    <w:p w:rsidR="0025129F" w:rsidRDefault="0025129F" w:rsidP="0025129F">
      <w:pPr>
        <w:pStyle w:val="TextoNormal"/>
      </w:pPr>
      <w:r>
        <w:t xml:space="preserve">En efecto, afirma el órgano judicial, si el art. 557 LECrim se reputa conforme al art. 18.2 CE, la entrada y registro en un cuarto de hotel, sin consentimiento de su legítimo ocupante ni mandamiento judicial y fuera de los casos de flagrante delito, podrá ser tan irregular como se quiera, pero en ningún caso podrá constituir el delito del art. 191 del Código Penal; y ello por la ausencia del objeto material de la acción típica, ya que en esta hipótesis, como pone de relieve en sus alegaciones la defensa de los policías acusados, no se habría penetrado en un domicilio. En cambio, si se estima la inconstitucionalidad sobrevenida del citado art. 557, por considerar que el concepto constitucional de domicilio ampara igualmente las habitaciones de hotel, la entrada y registro en ellas, en las condiciones arriba expuestas, integrará sin duda el delito del que se acusa a los aludidos funcionarios policiales. </w:t>
      </w:r>
    </w:p>
    <w:p w:rsidR="0025129F" w:rsidRDefault="0025129F" w:rsidP="0025129F">
      <w:pPr>
        <w:pStyle w:val="TextoNormal"/>
      </w:pPr>
      <w:r>
        <w:t xml:space="preserve">La peculiaridad del caso no afecta, en opinión del órgano judicial, al juicio de relevancia por cuanto no se trata de que los policías acusados pretendieran haber actuado al amparo del art. 557 LECrim, en cuyo caso difícilmente podría dirigírseles un reproche penal por su conducta, aunque con posterioridad se declarase la inconstitucionalidad sobrevenida del precepto. En el supuesto enjuiciado, los acusados, de un lado, niegan haber entrado en las habitaciones, y de otro, manifiestan que sabían que dicho allanamiento requiere autorización judicial. De modo que, si la entrada se produjo efectivamente, el dolo de los agentes abarcaría los elementos relevantes del tipo, y el único obstáculo insalvable para la condena vendría constituido por la vigencia del art. 557 LECrim. Se trataría de “un obstáculo meramente externo, que no afecta al dolo de los acusados, por lo que su remoción no obligaría a plantearse problemas de error ni tampoco de irretroactividad, máxime tratándose de una derogación por inconstitucionalidad sobrevenida”. </w:t>
      </w:r>
    </w:p>
    <w:p w:rsidR="0025129F" w:rsidRDefault="0025129F" w:rsidP="0025129F">
      <w:pPr>
        <w:pStyle w:val="TextoNormal"/>
      </w:pPr>
      <w:r>
        <w:t xml:space="preserve">d) El órgano judicial, en base a las argumentaciones que seguidamente se extractan, considera que el art. 557 LECrim, inalterado desde su redacción original por el Real Decreto de 14 de septiembre de 1882, es o puede ser contrario al art. 18.2 de la Constitución, que proclama la inviolabilidad del domicilio y garantiza que ninguna entrada o registro podrá hacerse en él sin consentimiento del titular o resolución judicial, salvo en caso de flagrante delito. </w:t>
      </w:r>
    </w:p>
    <w:p w:rsidR="0025129F" w:rsidRDefault="0025129F" w:rsidP="0025129F">
      <w:pPr>
        <w:pStyle w:val="TextoNormal"/>
      </w:pPr>
      <w:r>
        <w:t xml:space="preserve">En primer término, se advierte que el sentido del precepto cuestionado es claro e inequívoco, al excluir de la protección de la inviolabilidad domiciliaria, recogida en el art. 545 de la propia LECrim, las habitaciones de las personas alojadas temporalmente en establecimientos de hostelería. La cuestión a determinar es, pues, si dicha exclusión puede considerarse conforme con la noción constitucional de domicilio. </w:t>
      </w:r>
    </w:p>
    <w:p w:rsidR="0025129F" w:rsidRDefault="0025129F" w:rsidP="0025129F">
      <w:pPr>
        <w:pStyle w:val="TextoNormal"/>
      </w:pPr>
      <w:r>
        <w:t>Sostiene el órgano judicial que, si bien es cierto que el art. 18.2 CE no proporciona un concepto o definición expresa de domicilio y tampoco ha sido elaborada de manera exhaustiva y acabada por el Tribunal Constitucional, sin embargo, la jurisprudencia de dicho Tribunal suministra pautas más que suficientes para llegar a una conclusión acerca del problema planteado. De la doctrina constitucional recogida en la STC 22/1984, de 17 de febrero, cuyos fundamentos jurídicos 2 y 5 reproduce parcialmente, resulta, en su opinión, que la noción de domicilio amparada por el art. 18.2 CE no se refiere de un modo exclusivo al lugar de residencia habitual, al establecimiento permanente y definitivo de las personas, sino a todo lugar cerrado en el que se desarrolle de un modo u otro una actividad pri</w:t>
      </w:r>
      <w:r>
        <w:lastRenderedPageBreak/>
        <w:t xml:space="preserve">vada, con ánimo de exclusión de terceros; tutelándose, en definitiva, cualquier espacio físico en el que se despliegue el ámbito de privacidad de las personas, con independencia de que tenga carácter habitual, permanente o estable, o por el contrario transitorio, temporal o accidental. Es indudable, en consecuencia, que las características expuestas de la noción constitucional de domicilio convienen perfectamente a las habitaciones de hoteles y demás alojamientos de hostelería. </w:t>
      </w:r>
    </w:p>
    <w:p w:rsidR="0025129F" w:rsidRDefault="0025129F" w:rsidP="0025129F">
      <w:pPr>
        <w:pStyle w:val="TextoNormal"/>
      </w:pPr>
      <w:r>
        <w:t xml:space="preserve">En este sentido, el órgano judicial proponente hace suya la afirmación del Ministerio Fiscal en el trámite de audiencia de que “a la luz de la interpretación constitucional expuesta no parece resultar sostenible excluir la habitación del hotel del concepto de domicilio del art. 18.2 de la Constitución, pues es un recinto o espacio cerrado en el que el individuo desarrolla, aun de forma no permanente, su vida privada, pernocta, realiza actividades de evidente carácter reservado frente a ajenas intromisiones y tiene guardadas cosas que pertenecen a su intimidad y están destinadas a su uso exclusivo con voluntad de excluir a todos los demás, resultando ser en conclusión un ámbito de desarrollo de su intimidad personal y familiar y, en definitiva, de su dignidad como persona. Por ello, cualquier entrada e intromisión en la habitación del hotel, en el que aun temporalmente resida un individuo, puede considerarse constitutiva, a efectos constitucionales, de entrada en un domicilio que afectaría al derecho fundamental de la inviolabilidad del domicilio e intimidad personal y familiar”. </w:t>
      </w:r>
    </w:p>
    <w:p w:rsidR="0025129F" w:rsidRDefault="0025129F" w:rsidP="0025129F">
      <w:pPr>
        <w:pStyle w:val="TextoNormal"/>
      </w:pPr>
      <w:r>
        <w:t xml:space="preserve">Resalta el órgano judicial que existe una absoluta unanimidad doctrinal en considerar que las habitaciones de los hoteles y los cuartos de que disfrutan los huéspedes en posadas y fondas se encuentran amparados por el derecho a la inviolabilidad del domicilio. También la jurisprudencia del Tribunal Supremo, de manera no unánime pero seguramente dominante, viene afirmando la invalidez probatoria, conforme al art. 11.1 LOPJ, de las diligencias de entrada y registro practicadas sin mandamiento judicial en habitaciones de hotel, por vulnerarse el derecho fundamental a la inviolabilidad del domicilio desde comienzos de 1992 (SSTS 14 de enero, 3 de julio y 5 de octubre de 1992 y 17 de marzo de 1993), aunque no faltan Sentencias en sentido contrario. Sin embargo, las Sentencias citadas no extraen de su razonamiento las consecuencias jurídicas que parecen obvias acerca de la inconstitucionalidad del art. 557 LECrim, seguramente por no ser necesario para el pronunciamiento decisorio en el supuesto contemplado, al contrario de lo que ocurre en el caso origen de esta resolución. </w:t>
      </w:r>
    </w:p>
    <w:p w:rsidR="0025129F" w:rsidRDefault="0025129F" w:rsidP="0025129F">
      <w:pPr>
        <w:pStyle w:val="TextoNormal"/>
      </w:pPr>
      <w:r>
        <w:t xml:space="preserve">La contradicción que aparece prima facie entre el art. 557 LECrim y el art. 18.2 CE, en cuanto el primero excluye del concepto de domicilio, a efectos de entrada y registro, determinados recintos, como las habitaciones del hotel, que el segundo incluye en el ámbito de protección del derecho de inviolabilidad domiciliaria, no puede ser reducida a unidad por vía interpretativa del precepto ordinario sospechoso de inconstitucionalidad. En opinión del órgano judicial proponente, no cabe una acomodación por vía hermenéutica del art. 557 LECrim a las exigencias derivadas del art. 18.2 CE, pues el tenor literal del precepto procesal es excesivamente explícito para permitir cualquier interpretación que no sea la que claramente resulta del significado de sus propias palabras, coincidente con la inequívoca mens legis. </w:t>
      </w:r>
    </w:p>
    <w:p w:rsidR="0025129F" w:rsidRDefault="0025129F" w:rsidP="0025129F">
      <w:pPr>
        <w:pStyle w:val="TextoNormal"/>
      </w:pPr>
      <w:r>
        <w:t>Es indudable, además, que los términos legales posada y fonda son sustancialmente equivalentes, con pequeños matices semánticos, al del hotel, como permite comprobar la consulta de cualquier diccionario y tiene reconocido el Tribunal Supremo en su Sentencia 2744/1992, de 11 de diciembre. Por otra parte, la jurisprudencia del Tribunal Supremo antes citada tampoco proporciona ninguna ayuda para esta acomodación constitucional del precepto cuestionado, puesto que aquellas Sentencias no suministran ninguna interpreta</w:t>
      </w:r>
      <w:r>
        <w:lastRenderedPageBreak/>
        <w:t xml:space="preserve">ción alternativa del art. 557 LECrim, sino que se limitan pura y simplemente a soslayar su aplicación. Esta falta de argumentación del Tribunal Supremo en los casos citados probablemente se justifica en que la ilicitud del registro no era determinante del fallo condenatorio en la medida en que existían otras pruebas, o se efectuó el registro en caso de delito flagrante o con consentimiento del huésped. De otra parte, aunque la fundamentación del Tribunal Supremo hubiera sido mayor, tampoco serviría para el caso, puesto que en las ocasiones en que se ha pronunciado lo ha hecho operando pro libertate, y no desde la perspectiva de que el art. 557 LECrim integre, en cuanto elemento normativo del tipo, el delito del art. 191 CP. </w:t>
      </w:r>
    </w:p>
    <w:p w:rsidR="0025129F" w:rsidRDefault="0025129F" w:rsidP="0025129F">
      <w:pPr>
        <w:pStyle w:val="TextoNormal"/>
      </w:pPr>
      <w:r>
        <w:t xml:space="preserve">e) Finalmente, por lo que se refiere a si el carácter preconstitucional de la norma cuestionada permitiría que el órgano judicial estimara directamente que la norma es inaplicable en cuanto derogada por la Constitución, sostiene el órgano proponente, con base en lo declarado por este Tribunal Constitucional en las SSTC 4/1981, de 2 de febrero, FJ 1, y 14/1981, de 29 de abril, FJ 3, que nos encontramos ante uno de esos casos en que “la persistencia de interpretaciones contrapuestas, la dispersión de criterios en los distintos órganos judiciales y la propia naturaleza y características del asunto aconsejan someter su decisión al criterio último y vinculante del Tribunal Constitucional”. En este sentido, resalta que el Tribunal Supremo, que ha tenido reiteradas ocasiones para declarar la derogación del art. 557 LECrim, sin embargo, ha procedido a aplicar el precepto cuestionado en su interpretación literal y estricta en algunos casos (SSTS 2744/1992, de 11 de diciembre; 1049/1993, de 13 de mayo; o en el mismo sentido SSTS 23 de noviembre de 1990, 11 de julio de 1991 y 10 de noviembre de 1993). </w:t>
      </w:r>
    </w:p>
    <w:p w:rsidR="0025129F" w:rsidRDefault="0025129F" w:rsidP="0025129F">
      <w:pPr>
        <w:pStyle w:val="TextoNormal"/>
      </w:pPr>
      <w:r>
        <w:t>Ante esa divergencia de criterios en el seno del órgano llamado (en palabras de la Ley de 18 de junio de 1870, que introdujo la casación penal) a “ir fijando la verdadera inteligencia de la Ley para que ésta se aplique de la misma manera en todas las circunscripciones territoriales” y ante la dispersión que podría existir en los distintos órganos judiciales de inferior jerarquía, el órgano proponente estima preferible residenciar la posible inconstitucionalidad del art. 557 LECrim en una sede que pueda resolver de modo definitivo y con carácter general la duda planteada.</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27 de septiembre de 1994, la Sección Cuarta de este Tribunal acordó admitir a trámite la cuestión de inconstitucionalidad planteada por la Sección Cuarta de la Audiencia Provincial de Sevilla; dar traslado de las actuaciones recibidas, de conformidad con lo establecido por el art. 37.2 LOTC, al Congreso de los Diputados y al Senado, por conducto de sus Presidentes, al Gobierno, por conducto del Ministerio de Justicia e Interior, y al Fiscal General del Estado al objeto de que, en el plazo improrrogable de quince días, pudieran personarse en este proceso y formular las alegaciones que estimaren pertinentes; y publicar la incoación de la presente cuestión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5</w:t>
      </w:r>
      <w:r>
        <w:t>. En el “Boletín Oficial del Estado” núm. 241 de 8 de octubre de 1994, se hizo pública la admisión a trámite de la cuestión de inconstitucionalidad número 2829/94.</w:t>
      </w:r>
    </w:p>
    <w:p w:rsidR="0025129F" w:rsidRDefault="0025129F" w:rsidP="0025129F">
      <w:pPr>
        <w:pStyle w:val="TextoNormal"/>
      </w:pPr>
    </w:p>
    <w:p w:rsidR="0025129F" w:rsidRDefault="0025129F" w:rsidP="0025129F">
      <w:pPr>
        <w:pStyle w:val="TextoNormal"/>
      </w:pPr>
      <w:r w:rsidRPr="0025129F">
        <w:rPr>
          <w:rStyle w:val="NumeroAFNegritaCaracter"/>
        </w:rPr>
        <w:t>6</w:t>
      </w:r>
      <w:r>
        <w:t>. Por escrito registrado en este Tribunal el 6 de octubre de 1994, la Presidencia del Senado comunicó su acuerdo de personación en este procedimiento y de ofrecimiento de colaboración a los efectos del art. 88.1 LOTC.</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7</w:t>
      </w:r>
      <w:r>
        <w:t>. Por escrito registrado en este Tribunal el 6 de octubre de 1994, la Presidencia del Congreso de los Diputados comunicó que, aunque no se personaría en el procedimiento ni formularía alegaciones, ponía a disposición del Tribunal las actuaciones de la Cámara que pudiera precisar.</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escrito registrado en este Tribunal el 11 de octubre de 1994, el Abogado del Estado concluyó sus alegaciones solicitando la desestimación de la presente cuestión. </w:t>
      </w:r>
    </w:p>
    <w:p w:rsidR="0025129F" w:rsidRDefault="0025129F" w:rsidP="0025129F">
      <w:pPr>
        <w:pStyle w:val="TextoNormal"/>
      </w:pPr>
      <w:r>
        <w:t xml:space="preserve">Sostiene el Abogado del Estado, que, aun cuando el concepto constitucional de domicilio no pueda ser equiparado con el previsto en el ordenamiento civil, y aun cuando el art. 87.2 LOPJ haga extensiva la autorización judicial para la entrada en el domicilio a la entrada en “los restantes edificios o lugares de acceso dependientes del consentimiento de su titular”, sin embargo entiende que el ordenamiento civil puede suministrar una pauta interpretativa razonable del concepto de domicilio a través del concepto de habitualidad, y que dicho precepto de la LOPJ vendría a establecer una sobreprotección legal de lugares que no serían domicilio en sentido constitucional. De modo que todo ello conduciría a la constitucionalidad del precepto cuestionado. </w:t>
      </w:r>
    </w:p>
    <w:p w:rsidR="0025129F" w:rsidRDefault="0025129F" w:rsidP="0025129F">
      <w:pPr>
        <w:pStyle w:val="TextoNormal"/>
      </w:pPr>
      <w:r>
        <w:t>En particular, afirma el Abogado del Estado que no toda proyección de la privacidad sobre un lugar físico sería domicilio, sino sólo aquéllas que revistieran un cierto carácter de estabilidad. En su opinión, “la combinación de ‘accidentalidad’ que exige el precepto cuestionado y la relación jurídica privada dimanante del contrato de hospedaje (que no otorga un pleno derecho de uso ni la plena posesión, en principio) posibilitarían una interpretación ‘secundum constitutionem’ del precepto”. Se sostiene, en apoyo de esa restricción del concepto de domicilio constitucionalmente protegido, que, si se prescinde de dichos requisitos de estabilidad y relación jurídica privada, se puede llegar a proyecciones desmesuradas de la privacidad sobre ciertos espacios físicos. Por todo ello, se afirma la constitucionalidad del precepto cuestionado.</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En escrito registrado en este Tribunal el 21 de octubre de 1994, el Fiscal General del Estado interesó la declaración de inconstitucionalidad del art. 557 LECrim en su integridad. Entiende, de conformidad con la jurisprudencia constitucional, que no es posible considerar que las habitaciones de los hoteles en las que pueda encontrarse alojada una persona accidental o temporalmente no tengan la consideración de “domicilio”, en la medida en que en dicha jurisprudencia se ha afirmado que el concepto de domicilio no se equipara al contenido en el art. 40 CC que requiere la habitualidad. Dicho distanciamiento, unido a la configuración constitucional del concepto de domicilio de forma instrumental respecto de la protección de la vida privada, como el espacio en el cual el individuo vive sin estar sujeto necesariamente a los usos y convenciones sociales y ejerce su libertad más íntima, conduce a sostener la inconstitucionalidad del art. 557 LECrim. De un lado, el uso de los términos “posadas” y “fondas” por la citada disposición no se opone a dicho juicio, por cuanto el término “hotel” es sinónimo de aquéllos. De otro, este precepto extrae las habitaciones de los hoteles del ámbito de aplicación de las garantías exigidas a la entrada y registro domiciliario, al considerar que no son domicilio. </w:t>
      </w:r>
    </w:p>
    <w:p w:rsidR="0025129F" w:rsidRDefault="0025129F" w:rsidP="0025129F">
      <w:pPr>
        <w:pStyle w:val="TextoNormal"/>
      </w:pPr>
      <w:r>
        <w:t xml:space="preserve">De otra parte, sobre la relevancia de la cuestión para la solución del caso, entiende que la Audiencia Provincial justifica sobradamente “sus dudas” sobre la constitucionalidad del precepto, ha decidido de forma razonable que el precepto es aplicable al caso controvertido y ha estimado que de la validez del artículo depende el fallo. Por todo ello, considera razonable que se haya planteado la cuestión de inconstitucionalidad y que se entre en el </w:t>
      </w:r>
      <w:r>
        <w:lastRenderedPageBreak/>
        <w:t xml:space="preserve">fondo, porque, además, dichos aspectos, aunque pudieron tener interés antes de la admisión de la cuestión, “no lo mantienen tanto cuando como ahora ocurre ha sido admitida ya a trámite, sobre todo porque no es posible una interpretación judicial para adecuar el precepto a la Constitución, y porque la preconstitucionalidad del precepto no impide al Juez el planteamiento de la cuestión, como lo ha hecho, cuando las circunstancias fundadas lo aconsejan”. </w:t>
      </w:r>
    </w:p>
    <w:p w:rsidR="0025129F" w:rsidRDefault="0025129F" w:rsidP="0025129F">
      <w:pPr>
        <w:pStyle w:val="TextoNormal"/>
      </w:pPr>
      <w:r>
        <w:t>Finalmente, sostiene que si bien sería posible declarar sólo la inconstitucionalidad parcial del precepto respecto de la expresión “o residan accidental o temporalmente ... tan sólo”, resulta preferible declarar la inconstitucionalidad de todo el precepto. Entiende que, aunque la declaración de inconstitucionalidad parcial permitiría interpretar que los hoteles constituyen en algunos casos domicilio y que no lo son en cuanto sean establecimientos abiertos al público y en las zonas destinadas al mismo, lo que coincidiría no sólo con el art. 18.2 CE, sino también con el 492 CP, sin embargo, considera preferible la supresión total del precepto, pues conduciría al mismo resultado y evitaría los problemas de interpretación que la cercenación parcial de la disposición podría ocasionar.</w:t>
      </w:r>
    </w:p>
    <w:p w:rsidR="0025129F" w:rsidRDefault="0025129F" w:rsidP="0025129F">
      <w:pPr>
        <w:pStyle w:val="TextoNormal"/>
      </w:pPr>
    </w:p>
    <w:p w:rsidR="0025129F" w:rsidRDefault="0025129F" w:rsidP="0025129F">
      <w:pPr>
        <w:pStyle w:val="TextoNormal"/>
      </w:pPr>
      <w:r w:rsidRPr="0025129F">
        <w:rPr>
          <w:rStyle w:val="NumeroAFNegritaCaracter"/>
        </w:rPr>
        <w:t>10</w:t>
      </w:r>
      <w:r>
        <w:t>. Mediante providencia de 15 de enero de 2002, se señaló para deliberación y votación de la presente Sentencia el día 17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cuestión de inconstitucionalidad tiene por objeto el art. 557 de la Ley de Enjuiciamiento Criminal, precepto que ha permanecido inalterado desde su aprobación por el Real Decreto de 14 de septiembre de 1882, desde la perspectiva del derecho a la inviolabilidad del domicilio consagrada en el art. 18.2 CE. Dicho precepto establece que “[l]as tabernas, casas de comidas, posadas y fondas no se reputarán como domicilio de los que se encuentren o residan en ellas accidental o temporalmente; y lo serán tan sólo de los taberneros, hosteleros, posaderos y fondistas que se hallen a su frente y habiten así con sus familias en la parte del edificio a este servicio destinada”. La Sección Cuarta de la Audiencia Provincial de Sevilla considera que la exclusión del concepto de domicilio operada en este artículo resulta contraria al derecho a la inviolabilidad del domicilio del art. 18.2 CE, dado que, de un lado, el concepto de domicilio de la disposición legal cuestionada es contrario al concepto constitucional al excluir ciertos lugares que han de reputarse incluidos de conformidad con la jurisprudencia constitucional, y, de otro, porque de dicha exclusión deriva la inexigencia de autorización judicial para realizar los registros en los mismos, cuando del art. 18.2 CE se infiere que, fuera de los casos de flagrante delito y de consentimiento del titular, sólo resulta conforme a la Constitución el registro domiciliario realizado con autorización judicial.</w:t>
      </w:r>
    </w:p>
    <w:p w:rsidR="0025129F" w:rsidRDefault="0025129F" w:rsidP="0025129F">
      <w:pPr>
        <w:pStyle w:val="TextoNormal"/>
      </w:pPr>
      <w:r>
        <w:t>El Fiscal General del Estado apoya la fundamentación del Auto de planteamiento de la cuestión de inconstitucionalidad e interesa la declaración de inconstitucionalidad, preferentemente de todo el precepto, aunque de forma subsidiaria sólo de algunas de las expresiones en él contenidas. Con fundamento en la jurisprudencia de este Tribunal sostiene que no es posible considerar que las habitaciones de los hoteles en las que pueda encontrarse una persona de forma accidental o temporal no tengan la consideración de “domicilio”, ya que en dicha jurisprudencia se ha afirmado que el concepto constitucional de domicilio no se equipara al contenido en el art. 40 del Código Civil, que requiere habitualidad. El distanciamiento de la jurisprudencia constitucional de dicha exigencia de habitua</w:t>
      </w:r>
      <w:r>
        <w:lastRenderedPageBreak/>
        <w:t>lidad, unido a la configuración constitucional del concepto de domicilio de forma instrumental respecto de la protección de la vida privada, como el espacio en el cual el individuo vive sin estar sujeto necesariamente a los usos y convenciones sociales y ejerce su libertad más íntima, conduce a sostener la inconstitucionalidad del art. 557 LECrim. De un lado, el uso de los términos “posadas” y “fondas” por la citada disposición no se opone a dicho juicio, por cuanto el término “hotel” es sinónimo de aquellos términos. De otro, este precepto extrae las habitaciones de los hoteles del ámbito de aplicación de las garantías exigidas a la entrada y registro domiciliario, al considerar que no son domicilio.</w:t>
      </w:r>
    </w:p>
    <w:p w:rsidR="0025129F" w:rsidRDefault="0025129F" w:rsidP="0025129F">
      <w:pPr>
        <w:pStyle w:val="TextoNormal"/>
      </w:pPr>
      <w:r>
        <w:t>Por el contrario, el Abogado del Estado considera que la disposición cuestionada no se opone al art. 18.2 CE, sino que sería constitucional, partiendo de la posibilidad de la configuración constitucional del concepto de domicilio con base en la nota de habitualidad requerida en el art. 40 CC y de las características de la relación jurídico-privada del contrato de hospedaje. Desde esta perspectiva afirma el Abogado del Estado que no toda proyección de “la privacidad” sobre un lugar físico sería domicilio, sino sólo aquélla que revistiera un cierto carácter de estabilidad, sustentada, además, en una relación jurídico-privada que permitiera esa proyección estable. En su opinión, “la combinación de ‘accidentalidad’ que exige el precepto cuestionado y la relación jurídica privada dimanante del contrato de hospedaje (que no otorga un pleno derecho de uso ni la plena posesión, en principio) posibilitarían una interpretación ‘secundum Constitutionem’ del precepto”. Se sostiene, en apoyo de esa restricción del concepto de domicilio constitucionalmente protegido, que, si se prescinde de dichos requisitos de estabilidad y relación jurídica privada, se puede llegar a proyecciones desmesuradas de “la privacidad” sobre ciertos espacios físicos.</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abordar el análisis de la duda de constitucionalidad planteada resulta pertinente resaltar dos peculiaridades del art. 557 LECrim, que habrán de ser necesariamente tomadas en consideración a los efectos de analizar los requisitos de admisibilidad de la cuestión, que también pueden ser examinados en este momento del proceso de constitucionalidad (por todas, SSTC 17/1981, de 1 de junio, FJ 2; 106/1986, de 24 de julio, FJ 1; 15/1994, de 20 de enero, FJ 2). Así, dos son las notas que han de tenerse presentes, tanto de forma aislada como interconectada: el precepto cuestionado, de un lado, incide, en opinión del órgano judicial cuestionante, en la posible aplicación del tipo penal del delito de entrada o registro domiciliario cometido por funcionario público (art. 191 CP, texto refundido 1973, arts.  204 y 534 CP 1995) y, de otro, es preconstitucional.</w:t>
      </w:r>
    </w:p>
    <w:p w:rsidR="0025129F" w:rsidRDefault="0025129F" w:rsidP="0025129F">
      <w:pPr>
        <w:pStyle w:val="TextoNormal"/>
      </w:pPr>
      <w:r>
        <w:t>En efecto, resulta necesario destacar que el precepto cuestionado complementa, de forma negativa, la norma que regula el delito de entrada o registro domiciliario, que, atendiendo a la norma aplicable al caso enjuiciado en el proceso a quo, de conformidad con lo manifestado por el órgano judicial, se encuentra en el art. 191.1 y 2 CP (texto refundido 1973).  Este artículo establece:</w:t>
      </w:r>
    </w:p>
    <w:p w:rsidR="0025129F" w:rsidRDefault="0025129F" w:rsidP="0025129F">
      <w:pPr>
        <w:pStyle w:val="TextoNormal"/>
      </w:pPr>
      <w:r>
        <w:t>“Incurrirán en las penas de suspensión y multa de 100.000 a 200.000 pesetas:</w:t>
      </w:r>
    </w:p>
    <w:p w:rsidR="0025129F" w:rsidRDefault="0025129F" w:rsidP="0025129F">
      <w:pPr>
        <w:pStyle w:val="TextoNormal"/>
      </w:pPr>
      <w:r>
        <w:t>1. El funcionario público que, no siendo autoridad judicial, entrare en el domicilio de un súbdito español sin su consentimiento, fuera de los casos permitidos por las leyes.</w:t>
      </w:r>
    </w:p>
    <w:p w:rsidR="0025129F" w:rsidRDefault="0025129F" w:rsidP="0025129F">
      <w:pPr>
        <w:pStyle w:val="TextoNormal"/>
      </w:pPr>
      <w:r>
        <w:t>2. El funcionario público que, no siendo autoridad judicial, y fuera de los casos permitidos por las leyes, registrare los papeles de un súbdito español y los efectos que se hallaren en su domicilio a no ser que el dueño hubiere prestado su consentimiento...”</w:t>
      </w:r>
    </w:p>
    <w:p w:rsidR="0025129F" w:rsidRDefault="0025129F" w:rsidP="0025129F">
      <w:pPr>
        <w:pStyle w:val="TextoNormal"/>
      </w:pPr>
      <w:r>
        <w:t xml:space="preserve">Como razona el órgano judicial en el Auto de planteamiento de la cuestión, el art. 557 LECrim viene a integrar negativamente este precepto penal, en la medida en que permite el registro de “las tabernas, casas de comidas, posadas y fondas” respecto de quienes “se </w:t>
      </w:r>
      <w:r>
        <w:lastRenderedPageBreak/>
        <w:t>encuentren o residan en ellas accidental o temporalmente” sin sometimiento del mismo a las garantías legales que la Ley de Enjuiciamiento Criminal dispone en los arts. 545 y ss., y específicamente sin sometimiento a la necesaria autorización judicial requerida por la Constitución para el registro fuera de los casos de delito flagrante o de consentimiento del titular. De manera que la desaparición de este precepto del Ordenamiento jurídico tiene como necesaria y automática consecuencia una ampliación del ámbito de las conductas punibles conforme a dicho art. 191 CP (texto refundido 1973).</w:t>
      </w:r>
    </w:p>
    <w:p w:rsidR="0025129F" w:rsidRDefault="0025129F" w:rsidP="0025129F">
      <w:pPr>
        <w:pStyle w:val="TextoNormal"/>
      </w:pPr>
      <w:r>
        <w:t>Sin embargo, recayendo el objeto de la cuestión de inconstitucionalidad que nos eleva la Audiencia Provincial de Sevilla, siempre según el Auto de planteamiento, sobre el “artículo 557 de la Ley de Enjuiciamiento Criminal, en cuanto el mismo pudiera ser contrario al artículo 18.2 de la Constitución Española”, no nos corresponde analizar aquí la incidencia que su inconstitucionalidad pueda tener en el enjuiciamiento del caso desde la perspectiva del art. 25.1 CE.</w:t>
      </w:r>
    </w:p>
    <w:p w:rsidR="0025129F" w:rsidRDefault="0025129F" w:rsidP="0025129F">
      <w:pPr>
        <w:pStyle w:val="TextoNormal"/>
      </w:pPr>
      <w:r>
        <w:t>De otra parte, el carácter preconstitucional del precepto cuestionado exige realizar algunas consideraciones sobre la aplicación al caso de la doctrina constitucional relativa a la opción que tienen los Jueces y Tribunales de inaplicar las normas preconstitucionales o someter su eventual inconstitucionalidad ante este Tribunal. En efecto, como es sabido y afirma el órgano judicial que plantea la cuestión, este Tribunal ha declarado que los Jueces y Tribunales tienen la opción de inaplicar las normas preconstitucionales si entienden que han quedado derogadas por la Constitución, al oponerse a la misma, o bien, en caso de duda, someterla a este Tribunal Constitucional a través de la cuestión de inconstitucionalidad (por todas, SSTC 4/1981, de 2 de febrero, FJ 1; 126/1997, de 3 de julio, FJ 3; 159/2001, de 5 de julio, FJ 1). De modo que si el órgano judicial tiene dudas sobre la constitucionalidad de un precepto y opta por elevar la cuestión ante este Tribunal, deberemos conocer de la misma.</w:t>
      </w:r>
    </w:p>
    <w:p w:rsidR="0025129F" w:rsidRDefault="0025129F" w:rsidP="0025129F">
      <w:pPr>
        <w:pStyle w:val="TextoNormal"/>
      </w:pPr>
      <w:r>
        <w:t>Esto es lo que sucede en el caso que nos ocupa, pues, sin perjuicio de que hubiera sido posible que el propio órgano judicial hubiera realizado una interpretación del art. 191 CP conforme a la Constitución, dado que la remisión que efectúa dicho precepto a la “ley” incluye de forma patente la Constitución en cuanto Ley suprema, es lo cierto que a la Sala el precepto le suscita dudas de constitucionalidad y que las mismas han quedado expuestas en el Auto de planteamiento de la cuestión de inconstitucionalidad.</w:t>
      </w:r>
    </w:p>
    <w:p w:rsidR="0025129F" w:rsidRDefault="0025129F" w:rsidP="0025129F">
      <w:pPr>
        <w:pStyle w:val="TextoNormal"/>
      </w:pPr>
      <w:r>
        <w:t xml:space="preserve">Estas dudas resultan acentuadas para el órgano judicial por la persistencia, en el momento de plantear la cuestión de inconstitucionalidad, de interpretaciones contrarias a la Constitución que coexistían con interpretaciones conformes a la jurisprudencia constitucional sobre el concepto de domicilio. Así, afirma el Auto de planteamiento, si en las Sentencias de la Sala de lo Penal del Tribunal Supremo de 14 de enero, 3 de julio y 5 de octubre de 1992 y 17 de marzo de 1993 se afirma que las diligencias de entrada y registro practicadas sin mandamiento judicial en habitaciones de hotel vulneran el derecho a la inviolabilidad del domicilio, sin embargo en las Sentencias de la misma Sala de 11 de julio de 1991, 11 de diciembre de 1992, 13 de mayo de 1993 y 10 de noviembre de 1993 se procede a aplicar el art.  557 LECrim en su literalidad. De otra parte, advierte, en las Sentencias que afirman la inconstitucionalidad del precepto no se ofrece una argumentación extensa sobre la cuestión, probablemente porque la declaración de ilicitud del registro no era determinante para el fallo condenatorio, al existir otras pruebas, y, de otra parte, sigue diciendo la Audiencia Provincial de Sevilla, aunque dicha fundamentación hubiera existido, tampoco serviría para resolver el caso, pues en las ocasiones en que el Tribunal Supremo se ha pronunciado sobre el art. 557 LECrim lo ha hecho operando pro libertate y no </w:t>
      </w:r>
      <w:r>
        <w:lastRenderedPageBreak/>
        <w:t>desde la perspectiva de que el art. 557 LECrim integre, en cuanto elemento normativo del tipo, el delito del art. 191 CP.</w:t>
      </w:r>
    </w:p>
    <w:p w:rsidR="0025129F" w:rsidRDefault="0025129F" w:rsidP="0025129F">
      <w:pPr>
        <w:pStyle w:val="TextoNormal"/>
      </w:pPr>
      <w:r>
        <w:t>Pues bien, en atención a dichas razones, el carácter preconstitucional del precepto no impide que este Tribunal examine la constitucionalidad del mismo en los términos requeridos por el órgano judicial cuestionante, como hemos hecho en otras ocasiones.</w:t>
      </w:r>
    </w:p>
    <w:p w:rsidR="0025129F" w:rsidRDefault="0025129F" w:rsidP="0025129F">
      <w:pPr>
        <w:pStyle w:val="TextoNormal"/>
      </w:pPr>
    </w:p>
    <w:p w:rsidR="0025129F" w:rsidRDefault="0025129F" w:rsidP="0025129F">
      <w:pPr>
        <w:pStyle w:val="TextoNormal"/>
      </w:pPr>
      <w:r w:rsidRPr="0025129F">
        <w:rPr>
          <w:rStyle w:val="NumeroAFNegritaCaracter"/>
        </w:rPr>
        <w:t>3</w:t>
      </w:r>
      <w:r>
        <w:t>. Con carácter previo al examen del fondo procede, no obstante, también analizar si de la validez de la norma cuestionada depende el fallo del proceso a quo (arts. 163 CE y 35.1 LOTC), ya que, si no se diese dicha dependencia entre la eventual invalidez de la norma legal cuya constitucionalidad se cuestiona y la decisión del proceso, el órgano judicial proponente incurriría en una impugnación abstracta e indirecta de la norma cuestionada, y este Tribunal desbordaría la función que le compete en el seno de este específico proceso de inconstitucionalidad, de control concreto e incidental de la constitucionalidad de las leyes (por todas, SSTC 17/1981, de 1 de junio, FJ 1; 166/1986, de 19 de diciembre, FJ 5; 221/1992, de 11 de diciembre, FJ 1; 28/1997, de 13 de febrero, FJ 3).</w:t>
      </w:r>
    </w:p>
    <w:p w:rsidR="0025129F" w:rsidRDefault="0025129F" w:rsidP="0025129F">
      <w:pPr>
        <w:pStyle w:val="TextoNormal"/>
      </w:pPr>
      <w:r>
        <w:t>El examen de la relevancia de la constitucionalidad de la norma para la decisión del proceso origen de la cuestión, si bien al constituir uno de los requisitos de admisibilidad de la misma puede dar lugar a su inadmisión por Auto, puede también realizarse en esta fase del proceso constitucional (por todas, SSTC 17/1981, de 1 de junio, FJ 2; 106/1986, de 24 de julio, FJ 1; 15/1994, de 20 de enero, FJ 2; 130/1999, de 1 de julio, FJ 2; 109/2001, de 26 de abril, FJ 3), incluso de oficio por constituir una cuestión de orden público procesal (SSTC 17/1981, de 1 de junio FJ 1; 166/1986, de 19 de diciembre, FJ 5; 46/1992, FJ 1; 174/1998, de 23 de julio, FJ 1; 130/1999, de 1 de julio, FJ 2; 109/2001, de 26 de abril, FJ 3). En el caso, la singularidad del precepto cuestionado avala la pertinencia de efectuar en este momento dicho examen, pues la fundamentación de la relevancia de la constitucionalidad de la norma para el proceso, exteriorizada por el órgano judicial en el Auto de planteamiento, evidencia la entidad y complejidad del juicio de relevancia en un supuesto como el presente, y, por tanto, revela que las razones que eventualmente podrían impedir entrar a resolver el fondo de esta cuestión, no son aparentes prima facie (STC 17/1981, de 1 de junio de 1981, FJ 2) ni derivan de lo que es generalmente admitido en Derecho (SSTC 103/1983, de 22 de noviembre, FJ 1; 106/1986, de 24 de julio, FJ 1; 166/1986, de 19 de diciembre, FJ 6).</w:t>
      </w:r>
    </w:p>
    <w:p w:rsidR="0025129F" w:rsidRDefault="0025129F" w:rsidP="0025129F">
      <w:pPr>
        <w:pStyle w:val="TextoNormal"/>
      </w:pPr>
      <w:r>
        <w:t>Como se ha expuesto con detalle en los antecedentes, en el Auto de planteamiento de la duda de constitucionalidad, la Sección Cuarta de la Audiencia Provincial de Sevilla efectúa dos tipos de consideraciones que han de ser tenidas en cuenta en este punto para una comprensión global del problema: de un lado, las relativas a la aplicabilidad de la norma, y, de otro, las que considera significativas respecto al juicio de relevancia en sentido estricto.</w:t>
      </w:r>
    </w:p>
    <w:p w:rsidR="0025129F" w:rsidRDefault="0025129F" w:rsidP="0025129F">
      <w:pPr>
        <w:pStyle w:val="TextoNormal"/>
      </w:pPr>
      <w:r>
        <w:t>Sostiene el órgano judicial que el art. 557 LECrim es norma aplicable al caso con los siguientes argumentos. El concepto de domicilio a los efectos del art. 191 CP (texto refundido 1973) no puede ser otro que el concepto constitucional de domicilio; esto es, el lugar que el art.  18.2 CE declara inviolable y cuya entrada y registro requiere, por exigencia expresa de la Constitución, autorización judicial fuera de los casos de delito flagrante o de consentimiento de su titular. A esta conclusión llega el órgano judicial partiendo de que el art. 191 CP (texto refundido 1973) tiene por finalidad la protección penal del domicilio frente a las injerencias en el mismo realizadas por agentes del poder público, o, dicho de otro modo, la protección de las garantías constitucionales frente a las intromisiones en el mismo que puedan proceder de los agentes de la autoridad. Ello implica que el bien jurídi</w:t>
      </w:r>
      <w:r>
        <w:lastRenderedPageBreak/>
        <w:t>co protegido en este delito no es sino la inviolabilidad del domicilio, y, por consiguiente, el domicilio es su objeto material. De modo que, delimitando el art. 557 LECrim el concepto de domicilio a los efectos de excluir de la autorización judicial a ciertos lugares, en particular las habitaciones de los hoteles respecto de sus huéspedes, el 557 LECrim ha de considerarse aplicable al caso.</w:t>
      </w:r>
    </w:p>
    <w:p w:rsidR="0025129F" w:rsidRDefault="0025129F" w:rsidP="0025129F">
      <w:pPr>
        <w:pStyle w:val="TextoNormal"/>
      </w:pPr>
      <w:r>
        <w:t>De otra parte, considera la Sala que la constitucionalidad de la norma es relevante para la decisión del proceso en la medida en que el sentido del fallo cambiaría. En su opinión, si el art. 557 LECrim se considerase constitucional, la entrada y registro de las habitaciones del hotel de los periodistas no constituiría delito por ausencia de un elemento del tipo, el objeto material; los policías no habrían penetrado en un domicilio, y, por tanto, no sería penalmente punible la conducta. El único obstáculo para la condena de los policías derivaría de la existencia del art. 557 LECrim, y su remoción “no obligaría a plantearse problemas de error ni tampoco de irretroactividad, máxime tratándose de una derogación por inconstitucionalidad sobrevenida”. Por consiguiente, la declaración de inconstitucionalidad abriría la vía para una condena penal, y ello por cuanto los policías no pretenden haber actuado al amparo del art. 557 LECrim, en cuyo caso no se les podría dirigir un reproche penal por su conducta, sino que, de un lado, niegan haber entrado en las habitaciones, y, de otro, manifiestan saber que dicha entrada hubiera requerido autorización judicial.</w:t>
      </w:r>
    </w:p>
    <w:p w:rsidR="0025129F" w:rsidRDefault="0025129F" w:rsidP="0025129F">
      <w:pPr>
        <w:pStyle w:val="TextoNormal"/>
      </w:pPr>
      <w:r>
        <w:t>Con esta argumentación la Audiencia Provincial estima que de la validez de la norma cuestionada depende el fallo de la causa enjuiciada, a pesar de reconocer la peculiaridad del caso en cuanto al juicio de relevancia, ya que la inconstitucionalidad de la norma debatida sería presupuesto del pronunciamiento de condena de los acusados y no de su absolución, singularidad señalada por el Fiscal en el trámite de audiencia ante el órgano judicial en el proceso a quo.</w:t>
      </w:r>
    </w:p>
    <w:p w:rsidR="0025129F" w:rsidRDefault="0025129F" w:rsidP="0025129F">
      <w:pPr>
        <w:pStyle w:val="TextoNormal"/>
      </w:pPr>
      <w:r>
        <w:t>La conclusión del órgano judicial sobre la relevancia de la norma cuestionada ha de ser aceptada por este Tribunal. En la interpretación de la legalidad efectuada por el órgano judicial cuestionante, la constitucionalidad del art. 557 LECrim condiciona la atipicidad penal de la conducta en la medida en que define y, por consiguiente, delimita el ámbito material del delito.  De modo que la constitucionalidad del precepto cuestionado incide en la decisión del proceso a quo, pues es determinante, en opinión del órgano judicial, de un fallo absolutorio. Con independencia de la eventual existencia de otras interpretaciones alternativas sobre la función que cumple el art. 557 LECrim en el marco de la aplicación del delito comprendido en el art.  191 CP, y con independencia también de otras hipotéticas resoluciones del caso, cuestiones ambas sobre las que no corresponde pronunciarse a este Tribunal en este proceso constitucional, es lo cierto que, en los términos planteados por la Audiencia Provincial, existe una conexión entre la constitucionalidad del art. 557 LECrim y el fallo del proceso penal en curso. Por consiguiente, ha de considerarse cumplido el requisito previsto en los arts. 163 CE y 35.1 LOTC relativo a que de la validez de norma cuestionada dependa el fallo.</w:t>
      </w:r>
    </w:p>
    <w:p w:rsidR="0025129F" w:rsidRDefault="0025129F" w:rsidP="0025129F">
      <w:pPr>
        <w:pStyle w:val="TextoNormal"/>
      </w:pPr>
    </w:p>
    <w:p w:rsidR="0025129F" w:rsidRDefault="0025129F" w:rsidP="0025129F">
      <w:pPr>
        <w:pStyle w:val="TextoNormal"/>
      </w:pPr>
      <w:r w:rsidRPr="0025129F">
        <w:rPr>
          <w:rStyle w:val="NumeroAFNegritaCaracter"/>
        </w:rPr>
        <w:t>4</w:t>
      </w:r>
      <w:r>
        <w:t>. Razona el órgano judicial cuestionante la inconstitucionalidad del art. 557 LECrim en el hecho de que excluye de la consideración de domicilio a los efectos de que su registro requiera autorización judicial “las tabernas, casas de comidas, posadas y fondas” de quienes “se encuentren o residan en ellas accidental o temporalmente”. La inconstitucionalidad de esta disposición derivaría de la imposibilidad de considerar domicilio de los huéspedes de dichos establecimientos de hostelería a las habitaciones que ocupen en los mismos. La Audiencia Provincial de Sevilla entiende que dicha exclusión es contraria al art. 18.2 CE, por cuanto extrae de su ámbito de protección, y específicamente de la exi</w:t>
      </w:r>
      <w:r>
        <w:lastRenderedPageBreak/>
        <w:t>gencia de autorización judicial para su registro, las habitaciones de los hoteles respecto de los clientes, cuando del concepto de domicilio que se infiere de la jurisprudencia constitucional, vinculado a la protección del derecho a la intimidad personal y familiar, deriva que las habitaciones de los hoteles han de considerarse domicilio a efectos constitucionales. Si domicilio es cualquier espacio físico cerrado en el que se despliega el ámbito de privacidad de las personas, con independencia de que tenga carácter habitual, permanente o estable, o, transitorio, temporal o accidental, las habitaciones de los hoteles y demás alojamientos de hostelería han de considerarse domicilio, por cuanto la accidentalidad o temporalidad de su uso no excluye que en las mismas se desarrolle vida privada con ánimo de exclusión de terceros.</w:t>
      </w:r>
    </w:p>
    <w:p w:rsidR="0025129F" w:rsidRDefault="0025129F" w:rsidP="0025129F">
      <w:pPr>
        <w:pStyle w:val="TextoNormal"/>
      </w:pPr>
      <w:r>
        <w:t>De otra parte, considera también el órgano judicial que no sería posible una interpretación del precepto conforme a la Constitución, pues, aunque los términos utilizados para aludir a los espacios que no se consideran domicilio no se refieren literalmente a los hoteles, sino a las tabernas, casas de comida, posadas o fondas, es evidente que los términos posada y fonda son sustancialmente idénticos al de hotel, de conformidad con las definiciones de cualquier diccionario, y así lo tiene reconocido el Tribunal Supremo. Finalmente, argumenta que la literalidad del precepto y su ratio son excesivamente explícitos para permitir una interpretación del mismo que no sea la que deriva de sus propias palabras.</w:t>
      </w:r>
    </w:p>
    <w:p w:rsidR="0025129F" w:rsidRDefault="0025129F" w:rsidP="0025129F">
      <w:pPr>
        <w:pStyle w:val="TextoNormal"/>
      </w:pPr>
      <w:r>
        <w:t>Como ya hemos afirmado, a esta argumentación se une el Fiscal General del Estado, aunque advierte que sería posible declarar exclusivamente la inconstitucionalidad de la expresión “o residan accidental o temporalmente ... tan sólo”.</w:t>
      </w:r>
    </w:p>
    <w:p w:rsidR="0025129F" w:rsidRDefault="0025129F" w:rsidP="0025129F">
      <w:pPr>
        <w:pStyle w:val="TextoNormal"/>
      </w:pPr>
    </w:p>
    <w:p w:rsidR="0025129F" w:rsidRDefault="0025129F" w:rsidP="0025129F">
      <w:pPr>
        <w:pStyle w:val="TextoNormal"/>
      </w:pPr>
      <w:r w:rsidRPr="0025129F">
        <w:rPr>
          <w:rStyle w:val="NumeroAFNegritaCaracter"/>
        </w:rPr>
        <w:t>5</w:t>
      </w:r>
      <w:r>
        <w:t>. Delimitada así la controversia sobre la constitucionalidad del precepto cuestionado, el examen de la adecuación del art. 557 LECrim al derecho a la inviolabilidad del domicilio (art.  18.2 CE) requiere partir del contenido de este derecho fundamental y del concepto constitucional de domicilio. A tal efecto hemos de comenzar por recordar que la norma constitucional que proclama la inviolabilidad del domicilio y la interdicción de la entrada y registro domiciliario (art. 18.2 CE) constituye una manifestación de la norma precedente (art.  18.1 CE) que garantiza el derecho fundamental a la intimidad personal y familiar (por todas, STC 136/2000, de 29 de mayo, FJ 3). De esta construcción interrelacionada resulta que la protección de la inviolabilidad domiciliaria tiene carácter instrumental respecto de la protección de la intimidad personal y familiar (STC 22/1984, de 17 de febrero, FJ 5), si bien dicha instrumentalidad no empece a la autonomía que la Constitución española reconoce a ambos derechos, distanciándose así de la regulación unitaria de los mismos que contiene el art. 8.1 del Convenio europeo de derechos humanos (en adelante, CEDH; STC 119/2001, de 24 de mayo, FJ 6).</w:t>
      </w:r>
    </w:p>
    <w:p w:rsidR="0025129F" w:rsidRDefault="0025129F" w:rsidP="0025129F">
      <w:pPr>
        <w:pStyle w:val="TextoNormal"/>
      </w:pPr>
      <w:r>
        <w:t>Si, como hemos declarado de forma reiterada, el derecho a la intimidad personal y familiar (art. 18.1 CE) tiene por objeto la protección de un ámbito reservado de la vida de las personas excluido del conocimiento de terceros, sean éstos poderes públicos o particulares, en contra de su voluntad (por todas, SSTC 144/1999, de 22 de julio, FJ 8; 119/2001, de 24 de mayo, FJ 5), el derecho a la inviolabilidad del domicilio protege un ámbito espacial determinado, el “domicilio”, por ser aquél en el que los individuos, libres de toda sujeción a los usos y convenciones sociales, ejercen su libertad más íntima, siendo objeto de protección de este derecho tanto el espacio físico en sí mismo considerado, como lo que en él hay de emanación de la persona y de su esfera privada (SSTC 22/1984, de 17 de febrero, FJ 5; 94/1999, de 31 de mayo, FJ 5; y 119/2001, de 24 de mayo, FJ 6).</w:t>
      </w:r>
    </w:p>
    <w:p w:rsidR="0025129F" w:rsidRDefault="0025129F" w:rsidP="0025129F">
      <w:pPr>
        <w:pStyle w:val="TextoNormal"/>
      </w:pPr>
      <w:r>
        <w:t xml:space="preserve">La protección constitucional del domicilio en el art. 18.2 CE se concreta en dos reglas distintas. La primera se refiere a la protección de su “inviolabilidad” en cuanto garantía de </w:t>
      </w:r>
      <w:r>
        <w:lastRenderedPageBreak/>
        <w:t>que dicho ámbito espacial de privacidad de la persona elegido por ella misma resulte “exento de” o “inmune a” cualquier tipo de invasión o agresión exterior de otras personas o de la autoridad pública, incluidas las que puedan realizarse sin penetración física en el mismo, sino por medio de aparatos mecánicos, electrónicos u otros análogos (STC 22/1984, de 17 de febrero, FJ 5). La segunda, en cuanto especificación de la primera, establece la interdicción de dos de las formas posibles de injerencia en el domicilio, esto es, su entrada y registro, disponiéndose que, fuera de los casos de flagrante delito, sólo son constitucionalmente legítimos la entrada o el registro efectuados con consentimiento de su titular o resolución judicial (STC 22/1984, de 17 de febrero, FFJJ 3 y 5); de modo que la mención de las excepciones a dicha interdicción, admitidas por la Constitución, tiene carácter taxativo (SSTC 22/1984, de 17 de febrero, FJ 3; 136/2000, de 29 de mayo, FJ 3).</w:t>
      </w:r>
    </w:p>
    <w:p w:rsidR="0025129F" w:rsidRDefault="0025129F" w:rsidP="0025129F">
      <w:pPr>
        <w:pStyle w:val="TextoNormal"/>
      </w:pPr>
      <w:r>
        <w:t>De lo expuesto se infiere que la noción de domicilio delimita el ámbito de protección del derecho reconocido en el art. 18.2 CE, tanto a los efectos de fijar el objeto de su “inviolabilidad”, como para determinar si resulta constitucionalmente exigible una resolución judicial que autorice la entrada y registro cuando se carece del consentimiento de su titular y no se trata de un caso de flagrante delito.</w:t>
      </w:r>
    </w:p>
    <w:p w:rsidR="0025129F" w:rsidRDefault="0025129F" w:rsidP="0025129F">
      <w:pPr>
        <w:pStyle w:val="TextoNormal"/>
      </w:pPr>
    </w:p>
    <w:p w:rsidR="0025129F" w:rsidRDefault="0025129F" w:rsidP="0025129F">
      <w:pPr>
        <w:pStyle w:val="TextoNormal"/>
      </w:pPr>
      <w:r w:rsidRPr="0025129F">
        <w:rPr>
          <w:rStyle w:val="NumeroAFNegritaCaracter"/>
        </w:rPr>
        <w:t>6</w:t>
      </w:r>
      <w:r>
        <w:t>. La Constitución no ofrece una definición expresa del domicilio como objeto de protección del art. 18.2 CE. Sin embargo, este Tribunal ha ido perfilando una noción de domicilio de la persona física cuyo rasgo esencial reside en constituir un ámbito espacial apto para un destino específico, el desarrollo de la vida privada.  Este rasgo, que ha sido señalado de forma expresa en Sentencias recientes (SSTC 94/1999, de 31 de mayo, FJ 4; 283/2000, de 27 de noviembre, FJ 2), se encuentra asimismo comprendido en las declaraciones generales efectuadas por este Tribunal sobre la conexión entre el derecho a la inviolabilidad domiciliaria y el derecho a la intimidad personal y familiar, así como en la delimitación negativa que hemos realizado de las características del espacio que ha de considerarse domicilio y de la individualización de espacios que no pueden calificarse de tal a efectos constitucionales.</w:t>
      </w:r>
    </w:p>
    <w:p w:rsidR="0025129F" w:rsidRDefault="0025129F" w:rsidP="0025129F">
      <w:pPr>
        <w:pStyle w:val="TextoNormal"/>
      </w:pPr>
      <w:r>
        <w:t>Con carácter general, como acabamos de recordar, hemos declarado que “el domicilio inviolable es un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(SSTC 22/1984, de 17 de febrero, FJ 5; 137/1985, de 17 de octubre, FJ 2; 69/1999, de 26 de abril, FJ 2; 94/1999, de 31 de mayo, FJ 5; 119/2001, de 24 de mayo, FFJJ 5 y 6).</w:t>
      </w:r>
    </w:p>
    <w:p w:rsidR="0025129F" w:rsidRDefault="0025129F" w:rsidP="0025129F">
      <w:pPr>
        <w:pStyle w:val="TextoNormal"/>
      </w:pPr>
      <w:r>
        <w:t>A esta genérica definición hemos añadido una doble consecuencia para el concepto constitucional de domicilio, extraída del carácter instrumental que la protección de la inviolabilidad domiciliaria presenta en la Constitución respecto del derecho a la intimidad personal y familiar, y deducida también del nexo indisoluble que une ambos derechos: en primer término, que “la idea de domicilio que utiliza el art. 18 de la Constitución no coincide plenamente con la que se utiliza en materia de Derecho privado y en especial en el art. 40 del Código Civil como punto de localización de la persona o lugar de ejercicio por ésta de sus derechos y obligaciones”; en segundo lugar, que el concepto constitucional de domicilio tiene “mayor amplitud que el concepto jurídico privado o jurídico-administrativo” (SSTC 22/1984, de 17 de febrero, FJ 2; 94/1999, de 31 de mayo, FJ 5), y no “admite concepciones reduccionistas [... como las] que lo equiparan al concepto jurídico-penal de morada habitual o habitación” (STC 94/1999, de 31 de mayo, FJ 5).</w:t>
      </w:r>
    </w:p>
    <w:p w:rsidR="0025129F" w:rsidRDefault="0025129F" w:rsidP="0025129F">
      <w:pPr>
        <w:pStyle w:val="TextoNormal"/>
      </w:pPr>
      <w:r>
        <w:lastRenderedPageBreak/>
        <w:t>En una delimitación negativa de las características que ha de tener cualquier espacio para ser considerado domicilio hemos afirmado que ni el carácter cerrado del espacio ni el poder de disposición que sobre el mismo tenga su titular determinan que estemos ante el domicilio constitucionalmente protegido. Y, en sentido inverso, que tampoco la falta de habitualidad en el uso o disfrute impide en todo caso la calificación del espacio como domicilio. Así, hemos declarado que no todo “recinto cerrado merece la consideración de domicilio a efectos constitucionales”, y que, en particular, la garantía constitucional de su inviolabilidad no es extensible a “aquellos lugares cerrados que, por su afectación —como ocurre con los almacenes, las fábricas, las oficinas y los locales comerciales (ATC 171/1989, FJ 2)—, tengan un destino o sirvan a cometidos incompatibles con la idea de privacidad” (STC 228/1997, de 16 de diciembre, FJ 7). Igualmente, hemos señalado, que “no todo local sobre cuyo acceso posee poder de disposición su titular debe ser considerado como domicilio a los fines de la protección que el art.  18.2 garantiza”, pues “la razón que impide esta extensión es que el derecho fundamental aquí considerado no puede confundirse con la protección de la propiedad de los inmuebles ni de otras titularidades reales u obligacionales relativas a dichos bienes que puedan otorgar una facultad de exclusión de los terceros” (STC 69/1999, de 26 de abril, FJ 2). Y, finalmente, hemos advertido sobre la irrelevancia a efectos constitucionales de la intensidad, periodicidad o habitualidad del uso privado del espacio si, a partir de otros datos como su situación, destino natural, configuración física, u objetos en él hallados, puede inferirse el efectivo desarrollo de vida privada en el mismo (STC 94/1999, de 31 de mayo, FJ 5; en sentido similar sobre la irrelevancia de la falta de periodicidad, STEDH 24 de noviembre de 1986, caso Guillow c. Reino Unido).</w:t>
      </w:r>
    </w:p>
    <w:p w:rsidR="0025129F" w:rsidRDefault="0025129F" w:rsidP="0025129F">
      <w:pPr>
        <w:pStyle w:val="TextoNormal"/>
      </w:pPr>
      <w:r>
        <w:t>En aplicación de esta genérica doctrina, hemos entendido en concreto que una vivienda es domicilio aun cuando en el momento del registro no esté habitada (STC 94/1999, de 31 de mayo, FJ 5), y, sin embargo, no hemos considerado domicilio los locales destinados a almacén de mercancías (STC 228/1997, de 16 de diciembre, FJ 7), un bar y un almacén (STC 283/2000, de 27 de noviembre, FJ 2), unas oficinas de una empresa (ATC 171/1989, de 3 de abril), los locales abiertos al público o de negocios (ATC 58/1992, de 2 de marzo), o los restantes edificios o lugares de acceso dependiente del consentimiento de sus titulares a los que el art.  87.2 LOPJ extiende la necesidad de autorización judicial para su entrada y registro [STC 76/1992, de 14 de mayo, FJ 3 b)].</w:t>
      </w:r>
    </w:p>
    <w:p w:rsidR="0025129F" w:rsidRDefault="0025129F" w:rsidP="0025129F">
      <w:pPr>
        <w:pStyle w:val="TextoNormal"/>
      </w:pPr>
    </w:p>
    <w:p w:rsidR="0025129F" w:rsidRDefault="0025129F" w:rsidP="0025129F">
      <w:pPr>
        <w:pStyle w:val="TextoNormal"/>
      </w:pPr>
      <w:r w:rsidRPr="0025129F">
        <w:rPr>
          <w:rStyle w:val="NumeroAFNegritaCaracter"/>
        </w:rPr>
        <w:t>7</w:t>
      </w:r>
      <w:r>
        <w:t>. De la jurisprudencia constitucional expuesta se obtiene, como ya hemos anticipado, que el rasgo esencial que define el domicilio a los efectos de la protección dispensada por el art. 18.2 CE reside en la aptitud para desarrollar en él vida privada y en su destino específico a tal desarrollo aunque sea eventual. Ello significa, en primer término, que su destino o uso constituye el elemento esencial para la delimitación de los espacios constitucionalmente protegidos, de modo que, en principio, son irrelevantes su ubicación, su configuración física, su carácter mueble o inmueble, la existencia o tipo de título jurídico que habilite su uso, o, finalmente, la intensidad y periodicidad con la que se desarrolle la vida privada en el mismo. En segundo lugar, si bien el efectivo desarrollo de vida privada es el factor determinante de la aptitud concreta para que el espacio en el que se desarrolla se considere domicilio, de aquí no se deriva necesariamente que dicha aptitud no pueda inferirse de algunas de estas notas, o de otras, en la medida en que representen características objetivas conforme a las cuales sea posible delimitar los espacios que, en general, pueden y suelen ser utilizados para desarrollar vida privada.</w:t>
      </w:r>
    </w:p>
    <w:p w:rsidR="0025129F" w:rsidRDefault="0025129F" w:rsidP="0025129F">
      <w:pPr>
        <w:pStyle w:val="TextoNormal"/>
      </w:pPr>
      <w:r>
        <w:lastRenderedPageBreak/>
        <w:t>El rasgo esencial que define el domicilio delimita negativamente los espacios que no pueden ser considerados domicilio: de un lado, aquéllos en los que se demuestre de forma efectiva que se han destinado a cualquier actividad distinta a la vida privada, sea dicha actividad comercial, cultural, política, o de cualquier otra índole; de otro, aquéllos que, por sus propias características, nunca podrían ser considerados aptos para desarrollar en ellos vida privada, esto es, los espacios abiertos. En este sentido resulta necesario precisar que, si bien no todo espacio cerrado constituye domicilio, ni deja de serlo una vivienda por estar circunstancialmente abierta, sin embargo, es consustancial a la noción de vida privada y, por tanto, al tipo de uso que define el domicilio, el carácter acotado respecto del exterior del espacio en el que se desarrolla. El propio carácter instrumental de la protección constitucional del domicilio respecto de la protección de la intimidad personal y familiar exige que, con independencia de la configuración física del espacio, sus signos externos revelen la clara voluntad de su titular de excluir dicho espacio y la actividad en él desarrollada del conocimiento e intromisiones de terceros.</w:t>
      </w:r>
    </w:p>
    <w:p w:rsidR="0025129F" w:rsidRDefault="0025129F" w:rsidP="0025129F">
      <w:pPr>
        <w:pStyle w:val="TextoNormal"/>
      </w:pPr>
    </w:p>
    <w:p w:rsidR="0025129F" w:rsidRDefault="0025129F" w:rsidP="0025129F">
      <w:pPr>
        <w:pStyle w:val="TextoNormal"/>
      </w:pPr>
      <w:r w:rsidRPr="0025129F">
        <w:rPr>
          <w:rStyle w:val="NumeroAFNegritaCaracter"/>
        </w:rPr>
        <w:t>8</w:t>
      </w:r>
      <w:r>
        <w:t>. Precisado en estos términos el concepto constitucional de domicilio, se ha de otorgar la razón al órgano judicial cuestionante en cuanto a que las habitaciones de los hoteles pueden constituir domicilio de sus huéspedes, ya que, en principio, son lugares idóneos, por sus propias características, para que en las mismas se desarrolle la vida privada de aquéllos habida cuenta de que el destino usual de las habitaciones de los hoteles es realizar actividades enmarcables genéricamente en la vida privada. Ello, no obstante, no significa que las habitaciones de los hoteles no puedan ser utilizadas también para realizar otro tipo de actividades de carácter profesional, mercantil o de otra naturaleza, en cuyo caso no se considerarán domicilio de quien las usa a tales fines. En el caso origen del proceso penal pendiente, no existen dudas de que los periodistas se hospedaban en las habitaciones del hotel que fueron registradas, de modo que constituían en ese momento su domicilio en cuanto en ellas desarrollaban su vida privada.</w:t>
      </w:r>
    </w:p>
    <w:p w:rsidR="0025129F" w:rsidRDefault="0025129F" w:rsidP="0025129F">
      <w:pPr>
        <w:pStyle w:val="TextoNormal"/>
      </w:pPr>
      <w:r>
        <w:t>Desde esta perspectiva, ni la accidentalidad, temporalidad, o ausencia de habitualidad del uso de la habitación del hotel, ni las limitaciones al disfrute de las mismas que derivan del contrato de hospedaje, pueden constituir obstáculos a su consideración como domicilio de los clientes del hotel mientras han contratado con éste su alojamiento en ellas. Siendo las habitaciones de los hoteles espacios aptos para el desarrollo o desenvolvimiento de la vida privada, siempre que en ellos se desarrolle, constituyen ámbitos sobre los que se proyecta la tutela que la Constitución garantiza en su art. 18.2: su inviolabilidad y la interdicción de las entradas o registros sin autorización judicial o consentimiento de su titular, fuera de los casos de flagrante delito.</w:t>
      </w:r>
    </w:p>
    <w:p w:rsidR="0025129F" w:rsidRDefault="0025129F" w:rsidP="0025129F">
      <w:pPr>
        <w:pStyle w:val="TextoNormal"/>
      </w:pPr>
      <w:r>
        <w:t>La consideración de las habitaciones de los hoteles como domicilio de quienes se alojan en ellas a efectos de la protección que el art. 18.2 CE establece para el domicilio coincide, por lo demás, con la jurisprudencia de la Sala de lo Penal del Tribunal Supremo (por todas, SSTS de 3 de julio 1992, RJ 1992\6017; 10 de julio 1992, RJ 1992\6378; 5 de octubre 1992, RJ 1992\7737; 17 de marzo de 1993, RJ 1993\2330; 15 de febrero de 1995, RJ 1995\865; 2 de octubre de 1995, RJ 1995\7588, 21 de noviembre de 1997, RJ 1997\7995; 24 de enero de 1998, RJ 1998\88; 16 de mayo de 2000, RJ 2000\4960) y la jurisprudencia de otros países (Stoner v. California, 376 U.S. 483).</w:t>
      </w:r>
    </w:p>
    <w:p w:rsidR="0025129F" w:rsidRDefault="0025129F" w:rsidP="0025129F">
      <w:pPr>
        <w:pStyle w:val="TextoNormal"/>
      </w:pPr>
    </w:p>
    <w:p w:rsidR="0025129F" w:rsidRDefault="0025129F" w:rsidP="0025129F">
      <w:pPr>
        <w:pStyle w:val="TextoNormal"/>
      </w:pPr>
      <w:r w:rsidRPr="0025129F">
        <w:rPr>
          <w:rStyle w:val="NumeroAFNegritaCaracter"/>
        </w:rPr>
        <w:t>9</w:t>
      </w:r>
      <w:r>
        <w:t>. Ahora bien, la inconstitucionalidad del art. 557 LECrim no se infiere necesariamente de cuanto se acaba de señalar, y, específicamente, no deriva de contener un concepto de domicilio distinto del que es objeto de protección en el art. 18.2 CE. La inconstitucionali</w:t>
      </w:r>
      <w:r>
        <w:lastRenderedPageBreak/>
        <w:t>dad del precepto precisa analizar en qué medida dicha disposición se refiere a las habitaciones de los hoteles y en qué medida el concepto de domicilio que establece incide en el ámbito de protección del art. 18.2 CE, para lo que habrá que examinar la finalidad del art. 557 LECrim.</w:t>
      </w:r>
    </w:p>
    <w:p w:rsidR="0025129F" w:rsidRDefault="0025129F" w:rsidP="0025129F">
      <w:pPr>
        <w:pStyle w:val="TextoNormal"/>
      </w:pPr>
      <w:r>
        <w:t>En efecto, como sostiene la Audiencia Provincial de Sevilla y el Fiscal General del Estado, aunque el precepto analizado no se refiere expresa y literalmente a los hoteles, es patente que los términos “posadas y fondas” constituyen el equivalente sinonímico usual en el momento en que se elaboró la Ley de Enjuiciamiento Criminal del actualmente utilizado de forma genérica “hotel” u otros similares como hostales, pensiones, residencias, apartahoteles etc... Conforme a una interpretación del precepto que tenga en cuenta el momento en el que la norma ha de ser aplicada, se advierte que se refiere a cualquier establecimiento de hostelería con independencia de la específica modalidad que revista.</w:t>
      </w:r>
    </w:p>
    <w:p w:rsidR="0025129F" w:rsidRDefault="0025129F" w:rsidP="0025129F">
      <w:pPr>
        <w:pStyle w:val="TextoNormal"/>
      </w:pPr>
      <w:r>
        <w:t>De otra parte, como también sostiene la Sala, la delimitación negativa del concepto de domicilio efectuada en el art. 557 LECrim tiene como finalidad excluir de las exigencias que dicha Ley requiere, y, en particular, de la autorización judicial, las entradas y registros en el mismo. Dicha finalidad se deduce del contexto sistemático del propio precepto, pues, en efecto, esta disposición se encuentra ubicada en el Título VIII del Libro II de la Ley de Enjuiciamiento Criminal, “De la entrada y registro en un lugar cerrado, del de libros y papeles y de la detención y apertura de la correspondencia escrita y telegráfica”, que regula dichas diligencias.  Como datos relevantes han de mencionarse que dicho Título, tras comenzar su regulación con una genérica prohibición de entrada en el domicilio o sin consentimiento, excepto en los casos y formas previstos en la ley, establece una serie de disposiciones conforme a las cuales, y atendiendo a una diferenciación de lugares, se habilita al Juez de Instrucción para autorizar la entrada y registro en el curso de un proceso (arts. 546 a 549), destacando en este contexto la específica regulación de la entrada y registro de un domicilio (arts. 550 y ss.)  en cuyo marco aparece una primera delimitación positiva del concepto de domicilio (art. 554) “para los efectos de los artículos anteriores” y la delimitación negativa realizada en el art. 557 objeto de examen.  De ello, así como del contenido de la disposición del art. 558 LECrim, que se refiere a los requisitos de la motivación del Auto judicial autorizante de la entrada y registro, deriva, ciertamente, que la delimitación negativa de espacios no considerados domicilio efectuada por el art. 557 LECrim tiene como finalidad su exclusión de las exigencias de la Ley de Enjuiciamiento Criminal y, específicamente, su exclusión del requisito de que la entrada y el registro en los mismos sea autorizado mediante resolución judicial motivada.</w:t>
      </w:r>
    </w:p>
    <w:p w:rsidR="0025129F" w:rsidRDefault="0025129F" w:rsidP="0025129F">
      <w:pPr>
        <w:pStyle w:val="TextoNormal"/>
      </w:pPr>
      <w:r>
        <w:t>Excluir los establecimientos de hostelería de la necesidad de autorización judicial no es, sin embargo, en principio, contrario al art. 18.2 CE, pues se trata de establecimientos abiertos al público en los que principalmente se desarrollan actividades no privadas y, por consiguiente, quienes las realizan no tienen pretensión de privacidad. Por ello, el art. 557 LECrim, en su sentido original, no es contrario a la protección constitucional del derecho a la inviolabilidad del domicilio.</w:t>
      </w:r>
    </w:p>
    <w:p w:rsidR="0025129F" w:rsidRDefault="0025129F" w:rsidP="0025129F">
      <w:pPr>
        <w:pStyle w:val="TextoNormal"/>
      </w:pPr>
      <w:r>
        <w:t>La incompatibilidad del art. 557 LECrim con el derecho reconocido en el art. 18.2 CE se produce sólo en la medida en que impide con carácter absoluto que dichos establecimientos o una parte de los mismos, específicamente sus habitaciones respecto de sus huéspedes, sean consideradas domicilio, esto es, espacios en los que los huéspedes de los hoteles despliegan su privacidad. Como hemos afirmado, el art. 18.2 CE garantiza la interdicción de la entrada y registro en el domicilio, estableciendo que, en ausencia de consentimiento de su titular y de flagrante delito, sólo es constitucionalmente legítima la entrada y registro efectuada con resolución judicial autorizante. Dicha exigencia de autoriza</w:t>
      </w:r>
      <w:r>
        <w:lastRenderedPageBreak/>
        <w:t>ción judicial constituye un requisito de orden preventivo para la protección del derecho (por todas, SSTC 160/1991, de 18 de julio, FJ 8; 126/1995, de 25 de julio, FJ 2; 171/1999, de 27 de septiembre, FJ 10) que no puede ser excepcionado, puesto que las excepciones constitucionales a la interdicción de entrada y registro tienen carácter taxativo (SSTC 22/1984, de 17 de febrero, FJ 3; 136/2000, de 29 de mayo, FJ 3). Por consiguiente, ninguna justificación puede tener, desde la perspectiva constitucional, la exclusión de la autorización judicial de espacios que han de considerarse, de conformidad con el art. 18.2 CE, domicilio de una persona física.</w:t>
      </w:r>
    </w:p>
    <w:p w:rsidR="0025129F" w:rsidRDefault="0025129F" w:rsidP="0025129F">
      <w:pPr>
        <w:pStyle w:val="TextoNormal"/>
      </w:pPr>
    </w:p>
    <w:p w:rsidR="0025129F" w:rsidRDefault="0025129F" w:rsidP="0025129F">
      <w:pPr>
        <w:pStyle w:val="TextoNormal"/>
      </w:pPr>
      <w:r w:rsidRPr="0025129F">
        <w:rPr>
          <w:rStyle w:val="NumeroAFNegritaCaracter"/>
        </w:rPr>
        <w:t>10</w:t>
      </w:r>
      <w:r>
        <w:t>. En atención a todo ello se ha de concluir que el art. 557 LECrim es contrario al art.  18.2 CE por cuanto que excluye expresamente la posibilidad de que las habitaciones de los huéspedes de los hoteles puedan considerarse su domicilio a los efectos de que la entrada y registro en las mismas requieran autorización judicial. La cuestión a precisar ahora es si, como sostiene el Fiscal General del Estado, la protección del derecho a la inviolabilidad del domicilio se satisface con una declaración de inconstitucionalidad parcial del precepto o exige la declaración de la inconstitucionalidad de toda la disposición. Si suprimimos las expresiones señaladas por el Fiscal General del Estado, el tenor literal del precepto rezaría: “Las tabernas, casas de comidas, posadas y fondas no se reputarán como domicilio de los que se encuentren ...  en ellas... ; y lo serán ... de los taberneros, hosteleros, posaderos y fondistas que se hallen a su frente y habiten allí con sus familias en la parte del edificio a este servicio destinada”.</w:t>
      </w:r>
    </w:p>
    <w:p w:rsidR="0025129F" w:rsidRDefault="0025129F" w:rsidP="0025129F">
      <w:pPr>
        <w:pStyle w:val="TextoNormal"/>
      </w:pPr>
      <w:r>
        <w:t>Procede, no obstante, declarar la inconstitucionalidad de toda la disposición cuestionada —art. 557 LECrim— y no sólo de los incisos propuestos por el Fiscal General del Estado, pues, como ha quedado expuesto, no cabe una interpretación del precepto conforme al art. 18.2 CE, y, si bien el principio de conservación del Derecho al que también sirve el de interpretación conforme podría avalar la inconstitucionalidad parcial del precepto, es lo cierto que la protección de la inviolabilidad de las habitaciones de los hoteles, así como la exclusión de la necesidad de autorización judicial para los registros de dichos establecimientos de hostelería cuando en los mismos se realizan otras actividades no privadas o en las partes de ellos no destinadas a vida privada y abiertos al público, deriva directamente del propio art. 18.2 CE, así como del concepto de domicilio del art. 554.2 LECrim.</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la presente cuestión de inconstitucionalidad y, en su virtud, declarar inconstitucional y derogado el art. 557 de la Ley de Enjuiciamiento Criminal.</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diecisiete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4" w:name="SENTENCIA_2002_11"/>
      <w:r>
        <w:lastRenderedPageBreak/>
        <w:t>SENTENCIA 11/2002, de 17 de enero de 2002</w:t>
      </w:r>
    </w:p>
    <w:bookmarkEnd w:id="14"/>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34, de 8 de febrero de 2002)</w:t>
      </w:r>
    </w:p>
    <w:p w:rsidR="0025129F" w:rsidRDefault="0025129F" w:rsidP="0025129F">
      <w:pPr>
        <w:pStyle w:val="TtuloBOE"/>
      </w:pPr>
    </w:p>
    <w:p w:rsidR="0025129F" w:rsidRDefault="0025129F" w:rsidP="0025129F">
      <w:pPr>
        <w:pStyle w:val="SntesisDescriptiva"/>
      </w:pPr>
      <w:r>
        <w:t>ECLI:ES:TC:2002:11</w:t>
      </w:r>
    </w:p>
    <w:p w:rsidR="0025129F" w:rsidRDefault="0025129F" w:rsidP="0025129F">
      <w:pPr>
        <w:pStyle w:val="SntesisDescriptiva"/>
      </w:pPr>
    </w:p>
    <w:p w:rsidR="0025129F" w:rsidRDefault="0025129F" w:rsidP="0025129F">
      <w:pPr>
        <w:pStyle w:val="SntesisDescriptiva"/>
      </w:pPr>
      <w:r>
        <w:t>Recurso de inconstitucionalidad 3584/94 y 3592/94. Promovidos, respectivamente, por sesenta y dos Senadores pertenecientes al Grupo Parlamentario Popular y por la Junta de Castilla y León contra el Real Decreto-ley 8/1994, de 5 de agosto, por el que se suprimieron como corporaciones de Derecho público las Cámaras Oficiales de la Propiedad Urbana</w:t>
      </w:r>
    </w:p>
    <w:p w:rsidR="0025129F" w:rsidRDefault="0025129F" w:rsidP="0025129F">
      <w:pPr>
        <w:pStyle w:val="SntesisDescriptiva"/>
      </w:pPr>
    </w:p>
    <w:p w:rsidR="0025129F" w:rsidRDefault="0025129F" w:rsidP="0025129F">
      <w:pPr>
        <w:pStyle w:val="SntesisAnaltica"/>
      </w:pPr>
      <w:r>
        <w:t>Decretos-leyes y competencia sobre corporaciones de Derecho público: validez de los preceptos que suprimen el carácter de corporación pública de las Cámaras (STC 178/1994), someten sus actos a intervención administrativa, y habilitan al Gobierno para reglamentar su personal y patrimonio. Votos particulares.</w:t>
      </w:r>
    </w:p>
    <w:p w:rsidR="0025129F" w:rsidRDefault="0025129F" w:rsidP="0025129F">
      <w:pPr>
        <w:pStyle w:val="SntesisAnaltica"/>
      </w:pPr>
    </w:p>
    <w:p w:rsidR="0025129F" w:rsidRDefault="0025129F" w:rsidP="0025129F">
      <w:pPr>
        <w:pStyle w:val="Extracto"/>
      </w:pPr>
      <w:r>
        <w:t>1.</w:t>
      </w:r>
      <w:r>
        <w:tab/>
        <w:t>La imperiosa necesidad, por un lado, de poner término a la situación de provisionalidad del personal y del patrimonio de las Cámaras y, por otro, de remediar el posible vacío normativo a que podía haber dado lugar la declaración de inconstitucionalidad y nulidad de la Disposición final décima de la Ley de presupuestos generales del Estado para 1990, llevada a cabo por nuestra STC 178/1994, reúne las condiciones suficientes para erigirse en presupuesto habilitante a los efectos del artículo 86 de la Constitución [FJ 6].</w:t>
      </w:r>
    </w:p>
    <w:p w:rsidR="0025129F" w:rsidRDefault="0025129F" w:rsidP="0025129F">
      <w:pPr>
        <w:pStyle w:val="Extracto"/>
      </w:pPr>
    </w:p>
    <w:p w:rsidR="0025129F" w:rsidRDefault="0025129F" w:rsidP="0025129F">
      <w:pPr>
        <w:pStyle w:val="Extracto"/>
      </w:pPr>
      <w:r>
        <w:t>2.</w:t>
      </w:r>
      <w:r>
        <w:tab/>
        <w:t>La Disposición transitoria del Real Decreto-ley no se limita a prorrogar la aplicabilidad del régimen hasta entonces aplicado a las Cámaras; antes al contrario, ese régimen se ve sustancialmente alterado pues los actos de disposición, gestión y administración que afecten a su patrimonio y personal requerirán, para su efectividad, la previa autorización de la Administración pública que tenga atribuida su tutela [FJ 7].</w:t>
      </w:r>
    </w:p>
    <w:p w:rsidR="0025129F" w:rsidRDefault="0025129F" w:rsidP="0025129F">
      <w:pPr>
        <w:pStyle w:val="Extracto"/>
      </w:pPr>
    </w:p>
    <w:p w:rsidR="0025129F" w:rsidRDefault="0025129F" w:rsidP="0025129F">
      <w:pPr>
        <w:pStyle w:val="Extracto"/>
      </w:pPr>
      <w:r>
        <w:t>3.</w:t>
      </w:r>
      <w:r>
        <w:tab/>
        <w:t>Se ha adoptado una normativa de eficacia inmediata (STC 29/1982). No ha habido aquí, como sucedió en el supuesto de la STC 29/1982, una operación de deslegalización (STC 29/1986) [FJ 7].</w:t>
      </w:r>
    </w:p>
    <w:p w:rsidR="0025129F" w:rsidRDefault="0025129F" w:rsidP="0025129F">
      <w:pPr>
        <w:pStyle w:val="Extracto"/>
      </w:pPr>
    </w:p>
    <w:p w:rsidR="0025129F" w:rsidRDefault="0025129F" w:rsidP="0025129F">
      <w:pPr>
        <w:pStyle w:val="Extracto"/>
      </w:pPr>
      <w:r>
        <w:t>4.</w:t>
      </w:r>
      <w:r>
        <w:tab/>
        <w:t>Avatares que ha experimentado en los últimos años la situación normativa de las Cámaras de la Propiedad Urbana [FJ 3].</w:t>
      </w:r>
    </w:p>
    <w:p w:rsidR="0025129F" w:rsidRDefault="0025129F" w:rsidP="0025129F">
      <w:pPr>
        <w:pStyle w:val="Extracto"/>
      </w:pPr>
    </w:p>
    <w:p w:rsidR="0025129F" w:rsidRDefault="0025129F" w:rsidP="0025129F">
      <w:pPr>
        <w:pStyle w:val="Extracto"/>
      </w:pPr>
      <w:r>
        <w:t>5.</w:t>
      </w:r>
      <w:r>
        <w:tab/>
        <w:t>Doctrina elaborada por este Tribunal en torno al presupuesto habilitante de la extraordinaria y urgente necesidad exigido por el artículo 86 de la Constitución (SSTC 29/1982, 182/1997) [FJ 4].</w:t>
      </w:r>
    </w:p>
    <w:p w:rsidR="0025129F" w:rsidRDefault="0025129F" w:rsidP="0025129F">
      <w:pPr>
        <w:pStyle w:val="Extracto"/>
      </w:pPr>
    </w:p>
    <w:p w:rsidR="0025129F" w:rsidRDefault="0025129F" w:rsidP="0025129F">
      <w:pPr>
        <w:pStyle w:val="Extracto"/>
      </w:pPr>
      <w:r>
        <w:t>6.</w:t>
      </w:r>
      <w:r>
        <w:tab/>
        <w:t>Tanto del tenor literal de la exposición de motivos como de lo manifestado en el trámite parlamentario de convalidación se desprende la situación considerada urgente por el Gobierno [FFJJ 5 y 6].</w:t>
      </w:r>
    </w:p>
    <w:p w:rsidR="0025129F" w:rsidRDefault="0025129F" w:rsidP="0025129F">
      <w:pPr>
        <w:pStyle w:val="Extracto"/>
      </w:pPr>
    </w:p>
    <w:p w:rsidR="0025129F" w:rsidRDefault="0025129F" w:rsidP="0025129F">
      <w:pPr>
        <w:pStyle w:val="Extracto"/>
      </w:pPr>
      <w:r>
        <w:lastRenderedPageBreak/>
        <w:t>7.</w:t>
      </w:r>
      <w:r>
        <w:tab/>
        <w:t>Lo que aquí debe importar no es tanto la causa de las circunstancias que justifican la legislación de urgencia cuanto el hecho de que tales circunstancias efectivamente concurran [FJ 6].</w:t>
      </w:r>
    </w:p>
    <w:p w:rsidR="0025129F" w:rsidRDefault="0025129F" w:rsidP="0025129F">
      <w:pPr>
        <w:pStyle w:val="Extracto"/>
      </w:pPr>
    </w:p>
    <w:p w:rsidR="0025129F" w:rsidRDefault="0025129F" w:rsidP="0025129F">
      <w:pPr>
        <w:pStyle w:val="Extracto"/>
      </w:pPr>
      <w:r>
        <w:t>8.</w:t>
      </w:r>
      <w:r>
        <w:tab/>
        <w:t>Es posible que el Decreto-ley establezca disposiciones legislativas que contengan bases o normas básicas (SSTC 23/1993, 225/1993) [FJ 8].</w:t>
      </w:r>
    </w:p>
    <w:p w:rsidR="0025129F" w:rsidRDefault="0025129F" w:rsidP="0025129F">
      <w:pPr>
        <w:pStyle w:val="Extracto"/>
      </w:pPr>
    </w:p>
    <w:p w:rsidR="0025129F" w:rsidRDefault="0025129F" w:rsidP="0025129F">
      <w:pPr>
        <w:pStyle w:val="Extracto"/>
      </w:pPr>
      <w:r>
        <w:t>9.</w:t>
      </w:r>
      <w:r>
        <w:tab/>
        <w:t>La disposición adicional del Decreto-ley no invade las competencias de las Comunidades Autónomas sobre las corporaciones de Derecho público. La STC 178/1994 ha resuelto la controversia sobre el particular en términos que, compartan o no los recurrentes, conforman una decisión firme de este Tribunal [ FJ 9].</w:t>
      </w:r>
    </w:p>
    <w:p w:rsidR="0025129F" w:rsidRDefault="0025129F" w:rsidP="0025129F">
      <w:pPr>
        <w:pStyle w:val="Extracto"/>
      </w:pPr>
    </w:p>
    <w:p w:rsidR="0025129F" w:rsidRDefault="0025129F" w:rsidP="0025129F">
      <w:pPr>
        <w:pStyle w:val="Extracto"/>
      </w:pPr>
      <w:r>
        <w:t>10.</w:t>
      </w:r>
      <w:r>
        <w:tab/>
        <w:t>La regulación del destino de los bienes de las Cámaras no supone una expoliación de bienes de titularidad privada contraria al art. 33.3 CE [FJ 10].</w:t>
      </w:r>
    </w:p>
    <w:p w:rsidR="0025129F" w:rsidRDefault="0025129F" w:rsidP="0025129F">
      <w:pPr>
        <w:pStyle w:val="Extracto"/>
      </w:pPr>
    </w:p>
    <w:p w:rsidR="0025129F" w:rsidRDefault="0025129F" w:rsidP="0025129F">
      <w:pPr>
        <w:pStyle w:val="Extracto"/>
      </w:pPr>
      <w:r>
        <w:t>11.</w:t>
      </w:r>
      <w:r>
        <w:tab/>
        <w:t>El procedimiento de ejecución específico previsto en el Decreto-ley 8/1994 no equivale a una regulación general del procedimiento administrativo previsto en el artículo 105 de la Constitución [FJ 11].</w:t>
      </w:r>
    </w:p>
    <w:p w:rsidR="0025129F" w:rsidRDefault="0025129F" w:rsidP="0025129F">
      <w:pPr>
        <w:pStyle w:val="Extracto"/>
      </w:pPr>
    </w:p>
    <w:p w:rsidR="0025129F" w:rsidRDefault="0025129F" w:rsidP="0025129F">
      <w:pPr>
        <w:pStyle w:val="Extracto"/>
      </w:pPr>
      <w:r>
        <w:t>12.</w:t>
      </w:r>
      <w:r>
        <w:tab/>
        <w:t>El criterio diferenciador entre uno y otro grupo de personal, a los efectos de su incorporación a la Administración, viene dado por la fecha en que se hizo efectiva la supresión de las Cámaras como consecuencia de la entrada en vigor de la Ley 4/1990. No puede admitirse que se trate de un criterio arbitrario y por ello discriminatorio (art. 14 CE) [FJ 11].</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Guillermo Jiménez Sánchez, doña María Emilia Casas Baamonde, don Javier Delgado Barrio, doña Elisa Pérez Vera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los recursos de inconstitucionalidad núms. 3584/94 y 3592/94, promovidos, respectivamente, por sesenta y dos Senadores pertenecientes al Grupo Parlamentario Popular y por la Junta de Castilla y León contra el Real Decreto-ley 8/1994, de 5 de agosto, por el que se suprimieron como corporaciones de Derecho público las Cámaras Oficiales de la Propiedad Urbana. Ha comparecido el Abogado del Estado y ha sido Ponente el Presidente don Manuel Jiménez de Parga y Cabrera, quien expresa el parecer del Tribunal.</w:t>
      </w:r>
    </w:p>
    <w:p w:rsidR="0025129F" w:rsidRDefault="0025129F" w:rsidP="0025129F">
      <w:pPr>
        <w:pStyle w:val="TextoNormal"/>
      </w:pPr>
    </w:p>
    <w:p w:rsidR="0025129F" w:rsidRDefault="0025129F" w:rsidP="0025129F">
      <w:pPr>
        <w:pStyle w:val="TextoNormalNegritaCentrado"/>
        <w:keepNext/>
      </w:pPr>
      <w:r>
        <w:lastRenderedPageBreak/>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6 de noviembre de 1994, sesenta y dos Senadores del Grupo Parlamentario Popular interpusieron recurso de inconstitucionalidad contra el Real Decreto-ley 8/1994, de 5 de agosto, por el que se suprimieron como corporaciones de Derecho público las Cámaras Oficiales de la Propiedad Urbana.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El recurso trae causa de los antecedentes que aquí siguen: </w:t>
      </w:r>
    </w:p>
    <w:p w:rsidR="0025129F" w:rsidRDefault="0025129F" w:rsidP="0025129F">
      <w:pPr>
        <w:pStyle w:val="TextoNormal"/>
      </w:pPr>
      <w:r>
        <w:t xml:space="preserve">a) Suprimidas la cuota cameral y la afiliación obligatoria a aquellas Cámaras por obra de las Leyes de Presupuestos Generales del Estado para 1988 y 1989, la tardía Ley 4/1990, de 29 de junio, de Presupuestos Generales del Estado para 1990, en su Disposición final décima, suprimió las Cámaras como corporaciones de Derecho público, con la previsión, contenida en su apartado 3, de que mientras el Gobierno no regulase reglamentariamente el destino de su personal y de sus bienes seguirían rigiéndose por la normativa anterior. </w:t>
      </w:r>
    </w:p>
    <w:p w:rsidR="0025129F" w:rsidRDefault="0025129F" w:rsidP="0025129F">
      <w:pPr>
        <w:pStyle w:val="TextoNormal"/>
      </w:pPr>
      <w:r>
        <w:t xml:space="preserve">b) Impugnado este precepto por setenta y ocho Diputados del Grupo Parlamentario Popular en el Congreso y por la Junta de Galicia, a través de sendos recursos de inconstitucionalidad, la STC 178/1994, de 16 de junio, declaró su inconstitucionalidad y nulidad, por infringir los límites materiales que la Constitución establece en relación con las Leyes de Presupuestos (art. 134 CE). En el ínterin (esto es, de junio de 1990 a junio de 1994) el Gobierno no había dictado el reglamento a que le habilitaba la citada disposición legal. </w:t>
      </w:r>
    </w:p>
    <w:p w:rsidR="0025129F" w:rsidRDefault="0025129F" w:rsidP="0025129F">
      <w:pPr>
        <w:pStyle w:val="TextoNormal"/>
      </w:pPr>
      <w:r>
        <w:t xml:space="preserve">c) Mediante Real Decreto-ley 8/1994, de 5 de agosto, el Gobierno, “para evitar un mayor deterioro de la situación de dichas entidades y concretar las expectativas creadas a su personal”, decidió aprobar la norma objeto de estos dos recursos, con un contenido casi idéntico a la Disposición final anulada por la STC 178/1994. El Real Decreto- ley fue convalidado por el Congreso en votación del día 15 de septiembre de 1994, rechazándose su tramitación como proyecto de ley por el procedimiento de urgencia. </w:t>
      </w:r>
    </w:p>
    <w:p w:rsidR="0025129F" w:rsidRDefault="0025129F" w:rsidP="0025129F">
      <w:pPr>
        <w:pStyle w:val="TextoNormal"/>
      </w:pPr>
      <w:r>
        <w:t>d) Finalmente, es de advertir que el Gobierno dictó el reglamento a que se refería la Disposición adicional única del Real Decreto-ley impugnado (Real Decreto 2308/1994, de 2 de diciembre, por el que se estable el régimen y el destino del patrimonio y del personal de las Cámaras Oficiales de la Propiedad Urbana y de su Consejo Superior).</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recurso se basa en los siguientes motivos de inconstitucionalidad: </w:t>
      </w:r>
    </w:p>
    <w:p w:rsidR="0025129F" w:rsidRDefault="0025129F" w:rsidP="0025129F">
      <w:pPr>
        <w:pStyle w:val="TextoNormal"/>
      </w:pPr>
      <w:r>
        <w:t xml:space="preserve">a) La norma recurrida vulnera el artículo 86.1 de la Constitución por no concurrir el presupuesto de hecho habilitante allí exigido, toda vez que no se daba una situación de extraordinaria y urgente necesidad. En efecto, si lo que se pretendía era, según la Exposición de Motivos de la norma impugnada, evitar un mayor deterioro del patrimonio y de las expectativas del personal de las Cámaras, tal estado de cosas venía dándose desde el mes de junio de 1990 (es decir, cuatro años desde la entrada en vigor de la Disposición final anulada por la STC 178/1994), razón por la que no había urgencia alguna, pues no es posible calificar de necesidad urgente y extraordinaria lo que durante cuatro años se ha dejado que siguiera igual, transfiriéndose incluso a algunas Comunidades Autónomas funciones y servicios sobre las Cámaras. Si la necesidad calificada de urgente era disipar dudas sobre el destino del patrimonio y del personal de las mismas y se dejaron transcurrir más de cuatro años, es claro que no concurría el presupuesto de hecho habilitante. Máxime cuando el Real Decreto-ley no regula en sí mismo la materia requerida de respuesta normativa, sino que se limita a reiterar la habilitación normativa al Gobierno prevista en la Disposición final anulada. Ello evidencia, una vez más, la inexistencia de urgencia, pues </w:t>
      </w:r>
      <w:r>
        <w:lastRenderedPageBreak/>
        <w:t xml:space="preserve">una necesidad urgente sólo se atiende mediante medidas de efecto inmediato, y el Real Decreto-ley 8/1994 no lo era. </w:t>
      </w:r>
    </w:p>
    <w:p w:rsidR="0025129F" w:rsidRDefault="0025129F" w:rsidP="0025129F">
      <w:pPr>
        <w:pStyle w:val="TextoNormal"/>
      </w:pPr>
      <w:r>
        <w:t xml:space="preserve">b) La norma impugnada también se considera inconstitucional por exceder los límites materiales que el artículo 86.1 de la Constitución impone a los decretos- leyes, en concreto por afectar al régimen de las Comunidades Autónomas. Siendo cierto que la jurisprudencia constitucional ha admitido que, excepcionalmente, las bases de una materia puedan verse afectadas por un decreto-ley, en este caso la afectación al régimen de las Comunidades Autónomas es particularmente directa e incisiva, por lo que la marginación de las Asambleas parlamentarias, en especial del Senado como Cámara de representación territorial, en la elaboración de la normativa básica (Disposición final primera del Real Decreto-ley impugnado, según la cual “lo establecido en este Real Decreto-ley tiene carácter básico”) vicia a la norma de inconstitucionalidad. </w:t>
      </w:r>
    </w:p>
    <w:p w:rsidR="0025129F" w:rsidRDefault="0025129F" w:rsidP="0025129F">
      <w:pPr>
        <w:pStyle w:val="TextoNormal"/>
      </w:pPr>
      <w:r>
        <w:t xml:space="preserve">c) El ámbito material del artículo 86.1 de la Constitución se ha visto también vulnerado en la medida en que la norma impugnada ha afectado indebidamente al derecho a la propiedad privada (art. 33 CE). Regular el destino de los bienes de las Cámaras, incluso de aquéllos no sometidos al régimen de Derecho público, incorporándolos al patrimonio de la Administración, implica una expoliación de bienes de titularidad privada contraria al artículo 33.3 de la Constitución. De modo que el apartado a) de la Disposición adicional única del Real Decreto-ley 8/1994 sobrepasa los límites materiales que marca el artículo 86.1 de la Constitución. </w:t>
      </w:r>
    </w:p>
    <w:p w:rsidR="0025129F" w:rsidRDefault="0025129F" w:rsidP="0025129F">
      <w:pPr>
        <w:pStyle w:val="TextoNormal"/>
      </w:pPr>
      <w:r>
        <w:t xml:space="preserve">d) El Real Decreto-ley impugnado sería inconstitucional por deslegalizar materias reservadas a la ley, tales como: en primer lugar, el procedimiento administrativo [art. 105 c) CE], porque el apartado a) de su Disposición adicional única señala que el reglamento que desarrolle la citada norma establecerá la forma en la que se deberá elaborar el inventario de bienes y del patrimonio de las Cámaras y, tratándose de un procedimiento administrativo, su regulación por vía reglamentaria atenta contra el citado precepto constitucional. En segundo lugar, la misma habilitación reglamentaria contraviene el artículo 132.3 de la Constitución, que exige una norma con rango legal para regular los bienes patrimoniales del Estado. Y, por último, el apartado b) quebranta la reserva de ley del artículo 103.3 de la Constitución, dado que habilita al Gobierno para regular el régimen de la integración en la función pública del personal de las Cámaras, cuando la reserva legal del citado artículo 103.3 debe aplicarse plenamente para cualquier alteración de la actual situación profesional del personal de las Cámaras, sin que pueda operarse una remisión deslegalizadora a reglamentos futuros. </w:t>
      </w:r>
    </w:p>
    <w:p w:rsidR="0025129F" w:rsidRDefault="0025129F" w:rsidP="0025129F">
      <w:pPr>
        <w:pStyle w:val="TextoNormal"/>
      </w:pPr>
      <w:r>
        <w:t xml:space="preserve">e) El Real Decreto-ley 8/1994 sería también inconstitucional por infracción del artículo 147 de la Constitución, al invadir las competencias estatutarias de las Comunidades Autónomas en materia de corporaciones de Derecho público. Según los Senadores recurrentes, la STC 178/1994 no se pronunció sobre la norma de idéntico tenor literal que contenía la Disposición final décima de la Ley de Presupuestos Generales del Estado para 1990, por lo que la cuestión quedó sin resolver. A este respecto, entienden que la habilitación al Gobierno contenida en el primer inciso de la Disposición adicional única de la norma ahora impugnada (“Se faculta al Gobierno para que mediante Real Decreto establezca el régimen y destino del patrimonio y del personal de las Cámaras”), si bien no vulnera las competencias estrictamente ejecutivas de las Comunidades Autónomas, sí invade sus competencias de desarrollo normativo. En concreto, por no ser el procedimiento de inventario un procedimiento administrativo común, sino un procedimiento relativo a las especialidades vinculadas a las competencias de las Comunidades Autónomas, es claro que la competencia para regular tal materia es autonómica y no estatal. El mismo carácter no básico se observa </w:t>
      </w:r>
      <w:r>
        <w:lastRenderedPageBreak/>
        <w:t xml:space="preserve">respecto de los requisitos materiales del inventario. De modo que la habilitación al Gobierno contenida en el primer inciso de la Disposición adicional única es contraria a todos los Estatutos de Autonomía en los que se prevea competencia autonómica respecto de las corporaciones de Derecho público y, por consiguiente, al artículo 147 de la Constitución. </w:t>
      </w:r>
    </w:p>
    <w:p w:rsidR="0025129F" w:rsidRDefault="0025129F" w:rsidP="0025129F">
      <w:pPr>
        <w:pStyle w:val="TextoNormal"/>
      </w:pPr>
      <w:r>
        <w:t xml:space="preserve">f) También se afirma la inconstitucionalidad del Real Decreto-ley 8/1994 por infringir el artículo 33.3 de la Constitución, toda vez que no distingue, a efectos de su incorporación al patrimonio de la Administración, entre el patrimonio generado con cargo a la llamada cuota obligatoria (suprimida por la Ley de Presupuestos Generales del Estado para 1988) y el generado con posterioridad a esa fecha (es decir, el proveniente de ingresos no públicos y aportados libre y voluntariamente por los ciudadanos), lo que produce una privación de bienes sin la debida indemnización. Las Cámaras, por obra inicialmente de la Disposición final décima de la Ley de Presupuestos Generales del Estado para 1990 y luego del artículo único del Real Decreto-ley impugnado, desaparecieron como corporaciones de Derecho público, pero subsisten como asociaciones privadas, por lo que no hay razón alguna para desposeerlas de sus bienes. En todo caso, la operación de adscripción del patrimonio a la Administración sería ilegal por no llevar aparejada la indemnización a que alude el artículo 33.3 de la Constitución. </w:t>
      </w:r>
    </w:p>
    <w:p w:rsidR="0025129F" w:rsidRDefault="0025129F" w:rsidP="0025129F">
      <w:pPr>
        <w:pStyle w:val="TextoNormal"/>
      </w:pPr>
      <w:r>
        <w:t>g) Por último, los Senadores promotores del recurso sostienen que la separación del personal de las Cámaras en dos grupos (según se hallasen en activo el día 1 de junio de 1990) a efectos de su incorporación a la Administración lesiona el principio de igualdad (art. 14 CE) porque introduce una diferencia que carece de toda justificación y, por tanto, discriminatoria.</w:t>
      </w:r>
    </w:p>
    <w:p w:rsidR="0025129F" w:rsidRDefault="0025129F" w:rsidP="0025129F">
      <w:pPr>
        <w:pStyle w:val="TextoNormal"/>
      </w:pPr>
    </w:p>
    <w:p w:rsidR="0025129F" w:rsidRDefault="0025129F" w:rsidP="0025129F">
      <w:pPr>
        <w:pStyle w:val="TextoNormal"/>
      </w:pPr>
      <w:r w:rsidRPr="0025129F">
        <w:rPr>
          <w:rStyle w:val="NumeroAFNegritaCaracter"/>
        </w:rPr>
        <w:t>4</w:t>
      </w:r>
      <w:r>
        <w:t>. Por medio de providencia de 15 de noviembre de 1994, la Sección Tercera admitió el recurso y, conforme al artículo 34 LOTC, dio traslado del mismo al Congreso de los Diputados, al Senado y al Gobierno para que pudieran personarse en el proceso y formular alegaciones. Asimismo acordó la publicación de la incoación del recurso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5</w:t>
      </w:r>
      <w:r>
        <w:t>. El Presidente del Congreso, mediante escrito de 24 de noviembre de 1994, manifestó que no se personaría ni formularía alegaciones, mientras que el del Senado, en escrito de 1 de diciembre de 1994, expresó su personación y el ofrecimiento de colaboración.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Mediante escrito de fecha 8 de noviembre de 1994, la Junta de Castilla y León, de acuerdo con los artículos 162.1 a) de la Constitución y 32.2 LOTC, interpuso recurso de inconstitucionalidad contra el mismo Real Decreto-ley 8/1994, que se tramitó con el núm. 3592/94. Los circunstancias normativas del recurso son sustancialmente las mismas que en el recurso núm. 3584/94, añadiéndose que desde enero de 1994 (antes, por tanto, de recaer la STC 178/1994 y de dictarse el citado Real Decreto-ley), la Junta de Castilla y León había regulado, por vía reglamentaria, las Cámaras de la Propiedad Urbana, en virtud del traspaso de competencias efectuado en la Ley Orgánica 9/1992, de 23 de diciembre. </w:t>
      </w:r>
    </w:p>
    <w:p w:rsidR="0025129F" w:rsidRDefault="0025129F" w:rsidP="0025129F">
      <w:pPr>
        <w:pStyle w:val="TextoNormal"/>
      </w:pPr>
      <w:r>
        <w:t xml:space="preserve">En cuanto a los motivos de inconstitucionalidad alegados por la Junta de Castilla y León, son básicamente los aducidos en el recurso núm. 3584/94, a saber: vulneración del artículo 86.1 de la Constitución por inexistencia de urgencia; por afectar al régimen de las Comunidades Autónomas con marginación del Senado; por regular el derecho de propiedad; vulneración de los artículos 105 c), 132.3 y 103.3 de la Constitución, por cuanto deslegalizó materias allí reservadas a la ley; vulneración de la competencia que el Estatuto de </w:t>
      </w:r>
      <w:r>
        <w:lastRenderedPageBreak/>
        <w:t>Autonomía de Castilla y León atribuye a la Junta en el artículo 27.1.7 sobre corporaciones de Derecho público; y, por último, vulneración del artículo 33.3 de la Constitución, por despojar a las Cámaras del patrimonio generado por las aportaciones voluntarias ingresadas desde 1989.</w:t>
      </w:r>
    </w:p>
    <w:p w:rsidR="0025129F" w:rsidRDefault="0025129F" w:rsidP="0025129F">
      <w:pPr>
        <w:pStyle w:val="TextoNormal"/>
      </w:pPr>
    </w:p>
    <w:p w:rsidR="0025129F" w:rsidRDefault="0025129F" w:rsidP="0025129F">
      <w:pPr>
        <w:pStyle w:val="TextoNormal"/>
      </w:pPr>
      <w:r w:rsidRPr="0025129F">
        <w:rPr>
          <w:rStyle w:val="NumeroAFNegritaCaracter"/>
        </w:rPr>
        <w:t>7</w:t>
      </w:r>
      <w:r>
        <w:t>. Por medio de providencia de 15 de noviembre de 1994, la Sección Segunda admitió el recurso y, conforme al artículo 34 LOTC, dio traslado de la demanda al Congreso de los Diputados, al Senado y al Gobierno para que pudieran personarse en el proceso y formular alegaciones. Asimismo acordó la publicación de la incoación del recurso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8</w:t>
      </w:r>
      <w:r>
        <w:t>. El Presidente del Congreso manifestó, mediante escrito de 21 de noviembre de 1994, que no se personaría ni formularía alegaciones, mientras que el del Senado, en escrito de 1 de diciembre de 1994, expresó su personación y el ofrecimiento de colaboración.</w:t>
      </w:r>
    </w:p>
    <w:p w:rsidR="0025129F" w:rsidRDefault="0025129F" w:rsidP="0025129F">
      <w:pPr>
        <w:pStyle w:val="TextoNormal"/>
      </w:pPr>
    </w:p>
    <w:p w:rsidR="0025129F" w:rsidRDefault="0025129F" w:rsidP="0025129F">
      <w:pPr>
        <w:pStyle w:val="TextoNormal"/>
      </w:pPr>
      <w:r w:rsidRPr="0025129F">
        <w:rPr>
          <w:rStyle w:val="NumeroAFNegritaCaracter"/>
        </w:rPr>
        <w:t>9</w:t>
      </w:r>
      <w:r>
        <w:t>. Por medio de escrito de 2 de diciembre de 1994, el Abogado del Estado, personándose en los recursos núm. 3584/94 y 3593/94, solicitó su acumulación al concurrir a su juicio los requisitos del artículo 83 LOTC.</w:t>
      </w:r>
    </w:p>
    <w:p w:rsidR="0025129F" w:rsidRDefault="0025129F" w:rsidP="0025129F">
      <w:pPr>
        <w:pStyle w:val="TextoNormal"/>
      </w:pPr>
    </w:p>
    <w:p w:rsidR="0025129F" w:rsidRDefault="0025129F" w:rsidP="0025129F">
      <w:pPr>
        <w:pStyle w:val="TextoNormal"/>
      </w:pPr>
      <w:r w:rsidRPr="0025129F">
        <w:rPr>
          <w:rStyle w:val="NumeroAFNegritaCaracter"/>
        </w:rPr>
        <w:t>10</w:t>
      </w:r>
      <w:r>
        <w:t>. Mediante providencia de 13 de diciembre de 1994, la Sección Segunda dio traslado a las partes personadas de la petición de acumulación, suspendiéndose mientras tanto el plazo concedido al Gobierno para formular alegaciones.</w:t>
      </w:r>
    </w:p>
    <w:p w:rsidR="0025129F" w:rsidRDefault="0025129F" w:rsidP="0025129F">
      <w:pPr>
        <w:pStyle w:val="TextoNormal"/>
      </w:pPr>
    </w:p>
    <w:p w:rsidR="0025129F" w:rsidRDefault="0025129F" w:rsidP="0025129F">
      <w:pPr>
        <w:pStyle w:val="TextoNormal"/>
      </w:pPr>
      <w:r w:rsidRPr="0025129F">
        <w:rPr>
          <w:rStyle w:val="NumeroAFNegritaCaracter"/>
        </w:rPr>
        <w:t>11</w:t>
      </w:r>
      <w:r>
        <w:t>. Mediante escrito de fecha 9 de enero de 1995, la Junta de Castilla y León no se opuso a la acumulación.</w:t>
      </w:r>
    </w:p>
    <w:p w:rsidR="0025129F" w:rsidRDefault="0025129F" w:rsidP="0025129F">
      <w:pPr>
        <w:pStyle w:val="TextoNormal"/>
      </w:pPr>
    </w:p>
    <w:p w:rsidR="0025129F" w:rsidRDefault="0025129F" w:rsidP="0025129F">
      <w:pPr>
        <w:pStyle w:val="TextoNormal"/>
      </w:pPr>
      <w:r w:rsidRPr="0025129F">
        <w:rPr>
          <w:rStyle w:val="NumeroAFNegritaCaracter"/>
        </w:rPr>
        <w:t>12</w:t>
      </w:r>
      <w:r>
        <w:t>. Por medio de Auto de 17 de enero de 1995, el Pleno acumuló ambos recursos, concediendo asimismo un nuevo plazo al Abogado del Estado para que formulase alegaciones.</w:t>
      </w:r>
    </w:p>
    <w:p w:rsidR="0025129F" w:rsidRDefault="0025129F" w:rsidP="0025129F">
      <w:pPr>
        <w:pStyle w:val="TextoNormal"/>
      </w:pPr>
    </w:p>
    <w:p w:rsidR="0025129F" w:rsidRDefault="0025129F" w:rsidP="0025129F">
      <w:pPr>
        <w:pStyle w:val="TextoNormal"/>
      </w:pPr>
      <w:r w:rsidRPr="0025129F">
        <w:rPr>
          <w:rStyle w:val="NumeroAFNegritaCaracter"/>
        </w:rPr>
        <w:t>13</w:t>
      </w:r>
      <w:r>
        <w:t xml:space="preserve">. El Abogado del Estado, tras solicitar y obtener una prórroga de ocho días, presentó el día 15 de febrero de 1995 su escrito de alegaciones (alegaciones que, siendo los dos recursos idénticos, se dirigieron indistintamente frente a ambos). Sostiene el Abogado del Estado que el Real Decreto-ley impugnado satisface todas las exigencias de urgencia extraordinaria exigidas por el artículo 86.1 de la Constitución. Es más: a su juicio, los recurrentes (tanto los Senadores como la Junta de Castilla y León) parten de una premisa no demostrada, cual es la inexistencia de urgencia. La doctrina constitucional otorga al Gobierno un margen político o de discrecionalidad para la apreciación de la urgencia, naturalmente sin perjuicio de las facultades de fiscalización que corresponden al Tribunal Constitucional. Ello desplaza al recurrente la carga de acreditar la inexistencia del presupuesto de hecho habilitante, sin que en ninguno de los dos recursos se haya levantado esa carga probatoria. </w:t>
      </w:r>
    </w:p>
    <w:p w:rsidR="0025129F" w:rsidRDefault="0025129F" w:rsidP="0025129F">
      <w:pPr>
        <w:pStyle w:val="TextoNormal"/>
      </w:pPr>
      <w:r>
        <w:t xml:space="preserve">En cuanto a la urgencia, en sí misma, es clara e incuestionable su concurrencia, puesto que la STC 178/1994 había producido un vacío normativo y la decisión legislativa de habilitar al Gobierno para dictar un reglamento sobre la materia debía llevarse a cabo lo antes posible para evitar un mayor deterioro, pendencia e inseguridad en la subsistencia de </w:t>
      </w:r>
      <w:r>
        <w:lastRenderedPageBreak/>
        <w:t xml:space="preserve">las Cámaras. De hecho, dicho reglamento se dictó en diciembre de 1994 (a los cuatro meses de promulgarse el Real Decreto-ley 8/1994), lo que vino a confirmar la situación de urgencia. </w:t>
      </w:r>
    </w:p>
    <w:p w:rsidR="0025129F" w:rsidRDefault="0025129F" w:rsidP="0025129F">
      <w:pPr>
        <w:pStyle w:val="TextoNormal"/>
      </w:pPr>
      <w:r>
        <w:t xml:space="preserve">En cuanto a los demás límites impuestos por el artículo 86.1 de la Constitución, se sostiene que de la jurisprudencia constitucional se deduce inequívocamente que por decreto-ley pueden establecerse normas básicas, sin que las consideraciones que sobre el Senado se hicieron tengan relevancia alguna al respecto. Tampoco existe una “afectación” del derecho de propiedad constitucionalmente prohibida, pues no se trata de una regulación directa de ningún derecho fundamental, tal y como fue caracterizada en las SSTC 111/1983, de 2 de diciembre, ó 3/1988, de 31 de enero, entre otras. </w:t>
      </w:r>
    </w:p>
    <w:p w:rsidR="0025129F" w:rsidRDefault="0025129F" w:rsidP="0025129F">
      <w:pPr>
        <w:pStyle w:val="TextoNormal"/>
      </w:pPr>
      <w:r>
        <w:t xml:space="preserve">La alegación de deslegalización es igualmente infundada. Nada tiene que ver el procedimiento de ejecución específico previsto en el Real Decreto-ley 8/1994 con la regulación general del procedimiento del artículo 105 c) de la Constitución, precepto éste que sí requiere una regulación mediante ley. También sostuvo la representación del Estado que, según señaló la STC 113/1994, de 14 de abril, las Cámaras no son organizaciones profesionales a efectos del artículo 52 de la Constitución y que la transferencia de funcionarios de las Cámaras hacia la Administración que sobre ellas tenga competencias en nada afecta a su estatuto (art. 103.3 CE). </w:t>
      </w:r>
    </w:p>
    <w:p w:rsidR="0025129F" w:rsidRDefault="0025129F" w:rsidP="0025129F">
      <w:pPr>
        <w:pStyle w:val="TextoNormal"/>
      </w:pPr>
      <w:r>
        <w:t>Por último, las restantes alegaciones carecen, para el Abogado del Estado, de consistencia, tanto la referida al supuesto carácter expropiatorio del Real Decreto- ley (dado que la regulación del destino de las corporaciones de Derecho público en nada afecta a la propiedad privada y que se trata de un aspecto del régimen jurídico de las Administraciones públicas previsto en el artículo 149.1.18 de la Constitución) como a la invasión competencial (la STC 178/1994 dejó zanjados todos los problemas competenciales, tal y como admiten los recurrentes, y por consiguiente la norma impugnada se hallaba amparada por la recién citada competencia estatal básica en materia de régimen jurídico de las Administraciones públicas). Por todo ello solicitó que se desestimasen ambos recursos.</w:t>
      </w:r>
    </w:p>
    <w:p w:rsidR="0025129F" w:rsidRDefault="0025129F" w:rsidP="0025129F">
      <w:pPr>
        <w:pStyle w:val="TextoNormal"/>
      </w:pPr>
    </w:p>
    <w:p w:rsidR="0025129F" w:rsidRDefault="0025129F" w:rsidP="0025129F">
      <w:pPr>
        <w:pStyle w:val="TextoNormal"/>
      </w:pPr>
      <w:r w:rsidRPr="0025129F">
        <w:rPr>
          <w:rStyle w:val="NumeroAFNegritaCaracter"/>
        </w:rPr>
        <w:t>14</w:t>
      </w:r>
      <w:r>
        <w:t>. El 21 de marzo de 2001, el Presidente, Excmo. Sr. don Pedro Cruz Villalón, firmó el siguiente Acuerdo: “En la deliberación de la Sentencia de los recursos de inconstitucionalidad acumulados núm. 3584/94 y 3592/94, en relación con el Real Decreto ley 8/1994, de 5 de agosto, que suprime las Cámaras Oficiales de la Propiedad Urbana y su Consejo Superior, ha quedado en minoría la posición mantenida por el Magistrado Ponente Excmo. Sr. D. Pablo García Manzano, por lo que en uso de las facultades que me confiere el art. 80 de la Ley Orgánica del Tribunal Constitucional en relación con el art. 206 de la Ley Orgánica del Poder Judicial, vengo en designar nuevo Ponente al Excmo. Sr. D. Manuel Jiménez de Parga y Cabrera.”.</w:t>
      </w:r>
    </w:p>
    <w:p w:rsidR="0025129F" w:rsidRDefault="0025129F" w:rsidP="0025129F">
      <w:pPr>
        <w:pStyle w:val="TextoNormal"/>
      </w:pPr>
    </w:p>
    <w:p w:rsidR="0025129F" w:rsidRDefault="0025129F" w:rsidP="0025129F">
      <w:pPr>
        <w:pStyle w:val="TextoNormal"/>
      </w:pPr>
      <w:r w:rsidRPr="0025129F">
        <w:rPr>
          <w:rStyle w:val="NumeroAFNegritaCaracter"/>
        </w:rPr>
        <w:t>15</w:t>
      </w:r>
      <w:r>
        <w:t>. Por providencia de 15 de enero de 2002 se señaló el siguiente día 17 del mismo mes y año para deliberación y votación de la presente Sentencia, quedando conclusa con esta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Mediante los recursos de inconstitucionalidad acumulados en el presente proceso constitucional, interpuestos por sesenta y dos Senadores pertenecientes al Grupo Parlamentario Popular y por la Junta de Castilla y León, se impugna el Real Decreto-ley </w:t>
      </w:r>
      <w:r>
        <w:lastRenderedPageBreak/>
        <w:t>8/1994, de 5 de agosto, por el que se suprimieron como corporaciones de Derecho público las Cámaras Oficiales de la Propiedad Urbana, convalidado por el Congreso de los Diputados en sesión celebrada el día 15 de septiembre de 1994, cuyo texto se transcribe a continuación:</w:t>
      </w:r>
    </w:p>
    <w:p w:rsidR="0025129F" w:rsidRDefault="0025129F" w:rsidP="0025129F">
      <w:pPr>
        <w:pStyle w:val="TextoNormal"/>
      </w:pPr>
      <w:r>
        <w:t>“Artículo único.</w:t>
      </w:r>
    </w:p>
    <w:p w:rsidR="0025129F" w:rsidRDefault="0025129F" w:rsidP="0025129F">
      <w:pPr>
        <w:pStyle w:val="TextoNormal"/>
      </w:pPr>
      <w:r>
        <w:t>Las Cámaras Oficiales de la Propiedad Urbana y el Consejo Superior de las mismas, reguladas por el Real Decreto 1649/1977, de 2 de junio, quedan suprimidas como Corporaciones de derecho público, desapareciendo, en consecuencia, la referencia a las mismas contenida en el artículo 15.1 a) de la Ley 12/1983, de 14 de octubre, del Proceso Autonómico.</w:t>
      </w:r>
    </w:p>
    <w:p w:rsidR="0025129F" w:rsidRDefault="0025129F" w:rsidP="0025129F">
      <w:pPr>
        <w:pStyle w:val="TextoNormal"/>
      </w:pPr>
      <w:r>
        <w:t>Disposición adicional única.</w:t>
      </w:r>
    </w:p>
    <w:p w:rsidR="0025129F" w:rsidRDefault="0025129F" w:rsidP="0025129F">
      <w:pPr>
        <w:pStyle w:val="TextoNormal"/>
      </w:pPr>
      <w:r>
        <w:t>Se faculta al Gobierno para que mediante Real Decreto establezca el régimen y destino del patrimonio y personal de las mismas. Dicha regulación:</w:t>
      </w:r>
    </w:p>
    <w:p w:rsidR="0025129F" w:rsidRDefault="0025129F" w:rsidP="0025129F">
      <w:pPr>
        <w:pStyle w:val="TextoNormal"/>
      </w:pPr>
      <w:r>
        <w:t>a) Establecerá la forma y requisitos por los que ha de regirse la elaboración, por la Administración Pública que hasta ahora tenga atribuida su tutela, del inventario de bienes y derechos que constituyen el patrimonio de las mismas, así como la determinación de qué parte del total de dicho patrimonio ha sido generado directa o indirectamente con cargo a la cuota obligatoria u otras actuaciones derivadas de obligaciones legales y cuál se considera generada con ingresos diferentes a los anteriores. El patrimonio que de acuerdo con la citada determinación haya sido generado con cargo a la cuota obligatoria u otras actuaciones derivadas de obligaciones legales, será inscrito, titulado o ingresado, según el tipo de patrimonio de que trate, a nombre de las correspondientes Administraciones Públicas para el cumplimiento o realización de fines o servicios públicos. La parte del patrimonio generada con ingresos diferentes a los antes citados será igualmente inscrito, titulado o ingresado a favor de las Administraciones Públicas correspondientes que lo podrán adscribir a aquellas asociaciones sin ánimo de lucro constituidas o que se constituyan y que tengan como finalidad esencial la defensa, promoción e información de los propietarios y usuarios de viviendas urbanas.</w:t>
      </w:r>
    </w:p>
    <w:p w:rsidR="0025129F" w:rsidRDefault="0025129F" w:rsidP="0025129F">
      <w:pPr>
        <w:pStyle w:val="TextoNormal"/>
      </w:pPr>
      <w:r>
        <w:t>b) Fijará el destino del personal que el día 1 de junio de 1990 prestaba servicios en las Cámaras sometidas a la tutela estatal, siempre que las mismas no hubieran sido objeto de traspaso a la correspondiente Comunidad Autónoma, el cual se integrará en la Administración del Estado, así como el régimen y condiciones en que se producirá esta integración, con respecto de las normas vigentes sobre el personal al servicio de la Administración Pública.</w:t>
      </w:r>
    </w:p>
    <w:p w:rsidR="0025129F" w:rsidRDefault="0025129F" w:rsidP="0025129F">
      <w:pPr>
        <w:pStyle w:val="TextoNormal"/>
      </w:pPr>
      <w:r>
        <w:t>Las restantes Administraciones Públicas que ejerzan la tutela sobre las correspondientes Cámaras de la Propiedad Urbana adoptarán asimismo las determinaciones necesarias para la integración del personal de aquéllas.</w:t>
      </w:r>
    </w:p>
    <w:p w:rsidR="0025129F" w:rsidRDefault="0025129F" w:rsidP="0025129F">
      <w:pPr>
        <w:pStyle w:val="TextoNormal"/>
      </w:pPr>
      <w:r>
        <w:t>Disposición transitoria única.</w:t>
      </w:r>
    </w:p>
    <w:p w:rsidR="0025129F" w:rsidRDefault="0025129F" w:rsidP="0025129F">
      <w:pPr>
        <w:pStyle w:val="TextoNormal"/>
      </w:pPr>
      <w:r>
        <w:t>Hasta tanto entre en vigor la regulación prevista en el apartado anterior, las Cámaras seguirán rigiéndose por la normativa que les sea de aplicación, si bien los actos de disposición, gestión y administración adoptados por sus órganos de gobierno que afecten al patrimonio y personal de las mismas, requerirán para su efectividad la previa autorización de la Administración Pública que tenga atribuida su tutela, sin cuyo requisito serán nulos. Para el ejercicio de dicha función la citada Administración Pública podrá designar un representante delegado de la misma en cada Cámara, así como en el Consejo Superior.</w:t>
      </w:r>
    </w:p>
    <w:p w:rsidR="0025129F" w:rsidRDefault="0025129F" w:rsidP="0025129F">
      <w:pPr>
        <w:pStyle w:val="TextoNormal"/>
      </w:pPr>
      <w:r>
        <w:t>Disposición final primera.</w:t>
      </w:r>
    </w:p>
    <w:p w:rsidR="0025129F" w:rsidRDefault="0025129F" w:rsidP="0025129F">
      <w:pPr>
        <w:pStyle w:val="TextoNormal"/>
      </w:pPr>
      <w:r>
        <w:t>Lo establecido en este Real Decreto-ley tiene carácter básico.</w:t>
      </w:r>
    </w:p>
    <w:p w:rsidR="0025129F" w:rsidRDefault="0025129F" w:rsidP="0025129F">
      <w:pPr>
        <w:pStyle w:val="TextoNormal"/>
      </w:pPr>
      <w:r>
        <w:t>Disposición final segunda.</w:t>
      </w:r>
    </w:p>
    <w:p w:rsidR="0025129F" w:rsidRDefault="0025129F" w:rsidP="0025129F">
      <w:pPr>
        <w:pStyle w:val="TextoNormal"/>
      </w:pPr>
      <w:r>
        <w:lastRenderedPageBreak/>
        <w:t>El presente Real Decreto-ley entrará en vigor el día siguiente al de su publicación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2</w:t>
      </w:r>
      <w:r>
        <w:t>. Ambos recursos de inconstitucionalidad se basan, sustancialmente, sobre unas mismas pretensiones impugnatorias que, sistemáticamente, pueden ordenarse del modo que sigue: a) Se alega, en primer lugar, que el Gobierno ha utilizado el instrumento normativo excepcional del decreto-ley con infracción del artículo 86.1 de la Constitución, toda vez que, por un lado, se aprobó sin concurrir el presupuesto habilitante de la extraordinaria y urgente necesidad y, por otro, su regulación afecta directamente a materias constitucionalmente excluidas, tales como el derecho de propiedad y el régimen de las Comunidades Autónomas; b) En segundo término, se aduce la infracción, desde una vertiente material o sustantiva, de los artículos 14, 33.3 y 52 de la Constitución, por cuanto se considera que la normativa legal impugnada introduce diferencias injustificadas al ordenar la integración del personal al servicio de las Cámaras, produce un despojo patrimonial no indemnizado y deslegaliza una materia reservada a la ley. Por su parte, en el recurso de inconstitucionalidad promovido por la Junta de Castilla y León se expone la invasión de la competencia sobre corporaciones de Derecho público representativas de intereses económicos y profesionales atribuida a aquella Comunidad Autónoma por la Ley Orgánica 9/1992, de 23 de diciembre, de transferencia de competencias a Comunidades Autónomas que accedieron a la autonomía por la vía del artículo 143 de la Constitución.</w:t>
      </w:r>
    </w:p>
    <w:p w:rsidR="0025129F" w:rsidRDefault="0025129F" w:rsidP="0025129F">
      <w:pPr>
        <w:pStyle w:val="TextoNormal"/>
      </w:pPr>
      <w:r>
        <w:t>Es clara la coincidencia entre ambas impugnaciones, al considerar una y otra que el Decreto- ley transcrito se ha dictado con infracción de lo dispuesto en el artículo 86 de la Constitución, por no concurrir el presupuesto habilitante de la “extraordinaria y urgente necesidad”. Como esta común pretensión impugnatoria incide directamente sobre la validez del Decreto-ley, cuestionando la legitimidad constitucional de su promulgación, su examen ha de ser prioritario en el orden lógico de nuestro enjuiciamiento, pues, en el caso de ser estimada, resultaría innecesario el análisis de las restantes alegaciones (STC 178/1994, de 16 de junio, FJ 2).</w:t>
      </w:r>
    </w:p>
    <w:p w:rsidR="0025129F" w:rsidRDefault="0025129F" w:rsidP="0025129F">
      <w:pPr>
        <w:pStyle w:val="TextoNormal"/>
      </w:pPr>
    </w:p>
    <w:p w:rsidR="0025129F" w:rsidRDefault="0025129F" w:rsidP="0025129F">
      <w:pPr>
        <w:pStyle w:val="TextoNormal"/>
      </w:pPr>
      <w:r w:rsidRPr="0025129F">
        <w:rPr>
          <w:rStyle w:val="NumeroAFNegritaCaracter"/>
        </w:rPr>
        <w:t>3</w:t>
      </w:r>
      <w:r>
        <w:t>. Para calibrar adecuadamente el fundamento de esta radical impugnación es preciso detenerse en los avatares que ha experimentado en los últimos años la situación normativa de las Cámaras de la Propiedad Urbana, pues ese es el contexto en el que, en el sentir del Gobierno, se han producido las circunstancias que, por su excepcionalidad, han hecho necesario servirse de la legislación de urgencia.</w:t>
      </w:r>
    </w:p>
    <w:p w:rsidR="0025129F" w:rsidRDefault="0025129F" w:rsidP="0025129F">
      <w:pPr>
        <w:pStyle w:val="TextoNormal"/>
      </w:pPr>
      <w:r>
        <w:t>La Ley de Presupuestos Generales del Estado para 1988 (Ley 33/1987, de 23 de diciembre) suprimió la cuota cameral obligatoria, iniciando así un proceso de reforma de las Cámaras de la Propiedad Urbana que tendría continuidad en la Ley de Presupuestos Generales del Estado para 1989 (Ley 37/1988, de 28 de diciembre), por la que se eliminó la adscripción forzosa, y en la Disposición final décima de la tardía Ley 4/1990, de 28 de junio, de Presupuestos Generales del Estado para 1990, que suprimió las Cámaras de la Propiedad Urbana y su Consejo Superior como corporaciones de Derecho público.</w:t>
      </w:r>
    </w:p>
    <w:p w:rsidR="0025129F" w:rsidRDefault="0025129F" w:rsidP="0025129F">
      <w:pPr>
        <w:pStyle w:val="TextoNormal"/>
      </w:pPr>
      <w:r>
        <w:t xml:space="preserve">La referida Disposición final décima de la Ley 4/1990 fue objeto de dos recursos de inconstitucionalidad, promovidos por la Junta de Galicia y por setenta y ocho Diputados del Grupo Parlamentario Popular y resueltos por la STC 178/1994, de 16 de junio, en la que se declaró la inconstitucionalidad y nulidad del mencionado precepto legal por contener una determinación normativa que, dada su materia y finalidad, no podía estimarse incluida en el contenido constitucionalmente posible de una Ley de Presupuestos. Ha de precisarse, asimismo, que cuando se dictó nuestra STC 178/1994 el Gobierno no había hecho uso de </w:t>
      </w:r>
      <w:r>
        <w:lastRenderedPageBreak/>
        <w:t>la habilitación contenida en la Ley 4/1990 para regular, por Real Decreto, el régimen y destino del patrimonio y del personal de las Cámaras, mientras que, por otra parte, diversas Comunidades Autónomas ya habían asumido competencias de desarrollo legislativo y ejecución en materia de Cámaras Oficiales de la Propiedad Urbana, en virtud de la Ley Orgánica de transferencias 9/1992, de 23 de diciembre, lo que determinó que se aprobase la correspondiente normativa, como es el caso de la Comunidad Autónoma de Castilla y León que reguló las Cámaras por Decreto 14/1994, de 27 de enero, que aprobó su Reglamento. De este modo, y salvo en aquellas Comunidades Autónomas en las que se dictaron regulaciones propias, la situación de las Cámaras de la Propiedad Urbana se regía por lo dispuesto en el apartado 3 de la Disposición final décima de la citada Ley de Presupuestos para 1990, que prorrogaba sustancialmente la normativa anterior, si bien establecía que “los actos de disposición, gestión y administración adoptados por sus órganos de gobierno que afecten al patrimonio y personal de las mismas, requerirán para su efectividad la previa autorización de la Administración Pública que tenga atribuida su tutela, sin cuyo requisito serán nulos”.</w:t>
      </w:r>
    </w:p>
    <w:p w:rsidR="0025129F" w:rsidRDefault="0025129F" w:rsidP="0025129F">
      <w:pPr>
        <w:pStyle w:val="TextoNormal"/>
      </w:pPr>
      <w:r>
        <w:t>Éste fue, en definitiva, el régimen jurídico establecido y aplicado a las Cámaras de la Propiedad Urbana desde su formal extinción como corporaciones de Derecho público por la Ley de Presupuestos para 1990 hasta la mencionada Sentencia constitucional, y que el Decreto-ley recurrido vino a prolongar en el tiempo hasta que el Gobierno, con apoyo en la nueva habilitación legal contenida en este instrumento normativo excepcional, dictó el Real Decreto 2308/1994, de 2 de diciembre, en el que se establece el régimen y destino del patrimonio y personal de las Cámaras Oficiales de la Propiedad Urbana y de su Consejo Superior, sometidas a la tutela de la Administración estatal.</w:t>
      </w:r>
    </w:p>
    <w:p w:rsidR="0025129F" w:rsidRDefault="0025129F" w:rsidP="0025129F">
      <w:pPr>
        <w:pStyle w:val="TextoNormal"/>
      </w:pPr>
      <w:r>
        <w:t>Por último, ha de señalarse que, después de la interposición de los recursos de inconstitucionalidad que ahora resolvemos, la Comunidad Autónoma recurrente asumió estatutariamente la competencia en materia de Cámaras, según lo dispuesto en el artículo 34.1.10 del Estatuto de Autonomía de Castilla y León, tras la reforma efectuada por Ley Orgánica 4/1999. Por su parte, la Ley 66/1997, de 30 de diciembre, de medidas fiscales, administrativas y del orden social, en su Disposición adicional trigésima, con carácter de normación básica al amparo del artículo 149.1.18 de la Constitución, y tras derogar en este extremo el Real Decreto-ley impugnado (derogación de su Disposición final primera, en relación con la Disposición adicional única), estableció para las Comunidades Autónomas que hubieran asumido competencias estatutarias en relación con las corporaciones de Derecho público representativas de intereses económicos y constituido, al amparo de esta competencia, entidades representativas del sector inmobiliario urbano con la denominación de Cámaras de la Propiedad Urbana u otras similares, el marco normativo de los principios a que tales Comunidades Autónomas habían de adecuar su actuación, entre los que destacan el de asignar base asociativa a tales entidades, el carácter voluntario de la afiliación a las mismas y el carácter democrático de su estructura y funcionamiento.</w:t>
      </w:r>
    </w:p>
    <w:p w:rsidR="0025129F" w:rsidRDefault="0025129F" w:rsidP="0025129F">
      <w:pPr>
        <w:pStyle w:val="TextoNormal"/>
      </w:pPr>
    </w:p>
    <w:p w:rsidR="0025129F" w:rsidRDefault="0025129F" w:rsidP="0025129F">
      <w:pPr>
        <w:pStyle w:val="TextoNormal"/>
      </w:pPr>
      <w:r w:rsidRPr="0025129F">
        <w:rPr>
          <w:rStyle w:val="NumeroAFNegritaCaracter"/>
        </w:rPr>
        <w:t>4</w:t>
      </w:r>
      <w:r>
        <w:t>. Una vez descrita la situación normativa de las Cámaras de la Propiedad Urbana en el momento de dictarse el Real Decreto-ley 8/1994 procede traer a colación la doctrina elaborada por este Tribunal en torno al presupuesto habilitante de la extraordinaria y urgente necesidad exigido por el artículo 86 de la Constitución y que aparece, en esencia, recogida en la STC 182/1997, de 28 de octubre, en la que expresamente se tienen en cuenta pronunciamientos anteriores (SSTC 29/1982, de 31 de mayo; 6/1983, de 4 de febrero; y 29/1986, de 20 de febrero).</w:t>
      </w:r>
    </w:p>
    <w:p w:rsidR="0025129F" w:rsidRDefault="0025129F" w:rsidP="0025129F">
      <w:pPr>
        <w:pStyle w:val="TextoNormal"/>
      </w:pPr>
      <w:r>
        <w:lastRenderedPageBreak/>
        <w:t>En dicha Sentencia, tras reconocerse el peso que en la apreciación de la extraordinaria y urgente necesidad ha de concederse “al juicio puramente político de los órganos a los que incumbe la dirección del Estado”, se declaró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FJ 3) y, en consecuencia, declarar la inconstitucionalidad de un decreto- ley por inexistencia del presupuesto habilitante por invasión de las facultades reservadas a las Cortes Generales por la Constitución (FJ 3).</w:t>
      </w:r>
    </w:p>
    <w:p w:rsidR="0025129F" w:rsidRDefault="0025129F" w:rsidP="0025129F">
      <w:pPr>
        <w:pStyle w:val="TextoNormal"/>
      </w:pPr>
      <w:r>
        <w:t>En consonancia con tal doctrina, este Tribunal no estimó contraria al artículo 86.1 de la Constitución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o de medidas tributarias de saneamiento del déficit público (STC 182/1997, de 28 de octubre).  Como fácilmente se puede constatar, en todas estas Sentencias los decretos-leyes enjuiciados afectaban a lo que la STC 23/1993, de 21 de enero, FJ 5, denominó “coyunturas económicas problemáticas”, para cuyo tratamiento el decreto-ley representa un instrumento constitucionalmente lícito, en tanto que pertinente y adecuado para la consecución del fin que justifica 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6/1983, de 4 de febrero, FJ 5).</w:t>
      </w:r>
    </w:p>
    <w:p w:rsidR="0025129F" w:rsidRDefault="0025129F" w:rsidP="0025129F">
      <w:pPr>
        <w:pStyle w:val="TextoNormal"/>
      </w:pPr>
      <w:r>
        <w:t xml:space="preserve">No era ese el caso de la STC 29/1982, de 31 de mayo, en la que se rechazó la situación de urgencia definida por el Gobierno y consistente en la degradación de rango normativo de determinados preceptos legales relativos a la creación y funciones de un cuerpo de funcionarios y a la integración en él de funcionarios pertenecientes a otro cuerpo, porque “las razones de extraordinaria y urgente necesidad ... no amparan bajo ningún punto de vista la inclusión de un precepto exclusivamente deslegalizador, que remite al futuro la regulación de la materia deslegalizada, máxime cuando no se fija un plazo perentorio para dictar tal regulación” (FJ 6). En efecto, como de forma más general, se afirmó en la STC 182/1997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(FJ 3). Por </w:t>
      </w:r>
      <w:r>
        <w:lastRenderedPageBreak/>
        <w:t>lo tanto, debemos examinar “la correspondencia de las normas contenidas en el Decreto-ley con la situación ... que se trata de afrontar, a fin de controlar la apreciación de la misma como un supuesto de ‘extraordinaria y urgente necesidad’, dentro del enjuiciamiento que sí nos compete sobre la validez constitucional de las determinaciones jurídicas adoptadas por el legislador” (FJ 4).  De este modo, el control constitucional sobre la concurrencia del presupuesto habilitante de la extraordinaria y urgente necesidad no se circunscribe a la sola constatación de una situación de urgencia, en sí misma considerada, sino que también incluye la verificación de la imprescindible conexión de sentido, conexión de justificación, o relación de adecuación que ha de existir entre la urgencia apreciada por el Gobierno autor de la norma y las medidas efectivamente instrumentadas para afrontar, desde el punto de vista de la normación excepcional, aquella situación caracterizada por la urgencia.</w:t>
      </w:r>
    </w:p>
    <w:p w:rsidR="0025129F" w:rsidRDefault="0025129F" w:rsidP="0025129F">
      <w:pPr>
        <w:pStyle w:val="TextoNormal"/>
      </w:pPr>
      <w:r>
        <w:t>Finalmente, conviene recordar que el examen sobre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y 182/1997, de 28 de octubre, FJ 4), debiéndose también tener presentes “las situaciones concretas y los objetivos gubernamentales que han dado lugar a la aprobación de cada uno de los Decretos-leyes enjuiciados” (SSTC 6/1983, de 4 de febrero, FJ 5, y 182/1997,de 28 de octubre, FJ 3).</w:t>
      </w:r>
    </w:p>
    <w:p w:rsidR="0025129F" w:rsidRDefault="0025129F" w:rsidP="0025129F">
      <w:pPr>
        <w:pStyle w:val="TextoNormal"/>
      </w:pPr>
    </w:p>
    <w:p w:rsidR="0025129F" w:rsidRDefault="0025129F" w:rsidP="0025129F">
      <w:pPr>
        <w:pStyle w:val="TextoNormal"/>
      </w:pPr>
      <w:r w:rsidRPr="0025129F">
        <w:rPr>
          <w:rStyle w:val="NumeroAFNegritaCaracter"/>
        </w:rPr>
        <w:t>5</w:t>
      </w:r>
      <w:r>
        <w:t>. Expuesta la anterior doctrina constitucional, procede analizar ahora si, con arreglo a ella, y en función de las concretas circunstancias que rodearon la emanación del Decreto-ley impugnado, éste se halla constitucionalmente legitimado por la concurrencia del presupuesto habilitante de la “extraordinaria y urgente necesidad”, exigido por el artículo 86.1 de la Constitución.</w:t>
      </w:r>
    </w:p>
    <w:p w:rsidR="0025129F" w:rsidRDefault="0025129F" w:rsidP="0025129F">
      <w:pPr>
        <w:pStyle w:val="TextoNormal"/>
      </w:pPr>
      <w:r>
        <w:t>Como queda dicho, el primer punto de referencia de nuestro análisis es el constituido por la Exposición de Motivos del Decreto-ley. Pues bien, el retraso de más de cuatro años en la aprobación del Real Decreto regulador del destino del patrimonio y del personal de las Cámaras se intentó justificar por el Gobierno atendiendo a “la complejidad de la instrumentación del mandato del legislador dada la doble fuente de financiación, cuotas obligatorias y voluntarias, de las Cámaras de la Propiedad Urbana, y la presencia entre su personal de colectivos contratados en régimen laboral y otros sometidos a estatuto propio como los Secretarios de las Cámaras, [lo cual] exigió la participación de los Ministerios de Economía y Hacienda, para las Administraciones Públicas y de Obras Públicas, Transportes y Medio Ambiente, coordinados por el entonces Ministerio de Relaciones con las Cortes y de la Secretaría del Gobierno, en la elaboración del correspondiente proyecto de Real Decreto que viniera a dar cumplimiento al mandato del legislador”.</w:t>
      </w:r>
    </w:p>
    <w:p w:rsidR="0025129F" w:rsidRDefault="0025129F" w:rsidP="0025129F">
      <w:pPr>
        <w:pStyle w:val="TextoNormal"/>
      </w:pPr>
      <w:r>
        <w:t>Asimismo, como otro factor determinante del retraso en la aprobación de la norma reglamentaria reguladora del personal y patrimonio de las Cámaras, se argüía con la necesidad de recabar el preceptivo dictamen del Consejo de Estado, dada la naturaleza de Reglamento dictado en desarrollo de una Ley. Con base en ello se concluía que “todas estas circunstancias demoraron la aprobación del mencionado Real Decreto que todavía no se ha producido”.</w:t>
      </w:r>
    </w:p>
    <w:p w:rsidR="0025129F" w:rsidRDefault="0025129F" w:rsidP="0025129F">
      <w:pPr>
        <w:pStyle w:val="TextoNormal"/>
      </w:pPr>
      <w:r>
        <w:t xml:space="preserve">Abundando en esta misma línea de justificación, en la Exposición de Motivos se hace expresa referencia a nuestra STC 178/1994 publicada un mes antes, indicándose que “en </w:t>
      </w:r>
      <w:r>
        <w:lastRenderedPageBreak/>
        <w:t>estas circunstancias y teniendo en cuenta el período de transitoriedad que abrió en su momento la Ley de Presupuestos Generales del Estado para 1990 en lo que se refiere al régimen jurídico tanto del personal como del patrimonio de las Cámaras Oficiales de la Propiedad, procede por razones de urgencia para evitar un mayor deterioro de la situación de dichas entidades y concretar las expectativas creadas a su personal, regular a través del instrumento jurídico pertinente el destino del personal y patrimonio de dichas Cámaras cuya razón de ser como Corporaciones de derecho público, dado el contenido de los intereses que representan y la libertad de asociación consagrada en la Constitución, no resulta justificado”.</w:t>
      </w:r>
    </w:p>
    <w:p w:rsidR="0025129F" w:rsidRDefault="0025129F" w:rsidP="0025129F">
      <w:pPr>
        <w:pStyle w:val="TextoNormal"/>
      </w:pPr>
      <w:r>
        <w:t>En definitiva, se acordó la utilización del Decreto-ley con el objeto, hecho explícito en la referida Exposición de Motivos, de “evitar un mayor deterioro de la situación de las Cámaras y concretar las expectativas creadas a su personal”, en virtud del periodo de transitoriedad creado tras la entrada en vigor de la Disposición final décima de la Ley de Presupuestos Generales del Estado para 1990, así como en la demora en la aprobación del Real Decreto y en la anulación de dicha disposición final por la STC 178/1994, de 16 de junio.</w:t>
      </w:r>
    </w:p>
    <w:p w:rsidR="0025129F" w:rsidRDefault="0025129F" w:rsidP="0025129F">
      <w:pPr>
        <w:pStyle w:val="TextoNormal"/>
      </w:pPr>
      <w:r>
        <w:t>En lo que concierne al debate parlamentario para la convalidación del Real Decreto-ley 8/1994 (Cortes Generales. Diario de Sesiones del Congreso de los Diputados. Pleno y Diputación Permanente. V Legislatura. Año 1994, núm. 89, Sesión plenaria núm. 88 del 15 de septiembre de 1994, págs. 4584 a 4597), puede apreciarse que el Gobierno, por medio del Ministro de Obras Públicas, Transportes y Medio Ambiente, reiteró lo ya aducido en la citada Exposición de Motivos, señalando que la demora en la aprobación del Real Decreto al que remitía la Disposición final décima de la Ley de Presupuestos del Estado para 1990 “determinó a su vez la prolongación de un periodo de transitoriedad en lo que se refiere al régimen jurídico tanto del personal como del patrimonio de las Cámaras tuteladas por el Estado”, para, a renglón seguido, referirse a la STC 178/1994, de 16 de junio, que, en su criterio, suponía “la pérdida de una de las piezas normativas esenciales, al ser declarada inconstitucional la Disposición Final Décima de la Ley de Presupuestos Generales del Estado para 1990”, implicando “que las Cámaras de la Propiedad Urbana volvían a ser Corporaciones de Derecho Público pero carecerían de recursos propios, puesto que la exacción parafiscal denominada ‘cuota’ de las Cámaras fue suprimida previamente por la Ley de Presupuestos Generales del Estado para 1988, así como tampoco tendrían la base asociativa necesaria, al haberse suprimido previamente la incorporación obligatoria por la Ley de Presupuestos Generales del Estado para 1989, disposiciones legislativas ambas que mantienen su vigencia puesto que no se han visto afectadas por las disposiciones del Alto Tribunal”.</w:t>
      </w:r>
    </w:p>
    <w:p w:rsidR="0025129F" w:rsidRDefault="0025129F" w:rsidP="0025129F">
      <w:pPr>
        <w:pStyle w:val="TextoNormal"/>
      </w:pPr>
      <w:r>
        <w:t>Sobre la base de lo anterior, se concluía que “en esta situación no resulta posible el mantenimiento de las Cámaras como Corporaciones de Derecho Público y, por otra parte, resulta preciso proceder a finalizar cuanto antes aquella situación de provisionalidad para evitar un deterioro de la situación de dichas entidades y crear el instrumento jurídico que concrete las expectativas creadas a su personal, y que establezca el destino del mismo y del patrimonio de las Cámaras”.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Conocidas las circunstancias y las razones explicitadas por el Gobierno para justificar la utilización del instrumento normativo excepcional del Decreto-ley 8/1994, debemos adentrarnos en el control constitucional del controvertido presupuesto habilitante, ya que, como dijimos en la STC 60/1986, de 20 de mayo (FJ 3), “con independencia de que tal motivación resulte o no convincente, lo que nos toca indagar ahora es si concurre o no, </w:t>
      </w:r>
      <w:r>
        <w:lastRenderedPageBreak/>
        <w:t>realmente, el presupuesto de hecho habilitante del Decreto-ley impugnado, es decir, el caso de extraordinaria y urgente necesidad”.</w:t>
      </w:r>
    </w:p>
    <w:p w:rsidR="0025129F" w:rsidRDefault="0025129F" w:rsidP="0025129F">
      <w:pPr>
        <w:pStyle w:val="TextoNormal"/>
      </w:pPr>
      <w:r>
        <w:t>Tanto del tenor literal de la Exposición de Motivos como de lo manifestado en el trámite parlamentario de convalidación se desprende que la situación considerada urgente por el Gobierno tenía su razón de ser en la imperiosa necesidad, por un lado, de poner término a la situación de provisionalidad del personal y del patrimonio de las Cámaras, y, por otro, de remediar el posible vacío normativo a que podía haber dado lugar la declaración de inconstitucionalidad y nulidad de la Disposición final décima de la Ley de Presupuestos Generales del Estado para 1990, llevada a cabo por nuestra STC 178/1994, de 16 de junio.</w:t>
      </w:r>
    </w:p>
    <w:p w:rsidR="0025129F" w:rsidRDefault="0025129F" w:rsidP="0025129F">
      <w:pPr>
        <w:pStyle w:val="TextoNormal"/>
      </w:pPr>
      <w:r>
        <w:t>Podría acaso coincidirse con los Senadores recurrentes en la observación de que la “provisionalidad” del personal y de los bienes de las Cámaras tuvo su origen y causa primera en la demora en que incurrió el Gobierno al incumplir el mandato legal por el que se le habilitaba y ordenaba regular mediante Real Decreto el régimen jurídico de aquel personal y de los bienes adscritos a las extintas Cámaras de la Propiedad Urbana. En una primera aproximación, parece, en efecto, que fue la inactividad del Ejecutivo y el desconocimiento del deber de normación que las Cortes Generales le habían impuesto el factor desencadenante de una situación que se toleró por largo tiempo y a la que sólo mucho después se pretende hacer frente por vía de la legislación de urgencia. Sin embargo, aunque esto fuera así no diría nada en contra de la excepcionalidad de la situación a la que se quiso hacer frente mediante la adopción de las medidas contenidas en el Decreto-ley ahora impugnado. Quiere afirmarse con esta advertencia que lo que aquí debe importar no es tanto la causa de las circunstancias que justifican la legislación de urgencia cuanto el hecho de que tales circunstancias efectivamente concurran. Interesa sólo, en otras palabras, si la situación era objetivamente merecedora de un tratamiento normativo por la vía de la legislación de urgencia, con independencia de las causas que hubieran podido ocasionarla.</w:t>
      </w:r>
    </w:p>
    <w:p w:rsidR="0025129F" w:rsidRDefault="0025129F" w:rsidP="0025129F">
      <w:pPr>
        <w:pStyle w:val="TextoNormal"/>
      </w:pPr>
      <w:r>
        <w:t>En el presente caso, y con un análisis más detenido de la situación, y una vez que un recurso ante este Tribunal concluyó con la inconstitucionalidad de la Disposición final décima de la Ley 4/1990 por razón de la forma normativa bajo la que sus preceptos se habían introducido en el Ordenamiento, el Gobierno, apremiado por el tiempo transcurrido desde la entrada en vigor de aquella Ley, entendió que no podía demorarse el ejercicio de la potestad reglamentaria y que para ello precisaba disponer de una habilitación al efecto por medio del Decreto-ley que examinamos.</w:t>
      </w:r>
    </w:p>
    <w:p w:rsidR="0025129F" w:rsidRDefault="0025129F" w:rsidP="0025129F">
      <w:pPr>
        <w:pStyle w:val="TextoNormal"/>
      </w:pPr>
      <w:r>
        <w:t>La situación de provisionalidad a la que se quiso hacer frente con el Decreto-ley venía, pues, de bastante atrás en el tiempo, y fue la demora en terminar con esa provisionalidad lo que hizo precisa, en el sentir del Gobierno, la adopción de medidas por vía de urgencia. Debe observarse, sin embargo, que se trataba de una provisionalidad referida a la situación del personal y los bienes de unas Cámaras que habían desaparecido con la Ley 4/1990. A esa situación provisional vino a sumarse luego una circunstancia completamente novedosa, cual fue la declaración de nulidad —por la STC 178/1994— de la norma que había suprimido las Cámaras de la Propiedad Urbana. Con ello, obviamente, las Cámaras recobraron existencia jurídica y a la provisionalidad de la situación de disolución en la que se encontraban le sucedió una provisionalidad distinta: la propia de entidades en curso de recuperación de su validez jurídica.</w:t>
      </w:r>
    </w:p>
    <w:p w:rsidR="0025129F" w:rsidRDefault="0025129F" w:rsidP="0025129F">
      <w:pPr>
        <w:pStyle w:val="TextoNormal"/>
      </w:pPr>
      <w:r>
        <w:t xml:space="preserve">Frente a la nueva circunstancia producida por la STC 178/1994, el Gobierno consideró necesario proceder a la supresión de las Cámaras y hacerlo, además, por la vía de urgencia.  La decisión de suprimirlas se habrá fundamentado en razones que este Tribunal no puede en modo alguno enjuiciar, pues se enmarcan en el ámbito de libre decisión política que al Gobierno corresponde constitucionalmente, si bien no puede dejar de señalarse que </w:t>
      </w:r>
      <w:r>
        <w:lastRenderedPageBreak/>
        <w:t>entre tales razones bien pudiera haber pesado la doctrina sentada por este Tribunal en la STC 113/1994, de 14 de abril, al afirmar que la existencia de Cámaras como corporaciones de Derecho público podía presentar reparos de constitucionalidad en la medida en que entrañaban un riesgo cierto para la libertad de asociación, lo que llevaba a constreñir la implantación de ese tipo de corporaciones a supuestos verdaderamente excepcionales, esto es, cuando sólo por ese medio puede asegurarse la satisfacción del bien público. La apreciación, por su parte, de que, además, la supresión debía verificarse por la vía de urgencia entra también en el ámbito de decisión política del Gobierno, si bien aquí, como antes se ha señalado, ese ámbito se concreta en unos márgenes que deben conjugarse con los que a este Tribunal le permiten enjuiciar su acomodo a las exigencias del artículo 86 de la Constitución. Esto sentado, no cabe sino apreciar que, con arreglo a la doctrina constitucional antes citada, la situación normativa a que dio lugar la repetida STC 178/1994, con la declaración de inconstitucionalidad y nulidad de la Disposición final décima de la Ley 4/1990, reúne las condiciones suficientes para erigirse en presupuesto habilitante a los efectos del artículo 86 de la Constitución. El fallo de aquella Sentencia, al declarar la nulidad de la norma que privaba a las Cámaras de su condición de corporaciones de Derecho público, determinó de manera indirecta la recuperación de tal estatuto jurídico, generándose así una situación de evidente incertidumbre jurídica, por cuanto las Cámaras recuperaban formalmente y a todos los efectos aquella condición y, sin embargo, como consecuencia del proceso de despublificación iniciado por la Ley 33/1987, de 23 de octubre, ya se habían suprimido los rasgos definidores de la misma, a saber: la cuota cameral obligatoria y la adscripción forzosa de sus miembros, rasgos que este Tribunal declaró contrarios a la Constitución en la STC 113/1994. Esta situación de reviviscencia de unas Cámaras que volvían a la vida jurídica sin los instrumentos que habían hecho tradicionalmente posible su subsistencia económica, y la consiguiente incertidumbre generada en cuanto a las expectativas de su personal, justificaba adecuadamente la decisión de proveer a su supresión por la vía de urgencia.  Y tal decisión se adoptó, efectivamente, con evidente rapidez, pues la STC 178/1994 se publicó en el “Boletín Oficial del Estado” el 9 de julio y el Decreto-ley que aquí se impugna se aprobó el 5 de agosto siguiente.</w:t>
      </w:r>
    </w:p>
    <w:p w:rsidR="0025129F" w:rsidRDefault="0025129F" w:rsidP="0025129F">
      <w:pPr>
        <w:pStyle w:val="TextoNormal"/>
      </w:pPr>
    </w:p>
    <w:p w:rsidR="0025129F" w:rsidRDefault="0025129F" w:rsidP="0025129F">
      <w:pPr>
        <w:pStyle w:val="TextoNormal"/>
      </w:pPr>
      <w:r w:rsidRPr="0025129F">
        <w:rPr>
          <w:rStyle w:val="NumeroAFNegritaCaracter"/>
        </w:rPr>
        <w:t>7</w:t>
      </w:r>
      <w:r>
        <w:t>. El Decreto-ley 8/1994 no se limita, sin embargo, a suprimir las Cámaras de la Propiedad Urbana. Su Disposición adicional faculta al Gobierno para establecer, por Decreto, el régimen y destino del patrimonio y personal de las mismas, mientras que la Disposición transitoria dispone que, en tanto no se dicte ese Decreto, las Cámaras seguirán rigiéndose por la normativa que les sea de aplicación, si bien se introduce un mecanismo de autorización administrativa para la validez de determinadas actuaciones.</w:t>
      </w:r>
    </w:p>
    <w:p w:rsidR="0025129F" w:rsidRDefault="0025129F" w:rsidP="0025129F">
      <w:pPr>
        <w:pStyle w:val="TextoNormal"/>
      </w:pPr>
      <w:r>
        <w:t xml:space="preserve">La previsión referida a que las Cámaras continuarán rigiéndose por la normativa aplicable al tiempo de la adopción del Decreto-ley puede interpretarse como la evidencia de que no se ha producido una alteración inmediata de la situación jurídica de las Cámaras y, en consecuencia, la supresión de éstas no se hace inmediatamente efectiva, de suerte que el propio Decreto-ley contradice la realidad de la urgencia con la que quiere justificarse su adopción. En otras palabras, se invoca la necesidad de suprimir las Cámaras por la vía de urgencia, pero no se adoptan a renglón seguido las medidas convenientes para asegurar la efectividad de esa supresión. Esta objeción puede, no obstante, superarse sin dificultad si se repara en el hecho de que, en realidad, la citada Disposición transitoria no se limita a prorrogar la aplicabilidad del régimen hasta entonces aplicado a las Cámaras; antes al contrario, ese régimen se ve sustancialmente alterado por el hecho de que la propia Disposición determine que, en tanto no se discipline un nuevo régimen, los actos de disposición, </w:t>
      </w:r>
      <w:r>
        <w:lastRenderedPageBreak/>
        <w:t>gestión y administración adoptados por los órganos de gobierno camerales que afecten a su patrimonio y personal requerirán, para su efectividad, la previa autorización de la Administración pública que tenga atribuida su tutela, siendo nulos en otro caso, prescribiéndose, a estos fines, la posibilidad de que la Administración de tutela designe un representante en cada Cámara. En definitiva, el régimen normativo aplicable a las Cámaras con la entrada en vigor del Decreto-ley no es realmente el que les fue de aplicación en el pasado, sino un régimen distinto. Ha habido, por tanto, una innovación normativa conectada de modo directo al fin perseguido con el Decreto-ley en cuestión, y debe aceptarse que esa sola innovación, traducida en la instauración de un régimen de autorizaciones, justifica la promulgación de aquél por cuanto se demuestra que es una fórmula efectiva para evitar la realización de actuaciones que pudieran incidir en perjuicio del patrimonio y personal de las Cámaras durante el proceso de su desaparición y liquidación. Se ha adoptado, pues, en este punto, una normativa “de eficacia inmediata” que implicaba un “tratamiento innovativo de una materia” (STC 29/1982, de 31 de mayo FJ 6), por lo que es de apreciar la indispensable “conexión de sentido o relación de adecuación entre la situación definida que constituye el presupuesto habilitante y las medidas que en el Decreto-ley se adoptan (SSTC 29/1982 de 31 de mayo, FJ 3, y 111/1983, de 2 de diciembre, FJ 5), de manera que estas últimas guarden una relación directa o de congruencia con la situación que se trata de afrontar” (STC 182/1997, de 28 de octubre, FJ 3).</w:t>
      </w:r>
    </w:p>
    <w:p w:rsidR="0025129F" w:rsidRDefault="0025129F" w:rsidP="0025129F">
      <w:pPr>
        <w:pStyle w:val="TextoNormal"/>
      </w:pPr>
      <w:r>
        <w:t>Las previsiones del Decreto-ley en relación con el período transitorio que habría de mediar entre la nueva desaparición, inmediata, de las Cámaras y la entrada en vigor de una disciplina reguladora del régimen y destino últimos de su patrimonio y personal constituyen, por lo expuesto, una solución adecuada y pertinente —en el fondo y en el tiempo— a la circunstancia excepcional que está en el origen de la adopción del Decreto-ley.  Cuestión distinta es si, por su parte, también resulta conforme con la naturaleza y finalidad de la legislación de urgencia el establecimiento de aquella disciplina reguladora en el Decreto-ley impugnado; en otras palabras, si era suficiente, a los fines de afrontar la situación excepcional generada con la STC 178/1994, la regulación de un régimen normativo de transición hasta que por las vías de normación ordinarias se acordara una solución definitiva para el personal y el patrimonio de las Cámaras o si, por el contrario, la urgencia en la decisión de suprimirlas se extendía también a la necesidad de proveer inmediatamente a esa solución. Se trata ahora, por tanto, de determinar si el régimen normativo establecido en la Disposición adicional del Decreto-ley 8/1994 se compadece con las exigencias del artículo 86 de la Constitución por cuanto existe una conexión de sentido, o de justificación, entre dicho régimen y la situación a la que con él quiso hacerse frente.</w:t>
      </w:r>
    </w:p>
    <w:p w:rsidR="0025129F" w:rsidRDefault="0025129F" w:rsidP="0025129F">
      <w:pPr>
        <w:pStyle w:val="TextoNormal"/>
      </w:pPr>
      <w:r>
        <w:t>Para resolver esta cuestión es preciso reparar de nuevo en la justificación del Decreto-ley contenida en su preámbulo y reiterada en el curso de los debates parlamentarios, referida a la perentoria necesidad de evitar un mayor deterioro de la situación de las Cámaras durante el período abierto por la STC 178/1994. Que un proceso de paulatina supresión de las Cámaras, iniciado en 1987 con la eliminación de la adscripción forzosa y de la cuota cameral obligatoria y seguido de la supresión formal de las Cámaras en 1990, se viera perturbado en su desarrollo con la impugnación ante este Tribunal de la normativa que le había dado cobertura y que fue finalmente anulada en virtud de la STC 178/1994 hubo de suponer, como se comprende sin dificultad, una indeseable situación de incertidumbre que se vio agravada con la inmediata reaparición jurídica de las Cámaras y la consiguiente perspectiva de un nuevo período transitorio; el regreso, en suma a la situación de 1990. La conveniencia de proveer con premura una disciplina normativa capaz de reducir al mínimo posible la extensión temporal de ese nuevo período, evitando las dilaciones que en el pa</w:t>
      </w:r>
      <w:r>
        <w:lastRenderedPageBreak/>
        <w:t>sado pudieron haber contribuido a generar la situación que finalmente se quiso solventar con el Decreto-ley 8/1994, hacían aconsejable, en opinión del Gobierno, servirse del propio Decreto-ley para sentar las bases de esa nueva disciplina. Y, desde luego, no puede reprocharse al juicio del Ejecutivo ningún error de apreciación o de concepto, pues la situación a la que quería hacerse frente justificaba la adopción inmediata de cuantas medidas se entendieran pertinentes para terminar con aquella prolongada incertidumbre. Cuestión distinta es que, de ser así las cosas, acaso debió el Gobierno proceder directamente al establecimiento de esas medidas, sin limitarse —como ha hecho y así se lo reprochan los ahora recurrentes— a sentar las bases sobre las que en el futuro habría de sentarse el régimen y destino del personal y patrimonio de las Cámaras.</w:t>
      </w:r>
    </w:p>
    <w:p w:rsidR="0025129F" w:rsidRDefault="0025129F" w:rsidP="0025129F">
      <w:pPr>
        <w:pStyle w:val="TextoNormal"/>
      </w:pPr>
      <w:r>
        <w:t>La objeción anterior no puede prosperar, toda vez que la Disposición adicional única incluye un contenido habilitante para la adopción del régimen definitivo con arreglo al cual habría de verificarse la desaparición efectiva de las Cámaras de la Propiedad Urbana, sin que pueda sostenerse que, al no establecerse en ella misma ese régimen definitivo y posponerse en el tiempo su adopción, carezca de la necesaria conexión de sentido por relación a las razones de extraordinaria y urgente necesidad de justificaron la adopción del Decreto-ley 8/1994. Como para un supuesto similar dijimos en la STC 29/1986, de 20 de febrero, el Decreto-ley en cuestión responde a la necesidad de regular con urgencia el marco jurídico para la adopción de la disciplina normativa que hiciera posible la liquidación de las Cámaras, disponiendo lo necesario en punto a su patrimonio y personal. Ese marco jurídico era inexistente al tiempo de aprobarse el Decreto-ley, y en la medida en que las decisiones que debían adoptarse pudieran exceder el marco de las competencias propias del poder reglamentario, se hacía necesario propiciar para éste un contexto normativo en el que pudiera desenvolverse amparado tras la pertinente habilitación legislativa. En el bien entendido de que no ha habido aquí, como sucedió en el supuesto de la STC 29/1982, de 31 de mayo, una operación de deslegalización, que siempre “supone la reducción del rango normativo de una materia regulada por norma legal en el momento en que se dicta la [norma] deslegalizadora de tal manera que a partir de ésta y en su virtud pueda ser regulada por normas reglamentarias” [STC 29/1986, de 20 de febrero, FJ 2 c)]. No consta, en este sentido, que existiera norma alguna de rango legal que disciplinara la materia referida en la Disposición adicional, ni que con ella se haya autorizado al Gobierno para modificar o derogar las previsiones normativas contenidas en normas de ese rango. Antes al contrario, la singularidad y excepcionalidad de la realidad a la que se quería hacer frente con el Decreto-ley 8/1994, esto es, la disolución de las Cámaras, presentaba una serie de cuestiones y dificultades asimismo singulares para las que se hacía precisa la adopción de una normativa específica que, además, disfrutara del rango suficiente para el caso de que en su concreción pudieran verse eventualmente afectados sectores materiales del Ordenamiento en los que sólo pudiera incidirse mediante normas con ese rango.</w:t>
      </w:r>
    </w:p>
    <w:p w:rsidR="0025129F" w:rsidRDefault="0025129F" w:rsidP="0025129F">
      <w:pPr>
        <w:pStyle w:val="TextoNormal"/>
      </w:pPr>
      <w:r>
        <w:t>Y tal fue lo que vino a hacer la Disposición adicional examinada que habilitó al Gobierno para dictar una normativa determinada en sus contenidos por la propia Disposición adicional, que contiene así, junto a la habilitación, un importante contenido material y se refiere con carácter exclusivo al hecho único e irrepetible de la disolución de las Cámaras, efectuándose el desarrollo mediante el Real Decreto 2308/1994, esto es, en un plazo razonablemente breve.</w:t>
      </w:r>
    </w:p>
    <w:p w:rsidR="0025129F" w:rsidRDefault="0025129F" w:rsidP="0025129F">
      <w:pPr>
        <w:pStyle w:val="TextoNormal"/>
      </w:pPr>
      <w:r>
        <w:t xml:space="preserve">En definitiva, el supuesto aquí contemplado difiere del analizado en la STC 29/1982. Pues, en primer término, como acaba de destacarse, tiene un propio contenido normativo que afecta por sí a la regulación de la situación jurídica en él contemplada, no limitándose a habilitar al Gobierno para dictar los Reglamentos correspondientes; y, en segundo lugar, </w:t>
      </w:r>
      <w:r>
        <w:lastRenderedPageBreak/>
        <w:t>aunque ciertamente se echa de menos la fijación de un plazo perentorio para la promulgación de los decretos de desarrollo, lo cierto es que se dictaron con la diligencia antes relatada, reforzándose así la virtualidad de la afirmación de la urgencia (STC 23/1993, de 21 de enero).</w:t>
      </w:r>
    </w:p>
    <w:p w:rsidR="0025129F" w:rsidRDefault="0025129F" w:rsidP="0025129F">
      <w:pPr>
        <w:pStyle w:val="TextoNormal"/>
      </w:pPr>
      <w:r>
        <w:t>El examen del Decreto-ley 8/1994 arroja como resultado una evidente conexión de sentido, o de justificación, entre el fin perseguido y los medios arbitrados para su consecución. Si aquél viene constituido por la supresión de las Cámaras como corporaciones de Derecho público, éstos se articulan en la supresión misma de tales instituciones (artículo único), en el establecimiento — mediante la pertinente habilitación y con sujeción a determinadas condiciones y principios— de un ámbito normativo que hará posible la cumplida desaparición de las Cámaras mediante la liquidación de su patrimonio y la reubicación de su personal (Disposición adicional única) y, por último, en la instauración de un régimen transitorio que será de aplicación en tanto no pueda operarse con el régimen definitivo cuya bases se perfilan en la Disposición adicional (Disposición transitoria única). Con el Decreto-ley 8/1994 se ha querido arbitrar el instrumento para la definitiva supresión jurídica (artículo único) de las Cámaras y para que las consecuencias jurídicas de esa supresión estuvieran ordenadas desde un principio y hasta donde lo hacía posible el hecho de que la disciplina última del proceso debiera articularse mediante el ejercicio de la acción reglamentaria del Gobierno, previamente habilitado al efecto por una norma con rango legal (Disposiciones adicional y transitoria).</w:t>
      </w:r>
    </w:p>
    <w:p w:rsidR="0025129F" w:rsidRDefault="0025129F" w:rsidP="0025129F">
      <w:pPr>
        <w:pStyle w:val="TextoNormal"/>
      </w:pPr>
    </w:p>
    <w:p w:rsidR="0025129F" w:rsidRDefault="0025129F" w:rsidP="0025129F">
      <w:pPr>
        <w:pStyle w:val="TextoNormal"/>
      </w:pPr>
      <w:r w:rsidRPr="0025129F">
        <w:rPr>
          <w:rStyle w:val="NumeroAFNegritaCaracter"/>
        </w:rPr>
        <w:t>8</w:t>
      </w:r>
      <w:r>
        <w:t>. El Decreto-ley 8/1994 se ha dictado, por tanto, para hacer frente a una situación que cabe calificar razonablemente como “urgente y necesaria”, en los términos exigidos por el artículo 86 de la Constitución. Procede, en consecuencia, examinar ahora el fundamento de los restantes motivos de inconstitucionalidad esgrimidos por los recurrentes.</w:t>
      </w:r>
    </w:p>
    <w:p w:rsidR="0025129F" w:rsidRDefault="0025129F" w:rsidP="0025129F">
      <w:pPr>
        <w:pStyle w:val="TextoNormal"/>
      </w:pPr>
      <w:r>
        <w:t xml:space="preserve">El primero de esos motivos tiene que ver con la pretendida afectación del régimen de las Comunidades Autónomas por parte del Decreto-ley impugnado. En realidad, las razones en las que se fundamenta este motivo impugnatorio tienen más bien que ver con los efectos que resultan del régimen de convalidación de los decretos-leyes en general, pues se sostiene que la marginación del Senado, Cámara de representación territorial, redunda en perjuicio de los intereses de las Comunidades Autónomas cuando por medio de un decreto-ley se incide en una materia sobre la que concurren competencias estatales y autonómicas. El argumento no puede ser más general y abstracto, por cuanto supone una objeción a la figura misma del decreto-ley y a la reiterada doctrina de este Tribunal referida a la posibilidad de que por medio de esa figura puedan establecerse, de manera excepcional, normas básicas sobre una materia compartida. Como los propios recurrentes reconocen —hasta el punto de que cifran finalmente su pretensión en un cambio de la doctrina de este Tribunal—, son ya varios los pronunciamientos en los que hemos afirmado que es posible que el decreto-ley, siempre que se cumplan los demás requisitos constitucionales exigibles, establezca disposiciones legislativas que contengan bases o normas básicas (así, SSTC 23/1993, de 21 de enero, y 225/1993, de 8 de julio). Al carácter básico de la supresión de las Cámaras de la Propiedad Urbana nos hemos referido ya en la STC 178/1994 [FJ 4 a)], Sentencia en la que se rechazó la concurrencia de los vicios de inconstitucionalidad competenciales imputados a la Disposición cuyo contenido se ha reproducido en el Decreto-ley que ahora enjuiciamos. En lo que aquí más importa, se dejó entonces sentado que la supresión de las Cámaras de la Propiedad Urbana como corporaciones de Derecho público tiene carácter básico, sin que nada impida que “el Estado, simultáneamente, adopte medidas sobre el personal y patrimonio de las mismas” [FJ 4 a)]; medidas que, como </w:t>
      </w:r>
      <w:r>
        <w:lastRenderedPageBreak/>
        <w:t>para el caso de las Cámaras Agrarias se dijo en la STC 132/1989, de 18 de julio (FJ 2), “han de regularse mínimamente, pudiendo, incluso, tener carácter básico alguna de ellas por deberse realizar de manera homogénea en todo el territorio nacional” [STC 178/1994, FJ 4 a)]. Así las cosas, es evidente que, en tanto que normación de carácter básico, no podemos decir de este Decreto-ley cosa distinta de lo que ya dijimos en aquella Sentencia y que, además, atendidas las razones que en los fundamentos precedentes han concluido en la concurrencia del presupuesto habilitante exigido por el artículo 86 de la Constitución, el Decreto-ley 8/1994 contiene normativa de carácter  básico plenamente conforme con las competencias autonómicas, por un lado, y con los límites temporales y sustantivos que la Constitución impone a los decretos-leyes, por otro.</w:t>
      </w:r>
    </w:p>
    <w:p w:rsidR="0025129F" w:rsidRDefault="0025129F" w:rsidP="0025129F">
      <w:pPr>
        <w:pStyle w:val="TextoNormal"/>
      </w:pPr>
    </w:p>
    <w:p w:rsidR="0025129F" w:rsidRDefault="0025129F" w:rsidP="0025129F">
      <w:pPr>
        <w:pStyle w:val="TextoNormal"/>
      </w:pPr>
      <w:r w:rsidRPr="0025129F">
        <w:rPr>
          <w:rStyle w:val="NumeroAFNegritaCaracter"/>
        </w:rPr>
        <w:t>9</w:t>
      </w:r>
      <w:r>
        <w:t>. En íntima relación con el anterior motivo impugnatorio se encuentra el reproche esgrimido por los recurrentes frente al Decreto-ley 8/1994 en relación con el artículo 147 de la Constitución, ya que consideran que la Disposición adicional del Decreto-ley invade las competencias de las Comunidades Autónomas sobre las corporaciones de Derecho público. Según los Senadores recurrentes, la STC 178/1994 no se pronunció sobre la norma de idéntico tenor literal que contenía la Disposición final décima de la Ley de Presupuestos Generales del Estado para 1990, por lo que la cuestión quedó sin resolver. A este respecto, entienden que la habilitación al Gobierno contenida en el primer inciso de la Disposición adicional única de la norma ahora impugnada (“Se faculta al Gobierno para que mediante Real Decreto establezca el régimen y destino del patrimonio y del personal de las Cámaras”), si bien no vulnera las competencias estrictamente ejecutivas de las Comunidades Autónomas, sí invade sus competencias de desarrollo normativo. En concreto, por no ser el procedimiento de inventario un procedimiento administrativo común, sino un procedimiento relativo a las especialidades vinculadas a las competencias de las Comunidades Autónomas, se aduce que la competencia para regular tal materia es autonómica y no estatal. El mismo carácter no básico se observaría respecto de los requisitos materiales del inventario. De modo que la habilitación al Gobierno contenida en el primer inciso de la Disposición adicional única sería contraria a todos los Estatutos de Autonomía en los que se prevea competencia autonómica respecto de las corporaciones de Derecho público y, por consiguiente, al artículo 147 de la Constitución.</w:t>
      </w:r>
    </w:p>
    <w:p w:rsidR="0025129F" w:rsidRDefault="0025129F" w:rsidP="0025129F">
      <w:pPr>
        <w:pStyle w:val="TextoNormal"/>
      </w:pPr>
      <w:r>
        <w:t xml:space="preserve">Como bien alega el Abogado del Estado, la STC 178/1994 resolvió expresamente las dudas de constitucionalidad suscitadas, desde la perspectiva competencial, por la Disposición final décima de la Ley 4/1990, entonces enjuiciada y hoy reproducida en la Disposición adicional del Decreto-ley 8/1994 que ahora estamos considerando. Y lo hizo en términos tan concluyentes que no puede quedar lugar para la incertidumbre. Contra lo afirmado por los recurrentes, la STC 178/1994 no obvió pronunciarse sobre la habilitación al Gobierno para regular los aspectos vinculados a la determinación del destino del patrimonio de las Cámaras; antes bien, en el fundamento jurídico 4 b) se afirmó con toda claridad que “el apartado 2 a) de la Disposición impugnada no vulnera el orden competencial.  Importa destacar, ante todo, que la Disposición impugnada no dice que sea el Estado quien procederá a ejecutar las medidas en cuestión (elaboración del inventario, formación de masas patrimoniales, etc.), sino que habilita al Gobierno para que regule la forma y requisitos por los que ha de regirse la Administración que sea competente para ello —estatal o autonómica— a la hora de ejecutar esas medidas”.  Era claro, en consecuencia, que esa habilitación se tenía por inobjetable.  Además, y a continuación, en el mismo fundamento jurídico se entra a examinar “el contenido del citado apartado” y se concluye que, “de acuerdo con lo que dijimos en nuestra STC 132/1989 (FJ 29), tiene, en principio, carácter </w:t>
      </w:r>
      <w:r>
        <w:lastRenderedPageBreak/>
        <w:t>básico el establecimiento de la finalidad que se asigna con carácter general al patrimonio de las Cámaras que se disuelven.  Ahora bien, ha de tenerse en cuenta que, en el presente caso, la finalidad que la Disposición impugnada señala es distinta según se trate de la masa patrimonial generada con cargo a la cuota obligatoria u otras actuaciones derivadas de obligaciones legales, o de la parte del patrimonio generada con ingresos diferentes a los antes citados. En el primer caso, la finalidad establecida por la Ley 4/1990 es el cumplimiento o realización de fines o servicios públicos; en el segundo es la adscripción a asociaciones sin ánimo de lucro que tengan como finalidad esencial la defensa, promoción e información de los propietarios y usuarios de viviendas urbanas. Por lo que hace al primero, el carácter facultativo del precepto (... lo “podrán” adscribir a aquellas asociaciones...)  implica que la asignación de la finalidad en este caso no es realmente básica, por no tener carácter obligatorio. Por lo que hace al segundo, la finalidad consistente en el cumplimiento o realización de fines o servicios públicos, si bien se trata de una decisión ciertamente básica, en cuanto pretende asegurar un destino común a dicho patrimonio, por el carácter genérico que tiene, deja a las Comunidades Autónomas un amplio margen para la concreción de ese destino público al que deben adscribirse los bienes de las extintas Cámaras de la Propiedad Urbana”.</w:t>
      </w:r>
    </w:p>
    <w:p w:rsidR="0025129F" w:rsidRDefault="0025129F" w:rsidP="0025129F">
      <w:pPr>
        <w:pStyle w:val="TextoNormal"/>
      </w:pPr>
      <w:r>
        <w:t>No puede admitirse, por tanto, que, como afirman en su escrito de demanda los Senadores recurrentes, “lo básico está, en efecto, fijado en los incisos segundo y tercero del mismo apartado [a) de la Disposición adicional del Decreto-ley 8/1994], pero lo que se remite a la regulación por el Gobierno no puede considerarse básico” (pág. 54 del escrito de demanda). La tan repetida STC 178/1994 ha resuelto la controversia sobre el particular en términos que, compartan o no los recurrentes, conforman una decisión firme de este Tribunal.</w:t>
      </w:r>
    </w:p>
    <w:p w:rsidR="0025129F" w:rsidRDefault="0025129F" w:rsidP="0025129F">
      <w:pPr>
        <w:pStyle w:val="TextoNormal"/>
      </w:pPr>
    </w:p>
    <w:p w:rsidR="0025129F" w:rsidRDefault="0025129F" w:rsidP="0025129F">
      <w:pPr>
        <w:pStyle w:val="TextoNormal"/>
      </w:pPr>
      <w:r w:rsidRPr="0025129F">
        <w:rPr>
          <w:rStyle w:val="NumeroAFNegritaCaracter"/>
        </w:rPr>
        <w:t>10</w:t>
      </w:r>
      <w:r>
        <w:t>. El Decreto-ley 8/1994 habría incurrido también —se aduce— en infracción del artículo 33.3 de la Constitución. Tal infracción resultaría del hecho de que con la regulación del destino de los bienes de las Cámaras, incluso de los no sometidos al régimen de Derecho público, incorporándolos al patrimonio de la Administración, se estaría ante una expoliación de bienes de titularidad privada contraria a aquel precepto constitucional; en consecuencia, el apartado a) de la Disposición adicional única sobrepasaría, también en este punto, los límites materiales señalados por el artículo 86.1 de la Constitución. El mismo reproche se hace a la decisión de no distinguir, a efectos de su incorporación al patrimonio de la Administración, entre el patrimonio generado por las Cámaras con cargo a la cuota obligatoria (suprimida en 1988) y el generado a partir de aportaciones privadas de carácter libre y voluntario.</w:t>
      </w:r>
    </w:p>
    <w:p w:rsidR="0025129F" w:rsidRDefault="0025129F" w:rsidP="0025129F">
      <w:pPr>
        <w:pStyle w:val="TextoNormal"/>
      </w:pPr>
      <w:r>
        <w:t>A esta objeción cabe oponer lo resuelto en el fundamento jurídico 4 b) de la STC 178/1994, antes transcrito. Pero, además, debe advertirse que el planteamiento argumental de los recurrentes no repara en el hecho de que las corporaciones de Derecho público son “entidades cuya creación y disolución se producen como consecuencia de la decisión del poder público” (STC 132/1989, de 18 de julio, FJ 18) y que el Decreto-ley 8/1994, como en su día —fallidamente— la Ley 4/1990, “suprime a las actuales Cámaras de la Propiedad Urbana del todo (esto es, como lo único que eran, corporaciones de Derecho público)” [STC 178/1994, FJ 4 a)]. Lo determinante, por tanto, es que, con independencia de su origen, el patrimonio generado por las Cámaras mientras éstas existieron era el patrimonio de una corporación de Derecho público; corporación a la que, obviamente, una vez suprimida, no era obligado indemnizar. Cosa distinta es que el origen del patrimonio cameral debiera ser utilizado como criterio relevante a la hora de ordenar el destino que había de dar</w:t>
      </w:r>
      <w:r>
        <w:lastRenderedPageBreak/>
        <w:t>se al conjunto de su patrimonio. Y en este sentido es difícil hacer algún reproche al Decreto-ley impugnado, pues precisamente se sirve de ese dato para adscribir una parte del patrimonio (el generado por la cuota obligatoria) al cumplimiento o realización de fines o servicios públicos, destinando la masa patrimonial restante para su adscripción a asociaciones sin ánimo de lucro que tengan como finalidad esencial la defensa, promoción e información de los propietarios y usuarios de viviendas urbanas.</w:t>
      </w:r>
    </w:p>
    <w:p w:rsidR="0025129F" w:rsidRDefault="0025129F" w:rsidP="0025129F">
      <w:pPr>
        <w:pStyle w:val="TextoNormal"/>
      </w:pPr>
    </w:p>
    <w:p w:rsidR="0025129F" w:rsidRDefault="0025129F" w:rsidP="0025129F">
      <w:pPr>
        <w:pStyle w:val="TextoNormal"/>
      </w:pPr>
      <w:r w:rsidRPr="0025129F">
        <w:rPr>
          <w:rStyle w:val="NumeroAFNegritaCaracter"/>
        </w:rPr>
        <w:t>11</w:t>
      </w:r>
      <w:r>
        <w:t>. Las tachas de inconstitucionalidad referidas al carácter deslegalizador del Decreto-ley recurrido tampoco pueden ser aceptadas. Sin perjuicio de cuanto se ha dicho en el fundamento jurídico 7 a propósito de la corrección constitucional de las habilitaciones —que no deslegalizaciones— que tienen por objeto hacer posible la instauración de un marco normativo en el que el Gobierno pueda desarrollar su potestad reglamentaria, basta con asumir aquí las razones opuestas al juicio de los recurrentes por el Abogado del Estado en su escrito de alegaciones. En efecto, el procedimiento de ejecución específico previsto en el Decreto-ley 8/1994 no equivale a una regulación general del procedimiento administrativo previsto en el artículo 105 de la Constitución, sin que pueda sostenerse que toda regulación que contemple procedimientos especiales quede, sin más y en términos absolutos, reservada exclusivamente a la ley. Por lo demás, no debe olvidarse que no estamos ante el procedimiento previo a los actos administrativos de relevancia externa, sino ante el ejercicio de potestades organizativas y relativas al régimen jurídico de las Administraciones públicas, pues se trata, precisamente, de proveer a la supresión de las Cámaras como corporaciones de Derecho público; condición ésta que es la que, según tenemos repetido, les corresponde, antes que la de entidades equivalentes a los colegios profesionales, según sostienen los actores.</w:t>
      </w:r>
    </w:p>
    <w:p w:rsidR="0025129F" w:rsidRDefault="0025129F" w:rsidP="0025129F">
      <w:pPr>
        <w:pStyle w:val="TextoNormal"/>
      </w:pPr>
      <w:r>
        <w:t>Igual suerte desestimatoria debe seguir, por último, la queja referida a la eventual infracción del principio constitucional de igualdad, derivadas del hecho de que el Decreto-ley 8/1994 separe en dos grupos el personal de las Cámaras a los efectos de su incorporación a la Administración. Los actores se limitan a sostener que el criterio de diferenciación adoptado “carece de toda justificación”. Frente a un alegato tan general y abstracto debe bastar con oponer el dato de que el criterio diferenciador entre uno y otro grupo de personal viene dado por la fecha de 1 de junio de 1990, es decir, por el primer día del mes en el que se hizo efectiva la supresión de las Cámaras como consecuencia de la entrada en vigor de la Ley 4/1990. No puede admitirse que se trate de un criterio arbitrario y por ello discriminatorio; antes al contrario, con él se pone de manifiesto que la finalidad del Decreto-ley recurrido era superar la incertidumbre generada por la reaparición jurídica de las Cámaras como consecuencia de la STC 178/1994 y restituir el panorama normativo al estado en que se encontraba al tiempo de producirse aquella primera y fallida supresión de las Cámaras de la Propiedad Urbana. Aquella fecha marca, en último término, un antes y un después de las Cámaras: el de su existencia como corporaciones de Derecho público y el de su supresión en cuanto tales y, por tanto, en cuanto todo lo que hasta entonces eran en y para el Ordenamiento. No puede apreciarse, por tanto, en su empleo como criterio diferenciador el defecto de inconstitucionalidad imputado por los Senadores recurrentes.</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los recursos de inconstitucionalidad núm. 3584/94 y 3592/94.</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diecisiete de enero de dos mil dos.</w:t>
      </w:r>
    </w:p>
    <w:p w:rsidR="0025129F" w:rsidRDefault="0025129F" w:rsidP="0025129F">
      <w:pPr>
        <w:pStyle w:val="ParrafoNormal"/>
      </w:pPr>
    </w:p>
    <w:p w:rsidR="0025129F" w:rsidRDefault="0025129F" w:rsidP="0025129F">
      <w:pPr>
        <w:pStyle w:val="TextoNormalNegritaCentrado"/>
        <w:keepNext/>
      </w:pPr>
      <w:r>
        <w:t>Voto concurrente que emite el Magistrado don Fernando Garrido Falla en relación con los recursos de inconstitucionalidad núms. 3584/94 y 3592/94.</w:t>
      </w:r>
    </w:p>
    <w:p w:rsidR="0025129F" w:rsidRDefault="0025129F" w:rsidP="0025129F">
      <w:pPr>
        <w:pStyle w:val="TextoNormalNegritaCentrado"/>
        <w:keepNext/>
      </w:pPr>
    </w:p>
    <w:p w:rsidR="0025129F" w:rsidRDefault="0025129F" w:rsidP="0025129F">
      <w:pPr>
        <w:pStyle w:val="TextoNormal"/>
      </w:pPr>
      <w:r>
        <w:t>He prestado mi conformidad al fallo desestimatorio de los referidos recursos de inconstitucionalidad sin perjuicio de que me considere en la obligación de manifestar mi discrepancia con una parte de la argumentación que se contiene en la Sentencia, especialmente en sus fundamentos jurídicos 10 y 11 al rechazar la alegación de los recurrentes relativa a la posible infracción del art. 33.3 de la Constitución Española. Expongo a continuación mis reservas mentales en relación con el tema:</w:t>
      </w:r>
    </w:p>
    <w:p w:rsidR="0025129F" w:rsidRDefault="0025129F" w:rsidP="0025129F">
      <w:pPr>
        <w:pStyle w:val="TextoNormal"/>
      </w:pPr>
      <w:r>
        <w:t>1.- Para rechazar la alegación de los recurrentes la Sentencia parte de la concepción de que la supresión de las Cámaras Oficiales de la Propiedad Urbana, en cuanto corporaciones de Derecho público, acarrea asimismo la supresión de la base asociativa que constituye el núcleo de estas corporaciones de Derecho público, lo que significa que la supresión de las Cámaras en cuanto tales corporaciones públicas que lleva a cabo el Decreto- ley impugnado conlleva la desaparición de las asociaciones privadas que constituyen su base asociativa. La consecuencia de tal concepción es obvia: la supresión de las Cámaras de la Propiedad Urbana suprime también la existencia de todo posible titular de la masa patrimonial existente, por lo que se considera correcta su disponibilidad por parte de las Administraciones públicas del Estado o de las Comunidades Autónomas y razonable la distribución que de ella se hace en la Disposición adicional única del Real Decreto-ley 8/1994, objeto de los recursos de inconstitucionalidad: la parte de patrimonio generada con cargo a las cuotas obligatorias de los asociados o de otras fuentes legalmente impuestas pasaría al patrimonio de las correspondientes Administraciones públicas (Comunidades Autónomas), mientras que la parte de patrimonio generada con otro tipo de ingresos no coactivos pasaría igualmente a disposición de las dichas Administraciones públicas “que lo podrán adscribir a aquellas asociaciones sin ánimo de lucro constituidos o que se constituyan y que tengan como finalidad esencial la defensa, promoción e información de los propietarios y usuarios de viviendas urbanas”.</w:t>
      </w:r>
    </w:p>
    <w:p w:rsidR="0025129F" w:rsidRDefault="0025129F" w:rsidP="0025129F">
      <w:pPr>
        <w:pStyle w:val="TextoNormal"/>
      </w:pPr>
      <w:r>
        <w:t>2.- Esta calificación jurídica de las Cámaras Oficiales de la Propiedad Urbana, que las asimila a los “entes instrumentales” (Administraciones públicas), no puedo compartirlas. Las corporaciones de Derecho público son fundamentalmente, a mi juicio, asociaciones privadas que como consecuencia de determinadas facultades exorbitantes que les concede el poder público, en atención a fines de intereses público que persiguen, adquieren la cualidad de corporaciones de Derecho público. El Estado (o las Comunidades Autónomas) mediante norma legal de rango suficiente podrá suprimir las facultades exorbitantes concedidas, degradándolas a la simple condición de asociaciones privadas; lo que no puede, siempre a mi juicio, es hacer desaparecer unas asociaciones protegidas por el art. 22 de la Constitución Española.</w:t>
      </w:r>
    </w:p>
    <w:p w:rsidR="0025129F" w:rsidRDefault="0025129F" w:rsidP="0025129F">
      <w:pPr>
        <w:pStyle w:val="TextoNormal"/>
      </w:pPr>
      <w:r>
        <w:lastRenderedPageBreak/>
        <w:t>3.- Es cierto que el texto final del proyecto de Sentencia sometido a votación del Pleno del Tribunal Constitucional ha rebajado el énfasis dogmático que acabo de resumir con anterioridad y que incluso permite una interpretación de la Sentencia aprobada en el sentido de que el patrimonio de las suprimidas Cámaras no procedentes de cuotas obligatorias y otras fuentes coactivas sea destinado a las nuevas Cámaras (sin carácter ya de corporaciones públicas) que voluntariamente —y al amparo del derecho de asociación— deseen subsistir o crearse ex novo (y manifiesto que esta posible y probable interpretación del precepto legal impugnado es la que justifica mi voto favorable); pero también es cierto que de la primitiva concepción que me inspiraba la ponencia sometida al Pleno del Tribunal Constitucional aún subsisten determinados “lastres” respecto de las cuales manifiesto mi disconformidad. Así:</w:t>
      </w:r>
    </w:p>
    <w:p w:rsidR="0025129F" w:rsidRDefault="0025129F" w:rsidP="0025129F">
      <w:pPr>
        <w:pStyle w:val="TextoNormal"/>
      </w:pPr>
      <w:r>
        <w:t>a) En el fundamento jurídico 10 se dice que (si bien con discutible apoyo en la Sentencia 178/1994) el Decreto-ley 8/1994 “suprime a las actuales Cámaras de la Propiedad Urbana del todo (esto es, como lo único que eran, corporaciones de Derecho público”).</w:t>
      </w:r>
    </w:p>
    <w:p w:rsidR="0025129F" w:rsidRDefault="0025129F" w:rsidP="0025129F">
      <w:pPr>
        <w:pStyle w:val="TextoNormal"/>
      </w:pPr>
      <w:r>
        <w:t>b) En el fundamento jurídico 11 se finaliza el párrafo primero afirmando que estamos “ante el ejercicio de potestades organizativas y relativas al régimen jurídico de las Administraciones públicas, pues se trata, precisamente, de proveer a la supresión de las Cámaras como corporaciones de Derecho público; condición ésta que es la que, según tenemos repetido les corresponde, antes que la de entidades equivalentes a los colegios profesionales, según sostienen los actores”.</w:t>
      </w:r>
    </w:p>
    <w:p w:rsidR="0025129F" w:rsidRDefault="0025129F" w:rsidP="0025129F">
      <w:pPr>
        <w:pStyle w:val="TextoNormal"/>
      </w:pPr>
      <w:r>
        <w:t>De lo manifestado en este Voto particular se desprende que no puedo estar conforme con las manifestaciones que resumo en los apartados a) y b) que identifican a las Cámaras Oficiales con los meros organismos autónomos (entes instrumentales) de las Administraciones públicas y los alejan de la administración corporativa a la que también pertenecen, por supuesto, los colegios profesionales.</w:t>
      </w:r>
    </w:p>
    <w:p w:rsidR="0025129F" w:rsidRDefault="0025129F" w:rsidP="0025129F">
      <w:pPr>
        <w:pStyle w:val="TextoNormal"/>
      </w:pPr>
      <w:r>
        <w:t>Madrid, a diecisiete de enero de dos mil dos.</w:t>
      </w:r>
    </w:p>
    <w:p w:rsidR="0025129F" w:rsidRDefault="0025129F" w:rsidP="0025129F">
      <w:pPr>
        <w:pStyle w:val="TextoNormal"/>
      </w:pPr>
    </w:p>
    <w:p w:rsidR="0025129F" w:rsidRDefault="0025129F" w:rsidP="0025129F">
      <w:pPr>
        <w:pStyle w:val="TextoNormalNegritaCentrado"/>
        <w:keepNext/>
      </w:pPr>
      <w:r>
        <w:t>Voto particular que suscribe el Magistrado don Pablo García Manzano en relación con la Sentencia dictada en los recursos de inconstitucionalidad núms.  3584/94 y 3592/94.</w:t>
      </w:r>
    </w:p>
    <w:p w:rsidR="0025129F" w:rsidRDefault="0025129F" w:rsidP="0025129F">
      <w:pPr>
        <w:pStyle w:val="TextoNormalNegritaCentrado"/>
        <w:keepNext/>
      </w:pPr>
    </w:p>
    <w:p w:rsidR="0025129F" w:rsidRDefault="0025129F" w:rsidP="0025129F">
      <w:pPr>
        <w:pStyle w:val="TextoNormal"/>
      </w:pPr>
      <w:r>
        <w:t>Acepto los cinco primeros fundamentos jurídicos de la Sentencia aprobada por la mayoría, pues mi disenso se produce respecto de la afirmación contenida en el fundamento jurídico 6 de aquélla, a cuyo tenor “no cabe sino apreciar que, con arreglo a la doctrina constitucional antes citada, la situación normativa a que dio lugar la referida STC 178/1994, con la declaración de inconstitucionalidad y nulidad de la Disposición final décima de la Ley 4/1990 reúne las condiciones suficientes para erigirse en presupuesto habilitante a los efectos del artículo 86 de la Constitución”.</w:t>
      </w:r>
    </w:p>
    <w:p w:rsidR="0025129F" w:rsidRDefault="0025129F" w:rsidP="0025129F">
      <w:pPr>
        <w:pStyle w:val="TextoNormal"/>
      </w:pPr>
      <w:r>
        <w:t>Entiendo, por el contrario, que no concurre el controvertido presupuesto habilitante de la extraordinaria y urgente necesidad, y ello por las razones que, expuestas en el Pleno y no aceptadas, a continuación paso a desarrollar.</w:t>
      </w:r>
    </w:p>
    <w:p w:rsidR="0025129F" w:rsidRDefault="0025129F" w:rsidP="0025129F">
      <w:pPr>
        <w:pStyle w:val="TextoNormal"/>
      </w:pPr>
      <w:r>
        <w:t xml:space="preserve">1. Tanto del tenor literal de la Exposición de Motivos, como de lo manifestado en el trámite parlamentario de convalidación, se desprende inequívocamente que la situación considerada urgente por el Gobierno tenía su razón de ser en la imperiosa necesidad, por un lado, de poner término a la situación de provisionalidad del personal y del patrimonio de las Cámaras, y, por otro, de remediar el posible vacío normativo a que podía haber dado lugar la declaración de inconstitucionalidad y nulidad de la Disposición final décima de </w:t>
      </w:r>
      <w:r>
        <w:lastRenderedPageBreak/>
        <w:t>la Ley de Presupuestos Generales del Estado para 1990, llevada a cabo por nuestra STC 178/1994, de 16 de junio.</w:t>
      </w:r>
    </w:p>
    <w:p w:rsidR="0025129F" w:rsidRDefault="0025129F" w:rsidP="0025129F">
      <w:pPr>
        <w:pStyle w:val="TextoNormal"/>
      </w:pPr>
      <w:r>
        <w:t>No ha de negarse, sin embargo, que la situación de “provisionalidad” del personal y de los bienes tuvo su origen y causa primera en la demora en que incurrió el Gobierno al incumplir el mandato legal por el que se le habilitaba y ordenaba regular mediante Real Decreto el régimen jurídico del personal y de los bienes adscritos a las extintas Cámaras de la Propiedad Urbana. Fue la inactividad del Ejecutivo y el desconocimiento del deber de normación que las Cortes Generales le había impuesto el factor desencadenante de una situación, que se toleró por largo tiempo y que, sólo mucho después, es califica de urgente con el propósito de justificar la utilización del Decreto-ley.</w:t>
      </w:r>
    </w:p>
    <w:p w:rsidR="0025129F" w:rsidRDefault="0025129F" w:rsidP="0025129F">
      <w:pPr>
        <w:pStyle w:val="TextoNormal"/>
      </w:pPr>
      <w:r>
        <w:t>Por ello mismo, no se comprende que para justificar el retraso en la elaboración de dicha norma reglamentaria, destinada a remediar una situación calificada por el propio Gobierno como “de transitoriedad” y que estaba provocando el “deterioro” de las Cámaras de la Propiedad Urbana (expresiones que se toman de la Exposición de Motivos del Real Decreto-ley 8/1994) se utilice como argumento la implicación de diversos Ministerios, la dualidad de regímenes del personal y patrimoniales y el obligado trámite de consulta al Consejo de Estado. Tales circunstancias no son en absoluto infrecuentes o extraordinarias en el ejercicio de la potestad reglamentaria del Gobierno, y por consiguiente no pueden invocarse como causa de justificación para un período de inactividad normativa de prácticamente cuatro años.</w:t>
      </w:r>
    </w:p>
    <w:p w:rsidR="0025129F" w:rsidRDefault="0025129F" w:rsidP="0025129F">
      <w:pPr>
        <w:pStyle w:val="TextoNormal"/>
      </w:pPr>
      <w:r>
        <w:t>2. A estos efectos, importa señalar que la situación que se quería remediar no era en absoluto “difícil o imposible de prever”, dado que el estado de cosas al que se pretendía hacer frente era conocido por el Gobierno desde el año 1990 y, pese a ello, había permanecido inalterado desde entonces. Sólo incurriendo en contradicción puede sostenerse que había una necesidad urgente y extraordinaria en la “regulación a través de instrumento jurídico pertinente del destino del personal y del patrimonio”, según puede leerse en la Exposición de Motivos que acompañó al Real Decreto-ley 8/1994, cuando el propio Gobierno autor de la norma había dejado transcurrir cuatro años sin dictar, pudiendo hacerlo, esa regulación que, sin embargo, sólo en el momento de dictarse el Real Decreto-ley 8/1994 se consideró urgente. En segundo lugar, tampoco puede decirse que la situación de las Cámaras de la Propiedad Urbana fuese el resultado de una circunstancia sorpresiva e inesperada que requiriese una intervención normativa inmediata. Antes bien, la supresión de las Cámaras de la Propiedad Urbana y su Consejo Superior como corporaciones de Derecho público llevada a efecto por la Disposición final décima de la Ley 4/1990, de Presupuestos Generales del Estado, no fue más que una esperada y anunciada consecuencia normativa que puso término a un continuo proceso de modificación y reforma ya iniciado en el año 1988, de suerte que, desde una perspectiva material, el régimen transitorio por el que se debía regir su patrimonio y personal ya se venía aplicando antes de la declaración formal contenida en dicho precepto legal.</w:t>
      </w:r>
    </w:p>
    <w:p w:rsidR="0025129F" w:rsidRDefault="0025129F" w:rsidP="0025129F">
      <w:pPr>
        <w:pStyle w:val="TextoNormal"/>
      </w:pPr>
      <w:r>
        <w:t>3. Por último, no se comprende en qué modo la medida legislativa adoptada por el Gobierno, esto es, el Real Decreto-ley 8/1994 venía directamente a solucionar o satisfacer el estado de urgencia que se había apreciado. En efecto, si lo que se pretendía era “evitar un mayor deterioro de la situación de dichas entidades y concretar las expectativas creadas a su personal, regular a través del instrumento jurídico pertinente el destino del personal y del patrimonio de las Cámaras”, entonces, la norma impugnada no atendió a dicha necesidad de regulación inmediata porque se limitó a dar nueva vigencia a la Disposición final décima de la Ley de Presupuestos Generales del Estado para 1990 y, por consiguiente, no reguló de manera sustantiva el destino de los bienes y la situación del personal. Si, en ver</w:t>
      </w:r>
      <w:r>
        <w:lastRenderedPageBreak/>
        <w:t>dad, existía una situación de necesidad y urgencia, el Gobierno debió poner remedio a la misma a través del Decreto-ley, y no, como sin embargo hizo, dando nueva vigencia a una anterior e incumplida habilitación, pues, desde la perspectiva de la debida apreciación del presupuesto habilitante de la extraordinaria y urgente necesidad, carece de toda lógica que, en circunstancias como la descrita, el Gobierno utilice la figura normativa excepcional del Decreto-ley para habilitar, sin sometimiento a plazo, el ejercicio de su propia potestad reglamentaria.</w:t>
      </w:r>
    </w:p>
    <w:p w:rsidR="0025129F" w:rsidRDefault="0025129F" w:rsidP="0025129F">
      <w:pPr>
        <w:pStyle w:val="TextoNormal"/>
      </w:pPr>
      <w:r>
        <w:t>4. Por otra parte, el eventual vacío normativo producido como consecuencia de la declaración de inconstitucionalidad y nulidad de la Disposición final décima de la Ley 4/1990, de Presupuestos Generales del Estado, efectuada por la STC 178/1994 tampoco salva, en este caso, la justificación gubernamental de la necesidad y urgencia existente en orden a regular mediante reglamento el destino del personal y del patrimonio de las Cámaras.  Difícilmente se puede apreciar una extraordinaria y urgente necesidad en que la habilitación de las Cortes para regular por Real Decreto el destino de los bienes y del personal de las Cámaras de la Propiedad Urbana vuelva a estar de nuevo en vigor con carácter inmediato, cuando ya lo había estado durante cuatro años sin que el Gobierno se ocupase de hacer uso de ella. Pero más relevante resulta a estos efectos comprobar que, en la práctica, la STC 178/1994, de 16 de junio, apenas supuso variación alguna en la situación real de las Cámaras, puesto que, a tenor del párrafo 3 de la Disposición final décima de la Ley de Presupuestos Generales del Estado para 1990, anulada por aquélla, “hasta tanto entre en vigor la regulación prevista en el apartado anterior, las Cámaras seguirán rigiéndose por la normativa que les sea de aplicación”. Un precepto que, como queda dicho, la Disposición transitoria única del Real Decreto-ley impugnado reiteró literalmente. En consecuencia, y a la vista de la inexistencia de regulación, el mero cambio de estatuto o de forma de personificación (corporaciones públicas hasta junio de 1990, entes privados —de adscripción voluntaria ya desde 1989— entre junio de 1990 y junio de 1994, y de nuevo corporaciones públicas entre el 9 de julio de 1994 y el 8 de agosto del mismo año) no comportó una alteración significativa en el régimen jurídico sustantivo o material del patrimonio o del personal de las Cámaras, por lo que los cambios habidos no revestían la trascendencia necesaria para la utilización del Decreto-ley.</w:t>
      </w:r>
    </w:p>
    <w:p w:rsidR="0025129F" w:rsidRDefault="0025129F" w:rsidP="0025129F">
      <w:pPr>
        <w:pStyle w:val="TextoNormal"/>
      </w:pPr>
      <w:r>
        <w:t>5. Todo lo anterior confirma la impresión que se desprende de la sola lectura del Decreto-ley impugnado, en el sentido de que la única medida normativa en él adoptada no era “de eficacia inmediata” ni implicaba un “tratamiento innovativo de una materia regulada por ley formal” (STC 29/1982, de 31 de mayo, FJ 6), por lo que no existió la indispensable “conexión de sentido o relación de adecuación entre la situación definida que constituye el presupuesto habilitante y las medidas que en el Decreto-ley se adoptan (SSTC 29/1982, de 31 de mayo, FJ 3, y 111/1983, de 2 de diciembre, FJ 5) de manera que estas últimas guarden una relación directa o de congruencia con la situación que se trata de afrontar” (STC 182/1997, de 28 de octubre, FJ 3).</w:t>
      </w:r>
    </w:p>
    <w:p w:rsidR="0025129F" w:rsidRDefault="0025129F" w:rsidP="0025129F">
      <w:pPr>
        <w:pStyle w:val="TextoNormal"/>
      </w:pPr>
      <w:r>
        <w:t>El Real Decreto-ley 8/1994 no tuvo, ni en vista de sus contenidos podía tener, una repercusión inmediata sobre la situación de “provisionalidad” y “deterioro” declarada por el Gobierno, de suerte que no sólo no existió suficiente conexión de sentido o relación de adecuación entre la situación sedicentemente urgente y las medidas adoptadas.  Antes bien, mediante dicha norma el Gobierno actuó de un modo declarado constitucionalmente inaceptable por la STC 29/1982, según la cual aquél “no puede incluir en el Decreto-ley cualquier género de disposiciones: ni aquéllas que, por su contenido y de manera evidente, no guarden relación alguna, directa ni indirecta, con la situación que se trata de afrontar ni, muy especialmente, aquéllas que, por su estructura misma, independientemente de su con</w:t>
      </w:r>
      <w:r>
        <w:lastRenderedPageBreak/>
        <w:t>tenido, no modifican de manera instantánea la situación jurídica existente, pues de ellas difícilmente podrá predicarse la justificación de la extraordinaria y urgente necesidad” (FJ 3).</w:t>
      </w:r>
    </w:p>
    <w:p w:rsidR="0025129F" w:rsidRDefault="0025129F" w:rsidP="0025129F">
      <w:pPr>
        <w:pStyle w:val="TextoNormal"/>
      </w:pPr>
      <w:r>
        <w:t>Por todo ello, ha de concluirse que el Real Decreto-ley recurrido no respondió a la necesidad extraordinaria de hacer frente a un estado de cosas difícil o imposible de prever, ni contenía normas sustantivas inmediatamente eficaces que modificasen la situación jurídica entonces existente, y que requería, según el Gobierno, de una respuesta normativa urgente. Antes bien, el objeto indubitado del mencionado Decreto-ley fue el de habilitar de nuevo al Gobierno en términos del todo coincidentes a como lo había hecho la Disposición final décima de la Ley 4/1990, de Presupuestos Generales del Estado, de la que es prácticamente una reproducción literal.</w:t>
      </w:r>
    </w:p>
    <w:p w:rsidR="0025129F" w:rsidRDefault="0025129F" w:rsidP="0025129F">
      <w:pPr>
        <w:pStyle w:val="TextoNormal"/>
      </w:pPr>
      <w:r>
        <w:t>El instrumento normativo del Decreto-ley no puede ser utilizado por el Gobierno para habilitarse a sí mismo sin ninguna otra determinación o regulación sustantiva que justifique esa remisión a la potestad reglamentaria, pues, con tal proceder, no sólo se desconoce su propia razón de ser como medio de ejercicio excepcional de la potestad legislativa por parte del Poder Ejecutivo, sino que, además, se contradice la lógica ínsita al presupuesto habilitante de su ejercicio, con quiebra de la necesaria y obligada conexión de sentido que ha de existir entre la circunstancia fáctica causante de la situación de extraordinaria y urgente necesidad y las medidas normativas excepcionalmente instrumentadas por el Gobierno.</w:t>
      </w:r>
    </w:p>
    <w:p w:rsidR="0025129F" w:rsidRDefault="0025129F" w:rsidP="0025129F">
      <w:pPr>
        <w:pStyle w:val="TextoNormal"/>
      </w:pPr>
      <w:r>
        <w:t>Si el Gobierno aprecia necesidad y urgencia en acometer la regulación normativa de una determinada materia no excluida por el art. 86 de la Constitución, debe aquél aprobar la pertinente regulación mediante Decreto-ley y hacer frente a la situación inaplazable, pues el Decreto-ley no ha sido constitucionalmente previsto para dar cobertura a una mera declaración formal carente, en términos jurídicos, de toda dimensión innovativa, ni, como es el caso, para cobijar una estricta habilitación legal, huérfana de cualesquiera otra medida normativa, y por la que el Gobierno se autorizaba a sí mismo para aprobar, en el ejercicio de su potestad reglamentaria y sin sometimiento a plazo determinado, una regulación que, sin embargo era paradójicamente calificada de necesaria y urgente a los solos efectos de justificar la utilización del Decreto-ley.  En tales circunstancias aparece clara, en mi criterio, la incongruencia o falta de conexión lógica que se produce entre la medida contenida en el Decreto-ley y el presupuesto habilitante de la extraordinaria necesidad y urgencia que la Constitución exige, que, por todo ello, ha de estimarse incumplido en casos como el presente (STC 29/1982).</w:t>
      </w:r>
    </w:p>
    <w:p w:rsidR="0025129F" w:rsidRDefault="0025129F" w:rsidP="0025129F">
      <w:pPr>
        <w:pStyle w:val="TextoNormal"/>
      </w:pPr>
      <w:r>
        <w:t>6. En virtud de todo lo expuesto, entiendo que se debió concluir que el Gobierno, al aprobar el Real Decreto-ley 8/1994, hizo un uso contrario a la Constitución de su potestad legislativa excepcional, pues no concurría la extraordinaria urgencia y necesidad que, como presupuesto habilitante de su ejercicio, exige el art. 86.1 de la Constitución. Por tanto, la apreciación de este primer motivo de inconstitucionalidad hace innecesario cualquier otro pronunciamiento sobre los demás motivos impugnatorios alegados por los recurrentes, que debieron, por ello, quedar imprejuzgados.</w:t>
      </w:r>
    </w:p>
    <w:p w:rsidR="0025129F" w:rsidRDefault="0025129F" w:rsidP="0025129F">
      <w:pPr>
        <w:pStyle w:val="TextoNormal"/>
      </w:pPr>
      <w:r>
        <w:t>7. En consecuencia, el fallo debió pronunciar, con la estimación de los recursos de inconstitucionalidad, la inconstitucionalidad y nulidad del Real Decreto-ley 8/1994, de 5 de agosto.</w:t>
      </w:r>
    </w:p>
    <w:p w:rsidR="0025129F" w:rsidRDefault="0025129F" w:rsidP="0025129F">
      <w:pPr>
        <w:pStyle w:val="TextoNormal"/>
      </w:pPr>
      <w:r>
        <w:t>Y para dejar constancia de mi disentimiento, al amparo de lo prevenido en el art. 90.2 LOTC, suscribo el presente Voto particular en Madrid, a diecisiete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5" w:name="SENTENCIA_2002_12"/>
      <w:r>
        <w:lastRenderedPageBreak/>
        <w:t>SENTENCIA 12/2002, de 28 de enero de 2002</w:t>
      </w:r>
    </w:p>
    <w:bookmarkEnd w:id="15"/>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ECLI:ES:TC:2002:12</w:t>
      </w:r>
    </w:p>
    <w:p w:rsidR="0025129F" w:rsidRDefault="0025129F" w:rsidP="0025129F">
      <w:pPr>
        <w:pStyle w:val="SntesisDescriptiva"/>
      </w:pPr>
    </w:p>
    <w:p w:rsidR="0025129F" w:rsidRDefault="0025129F" w:rsidP="0025129F">
      <w:pPr>
        <w:pStyle w:val="SntesisDescriptiva"/>
      </w:pPr>
      <w:r>
        <w:t>Recurso de amparo 4223/97. Promovido por don Alexander Fowler frente al Auto de la Sala de lo Penal del Tribunal Supremo y la Sentencia de la Audiencia Provincial de Palma de Mallorca que dieron lugar a su condena por un delito de violación.</w:t>
      </w:r>
    </w:p>
    <w:p w:rsidR="0025129F" w:rsidRDefault="0025129F" w:rsidP="0025129F">
      <w:pPr>
        <w:pStyle w:val="SntesisDescriptiva"/>
      </w:pPr>
    </w:p>
    <w:p w:rsidR="0025129F" w:rsidRDefault="0025129F" w:rsidP="0025129F">
      <w:pPr>
        <w:pStyle w:val="SntesisAnaltica"/>
      </w:pPr>
      <w:r>
        <w:t>Supuesta vulneración de los derechos a la tutela judicial efectiva (acceso al recurso penal) y a la presunción de inocencia: inadmisión de recurso de casación penal y derecho a la revisión de los fallos penales; víctima y testigos que no declararon en el juicio, pero médicos y mordisco que ofrecen prueba de cargo.</w:t>
      </w:r>
    </w:p>
    <w:p w:rsidR="0025129F" w:rsidRDefault="0025129F" w:rsidP="0025129F">
      <w:pPr>
        <w:pStyle w:val="SntesisAnaltica"/>
      </w:pPr>
    </w:p>
    <w:p w:rsidR="0025129F" w:rsidRDefault="0025129F" w:rsidP="0025129F">
      <w:pPr>
        <w:pStyle w:val="Extracto"/>
      </w:pPr>
      <w:r>
        <w:t>1.</w:t>
      </w:r>
      <w:r>
        <w:tab/>
        <w:t>La condena se sustentó en pruebas válidas de cargo de las cuales extrae el órgano judicial  la conclusión de la culpabilidad del acusado, de modo que no se ha producido una valoración conjunta de aquellas pruebas cuya invalidez hemos declarado [FJ 5].</w:t>
      </w:r>
    </w:p>
    <w:p w:rsidR="0025129F" w:rsidRDefault="0025129F" w:rsidP="0025129F">
      <w:pPr>
        <w:pStyle w:val="Extracto"/>
      </w:pPr>
    </w:p>
    <w:p w:rsidR="0025129F" w:rsidRDefault="0025129F" w:rsidP="0025129F">
      <w:pPr>
        <w:pStyle w:val="Extracto"/>
      </w:pPr>
      <w:r>
        <w:t>2.</w:t>
      </w:r>
      <w:r>
        <w:tab/>
        <w:t>Las declaraciones sumariales de la denunciante, y las prestadas por los testigos que no comparecieron al acto del juicio, no son pruebas válidas que puedan desvirtuar la presunción de inocencia, pues no estuvo garantizada la posibilidad de contradicción del imputado (SSTC 80/1986, 49/1998, 2/2002) [FJ 4].</w:t>
      </w:r>
    </w:p>
    <w:p w:rsidR="0025129F" w:rsidRDefault="0025129F" w:rsidP="0025129F">
      <w:pPr>
        <w:pStyle w:val="Extracto"/>
      </w:pPr>
    </w:p>
    <w:p w:rsidR="0025129F" w:rsidRDefault="0025129F" w:rsidP="0025129F">
      <w:pPr>
        <w:pStyle w:val="Extracto"/>
      </w:pPr>
      <w:r>
        <w:t>3.</w:t>
      </w:r>
      <w:r>
        <w:tab/>
        <w:t>La aplicación al procesado del Código penal anterior por resultar más favorable es una decisión suficientemente razonada, expresamente fundada en la legalidad aplicable, ajena totalmente a criterios de arbitrariedad y no incursa en error patente [FJ 6].</w:t>
      </w:r>
    </w:p>
    <w:p w:rsidR="0025129F" w:rsidRDefault="0025129F" w:rsidP="0025129F">
      <w:pPr>
        <w:pStyle w:val="Extracto"/>
      </w:pPr>
    </w:p>
    <w:p w:rsidR="0025129F" w:rsidRDefault="0025129F" w:rsidP="0025129F">
      <w:pPr>
        <w:pStyle w:val="Extracto"/>
      </w:pPr>
      <w:r>
        <w:t>4.</w:t>
      </w:r>
      <w:r>
        <w:tab/>
        <w:t>La previsión de inadmisión por manifiesta carencia de fundamento en sede de casación penal no afecta per se al derecho a la tutela judicial efectiva (AATC 369/1996, 105/1999) [FJ 2].</w:t>
      </w:r>
    </w:p>
    <w:p w:rsidR="0025129F" w:rsidRDefault="0025129F" w:rsidP="0025129F">
      <w:pPr>
        <w:pStyle w:val="Extracto"/>
      </w:pPr>
    </w:p>
    <w:p w:rsidR="0025129F" w:rsidRDefault="0025129F" w:rsidP="0025129F">
      <w:pPr>
        <w:pStyle w:val="Extracto"/>
      </w:pPr>
      <w:r>
        <w:t>5.</w:t>
      </w:r>
      <w:r>
        <w:tab/>
        <w:t>Cuando del estudio de la Sentencia condenatoria se deriva una detallada motivación del valor probatorio de cada uno de los medios de prueba, el Tribunal puede ejercer su control constitucional sin necesidad de reenvío a los órganos judiciales para una nueva valoración (SSTC 161/1999, 136/2000) [FJ 5].</w:t>
      </w:r>
    </w:p>
    <w:p w:rsidR="0025129F" w:rsidRDefault="0025129F" w:rsidP="0025129F">
      <w:pPr>
        <w:pStyle w:val="Extracto"/>
      </w:pPr>
    </w:p>
    <w:p w:rsidR="0025129F" w:rsidRDefault="0025129F" w:rsidP="0025129F">
      <w:pPr>
        <w:pStyle w:val="Extracto"/>
      </w:pPr>
      <w:r>
        <w:t>6.</w:t>
      </w:r>
      <w:r>
        <w:tab/>
        <w:t>Derecho a la tutela judicial efectiva en su vertiente de acceso al recurso penal (SSTC 184/1997, 64/2001) [FJ 2].</w:t>
      </w:r>
    </w:p>
    <w:p w:rsidR="0025129F" w:rsidRDefault="0025129F" w:rsidP="0025129F">
      <w:pPr>
        <w:pStyle w:val="Extracto"/>
      </w:pPr>
    </w:p>
    <w:p w:rsidR="0025129F" w:rsidRDefault="0025129F" w:rsidP="0025129F">
      <w:pPr>
        <w:pStyle w:val="Extracto"/>
      </w:pPr>
      <w:r>
        <w:t>7.</w:t>
      </w:r>
      <w:r>
        <w:tab/>
        <w:t>Cuando se impugna en amparo una resolución judicial confirmatoria de otras, han de tenerse también por recurridas las precedentes resoluciones confirmadas, aunque las mismas no lo hayan sido de forma expresa (SSTC 97/1999, 209/2001) [FJ 1].</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4223/97, promovido por don Alexander Fowler, representado por el Procurador de los Tribunales don Pedro Antonio González Sánchez y asistido por el Letrado don Jaime Suau Morey, contra el Auto dictado por la Sala de lo Penal del Tribunal Supremo el 17 de septiembre de 1997, que resolvió no haber lugar a la admisión del recurso de casación núm. 719/97, formulado contra la Sentencia dictada por la Sección Segunda de la Audiencia Provincial de Palma de Mallorca el 24 de diciembre de 1996, en causa seguida por delito de violación. Ha intervenido el Ministerio Fiscal y ha sido Ponente el Magistrado don Roberto García-Calvo y Montiel,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el 23 de octubre de 1997, el Procurador de los Tribunales don Pedro Antonio González Sánchez, en nombre y representación de don Alexander Fowler, formuló recurso de amparo contra el Auto de la Sala de lo Penal del Tribunal Supremo, de fecha 17 de septiembre de 1997, que declaró no haber lugar a la admisión del recurso de casación núm. 719/97, formalizado contra la Sentencia dictada por la Sección Segunda de la Audiencia Provincial de Palma de Mallorca el 24 de diciembre de 1996.</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que fundamentan la demanda de amparo son, en síntesis, los siguientes: </w:t>
      </w:r>
    </w:p>
    <w:p w:rsidR="0025129F" w:rsidRDefault="0025129F" w:rsidP="0025129F">
      <w:pPr>
        <w:pStyle w:val="TextoNormal"/>
      </w:pPr>
      <w:r>
        <w:t xml:space="preserve">a) Contra el ahora demandante de amparo don Alexander Fowler, ciudadano de nacionalidad británica, fue instruido el sumario ordinario núm. 4/94 del Juzgado de Instrucción núm. 4 de Manacor, por presunto delito de violación, en el que con fecha 24 de diciembre de 1996 la Sección Segunda de la Audiencia Provincial de Palma de Mallorca dictó Sentencia por la que le condenó, como autor responsable de un delito de violación, a la pena de doce años y un día de reclusión menor e inhabilitación absoluta durante el tiempo de la condena, así como al pago de las costas procesales. </w:t>
      </w:r>
    </w:p>
    <w:p w:rsidR="0025129F" w:rsidRDefault="0025129F" w:rsidP="0025129F">
      <w:pPr>
        <w:pStyle w:val="TextoNormal"/>
      </w:pPr>
      <w:r>
        <w:t xml:space="preserve">En la mencionada Sentencia (fundamento jurídico primero), la Audiencia Provincial valora la prueba del modo siguiente: </w:t>
      </w:r>
    </w:p>
    <w:p w:rsidR="0025129F" w:rsidRDefault="0025129F" w:rsidP="0025129F">
      <w:pPr>
        <w:pStyle w:val="TextoNormal"/>
      </w:pPr>
      <w:r>
        <w:t xml:space="preserve">"Los hechos declarados probados han sido determinados por la apreciación, en conciencia, de todas las pruebas practicadas, entre las que destacan: </w:t>
      </w:r>
    </w:p>
    <w:p w:rsidR="0025129F" w:rsidRDefault="0025129F" w:rsidP="0025129F">
      <w:pPr>
        <w:pStyle w:val="TextoNormal"/>
      </w:pPr>
      <w:r>
        <w:t xml:space="preserve">A) las declaraciones de la propia víctima en las dependencias judiciales y ante la Guardia Civil al poco tiempo de producirse los hechos, y a pesar de no haber comparecido a </w:t>
      </w:r>
      <w:r>
        <w:lastRenderedPageBreak/>
        <w:t xml:space="preserve">juicio en forma reiterada, que presentó denuncia a las 10'20 horas cuando la agresión había tenido lugar seis horas antes, ya refirió que celebraba su cumpleaños en el bar donde trabajaba el procesado, así como que fue a buscar a su compañero Mark al Pub 'Picadilly's' que encontró cerrado, todo ello coincidente, concordado y corroborado, aunque este Tribunal no adjudica verosimilitud a la recepción de un golpe en la cabeza y consiguiente estado inconsciente para luego detallar los hechos integrantes de la agresión sexual. Lo cierto es que al disminuir los efectos del alcohol ya se encontró en la terraza, a la que accedió arrastrada por el procesado hasta su interior, presentando hematomas en rodillas y caderas, situada en la planta segunda y de fácil acceso desde la calle, con pasamanos y suficiente amplitud para tres personas, mientras previamente se habían besado y efectuado torcimientos en diversas partes corporales; y que amplió su denuncia, aún nerviosa y llorosa por la concedida de hechos, denuncias y reconocimientos médicos en breve tiempo, identificando al testigo Sr. De Jong, y detalla como el procesado ejercía fuerza sobre ella, dejándola indefensa, al bajarle los pantalones y las bragas, agarrarle las manos por detrás de su cabeza, penetrarla vaginal y analmente e introducirle el pene en la boca, mostrar hematomas en rodillas y de existencia de arrastre sobre arenilla y musgo verde según la suciedad de las uñas, caderas, muñecas, zona lumbar y sacra y en zona mamaria izquierda (la inspección ocular confirma tales elementos objetivos), y además afirma resistencia manual continuada, intentos de separase y que el agresor la cogió por el cuello, y que los golpes sufridos lo son a consecuencia de la resistencia ejercida. </w:t>
      </w:r>
    </w:p>
    <w:p w:rsidR="0025129F" w:rsidRDefault="0025129F" w:rsidP="0025129F">
      <w:pPr>
        <w:pStyle w:val="TextoNormal"/>
      </w:pPr>
      <w:r>
        <w:t xml:space="preserve">Con todo, resulta importantísimo para este Tribunal la actitud defensiva de la denunciante, de morder el pene del procesado, con fuerza, que evidencia y no se explica sino derivada la brutal y continuada agresión sexual, impensable en persona sexualmente excitada y que consintiera - como alega la defensa- las relaciones sexuales, y asimismo prueba tanto su resistencia a mantenerlas como la violencia ejercida por el agresor. </w:t>
      </w:r>
    </w:p>
    <w:p w:rsidR="0025129F" w:rsidRDefault="0025129F" w:rsidP="0025129F">
      <w:pPr>
        <w:pStyle w:val="TextoNormal"/>
      </w:pPr>
      <w:r>
        <w:t xml:space="preserve">B) El procesado Alexander Fowler reconoció ante la fuerza actuante que al introducirle el pene ella 'decía que no', que él seguía insistiendo y ella resistiéndose, que le había penetrado vaginalmente y después ella hizo gestos de giro para la flexión bucal y se lo introdujo en la boca, y se lo mordió, todo lo cual ratificó ante el juez instructor a la vez que detallaba que ella se apoyaba en el suelo con las manos y rodillas mientas la penetró vaginalmente, luego se negó y resistió, y que es posible que la penetrara por vía anal aunque no se acuerda pues estaba bebido, ni cree que la golpeara en caderas, pechos, muslos ni rodillas; es decir, que después de penetrarla vaginalmente, entiende esta Sala que lo hizo por vía anal y la obligó a la bucal. </w:t>
      </w:r>
    </w:p>
    <w:p w:rsidR="0025129F" w:rsidRDefault="0025129F" w:rsidP="0025129F">
      <w:pPr>
        <w:pStyle w:val="TextoNormal"/>
      </w:pPr>
      <w:r>
        <w:t xml:space="preserve">C) Los médicos Sres. Sbert Barceló a las 9'00 horas, Amengual Ferrer a las 10'15 horas e Higinio Martín a las 11'40 horas del día 10 de octubre 1994 son concluyentes al certificar que la denunciante presentaba, como signos evidentes de violencia, contusión parietal y hematoma en el lado izquierdo, huellas de presión por dedos en el cuello, suciedad de tierra y musgo en diversas partes del cuerpo, heridas contusas sangrantes en rodillas y hematomas en los muslos. Por demás, en la vagina se descubrió flujo espeso y blanquecino aunque sin huellas de violencia, y el ano presentaba heridas superficiales en forma de radial especialmente en la parte posterior, hallándose líquido mucoso y transparente; dictaminándose vestigios y pruebas de violencia, probable penetración vaginal y segura penetración anal. Cabe recordar que el procesado reconoce expresamente la penetración vaginal (folios 6, 8, 9, 11 a 13 de la causa), y que los hematomas, contusiones y erosiones fueron constatados por el Forense según parte médico emitido el 11-10-94. </w:t>
      </w:r>
    </w:p>
    <w:p w:rsidR="0025129F" w:rsidRDefault="0025129F" w:rsidP="0025129F">
      <w:pPr>
        <w:pStyle w:val="TextoNormal"/>
      </w:pPr>
      <w:r>
        <w:t xml:space="preserve">D) Asimismo resulta determinante la pericial integrada por los médicos Sres. Amengua Ferrar e Higinio Martínez, que atendieron a la víctima el mismo día de los hechos, que </w:t>
      </w:r>
      <w:r>
        <w:lastRenderedPageBreak/>
        <w:t xml:space="preserve">ratifican sus informes y confirman la producción de hematomas, heridas sangrantes en muslos, marcas de compresión de dedos en el cuello, rasguños irradiales en el ano, restos de líquido seminal entre la vagina y el ano, suciedad por arrastre, signos evidentes de violencia y segura penetración anal, y lesiones anales recientes de entre 6 y 24 horas anteriores a la exploración. </w:t>
      </w:r>
    </w:p>
    <w:p w:rsidR="0025129F" w:rsidRDefault="0025129F" w:rsidP="0025129F">
      <w:pPr>
        <w:pStyle w:val="TextoNormal"/>
      </w:pPr>
      <w:r>
        <w:t xml:space="preserve">Erosiones, por arrastre, contusiones diversa y hematomas en cabeza y otras zonas corporales, confirmados por los Médicos Forenses Sres. Verd y Siquier, como signos claros de la fuerza y de la violencia ejercidas por el procesado sobre la víctima. </w:t>
      </w:r>
    </w:p>
    <w:p w:rsidR="0025129F" w:rsidRDefault="0025129F" w:rsidP="0025129F">
      <w:pPr>
        <w:pStyle w:val="TextoNormal"/>
      </w:pPr>
      <w:r>
        <w:t xml:space="preserve">E) La resistibilidad de la denunciante al mantenimiento de las relaciones sexuales asimismo que acreditada por cuanto debió morder el pene a fin de que aquél acabara con la agresión sexual, reconocida por ambos intervinientes, constatado ante la fuerza actuante, certificado por el Médico Sr. Oliver a las 18'15 horas del mismo día y por el médico Forense, ocasionando al agresor erosiones lineales y herida incisa en el glande y otras heridas y hematomas en la piel del pene, que sangraba, y a consecuencia de los cual ejerció fuerza y violencia sobre la cabeza de la denunciante, golpeándola para que se retirara. Es evidente que el mordisco fue ejecutado como mecanismo de defensa y con el objetivo de que finalizara la agresión, y de no ser así, el procesado no hubiera abandonado rápidamente el lugar, abandonando a la víctima. Los médicos forenses, confirman la lesión sufrida en el pene por el procesado, mediante fuerza de choque o fricción y en base a extravasación de sangre en capas epidérmicas. </w:t>
      </w:r>
    </w:p>
    <w:p w:rsidR="0025129F" w:rsidRDefault="0025129F" w:rsidP="0025129F">
      <w:pPr>
        <w:pStyle w:val="TextoNormal"/>
      </w:pPr>
      <w:r>
        <w:t xml:space="preserve">F) El testigo de referencia Sr. De Jong oyó sobre las 4'30 horas gemidos intensos de dolor, de una mujer desde el patio interior del edificio, vio a la chica abandonada y desnuda de cintura hacia abajo. El testigo de referencia Sr. Clarkson, compañero sentimental de la víctima, manifestó que sobre las 7'00 horas la víctima le relató la violenta agresión sexual ejecutada por Alex Fowler. </w:t>
      </w:r>
    </w:p>
    <w:p w:rsidR="0025129F" w:rsidRDefault="0025129F" w:rsidP="0025129F">
      <w:pPr>
        <w:pStyle w:val="TextoNormal"/>
      </w:pPr>
      <w:r>
        <w:t xml:space="preserve">Conviene precisar que el edificio donde se consumó la agresión está situado entre los dos 'Pubs' reseñados, a 270 mts. del primero y lindante (a 1 metro) de donde trabaja el procesado, que, viendo el estado de la víctima y demás circunstancia concurrentes, se aprovechó claramente de la situación, resultando las lesiones embebidas en la misma violencia y fuerza física impuesta." </w:t>
      </w:r>
    </w:p>
    <w:p w:rsidR="0025129F" w:rsidRDefault="0025129F" w:rsidP="0025129F">
      <w:pPr>
        <w:pStyle w:val="TextoNormal"/>
      </w:pPr>
      <w:r>
        <w:t xml:space="preserve">b) La representación del Sr. Fowler formalizó recurso de casación contra la expresada Sentencia, el cual, substanciado en el rollo núm. 719/97, fue inadmitido a trámite por Auto de 17 de septiembre de 1997, dictado por la Sala de lo Penal del Tribunal Supremo. </w:t>
      </w:r>
    </w:p>
    <w:p w:rsidR="0025129F" w:rsidRDefault="0025129F" w:rsidP="0025129F">
      <w:pPr>
        <w:pStyle w:val="TextoNormal"/>
      </w:pPr>
      <w:r>
        <w:t xml:space="preserve">En dicha resolución (fundamento jurídico primero), el Tribunal razona la desestimación del motivo de casación en lo siguiente: </w:t>
      </w:r>
    </w:p>
    <w:p w:rsidR="0025129F" w:rsidRDefault="0025129F" w:rsidP="0025129F">
      <w:pPr>
        <w:pStyle w:val="TextoNormal"/>
      </w:pPr>
      <w:r>
        <w:t xml:space="preserve">"Ha declarado reiteradamente la jurisprudencia de esta Sala (vid., entre otras, SS. 19 junio 1991 y 1 abril y 18 mayo 1993) que, en los delitos de violación, el testimonio de la víctima puede constituir prueba suficiente para enervar el derecho a la presunción de inocencia del acusado al ser 'relativamente frecuente que el Tribunal no disponga de más prueba inculpatoria que el testimonio de la propia víctima, lógicamente opuesto, en mayor o menor medida, al del acusado o acusado, correspondiendo al Tribunal sentenciador la difícil tarea de examinar, valorar y ponderar las contradictorias versiones de los interesados y aceptar, en su caso, aquella que consideren veraz, en razón de todas las circunstancias concurrentes - art. 741 LECrim.' En el mismo sentido la sentencia de 9 de junio de 1993 afirma que 'es jurisprudencia consagrada del Tribunal Supremo -y que también acepta el Tribunal Constitucional- el reconocimiento de la validez de las declaraciones inculpatorias de las personas ofendidas por el delito - violación, en el caso-'. </w:t>
      </w:r>
    </w:p>
    <w:p w:rsidR="0025129F" w:rsidRDefault="0025129F" w:rsidP="0025129F">
      <w:pPr>
        <w:pStyle w:val="TextoNormal"/>
      </w:pPr>
      <w:r>
        <w:lastRenderedPageBreak/>
        <w:t xml:space="preserve">En el caso de autos, afirmar, como parece sostener el recurrente, que con el testimonio de la víctima no es posible condenar, sería tanto como mantener que el mayor número de violaciones habrían de quedar, pese a su gravedad, impunes, porque generalmente en estos casos el juzgador sólo dispone de dos testimonios absolutamente contrapuestos: el de la víctima y el del violador. Y en esta situación, como afirma la sentencia de 9 de octubre de 1992, han de entrar en juego las reglas de la psicología del testimonio, que sólo puede aplicar quien presencia las declaraciones, es decir, el Tribunal sentenciador. </w:t>
      </w:r>
    </w:p>
    <w:p w:rsidR="0025129F" w:rsidRDefault="0025129F" w:rsidP="0025129F">
      <w:pPr>
        <w:pStyle w:val="TextoNormal"/>
      </w:pPr>
      <w:r>
        <w:t xml:space="preserve">En el caso de autos, existió prueba de cargo originada y desarrollada conforma a los principios y exigencias de la Constitución Española, razonando y motivando ampliamente en la fundamentación jurídica de la sentencia recurrida el Tribunal 'a quo' su decisión de condenar al procesado por el delito de violación, principalmente por la contundencia de las declaraciones de la víctima en las que concurren los requisitos exigidos jurisprudencialmente para tenerlas en cuenta: a) ausencia de incredibilidad subjetiva derivada de un móvil espurio; b) verosimilitud corroborada por circunstancias periféricas; y c) persistencia en la incriminación (vid., entre otras, S. 11 mayo 1994)- y el dato objetivo de las lesiones producidas a la víctima recogidas en los hechos probados, tales como hematomas, arañazos y heridas contusas; las propias lesiones sufridas por el acusado en el pene al ser mordido por la víctima; por último, el testigo que oyó, a la hora en que ocurrieron los hechos, gemidos intensos de dolor de una mujer y que vio a una chica, la víctima, abandonada y desnuda de cintura para abajo. </w:t>
      </w:r>
    </w:p>
    <w:p w:rsidR="0025129F" w:rsidRDefault="0025129F" w:rsidP="0025129F">
      <w:pPr>
        <w:pStyle w:val="TextoNormal"/>
      </w:pPr>
      <w:r>
        <w:t>Procede pues, de la actividad probatoria citada, desvirtuar la presunción de inocencia invocada, por lo que, de conformidad al art. 885-1 y 2 de la LECrim, procede acordar la inadmisión del motivo casacional alegado".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recurrente denuncia la vulneración de los derechos a los recursos legalmente establecidos, a un proceso con todas las garantías, a la motivación de las resoluciones judiciales y a obtener la tutela judicial efectiva, sin indefensión, protegidos todos ellos en el art. 24 CE. </w:t>
      </w:r>
    </w:p>
    <w:p w:rsidR="0025129F" w:rsidRDefault="0025129F" w:rsidP="0025129F">
      <w:pPr>
        <w:pStyle w:val="TextoNormal"/>
      </w:pPr>
      <w:r>
        <w:t xml:space="preserve">El demandante de amparo alega, al respecto, que la inadmisión a limine del recurso de casación por el Auto, ahora impugnado, de la Sala de lo Penal del Tribunal Supremo, en virtud de una interpretación rigurosa en exceso de las normas que establecen los presupuestos del recurso para su resolución por sentencia, vulnera su derecho a la tutela judicial efectiva, máxime si se tiene en cuenta la gravedad de la pena de privación de libertad impuesta por la Sentencia entonces recurrida. </w:t>
      </w:r>
    </w:p>
    <w:p w:rsidR="0025129F" w:rsidRDefault="0025129F" w:rsidP="0025129F">
      <w:pPr>
        <w:pStyle w:val="TextoNormal"/>
      </w:pPr>
      <w:r>
        <w:t xml:space="preserve">En segundo lugar, se queja el recurrente de la falta de motivación suficiente de las resoluciones judiciales ya que no se fundamenta en ellas debidamente el rechazo de la aplicación de la presunción de inocencia, vista, según aquél señala, la inexistencia de prueba de cargo, si se entiende como prueba la practicada con las mínimas garantías exigidas por el texto y la jurisprudencia constitucional. Así, se afirma en el escrito de recurso, en relación con las declaraciones de la denunciante y supuestos testigos, que no ha habido contradicción alguna ni en el plenario, al que no acudieron aquélla y éstos, ni en la fase instructora, en la que las declaraciones se prestaron sin presencia ni previa citación del Letrado del acusado, y sin que, en consecuencia, se haya practicado prueba anticipada. Se indica igualmente que "el acusado no reconoce los hechos objeto de imputación en la forma en que vienen expuestos por la acusación, reconociendo desde el primer momento la existencia de relación sexual, pero con el asentimiento, consentimiento e incluso petición" de la denunciante. Por ello señala el recurrente que el pronunciamiento condenatorio se basó, en </w:t>
      </w:r>
      <w:r>
        <w:lastRenderedPageBreak/>
        <w:t xml:space="preserve">definitiva, en pruebas de cargo viciadas, en cuanto carentes de las garantías procesales de inmediación y contradicción. </w:t>
      </w:r>
    </w:p>
    <w:p w:rsidR="0025129F" w:rsidRDefault="0025129F" w:rsidP="0025129F">
      <w:pPr>
        <w:pStyle w:val="TextoNormal"/>
      </w:pPr>
      <w:r>
        <w:t xml:space="preserve">Por último el recurrente, reiterando la invocación de la aplicación de la normativa más favorable al reo, fundamenta también la alegada vulneración del derecho a la tutela judicial efectiva en "la inadmisión del recurso por los motivos tercero, cuarto y quinto", referidos respectivamente a la infracción del art. 429 del Código Penal de 1973, a la inaplicación de la Disposición transitoria primera de la Ley Orgánica 10/1995, de 23 de noviembre, y a la inaplicación de los arts. 20.2 y 21.1 del Código Penal de 1995. </w:t>
      </w:r>
    </w:p>
    <w:p w:rsidR="0025129F" w:rsidRDefault="0025129F" w:rsidP="0025129F">
      <w:pPr>
        <w:pStyle w:val="TextoNormal"/>
      </w:pPr>
      <w:r>
        <w:t>Por todo ello la representación procesal del demandante de amparo solicita a este Tribunal que "dicte en su día sentencia, acogiendo el amparo por todos o por alguno o algunos de los motivos expuestos, y después de reconocer los derechos constitucionales infringidos, se ampare y restablezca al recurrente en sus derechos constitucionales, disponiendo todo lo conducente a dicho restablecimiento y adoptando las medidas conducentes a tal finalidad". Por otrosí se interesó la suspensión de la ejecución del fallo condenatorio.</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providencia de la Sección Primera de este Tribunal, de 23 de febrero de 1998, se acordó admitir a trámite la demanda de amparo, sin perjuicio de lo que resultase de los antecedentes. Además, a tenor de lo dispuesto en el art. 51 LOTC, se acordó requerir al Tribunal Supremo y a la Audiencia Provincial de Palma de Mallorca para que remitieran, respectivamente, testimonio del recurso de casación núm. 719/97 y del rollo de sala núm. 150/94 (dimanante del sumario núm. 4/94 del Juzgado de Instrucción núm. 4 de Manacor), interesándose al propio tiempo que se emplazara a quienes habían sido parte en el mencionado procedimiento, con excepción del recurrente en amparo, para que en el plazo de diez días pudieran comparecer en este proceso constitucional. </w:t>
      </w:r>
    </w:p>
    <w:p w:rsidR="0025129F" w:rsidRDefault="0025129F" w:rsidP="0025129F">
      <w:pPr>
        <w:pStyle w:val="TextoNormal"/>
      </w:pPr>
      <w:r>
        <w:t xml:space="preserve">Por último, se acordó también formar la correspondiente pieza separada de suspensión. </w:t>
      </w:r>
    </w:p>
    <w:p w:rsidR="0025129F" w:rsidRDefault="0025129F" w:rsidP="0025129F">
      <w:pPr>
        <w:pStyle w:val="TextoNormal"/>
      </w:pPr>
      <w:r>
        <w:t>Por Auto de fecha 18 de mayo de 1998, dictado en la pieza separada de suspensión, la Sala Primera de este Tribunal acordó la suspensión de la ejecución de la Sentencia de la Sección Segunda de la Audiencia Provincial de Mallorca, de 24 de diciembre de 1996.</w:t>
      </w:r>
    </w:p>
    <w:p w:rsidR="0025129F" w:rsidRDefault="0025129F" w:rsidP="0025129F">
      <w:pPr>
        <w:pStyle w:val="TextoNormal"/>
      </w:pPr>
    </w:p>
    <w:p w:rsidR="0025129F" w:rsidRDefault="0025129F" w:rsidP="0025129F">
      <w:pPr>
        <w:pStyle w:val="TextoNormal"/>
      </w:pPr>
      <w:r w:rsidRPr="0025129F">
        <w:rPr>
          <w:rStyle w:val="NumeroAFNegritaCaracter"/>
        </w:rPr>
        <w:t>5</w:t>
      </w:r>
      <w:r>
        <w:t>. Una vez recibidos los testimonios de las actuaciones, remitidos por los órganos judiciales, por providencia de 6 de julio de 1998 acordó la Sección Segunda, a tenor de lo dispuesto en el art. 52 LOTC, dar vista de aquéllos al Ministerio Fiscal y al solicitante de amparo para que, en el plazo común de veinte días, presentaran las alegaciones que a su derecho convinieran.</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escrito, registrado el 28 de julio de 1998, el Procurador Sr. González Sánchez, en la representación del recurrente, reiteró las alegaciones ya formuladas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El Ministerio Fiscal, mediante escrito registrado el 21 de agosto de 1998, evacuó el trámite conferido abogando por la denegación del amparo pedido. Considera el Fiscal, en primer lugar, que el motivo de amparo invocado referente a la vulneración del derecho de acceso a los recursos no debe ser estimado toda vez que, si bien el Auto de la Sala de lo Penal del Tribunal Supremo es de inadmisión e impide, por consiguiente, el pronunciamiento en forma de Sentencia, sin embargo de su lectura se desprende que el indicado Tribunal ha inadmitido a trámite el recurso contestando a todos y cada uno de los motivos de casación que fueron expuestos por la parte recurrente, apoyándose, además, en los su</w:t>
      </w:r>
      <w:r>
        <w:lastRenderedPageBreak/>
        <w:t xml:space="preserve">puestos de inadmisión legalmente previstos en el art. 885, apartados 1 y 2 LECrim. Por consiguiente, la decisión de no llegar a un pronunciamiento de Sentencia y hacerlo, en cambio, mediante otro de Auto, no afecta al derecho fundamental invocado, toda vez que el Tribunal con mayor o menor acierto, circunstancia ésta que queda fuera de la órbita del derecho fundamental alegado, ha dado cumplida respuesta a cada uno de los argumentos de fondo del recurrente, sin que de su lectura pueda deducirse la existencia de un error patente, la constatación de una arbitrariedad, o la valoración como irrazonable del argumento empleado en cada caso para rechazar el motivo de casación. </w:t>
      </w:r>
    </w:p>
    <w:p w:rsidR="0025129F" w:rsidRDefault="0025129F" w:rsidP="0025129F">
      <w:pPr>
        <w:pStyle w:val="TextoNormal"/>
      </w:pPr>
      <w:r>
        <w:t xml:space="preserve">En segundo lugar, de la lectura del Auto recurrido tampoco se desprende, a juicio del Fiscal, que se haya generado la infracción constitucional alegada por la parte actora sobre falta de motivación, toda vez que, como se ha indicado anteriormente, el Tribunal Supremo ha respondido uno por uno a los motivos de casación que, como cuestión de fondo, fueron recogidos en el escrito de interposición; de ahí que en este cauce constitucional no se aprecie quebranto alguno del derecho fundamental. Todas las pretensiones de la parte han recibido una razonada respuesta del Tribunal, lo que ha permitido, por un lado, conocer cuáles han sido los argumentos utilizados por aquél para rechazar los de la parte, y, de otro lado, ésta ha podido así contradecirlos aún cuando sea en este cauce excepcional y subsidiario del amparo. </w:t>
      </w:r>
    </w:p>
    <w:p w:rsidR="0025129F" w:rsidRDefault="0025129F" w:rsidP="0025129F">
      <w:pPr>
        <w:pStyle w:val="TextoNormal"/>
      </w:pPr>
      <w:r>
        <w:t xml:space="preserve">Respecto del derecho a un proceso con todas las garantías en su modalidad del derecho a un proceso justo, dice el Ministerio Fiscal que la formalmente invocada vulneración de tal derecho ha de ser asociada a la vulneración del derecho fundamental del recurrente a la presunción de inocencia que, en todo momento y a lo largo de la demanda de amparo, se viene poniendo de manifiesto, aunque sin haber sido alegada formalmente. </w:t>
      </w:r>
    </w:p>
    <w:p w:rsidR="0025129F" w:rsidRDefault="0025129F" w:rsidP="0025129F">
      <w:pPr>
        <w:pStyle w:val="TextoNormal"/>
      </w:pPr>
      <w:r>
        <w:t xml:space="preserve">El análisis del motivo comporta necesariamente, según el Ministerio Fiscal, la verificación por parte de ese Alto Tribunal de sí a lo largo del proceso judicial precedente se ha practicado con las debidas garantías constitucionales y procesales una verdadera actividad probatoria de cargo que justifique la existencia de un pronunciamiento condenatorio por delito de violación recaído en la persona del ahora demandante de amparo. A juicio del Fiscal, si bien la declaración de la víctima no tiene valor de prueba y tampoco la del testigo de referencia, Johannes de Jong, por cuanto, al no comparecer la denunciante a la vista oral a ratificar sus declaraciones ante la Guardia Civil y en el Juzgado de Instrucción (prestadas estas últimas sin que estuviera presente la defensa del denunciado, ya detenido), el testimonio carece de la necesaria contradicción y, por tanto de eficacia probatoria, sin que con la mera lectura del mismo en el juicio quedase preservada la garantía de contradicción -lo que cabe afirmar igualmente de la declaración del testigo de referencia, Sr. de Jong-, sí se aprecian, en cambio, otros argumentos probatorios que en este caso fueron sometidos a las garantías procesales del plenario y efectivamente contradichos por la defensa del procesado. Por ello el Fiscal estima que no se está, en realidad, ante un supuesto de ausencia absoluta de prueba de cargo, sino más bien ante un problema de valoración de la prueba así descrita, circunstancia ésta que queda ya fuera del propio ámbito constitucional. </w:t>
      </w:r>
    </w:p>
    <w:p w:rsidR="0025129F" w:rsidRDefault="0025129F" w:rsidP="0025129F">
      <w:pPr>
        <w:pStyle w:val="TextoNormal"/>
      </w:pPr>
      <w:r>
        <w:t xml:space="preserve">Existió una mínima actividad probatoria de cargo que conduce a la desestimación del motivo de amparo, ya que los órganos judiciales no fundamentaron su pronunciamiento condenatorio en las declaraciones de la víctima sino en otras pruebas que "tuvieron su reflejo en el acto del juicio oral y que fueron sometidas a la necesaria contradicción". Así, en primer lugar, "las contundentes conclusiones de los facultativos que en las horas inmediatamente posteriores al hecho denunciado efectuaron un detenido examen externo y de los órganos sexuales de Michelle, coincidiendo todos ellos en la violencia que reflejaban </w:t>
      </w:r>
      <w:r>
        <w:lastRenderedPageBreak/>
        <w:t xml:space="preserve">algunas de las heridas que la misma tenía", señalando al efecto el Ministerio Fiscal que algunos de los facultativos "comparecieron en calidad de peritos a la vista oral, en donde ratificaron sus iniciales conclusiones médicas; en segundo lugar, "las propias declaraciones del ahora recurrente en amparo, el reconocimiento que el mismo hizo de su insistencia en realizar el acto sexual cuando la joven comenzó a negarse a ello", a lo que cabe añadir "las lesiones que el actor reconoce haber sufrido en su órgano sexual, circunstancia ésta difícilmente compatible con la de una relación sexual consentida, que es lo que el mismo alegaba". </w:t>
      </w:r>
    </w:p>
    <w:p w:rsidR="0025129F" w:rsidRDefault="0025129F" w:rsidP="0025129F">
      <w:pPr>
        <w:pStyle w:val="TextoNormal"/>
      </w:pPr>
      <w:r>
        <w:t>En consecuencia, el Fiscal interesa del Tribunal Constitucional que dicte Sentencia denegando el amparo.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24 de enero de 2002 se señaló para la deliberación y fallo de la presente Sentencia el día 28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el Auto de la Sala de lo Penal del Tribunal Supremo dictado el 17 de septiembre de 1997 en el recurso de casación núm. 719/97, y contra la Sentencia de la Sección Segunda de la Audiencia Provincial de Palma de Mallorca de 24 de diciembre de 1996, que había condenado al recurrente, como autor responsable de un delito de violación, a las penas de doce años y un día de reclusión menor e inhabilitación absoluta durante el tiempo de la condena. El expresado Auto declaró no haber lugar a la admisión del recurso de casación.</w:t>
      </w:r>
    </w:p>
    <w:p w:rsidR="0025129F" w:rsidRDefault="0025129F" w:rsidP="0025129F">
      <w:pPr>
        <w:pStyle w:val="TextoNormal"/>
      </w:pPr>
      <w:r>
        <w:t>En el recurso se solicita la concesión del amparo, con fundamento en el art. 24.1 CE, por la vulneración del derecho a la tutela judicial efectiva, en sus vertientes de acceso a los recursos, a un proceso con todas las garantías y a la motivación de las resoluciones judiciales (estos dos últimos en relación con el derecho a la presunción de inocencia).  También se invoca el expresado derecho a la tutela judicial efectiva "en lo que se refiere a la inadmisión del recurso por los motivos tercero, cuarto y quinto del recurso de casación".</w:t>
      </w:r>
    </w:p>
    <w:p w:rsidR="0025129F" w:rsidRDefault="0025129F" w:rsidP="0025129F">
      <w:pPr>
        <w:pStyle w:val="TextoNormal"/>
      </w:pPr>
      <w:r>
        <w:t>Aunque el recurso de amparo se formula de modo explícito solamente contra el Auto de la Sala de lo Penal del Tribunal Supremo, ha de entenderse que se dirige también contra la Sentencia de la Audiencia Provincial de Palma de Mallorca por la propia naturaleza de las infracciones de derechos fundamentales que se invocan con motivo del recurso, las cuales, salvo la relativa al derecho de acceso a los recursos, afectan a ambas resoluciones judiciales, pues, como hemos dicho con reiteración, cuando se impugna en amparo una resolución judicial confirmatoria de otras, que han sido lógica y cronológicamente presupuesto de aquélla, han de tenerse también por recurridas las precedentes resoluciones confirmadas, aunque las mismas no lo hayan sido de forma expresa (SSTC 97/1999, de 31 de mayo, FJ 2, y 209/2001, de 22 de octubre, FJ 1).</w:t>
      </w:r>
    </w:p>
    <w:p w:rsidR="0025129F" w:rsidRDefault="0025129F" w:rsidP="0025129F">
      <w:pPr>
        <w:pStyle w:val="TextoNormal"/>
      </w:pPr>
    </w:p>
    <w:p w:rsidR="0025129F" w:rsidRDefault="0025129F" w:rsidP="0025129F">
      <w:pPr>
        <w:pStyle w:val="TextoNormal"/>
      </w:pPr>
      <w:r w:rsidRPr="0025129F">
        <w:rPr>
          <w:rStyle w:val="NumeroAFNegritaCaracter"/>
        </w:rPr>
        <w:t>2</w:t>
      </w:r>
      <w:r>
        <w:t>. Por una cuestión de orden lógico, hemos de comenzar por la denunciada vulneración del derecho a la tutela judicial efectiva, en su manifestación del derecho de acceso al recurso. En este sentido, el demandante alega que la Sala de lo Penal del Tribunal Supremo ha impedido, en virtud de una interpretación injustificadamente rigurosa de las normas de acceso al recurso, que una condena grave, como la impuesta en este caso por la Sentencia de la Audiencia Provincial, fuese revisada, también mediante Sentencia, por un Tribunal superior. En definitiva, el demandante vincula su derecho de acceso al recurso de casa</w:t>
      </w:r>
      <w:r>
        <w:lastRenderedPageBreak/>
        <w:t>ción, en el orden penal, con la necesidad de que el recurso sea resuelto necesariamente por medio de una Sentencia, y no por Auto de inadmisión. Planteada la cuestión en estos términos, parece oportuno exponer de modo sucinto la doctrina de este Tribunal sobre el derecho invocado, en relación con el acceso al recurso de casación penal y con la respuesta obtenida de la Sala correspondiente del Tribunal Supremo.</w:t>
      </w:r>
    </w:p>
    <w:p w:rsidR="0025129F" w:rsidRDefault="0025129F" w:rsidP="0025129F">
      <w:pPr>
        <w:pStyle w:val="TextoNormal"/>
      </w:pPr>
      <w:r>
        <w:t>Nuestra doctrina ha declarado reiteradamente que el derecho a la tutela judicial efectiva comprende no sólo el acceso a los Tribunales, sino también el derecho a los recursos que para cada género de procesos estén establecidos en el ordenamiento.  También hemos mantenido que el sistema de recursos frente a las diferentes resoluciones judiciales se incorpora al derecho a la tutela judicial efectiva en la concreta configuración que reciba en cada una de las leyes de enjuiciamiento reguladoras de los diversos órdenes jurisdiccionales. El legislador es, en principio, libre para disponer cuál sea el régimen de recursos dentro de cada proceso, pero esa disponibilidad en el proceso penal se ve limitada por la necesidad de posibilitar a toda persona declarada culpable de un delito que el fallo condenatorio y la pena impuesta se vean sometidas a un tribunal superior , de conformidad con lo dispuesto en el art. 24.2 CE en relación con el art. 14.5 del Pacto internacional de derechos civiles y políticos de Nueva York, según el cual "toda persona declarada culpable de un delito tendrá derecho a que el fallo condenatorio y la pena que se le haya impuesto sean sometidos a un tribunal superior, conforme a lo previsto en la ley" (por todas, STC 64/2001, de 17 de marzo, FJ 5). En determinados delitos, es el recurso de casación el que cumple esta garantía, pues no sólo está al servicio de los intereses objetivos ligados a la necesaria depuración en Derecho del obrar judicial, sino que al desenvolver la indicada función protege también al justiciable (SSTC 37/1988, de 3 de marzo, FJ 5; 69/1990, de 5 de abril, FJ 2; 80/1992, de 28 de mayo, FJ 3; 374/1993, de 13 de diciembre, FJ 2; 91/1994, de 21 de marzo, FJ 2; y 184/1997, de 28 de octubre, FJ 5)</w:t>
      </w:r>
    </w:p>
    <w:p w:rsidR="0025129F" w:rsidRDefault="0025129F" w:rsidP="0025129F">
      <w:pPr>
        <w:pStyle w:val="TextoNormal"/>
      </w:pPr>
      <w:r>
        <w:t>Ello explica que, mientras que en el resto de los órdenes jurisdiccionales el principio pro actione está reservado al derecho de acceso a los Tribunales, en materia de acceso al recurso de casación penal rige este principio, que si bien no implica la forzosa selección de la interpretación más favorable a la admisión de entre todas las posibles de las normas que la regulan, sí que impone la interdicción de aquellas decisiones de inadmisión que por su rigorismo, por su formalismo excesivo o por cualquier otra razón revelen una clara desproporción entre los fines que aquellas causas preservan y los intereses que sacrifican (SSTC 84/1997, de 22 de abril, FJ 2, y 184/1997, de 28 de octubre, FJ 5).</w:t>
      </w:r>
    </w:p>
    <w:p w:rsidR="0025129F" w:rsidRDefault="0025129F" w:rsidP="0025129F">
      <w:pPr>
        <w:pStyle w:val="TextoNormal"/>
      </w:pPr>
      <w:r>
        <w:t>Para el demandante de amparo, la decisión del Tribunal Supremo inadmitiendo el recurso de casación por carecer de fundamento y tratarse de cuestión ya resuelta por la jurisprudencia de la Sala de lo Penal, vulnera su derecho a la tutela judicial efectiva, dado que la gravedad de la condena impuesta exige, a su juicio, el dictado de una Sentencia o, dicho de otro modo, impide ex art. 24.1 CE, en relación con el art. 14.5 PIDCP, que se entienda cumplido el derecho a la revisión de la condena penal si se rechaza a limine el recurso planteado.</w:t>
      </w:r>
    </w:p>
    <w:p w:rsidR="0025129F" w:rsidRDefault="0025129F" w:rsidP="0025129F">
      <w:pPr>
        <w:pStyle w:val="TextoNormal"/>
      </w:pPr>
      <w:r>
        <w:t>Pues bien, como ya hemos tenido ocasión de declarar (AATC 369/1996, de 16 de diciembre, y 105/1999, de 14 de junio) la posibilidad prevista en el artículo 885.1 LECrim (lo que por extensión puede ser aplicado sin esfuerzo al motivo de inadmisión previsto en el apartado 2 de este mismo artículo), no es contraria al derecho proclamado en el artículo 24 CE. Dijimos literalmente en el primero de los Autos citados que la previsión de inadmisión por manifiesta carencia de fundamento "no vulnera el contenido del art. 24.1 CE, en relación con el artículo 14.5 del Pacto internacional de derechos civiles y políticos, pues lo único que estos preceptos garantizan es que, de acuerdo con la forma que establez</w:t>
      </w:r>
      <w:r>
        <w:lastRenderedPageBreak/>
        <w:t>ca el legislador, se arbitre un sistema efectivo para que el Tribunal superior pueda revisar, con poderes reales de revocación, las Sentencias penales condenatorias dictadas por los Tribunales inferiores, sin que en el Pacto se imponga, como no podía ser de otra manera, que esa revisión se realice mediante un tipo determinado de procedimiento". Dicho de otro modo, la forma en que se produzca el rechazo de la pretensión en sede de casación penal, no afecta per se al derecho a la tutela judicial efectiva, lo que elimina el primer aspecto de la queja del demandante.</w:t>
      </w:r>
    </w:p>
    <w:p w:rsidR="0025129F" w:rsidRDefault="0025129F" w:rsidP="0025129F">
      <w:pPr>
        <w:pStyle w:val="TextoNormal"/>
      </w:pPr>
      <w:r>
        <w:t>La precedente conclusión nos reconduce a analizar el planteamiento del recurrente desde la perspectiva de la razonabilidad y proporcionalidad de la resolución de inadmisión de la Sala de lo Penal del Tribunal Supremo.</w:t>
      </w:r>
    </w:p>
    <w:p w:rsidR="0025129F" w:rsidRDefault="0025129F" w:rsidP="0025129F">
      <w:pPr>
        <w:pStyle w:val="TextoNormal"/>
      </w:pPr>
      <w:r>
        <w:t>Atendiendo a la doctrina expuesta, tampoco cabe estimar vulnerado en el presente supuesto el derecho de acceso al recurso analizando el contenido de la resolución de inadmisión. Ciertamente, en el caso enjuiciado y dadas las alegaciones del recurrente y los motivos de casación que articulaba - uno de los cuales afectaba a la validez como prueba de cargo de la declaración de la denunciante del delito prestada en fase de instrucción-, la inadmisión se ha producido, por un lado, por considerar la carencia manifiesta de fundamento y, por otro, por haber desestimado en el fondo el Tribunal Supremo otros recursos sustancialmente iguales. Pero esta decisión, en el caso concreto, se ha producido previo examen de los motivos formalizados, mediando el estudio del contenido impugnatorio de todos ellos, dando a cada uno una razonada respuesta, bien que ésta sea en sentido contrario a la pretensión del recurrente.</w:t>
      </w:r>
    </w:p>
    <w:p w:rsidR="0025129F" w:rsidRDefault="0025129F" w:rsidP="0025129F">
      <w:pPr>
        <w:pStyle w:val="TextoNormal"/>
      </w:pPr>
      <w:r>
        <w:t>No cabe apreciar, tampoco, que la decisión adoptada, en cuanto conoce y resuelve los motivos casacionales, atendiendo al propio contenido de cada uno de ellos, analizando los hechos y la doctrina jurisprudencial aplicable, sea desproporcionada respecto de los intereses tutelados por el derecho fundamental que se dice vulnerado -el derecho al recurso- lo que conlleva que, también desde esta perspectiva, deba ser rechazada la vulneración de la que se queja el demandante de amparo.</w:t>
      </w:r>
    </w:p>
    <w:p w:rsidR="0025129F" w:rsidRDefault="0025129F" w:rsidP="0025129F">
      <w:pPr>
        <w:pStyle w:val="TextoNormal"/>
      </w:pPr>
    </w:p>
    <w:p w:rsidR="0025129F" w:rsidRDefault="0025129F" w:rsidP="0025129F">
      <w:pPr>
        <w:pStyle w:val="TextoNormal"/>
      </w:pPr>
      <w:r w:rsidRPr="0025129F">
        <w:rPr>
          <w:rStyle w:val="NumeroAFNegritaCaracter"/>
        </w:rPr>
        <w:t>3</w:t>
      </w:r>
      <w:r>
        <w:t>. En segundo lugar, considera el recurrente que ha sido vulnerado su derecho fundamental a un proceso con todas las garantías (art. 24.2 CE), alegación que, tal y como está formulada ha de vincularse con el derecho a la presunción de inocencia (art.  24.2 CE), pues aunque, como resalta el Ministerio Fiscal, pudiera apreciarse prima facie que la lesión a este último derecho fundamental no se alega expresamente en la demanda de amparo, de su contenido se puede inferir que, en realidad, el demandante está alegando esta vulneración al suplicar la anulación de la Sentencia condenatoria. Así, y en primer término, el recurrente realiza en su demanda inequívocas manifestaciones en relación con las posibilidades de contradecir la prueba testifical no practicada en el acto del juicio para, seguidamente, denunciar la inexistencia de prueba de cargo. En tercer lugar, cuando el demandante se refiere a la vulneración de su derecho a la tutela judicial efectiva, en la vertiente del derecho a obtener una resolución motivada, afirma que "no se motiva con la debida concisión el rechazo de la invocada garantía fundamental de la presunción de inocencia, invocando como pruebas lo que no son tales, y produciéndose una mezcla argumentativa que no guarda la más mínima congruencia con la invocación que en cada uno de los motivos se expone". Finalmente, la vulneración de este derecho fundamental fue previamente denunciada ante la jurisdicción ordinaria, concretamente en el primero de los motivos del recurso de casación.</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En definitiva se sostiene por el demandante de amparo, (aunque de modo ciertamente retórico aluda también al derecho a la tutela judicial efectiva en la vertiente del derecho a recibir una resolución motivada y fundada en Derecho) que ha sido vulnerado su derecho a un proceso con todas las garantías y, como consecuencia de ello, su derecho fundamental a la presunción de inocencia, porque los órganos judiciales han valorado como pruebas válidas las declaraciones de la denunciante y de los testigos de referencia, las cuales no fueron sometidas a la posibilidad de ser contradichas por su parte. De ahí mantiene la inexistencia de prueba de cargo válida de la que extraer la culpabilidad del acusado, ya que la decisión de condena se fundamenta precisamente en estas pruebas testificales que no cumplieron las debidas garantías de inmediación y de posibilidad de contradicción, dado que se trataba de testimonios vertidos en fase sumarial, sin oportunidad de ser contradichos por el acusado, que en ese momento ya se encontraba detenido. En su opinión, el contenido de estas declaraciones accedió a la valoración probatoria a través del mecanismo excepcional del artículo 730 LECrim, pese a que no se daban los requisitos exigidos en nuestra doctrina para ello.</w:t>
      </w:r>
    </w:p>
    <w:p w:rsidR="0025129F" w:rsidRDefault="0025129F" w:rsidP="0025129F">
      <w:pPr>
        <w:pStyle w:val="TextoNormal"/>
      </w:pPr>
      <w:r>
        <w:t>Hemos dicho, y procede reiterarlo aquí una vez más, que sólo pueden considerarse auténticas pruebas que vinculen a los Tribunales en el momento de dictar Sentencia las practicadas en el acto del juicio, pues el procedimiento probatorio ha de tener lugar precisamente en el debate contradictorio que se desarrolla ante el Juez o Tribunal que ha de dictar Sentencia, de modo oral e inmediato, de suerte que la convicción de éste sobre los hechos enjuiciados se alcance en contacto directo con los medios aportados por las partes (SSTC 217/1989, de 21 de diciembre, FJ 2; 161/1990, de 19 de octubre, FJ 2; 303/1993, de 25 de octubre, FJ 3; 200/1996, de 3 de diciembre, FJ 2; 40/1997, de 3 de diciembre, FJ 2; y, recientemente, 2/2002, de 14 de enero, FJ 6).</w:t>
      </w:r>
    </w:p>
    <w:p w:rsidR="0025129F" w:rsidRDefault="0025129F" w:rsidP="0025129F">
      <w:pPr>
        <w:pStyle w:val="TextoNormal"/>
      </w:pPr>
      <w:r>
        <w:t>Sin embargo, dicha regla general admite excepciones, una de las cuales es la que ahora es objeto de debate, es decir, la posibilidad de integrar en la valoración probatoria el resultado de las declaraciones sumariales de investigación (supuesto legalmente contemplado, en lo que ahora nos interesa, en el art. 730 LECrim). Pero tal excepción está condicionada al cumplimiento en su práctica y reproducción de determinados requisitos que hemos resaltado de modo continuado en el tiempo. Estos requisitos pueden clasificarse en materiales (su imposibilidad de reproducción en el acto del juicio oral), subjetivos (la necesaria intervención del Juez de instrucción), objetivos (la posibilidad de contradicción para lo cual ha de proveerse de Abogado al imputado) y formales (la introducción del contenido de la declaración sumarial a través de la lectura del acta en que se documenta, conforme a lo ordenado por el art. 730 LECrim).</w:t>
      </w:r>
    </w:p>
    <w:p w:rsidR="0025129F" w:rsidRDefault="0025129F" w:rsidP="0025129F">
      <w:pPr>
        <w:pStyle w:val="TextoNormal"/>
      </w:pPr>
      <w:r>
        <w:t>Pues bien en el supuesto enjuiciado, es obligado convenir con el demandante de amparo y con el Ministerio Fiscal que no se cumplen los requisitos precedentemente expuestos para la posible integración de una declaración prestada en el sumario dentro de la valoración probatoria realizada por el Tribunal.</w:t>
      </w:r>
    </w:p>
    <w:p w:rsidR="0025129F" w:rsidRDefault="0025129F" w:rsidP="0025129F">
      <w:pPr>
        <w:pStyle w:val="TextoNormal"/>
      </w:pPr>
      <w:r>
        <w:t>La denunciante no compareció al acto del juicio oral, pese a haber sido citada, según aprecia el Tribunal de instancia. Por ello el juicio fue suspendido tres veces antes de decidir su continuación, debido a la inasistencia de aquélla. De suerte que atendiendo a la petición del Ministerio Fiscal y dada la dilación que sufría la causa, se cumplió el primero de los requisitos exigidos para la posible valoración de una declaración prestada en fase de investigación.</w:t>
      </w:r>
    </w:p>
    <w:p w:rsidR="0025129F" w:rsidRDefault="0025129F" w:rsidP="0025129F">
      <w:pPr>
        <w:pStyle w:val="TextoNormal"/>
      </w:pPr>
      <w:r>
        <w:t xml:space="preserve">Sin embargo, no se cumplió el resto de las exigencias de nuestra jurisprudencia.  Con respecto a la primera de las declaraciones, ésta fue prestada ante la Guardia Civil, y no ante el Juez de Instrucción, lo que, de conformidad con nuestra reiterada doctrina (entre </w:t>
      </w:r>
      <w:r>
        <w:lastRenderedPageBreak/>
        <w:t>otras, SSTC 145/1985, de 28 de octubre, FJ 2, y 51/1995, de 23 de febrero, FJ 2), sólo puede tener valor con el carácter de mera denuncia.</w:t>
      </w:r>
    </w:p>
    <w:p w:rsidR="0025129F" w:rsidRDefault="0025129F" w:rsidP="0025129F">
      <w:pPr>
        <w:pStyle w:val="TextoNormal"/>
      </w:pPr>
      <w:r>
        <w:t>Tampoco puede integrarse en la valoración probatoria, como prueba de cargo practicada con las debidas garantías, la declaración prestada por la denunciante ante el Juez instructor, ya que se practicó sin dar al imputado la posibilidad de confrontarse con la testigo, al no haber sido previamente citado el Letrado defensor del entonces ya imputado y detenido el cual, según se desprende claramente de las actuaciones remitidas, ya contaba con Abogado. El testimonio así emitido, sin estar garantizada la posibilidad de contradicción del ya imputado, no puede integrar el material probatorio a la hora de dictar Sentencia (SSTC 80/1986, de 17 de junio, FJ ; 25/1988, de 23 de febrero, FJ 2; 51/1995, de 23 de febrero, FJ 2; 200/1996, de 3 de diciembre, FJ 2; 49/1998, de 2 de marzo, FJ 2; y 2/2002, de 14 de enero, FJ 6), pues ni en el momento de prestarse, ni en otro posterior, el recurrente ha tenido la posibilidad de interrogar a la denunciante. Por ello, resulta irrelevante el hecho de su lectura en el acto del juicio oral pues, como tal como se afirma en la STC 40/1997, 3 de diciembre (FJ 5), "ese vicio de origen (en el sumario) daña cualquier intento de reproducción válida y eficaz (en el juicio oral)".</w:t>
      </w:r>
    </w:p>
    <w:p w:rsidR="0025129F" w:rsidRDefault="0025129F" w:rsidP="0025129F">
      <w:pPr>
        <w:pStyle w:val="TextoNormal"/>
      </w:pPr>
      <w:r>
        <w:t>Por las mismas razones, carecen de la capacidad de erigirse en pruebas válidas y de cargo las declaraciones de los testigos, Sr. de Jong y Sr.  Clarkson (de quienes se dice en la Sentencia que son testigos de referencia) puesto que, sin necesidad de analizar dichos testimonios desde la perspectiva de su carácter incriminatorio, ninguno de aquellos prestó declaración en el Juzgado de Instrucción. Ambos declararon solamente ante la Guardia Civil, y así quedó plasmado en el atestado policial.  Ninguno de ellos prestó declaración ante el Juez de Instrucción, ni compareció al juicio oral, acto en el que, a instancia del Ministerio Fiscal, fueron leídos sus respectivos testimonios, obrantes en el atestado, lectura igualmente irrelevante, a los efectos de servir de prueba de cargo, tanto porque no fueron emitidos a presencia judicial, como por la razón ya expuesta respecto de la lectura de las declaraciones de la denunciante: la inexistencia de la garantía de contradicción cuando las mismas fueron hechas, o en un momento posterior.</w:t>
      </w:r>
    </w:p>
    <w:p w:rsidR="0025129F" w:rsidRDefault="0025129F" w:rsidP="0025129F">
      <w:pPr>
        <w:pStyle w:val="TextoNormal"/>
      </w:pPr>
      <w:r>
        <w:t>En consecuencia, es preciso coincidir con el demandante en que dichas pruebas - las declaraciones sumariales de la denunciante y las prestadas por los testigos que no comparecieron al acto del juicio-, por las razones antedichas no son pruebas válidas que puedan desvirtuar la presunción de inocencia.</w:t>
      </w:r>
    </w:p>
    <w:p w:rsidR="0025129F" w:rsidRDefault="0025129F" w:rsidP="0025129F">
      <w:pPr>
        <w:pStyle w:val="TextoNormal"/>
      </w:pPr>
    </w:p>
    <w:p w:rsidR="0025129F" w:rsidRDefault="0025129F" w:rsidP="0025129F">
      <w:pPr>
        <w:pStyle w:val="TextoNormal"/>
      </w:pPr>
      <w:r w:rsidRPr="0025129F">
        <w:rPr>
          <w:rStyle w:val="NumeroAFNegritaCaracter"/>
        </w:rPr>
        <w:t>5</w:t>
      </w:r>
      <w:r>
        <w:t>. No obstante lo precedentemente expuesto conviene destacar que su contenido es insuficiente para fundamentar la estimación de la demanda de amparo, pues para que procediera la estimación de la demanda de amparo por vulneración del derecho a la presunción de inocencia del demandante, la condena hubiera debido producirse sustentándose exclusivamente en dichas pruebas inválidas. Pero en el presente supuesto -como se destacó en los antecedentes de esta Sentencia- se han valorado otras pruebas cuya validez ni siquiera ha puesto en duda el demandante, por lo que la primera cuestión a abordar ha de ser si las resoluciones impugnadas han vulnerado el derecho a la presunción de inocencia, lo que obliga a examinar si prescindiendo de los elementos de prueba descartados anteriormente, existen otras pruebas válidas de la participación del recurrente en los hechos por los que ha sido condenado (SSTC 86/1995, de 6 de junio, FJ 6, y 126/2000, de 16 de mayo, FJ 10).</w:t>
      </w:r>
    </w:p>
    <w:p w:rsidR="0025129F" w:rsidRDefault="0025129F" w:rsidP="0025129F">
      <w:pPr>
        <w:pStyle w:val="TextoNormal"/>
      </w:pPr>
      <w:r>
        <w:t>En segundo lugar, y aun constatada la existencia de otras pruebas de cargo válidas, corresponde al Tribunal decidir si, a la vista del contenido de la decisión judicial condenatoria, es decir, a partir del exclusivo examen de las resoluciones judiciales, es posible man</w:t>
      </w:r>
      <w:r>
        <w:lastRenderedPageBreak/>
        <w:t>tener que la condena se ha fundado en pruebas de cargo válidas y suficientes para enervar la presunción de inocencia. El resultado de este análisis determinará el contenido del fallo que se nos solicita. En efecto, venimos sosteniendo que cuando es preciso realizar una nueva valoración probatoria por parte de los Tribunales debe decidirse la retroacción al momento anterior a dictar Sentencia, a fin de que sean los órganos judiciales quienes decidan si con las pruebas que subsisten mantienen su conclusión condenatoria o, por el contrario, deciden revisarla, todo ello ante la constatación de que a este Tribunal no le compete valorar pruebas. Mas cuando de dicho estudio de la Sentencia condenatoria se deriva una detallada motivación del valor probatorio de cada uno de los medios de prueba restantes, con una expresa consideración sobre su carácter de prueba de cargo, el Tribunal puede ejercer su control constitucional sin necesidad de reenvío a los órganos judiciales para una nueva valoración de los medios de prueba restantes (SSTC 161/1999, de 27 de septiembre, FJ 4; 171/1999, de 27 de septiembre, FJ 15; 8/2000, de 17 de enero, FJ 10, y 136/2000, de 29 de mayo, FJ 8).</w:t>
      </w:r>
    </w:p>
    <w:p w:rsidR="0025129F" w:rsidRDefault="0025129F" w:rsidP="0025129F">
      <w:pPr>
        <w:pStyle w:val="TextoNormal"/>
      </w:pPr>
      <w:r>
        <w:t>Pues bien, constatado lo anterior, es preciso constatar si en este caso existen otras pruebas válidamente practicadas y de cargo, así como si del propio contenido de la Sentencia se desprende ese razonamiento individualizado.</w:t>
      </w:r>
    </w:p>
    <w:p w:rsidR="0025129F" w:rsidRDefault="0025129F" w:rsidP="0025129F">
      <w:pPr>
        <w:pStyle w:val="TextoNormal"/>
      </w:pPr>
      <w:r>
        <w:t>Tal y como hemos expresado en los antecedentes de hecho de esta resolución, que damos aquí por reproducidos, la Sentencia de la Audiencia Provincial de Palma de Mallorca de 24 de diciembre de 1996, que condena al ahora recurrente en amparo como autor de un delito de violación, fundamenta expresamente la apreciación de los hechos que declara probados, y sobre los que construye el juicio de culpabilidad, no sólo en las declaraciones de la denunciante y de los mencionados testigos, sino también en otras pruebas.  Tales pruebas son, según expresamente se razona en el fundamento jurídico primero, la pericial de los dos facultativos que examinaron a la denunciante poco después de ser denunciados los hechos y de otros dos peritos, todos los cuales comparecieron a la vista oral, y las propias declaraciones del acusado, así como el dato, explícitamente mencionado en relación con la estimada oposición de la denunciante a los hechos, de que ésta hubiera mordido el pene del acusado.</w:t>
      </w:r>
    </w:p>
    <w:p w:rsidR="0025129F" w:rsidRDefault="0025129F" w:rsidP="0025129F">
      <w:pPr>
        <w:pStyle w:val="TextoNormal"/>
      </w:pPr>
      <w:r>
        <w:t>Por su parte, el Auto de la Sala de lo Penal del Tribunal Supremo de 24 de diciembre de 1996, que inadmitió el primero de los motivos de casación - relativo a la alegada vulneración del derecho a la presunción de inocencia- con fundamento en la actividad probatoria efectuada, expresiva, según se afirma, de la existencia de prueba de cargo. De entre esa actividad probatoria el Auto destaca el testimonio de la denunciante y se refiere también, a tal fin, a la declaración de uno de los testigos antes mencionados, así como al "dato objetivo de las lesiones producidas a la víctima recogidas en los hechos probados, tales como hematomas, arañazos y heridas contusas; [y] las propias lesiones sufridas por el acusado en el pene al ser mordido por la víctima".</w:t>
      </w:r>
    </w:p>
    <w:p w:rsidR="0025129F" w:rsidRDefault="0025129F" w:rsidP="0025129F">
      <w:pPr>
        <w:pStyle w:val="TextoNormal"/>
      </w:pPr>
      <w:r>
        <w:t>Ello significa que la condena se sustentó en pruebas válidas de cargo de las cuales extrae el órgano judicial la conclusión de la culpabilidad del acusado, de modo que no se ha producido una valoración conjunta de aquellas pruebas cuya invalidez hemos declarado.  Por el contrario, existe en la propia Sentencia un razonamiento específico que incluye la valoración y fundamentación probatoria expresa de cada uno de los medios de prueba, motivando su contenido incriminatorio.</w:t>
      </w:r>
    </w:p>
    <w:p w:rsidR="0025129F" w:rsidRDefault="0025129F" w:rsidP="0025129F">
      <w:pPr>
        <w:pStyle w:val="TextoNormal"/>
      </w:pPr>
      <w:r>
        <w:t xml:space="preserve">Por ello, descartada la validez de las declaraciones testificales de la denunciante y de los testigos de referencia, y desde el control externo que nos corresponde, que sólo nos autoriza a analizar la motivación de la adquisición probatoria realizada por el propio órgano judicial, procede denegar el amparo al recurrente por la vulneración de su derecho a </w:t>
      </w:r>
      <w:r>
        <w:lastRenderedPageBreak/>
        <w:t>la presunción de inocencia, pues ni la declaración de la víctima, ni la de los testigos de referencia resultan indispensables ni determinantes para el fallo de culpabilidad que, por el contrario, sigue asentado en el resto de las pruebas practicadas válidamente en el acto del juicio oral según el propio razonamiento contenido en las resoluciones combatidas, razonamiento que incluye una clara graduación de la intensidad incriminatoria de cada uno de los medios válidos con expresa referencia al fundamental elemento del tipo penal por el que se condena, es decir, el consentimiento de la víctima. En definitiva, en este caso, no procede acordar la retroacción de las actuaciones para el dictado de una nueva Sentencia, sino la desestimación del recurso de amparo (SSTC 84/1999, de 10 de mayo, FJ 4; 171/1999, de 27 de septiembre, FJ 15; y 238/1999, de 20 de diciembre, FJ 4)</w:t>
      </w:r>
    </w:p>
    <w:p w:rsidR="0025129F" w:rsidRDefault="0025129F" w:rsidP="0025129F">
      <w:pPr>
        <w:pStyle w:val="TextoNormal"/>
      </w:pPr>
    </w:p>
    <w:p w:rsidR="0025129F" w:rsidRDefault="0025129F" w:rsidP="0025129F">
      <w:pPr>
        <w:pStyle w:val="TextoNormal"/>
      </w:pPr>
      <w:r w:rsidRPr="0025129F">
        <w:rPr>
          <w:rStyle w:val="NumeroAFNegritaCaracter"/>
        </w:rPr>
        <w:t>6</w:t>
      </w:r>
      <w:r>
        <w:t>. Finalmente, el demandante de amparo invoca también la vulneración del derecho a la tutela judicial efectiva "en lo que se refiere a la inadmisión del recurso por los motivos tercero, cuarto y quinto del recurso de casación". En tales motivos se alegaba la infracción del art. 429 del Código Penal de 1973 por indebida aplicación (motivo tercero), la infracción de la Disposición transitoria primera de la Ley Orgánica 10/1995, de 23 de noviembre, en relación con el art. 179 del Código Penal vigente, por no haberse aplicado la normativa más favorable al reo (motivo cuarto) y la infracción de los arts.  20.2 y 21.1, ambos del Código Penal vigente, por su no aplicación (motivo quinto). El recurrente en amparo se remite, en cuanto al fundamento de tal alegación, a "[lo que] se explica en el último ordinal fáctico de la presente demanda de amparo". Pues bien, vista tal exposición, la cuestión planteada se concreta en la inaplicación de la normativa más favorable -que el recurrente en amparo entiende es el Código Penal de 1995-, cuestión que había sido desarrollada en el ya citado motivo cuarto del recurso de casación.</w:t>
      </w:r>
    </w:p>
    <w:p w:rsidR="0025129F" w:rsidRDefault="0025129F" w:rsidP="0025129F">
      <w:pPr>
        <w:pStyle w:val="TextoNormal"/>
      </w:pPr>
      <w:r>
        <w:t>Nuestro análisis no puede extenderse, a los fines expresados, al examen de la legislación (tanto la vigente cuando ocurrieron los hechos como la vigente en la actualidad), pues ello supondría, como señala la STC 5/2001, de 15 de enero (FJ 3), "verificar una interpretación de la legalidad penal que implicaría un pronunciamiento sobre cuestiones cuya resolución compete a los órganos de la jurisdicción penal"; por ello, según sigue diciendo dicha Sentencia, la función del Tribunal Constitucional ha de limitarse a comprobar si las resoluciones recurridas "pueden considerarse una respuesta válida desde la perspectiva del derecho fundamental a obtener la tutela judicial efectiva, pero no a pronunciarse sobre las cuestiones de fondo planteadas en la vía judicial".</w:t>
      </w:r>
    </w:p>
    <w:p w:rsidR="0025129F" w:rsidRDefault="0025129F" w:rsidP="0025129F">
      <w:pPr>
        <w:pStyle w:val="TextoNormal"/>
      </w:pPr>
      <w:r>
        <w:t>En el supuesto que nos ocupa la Sentencia de la Audiencia Provincial de Palma de Mallorca examina dicha cuestión (que, según indica, no fue planteada por la defensa del acusado) en su fundamento jurídico tercero, tras calificar los hechos como constitutivos del delito de violación del art. 429.1 del derogado Código Penal de 1973 y del art. 179 del actualmente vigente.  Efectúa al efecto la comparación entre las correspondientes penas y, después de señalar que podrían aplicarse al caso determinadas agravantes específicas del vigente art. 180 CP y que sólo son aplicables al anterior texto punitivo las reducciones ordinarias y extraordinarias, concluye que "resulta más favorable para el procesado la aplicación del Código Penal anterior".  Por su parte, el Auto de la Sala de lo Penal del Tribunal Supremo desestima el motivo correspondiente (indicando también que tal cuestión no había sido alegada en la instancia) e indica que la condena impuesta al acusado "está dentro de la pena prevista en el actual Código" y que "igualmente serían de aplicación las circunstancias previstas en el actual art. 180, lo cual agravaría la pena".</w:t>
      </w:r>
    </w:p>
    <w:p w:rsidR="0025129F" w:rsidRDefault="0025129F" w:rsidP="0025129F">
      <w:pPr>
        <w:pStyle w:val="TextoNormal"/>
      </w:pPr>
      <w:r>
        <w:t xml:space="preserve">La decisión adoptada por las expresadas resoluciones judiciales en el tema que nos ocupa es una decisión suficientemente razonada, expresamente fundada en la legalidad </w:t>
      </w:r>
      <w:r>
        <w:lastRenderedPageBreak/>
        <w:t>aplicable, ajena totalmente a criterios de arbitrariedad y no incursa en error patente.  Por todo ello ha de entenderse que tampoco se ha vulnerado en esta materia el derecho a la tutela judicial efectiva.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6" w:name="SENTENCIA_2002_13"/>
      <w:r>
        <w:lastRenderedPageBreak/>
        <w:t>SENTENCIA 13/2002, de 28 de enero de 2002</w:t>
      </w:r>
    </w:p>
    <w:bookmarkEnd w:id="16"/>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ECLI:ES:TC:2002:13</w:t>
      </w:r>
    </w:p>
    <w:p w:rsidR="0025129F" w:rsidRDefault="0025129F" w:rsidP="0025129F">
      <w:pPr>
        <w:pStyle w:val="SntesisDescriptiva"/>
      </w:pPr>
    </w:p>
    <w:p w:rsidR="0025129F" w:rsidRDefault="0025129F" w:rsidP="0025129F">
      <w:pPr>
        <w:pStyle w:val="SntesisDescriptiva"/>
      </w:pPr>
      <w:r>
        <w:t>Recurso de amparo 5375/97. Promovido por Frate, S.A., frente a la Sentencia de la Sala de lo Civil del Tribunal Supremo que desestimó su recurso de casación en un litigio sobre dominio de unos bienes inmuebles formulado por Construcciones Tucumán, S.A.</w:t>
      </w:r>
    </w:p>
    <w:p w:rsidR="0025129F" w:rsidRDefault="0025129F" w:rsidP="0025129F">
      <w:pPr>
        <w:pStyle w:val="SntesisDescriptiva"/>
      </w:pPr>
    </w:p>
    <w:p w:rsidR="0025129F" w:rsidRDefault="0025129F" w:rsidP="0025129F">
      <w:pPr>
        <w:pStyle w:val="SntesisAnaltica"/>
      </w:pPr>
      <w:r>
        <w:t>Supuesta vulneración del derecho a la tutela judicial efectiva (acceso a los recursos legales): inadmisión en Sentencia de recurso de casación por razón de la cuantía del pleito, no impugnada por la parte aunque mostrara su disconformidad.</w:t>
      </w:r>
    </w:p>
    <w:p w:rsidR="0025129F" w:rsidRDefault="0025129F" w:rsidP="0025129F">
      <w:pPr>
        <w:pStyle w:val="SntesisAnaltica"/>
      </w:pPr>
    </w:p>
    <w:p w:rsidR="0025129F" w:rsidRDefault="0025129F" w:rsidP="0025129F">
      <w:pPr>
        <w:pStyle w:val="Extracto"/>
      </w:pPr>
      <w:r>
        <w:t>1.</w:t>
      </w:r>
      <w:r>
        <w:tab/>
        <w:t>La Sentencia impugnada sostiene no es suficiente con la impugnación genérica de la cuantía del pleito en el escrito de contestación a la demanda, sino que es preciso insistir en ello en la comparecencia del juicio de menor cuantía, en lugar de esperar al resultado favorable o desfavorable de la segunda instancia. No puede tacharse a la Sentencia combatida de vulneradora del derecho a la tutela judicial efectiva por arbitraria o irrazonable [FJ 8].</w:t>
      </w:r>
    </w:p>
    <w:p w:rsidR="0025129F" w:rsidRDefault="0025129F" w:rsidP="0025129F">
      <w:pPr>
        <w:pStyle w:val="Extracto"/>
      </w:pPr>
    </w:p>
    <w:p w:rsidR="0025129F" w:rsidRDefault="0025129F" w:rsidP="0025129F">
      <w:pPr>
        <w:pStyle w:val="Extracto"/>
      </w:pPr>
      <w:r>
        <w:t>2.</w:t>
      </w:r>
      <w:r>
        <w:tab/>
        <w:t>Hemos de rechazar que la previa decisión de admisión de un recurso de casación provoque la intangibilidad de esta resolución (STC 309/2000) [FJ 7].</w:t>
      </w:r>
    </w:p>
    <w:p w:rsidR="0025129F" w:rsidRDefault="0025129F" w:rsidP="0025129F">
      <w:pPr>
        <w:pStyle w:val="Extracto"/>
      </w:pPr>
    </w:p>
    <w:p w:rsidR="0025129F" w:rsidRDefault="0025129F" w:rsidP="0025129F">
      <w:pPr>
        <w:pStyle w:val="Extracto"/>
      </w:pPr>
      <w:r>
        <w:t>3.</w:t>
      </w:r>
      <w:r>
        <w:tab/>
        <w:t>La ratio decidendi de la Sentencia dictada en casación no incurre en error patente, pues no parte estrictamente de que la cuantía del procedimiento no fuera impugnada, sino de que no lo fue adecuadamente [FJ 5].</w:t>
      </w:r>
    </w:p>
    <w:p w:rsidR="0025129F" w:rsidRDefault="0025129F" w:rsidP="0025129F">
      <w:pPr>
        <w:pStyle w:val="Extracto"/>
      </w:pPr>
    </w:p>
    <w:p w:rsidR="0025129F" w:rsidRDefault="0025129F" w:rsidP="0025129F">
      <w:pPr>
        <w:pStyle w:val="Extracto"/>
      </w:pPr>
      <w:r>
        <w:t>4.</w:t>
      </w:r>
      <w:r>
        <w:tab/>
        <w:t>La cuantía del procedimiento constituye un presupuesto procesal del recurso de casación impuesto por el legislador que no vulnera por sí el derecho a la tutela judicial efectiva, y que es materia de orden público (STC 201/1994) [FJ 6].</w:t>
      </w:r>
    </w:p>
    <w:p w:rsidR="0025129F" w:rsidRDefault="0025129F" w:rsidP="0025129F">
      <w:pPr>
        <w:pStyle w:val="Extracto"/>
      </w:pPr>
    </w:p>
    <w:p w:rsidR="0025129F" w:rsidRDefault="0025129F" w:rsidP="0025129F">
      <w:pPr>
        <w:pStyle w:val="Extracto"/>
      </w:pPr>
      <w:r>
        <w:t>5.</w:t>
      </w:r>
      <w:r>
        <w:tab/>
        <w:t>Derecho a la tutela judicial en su vertiente de acceso al recurso legal (SSTC 162/1998, 116/2000, 218/2001) [FJ 3].</w:t>
      </w:r>
    </w:p>
    <w:p w:rsidR="0025129F" w:rsidRDefault="0025129F" w:rsidP="0025129F">
      <w:pPr>
        <w:pStyle w:val="Extracto"/>
      </w:pPr>
    </w:p>
    <w:p w:rsidR="0025129F" w:rsidRDefault="0025129F" w:rsidP="0025129F">
      <w:pPr>
        <w:pStyle w:val="Extracto"/>
      </w:pPr>
      <w:r>
        <w:t>6.</w:t>
      </w:r>
      <w:r>
        <w:tab/>
        <w:t>Es preciso rechazar que el derecho a la tutela judicial efectiva incorpore un pretendido derecho a la obtención de una resolución sobre el fondo de la cuestión planteada (SSTC 8/1998, 3/2001) [FFJJ 2 y 6].</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5375/97, promovido por la sociedad Frate, S.A., representada por la Procuradora de los Tribunales doña Isabel Soberón García-Enterría y asistida por el Abogado don Javier Arauz de Robles López, contra la Sentencia dictada por la Sala Primera del Tribunal Supremo de 26 de noviembre de 1997 que declaró no haber lugar al recurso de casación interpuesto contra la Sentencia de 27 de mayo de 1993 dictada por la Audiencia Provincial de Madrid. Ha intervenido el Ministerio Fiscal. Ha comparecido la sociedad Construcciones Tucumán, S.A., representada por el Procurador don Pedro Alarcón Rosales y asistida por el Abogado don Eduardo García de Enterría. Ha sido Ponente el Magistrado don Roberto García-Calvo y Montiel,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el Tribunal el 22 de diciembre de 1997, la sociedad Frate, S.A., representada por la Procuradora doña Isabel Soberón García Enterría y defendida por el Abogado don Javier Arauz de Robles López, interpone recurso de amparo contra la Sentencia dictada por la Sala Primera del Tribunal Supremo de 26 de noviembre de 1997 que declaró no haber lugar al recurso de casación interpuesto contra la Sentencia de 27 de mayo de 1993 dictada por la Audiencia Provincial de Madrid que estimó el recurso de apelación formulado contra la Sentencia dictada por el Juzgado de Primera Instancia núm. 14 de los de Madrid en autos sobre juicio declarativo ordinario de menor cuantía.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relevantes para la resolución de este recurso son los siguientes: </w:t>
      </w:r>
    </w:p>
    <w:p w:rsidR="0025129F" w:rsidRDefault="0025129F" w:rsidP="0025129F">
      <w:pPr>
        <w:pStyle w:val="TextoNormal"/>
      </w:pPr>
      <w:r>
        <w:t xml:space="preserve">a) La sociedad Construcciones Tucumán, S.A., formuló demanda en juicio declarativo de menor cuantía sobre dominio de unos bienes inmuebles contra la demandante de amparo, la sociedad Frate, S.A., cuyo conocimiento correspondió al Juzgado de Primera Instancia núm. 14 de los de Madrid, donde se tramitó con el número 225/1990. En dicho procedimiento la sociedad demandante alegó, en el fundamento de Derecho III de la demanda promovida de contrario que "la tramitación a seguir es la prevista para el juicio declarativo ordinario de menor cuantía, habida cuenta del valor de esta demanda que se cifra en la cantidad de dos millones doscientas setenta y cinco mil pesetas (2.275.000), siendo por ello aplicable a estos efectos los artículos 484-1 y 680 y siguientes de la Ley de Enjuiciamiento Civil". </w:t>
      </w:r>
    </w:p>
    <w:p w:rsidR="0025129F" w:rsidRDefault="0025129F" w:rsidP="0025129F">
      <w:pPr>
        <w:pStyle w:val="TextoNormal"/>
      </w:pPr>
      <w:r>
        <w:t xml:space="preserve">b) Ante dicha manifestación de la demandante, la sociedad demandada y ahora recurrente en amparo, Frate, S.A., mantuvo en el fundamento de Derecho III lo siguiente: "De acuerdo con el tipo de tramitación procesal establecido en el correlativo de la demanda pero totalmente en desacuerdo con la cuantía que establecen a los terrenos de la litis, pues como ellos mismos manifiestan en su escrito, aquellos tienen un valor muy superior al que </w:t>
      </w:r>
      <w:r>
        <w:lastRenderedPageBreak/>
        <w:t xml:space="preserve">pretenden establecer... De hecho, a los actores les debe constar que a efectos de expropiación estos terrenos han sido valorados en 1.000 ptas/m2 por la Gerencia de Urbanismo. En todo caso, el valor determinado no alcanza los cien millones de pesetas (100.000.000 de pesetas) sin perjuicio de lo que resulte de la sentencia ...". </w:t>
      </w:r>
    </w:p>
    <w:p w:rsidR="0025129F" w:rsidRDefault="0025129F" w:rsidP="0025129F">
      <w:pPr>
        <w:pStyle w:val="TextoNormal"/>
      </w:pPr>
      <w:r>
        <w:t xml:space="preserve">c) Está claro, pues, para la sociedad recurrente en amparo que efectivamente mostró su disconformidad con la cuantía atribuida al bien objeto de litigio recordando, con cita del artículo 489 párrafo primero LEC, que el valor de los bienes inmuebles, cuando son éstos los que se reclaman en el procedimiento tiene que ser el de mercado, sin que pueda atribuirse a aquéllos un valor inferior al último que les haya asignado la Hacienda pública a los efectos tributarios. Además, en el segundo otrosí de la contestación de la demanda y para el supuesto que se acordara la anotación preventiva de la demanda se pretendía que el órgano judicial exigiera en concepto de caución a la demandante la cantidad de veinte millones de pesetas. Aún más cuando la sociedad demandante alegó en sede de casación que el recurso de casación era inadmisible en relación con el valor del bien litigioso se produjo inmediata reacción por parte de Frate, S.A. acreditando ante la Sala de lo Civil que por sólo 5.000 metros cuadrados que habían sido expropiados por el Ayuntamiento, éste había satisfecho la cantidad de 19.148.008 pesetas. </w:t>
      </w:r>
    </w:p>
    <w:p w:rsidR="0025129F" w:rsidRDefault="0025129F" w:rsidP="0025129F">
      <w:pPr>
        <w:pStyle w:val="TextoNormal"/>
      </w:pPr>
      <w:r>
        <w:t xml:space="preserve">d) De todo lo anteriormente expuesto se deduce, a juicio de la demandante de amparo, que nunca mostró su conformidad con la cuantía fijada en la demanda; por el contrario, lo impugnó expresamente. </w:t>
      </w:r>
    </w:p>
    <w:p w:rsidR="0025129F" w:rsidRDefault="0025129F" w:rsidP="0025129F">
      <w:pPr>
        <w:pStyle w:val="TextoNormal"/>
      </w:pPr>
      <w:r>
        <w:t xml:space="preserve">e) Concluido el procedimiento en la instancia, el Juzgado de Primera Instancia núm. 14 de Madrid dictó Sentencia el 26 de diciembre de 1990 plenamente desestimatoria de la demanda y absolutoria de la demandante de amparo. Dicha Sentencia fue recurrida en apelación ante la Audiencia Provincial de Madrid, donde correspondió a la Sección Decimotercera, que dictó Sentencia el 27 de mayo de 1993 estimando el recurso de apelación. Contra tal resolución, la demandante de amparo preparó recurso de casación recayendo providencia de 18 de febrero de 1994 que textualmente decía lo siguiente: " Se tiene por parte en los presentes autos en nombre de la entidad Frate S.A. a la Procuradora ... con quien se entenderán las sucesivas diligencias en forma legal; se tiene por interpuesto el recurso de casación que se deduce contra la Sentencia...". Ciertamente, Construcciones Tucumán, S.A., se opuso a la admisión, pero habiéndose planteado por el Ministerio Fiscal la cuestión de la inadmisibilidad del recurso de casación, la Sala Primera del Tribunal Supremo se pronunció por Auto de 7 de octubre de 1994 declarando que "sin perjuicio de considerarlo, en su caso, para el momento de la vista, es procedente declarar admitido el recurso interpuesto en estos autos por reunir los requisitos legales habida cuenta que la cuantía fijada en la demanda fue expresamente impugnada por la parte demandada- recurrente, el valor real atribuido a la finca por ambas partes, y el importe de la caución que se solicitó al contestar la demanda". </w:t>
      </w:r>
    </w:p>
    <w:p w:rsidR="0025129F" w:rsidRDefault="0025129F" w:rsidP="0025129F">
      <w:pPr>
        <w:pStyle w:val="TextoNormal"/>
      </w:pPr>
      <w:r>
        <w:t xml:space="preserve">Está claro para la sociedad recurrente en amparo, que el recurso se admitió en virtud del Auto parcialmente transcrito, el cual adquirió firmeza al ser consecuencia de un previo debate, lo cual evidencia que el Tribunal Supremo aceptó la cuantía del litigio como superior en todo caso a los seis millones de pesetas. Por lo tanto la Sentencia que declara la inadmisión del recurso, al sostener justamente lo contrario, viola no solamente el derecho que tiene un ciudadano a un fallo que se pronuncie sobre el fondo del asunto, sino todas las normas que rigen el proceso y entre ellas las que establecen la irrecurribilidad o imposible impugnación de las decisiones firmes y consentidas por las partes. Además, incurre en evidente contradicción y produce un resultado aleatorio y contrario a la seguridad que debe tener toda resolución judicial. </w:t>
      </w:r>
    </w:p>
    <w:p w:rsidR="0025129F" w:rsidRDefault="0025129F" w:rsidP="0025129F">
      <w:pPr>
        <w:pStyle w:val="TextoNormal"/>
      </w:pPr>
      <w:r>
        <w:lastRenderedPageBreak/>
        <w:t>f) Por lo tanto, a juicio de la sociedad recurrente, Frate, S.A., la Sentencia combatida incurre, en primer lugar, en un error manifiesto que consiste en afirmar que la cuantía no fue impugnada cuando lo fue, tal como se hace constar expresamente en el Auto de 7 de octubre de 1994. En segundo lugar, incurre en incongruencia, puesto que en una resolución se afirma que la cuantía del procedimiento fue impugnada y en la otra se afirma todo lo contrario, con lo que ambos pronunciamientos devienen incompatibles.</w:t>
      </w:r>
    </w:p>
    <w:p w:rsidR="0025129F" w:rsidRDefault="0025129F" w:rsidP="0025129F">
      <w:pPr>
        <w:pStyle w:val="TextoNormal"/>
      </w:pPr>
    </w:p>
    <w:p w:rsidR="0025129F" w:rsidRDefault="0025129F" w:rsidP="0025129F">
      <w:pPr>
        <w:pStyle w:val="TextoNormal"/>
      </w:pPr>
      <w:r w:rsidRPr="0025129F">
        <w:rPr>
          <w:rStyle w:val="NumeroAFNegritaCaracter"/>
        </w:rPr>
        <w:t>3</w:t>
      </w:r>
      <w:r>
        <w:t>. A la vista de los hechos que relata, la sociedad demandante de amparo considera que se ha vulnerado su derecho a la tutela judicial efectiva por parte de la Sala de lo Civil del Tribunal Supremo al declarar la desestimación del recurso de casación por la concurrencia de una causa de inadmisibilidad por razón de la cuantía. Ello, en primer lugar, ha impedido entrar a conocer del fondo de la cuestión planteada; en segundo lugar, se trata de una decisión que es irrazonable puesto que ha partido de un claro error de hecho -que integra la noción de error patente según la doctrina de este Tribunal- y, además, es contradictoria con el Auto previo en el que se declaró admitido el recurso por haberse impugnado la cuantía, por lo que suplica se dicte Sentencia estimando el recurso de amparo y consecuentemente se declare el deber del Tribunal Supremo de conocer sobre el fondo de la cuestión debatida al cumplirse todos los requisitos establecidos en la Ley y, en concreto, el relativo a que la cuantía del asunto sea superior a seis millones de pesetas.</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30 de marzo de 1998, la Sección Primera de este Tribunal acordó, conforme a lo dispuesto en el art. 88 LOTC, requerir atentamente a la Sala de lo Civil del Tribunal Supremo para que en el plazo de diez días remitiera copia del informe del Ministerio Fiscal en el recurso de casación. Recibida la copia del informe antes mencionado, por providencia de 1 de junio del mismo año se acordó admitir a trámite la demanda de amparo y de conformidad con lo previsto en el art. 51 LOTC requerir atentamente a la Sala de lo Civil del Tribunal Supremo, a la Audiencia Provincial de Madrid y al Juzgado de Primera Instancia núm. 14 de Madrid a fin de que remitieran testimonio de las actuaciones judiciales, interesándose al propio tiempo se emplazara a quienes fueron parte en el procedimiento, a excepción de la sociedad demandante de amparo, a fin de que comparecieran en el proceso constitucional en el plazo de diez días.</w:t>
      </w:r>
    </w:p>
    <w:p w:rsidR="0025129F" w:rsidRDefault="0025129F" w:rsidP="0025129F">
      <w:pPr>
        <w:pStyle w:val="TextoNormal"/>
      </w:pPr>
    </w:p>
    <w:p w:rsidR="0025129F" w:rsidRDefault="0025129F" w:rsidP="0025129F">
      <w:pPr>
        <w:pStyle w:val="TextoNormal"/>
      </w:pPr>
      <w:r w:rsidRPr="0025129F">
        <w:rPr>
          <w:rStyle w:val="NumeroAFNegritaCaracter"/>
        </w:rPr>
        <w:t>5</w:t>
      </w:r>
      <w:r>
        <w:t>. El 10 de julio de 1998 se registró en este Tribunal el escrito del Procurador don Pedro Alarcón Rosales personándose en nombre y representación de Construcciones Tucumán, S.A., bajo la dirección del Abogado don Eduardo García de Enterría. Por providencia de 15 de septiembre de 1998 la Sección primera acordó tener por recibidos los testimonios de las actuaciones judiciales, por personado y parte en nombre de su poderdante al Procurador don Pedro Alarcón Rosales y, a tenor de lo establecido en el art. 52 LOTC, dar vista de las actuaciones por plazo común de veinte días al Ministerio Fiscal y a las partes personadas a fin de que presentaran las alegaciones que a su derecho conviniera.</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26 de septiembre siguiente se registró en el Tribunal el escrito de alegaciones de la sociedad Frate, S.A., demandante de amparo. En dicho escrito, la recurrente manifestó que examinadas las actuaciones judiciales no existía ningún hecho nuevo ni razonamiento jurídico adicional a los recogidos en la demanda de amparo, por lo que ratificaba lo expuesto en la demanda de amparo insistiendo en que el Auto por el que se admitió a trámite el recurso de casación devino firme, puesto que se dictó previo debate y con la oposición </w:t>
      </w:r>
      <w:r>
        <w:lastRenderedPageBreak/>
        <w:t>del Ministerio Fiscal y que la Sentencia que se combate en el recurso de amparo es contradictoria con dicho Auto puesto que afirma que la cuantía del procedimiento es inferior a seis millones de pesetas y no había sido combatida por el recurrente, cuando en la primera resolución se afirma lo contrario. Ese error manifiesto y la incongruencia de la resolución recurrida han ocasionado la vulneración de su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9 de octubre de 1998 se presentó en el Tribunal el escrito de alegaciones del Ministerio Fiscal. Tras resaltar los antecedentes de hecho, el Fiscal considera que dadas las vulneraciones aquejadas por la sociedad demandante, no parece que la impugnación de la cuantía en el procedimiento civil se planteara por ésta de modo fundado y con la adecuada rigurosidad procesal. Para el Fiscal, no es dable entender la impugnación de la cuantía por el hecho de que la entonces demandada dijera en la contestación a la demanda que "en todo caso el valor determinado no alcanza los cien millones de pesetas", valoración de máximo que no incluye la propuesta por la actora. Tampoco se puede inferir la valoración de la cita del precepto legal sin comentario alguno. Asimismo, la exigencia de caución no tiene por qué guardar relación con el valor estimado del bien litigioso. </w:t>
      </w:r>
    </w:p>
    <w:p w:rsidR="0025129F" w:rsidRDefault="0025129F" w:rsidP="0025129F">
      <w:pPr>
        <w:pStyle w:val="TextoNormal"/>
      </w:pPr>
      <w:r>
        <w:t xml:space="preserve">Tampoco en la comparecencia se cuestionó la cuantía, estando contestes los Abogados en ella conforme expresa la Sentencia del Tribunal Supremo, pues es indudable que el juicio de menor cuantía abarca las pretensiones superiores a seis millones, pero también lo es que en ese acto se podía haber manifestado por el Abogado de la recurrente en torno a ese específico objeto y no se hizo. Finalmente, ni en el rollo de apelación ni en el de casación se observa rastro alguno de objeción a la cuantía fijada en la demanda. Es cierto -continúa el Fiscal- que la Audiencia Provincial debió pronunciarse sobre la preparación del recurso y no lo hizo, pero también lo es que en la formalización por el recurrente no se justificó en modo alguno la recurribilidad de la Sentencia de la Audiencia Provincial, mientras que la recurrida se opuso en el trámite de preparación y en la impugnación del recurso de casación, a juicio del Fiscal con fundamento. También el Fiscal ante el Tribunal Supremo se pronunció al respecto, mientras que no hay, como se sostiene en el recurso de amparo, réplica alguna a la impugnación del recurso de casación en este extremo. </w:t>
      </w:r>
    </w:p>
    <w:p w:rsidR="0025129F" w:rsidRDefault="0025129F" w:rsidP="0025129F">
      <w:pPr>
        <w:pStyle w:val="TextoNormal"/>
      </w:pPr>
      <w:r>
        <w:t xml:space="preserve">Por todo lo anterior, no se puede colegir de la simple actividad procesal de Frate, S.A. que la misma cuestionara la cuantía del procedimiento y esta es la razón, a juicio del Fiscal, por la que la decisión de admisión que se aduce por la demandante como contradictoria con la Sentencia no deja de tener un cierto carácter de provisionalidad, como sucede en el recurso de amparo en la LOTC, pero ello no empece a la apreciación de un motivo de inadmisión en la propia Sentencia que será entonces desestimatoria. Esta decisión tiene además una lógica procesal por cuanto a la hora de dictar Sentencia el Tribunal tiene a su disposición mayores elementos de juicio para tener en cuenta su apreciación. Es por ello que se permite que se reproduzcan tales motivos de inadmisión en las alegaciones o en la vista. </w:t>
      </w:r>
    </w:p>
    <w:p w:rsidR="0025129F" w:rsidRDefault="0025129F" w:rsidP="0025129F">
      <w:pPr>
        <w:pStyle w:val="TextoNormal"/>
      </w:pPr>
      <w:r>
        <w:t>Desde la óptica constitucional el Fiscal destaca que no se infiere de los anteriores datos que el Tribunal Supremo incurriera en un error manifiesto en el fundamento jurídico tercero de su resolución cuando señala que "la cuantía que se fija en la demanda no impugnada por la demandada, determina la de la litis a todos los efectos". Por lo tanto, puesto que no aparece dato alguno de impugnación concreta de la cuantía, sino alusiones vagas en escritos de Frate, S.A. en algunos casos y en el resto, la recurrente de amparo se ha dejado llevar por la inactividad de la Audiencia Provincial o por la aparente contradicción del Tribunal Supremo entre una admisión provisional y otra admisión definitiva, no puede ta</w:t>
      </w:r>
      <w:r>
        <w:lastRenderedPageBreak/>
        <w:t xml:space="preserve">charse ni de error y mucho menos de manifiesto la afirmación que lleva al fallo de inadmisión. </w:t>
      </w:r>
    </w:p>
    <w:p w:rsidR="0025129F" w:rsidRDefault="0025129F" w:rsidP="0025129F">
      <w:pPr>
        <w:pStyle w:val="TextoNormal"/>
      </w:pPr>
      <w:r>
        <w:t>A estos efectos -concluye el Fiscal- puede concluirse que el Tribunal Supremo ha accedido a otorgar la tutela judicial efectiva al aquí recurrente mediante una Sentencia que, sin entrar en el fondo, ha apreciado la concurrencia de un motivo de inadmisión basado en una causa legal debidamente razonada, por lo que interesa se dicte una Sentencia denegando el amparo solicitado.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escrito de 14 de octubre de 1998 la representación de Construcciones Tucumán, S.A., formuló sus alegaciones. </w:t>
      </w:r>
    </w:p>
    <w:p w:rsidR="0025129F" w:rsidRDefault="0025129F" w:rsidP="0025129F">
      <w:pPr>
        <w:pStyle w:val="TextoNormal"/>
      </w:pPr>
      <w:r>
        <w:t xml:space="preserve">Parte la demandada de que en la demanda que inició el procedimiento civil se recogió como cuantía del procedimiento la de 2.275.000 pesetas, cantidad ésta superior a las 675.000 pesetas fijadas en las escrituras públicas celebradas entre los demandados en su momento. En segundo lugar, los demandados, pese a las afirmaciones vertidas en su recurso, nunca impugnaron esa cuantía ni la admisión de la misma por parte del Juzgado. Para la sociedad Construcciones Tucumán, S.A., las afirmaciones contenidas en el escrito de contestación a la demanda de Frate, S.A., no constituyen impugnación, puesto que la impugnación de la cuantía conforme a las disposiciones de enjuiciamiento civil ha de realizarse mediante la interposición de los oportunos recursos y si los demandados en el procedimiento civil no estaban de acuerdo con la cuantía fijada debieron, conforme al artículo 240 LOPJ, interponer el correspondiente recurso. </w:t>
      </w:r>
    </w:p>
    <w:p w:rsidR="0025129F" w:rsidRDefault="0025129F" w:rsidP="0025129F">
      <w:pPr>
        <w:pStyle w:val="TextoNormal"/>
      </w:pPr>
      <w:r>
        <w:t xml:space="preserve">En tercer lugar resalta la compañía Construcciones Tucumán, S.A., que, seguida la tramitación del proceso y recaída Sentencia en el recurso de apelación, los demandados prepararon recurso de casación y la demandada se opuso a la admisión del recurso de casación, aunque esta oposición fue desestimada por haber perdido ya la competencia la Audiencia Provincial. </w:t>
      </w:r>
    </w:p>
    <w:p w:rsidR="0025129F" w:rsidRDefault="0025129F" w:rsidP="0025129F">
      <w:pPr>
        <w:pStyle w:val="TextoNormal"/>
      </w:pPr>
      <w:r>
        <w:t xml:space="preserve">En cuarto lugar, formalizado el recurso de casación, el Ministerio Fiscal se opuso a la admisión, precisamente por razón de la cuantía sin que en este trámite tuviera intervención alguna la parte demandada y por Auto de 7 de octubre de 1994 se admitió el recurso de casación, pero haciendo constar que esta admisión era "sin perjuicio de que en la fase de plenario puedan ser tenidas en cuenta las razones del Ministerio Fiscal". </w:t>
      </w:r>
    </w:p>
    <w:p w:rsidR="0025129F" w:rsidRDefault="0025129F" w:rsidP="0025129F">
      <w:pPr>
        <w:pStyle w:val="TextoNormal"/>
      </w:pPr>
      <w:r>
        <w:t xml:space="preserve">Precisamente en la vista pública del recurso de casación, celebrada el 11 de septiembre de 1997, la parte ahora recurrente alegó lo que consideró conveniente sobre la admisibilidad del recurso a la que se habían opuesto tanto el Ministerio Fiscal como Construcciones Tucumán, S.A., y, oídas todas las partes, en la Sentencia se entendió por el Tribunal Supremo que concurría una causa de inadmisión que en ese trámite se convertía en causa de desestimación. </w:t>
      </w:r>
    </w:p>
    <w:p w:rsidR="0025129F" w:rsidRDefault="0025129F" w:rsidP="0025129F">
      <w:pPr>
        <w:pStyle w:val="TextoNormal"/>
      </w:pPr>
      <w:r>
        <w:t xml:space="preserve">Considera Construcciones Tucumán, S.A., en primer lugar, que la demandante de amparo yerra al pretender que tiene un derecho fundamental a que el Tribunal Supremo se pronuncie sobre el fondo de la cuestión examinada en contra de la doctrina de este Tribunal. Por el contrario, de acuerdo con la doctrina de este Tribunal que cita, el hecho de que se declare inadmisible una pretensión no implica una violación del art. 24.1 CE; precisamente por ello, el principio pro actione no rige con la misma intensidad en la fase de recurso, por lo que se ha reconocido la plena constitucionalidad de las causas de inadmisibilidad y de exclusión de los recursos. Lo único que exige la doctrina del Tribunal Constitucional es que la inadmisión se base en una causa legal y que no se aplique, en su caso, de una manera no justificada o irrazonable. </w:t>
      </w:r>
    </w:p>
    <w:p w:rsidR="0025129F" w:rsidRDefault="0025129F" w:rsidP="0025129F">
      <w:pPr>
        <w:pStyle w:val="TextoNormal"/>
      </w:pPr>
      <w:r>
        <w:lastRenderedPageBreak/>
        <w:t xml:space="preserve">Por otro lado, la interpretación de las Leyes es un tema de legalidad ordinaria y es de competencia exclusiva de los Jueces y Tribunales ordinarios, de manera que esa interpretación sólo puede reputarse contraria a la tutela efectiva cuando la resolución judicial impugnada incurra en arbitrariedad o en el absurdo, de modo que, conforme a la doctrina del Tribunal, es a la Sala Primera del Tribunal Supremo a la que le compete decir la última palabra sobre la admisibilidad de los recursos de casación ante ella interpuestos. </w:t>
      </w:r>
    </w:p>
    <w:p w:rsidR="0025129F" w:rsidRDefault="0025129F" w:rsidP="0025129F">
      <w:pPr>
        <w:pStyle w:val="TextoNormal"/>
      </w:pPr>
      <w:r>
        <w:t xml:space="preserve">La aplicación de dicha doctrina demuestra, para esta parte, la inexistencia de la violación denunciada. En primer lugar, la causa de inadmisibilidad está expresamente recogida en el artículo 1687.1.c LEC entonces vigente, en relación con los artículos </w:t>
      </w:r>
    </w:p>
    <w:p w:rsidR="0025129F" w:rsidRDefault="0025129F" w:rsidP="0025129F">
      <w:pPr>
        <w:pStyle w:val="TextoNormal"/>
      </w:pPr>
      <w:r>
        <w:t xml:space="preserve">1697 y 1710 de la misma. La interpretación dada por la Sentencia recurrida no sólo no es arbitraria ni absurda, sino que responde a la doctrina mantenida por el Tribunal Supremo en las Sentencias que se recogen en la propia Sentencia recurrida. Según esta doctrina, la cuantía del proceso es la concretada y admitida en los escritos iniciales sin que pueda modificarse con posterioridad, a medida de la conveniencia de las partes. Y esa admisión es la formal, sin que sea suficiente una simple alegación genérica de oposición. El Juzgado aceptó a trámite una demanda, con una cuantía concreta y un trámite igualmente concreto. Si los demandados en el procedimiento civil antecedente, y actualmente recurrentes en amparo, no estaban de acuerdo con ella debían haberla impugnado y no limitarse a decir genéricamente que no era la correcta sin fijar otra distinta. Lo cierto es que, al no plantear en forma la cuestión, la sociedad ahora demandante la consintió, sin que sea admisible que se plantee en un recurso extraordinario como es el de casación. Esta cuestión de la cuantía no pudo por lo tanto ser resuelta ni por el Juzgado ni por la Audiencia con contradicción y con la prueba pertinente. </w:t>
      </w:r>
    </w:p>
    <w:p w:rsidR="0025129F" w:rsidRDefault="0025129F" w:rsidP="0025129F">
      <w:pPr>
        <w:pStyle w:val="TextoNormal"/>
      </w:pPr>
      <w:r>
        <w:t xml:space="preserve">Además, la demandada recuerda que los demandantes de amparo, antes de iniciarse el procedimiento, habían valorado los bienes en 675.000 pesetas, cifra ésta que han considerado válida en todas las operaciones internas que realizaron y que fueron origen de la demanda, en las liquidaciones de impuestos e incluso a efectos procesales, lo que implica la existencia de actos propios de los demandantes aceptando precios de fincas rústicas. </w:t>
      </w:r>
    </w:p>
    <w:p w:rsidR="0025129F" w:rsidRDefault="0025129F" w:rsidP="0025129F">
      <w:pPr>
        <w:pStyle w:val="TextoNormal"/>
      </w:pPr>
      <w:r>
        <w:t xml:space="preserve">Finalmente, las alegaciones efectuadas en relación con el Auto de 7 de octubre de 1997 son irrelevantes a estos efectos, puesto que los autos sobre admisión o inadmisión no prejuzgan ni limitan la competencia del plenario para resolver sobre la procedencia de la admisión, por lo que no puede hablarse de firmeza de los mismos, como lo demuestra el número de Sentencias del Tribunal Supremo sobre esta materia, según la cual ni la admisión de la preparación del recurso por la Audiencia, ni la admisión por el Tribunal Supremo prejuzgan ni condicionan la resolución que dicte la Sala al conocer el fondo del asunto. Ello, además, es plenamente concorde con la naturaleza de la intervención en esta fase, pues en fase de admisión la Sala resuelve con intervención del Ministerio Fiscal, pero sin intervención de las demás partes procesales, conforme a los artículos 1709 y 1710 LEC. Ni siquiera es necesaria la intervención de la parte recurrente, salvo en el caso específico del número 3 del artículo 1710. </w:t>
      </w:r>
    </w:p>
    <w:p w:rsidR="0025129F" w:rsidRDefault="0025129F" w:rsidP="0025129F">
      <w:pPr>
        <w:pStyle w:val="TextoNormal"/>
      </w:pPr>
      <w:r>
        <w:t>Es patente, dado el principio constitucional de igualdad de armas, que no puede reconocerse efectos permanentes a una resolución judicial dictada sin contradicción, por lo que la pretensión del recurrente de conferir efectos ni más ni menos de que cosa juzgada a dicho auto, carece de sentido. No tiene estos efectos ni por su naturaleza - medida provisional-, ni por sus propios términos -expresamente se deja a salvo la posibilidad de tenerse en cuenta en el plenario-. La decisión de los miembros de la Sala que dictan la medida provisional no puede vincular a la que adopten en el plenario. De admitirse esta tesis se recono</w:t>
      </w:r>
      <w:r>
        <w:lastRenderedPageBreak/>
        <w:t xml:space="preserve">cería la posibilidad, claramente inconstitucional, de resolver una cuestión sin intervención de las otras partes personadas. </w:t>
      </w:r>
    </w:p>
    <w:p w:rsidR="0025129F" w:rsidRDefault="0025129F" w:rsidP="0025129F">
      <w:pPr>
        <w:pStyle w:val="TextoNormal"/>
      </w:pPr>
      <w:r>
        <w:t xml:space="preserve">Finalmente, la sociedad Construcciones Tucumán, S.A., considera que no puede en ningún caso hablarse de indefensión. Por un lado no cabe hablar de indefensión cuando han existido dos instancias con pronunciamiento sobre el fondo. En términos constitucionales, pues, los recurrentes han tenido la oportunidad de alegar todo lo que han estimado conveniente y existen dos Sentencias sobre el fondo. Pero, además, y en cuanto a la propia casación (a la que no existe un derecho constitucionalmente admitido) tampoco existe indefensión puesto que, quizá por esta razón, el Tribunal Supremo admitió a trámite el recurso pero posteriormente, después de celebrarse la vista pública en la que el recurrente alegó cuanto consideró tanto sobre el fondo, como sobre la admisión, decidió lo contrario. En definitiva, de existir alguna indefensión sería la de la sociedad demandada que señaló una cuantía a efectos procesales que fue aceptada por los demandados al no recurrirla. </w:t>
      </w:r>
    </w:p>
    <w:p w:rsidR="0025129F" w:rsidRDefault="0025129F" w:rsidP="0025129F">
      <w:pPr>
        <w:pStyle w:val="TextoNormal"/>
      </w:pPr>
      <w:r>
        <w:t>Como conclusión, pues, la sociedad demandada interesa la desestimación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10 de enero de 2002 se señaló el día 14 del mismo mes y año para la deliberación y fallo del presente recurso de amparo, día en el que comenzó habiendo terminado en el día de hoy.</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sociedad Frate, S.A., promueve este recurso de amparo contra la Sentencia dictada por la Sala de lo Civil del Tribunal Supremo de 26 de noviembre de 1997, por la que se declaró no haber lugar al recurso de casación interpuesto contra la Sentencia dictada en apelación por la Audiencia Provincial de Madrid, al concurrir una causa de inadmisión del recurso -basada en la cuantía del procedimiento- que a la hora de dictar Sentencia se convertía en causa de desestimación. Considera el recurrente que se ha vulnerado su derecho a la tutela judicial efectiva proclamado en el artículo 24.1 CE porque, en primer lugar, la decisión del órgano judicial ha impedido entrar a conocer el fondo del asunto; seguidamente, por tratarse de una resolución irrazonable por estar basada en un claro error de hecho (la no impugnación de la cuantía del procedimiento por su parte); en tercer y último lugar, por ir en contra de la previa decisión de admisión del recurso de amparo acordada por el mismo Tribunal en la fase correspondiente, lo cual es incoherente con la decisión posterior de inadmisión.</w:t>
      </w:r>
    </w:p>
    <w:p w:rsidR="0025129F" w:rsidRDefault="0025129F" w:rsidP="0025129F">
      <w:pPr>
        <w:pStyle w:val="TextoNormal"/>
      </w:pPr>
    </w:p>
    <w:p w:rsidR="0025129F" w:rsidRDefault="0025129F" w:rsidP="0025129F">
      <w:pPr>
        <w:pStyle w:val="TextoNormal"/>
      </w:pPr>
      <w:r w:rsidRPr="0025129F">
        <w:rPr>
          <w:rStyle w:val="NumeroAFNegritaCaracter"/>
        </w:rPr>
        <w:t>2</w:t>
      </w:r>
      <w:r>
        <w:t>. Por el mismo orden que plantea la sociedad recurrente, es preciso rechazar, como alegan tanto el Ministerio Fiscal como la sociedad aquí demandada, que el derecho a la tutela judicial efectiva incorpore un pretendido derecho a la obtención de una resolución sobre el fondo de la cuestión planteada. Para rechazar la concurrencia de dicha lesión basta con acudir a nuestra doctrina más que asentada sobre el contenido de este derecho fundamental. Hemos dicho con reiteración que el derecho a la tutela judicial efectiva comprende el de acceder a la jurisdicción y obtener de ella una resolución de fondo que, no obstante, puede ser eludida y limitarse a una resolución de inadmisión por aplicación razonable y proporcionada al fin de la normativa rectora del proceso, es decir si concurre causa legal para ello y así se aprecia razonablemente por el órgano judicial, ya que el derecho a la tutela judicial efectiva es un derecho de naturaleza prestacional de configura</w:t>
      </w:r>
      <w:r>
        <w:lastRenderedPageBreak/>
        <w:t>ción legal cuyo ejercicio está supeditado a la concurrencia de los presupuestos y requisitos procesales que, en cada caso, haya establecido el legislador (SSTC 8/1998, de 13 de enero, FJ 3; 115/1999, de 14 de junio, FJ 2; 122/1999, de 28 de junio, FJ 2; 108/2000, de 5 de mayo, FJ 3; 158/2000, de 12 de junio, FJ 5; 252/2000, de 30 de octubre, FJ 2; y 3/2001, de 15 de enero, FJ 5).</w:t>
      </w:r>
    </w:p>
    <w:p w:rsidR="0025129F" w:rsidRDefault="0025129F" w:rsidP="0025129F">
      <w:pPr>
        <w:pStyle w:val="TextoNormal"/>
      </w:pPr>
    </w:p>
    <w:p w:rsidR="0025129F" w:rsidRDefault="0025129F" w:rsidP="0025129F">
      <w:pPr>
        <w:pStyle w:val="TextoNormal"/>
      </w:pPr>
      <w:r w:rsidRPr="0025129F">
        <w:rPr>
          <w:rStyle w:val="NumeroAFNegritaCaracter"/>
        </w:rPr>
        <w:t>3</w:t>
      </w:r>
      <w:r>
        <w:t>. No obstante, del contenido de la demanda de amparo puede desprenderse que la queja nuclear del demandante se refiere a la vulneración de su derecho a la tutela judicial efectiva desde la vertiente de acceso a los recursos, aspecto sobre el cual nuestra doctrina se encuentra también consolidada. Partiendo de la Sentencia de Pleno número 37/1995, de 7 de febrero (FJ 5), se mantiene por este Tribunal de modo constante en el tiempo que, así como el acceso a la jurisdicción es un elemento esencial del contenido del derecho a la tutela judicial efectiva, el sistema de recursos frente a las diferentes resoluciones judiciales ha de incorporarse al mencionado derecho fundamental proclamado en el artículo 24.1 CE en la concreta configuración que reciba en cada una de las leyes de enjuiciamiento que regulan los distintos órdenes jurisdiccionales, con la excepción del orden jurisdiccional penal. De tal suerte que, mientras que el principio pro actione despliega toda su efectividad cuando se trata del acceso a la jurisdicción, cuando se trata del acceso a los recursos, con la excepción del derecho al doble grado de jurisdicción en la vía penal, el control constitucional de las decisiones judiciales que declaran la inadmisibilidad de los recursos ha de ceñirse en el resto de los órdenes jurisdiccionales al análisis de si la resolución judicial de inadmisión ha incurrido en error patente, arbitrariedad o manifiesta irrazonabilidad, o si se ha adoptado de modo excesivamente rigorista y resulta por ello una desproporción entre la causa de inadmisión advertida y las consecuencias que se han seguido para la efectividad de la tutela judicial, teniendo en cuenta, tanto la naturaleza del cauce procesal como las especiales circunstancias concurrentes en cada caso (SSTC 162/1998, de 14 de julio, FJ 2; 192/1998, de 29 de septiembre, FJ 2; 216/1998, de 16 de noviembre, FJ 2, 10/1999, de 8 de febrero, FJ, 23/1999, de 8 de marzo, FJ 2; 121/1999, de 28 de junio, FJ 3, 94/2000, de 10 de abril, FJ 5, 116/2000, de 5 de mayo, FJ 3; 251/2000, de 30 de octubre, FJ 3; y 218/2001, de 31 de octubre, FJ 3, in fine, por citar solamente algunas de las más recientes).</w:t>
      </w:r>
    </w:p>
    <w:p w:rsidR="0025129F" w:rsidRDefault="0025129F" w:rsidP="0025129F">
      <w:pPr>
        <w:pStyle w:val="TextoNormal"/>
      </w:pPr>
    </w:p>
    <w:p w:rsidR="0025129F" w:rsidRDefault="0025129F" w:rsidP="0025129F">
      <w:pPr>
        <w:pStyle w:val="TextoNormal"/>
      </w:pPr>
      <w:r w:rsidRPr="0025129F">
        <w:rPr>
          <w:rStyle w:val="NumeroAFNegritaCaracter"/>
        </w:rPr>
        <w:t>4</w:t>
      </w:r>
      <w:r>
        <w:t>. Del contenido de las actuaciones judiciales -sólo parcialmente expuestas por la entidad demandante en su recurso de amparo- se desprende, a los efectos que nos interesan, lo siguiente:</w:t>
      </w:r>
    </w:p>
    <w:p w:rsidR="0025129F" w:rsidRDefault="0025129F" w:rsidP="0025129F">
      <w:pPr>
        <w:pStyle w:val="TextoNormal"/>
      </w:pPr>
      <w:r>
        <w:t>a) Tal como relata la referida sociedad en su recurso, la compañía Construcciones Tucumán, S.A., actora en el procedimiento civil, fijó como cuantía del procedimiento la de dos millones doscientas setenta y cinco mil pesetas. Esta cuantía no fue aceptada por la sociedad ahora recurrente en su contestación a la demanda. Nos remitimos a lo transcrito en los antecedentes de hecho de esta Sentencia y, en concreto, a lo que se expone en el antecedente segundo en relación con el comportamiento procesal de la demandante de amparo, Frate, S.A., en lo que respecta a la forma de expresar su discrepancia con la cuantía del procedimiento.</w:t>
      </w:r>
    </w:p>
    <w:p w:rsidR="0025129F" w:rsidRDefault="0025129F" w:rsidP="0025129F">
      <w:pPr>
        <w:pStyle w:val="TextoNormal"/>
      </w:pPr>
      <w:r>
        <w:t>b) En la misma contestación a la demanda, la sociedad recurrente en amparo, por medio de otrosí y a la vista de la petición de anotación preventiva de la demanda, manifestó que "teniendo en cuenta la posible duración del pleito, los daños que se causan a los demandados, el valor de los bienes y la posible insolvencia de la sociedad actora si la Sentencia les fuera desfavorable" interesaba la fijación de caución en la suma de 20.000.000 de pesetas.</w:t>
      </w:r>
    </w:p>
    <w:p w:rsidR="0025129F" w:rsidRDefault="0025129F" w:rsidP="0025129F">
      <w:pPr>
        <w:pStyle w:val="TextoNormal"/>
      </w:pPr>
      <w:r>
        <w:lastRenderedPageBreak/>
        <w:t>c) El Juez, por providencia de 18 de octubre de 1990, acordó la cifra de siete millones de pesetas en concepto de caución para la referida anotación.</w:t>
      </w:r>
    </w:p>
    <w:p w:rsidR="0025129F" w:rsidRDefault="0025129F" w:rsidP="0025129F">
      <w:pPr>
        <w:pStyle w:val="TextoNormal"/>
      </w:pPr>
      <w:r>
        <w:t>d) Contestada la demanda y citadas las partes a la comparecencia prevista en el artículo 691 de la Ley de Enjuiciamiento Civil entonces vigente, ninguna de las partes realizó manifestación alguna sobre la cuantía del procedimiento. Ambas se limitaron a hacer constar que estaban de acuerdo con que el litigio se resolviera en el procedimiento de menor cuantía.</w:t>
      </w:r>
    </w:p>
    <w:p w:rsidR="0025129F" w:rsidRDefault="0025129F" w:rsidP="0025129F">
      <w:pPr>
        <w:pStyle w:val="TextoNormal"/>
      </w:pPr>
      <w:r>
        <w:t>e) Ante la Sentencia dictada por la Audiencia Provincial de Madrid, que revocó la dictada en instancia y estimó el recurso de apelación de la sociedad Construcciones Tucumán, S.A., la recurrente de amparo presentó escrito preparando recurso de casación.</w:t>
      </w:r>
    </w:p>
    <w:p w:rsidR="0025129F" w:rsidRDefault="0025129F" w:rsidP="0025129F">
      <w:pPr>
        <w:pStyle w:val="TextoNormal"/>
      </w:pPr>
      <w:r>
        <w:t>En dicho escrito manifestó que en prueba de que la cuantía litigiosa excedía de seis millones de pesetas, adjuntaba a dicho escrito, como documento núm. 1, acta de pago y ocupación expedida por la Gerencia Municipal de Urbanismo del Excelentísimo Ayuntamiento de Madrid de la que se desprendía que el justiprecio pagado por una parcela de 6.150 metros cuadrados, ascendía a 19.148.008 pesetas el 4 de mayo de 1990, resaltando que la demanda estaba fechada en febrero de 1990.</w:t>
      </w:r>
    </w:p>
    <w:p w:rsidR="0025129F" w:rsidRDefault="0025129F" w:rsidP="0025129F">
      <w:pPr>
        <w:pStyle w:val="TextoNormal"/>
      </w:pPr>
      <w:r>
        <w:t>f) La demandante en el procedimiento civil, Construcciones Tucumán, S.A., se opuso a la admisión del recurso de casación alegando que, por la cuantía del procedimiento, no cabía recurso de casación, pero la Sala decidió el 14 de noviembre de 1993 tener por preparado dicho recurso por haberse "dado cumplimiento a cuanto ordenan los artículos 1694 y ss de la LEC" y ordenó remitir las actuaciones a la Sala Primera del Tribunal Supremo.</w:t>
      </w:r>
    </w:p>
    <w:p w:rsidR="0025129F" w:rsidRDefault="0025129F" w:rsidP="0025129F">
      <w:pPr>
        <w:pStyle w:val="TextoNormal"/>
      </w:pPr>
      <w:r>
        <w:t>g) Llegados los autos a la Sala, se dio el preceptivo traslado al Ministerio Fiscal que, en dictamen de 26 de abril siguiente, mantuvo que, al no haberse discutido la cuantía del procedimiento fijada por la actora ni en la contestación a la demanda ni en la comparecencia, no procedía admitir a trámite el recurso de casación, a lo cual respondió la Sala, por Auto de 7 de octubre de 1994 que, sin perjuicio de acordar lo que procediera en el momento de dictar Sentencia, "es procedente declarar admitido el recurso interpuesto en estos autos por reunir los requisitos legales, habida cuenta de que la cuantía fijada en la demanda fue expresamente recurrida por la parte demandada recurrente, el valor atribuido a la finca por ambas partes y el importe de la caución que se solicitó al contestar a la demanda".</w:t>
      </w:r>
    </w:p>
    <w:p w:rsidR="0025129F" w:rsidRDefault="0025129F" w:rsidP="0025129F">
      <w:pPr>
        <w:pStyle w:val="TextoNormal"/>
      </w:pPr>
      <w:r>
        <w:t>h) Finalmente, admitido el recurso a trámite, la sociedad Construcciones Tucumán, S.A., en la fase de impugnación, con carácter previo al examen de los motivos de casación alegados por la demandante de amparo, mantuvo que el recurso era inadmisible y por lo tanto debía ser desestimado en Sentencia porque la cuantía del procedimiento no alcanzaba los seis millones de pesetas, tesis esta que fue admitida por la Sala en la Sentencia que se combate, en los términos ya expresados en los antecedentes de hecho de esta resolución.</w:t>
      </w:r>
    </w:p>
    <w:p w:rsidR="0025129F" w:rsidRDefault="0025129F" w:rsidP="0025129F">
      <w:pPr>
        <w:pStyle w:val="TextoNormal"/>
      </w:pPr>
    </w:p>
    <w:p w:rsidR="0025129F" w:rsidRDefault="0025129F" w:rsidP="0025129F">
      <w:pPr>
        <w:pStyle w:val="TextoNormal"/>
      </w:pPr>
      <w:r w:rsidRPr="0025129F">
        <w:rPr>
          <w:rStyle w:val="NumeroAFNegritaCaracter"/>
        </w:rPr>
        <w:t>5</w:t>
      </w:r>
      <w:r>
        <w:t>. Dado que la demandante de amparo imputa, en primer término, a la Sentencia dictada en casación un error de hecho patente. Y dicho error estaría representado, según ella, por la afirmación de que la cuantía del procedimiento no fue impugnada por su parte, cuando, de conformidad con el auto de admisión, tal impugnación se habría producido en la contestación a la demanda, resulta obligado recordar nuestra doctrina al respecto.</w:t>
      </w:r>
    </w:p>
    <w:p w:rsidR="0025129F" w:rsidRDefault="0025129F" w:rsidP="0025129F">
      <w:pPr>
        <w:pStyle w:val="TextoNormal"/>
      </w:pPr>
      <w:r>
        <w:t xml:space="preserve">En cuanto a la noción de error patente hemos dicho (últimamente en la STC 134/2001, de 13 de junio, FJ 7) que para que un error judicial provoque la vulneración del derecho proclamado en el artículo 24.1 CE, en primer lugar, ha de resultar determinante para la decisión adoptada. En segundo término, no debe ser imputable a la parte, sino exclusivamente al órgano judicial.  Seguidamente, debe tratarse de un error material o de hecho, no </w:t>
      </w:r>
      <w:r>
        <w:lastRenderedPageBreak/>
        <w:t>de un error de derecho, ser, obviamente, patente, es decir verificable de forma clara e incontrovertible a partir de las propias actuaciones judiciales y, finalmente, ha de producir efectos perjudiciales reales para el ciudadano (en el mismo sentido, SSTC 117/1996, de 25 de junio, FJ 4; 63/1998, de 17 de marzo, FJ 2; 150/2000, de 12 de junio, FJ 2; y 168/2000, de 26 de junio, FJ 4).</w:t>
      </w:r>
    </w:p>
    <w:p w:rsidR="0025129F" w:rsidRDefault="0025129F" w:rsidP="0025129F">
      <w:pPr>
        <w:pStyle w:val="TextoNormal"/>
      </w:pPr>
      <w:r>
        <w:t>Pues bien, con sólo aplicar el canon precedentemente expuesto, debemos concluir que la decisión de la Sala de lo Civil del Tribunal Supremo no ha sido fruto de un error fáctico patente. Como el propio demandante de amparo reconoce, la ratio decidendi de la Sentencia dictada en casación no parte estrictamente de que la cuantía del procedimiento no fuera impugnada, sino de que no lo fue adecuadamente, dado que a la impugnación genérica de la cuantía en la contestación a la demanda no le siguió el debate en la comparecencia del juicio de menor cuantía. Por lo tanto, se trata de una cuestión relativa a la interpretación de los presupuestos procesales, pero no de una decisión basada en el error respecto de un hecho determinante para la desestimación del recurso de casación.</w:t>
      </w:r>
    </w:p>
    <w:p w:rsidR="0025129F" w:rsidRDefault="0025129F" w:rsidP="0025129F">
      <w:pPr>
        <w:pStyle w:val="TextoNormal"/>
      </w:pPr>
      <w:r>
        <w:t>Descartado, pues, el error patente como motivador de la determinación del órgano judicial, resta por analizar si la decisión de la Sala de lo Civil del Tribunal Supremo interpretando el modo en que, con arreglo a la anterior Ley de Enjuiciamiento Civil, procedía impugnar la cuantía del procedimiento a efectos de la casación, es una decisión razonable y fruto de una interpretación posible y no desproporcionada de las normas procesales o, por el contrario, vulnera el derecho proclamado en el artículo 24.1 CE.</w:t>
      </w:r>
    </w:p>
    <w:p w:rsidR="0025129F" w:rsidRDefault="0025129F" w:rsidP="0025129F">
      <w:pPr>
        <w:pStyle w:val="TextoNormal"/>
      </w:pPr>
    </w:p>
    <w:p w:rsidR="0025129F" w:rsidRDefault="0025129F" w:rsidP="0025129F">
      <w:pPr>
        <w:pStyle w:val="TextoNormal"/>
      </w:pPr>
      <w:r w:rsidRPr="0025129F">
        <w:rPr>
          <w:rStyle w:val="NumeroAFNegritaCaracter"/>
        </w:rPr>
        <w:t>6</w:t>
      </w:r>
      <w:r>
        <w:t>. La decisión de la Sala de lo Civil del Tribunal Supremo, contenida en la Sentencia de 26 de noviembre de 1997 que se combate, declarando no haber lugar a la casación por concurrir una causa de inadmisión que, en dicha fase, se convierte en causa de desestimación, se basa en que la cuantía del procedimiento no alcanzaba la summa gravaminis establecida por la Ley de Enjuiciamiento Civil vigente en aquel momento, es decir los seis millones de pesetas, pues a pesar de haberse manifestado en la contestación a la demanda por parte de la ahora recurrente su "absoluto desacuerdo" con la cuantía fijada por la parte demandante en el procedimiento civil (dos millones doscientas setenta y cinco mil pesetas), esta impugnación no se llevó al momento de la comparecencia prevista en el artículo 691 LEC de 1881. La Sala, que cita en apoyo de esta decisión su Sentencia de 16 de mayo de 1996, considera que la falta de impugnación en el momento de tal comparecencia -en la que, por el contrario, la recurrente se mostró de acuerdo con el procedimiento a seguir sin otras observaciones-, no puede servir para sostener que la cuantía del procedimiento es la que aquélla fijó unilateralmente en su escrito de contestación a la demanda.</w:t>
      </w:r>
    </w:p>
    <w:p w:rsidR="0025129F" w:rsidRDefault="0025129F" w:rsidP="0025129F">
      <w:pPr>
        <w:pStyle w:val="TextoNormal"/>
      </w:pPr>
      <w:r>
        <w:t xml:space="preserve">Pues bien, para dilucidar si dicha exégesis es lesiva del derecho proclamado en el artículo 24.1 CE, conviene partir de algunos de los pronunciamientos generales de este Tribunal. Es preciso recordar, con carácter prioritario, que, por un lado, la doctrina sobre la interpretación finalista de los presupuestos procesales no puede entenderse de manera tan automática que conduzca al desconocimiento e ineficacia total de tales presupuestos establecidos por las Leyes para la admisión de los recursos, dejando así a la disponibilidad o arbitrio de las partes el modo de su cumplimiento. Como hemos reiterado en múltiples ocasiones, esos requisitos no responden al capricho puramente ritual del legislador, sino a la necesidad de dotar al proceso de ciertas formalidades objetivas en garantía de los derechos e intereses legítimos de las partes que intervienen en la litis, lo que impone a éstas el cumplimiento de las exigencias del recurso que se interpone, más aún cuando, como en este caso ocurre, se trata de un expediente impugnativo extraordinario, como es el de casación (SSTC 29/1985, de 6 de febrero, FJ 2, y16/1992, de10 de febrero, FJ 3). En concreto, </w:t>
      </w:r>
      <w:r>
        <w:lastRenderedPageBreak/>
        <w:t>por lo que se refiere al requisito de la summa gravaminis, exigido por nuestras leyes procesales desde la instauración de la casación civil, hemos mantenido que la cuantía del procedimiento constituye un presupuesto procesal del recurso de casación impuesto por el legislador que no vulnera por sí el derecho a la tutela judicial efectiva, y que es materia de orden público (STC 201/1994, de 4 de julio, FJ 2), apreciable incluso de oficio por los Tribunales.</w:t>
      </w:r>
    </w:p>
    <w:p w:rsidR="0025129F" w:rsidRDefault="0025129F" w:rsidP="0025129F">
      <w:pPr>
        <w:pStyle w:val="TextoNormal"/>
      </w:pPr>
      <w:r>
        <w:t>Seguidamente, también conviene destacar que, conforme a nuestra doctrina, la decisión sobre la admisión o inadmisión del recurso de casación o la verificación de los presupuestos y requisitos procesales y materiales a que está sujeto, es una cuestión de legalidad ordinaria que corresponde exclusivamente a los Juzgados y Tribunales en el ejercicio de la potestad jurisdiccional que les atribuye el artículo 117.3 CE, sin que este Tribunal pueda corregir esta interpretación salvo que concurran las notas de arbitrariedad, irrazonabilidad o error patente (SSTC 359/1993, de 29 de noviembre, FJ único, y 160/1996, de 15 de octubre, FJ 3), ni es su función la de, entre dos interpretaciones razonables de una norma, elegir cuál de ellas le parece más razonable (STC 138/1995, de 25 de septiembre, FJ 2).</w:t>
      </w:r>
    </w:p>
    <w:p w:rsidR="0025129F" w:rsidRDefault="0025129F" w:rsidP="0025129F">
      <w:pPr>
        <w:pStyle w:val="TextoNormal"/>
      </w:pPr>
    </w:p>
    <w:p w:rsidR="0025129F" w:rsidRDefault="0025129F" w:rsidP="0025129F">
      <w:pPr>
        <w:pStyle w:val="TextoNormal"/>
      </w:pPr>
      <w:r w:rsidRPr="0025129F">
        <w:rPr>
          <w:rStyle w:val="NumeroAFNegritaCaracter"/>
        </w:rPr>
        <w:t>7</w:t>
      </w:r>
      <w:r>
        <w:t>. Aun cuando el demandante lo alegue sólo incidentalmente, el primer punto a abordar en el análisis de la resolución judicial combatida es si, dados los términos en los que se produjo la admisión a trámite del recurso de casación por la Sala de lo Civil del Tribunal Supremo, tal decisión era inmodificable y en consecuencia era obligado entrar en el fondo por parte del órgano jurisdiccional. Con sólo acudir a nuestra doctrina, hemos de rechazar que la previa decisión de admisión de un recurso de casación provoque la intangibilidad de esta resolución. Recientemente -en un supuesto que guarda gran similitud con el que ahora se enjuicia, ya que se partía de la estimación por la propia Sala de un recurso de queja, admitiendo a trámite el recurso, que luego se declaró inadmisible en fase de Sentencia- este Tribunal ha mantenido que la premisa de la doctrina sobre la intangibilidad de las resoluciones judiciales es que éstas sean en sí mismas intangibles, es decir, que produzcan los efectos de cosa juzgada, lo que equivale a decir que no puedan ser revisadas por los cauces establecidos por las leyes. Mas, cuando el ordenamiento procesal contempla la posibilidad de que el órgano judicial, de oficio o a instancia de parte, pueda revisar su propia decisión y esta decisión judicial está razonada y es razonable, no puede existir vulneración alguna al derecho a la tutela judicial efectiva (STC 309/2000, de 18 de diciembre, FJ 3). Por lo tanto, la queja relativa a la vulneración del derecho a la tutela judicial efectiva desde la vertiente de la inmodificabilidad de las resoluciones firmes, debe ser rechazada, sin perjuicio de examinar seguidamente si la posterior decisión es irrazonable teniendo en cuenta la primera de las adoptadas por el órgano judicial, pues es evidente que el órgano judicial cuando se separa de una decisión inicial debe incorporar a su razonamiento los motivos que justifican su apartamiento.</w:t>
      </w:r>
    </w:p>
    <w:p w:rsidR="0025129F" w:rsidRDefault="0025129F" w:rsidP="0025129F">
      <w:pPr>
        <w:pStyle w:val="TextoNormal"/>
      </w:pPr>
    </w:p>
    <w:p w:rsidR="0025129F" w:rsidRDefault="0025129F" w:rsidP="0025129F">
      <w:pPr>
        <w:pStyle w:val="TextoNormal"/>
      </w:pPr>
      <w:r w:rsidRPr="0025129F">
        <w:rPr>
          <w:rStyle w:val="NumeroAFNegritaCaracter"/>
        </w:rPr>
        <w:t>8</w:t>
      </w:r>
      <w:r>
        <w:t>. Sentado lo anterior, y restringiendo nuestro análisis a la aplicación del canon referente al derecho al acceso a los recursos, hemos de considerar las diversas vicisitudes procesales acaecidas en este supuesto, el contenido de la resolución judicial combatida así como el comportamiento procesal del propio recurrente en amparo para dilucidar si, a la vista de nuestra doctrina, la decisión de rechazo del recurso en fase de Sentencia vulnera el derecho a la tutela judicial efectiva.</w:t>
      </w:r>
    </w:p>
    <w:p w:rsidR="0025129F" w:rsidRDefault="0025129F" w:rsidP="0025129F">
      <w:pPr>
        <w:pStyle w:val="TextoNormal"/>
      </w:pPr>
      <w:r>
        <w:t>Para ello, y en primer término, debemos resaltar que el propio Tribunal Supremo, al admitir a trámite el recurso de casación, puso de relieve que la decisión de admisión se adoptaba sin perjuicio de lo que se decidiera en Sentencia, lo que no es sino la confirma</w:t>
      </w:r>
      <w:r>
        <w:lastRenderedPageBreak/>
        <w:t>ción de la doctrina que dicho Tribunal ha establecido con carácter general en la materia, sin duda porque, como alegan el Ministerio Fiscal y la demandada de amparo, Construcciones Tucumán, S.A., en el trámite de admisibilidad del recurso de casación en la fase anterior a Sentencia participan exclusivamente el Ministerio Fiscal y el recurrente en casación, sin intervención de la parte recurrida, la cual solamente tiene la posibilidad de impugnar dicha admisión una vez superado tal trámite, conforme resulta de lo dispuesto en los arts. 1709 y 1710 LEC de 1881. En segundo lugar, aunque es cierto que la Sentencia en la que se acordó el rechazo del recurso no abordó expresamente con referencia a la primera resolución de admisión la diferencia entre el planteamiento de la mera discrepancia con la cuantía expresada por la demandante de amparo y el planteamiento de una verdadera controversia jurídica sobre tal cuestión, es posible constatar, por la afirmación de argumentos contrarios, que el Tribunal sólo entonces se refería a la forma de impugnar la cuantía del procedimiento al sostener que la controversia debía plantearse no sólo en la contestación de la demanda, sino introducirse como objeto específico de debate en la comparecencia del juicio ordinario de menor cuantía.</w:t>
      </w:r>
    </w:p>
    <w:p w:rsidR="0025129F" w:rsidRDefault="0025129F" w:rsidP="0025129F">
      <w:pPr>
        <w:pStyle w:val="TextoNormal"/>
      </w:pPr>
      <w:r>
        <w:t>En último término -y esto es lo que ahora se destaca-, el Tribunal Supremo razonó la apreciación de la causa de inadmisión en que "en la comparecencia previa del proceso de menor cuantía consta literalmente: 'los letrados manifiestan que están de acuerdo en que el procedimiento elegido es el adecuado, o sea, el declarativo de menor cuantía' (folio 240) y no se plantea impugnación alguna de la cuantía litigiosa. La Sentencia de esta Sala de 16 de mayo de 1996 contempló este mismo supuesto, en que la parte demandada estimó que el valor real de lo reclamado era superior, sin que en la comparecencia prevista en el art. 691 de la Ley Procesal se discutiera la cuantía ... sino que las partes se limitaron a mostrar su conformidad a que se siga el procedimiento por los trámites de menor cuantía (fundamento 1); por ello estimó la improcedencia de la admisión del recurso...", para continuar afirmando que "la cuantía que se fija en la demanda no impugnada por la parte demandada, determina la de la litis a todos los efectos, no sólo en relación al proceso que corresponde, sino también al acceso a los recursos".</w:t>
      </w:r>
    </w:p>
    <w:p w:rsidR="0025129F" w:rsidRDefault="0025129F" w:rsidP="0025129F">
      <w:pPr>
        <w:pStyle w:val="TextoNormal"/>
      </w:pPr>
      <w:r>
        <w:t>Esta tesis sustentada por Tribunal Supremo en materia de debate sobre la cuantía del procedimiento a efectos de casación, referida a la legislación procesal vigente en aquel momento, viene siendo mantenida de modo continuado en el tiempo desde 1996 y está representada no solamente por la Sentencia que es objeto del presente recurso de amparo y la que en ella se cita (de 16 de mayo de 1996), sino por otras muchas más (entre las que pueden encontrarse las SSTS de 12 de febrero de 1996, 8 de julio de 1996, 3 de octubre de 1996, 26 de noviembre de 1997, 3 de junio de 1998 y 2 de febrero de 1999, además de numerosos Autos de inadmisión). En todas las citadas resoluciones se sostiene que, a los efectos de la impugnación de la cuantía del procedimiento, cuando el demandado no se conformase con la misma, aunque no se deba modificar el tipo de proceso, no es suficiente con la impugnación genérica en el escrito de contestación a la demanda, sino que es preciso insistir en ello en la comparecencia del juicio de menor cuantía proponiendo en dicho trámite la que, al parecer del demandado, constituya la verdadera cuantía del pleito en lugar de esperar al resultado favorable o desfavorable de la segunda instancia.</w:t>
      </w:r>
    </w:p>
    <w:p w:rsidR="0025129F" w:rsidRDefault="0025129F" w:rsidP="0025129F">
      <w:pPr>
        <w:pStyle w:val="TextoNormal"/>
      </w:pPr>
      <w:r>
        <w:t>Frente a lo sostenido por la Sala de lo Civil del Tribunal Supremo, la sociedad demandante de amparo plantea en esta sede su interpretación sobre tal cuestión, pero dado que no es misión de este Tribunal interpretar las normas procesales sino determinar si la ofrecida por los órganos jurisdiccionales resulta ajustada al canon constitucional antes enunciado, es por lo que, desde esta perspectiva no puede tacharse a la Sentencia combatida de vulne</w:t>
      </w:r>
      <w:r>
        <w:lastRenderedPageBreak/>
        <w:t>radora del derecho a la tutela judicial efectiva por arbitraria o irrazonable, de suerte que al ser este el límite de nuestro control, debemos desestimar la demanda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presente recurso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7" w:name="SENTENCIA_2002_14"/>
      <w:r>
        <w:lastRenderedPageBreak/>
        <w:t>SENTENCIA 14/2002, de 28 de enero de 2002</w:t>
      </w:r>
    </w:p>
    <w:bookmarkEnd w:id="17"/>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ECLI:ES:TC:2002:14</w:t>
      </w:r>
    </w:p>
    <w:p w:rsidR="0025129F" w:rsidRDefault="0025129F" w:rsidP="0025129F">
      <w:pPr>
        <w:pStyle w:val="SntesisDescriptiva"/>
      </w:pPr>
    </w:p>
    <w:p w:rsidR="0025129F" w:rsidRDefault="0025129F" w:rsidP="0025129F">
      <w:pPr>
        <w:pStyle w:val="SntesisDescriptiva"/>
      </w:pPr>
      <w:r>
        <w:t>Recurso de amparo 1462/98. Promovido por don Emeterio Díaz Terán frente al Auto de la Sala de lo Social del Tribunal Supremo, y la Sentencia del Tribunal Superior de Justicia de Madrid, que declararon improcedente su despido por la empresa Iber-Swiss Catering, S.A.</w:t>
      </w:r>
    </w:p>
    <w:p w:rsidR="0025129F" w:rsidRDefault="0025129F" w:rsidP="0025129F">
      <w:pPr>
        <w:pStyle w:val="SntesisDescriptiva"/>
      </w:pPr>
    </w:p>
    <w:p w:rsidR="0025129F" w:rsidRDefault="0025129F" w:rsidP="0025129F">
      <w:pPr>
        <w:pStyle w:val="SntesisAnaltica"/>
      </w:pPr>
      <w:r>
        <w:t>Supuesta vulneración del derecho a la libertad sindical: despido sin indicios de discriminación por motivos sindicales, aunque sea improcedente por falta de motivación.</w:t>
      </w:r>
    </w:p>
    <w:p w:rsidR="0025129F" w:rsidRDefault="0025129F" w:rsidP="0025129F">
      <w:pPr>
        <w:pStyle w:val="SntesisAnaltica"/>
      </w:pPr>
    </w:p>
    <w:p w:rsidR="0025129F" w:rsidRDefault="0025129F" w:rsidP="0025129F">
      <w:pPr>
        <w:pStyle w:val="Extracto"/>
      </w:pPr>
      <w:r>
        <w:t>1.</w:t>
      </w:r>
      <w:r>
        <w:tab/>
        <w:t>La falta de cita o la cita defectuosa en el organigrama de la dirección de la empresa, o el hecho de que no se convoque a un trabajador determinado a las reuniones de mandos intermedios, no permite deducir la existencia de un indicio o principio en el que basar la presunción de vulneración del derecho de libertad sindical [FJ 6].</w:t>
      </w:r>
    </w:p>
    <w:p w:rsidR="0025129F" w:rsidRDefault="0025129F" w:rsidP="0025129F">
      <w:pPr>
        <w:pStyle w:val="Extracto"/>
      </w:pPr>
    </w:p>
    <w:p w:rsidR="0025129F" w:rsidRDefault="0025129F" w:rsidP="0025129F">
      <w:pPr>
        <w:pStyle w:val="Extracto"/>
      </w:pPr>
      <w:r>
        <w:t>2.</w:t>
      </w:r>
      <w:r>
        <w:tab/>
        <w:t>El recurrente en amparo no fue despedido por motivo discriminatorio alguno, sino por las irregularidades contables observadas; hecho que, si bien no justificó el despido desde la perspectiva de la legalidad ordinaria por las circunstancias concurrentes, sí es suficiente para excluir que el despido se realizara con vulneración del art. 28.1 CE (SSTC 21/1992, 135/1990) [FJ 7].</w:t>
      </w:r>
    </w:p>
    <w:p w:rsidR="0025129F" w:rsidRDefault="0025129F" w:rsidP="0025129F">
      <w:pPr>
        <w:pStyle w:val="Extracto"/>
      </w:pPr>
    </w:p>
    <w:p w:rsidR="0025129F" w:rsidRDefault="0025129F" w:rsidP="0025129F">
      <w:pPr>
        <w:pStyle w:val="Extracto"/>
      </w:pPr>
      <w:r>
        <w:t>3.</w:t>
      </w:r>
      <w:r>
        <w:tab/>
        <w:t>Cuando se enjuicia la presunta vulneración de un derecho sustantivo, como lo es el relativo a la libertad sindical, el test de razonabilidad que este Tribunal aplica a los derechos del art. 24 CE queda absorbido por el canon propio de aquel derecho (STC 94/1995) [FJ 5].</w:t>
      </w:r>
    </w:p>
    <w:p w:rsidR="0025129F" w:rsidRDefault="0025129F" w:rsidP="0025129F">
      <w:pPr>
        <w:pStyle w:val="Extracto"/>
      </w:pPr>
    </w:p>
    <w:p w:rsidR="0025129F" w:rsidRDefault="0025129F" w:rsidP="0025129F">
      <w:pPr>
        <w:pStyle w:val="Extracto"/>
      </w:pPr>
      <w:r>
        <w:t>4.</w:t>
      </w:r>
      <w:r>
        <w:tab/>
        <w:t>Doctrina sobre la distribución de la carga de la prueba relativa a la vulneración de los derechos fundamentales (SSTC 266/1993, 90/1997, 207/2001) [FJ 3].</w:t>
      </w:r>
    </w:p>
    <w:p w:rsidR="0025129F" w:rsidRDefault="0025129F" w:rsidP="0025129F">
      <w:pPr>
        <w:pStyle w:val="Extracto"/>
      </w:pPr>
    </w:p>
    <w:p w:rsidR="0025129F" w:rsidRDefault="0025129F" w:rsidP="0025129F">
      <w:pPr>
        <w:pStyle w:val="Extracto"/>
      </w:pPr>
      <w:r>
        <w:t>5.</w:t>
      </w:r>
      <w:r>
        <w:tab/>
        <w:t>Derecho a la libertad sindical (SSTC 191/1998, 44/2001) [FFJJ 3 y 6].</w:t>
      </w:r>
    </w:p>
    <w:p w:rsidR="0025129F" w:rsidRDefault="0025129F" w:rsidP="0025129F">
      <w:pPr>
        <w:pStyle w:val="Extracto"/>
      </w:pPr>
    </w:p>
    <w:p w:rsidR="0025129F" w:rsidRDefault="0025129F" w:rsidP="0025129F">
      <w:pPr>
        <w:pStyle w:val="Extracto"/>
      </w:pPr>
      <w:r>
        <w:t>6.</w:t>
      </w:r>
      <w:r>
        <w:tab/>
        <w:t>Cuando se alegan discriminaciones lesivas del ejercicio del derecho a la libertad sindical, las hipotéticas violaciones del derecho a la igualdad quedan subsumidas en aquel derecho, salvo que la discriminación impugnada concierna a alguna de las determinaciones explícitamente proscritas en el art. 14 CE (SSTC 43/2001, 214/2001)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1462/98, promovido por don Emeterio Díaz Terán, representado por la Procuradora de los Tribunales doña Rosario Villanueva Camuñas y asistido por el Letrado don Fernando de Miguel Sastre, contra Sentencia de la Sala de lo Social del Tribunal Superior de Justicia de Madrid de fecha 3 de junio de 1997 y contra Auto de la Sala de lo Social del Tribunal Supremo, dictado en recurso de casación para la unificación de doctrina, de fecha 10 de febrero de 1998.Han intervenido el Ministerio Fiscal e Iber-Swiss Catering, representada por el Procurador de los Tribunales don José Lledo Moreno y asistida por el Abogado don Bernabé Echevarría Mayo.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ante este Tribunal el 1 de abril de 1998 don Emeterio Díaz Terán, representado por la Procuradora de los Tribunales doña Rosario Villanueva Camuñas, interpuso recurso de amparo contra las resoluciones judiciales de las que se hace mérito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Constituyen la base fáctica de la demanda los siguientes antecedentes de hecho: </w:t>
      </w:r>
    </w:p>
    <w:p w:rsidR="0025129F" w:rsidRDefault="0025129F" w:rsidP="0025129F">
      <w:pPr>
        <w:pStyle w:val="TextoNormal"/>
      </w:pPr>
      <w:r>
        <w:t xml:space="preserve">a) El recurrente en amparo era jefe de contabilidad de la empresa Iber- Swiss Catering, S.A., cuando fue despedido mediante carta de fecha de 21 de noviembre de 1995. En dicha comunicación se le imputaba directamente un descuadre entre la tesorería y la contabilidad de la empresa, por importe de 15 millones de pesetas, producido cuando la responsable del departamento se ausentó unos días por vacaciones. </w:t>
      </w:r>
    </w:p>
    <w:p w:rsidR="0025129F" w:rsidRDefault="0025129F" w:rsidP="0025129F">
      <w:pPr>
        <w:pStyle w:val="TextoNormal"/>
      </w:pPr>
      <w:r>
        <w:t xml:space="preserve">b) Formulada demanda sobre despido, el Juzgado de lo Social núm. 17 de Madrid, en Sentencia de 8 de febrero de 1996, declaró nulo el despido del recurrente por atentar contra los derechos fundamentales reconocidos en los arts. 14 y 28 CE. En los hechos probados se reflejaba que el actor no figuraba en el organigrama de la dirección de la empresa elaborado en septiembre de 1993; tampoco se le llamaba a las reuniones de mandos intermedios durante los dos últimos años; y constaba que había recibido varias felicitaciones por escrito. Por carta de 7 de julio de 1995 se le hizo saber que, dada la responsabilidad y confianza inherentes a su puesto, era imprescindible su presencia en la empresa durante el mes de agosto. A la vista de ello presentó una reclamación por vacaciones, que fue estimada por Sentencia del Juzgado de lo Social núm. 2 de Madrid de 25 de julio de 1995. Igualmente interpuso demanda en concepto de antigüedad y, junto con otros trabajadores, en reclamación de día festivo, demanda esta última que fue desestimada por Sentencia del Juzgado de lo Social núm. 27 de Madrid de 2 de septiembre de 1994. La Federación de Comercio, Hostelería, Turismo y Servicios de UGT de Madrid interpuso contra la empresa demanda de tutela de libertad sindical, que fue estimada por Sentencia del Juzgado de lo Social núm. 32 de Madrid de 19 de enero de 1996. </w:t>
      </w:r>
    </w:p>
    <w:p w:rsidR="0025129F" w:rsidRDefault="0025129F" w:rsidP="0025129F">
      <w:pPr>
        <w:pStyle w:val="TextoNormal"/>
      </w:pPr>
      <w:r>
        <w:lastRenderedPageBreak/>
        <w:t xml:space="preserve">El Juzgado afirma en su fundamentación jurídica que desde 1993 la empresa ha venido manteniendo un trato discriminatorio respecto de los trabajadores de UGT y, en concreto, frente al actor, que no aparece en el organigrama de la dirección, como debía figurar, no habiendo sido tampoco llamado a las reuniones con los mandos intermedios, cuando con anterioridad sí había sido convocado a dichas reuniones. Tras las reclamaciones hechas por el trabajador y otros compañeros la empresa persistió en su actitud, lo que motivó la presentación por UGT de una demanda de tutela de la libertad sindical, que fue estimada, y se acompañó con los despidos de otros trabajadores afiliados al citado sindicato. A ello se añade el hecho de que la empresa no diera audiencia previa a la delegada sindical tras el despido efectuado al actor. Los anteriores son factores que ponen de relieve la conducta antisindical de la empresa. Finalmente la Sentencia considera acreditados los indicios de discriminación al no haberse probado por la empresa razón objetiva alguna de la medida adoptada. </w:t>
      </w:r>
    </w:p>
    <w:p w:rsidR="0025129F" w:rsidRDefault="0025129F" w:rsidP="0025129F">
      <w:pPr>
        <w:pStyle w:val="TextoNormal"/>
      </w:pPr>
      <w:r>
        <w:t xml:space="preserve">c) Contra el referido pronunciamiento se presentó el correspondiente recurso de suplicación articulando siete motivos, los cinco primeros dirigidos a modificar el relato histórico de la Sentencia y los dos restantes de carácter jurídico. La Sentencia de la Sala de lo Social del Tribunal Superior de Justicia de Madrid de 3 de junio de 1997 estimó en parte el recurso interpuesto y, con revocación parcial de la Sentencia de instancia, declaró improcedente el despido. La Sala procedió a modificar, en primer lugar, el salario mensual prorrateado; en segundo lugar aceptó la modificación del hecho probado relativo a la reclamación del complemento de antigüedad, concretando que había sido efectuada junto con otros trabajadores de la empresa y que dicha demanda fue objeto de conciliación ante el Juzgado de lo Social núm. 28 de Madrid; en tercer lugar concretó que la demanda de UGT contra la empresa a través del proceso de tutela del derecho de libertad sindical iba dirigida "contra la empresa y ocho trabajadores de la misma, en reclamación del derecho de cuatro de ellos a ocupar en el Comité de Empresa el puesto del que habían dimitido los cuatro codemandados"; en cuarto lugar estimó la solicitud de que se considerara que por la empresa se había dado traslado de una carta de despido a la delegada sindical de UGT, al entenderse "patentemente errónea la aseveración contraria del juez a quo"; finalmente, y en cuanto a la revisión del relato fáctico, rechazó la incorporación de un nuevo hecho probado. </w:t>
      </w:r>
    </w:p>
    <w:p w:rsidR="0025129F" w:rsidRDefault="0025129F" w:rsidP="0025129F">
      <w:pPr>
        <w:pStyle w:val="TextoNormal"/>
      </w:pPr>
      <w:r>
        <w:t xml:space="preserve">Entrando en la revisión de la fundamentación jurídica, la Sentencia de la Sala de lo Social del Tribunal consideró, después de repasar la doctrina constitucional sobre la inversión de la carga de la prueba, que: "una falta de cita o citación defectuosa en el organigrama de la dirección de la empresa, un año concreto, por ejemplo es un hecho marginal desde el cual no puede arrancar una discriminación por razón de afiliación sindical. Y tampoco es relevante, en una empresa grande, una falta de convocatoria a reuniones de mandos intermedios que puede responder a multitud de circunstancias. Los hechos indiciarios que podrían justificar un acto represivo en razón de la afiliación -como la demanda de tutela de la libertad sindical de UGT y la preterición de la delegada en un despido de un afiliado- no pueden aquí funcionar en el sentido en que los ha utilizado el juez a quo". Igualmente, se añade que: "la citación patronal en la demanda de UGT fue meramente formal pues era ajena al propósito litigioso, claramente intersindical. Por tanto ninguna sospecha de represalia puede justificar. Y la falta de audiencia de la delegada sindical es un hecho incierto". Finalmente entiende el pronunciamiento de suplicación que del relato histórico "no se desprende la existencia de un incumplimiento grave y culpable del actor -ni siquiera un mero incumplimiento- por lo que el despido, inmotivado, debe juzgarse improcedente". </w:t>
      </w:r>
    </w:p>
    <w:p w:rsidR="0025129F" w:rsidRDefault="0025129F" w:rsidP="0025129F">
      <w:pPr>
        <w:pStyle w:val="TextoNormal"/>
      </w:pPr>
      <w:r>
        <w:lastRenderedPageBreak/>
        <w:t>d)La parte recurrente formalizó el correspondiente recurso de casación para la unificación de doctrina, que fue inadmitido por Auto de 10 de febrero de 1998 por no haberse cumplido el requisito de recoger y expresar la relación precisa y circunstanciada de la contradicción, pues la recurrente se limita a una muy escueta referencia al supuesto de hecho de la Sentencia de contraste, con lo que omite su auténtica comparación con el supuesto enjuiciado en la de contraste a los efectos de acreditar la sustancial igualdad entre ambos, resultando la igualdad requerida, en este caso, por completo inexistente.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Se interpone recurso de amparo contra las resoluciones judiciales de que se hace mérito en el encabezamiento de esta Sentencia interesando su nulidad por vulneración de los arts. 14 y 28 CE. La demanda de amparo afirma que la Sentencia del Tribunal Superior de Justicia de Madrid impugnada ha conculcado los derechos de libertad sindical e igualdad en la medida en que revoca la nulidad del despido, porque, según su criterio, los indicios tomados en consideración al efecto no son suficientes para llegar a la declaración de nulidad del despido que está en la base de la queja presentada. Considera igualmente el recurrente que, si bien es cierto que el recurso de suplicación modifica aspectos de alguno de los hechos probados referidos a los indicios de discriminación y de actitud antisindical, mantiene en esencia los indicios que sirvieron en primera instancia para declarar la nulidad y, sobre todo, el más poderoso de ellos, la absoluta falta de prueba de las causas de despido: afiliación sindical demostrada; existencia de enfrentamiento entre el sindicato al que está afiliado el trabajador y la dirección de la empresa; existencia de otros despidos que han afectado a afiliados al mismo sindicato; ausencia de audiencia previa a la delegada sindical; existencia de reclamaciones del demandante; diversos enfrentamientos de éste con la dirección; y, en fin, apartamiento del trabajador por la empresa, como pone de manifiesto su ausencia del organigrama de la dirección y su no citación a diversas reuniones de los mandos intermedios. La demanda de amparo considera que "por débiles que puedan ser los indicios, si la empresa no prueba la existencia de una justificación objetiva y razonable del despido, al haberse invertido la carga de la prueba, la consecuencia única posible es la declaración de nulidad", de modo que, "un despido inmotivado, sin fundamento y respecto al cual existen indicios de discriminación, no puede declararse improcedente, sino nulo". </w:t>
      </w:r>
    </w:p>
    <w:p w:rsidR="0025129F" w:rsidRDefault="0025129F" w:rsidP="0025129F">
      <w:pPr>
        <w:pStyle w:val="TextoNormal"/>
      </w:pPr>
      <w:r>
        <w:t>Finalmente considera la demanda de amparo que el Auto del Tribunal Supremo, si bien desestima su recurso y ratifica la Sentencia del Tribunal Superior de Justicia, lo hace no analizando el fondo del asunto, puesto que en aplicación del art. 217 LPL declara no haber lugar a entrar en el fondo de la cuestión; si bien, de estimarse el presente recurso de amparo, el pronunciamiento efectuado habría de afectar, no sólo a la Sentencia del Tribunal Superior de Justicia, sino también al Auto del Tribunal Supremo.</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15 de octubre de 1998 la Sección Cuarta de este Tribunal acordó, antes de entrar a resolver sobre la admisibilidad del recurso, dirigir atenta comunicación a la Sección Segunda de la Sala de lo Social del Tribunal Superior de Justicia de Madrid y al Juzgado de lo Social núm. 17 de Madrid para que, a la mayor brevedad, remitieran a la Sala certificación o fotocopia adverada de las actuaciones correspondientes al recurso de suplicación núm. 3154/96 y a los autos 885/95, respectivamente.</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30 de abril de 1999 la Sección Cuarta de este Tribunal acordó admitir a trámite la demanda de amparo y, a tenor de lo dispuesto en el art. 51 LOTC, re</w:t>
      </w:r>
      <w:r>
        <w:lastRenderedPageBreak/>
        <w:t>querir a la Sala de lo Social del Tribunal Supremo que, en plazo de diez días, remitiera certificación o fotocopia adverada de las actuaciones correspondientes al recurso de casación para unificación de doctrina núm. 3332/97, así como que procediera a la práctica de los emplazamientos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Por escrito de 3 de junio de 2000 se personó la representación procesal de la empresa Iber-Swiss Catering, S.A., y, por providencia de fecha de 7 de junio de 2000, la Sala Segunda la tuvo por personada y parte en el procedimiento, acordando, conforme al art. 52.1 LOTC, dar vista de las actuaciones recibidas a las partes y al Ministerio Fiscal por plazo común de veinte días.</w:t>
      </w:r>
    </w:p>
    <w:p w:rsidR="0025129F" w:rsidRDefault="0025129F" w:rsidP="0025129F">
      <w:pPr>
        <w:pStyle w:val="TextoNormal"/>
      </w:pPr>
    </w:p>
    <w:p w:rsidR="0025129F" w:rsidRDefault="0025129F" w:rsidP="0025129F">
      <w:pPr>
        <w:pStyle w:val="TextoNormal"/>
      </w:pPr>
      <w:r w:rsidRPr="0025129F">
        <w:rPr>
          <w:rStyle w:val="NumeroAFNegritaCaracter"/>
        </w:rPr>
        <w:t>7</w:t>
      </w:r>
      <w:r>
        <w:t>. Por escrito registrado ante este Tribunal el 3 de julio de 1999 la representación actora formuló alegaciones, en las cuales reiteró las ya vertidas en la demanda de amparo, así como insistió en la subsistencia de indicios suficientes de discriminación, a pesar de las modificaciones de hecho sobrevenidas en el recurso de suplicación, y, por tanto, en la obligatoriedad de la inversión de la carga de la prueba y la obligación de la empresa de acreditar la ausencia de cualquier intención discriminatoria o antisindical. Por otro lado consideró que el despido contemplado resultaba claramente inmotivado, con lo que difícilmente la empresa podría probar la suficiencia de la causa sancionadora cuando ésta, como se reconoce, ni siquiera existe. Se trata, por tanto, del típico caso de nulidad radical, donde no se aprecia motivo objetivo alguno para la forma de actuar de la empresa, y sí persisten sospechas (que en absoluto han sido desvirtuadas) de haberse producido una actuación arbitraria.</w:t>
      </w:r>
    </w:p>
    <w:p w:rsidR="0025129F" w:rsidRDefault="0025129F" w:rsidP="0025129F">
      <w:pPr>
        <w:pStyle w:val="TextoNormal"/>
      </w:pPr>
    </w:p>
    <w:p w:rsidR="0025129F" w:rsidRDefault="0025129F" w:rsidP="0025129F">
      <w:pPr>
        <w:pStyle w:val="TextoNormal"/>
      </w:pPr>
      <w:r w:rsidRPr="0025129F">
        <w:rPr>
          <w:rStyle w:val="NumeroAFNegritaCaracter"/>
        </w:rPr>
        <w:t>8</w:t>
      </w:r>
      <w:r>
        <w:t>. Por escrito registrado ante este Tribunal el 8 de julio de 1999 la representación de la empresa Iber-Swiss Catering, S.A., formuló alegaciones, en las que, luego de repasar la doctrina jurisprudencial en materia de alteración del onus probandi, consideraba que no existían indicios de suficiente entidad como para que pudiera apreciarse la existencia de un panorama discriminatorio en el despido disciplinario del que fue objeto don Emeterio Díaz Terán, por lo que todo debía quedar reducido a la determinación de la procedencia o la improcedencia del despido efectuado, sin que pueda plantearse la declaración de su nulidad La representación de la empresa efectúa un análisis detallado de los indicios de discriminación alegados en la demanda de amparo, refutando cada uno de éstos. Considera, finalmente, que el despido efectuado, tanto por la consistencia innegable de la causa alegada, como por la actividad probatoria desplegada en el acto del juicio en torno a ella, tiene fundamento suficiente, real y serio, desde la perspectiva del empresario, que sirve para destruir cualquier panorama discriminatorio que, prima facie, hubiera podido observarse. Entiende, por todo lo expuesto, que, aun cuando se pudieran apreciar indicios de discriminación, lo que no cabe duda es que por la empresa se ha alegado una justificación objetiva y razonable para el despido, avalada por una actividad probatoria de suficiente consistencia, cuando menos, para formar la clara convicción de que el despido disciplinario fue ajeno a cualquier propósito discriminatorio contrario a la libertad sindical, como se pretende por la parte recurrente.</w:t>
      </w:r>
    </w:p>
    <w:p w:rsidR="0025129F" w:rsidRDefault="0025129F" w:rsidP="0025129F">
      <w:pPr>
        <w:pStyle w:val="TextoNormal"/>
      </w:pPr>
    </w:p>
    <w:p w:rsidR="0025129F" w:rsidRDefault="0025129F" w:rsidP="0025129F">
      <w:pPr>
        <w:pStyle w:val="TextoNormal"/>
      </w:pPr>
      <w:r w:rsidRPr="0025129F">
        <w:rPr>
          <w:rStyle w:val="NumeroAFNegritaCaracter"/>
        </w:rPr>
        <w:t>9</w:t>
      </w:r>
      <w:r>
        <w:t>. El Fiscal ante el Tribunal Constitucional, en escrito de 15 de julio de 1999, solicitó la desestimación del recurso de amparo al no haber existido la vulneración denunciada del derecho fundamental. Considera el Ministerio Público que la invocación que en la deman</w:t>
      </w:r>
      <w:r>
        <w:lastRenderedPageBreak/>
        <w:t xml:space="preserve">da de amparo se hace del art. 14 CE debe ser reconducida a la del art. 28.1 CE, dado que las alegaciones de la representación del demandante (aduciendo trato diferente por su adscripción sindical) afirman una pretendida discriminación por tal motivo, siendo el segundo de los preceptos citados el que protege frente a eventuales discriminaciones en el ámbito sindical (STC 197/1990, de 29 de noviembre) y resultando la libertad sindical el derecho fundamental específicamente afectado (STC 90/1997, de 6 de mayo), puesto que no se trata propiamente de una distinción de trato frente a otro trabajador, sino de una sanción (el despido) impuesta por el mero ejercicio de la aludida libertad, lo que constituirá, en su caso y de ser cierto, un atentado al derecho fundamental de libertad sindical (STC 114/1989, de 22 de junio). </w:t>
      </w:r>
    </w:p>
    <w:p w:rsidR="0025129F" w:rsidRDefault="0025129F" w:rsidP="0025129F">
      <w:pPr>
        <w:pStyle w:val="TextoNormal"/>
      </w:pPr>
      <w:r>
        <w:t xml:space="preserve">El Fiscal, partiendo de que este Tribunal no puede entrar a conocer de los hechos que dieron lugar al proceso (art. 44.1.b LOTC) para dilucidar si se incurrió o no en la lesión aducida de dicho derecho, debiendo partir de los hechos declarados probados por los órganos judiciales (STC 197/1990, de 29 de noviembre), procede a exponer la doctrina constitucional sobre la inversión de la carga de la prueba en materia de protección sindical, y, puesta en relación con el caso concreto que da lugar al presente recurso de amparo, concluye que no se aprecia en él que la valoración que los órganos judiciales han hecho de todas las circunstancias concurrentes pueda considerase lesiva del derecho fundamental de libertad sindical. En efecto, del relato de hechos probados, tal como queda definitivamente fijado tras la Sentencia de 3 de junio de 1997 del Tribunal Superior de Justicia de Madrid, no se deduce que dichos hechos probados materialicen elementos indiciarios de entidad suficiente para generar una razonable sospecha de móvil antisindical en el comportamiento de la empresa, sin perjuicio de que, como se refiere en la aludida Sentencia y en relación con el despido de don Emeterio Díaz Terán, "no se desprende la existencia de un incumplimiento grave y culpable del actor -ni siquiera mero incumplimiento- por lo que el despido inmotivado debe juzgarse improcedente". Finalmente, y a mayor abundamiento, considera que en modo alguno han quedado acreditados los dictados del sindicato a que pertenece el Sr. </w:t>
      </w:r>
    </w:p>
    <w:p w:rsidR="0025129F" w:rsidRDefault="0025129F" w:rsidP="0025129F">
      <w:pPr>
        <w:pStyle w:val="TextoNormal"/>
      </w:pPr>
      <w:r>
        <w:t>Díaz Terán en materia de reclamaciones de diversa índole, y que, según el recurrente de amparo da a entender en su demanda, estarían en el origen de su despido. Pero no es que tales dictados no hayan quedado acreditados, es que ni siquiera a nivel indiciario han quedado sugeridos cuáles sean, ni su seguimiento por parte de don Emeterio Díaz Terán.</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24 de enero de 2002 se acordó señalar el día 28 del mismo mes y año para la deliberación y votación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tanto la impugnación del Auto de la Sala de lo Social del Tribunal Supremo, dictado en recurso de casación para unificación de doctrina de fecha 10 de febrero de 1998, interpuesto contra la Sentencia de la Sala de lo Social del Tribunal Superior de Justicia de Madrid, de fecha 3 de julio de 1998, que desestimó el recurso de suplicación contra la Sentencia del Juzgado de lo Social núm.  17 de Madrid, de 8 de febrero de 1996, en la que se declaró nulo el despido del recurrente por atentar contra los derechos fundamentales reconocidos en los arts. 14 y 28 CE, como la impugnación de la Sentencia citada de la Sala de lo Social del Tribunal Superior de Justicia de Madrid.</w:t>
      </w:r>
    </w:p>
    <w:p w:rsidR="0025129F" w:rsidRDefault="0025129F" w:rsidP="0025129F">
      <w:pPr>
        <w:pStyle w:val="TextoNormal"/>
      </w:pPr>
      <w:r>
        <w:lastRenderedPageBreak/>
        <w:t>El recurrente en amparo afirma que esta última resolución judicial ha conculcado los derechos de libertad sindical e igualdad en la medida en que revoca la nulidad del despido porque, según su criterio, los indicios no son suficientes para llegar a la declaración de nulidad. Considera igualmente que, si bien es cierto que el recurso de suplicación modifica determinados aspectos de alguno de los hechos probados referidos a los indicios de discriminación y de actitud antisindical, mantiene en esencia los indicios que sirvieron en primera instancia para declarar la nulidad y, sobre todo, el más poderoso de ellos: la absoluta falta de prueba de las causas de despido. Y entiende en último lugar que, "por débiles que puedan ser los indicios, si la empresa no prueba la existencia de una justificación objetiva y razonable del despido, al haberse invertido la carga de la prueba, la consecuencia única posible es la declaración de nulidad", de modo que "un despido inmotivado, sin fundamento y respecto al cual existen indicios de discriminación, no puede declararse improcedente, sino nulo".</w:t>
      </w:r>
    </w:p>
    <w:p w:rsidR="0025129F" w:rsidRDefault="0025129F" w:rsidP="0025129F">
      <w:pPr>
        <w:pStyle w:val="TextoNormal"/>
      </w:pPr>
      <w:r>
        <w:t>Se opone a esta tesis la empresa Iber-Swiss Catering, S.A., que solicita la desestimación del recurso de amparo al considerar que no existían indicios de suficiente entidad como para que pudiera apreciarse la existencia de un panorama discriminatorio en el despido disciplinario impugnado, por lo cual la controversia debe limitarse a la determinación de su procedencia o improcedencia, sin que pueda plantearse el tema de la procedencia de la declaración de nulidad. Finalmente entiende que el despido efectuado, tanto por la consistencia innegable de la causa alegada como por la actividad probatoria desplegada en el acto del juicio en torno a ella, tiene fundamento suficiente, real y serio, desde la perspectiva del empresario, que sirve para destruir cualquier panorama discriminatorio que prima facie hubiera podido observarse.</w:t>
      </w:r>
    </w:p>
    <w:p w:rsidR="0025129F" w:rsidRDefault="0025129F" w:rsidP="0025129F">
      <w:pPr>
        <w:pStyle w:val="TextoNormal"/>
      </w:pPr>
      <w:r>
        <w:t>Por su parte el Fiscal interesa a este Tribunal que se desestime el recurso de amparo al no haber existido la vulneración denunciada del derecho fundamental. Entiende el Ministerio público que la invocación que en la demanda de amparo se hace del art.  14 CE debe ser reconducida a la del art. 28.1 CE, y, después de exponer la doctrina de este Tribunal sobre la inversión de la carga de la prueba en materia de protección sindical, concluye que, en el caso concreto que da lugar al presente recurso de amparo, no se aprecia que la valoración que los órganos judiciales han hecho de todas las circunstancias concurrentes en el caso pueda considerase lesiva del derecho fundamental de libertad sindical.</w:t>
      </w:r>
    </w:p>
    <w:p w:rsidR="0025129F" w:rsidRDefault="0025129F" w:rsidP="0025129F">
      <w:pPr>
        <w:pStyle w:val="TextoNormal"/>
      </w:pPr>
    </w:p>
    <w:p w:rsidR="0025129F" w:rsidRDefault="0025129F" w:rsidP="0025129F">
      <w:pPr>
        <w:pStyle w:val="TextoNormal"/>
      </w:pPr>
      <w:r w:rsidRPr="0025129F">
        <w:rPr>
          <w:rStyle w:val="NumeroAFNegritaCaracter"/>
        </w:rPr>
        <w:t>2</w:t>
      </w:r>
      <w:r>
        <w:t>. Para enjuiciar el presente recurso se hace necesario, en primer término, precisar que la queja de la parte recurrente sobre la vulneración de su derecho a la igualdad y a la no discriminación (art. 14 CE) resulta, como pone de relieve el Ministerio Fiscal, redundante respecto de la planteada en referencia a la vulneración del art. 28.1 CE, ya que, según criterio reiterado de este Tribunal, cuando se alegan discriminaciones lesivas del ejercicio del derecho a la libertad sindical, las hipotéticas violaciones del derecho a la igualdad (art. 14 CE) quedan subsumidas en aquel derecho, salvo que la discriminación impugnada concierna a alguna de las determinaciones explícitamente proscritas en el art. 14 CE (por todas, SSTC 43/2001, de 12 de febrero, FJ 1; 44/2001, de 12 de febrero, FJ 2; 58/2001, de 26 de febrero, FJ 1; 214/2001, de 29 de octubre, FJ 3), circunstancia esta última que no concurre en el asunto enjuiciado al basarse la supuesta discriminación en la actividad sindical del recurrente.  Queda, pues, excluida del presente proceso constitucional la queja referida a la vulneración del art.  14 CE en cuanto vulneración diferenciada.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Limitado así el objeto de la presente demanda de amparo, nuestro enjuiciamiento debe centrarse en determinar si el actor ha sufrido una conducta empresarial contraria a su </w:t>
      </w:r>
      <w:r>
        <w:lastRenderedPageBreak/>
        <w:t>derecho fundamental de la libertad sindical (art. 28.1 CE) al haber sido despedido. Para ello es preciso recordar que el art. 12 LOLS sanciona con la nulidad las decisiones unilaterales del empresario que contengan o supongan cualquier tipo de discriminación en el empleo o en las condiciones de trabajo por razón de adhesión o no a un sindicato, a sus acuerdos, o al ejercicio, en general, de actividades sindicales. Previsión legal que, de otro lado, recoge lo ya dispuesto en el art. 1.2.b del Convenio núm. 98 de la Organización Internacional del Trabajo, conforme al cual se protege al trabajador afiliado frente a todo acto empresarial que tenga por objeto perjudicarle de cualquier forma en razón de su afiliación o de su participación en actividades sindicales. Es doctrina reiterada, como señala la STC 191/1998, de 29 de septiembre (FJ 4), con cita de las anteriores SSTC 74/1998, de 31 de marzo, y 87/1998, de 21 de abril, y recuerdan las STC 30/2000, de 31 de enero (FJ 2), y 44/2001, de 20 de febrero, que "este Tribunal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w:t>
      </w:r>
    </w:p>
    <w:p w:rsidR="0025129F" w:rsidRDefault="0025129F" w:rsidP="0025129F">
      <w:pPr>
        <w:pStyle w:val="TextoNormal"/>
      </w:pPr>
      <w:r>
        <w:t>A tal efecto es preciso tener presente, como ha puesto de manifiesto este Tribunal desde la STC 38/1981, de 23 de noviembre, la importancia que en estos supuestos tiene la regla de la distribución de la carga de la prueba para garantizar el derecho a la libertad sindical frente a posibles decisiones empresariales que puedan constituir una discriminación por motivos sindicales. Por ello ha establecido que, en los casos en los que se alegue que un acto es discriminatorio o lesivo de los derechos fundamentales del trabajador, recae sobre el empresario la carga de probar la existencia de causas suficientes reales y serias para calificar de razonable, desde la perspectiva disciplinaria, la decisión extintiva, y que dichas causas han de explicar por sí mismas el despido, permitiendo eliminar cualquier sospecha o presunción de la existencia de un vicio en él deducible claramente de las circunstancias concurrentes (STC 90/1997, de 6 de mayo, FJ 5, sintetizando los criterios sentados por la jurisprudencia constitucional sobre la prueba indiciaria y recogiendo abundantes decisiones de este Tribunal en el mismo sentido). En el entendimiento de este Tribunal no se trata de situar al demandado ante la prueba diabólica de un hecho negativo, como es la inexistencia de un móvil lesivo de derechos fundamentales (STC 266/1993, de 20 de septiembre, FJ 2, 144/1999, de 22 de julio, FJ 5, 29/2000, de 31 de enero FJ 3), sino de que le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creada por los indicios (SSTC 74/1998, de 31 de marzo; 87/1998, de 9 de julio, FJ 3; 144/1999, de 22 de julio, FJ 5 y 29/2000, de 31 de enero, FJ 3). Se requiere la necesidad de aportar una "prueba verosímil" (STC 207/2001, de 22 de octubre, FJ 5) o "principio de prueba" revelador de la existencia de un fondo o panorama discriminatorio general o de hechos de los que surja la sospecha vehemente de una discriminación por razones sindicales (por todas, SSTC 87/1998, de 21 de abril, FJ 3; 293/1993, de 18 de octubre, FJ 6; 140/1999, de 22 de julio, FJ 5; 29/2000, de 31 de enero, FJ 3; 214/2001,  de 29 de octubre, FJ 4).</w:t>
      </w:r>
    </w:p>
    <w:p w:rsidR="0025129F" w:rsidRDefault="0025129F" w:rsidP="0025129F">
      <w:pPr>
        <w:pStyle w:val="TextoNormal"/>
      </w:pPr>
      <w:r>
        <w:t xml:space="preserve">Ahora bien, como recordaron las SSTC 21/1992, de 14 de febrero (FJ 3), y 266/1993, de 20 de septiembre (FJ 2), para imponer al empresario la carga probatoria descrita resulta insuficiente la mera afirmación de la existencia de discriminación o de lesión de un derecho fundamental, sino que tal afirmación haya de reflejarse en unos hechos de los que resulte una presunción o apariencia de la realidad de aquella discriminación o lesión. Se </w:t>
      </w:r>
      <w:r>
        <w:lastRenderedPageBreak/>
        <w:t>hace necesario, por tanto, que quien afirme la referida vulneración acredite la concurrencia de indicios racionales de la probabilidad de la existencia de la lesión alegada. La aportación de tales indicios es, así, el deber que recae sobre el demandante, quien está lejos de hallarse liberado de toda carga probatoria y a quien no le basta alegar, sin más, la discriminación o lesión de un derecho fundamental, sino que deberá aportar algún elemento que, aun cuando no pueda servir para formar de una manera plena la convicción del Juez sobre la existencia de hechos normalmente constitutivos de la vulneración del derecho, permita alcanzar una creencia racional sobre su certeza.</w:t>
      </w:r>
    </w:p>
    <w:p w:rsidR="0025129F" w:rsidRDefault="0025129F" w:rsidP="0025129F">
      <w:pPr>
        <w:pStyle w:val="TextoNormal"/>
      </w:pPr>
    </w:p>
    <w:p w:rsidR="0025129F" w:rsidRDefault="0025129F" w:rsidP="0025129F">
      <w:pPr>
        <w:pStyle w:val="TextoNormal"/>
      </w:pPr>
      <w:r w:rsidRPr="0025129F">
        <w:rPr>
          <w:rStyle w:val="NumeroAFNegritaCaracter"/>
        </w:rPr>
        <w:t>4</w:t>
      </w:r>
      <w:r>
        <w:t>. Conforme a lo que antecede, corresponde a este Tribunal analizar si la parte actora ha acreditado suficientemente la existencia de indicios que generen una razonable sospecha, apariencia o presunción de discriminación antisindical, y si, en tal caso, la parte demandada ha probado que los hechos motivadores de su actuación se presentan razonablemente ajenos a todo móvil discriminatorio. A tal fin, es necesario recordar que el recurrente en amparo, afiliado al sindicato UGT, reprocha a la empresa Iber-Swiss Catering, S.A., que el despido efectuado obedecía a móviles antisindicales. Apoya dicha afirmación en el hecho de que la empresa ha venido teniendo un trato discriminatorio con trabajadores de UGT y, en concreto, con el actor, que no aparece en el organigrama de la dirección, como debía figurar, ni ha sido llamando a las reuniones con los mandos intermedios cuando con anterioridad sí venía siendo convocado a ellas. Tras las reclamaciones hechas por el trabajador y otros compañeros, la empresa ha continuado manteniendo tal actitud, lo que condujo, de una parte a la presentación de una demanda de tutela de la libertad sindical por UGT, que fue estimada, y, de otra, a los despidos de varios trabajadores afiliados a este sindicato. A ello se añade el hecho de que la empresa no diera audiencia previa a la delegada sindical tras el despido efectuado al actor. El Juzgado de lo Social consideró acreditados los indicios de discriminación al no haberse probado por la empresa razón objetiva alguna de las medidas adoptadas, y declaró consiguientemente nulo el despido del ahora demandante de amparo. Recurrida en suplicación la Sentencia dictada, la Sala de lo Social del Tribunal Superior de Justicia de Madrid, después de revisar los hechos declarados probados por la Sentencia de instancia, consideró que los indicios aportados no tenían la entidad suficiente para justificar "la utilización de una técnica de defensa del orden público constitucional cuando no existen ni siquiera visos de que el litigio presente lo comprometa", por lo que procedió a revocar la declaración de nulidad.  Finalmente entendió que del relato histórico "no se desprende la existencia de un incumplimiento grave y culpable del actor -ni siquiera un mero incumplimiento- por lo que el despido, inmotivado, debe juzgarse improcedente".</w:t>
      </w:r>
    </w:p>
    <w:p w:rsidR="0025129F" w:rsidRDefault="0025129F" w:rsidP="0025129F">
      <w:pPr>
        <w:pStyle w:val="TextoNormal"/>
      </w:pPr>
    </w:p>
    <w:p w:rsidR="0025129F" w:rsidRDefault="0025129F" w:rsidP="0025129F">
      <w:pPr>
        <w:pStyle w:val="TextoNormal"/>
      </w:pPr>
      <w:r w:rsidRPr="0025129F">
        <w:rPr>
          <w:rStyle w:val="NumeroAFNegritaCaracter"/>
        </w:rPr>
        <w:t>5</w:t>
      </w:r>
      <w:r>
        <w:t>. En todo caso, y si bien es cierto que los indicios declarados probados en la instancia fueron valorados por el Tribunal Superior de Justicia de forma exhaustiva, llegando a una conclusión razonada de que no alcanzaron la entidad suficiente para invertir la carga de la prueba sobre la entidad demandada, al hallarse en juego la potencial vulneración del derecho de libertad sindical no bastará, para enjuiciar la presente controversia, con la simple evaluación de la razonabilidad de la decisión judicial, sino que será preciso analizar si ésta resulta o no vulneradora del ejercicio de los derechos fundamentales alegados.</w:t>
      </w:r>
    </w:p>
    <w:p w:rsidR="0025129F" w:rsidRDefault="0025129F" w:rsidP="0025129F">
      <w:pPr>
        <w:pStyle w:val="TextoNormal"/>
      </w:pPr>
      <w:r>
        <w:t xml:space="preserve">Y ello porque es perfectamente posible que se den resoluciones judiciales que no infrinjan el derecho proclamado en el art. 24.1 CE, pese a su parquedad, por contener una fundamentación que exprese razones (de hecho y de derecho) en virtud de las cuales el órgano judicial acuerda una determinada medida, pero que, desde la perspectiva del libre </w:t>
      </w:r>
      <w:r>
        <w:lastRenderedPageBreak/>
        <w:t>ejercicio de los derechos fundamentales, como los aquí en juego, no expresen de modo constitucionalmente adecuado las razones justificativas de las decisiones adoptadas. En estos casos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24.1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por el canon propio de aquel derecho. A tal fin se hace necesario interpretar a la luz de los valores constitucionales los indicios que sirven de base al enjuiciamiento, todo ello sin que tal actuación suponga la revisión de la valoración de la prueba efectuada por el juzgador, por ser firme doctrina constitucional que dicha valoración se encuentra atribuida en exclusiva a los órganos judiciales, sin que competa a este Tribunal revisar en vía de amparo las apreciaciones de aquéllos ni la ponderación que lleven a cabo, salvo que unas u otra resulten arbitrarias o irrazonables (SSTC 140/1994, de 9 de mayo, FJ 3, y 136/1996, de 23 de julio, FJ 4).</w:t>
      </w:r>
    </w:p>
    <w:p w:rsidR="0025129F" w:rsidRDefault="0025129F" w:rsidP="0025129F">
      <w:pPr>
        <w:pStyle w:val="TextoNormal"/>
      </w:pPr>
    </w:p>
    <w:p w:rsidR="0025129F" w:rsidRDefault="0025129F" w:rsidP="0025129F">
      <w:pPr>
        <w:pStyle w:val="TextoNormal"/>
      </w:pPr>
      <w:r w:rsidRPr="0025129F">
        <w:rPr>
          <w:rStyle w:val="NumeroAFNegritaCaracter"/>
        </w:rPr>
        <w:t>6</w:t>
      </w:r>
      <w:r>
        <w:t>. Pues bien, aplicando la doctrina constitucional anteriormente expuesta al caso enjuiciado, cabe decir que las alegaciones del demandante no resultan convincentes en cuanto a la existencia de indicios de discriminación que prueben la existencia de un fondo o panorama discriminatorio general o, al menos, de hechos de los que surja la sospecha vehemente de una discriminación por motivos sindicales.</w:t>
      </w:r>
    </w:p>
    <w:p w:rsidR="0025129F" w:rsidRDefault="0025129F" w:rsidP="0025129F">
      <w:pPr>
        <w:pStyle w:val="TextoNormal"/>
      </w:pPr>
      <w:r>
        <w:t>Por lo que hace a la afiliación sindical demostrada del actor, ésta se trata de un dato objetivo y en ningún momento controvertido. En todo caso, para que se invierta la carga de la prueba no basta con que el trabajador despedido tenga afiliación sindical conocida, sino que, a partir de tal constatación, es preciso alegar circunstancias concretas en las que fundamentar la existencia de un presumible trato discriminatorio. No hay que olvidar que la libertad sindical no entraña la inmunidad de sus titulares frente a la aplicación razonable de reglas jurídicas generales (STC 214/2001, de 29 de octubre, FJ 6), y tampoco confiere a los representantes sindicales, como ya hemos dicho, el derecho a la intangibilidad de su puesto o condiciones de trabajo (ATC 367/1989, de 3 de julio, FJ único; SSTC 293/1993, de 18 de octubre, FJ 6; y 308/2000, de 18 de diciembre, FJ 8).</w:t>
      </w:r>
    </w:p>
    <w:p w:rsidR="0025129F" w:rsidRDefault="0025129F" w:rsidP="0025129F">
      <w:pPr>
        <w:pStyle w:val="TextoNormal"/>
      </w:pPr>
      <w:r>
        <w:t xml:space="preserve">La falta de cita o la cita defectuosa en el organigrama de la dirección de la empresa un año concreto es considerado un hecho marginal, desde el cual, considera la Sentencia del Tribunal Superior de Justicia, "no puede arrancar una discriminación por razón de afiliación sindical". Igualmente se entiende en dicha resolución judicial que resulta irrelevante que en una empresa de gran dimensión no se convoque a un trabajador determinado a las reuniones de mandos intermedios, al ser posible que tal omisión obedezca a una "multitud de circunstancias". Considera, igualmente, la Sentencia impugnada que los hechos indiciarios que pudieran justificar un acto represivo en razón de la afiliación, como la demanda de tutela de libertad sindical de UGT y la preterición de su delegado en el despido de un afiliado, no pueden operar en este caso. En lo que hace a la primera de las situaciones, porque la demanda de tutela de libertad sindical versaba sobre la preferencia de determinados trabajadores para ostentar la condición de miembros del Comité de Empresa y no sobre una supuesta conducta antisindical de la empresa, que era del todo ajena a lo materialmente actuado y cuya intervención en dicho proceso como litisconsorte pasivo necesario, fue meramente procesal. Y, por lo que se refiere a la segunda de las alegaciones, porque no ha quedado suficientemente acreditado que la omisión de audiencia a la delegada </w:t>
      </w:r>
      <w:r>
        <w:lastRenderedPageBreak/>
        <w:t>sindical se produjo y que la apreciación de tal circunstancia obedeció a una "patentemente errónea" aseveración del juez a quo.</w:t>
      </w:r>
    </w:p>
    <w:p w:rsidR="0025129F" w:rsidRDefault="0025129F" w:rsidP="0025129F">
      <w:pPr>
        <w:pStyle w:val="TextoNormal"/>
      </w:pPr>
      <w:r>
        <w:t>Pues bien, teniendo en cuenta que no podemos alterar la valoración de la prueba efectuada por el Tribunal Superior, ya que no es contraria a la Constitución, hemos de concluir que no se ha producido la vulneración denunciada. De los hechos aquí presentados no cabe extraer, razonablemente y habida cuenta de los límites de nuestra jurisdicción, la existencia de una situación discriminatoria o lesiva del derecho fundamental.</w:t>
      </w:r>
    </w:p>
    <w:p w:rsidR="0025129F" w:rsidRDefault="0025129F" w:rsidP="0025129F">
      <w:pPr>
        <w:pStyle w:val="TextoNormal"/>
      </w:pPr>
      <w:r>
        <w:t>Las anteriores consideraciones conducen directamente a la desestimación del amparo pedido, dado que, conforme a lo expuesto, del conjunto de hechos probados no es posible deducir la existencia del hecho a probar: en este caso la existencia de un indicio o principio en el que basar la presunción de vulneración del derecho de libertad sindical alegado por el recurrente en amparo. El resultado es, pues, que, no habiéndose aportado indicios suficientes de la vulneración constitucional, no se produce la inversión de la carga de la prueba, de modo que el demandado venga obligado a probar la inexistencia del propósito lesivo del derecho fundamental.</w:t>
      </w:r>
    </w:p>
    <w:p w:rsidR="0025129F" w:rsidRDefault="0025129F" w:rsidP="0025129F">
      <w:pPr>
        <w:pStyle w:val="TextoNormal"/>
      </w:pPr>
    </w:p>
    <w:p w:rsidR="0025129F" w:rsidRDefault="0025129F" w:rsidP="0025129F">
      <w:pPr>
        <w:pStyle w:val="TextoNormal"/>
      </w:pPr>
      <w:r w:rsidRPr="0025129F">
        <w:rPr>
          <w:rStyle w:val="NumeroAFNegritaCaracter"/>
        </w:rPr>
        <w:t>7</w:t>
      </w:r>
      <w:r>
        <w:t>. Finalmente queda por analizar si, como alega el solicitante de amparo, el carácter inmotivado del despido, tal y como demuestra la declaración de su improcedencia al no apreciarse motivo objetivo alguno que justifique la forma de actuar de la empresa, resultaría relevante en términos constitucionales. A tal efecto es preciso recordar que este Tribunal, tanto en la STC 21/1992, de 14 de febrero (FJ 5), como en la STC 135/1990, de 19 de julio (FJ 4), ha declarado que el hecho de que "el acto extintivo fuera improcedente no implica que, además, fuera discriminatorio". De ello debe deducirse que, ni la declaración de procedencia del despido permite descartar que éste sea lesivo de derechos fundamentales, ni tampoco de la declaración de su improcedencia se deriva automáticamente dicha lesión. Por tanto, cuando, como ocurre en el caso que aquí enjuiciamos, los hechos a tomar en consideración resultan desconectados del ejercicio de derechos fundamentales, el que constituyan o no causa legal de justificación del despido debe considerarse irrelevante a efectos constitucionales, pues el recurrente en amparo no fue despedido por motivo discriminatorio alguno, sino por las irregularidades contables observadas; hecho que, si bien no justificó el despido desde la perspectiva de la legalidad ordinaria por las circunstancias concurrentes, sí es suficiente para excluir, visto cuanto antecede, que el despido se realizara con vulneración del art. 28.1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recurso de amparo interpuesto por don Emeterio Díaz Terán.</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8" w:name="SENTENCIA_2002_15"/>
      <w:r>
        <w:lastRenderedPageBreak/>
        <w:t>SENTENCIA 15/2002, de 28 de enero de 2002</w:t>
      </w:r>
    </w:p>
    <w:bookmarkEnd w:id="18"/>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ECLI:ES:TC:2002:15</w:t>
      </w:r>
    </w:p>
    <w:p w:rsidR="0025129F" w:rsidRDefault="0025129F" w:rsidP="0025129F">
      <w:pPr>
        <w:pStyle w:val="SntesisDescriptiva"/>
      </w:pPr>
    </w:p>
    <w:p w:rsidR="0025129F" w:rsidRDefault="0025129F" w:rsidP="0025129F">
      <w:pPr>
        <w:pStyle w:val="SntesisDescriptiva"/>
      </w:pPr>
      <w:r>
        <w:t>Recurso de amparo 2613/98. Promovido por don Fortunato Castro Gandara frente a las Sentencias de la Audiencia Provincial de Pontevedra y de un Juzgado de Primera Instancia de Ponteareas que, en un litigio contra don Juan Bernárdez González por los daños ocasionados en un tramo de la canalización de un acueducto común, estimó la excepción de cosa juzgada.</w:t>
      </w:r>
    </w:p>
    <w:p w:rsidR="0025129F" w:rsidRDefault="0025129F" w:rsidP="0025129F">
      <w:pPr>
        <w:pStyle w:val="SntesisDescriptiva"/>
      </w:pPr>
    </w:p>
    <w:p w:rsidR="0025129F" w:rsidRDefault="0025129F" w:rsidP="0025129F">
      <w:pPr>
        <w:pStyle w:val="SntesisAnaltica"/>
      </w:pPr>
      <w:r>
        <w:t>Vulneración del derecho a la tutela judicial efectiva: inadmisión de demanda civil por apreciar la cosa juzgada de una absolución penal que carece de fundamento, porque la Sentencia penal había dejado imprejuzgada la acción civil.</w:t>
      </w:r>
    </w:p>
    <w:p w:rsidR="0025129F" w:rsidRDefault="0025129F" w:rsidP="0025129F">
      <w:pPr>
        <w:pStyle w:val="SntesisAnaltica"/>
      </w:pPr>
    </w:p>
    <w:p w:rsidR="0025129F" w:rsidRDefault="0025129F" w:rsidP="0025129F">
      <w:pPr>
        <w:pStyle w:val="Extracto"/>
      </w:pPr>
      <w:r>
        <w:t>1.</w:t>
      </w:r>
      <w:r>
        <w:tab/>
        <w:t>La Sentencia recaída en el juicio de faltas no declaró que el hecho enjuiciado no había existido (la rotura de los tubos de la canalización propiedad de la Comunidad de Regantes), sino que este hecho no podía atribuirse a la autoría del denunciado, a los efectos de imputarle la responsabilidad criminal, de modo que esta declaración de no-autoría no impedía que los Tribunales civiles pudieran valorar las pruebas y apreciar los hechos nuevamente en el plano de la responsabilidad civil [FJ 5].</w:t>
      </w:r>
    </w:p>
    <w:p w:rsidR="0025129F" w:rsidRDefault="0025129F" w:rsidP="0025129F">
      <w:pPr>
        <w:pStyle w:val="Extracto"/>
      </w:pPr>
    </w:p>
    <w:p w:rsidR="0025129F" w:rsidRDefault="0025129F" w:rsidP="0025129F">
      <w:pPr>
        <w:pStyle w:val="Extracto"/>
      </w:pPr>
      <w:r>
        <w:t>2.</w:t>
      </w:r>
      <w:r>
        <w:tab/>
        <w:t>Cuando la Sentencia penal,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con la única excepción de lo dispuesto en el art. 116 LECrim [FJ 4].</w:t>
      </w:r>
    </w:p>
    <w:p w:rsidR="0025129F" w:rsidRDefault="0025129F" w:rsidP="0025129F">
      <w:pPr>
        <w:pStyle w:val="Extracto"/>
      </w:pPr>
    </w:p>
    <w:p w:rsidR="0025129F" w:rsidRDefault="0025129F" w:rsidP="0025129F">
      <w:pPr>
        <w:pStyle w:val="Extracto"/>
      </w:pPr>
      <w:r>
        <w:t>3.</w:t>
      </w:r>
      <w:r>
        <w:tab/>
        <w:t>Derecho a  la tutela judicial efectiva, en particular la cosa juzgada material (SSTC 159/1987, 59/1996, 151/2001) [FJ 3].</w:t>
      </w:r>
    </w:p>
    <w:p w:rsidR="0025129F" w:rsidRDefault="0025129F" w:rsidP="0025129F">
      <w:pPr>
        <w:pStyle w:val="Extracto"/>
      </w:pPr>
    </w:p>
    <w:p w:rsidR="0025129F" w:rsidRDefault="0025129F" w:rsidP="0025129F">
      <w:pPr>
        <w:pStyle w:val="Extracto"/>
      </w:pPr>
      <w:r>
        <w:t>4.</w:t>
      </w:r>
      <w:r>
        <w:tab/>
        <w:t>No se exige inexcusablemente la cita concreta y numérica del precepto de la Constitución en la que se reconozca el derecho o derechos fundamentales supuestamente vulnerados o la mención de su nomen iuris (STC 201/2000)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2613/98, promovido por don Fortunato Castro Gandara, representado por el Procurador de los Tribunales don Miguel Torres Álvarez y asistido por la Abogada doña Teresa Represas Represas, contra la Sentencia de 23 de abril de 1998 de la Sección Cuarta de la Audiencia Provincial de Pontevedra, dictada en el rollo de apelación civil 190/98. Ha intervenido el Ministerio Fiscal y ha sido parte don Juan González Bernárdez, representado por la Procuradora doña María del Mar Montero de Cózar y Millet y bajo la dirección del Letrado don Manuel Iglesias Suárez. Ha sido Ponente el Presidente don Manuel Jiménez de Parga y Cabrera,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Por escrito registrado en este Tribunal el 12 de junio de 1998, se interpuso el recurso de amparo que se deja mencionado en el encabezamiento y que se fundamenta en los siguientes hechos: </w:t>
      </w:r>
    </w:p>
    <w:p w:rsidR="0025129F" w:rsidRDefault="0025129F" w:rsidP="0025129F">
      <w:pPr>
        <w:pStyle w:val="TextoNormal"/>
      </w:pPr>
      <w:r>
        <w:t xml:space="preserve">a) El ahora recurrente en amparo y otros dos más, en su condición de miembros integrantes de la Comunidad de Regantes "Poza do Cano" y en beneficio de ella, formularon denuncia penal ante la Guardia Civil contra don Juan Bernárdez González por los daños ocasionados en un tramo de la canalización de un acueducto común. </w:t>
      </w:r>
    </w:p>
    <w:p w:rsidR="0025129F" w:rsidRDefault="0025129F" w:rsidP="0025129F">
      <w:pPr>
        <w:pStyle w:val="TextoNormal"/>
      </w:pPr>
      <w:r>
        <w:t xml:space="preserve">Seguido por estos hechos el juicio de faltas 20/97, concluyó por Sentencia del Juzgado de Instrucción núm. 2 de Ponteareas de 4 de abril de 1997, absolutoria para el denunciado al no resultar acreditado que él fuera el que hubiese roto los tubos objeto de la denuncia. Apelada esta Sentencia, fue confirmada por Sentencia de la Sección Tercera de la Audiencia Provincial de Pontevedra (rollo 101/97) de 27 de junio de 1997. </w:t>
      </w:r>
    </w:p>
    <w:p w:rsidR="0025129F" w:rsidRDefault="0025129F" w:rsidP="0025129F">
      <w:pPr>
        <w:pStyle w:val="TextoNormal"/>
      </w:pPr>
      <w:r>
        <w:t xml:space="preserve">b) Firme la Sentencia penal absolutoria, el ahora demandante del amparo y otro más, actuando igualmente en su propio interés y en el de la citada Comunidad de Regantes, promovieron el juicio civil de cognición (autos 299/97) contra el anteriormente denunciado en el juicio de faltas, en reclamación de 118.320 pesetas a que ascendía la reparación de los daños sufridos en los tubos cuya rotura se imputaba al demandado. </w:t>
      </w:r>
    </w:p>
    <w:p w:rsidR="0025129F" w:rsidRDefault="0025129F" w:rsidP="0025129F">
      <w:pPr>
        <w:pStyle w:val="TextoNormal"/>
      </w:pPr>
      <w:r>
        <w:t xml:space="preserve">c) Tras la oportuna tramitación del juicio (cognición 299/97), el Juzgado de Primera Instancia núm. 1 de Ponteareas, cuyo titular es la misma Juez que en su día dictó la Sentencia de primera instancia en el juicio de faltas, dio Sentencia el 24 de febrero de 1998, cuyo fallo literalmente dice: "Sin entrar en el fondo del asunto, se estima, de oficio la excepción de cosa juzgada; con imposición de costas a la parte actora". </w:t>
      </w:r>
    </w:p>
    <w:p w:rsidR="0025129F" w:rsidRDefault="0025129F" w:rsidP="0025129F">
      <w:pPr>
        <w:pStyle w:val="TextoNormal"/>
      </w:pPr>
      <w:r>
        <w:t xml:space="preserve">En los fundamentos de Derecho de esta Sentencia se razona el fallo, entre otras, con esta motivación: </w:t>
      </w:r>
    </w:p>
    <w:p w:rsidR="0025129F" w:rsidRDefault="0025129F" w:rsidP="0025129F">
      <w:pPr>
        <w:pStyle w:val="TextoNormal"/>
      </w:pPr>
      <w:r>
        <w:t xml:space="preserve">"Segundo.- Cuantas acciones civiles tengan cabida en el proceso penal han de entenderse ejercitadas en él y por lo mismo juzgadas en el fallo condenatorio, con efectos siempre consuntivos de todas ellas (Tribunal Supremo 7 febrero 1991). </w:t>
      </w:r>
    </w:p>
    <w:p w:rsidR="0025129F" w:rsidRDefault="0025129F" w:rsidP="0025129F">
      <w:pPr>
        <w:pStyle w:val="TextoNormal"/>
      </w:pPr>
      <w:r>
        <w:lastRenderedPageBreak/>
        <w:t xml:space="preserve">Tercero.- Las acciones aquí ejercitadas nacen de las mismas fuentes que las ejercitadas en el proceso penal que es la autoría del demandado la cual se ha negado de forma tajante en el procedimiento penal sin que pueda ese extremo volver a plantearse. </w:t>
      </w:r>
    </w:p>
    <w:p w:rsidR="0025129F" w:rsidRDefault="0025129F" w:rsidP="0025129F">
      <w:pPr>
        <w:pStyle w:val="TextoNormal"/>
      </w:pPr>
      <w:r>
        <w:t xml:space="preserve">Cuarto.- De lo razonado, hemos de concluir que por una parte no es dable volver a discutir la autoría del hoy demandado y que por otra parte tampoco es posible ejercitar acciones ya ejercitadas en el proceso penal, por lo que, de oficio, debe aplicarse la excepción de cosa juzgada, sin que proceda, en consecuencia, entrar en el fondo de la demanda interpuesta, ni en las excepciones planteadas por el demandado." </w:t>
      </w:r>
    </w:p>
    <w:p w:rsidR="0025129F" w:rsidRDefault="0025129F" w:rsidP="0025129F">
      <w:pPr>
        <w:pStyle w:val="TextoNormal"/>
      </w:pPr>
      <w:r>
        <w:t xml:space="preserve">d) Formulado recurso de apelación, la Sección Cuarta de la Audiencia Provincial de Pontevedra (rollo 190/98) de 23 de abril de 1998, notificada el 20 de mayo, desestimó el recurso y confirmó la Sentencia apelada. En los fundamentos de Derecho de es esta Sentencia se razona el fallo con la siguiente motivación: </w:t>
      </w:r>
    </w:p>
    <w:p w:rsidR="0025129F" w:rsidRDefault="0025129F" w:rsidP="0025129F">
      <w:pPr>
        <w:pStyle w:val="TextoNormal"/>
      </w:pPr>
      <w:r>
        <w:t>"Primero.- El hecho del proceso penal que terminó por Sentencia absolutoria es: El demandado rompió los tubos. Y es este hecho lo que la Sentencia penal declara inexistente al considerar como no probada la autoría del demandado. Por lo que tiene plena aplicación el art. 116 de la Ley de Enjuiciamiento Criminal a la Sentencia que puso término al proceso en que se ejercitó la acción penal y la civil derivada de aquel hecho."</w:t>
      </w:r>
    </w:p>
    <w:p w:rsidR="0025129F" w:rsidRDefault="0025129F" w:rsidP="0025129F">
      <w:pPr>
        <w:pStyle w:val="TextoNormal"/>
      </w:pPr>
    </w:p>
    <w:p w:rsidR="0025129F" w:rsidRDefault="0025129F" w:rsidP="0025129F">
      <w:pPr>
        <w:pStyle w:val="TextoNormal"/>
      </w:pPr>
      <w:r w:rsidRPr="0025129F">
        <w:rPr>
          <w:rStyle w:val="NumeroAFNegritaCaracter"/>
        </w:rPr>
        <w:t>2</w:t>
      </w:r>
      <w:r>
        <w:t>. La demanda denuncia la vulneración del derecho a la tutela judicial efectiva del art. 24.1 CE que, a juicio del recurrente, se ha producido porque se ha vedado su derecho a obtener una respuesta motivada y fundada de la cuestión planteada en el litigio, so pretexto de la concurrencia de la institución de la cosa juzgada que, de ningún modo, es de aplicación a la litis.</w:t>
      </w:r>
    </w:p>
    <w:p w:rsidR="0025129F" w:rsidRDefault="0025129F" w:rsidP="0025129F">
      <w:pPr>
        <w:pStyle w:val="TextoNormal"/>
      </w:pPr>
    </w:p>
    <w:p w:rsidR="0025129F" w:rsidRDefault="0025129F" w:rsidP="0025129F">
      <w:pPr>
        <w:pStyle w:val="TextoNormal"/>
      </w:pPr>
      <w:r w:rsidRPr="0025129F">
        <w:rPr>
          <w:rStyle w:val="NumeroAFNegritaCaracter"/>
        </w:rPr>
        <w:t>3</w:t>
      </w:r>
      <w:r>
        <w:t>. Por providencia de 22 de junio de 1998, la Sección Segunda, a tenor de lo dispuesto en el art. 50.5 LOTC, acordó conceder un plazo de diez días al recurrente para que aportase copia de la Sentencia dictada por el Juzgado de Primera Instancia núm. 1 de Ponteareas y acreditase la fecha de notificación de la Sentencia de la Audiencia de Pontevedra que se recurre. Por providencia de 10 de noviembre de 1998, se tuvo por recibida la documentación presentada y, de conformidad con el art. 88 LOTC, se acordó requerir al Juzgado de Primera Instancia núm. 1 de Ponteareas y a la Sección Cuarta de la Audiencia Provincial de Pontevedra para que remitiesen, en el plazo de diez días, respectivamente, testimonio del juicio de cognición 299/97 y del rollo de apelación 190/98.</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22 de marzo de 1999 se tuvo por recibidos los testimonios solicitados, se acordó admitir a trámite la demanda de amparo, y, a tenor del art. 51 LOTC, se requirió al Juzgado de Primera Instancia núm. 1 de Ponteareas para que emplazase a quienes fueron parte en el juicio de cognición 299/97, con excepción del recurrente en amparo, para que, con traslado de la copia de la demanda, pudieran comparecer en este proceso constitucional, en el plazo de diez días.</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31 de mayo de 1999 se acordó tener por comparecida a la Procuradora doña María del Mar Montero de Cózar y Millet en representación de don Juan González Bernardez y, de conformidad con lo dispuesto en el art. 52 LOTC, se dio vista de las actuaciones por plazo común de 20 días al Ministerio Fiscal, al solicitante del amparo y a la Procuradora Sra. Montero de Cózar para que, dentro de dicho término, pudieran presentar las alegaciones que a su derecho conviniera.</w:t>
      </w:r>
    </w:p>
    <w:p w:rsidR="0025129F" w:rsidRDefault="0025129F" w:rsidP="0025129F">
      <w:pPr>
        <w:pStyle w:val="TextoNormal"/>
      </w:pPr>
    </w:p>
    <w:p w:rsidR="0025129F" w:rsidRDefault="0025129F" w:rsidP="0025129F">
      <w:pPr>
        <w:pStyle w:val="TextoNormal"/>
      </w:pPr>
      <w:r w:rsidRPr="0025129F">
        <w:rPr>
          <w:rStyle w:val="NumeroAFNegritaCaracter"/>
        </w:rPr>
        <w:t>6</w:t>
      </w:r>
      <w:r>
        <w:t>. Por escrito registrado el 22 de junio de 1999, la representación del recurrente formula sus alegaciones en las que reitera la solicitud de amparo. Las Sentencias dictadas en el juicio de faltas, atendida su motivación, ponen de manifiesto que tanto el Juzgado como la Audiencia que las pronunciaron optaron por la absolución del denunciado en aplicación de los principios que imperan en el Derecho penal, entre ellos, presunción de inocencia e indubio pro reo, sin descartar la posible autoría del denunciado en la verificación de los hechos denunciados. Así las cosas, el error de la Sentencia de primera instancia dictada en el juicio de cognición al apreciar la excepción de cosa juzgada es evidente, pues la fundamentación jurídica que vierte es predicable, como expresamente se indica en la resolución, sólo para las Sentencias penales condenatorias y, sin embargo, incoherentemente, la aplica también al caso de una Sentencia penal absolutoria. Por su parte, la Sentencia de apelación, como evidencia su motivación, realiza una incorrecta aplicación del art. 116 LECrim. En apoyo de la pretensión de amparo se cita la doctrina de las SSTC 59/1996 y 22/1998, que revelan la infracción del derecho a la tutela judicial efectiva del art. 24.1 CE.</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Por escrito registrado el 30 de junio de 1999, la representación procesal de don Juan González Bernardez interesa la desestimación del amparo. Alega, en primer lugar, la existencia de una causa de inadmisión del recurso, que puede ser resuelta en Sentencia una vez superada la demanda el trámite de admisibilidad, por falta de invocación formal del derecho vulnerado (art. 44.1.c LOTC), pues siendo la Sentencia de la Audiencia de 23 de abril de 1998 confirmatoria de la dictada por el Juzgado el 24 de febrero de 1998, si la presunta violación del derecho a la tutela judicial efectiva proviene de la falta de motivación y de la concurrencia de la cosa juzgada, cuando se interpuso el recurso de apelación se debió invocar la violación del derecho fundamental para, de este modo, respetando el principio de subsidiariedad del amparo, haber permitido a los órganos judiciales pronunciarse sobre dicha vulneración. </w:t>
      </w:r>
    </w:p>
    <w:p w:rsidR="0025129F" w:rsidRDefault="0025129F" w:rsidP="0025129F">
      <w:pPr>
        <w:pStyle w:val="TextoNormal"/>
      </w:pPr>
      <w:r>
        <w:t>En cuanto al fondo, la demanda de amparo carece de contenido. La Sentencia de la Audiencia que puso fin al juicio de cognición razona en su fundamentación jurídica que: «El hecho del proceso penal que terminó por Sentencia absolutoria es: el demandado (no) rompió los tubos». Por tanto, nada es más congruente que concluir que la Sentencia civil no puede volver a plantearse sobre la misma autoría que ya estaba resuelta. Por otra parte, en las Sentencias civiles se razona suficientemente la concurrencia de la cosa juzgada, lo que excluye la vulneración del derecho a la tutela judicial efectiva que se denuncia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Mediante escrito registrado el 7 de julio de 1999 el Fiscal presenta sus alegaciones. La demanda de amparo basa la lesión del art. 24.1 CE por las Sentencias recurridas en un déficit de tutela por no entrar en el fondo de la pretensión en virtud de una interpretación de la cosa juzgada que no se compadece ni con la realidad de los acontecimientos, según resulta del texto de las resoluciones habidas en los procesos penal y civil, ni con un criterio razonable de resolución de la litis. Dictada Sentencia penal absolutoria, los denunciantes decidieron emprender un juicio civil por responsabilidad extracontractual contra el Sr. González. El Juzgado desestima la demanda, sin entrar en el fondo de la pretensión, al apreciar de oficio la excepción de cosa juzgada. El argumento empleado por la Juez no se corresponde con un criterio razonable de decisión habiéndose dejado de conocer el fondo del pleito por una interpretación arbitraria del instituto de la cosa juzgada, toda vez que la </w:t>
      </w:r>
      <w:r>
        <w:lastRenderedPageBreak/>
        <w:t xml:space="preserve">existencia de un proceso penal no limita en absoluto las facultades de las partes para probar la autoría del hecho en un ulterior proceso civil que no puede evitarse ni por el hecho, como dice la Sentencia, de que se niegue la autoría por el denunciado, ni siquiera por la declaración de inocencia por la Sentencia. Afirmar otra cosa supone desconocer los respectivos campos de acción del proceso penal y el civil. El efecto preclusivo de la cosa juzgada se produce sólo cuando se declara el hecho inexistente, lo que aquí no ocurre. Por su parte, la fundamentación de la Sentencia de la Audiencia confunde entre producción del hecho y atribución de autoría, al señalar que el hecho es inexistente porque no se ha probado su autor, sin que tampoco pueda considerarse ejercida y consumida la acción civil a consecuencia del ejercicio frustrado de la acción penal. Lo que realmente ocurrió es que, al no estimarse la autoría del denunciado no se le condenó al pago de la responsabilidad civil que no resultó por tanto extinguida, sino sujeta a revisión de la autoría en un ulterior proceso de naturaleza civil. Se atribuye a las Sentencias penales afirmaciones no hechas, pues es de comprobar que en ninguna resolución se ha dicho que no existiera el daño producido, lo que no podía ser de otra manera al derivarse de la diligencia de comprobación de la Guardia Civil y de la tasación de los daños. </w:t>
      </w:r>
    </w:p>
    <w:p w:rsidR="0025129F" w:rsidRDefault="0025129F" w:rsidP="0025129F">
      <w:pPr>
        <w:pStyle w:val="TextoNormal"/>
      </w:pPr>
      <w:r>
        <w:t xml:space="preserve">Resulta, pues, de aplicación la doctrina general de este Tribunal Constitucional sobre el derecho a la tutela judicial efectiva que supone el del justiciable a una resolución sobre el fondo de la pretensión, sin que le sean aplicables las excepciones toda vez que su apreciación para impedir la entrada en el fondo excluyen expresamente los supuestos de interpretación arbitraria, irrazonada o basadas en un error patente. En relación con la cosa juzgada se ha hecho esta afirmación entre otras en SSTC 242/1992, 79/1993, 152/1993 y ATC 1322/1988. Asimismo es de citar la STC 59/1996. </w:t>
      </w:r>
    </w:p>
    <w:p w:rsidR="0025129F" w:rsidRDefault="0025129F" w:rsidP="0025129F">
      <w:pPr>
        <w:pStyle w:val="TextoNormal"/>
      </w:pPr>
      <w:r>
        <w:t>Por todo lo expuesto, el Fiscal de conformidad con lo prevenido en los arts. 86.1 y 89 LOTC y 372 LEC, interesa del Tribunal Constitucional se dicte Sentencia, otorgando el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10 de enero de 2002 se fijó para la deliberación y fallo del presente recurso el siguiente día 14 del mismo mes y año en que comenzó, terminando el día de la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Dados los términos en que viene planteada la demanda, el presente recurso de amparo tiene por objeto determinar si la Sentencia de la Audiencia Provincial de Pontevedra, que confirmó la Sentencia del Juzgado de Primera Instancia núm. 1 de Ponteareas, desestimando la demanda civil interpuesta por el ahora recurrente y otro más, en reclamación de los daños sufridos por la rotura de unos tubos, ha supuesto una vulneración del derecho a la tutela judicial efectiva, ya que impidió obtener una respuesta motivada y fundada en Derecho sobre el fondo de la pretensión ejercitada en el pleito civil.  Las Sentencias de lo Civil apreciaron de oficio la excepción de cosa juzgada con fundamento en la Sentencia penal absolutoria dictada en el juicio de faltas anteriormente seguido contra quien es demandado en el proceso civil posterior.</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Antes de entrar en el fondo de la queja planteada es necesario examinar la eventual causa de inadmisibilidad del recurso, alegada por la representación procesal de don Juan González Bernárdez, consistente en el incumplimiento del requisito de invocación formal </w:t>
      </w:r>
      <w:r>
        <w:lastRenderedPageBreak/>
        <w:t>del derecho fundamental vulnerado (art. 44.1.c LOTC), que, a juicio de dicha representación, se ha producido porque el ahora demandante del amparo no invocó, al tiempo de apelar la Sentencia del Juzgado, la lesión del derecho a la tutela judicial efectiva que posteriormente se hace valer en el recurso de amparo.</w:t>
      </w:r>
    </w:p>
    <w:p w:rsidR="0025129F" w:rsidRDefault="0025129F" w:rsidP="0025129F">
      <w:pPr>
        <w:pStyle w:val="TextoNormal"/>
      </w:pPr>
      <w:r>
        <w:t>Basta el examen de los antecedentes para rechazar la causa de inadmisibilidad que se alega. El recurrente, tras serle notificada la Sentencia de primera instancia que había acogido la excepción de cosa juzgada, en el escrito de interposición del recurso de apelación que formuló contra ella, si bien no hizo una expresa y formal referencia a la vulneración del art. 24.1 CE, el contenido y los términos en que fundamentó el recurso, en los que citó y trascribió parcialmente la STC 59/1996, de 15 de abril, permiten concluir que sometió al Tribunal ad quem todos los elementos de juicio necesarios para que pudiera conocer y reparar la lesión del derecho fundamental que se denuncia en la demanda de amparo. El recurrente, pues, cumplió el requisito del art.  44.1.c LOTC, para lo que es suficiente con que los órganos judiciales hayan tenido la oportunidad de pronunciarse y remediar la eventual vulneración del derecho fundamental discutido, sin que, como hemos declarado reiteradamente, se exija inexcusablemente la cita concreta y numérica del precepto de la Constitución en la que se reconozca el derecho o derechos fundamentales supuestamente vulnerados o la mención de su nomen iuris (STC 201/2000, de 24 de julio, por todas).</w:t>
      </w:r>
    </w:p>
    <w:p w:rsidR="0025129F" w:rsidRDefault="0025129F" w:rsidP="0025129F">
      <w:pPr>
        <w:pStyle w:val="TextoNormal"/>
      </w:pPr>
    </w:p>
    <w:p w:rsidR="0025129F" w:rsidRDefault="0025129F" w:rsidP="0025129F">
      <w:pPr>
        <w:pStyle w:val="TextoNormal"/>
      </w:pPr>
      <w:r w:rsidRPr="0025129F">
        <w:rPr>
          <w:rStyle w:val="NumeroAFNegritaCaracter"/>
        </w:rPr>
        <w:t>3</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impida entrar en el fondo de la cuestión planteada, si esta decisión se funda en la existencia de una causa legal que así lo justifique, aplicada razonablemente por el órgano judicial (SSTC 19/1981, de 8 de junio, FJ 2; 69/1984, de 11 de junio, FJ 2; 6/1986, de 21 de enero, FJ 3; 118/1987, de 8 de julio, FJ 2; 57/1988, de 5 de abril, FJ 1; 124/1988, de 23 de junio, FJ 3; 216/1989, de 21 de diciembre, FJ 3; 154/1992, de 19 de octubre, FJ 2; 55/1995, de 6 de marzo, FJ 2; 104/1997, de 2 de junio, FJ 2; 108/2000, de 5 de mayo, FJ 3; entre otras muchas), pues, al ser el derecho a la tutela judicial efectiva un derecho prestacional de configuración legal, su ejercicio y efectividad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 FJ 2).</w:t>
      </w:r>
    </w:p>
    <w:p w:rsidR="0025129F" w:rsidRDefault="0025129F" w:rsidP="0025129F">
      <w:pPr>
        <w:pStyle w:val="TextoNormal"/>
      </w:pPr>
      <w:r>
        <w:t xml:space="preserve">Asimismo, hemos declarado que una de la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respecto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(SSTC 159/1987, de 26 de octubre, FJ 2; 135/1994, de 9 de mayo, FJ 2; 198/1994, de 4 de julio, FJ 3; 59/1996, de 15 de abril, FJ 2; 43/1998, de 24 de febrero, FJ 3; 53/2000, de 28 de febrero, FJ 6; 55/2000, de 28 de </w:t>
      </w:r>
      <w:r>
        <w:lastRenderedPageBreak/>
        <w:t>febrero, FJ 4; 207/2000, de 24 de julio, FJ 2; 309/2000, de 18 de diciembre, FJ 3; 151/2001, de 2 de julio, FJ 3).</w:t>
      </w:r>
    </w:p>
    <w:p w:rsidR="0025129F" w:rsidRDefault="0025129F" w:rsidP="0025129F">
      <w:pPr>
        <w:pStyle w:val="TextoNormal"/>
      </w:pPr>
      <w:r>
        <w:t>Por ello,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0025129F" w:rsidRDefault="0025129F" w:rsidP="0025129F">
      <w:pPr>
        <w:pStyle w:val="TextoNormal"/>
      </w:pPr>
      <w:r>
        <w:t>Igualmente, este Tribunal tiene dicho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w:t>
      </w:r>
    </w:p>
    <w:p w:rsidR="0025129F" w:rsidRDefault="0025129F" w:rsidP="0025129F">
      <w:pPr>
        <w:pStyle w:val="TextoNormal"/>
      </w:pPr>
    </w:p>
    <w:p w:rsidR="0025129F" w:rsidRDefault="0025129F" w:rsidP="0025129F">
      <w:pPr>
        <w:pStyle w:val="TextoNormal"/>
      </w:pPr>
      <w:r w:rsidRPr="0025129F">
        <w:rPr>
          <w:rStyle w:val="NumeroAFNegritaCaracter"/>
        </w:rPr>
        <w:t>4</w:t>
      </w:r>
      <w:r>
        <w:t>. De conformidad con la doctrina expuesta, la función del Tribunal Constitucional ha de limitarse a comprobar si la Sentencia recurrida, al desestimar la demanda civil por apreciar la cosa juzgada derivada de la Sentencia absolutoria recaída en el anterior proceso penal seguido contra el demandado, puede considerarse una respuesta válida desde la perspectiva del derecho a la tutela judicial efectiva o, por el contrario, resulta una decisión arbitraria, incongruente o irrazonable que no satisface las exigencias del art. 24.1 CE.</w:t>
      </w:r>
    </w:p>
    <w:p w:rsidR="0025129F" w:rsidRDefault="0025129F" w:rsidP="0025129F">
      <w:pPr>
        <w:pStyle w:val="TextoNormal"/>
      </w:pPr>
      <w:r>
        <w:t>Para realizar el referido análisis hemos de recordar que en nuestro Ordenamiento, el proceso penal no queda limitado al ejercicio y conocimiento de la acción penal a través de la cual se manifiesta el ius puniendi del Estado; por el contrario, en el proceso penal puede ejercitarse y decidirse también la acción civil dirigida a satisfacer la llamada responsabilidad civil ex delicto, es decir, la responsabilidad civil derivada del hecho ilícito que es constitutivo de delito o falta. Además, el legislador, por razones de economía o de oportunidad, considera que ejercitada la acción penal se entiende utilizada también la acción civil, de forma que salvo que el perjudicado por el hecho delictivo haya renunciado a la acción civil o se haya reservado expresamente esta acción para ejercitarla después de terminado el proceso penal en el correspondiente juicio civil (art. 112 LECrim), la Sentencia que ponga fin al proceso penal, en el caso de que sea condenatoria (y excepcionalmente, cuando sea absolutoria en los supuestos del art. 118 del Código Penal) deberá pronunciarse también sobre la responsabilidad civil ex delicto. A este fin, el Ministerio Fiscal está obligado, haya o no acusador particular, a ejercer la acción civil, salvo que el perjudicado haya renunciado o se haya reservado las acciones civiles (art. 108 LECrim).</w:t>
      </w:r>
    </w:p>
    <w:p w:rsidR="0025129F" w:rsidRDefault="0025129F" w:rsidP="0025129F">
      <w:pPr>
        <w:pStyle w:val="TextoNormal"/>
      </w:pPr>
      <w:r>
        <w:t>De este modo, el legislador ha querido que la Sentencia penal decida definitivamente toda las consecuencias penales y civiles derivadas del hecho delictivo, salvo el supuesto de renuncia o de reserva de las acciones civiles por parte del perjudicado, pues no existiendo esta renuncia o reserva de acciones, el Ministerio Fiscal ostenta una legitimación extraordinaria o por sustitución para ejercer, en nombre de los perjudicados, las acciones civiles que puedan corresponderles, por lo que ejercitadas estas acciones por el Fiscal, el perjudicado no podrá ya volver a ejercitarlas en un posterior proceso civil, salvo que se trate de objetos o cuestiones civiles no discutidas en la Sentencia penal.</w:t>
      </w:r>
    </w:p>
    <w:p w:rsidR="0025129F" w:rsidRDefault="0025129F" w:rsidP="0025129F">
      <w:pPr>
        <w:pStyle w:val="TextoNormal"/>
      </w:pPr>
      <w:r>
        <w:t xml:space="preserve">El esquema que se deja expuesto permite sostener que la Sentencia penal condenatoria que se haya pronunciado sobre la responsabilidad civil del condenado produce efectos de cosa juzgada en el ulterior proceso civil que pueda plantear el perjudicado, pues la Sentencia penal produce efectos consuntivos de cuantas acciones penales y civiles se ejercitaron </w:t>
      </w:r>
      <w:r>
        <w:lastRenderedPageBreak/>
        <w:t>y ventilaron en el proceso penal. Sólo aquellas acciones civiles que no fueron objeto de la Sentencia penal, ya sea porque la Sentencia fue absolutoria, ya sea porque el perjudicado se las reservó para ejercitarlas en un posterior proceso civil, o porque no fueron ejercitadas en el proceso penal, son las que podrán ejercerse y ventilarse en un posterior proceso civil y no quedaran afectadas por la cosa juzgada que produce la Sentencia penal.</w:t>
      </w:r>
    </w:p>
    <w:p w:rsidR="0025129F" w:rsidRDefault="0025129F" w:rsidP="0025129F">
      <w:pPr>
        <w:pStyle w:val="TextoNormal"/>
      </w:pPr>
      <w:r>
        <w:t>Es decir, cuando la Sentencia penal,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que fue objeto de enjuiciamiento en el ámbito criminal, este pronunciamiento vinculará positivamente al juez civil que no podrá ya fundar ninguna responsabilidad civil en la existencia del hecho que fue declarado inexistente por la jurisdicción penal.</w:t>
      </w:r>
    </w:p>
    <w:p w:rsidR="0025129F" w:rsidRDefault="0025129F" w:rsidP="0025129F">
      <w:pPr>
        <w:pStyle w:val="TextoNormal"/>
      </w:pPr>
    </w:p>
    <w:p w:rsidR="0025129F" w:rsidRDefault="0025129F" w:rsidP="0025129F">
      <w:pPr>
        <w:pStyle w:val="TextoNormal"/>
      </w:pPr>
      <w:r w:rsidRPr="0025129F">
        <w:rPr>
          <w:rStyle w:val="NumeroAFNegritaCaracter"/>
        </w:rPr>
        <w:t>5</w:t>
      </w:r>
      <w:r>
        <w:t>. En el presente caso, el ahora recurrente (y otro más) formuló demanda de juicio de cognición contra don Juan Bernárdez González en reclamación de los daños sufridos por la rotura de un tramo de la canalización propiedad de una Comunidad de Regantes de la que el demandante es miembro, ejercitando la acción de responsabilidad civil extracontractual o aquiliana del art. 1902 del Código Civil. Esta pretensión civil es desestimada por el Juzgado, en Sentencia que luego es confirmada por la Sentencia de la Audiencia que ahora es objeto del amparo, sin entrar en el fondo del asunto, por apreciarse de oficio la excepción de cosa juzgada, que se funda en la existencia de una previa Sentencia penal, recaída en un anterior juicio de faltas seguido contra el demandado por los mismos hechos, y que fue absolutoria por no haber quedado acreditado que el denunciado fuera el autor de los hechos imputados.</w:t>
      </w:r>
    </w:p>
    <w:p w:rsidR="0025129F" w:rsidRDefault="0025129F" w:rsidP="0025129F">
      <w:pPr>
        <w:pStyle w:val="TextoNormal"/>
      </w:pPr>
      <w:r>
        <w:t>Basta este sucinto relato de hechos para constatar que la excepción de cosa juzgada estimada por la Sentencia civil, con el efecto de no entrar en el fondo de la pretensión ejercitada en el proceso civil, ha sido apreciada sin fundamento alguno, pues siendo absolutoria la Sentencia penal para la persona posteriormente demandada en el proceso civil, el Juez penal nunca tuvo oportunidad de examinar y pronunciarse sobre las eventuales responsabilidades civiles en que pudo incurrir el denunciado en el juicio de faltas, cuestión que, por consiguiente, quedó imprejuzgada.</w:t>
      </w:r>
    </w:p>
    <w:p w:rsidR="0025129F" w:rsidRDefault="0025129F" w:rsidP="0025129F">
      <w:pPr>
        <w:pStyle w:val="TextoNormal"/>
      </w:pPr>
      <w:r>
        <w:t>Tampoco puede aceptarse la aplicación que la Sentencia ahora recurrida en amparo hace del art. 116 LECrim para fundar la excepción de cosa juzgada. El art. 116 LECrim se limita a establecer que si la Sentencia penal resulta absolutoria por declarar que el hecho que fue objeto del enjuiciamiento criminal no existió, esta declaración de la Sentencia penal, una vez que adquiera firmeza, vinculara a los Tribunales civiles. Sin embargo, la Sentencia recaída en el juicio de faltas no declaró que el hecho enjuiciado no había existido (la rotura de los tubos de la canalización propiedad de la Comunidad de Regantes), sino que este hecho, o si se prefiere, que la rotura de dicha canalización, no podía atribuirse a la autoría del denunciado, a los efectos de imputarle la responsabilidad criminal.</w:t>
      </w:r>
    </w:p>
    <w:p w:rsidR="0025129F" w:rsidRDefault="0025129F" w:rsidP="0025129F">
      <w:pPr>
        <w:pStyle w:val="TextoNormal"/>
      </w:pPr>
      <w:r>
        <w:t>Por ello, esta declaración de no-autoría no está cubierta por el efecto positivo de la cosa juzgada que establece el art. 116 LECrim, y no impedía que los Tribunales civiles pudieran valorar las pruebas y apreciar los hechos nuevamente en el plano de la responsabilidad civil, en el que, junto al criterio estricto de la autoría material, pueden utilizarse otros elementos y criterios de imputación (teoría del riesgo, propiedad de las cosas, culpa in vigilando o in eligendo, etc.).</w:t>
      </w:r>
    </w:p>
    <w:p w:rsidR="0025129F" w:rsidRDefault="0025129F" w:rsidP="0025129F">
      <w:pPr>
        <w:pStyle w:val="TextoNormal"/>
      </w:pPr>
      <w:r>
        <w:lastRenderedPageBreak/>
        <w:t>En suma, puede concluirse que en el presente caso los órganos judiciales, al apreciar la excepción de cosa juzgada material fundada en la existencia de la previa Sentencia penal absolutoria, han privado al recurrente de un pronunciamiento sobre el fondo de la pretensión ejercitada en el proceso civil, sin que exista causa legal para ello, por lo que la Sentencia de apelación y la Sentencia de primera instancia que confirma, deben reputarse irrazonables y restrictivas de la efectividad del derecho a la tutela judicial efectiva (STC 121/1994, de 24 de abril), procediendo la estimación de la demanda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Fortunato Castro Gandara y, en su virtud:</w:t>
      </w:r>
    </w:p>
    <w:p w:rsidR="0025129F" w:rsidRDefault="0025129F" w:rsidP="0025129F">
      <w:pPr>
        <w:pStyle w:val="TextoNormal"/>
      </w:pPr>
      <w:r>
        <w:t>1º Reconocer el derecho del recurrente a la tutela judicial efectiva.</w:t>
      </w:r>
    </w:p>
    <w:p w:rsidR="0025129F" w:rsidRDefault="0025129F" w:rsidP="0025129F">
      <w:pPr>
        <w:pStyle w:val="TextoNormal"/>
      </w:pPr>
      <w:r>
        <w:t>2º Declarar la nulidad de las Sentencias de primera instancia y de apelación dictadas en el juicio de cognición 299/97, seguido ante el Juzgado de Primera Instancia núm. 1 de Ponteareas.</w:t>
      </w:r>
    </w:p>
    <w:p w:rsidR="0025129F" w:rsidRDefault="0025129F" w:rsidP="0025129F">
      <w:pPr>
        <w:pStyle w:val="TextoNormal"/>
      </w:pPr>
      <w:r>
        <w:t>3º Retrotraer las actuaciones al momento inmediatamente anterior al de la Sentencia de 24 de febrero de 1998 del citado Juzgado, a fin de que se dicte otra Sentencia, luego de admitir la demanda civil, sin apreciar la excepción de cosa juzgada.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9" w:name="SENTENCIA_2002_16"/>
      <w:r>
        <w:lastRenderedPageBreak/>
        <w:t>SENTENCIA 16/2002, de 28 de enero de 2002</w:t>
      </w:r>
    </w:p>
    <w:bookmarkEnd w:id="19"/>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ECLI:ES:TC:2002:16</w:t>
      </w:r>
    </w:p>
    <w:p w:rsidR="0025129F" w:rsidRDefault="0025129F" w:rsidP="0025129F">
      <w:pPr>
        <w:pStyle w:val="SntesisDescriptiva"/>
      </w:pPr>
    </w:p>
    <w:p w:rsidR="0025129F" w:rsidRDefault="0025129F" w:rsidP="0025129F">
      <w:pPr>
        <w:pStyle w:val="SntesisDescriptiva"/>
      </w:pPr>
      <w:r>
        <w:t>Recurso de amparo 3014/98. Promovido por don Carlos González Oviedo respecto a la Sentencia de la Sala de lo Social del Tribunal Superior de Justicia de Madrid que estimó el recurso del Instituto Nacional de la Seguridad Social, y desestimó su demanda de invalidez permanente.</w:t>
      </w:r>
    </w:p>
    <w:p w:rsidR="0025129F" w:rsidRDefault="0025129F" w:rsidP="0025129F">
      <w:pPr>
        <w:pStyle w:val="SntesisDescriptiva"/>
      </w:pPr>
    </w:p>
    <w:p w:rsidR="0025129F" w:rsidRDefault="0025129F" w:rsidP="0025129F">
      <w:pPr>
        <w:pStyle w:val="SntesisAnaltica"/>
      </w:pPr>
      <w:r>
        <w:t>Supuesta vulneración del derecho a la tutela judicial efectiva: Sentencia de suplicación que da respuesta al escrito de impugnación del recurso, e incurre en error sobre la ratificación de un dictamen irrelevante para el fallo.</w:t>
      </w:r>
    </w:p>
    <w:p w:rsidR="0025129F" w:rsidRDefault="0025129F" w:rsidP="0025129F">
      <w:pPr>
        <w:pStyle w:val="SntesisAnaltica"/>
      </w:pPr>
    </w:p>
    <w:p w:rsidR="0025129F" w:rsidRDefault="0025129F" w:rsidP="0025129F">
      <w:pPr>
        <w:pStyle w:val="Extracto"/>
      </w:pPr>
      <w:r>
        <w:t>1.</w:t>
      </w:r>
      <w:r>
        <w:tab/>
        <w:t>La alegación de arbitrariedad e irrazonabilidad en la motivación de la Sentencia impugnada, que descansa en último término en el error denunciado, no revela sino una mera discrepancia con la calificación que efectúa el órgano judicial de las lesiones que padece el actor [FJ 5].</w:t>
      </w:r>
    </w:p>
    <w:p w:rsidR="0025129F" w:rsidRDefault="0025129F" w:rsidP="0025129F">
      <w:pPr>
        <w:pStyle w:val="Extracto"/>
      </w:pPr>
    </w:p>
    <w:p w:rsidR="0025129F" w:rsidRDefault="0025129F" w:rsidP="0025129F">
      <w:pPr>
        <w:pStyle w:val="Extracto"/>
      </w:pPr>
      <w:r>
        <w:t>2.</w:t>
      </w:r>
      <w:r>
        <w:tab/>
        <w:t>El error padecido por el órgano judicial al ratificar el dictamen médico no condujo a la estimación de la pretensión de revisión fáctica del INSS, no produciendo ningún efecto negativo en la esfera jurídica del ciudadano [FJ 4].</w:t>
      </w:r>
    </w:p>
    <w:p w:rsidR="0025129F" w:rsidRDefault="0025129F" w:rsidP="0025129F">
      <w:pPr>
        <w:pStyle w:val="Extracto"/>
      </w:pPr>
    </w:p>
    <w:p w:rsidR="0025129F" w:rsidRDefault="0025129F" w:rsidP="0025129F">
      <w:pPr>
        <w:pStyle w:val="Extracto"/>
      </w:pPr>
      <w:r>
        <w:t>3.</w:t>
      </w:r>
      <w:r>
        <w:tab/>
        <w:t>El órgano judicial rechazó la pretensión de modificación fáctica deducida por el INSS y, consiguientemente, satisfizo la petición principal del demandante de amparo, haciendo con ello innecesaria la respuesta a la subsidiaria. No hubo, pues, incongruencia alguna [FJ 3].</w:t>
      </w:r>
    </w:p>
    <w:p w:rsidR="0025129F" w:rsidRDefault="0025129F" w:rsidP="0025129F">
      <w:pPr>
        <w:pStyle w:val="Extracto"/>
      </w:pPr>
    </w:p>
    <w:p w:rsidR="0025129F" w:rsidRDefault="0025129F" w:rsidP="0025129F">
      <w:pPr>
        <w:pStyle w:val="Extracto"/>
      </w:pPr>
      <w:r>
        <w:t>4.</w:t>
      </w:r>
      <w:r>
        <w:tab/>
        <w:t>Sólo es es constitucionalmente relevante el error que, siendo inmediatamente verificable y no imputable a quien lo esgrime, resultó determinante del fallo y generó un perjuicio material en la posición jurídica del afectado (SSTC 55/1993, 180/1998, 217/2000) [FJ 4].</w:t>
      </w:r>
    </w:p>
    <w:p w:rsidR="0025129F" w:rsidRDefault="0025129F" w:rsidP="0025129F">
      <w:pPr>
        <w:pStyle w:val="Extracto"/>
      </w:pPr>
    </w:p>
    <w:p w:rsidR="0025129F" w:rsidRDefault="0025129F" w:rsidP="0025129F">
      <w:pPr>
        <w:pStyle w:val="Extracto"/>
      </w:pPr>
      <w:r>
        <w:t>5.</w:t>
      </w:r>
      <w:r>
        <w:tab/>
        <w:t>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(SSTC 337/1993, 183/2000)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3014/98, promovido por don Carlos González Oviedo, representado por el Procurador de los Tribunales don José Luis Ferrer Recuero y asistido del Letrado don Jesús Fernández López, contra la Sentencia de 24 de marzo de 1998, dictada por la Sala de lo Social del Tribunal Superior de Justicia de Madrid en el recurso de suplicación núm. 3575/97. Han intervenido el Ministerio Fiscal y el Instituto Nacional de la Seguridad Social, representado por el Procurador de los Tribunales don Ramiro Reynolds de Miguel y asistido por el Letrado de la Seguridad Social don Alberto Llorente Alvarez. Ha sido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Registro General de este Tribunal el día 2 de julio de 1998 don José Luis Ferrer Recuero, Procurador de los Tribunales y de don Carlos González Oviedo, interpuso recurso de amparo constitucional contra la Sentencia de 24 de marzo de 1998, dictada por la Sala de lo Social del Tribunal Superior de Justicia de Madrid en el recurso de suplicación núm. 3575/97, por la que se estimaba el recurso deducido contra la Sentencia del Juzgado de lo Social núm. 13 de los de Madrid, de fecha 22 de enero de 1997, recaída en los autos núm. 521/96.</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este recurso de amparo trae causa relevantes para la decisión del mismo, son, sucintamente expuestos, los siguientes: </w:t>
      </w:r>
    </w:p>
    <w:p w:rsidR="0025129F" w:rsidRDefault="0025129F" w:rsidP="0025129F">
      <w:pPr>
        <w:pStyle w:val="TextoNormal"/>
      </w:pPr>
      <w:r>
        <w:t xml:space="preserve">a) Tras el correspondiente expediente, el Instituto Nacional de la Seguridad Social (INSS) denegó la solicitud del demandante en amparo sobre declaración de invalidez permanente para su profesión habitual de asesor jurídico, considerando que no alcanzaban sus lesiones un grado suficiente de disminución de la capacidad laboral. Formulada reclamación previa por el interesado el resultado fue igualmente desestimatorio. El señor González Oviedo inició entonces procedimiento judicial al objeto de que le fuera reconocida aquella situación invalidante, desistiendo en el acto del juicio de su calificación como incapacidad permanente en el grado de total y reclamando exclusivamente el de parcial para su profesión habitual, siendo estimada la demanda por la Sentencia del Juzgado de lo Social núm. 13 de Madrid, de 22 de enero de 1997. Decía la resolución judicial que las dolencias visuales que padecía el actor -"Afaquia bilateral. Miopía. Glaucoma. Uveitis de repetición"- eran constitutivas de una limitación de aquel grado para el ejercicio de sus laborales profesionales. En los fundamentos jurídicos se hacía constar que el actor tenía limitado su grado de visión (0.3 y 0.7). </w:t>
      </w:r>
    </w:p>
    <w:p w:rsidR="0025129F" w:rsidRDefault="0025129F" w:rsidP="0025129F">
      <w:pPr>
        <w:pStyle w:val="TextoNormal"/>
      </w:pPr>
      <w:r>
        <w:t xml:space="preserve">b) El INSS y la Tesorería General de la Seguridad Social (TGSS) interpusieron recurso de suplicación articulando dos motivos. En el primero solicitaban la revisión de los hechos probados para hacer constar la fecha en que se diagnosticaron las lesiones y el grado de </w:t>
      </w:r>
      <w:r>
        <w:lastRenderedPageBreak/>
        <w:t xml:space="preserve">agudeza visual en cada ojo, y denunciaban en el segundo motivo la infracción del art. 137.3 del Real Decreto Legislativo1/1994, de 20 de junio, por el que se aprobó el texto refundido de la Ley General de la Seguridad Social (en su redacción anterior a la Ley 24/1997). La parte demandante, hoy recurrente en amparo, anunció también recurso de suplicación, si bien desistió de él mediante escrito presentado en el Juzgado de lo Social el 30 de mayo de 1997. En la misma fecha formuló escrito de impugnación al recurso de suplicación interpuesto por el INSS, en el que, con referencia a la revisión de los hechos probados interesada por la entidad gestora, entendía que la adición propugnada de contrario no debía ser admitida por ser "parcial, incompleta y, además, inexacta", así como "por falta de relevancia para el fallo, o de serlo deben incluirse en su totalidad los restantes extremos de los informes que se solicitan por exigirlo así el principio probatorio recogido en el art. 1228 del Código Civil". Con ello se refería, señaladamente, al empeoramiento progresivo de sus lesiones, que habría determinado una reducción de su agudeza visual a 0.3/0.5 en septiembre de 1996 (en lugar del grado 0.3/0.7 indicado en el informe pericial obrante en autos, datado en enero de 1996), cosa que hacía descansar en un nuevo informe presentado en el acto del juicio por el mismo profesional que había realizado el informe de enero del mismo año. </w:t>
      </w:r>
    </w:p>
    <w:p w:rsidR="0025129F" w:rsidRDefault="0025129F" w:rsidP="0025129F">
      <w:pPr>
        <w:pStyle w:val="TextoNormal"/>
      </w:pPr>
      <w:r>
        <w:t>c) El Tribunal Superior de Justicia de Madrid dictó la Sentencia recurrida en amparo. Desestimaba la solicitud de revisión de los hechos probados formulada por el INSS razonando que la gestora transcribía de forma parcial e interesada el informe oftalmológico de la Fundación Jiménez Díaz, de fecha 8 de enero de 1996, que éste no había sido ratificado en el acto del juicio oral, y que en todo caso carecía de los efectos revisorios que se pretendían. En cambió acogió el segundo motivo de suplicación sobre la base de una distinta calificación jurídica de la situación invalidante del afectado. Así, partiendo de los inmodificados hechos probados y del referente de agudeza visual 0.3/0.7, citado en los fundamentos jurídicos de la Sentencia de instancia, absolvió al INSS de la demanda origen de las actuaciones, considerando que el cuadro médico del actor no afectaba a su rendimiento cuantitativo y cualitativo para el trabajo habitual en el grado exigido por el art. 137.3 del Real Decreto Legislativo 1/1994.</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representación del recurrente denuncia la vulneración del derecho a la tutela judicial efectiva consagrado en el art. 24.1 CE, en su manifestación de derecho a no sufrir indefensión. Esta se habría producido, a su juicio, al no tomar en cuenta el Tribunal Superior de Justicia de Madrid las precisiones sobre los hechos probados formuladas en su escrito de impugnación al recurso de suplicación del INSS. </w:t>
      </w:r>
    </w:p>
    <w:p w:rsidR="0025129F" w:rsidRDefault="0025129F" w:rsidP="0025129F">
      <w:pPr>
        <w:pStyle w:val="TextoNormal"/>
      </w:pPr>
      <w:r>
        <w:t>En segundo lugar aduce la vulneración del derecho a la tutela judicial efectiva del art. 24.1 CE, en su manifestación del derecho a obtener una resolución fundada en Derecho, que se habría producido al incurrir el Tribunal Superior de Justicia en un error patente en los hechos y en una motivación arbitraria e irrazonable de la norma. Aquél radicaría en considerar como hechos probados exclusivamente los relacionados en el hecho cuarto de la Sentencia, ignorando los recogidos en los fundamentos de Derecho, salvo el referente a la agudeza visual del actor, que aprecia además de forma errónea en 0.3 y 0.7 pese a que el día de la vista se unió un dictamen médico del que resultaba que en el ojo izquierdo había descendido hasta 0.5. Por otra parte el Tribunal Superior de Justicia incurrió en un segundo error, a saber, la falta de ratificación de los informes médicos aportados a juicio, cuando lo cierto es que en el acta del mismo aparecen ratificados, lo que determinó que no valorara datos esenciales para la calificación del cuadro invalidante, interpretando arbitraria e irrazonablemente la norma.</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Tercera de este Tribunal, en providencia de 11 de noviembre de 1998, acordó recabar del Juzgado de lo Social núm. 13 de Madrid certificación o fotocopia adverada del acta del juicio oral celebrado el 21 de enero de 1997 en el procedimiento del que este recurso de amparo trae causa. Una vez recibida, mediante providencia de 28 de abril de 1999, la Sección Cuarta acordó, de conformidad con lo dispuesto en el núm. 3 del art. 50 LOTC, conceder al demandante de amparo y al Ministerio Fiscal el plazo común de diez días para que formulasen las alegaciones que estimaran pertinentes en relación con la carencia manifiesta de contenido constitucional de la demanda (art. 50.1 c) LOTC).</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El demandante de amparo presentó sus alegaciones mediante escrito que tuvo entrada en el Registro General de este Tribunal el 18 de mayo de 1999. En él concreta que el vicio que reprocha a la Sentencia recurrida en amparo consiste en una incongruencia omisiva, al no haber abordado la Sala de lo Social la revisión de los hechos probados que solicitó en el escrito de oposición al recurso de suplicación formulado de contrario. Este era además el único momento en que pudo deducir esta solicitud, pues al haberse estimado su pretensión por el Juzgado de lo Social carecía de legitimación para recurrir la Sentencia. </w:t>
      </w:r>
    </w:p>
    <w:p w:rsidR="0025129F" w:rsidRDefault="0025129F" w:rsidP="0025129F">
      <w:pPr>
        <w:pStyle w:val="TextoNormal"/>
      </w:pPr>
      <w:r>
        <w:t xml:space="preserve">En segundo lugar, añade, aunque no se hubiera incurrido en incongruencia omisiva, lo cierto es que se rechazó la revisión de los hechos probados porque, según la Sala de lo Social del Tribunal Superior de Justicia, los dictámenes de la Fundación Jiménez Díaz no se habían ratificado. Esta apreciación no se ajusta a la realidad al constar en el acta del juicio oral, por el contrario, que se había producido la ratificación lo que evidencia la existencia de un error patente. Igual ha de calificarse la apreciación de la agudeza visual en 0.3 y 0.7, dado que el informe aportado en el acto del juicio la cifraba en 0.3 y 0.5. </w:t>
      </w:r>
    </w:p>
    <w:p w:rsidR="0025129F" w:rsidRDefault="0025129F" w:rsidP="0025129F">
      <w:pPr>
        <w:pStyle w:val="TextoNormal"/>
      </w:pPr>
      <w:r>
        <w:t>En último término, concluye, al entender el Tribunal Superior de Justicia que las lesiones del actor no afectaron a su rendimiento cualitativo y cuantitativo en la prestación de su puesto de trabajo, alcanzó una decisión manifiestamente arbitraria e irrazonable, lo que también vulneraría el art. 24.1 CE.</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Ministerio Fiscal evacuó sus alegaciones el 21 de mayo de 1999, interesando la inadmisión de la demanda por carecer manifiestamente de contenido constitucional. Parte de la doctrina constitucional, según la cual el derecho al recurso se incorpora al derecho a la tutela judicial efectiva en la forma en que el Ordenamiento regula el sistema de recursos, de forma que ha de tenerse en cuenta que la jurisprudencia laboral ha venido entendiendo que en el escrito de impugnación del recurso de suplicación no cabe pretender mas que la inadmisión del mismo o su desestimación. De ahí que la pretendida revisión de los hechos probados, que el demandante dice haber solicitado en su escrito de impugnación del recurso del INSS, hubiera exigido la formulación por su parte de un recurso de suplicación al amparo del art. 191.1 b) de la Ley de Procedimiento Laboral, pues, pese a que la Sentencia del Juzgado le era favorable, debe huirse del puro dato formal, evitando una aplicación mecánica e infundada del requisito de la legitimación, tal como ya propugnaba la STC 60/1992, de manera que en un caso como éste debía haberse articulado la pretensión por medio de un recurso de suplicación deducido por el ahora demandante, y al no hacerlo así, sólo a él le es imputable la frustración de su pretensión de adición de los hechos probados. </w:t>
      </w:r>
    </w:p>
    <w:p w:rsidR="0025129F" w:rsidRDefault="0025129F" w:rsidP="0025129F">
      <w:pPr>
        <w:pStyle w:val="TextoNormal"/>
      </w:pPr>
      <w:r>
        <w:t xml:space="preserve">Pone acento el Ministerio Fiscal en que, en contra de lo sostenido en la demanda, el Tribunal Superior de Justicia no modificó los hechos probados, ni los declarados como </w:t>
      </w:r>
      <w:r>
        <w:lastRenderedPageBreak/>
        <w:t xml:space="preserve">tales ni los que se contienen en la fundamentación jurídica de la Sentencia -visión del 0.3 y 0.7- pero que deben integrarse con aquéllos. Igualmente niega que la afirmación recogida en la Sentencia de que un determinado dictamen médico no había sido ratificado en el juicio oral fuese causante del fracaso de la pretensión de adición de los hechos probados que se formuló en el escrito de impugnación del demandante. Esta afirmación, por el contrario, sólo habría provocado el rechazo de la pretensión de revisión fáctica formulada por el INSS, por lo que, aun admitiendo que se incurriese en error al apreciar la falta de ratificación, ello sólo determinaría la frustración de un motivo de suplicación de la parte adversa. </w:t>
      </w:r>
    </w:p>
    <w:p w:rsidR="0025129F" w:rsidRDefault="0025129F" w:rsidP="0025129F">
      <w:pPr>
        <w:pStyle w:val="TextoNormal"/>
      </w:pPr>
      <w:r>
        <w:t>Finaliza su escrito poniendo de relieve que el Tribunal Superior de Justicia resolvió congruentemente lo que era objeto de debate en el recurso de suplicación, en concreto los motivos de suplicación planteados por el INSS, sin que fuese preciso dar una respuesta pormenorizada a las alegaciones de oposición formuladas en relación con cada uno de los motivos de suplicación.</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diligencia de ordenación de 5 de julio de 1999 se acordó dirigir atenta comunicación a la Sección Tercera de la Sala de lo Social del Tribunal Superior de Justicia de Madrid y al Juzgado de lo Social núm. 13 de Madrid para que, a la mayor brevedad, remitiesen certificación o fotocopia adverada de las actuaciones correspondientes a los autos núm. 521/96 y recuso de suplicación núm. 3575/97, lo que hicieron oportunamente.</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18 de julio de 2000 de la Sala Segunda de este Tribunal, se acordó admitir a trámite la presente demanda de amparo, requiriendo al Juzgado de lo Social para la práctica de los correspondientes emplazamientos.</w:t>
      </w:r>
    </w:p>
    <w:p w:rsidR="0025129F" w:rsidRDefault="0025129F" w:rsidP="0025129F">
      <w:pPr>
        <w:pStyle w:val="TextoNormal"/>
      </w:pPr>
    </w:p>
    <w:p w:rsidR="0025129F" w:rsidRDefault="0025129F" w:rsidP="0025129F">
      <w:pPr>
        <w:pStyle w:val="TextoNormal"/>
      </w:pPr>
      <w:r w:rsidRPr="0025129F">
        <w:rPr>
          <w:rStyle w:val="NumeroAFNegritaCaracter"/>
        </w:rPr>
        <w:t>9</w:t>
      </w:r>
      <w:r>
        <w:t>. La Sala Segunda de este Tribunal acordó, con fecha 6 de octubre de 2000, tener por personado y parte al Procurador don Ramiro Reynolds de Miguel, en nombre y representación del INSS, así como dar vista de las actuaciones recibidas a todas las partes personadas y al Ministerio Fiscal, abriéndose el plazo de veinte días del art. 52.1 LOTC para formular alegaciones.</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Don Ramiro Reynolds de Miguel, Procurador de los Tribunales y del INSS, presentó sus alegaciones el día 28 de octubre de 2000. A su juicio, con carácter previo a la cuestión de fondo, se produciría el defecto de falta de agotamiento de todos los recursos utilizables dentro de la vía judicial, toda vez que no se planteó el de casación para la unificación de doctrina, pues no bastaría para cumplir con la obligación legal, como hace el recurrente, con indicar, sin más, que no existen sentencias contradictorias que lo hagan viable. </w:t>
      </w:r>
    </w:p>
    <w:p w:rsidR="0025129F" w:rsidRDefault="0025129F" w:rsidP="0025129F">
      <w:pPr>
        <w:pStyle w:val="TextoNormal"/>
      </w:pPr>
      <w:r>
        <w:t xml:space="preserve">En relación con las alegaciones de la demanda de amparo se opone, en primer lugar, a la concurrencia de la denunciada indefensión. Resalta que la Sentencia de instancia afirma que ha realizado una valoración conjunta de la prueba practicada en el acto de la vista y, en concreto, que las dolencias han sido determinadas "en base a la apreciación conjunta de los dictámenes médicos obrantes en autos". Así pues no se habría rechazado ningún medio de prueba para la fijación de los hechos declarados probados y, en concreto, se tuvieron en cuenta todos los informes médicos que al juzgador le constaban. Por lo demás, prosigue, el demandante en amparo en ningún momento solicitó, de manera autónoma, la revisión de hechos probados, sino sólo que no se admitiera la propuesta de contrario, lo que a la postre </w:t>
      </w:r>
      <w:r>
        <w:lastRenderedPageBreak/>
        <w:t>fue lo que resolvió el Tribunal Superior de Justicia. Este, en suma, dio la razón al impugnante, no incorporando al relato fáctico la revisión propuesta por el INSS. Es cierto que en el escrito de impugnación se señalaba que, de ser admitida la modificación solicitada por el Instituto recurrente, debería serlo en otros términos, con la adición de los datos que recogía el escrito de oposición. Pero esa petición tenía expreso carácter subsidiario, de modo que decae una vez admitida la pretensión principal, que no era otra que la desestimación del recurso en ese punto, como sucedió.</w:t>
      </w:r>
    </w:p>
    <w:p w:rsidR="0025129F" w:rsidRDefault="0025129F" w:rsidP="0025129F">
      <w:pPr>
        <w:pStyle w:val="TextoNormal"/>
      </w:pPr>
    </w:p>
    <w:p w:rsidR="0025129F" w:rsidRDefault="0025129F" w:rsidP="0025129F">
      <w:pPr>
        <w:pStyle w:val="TextoNormal"/>
      </w:pPr>
      <w:r w:rsidRPr="0025129F">
        <w:rPr>
          <w:rStyle w:val="NumeroAFNegritaCaracter"/>
        </w:rPr>
        <w:t>11</w:t>
      </w:r>
      <w:r>
        <w:t>. El recurrente en amparo, en su escrito de 8 de noviembre de 2000, tras remitirse a los escritos de demanda y de alegaciones sobre admisibilidad, se opone a las efectuadas por el Ministerio Fiscal en ese último trámite. Concretamente, en cuanto a la posibilidad de recurrir en suplicación para solicitar la revisión fáctica, insiste en que, habiendo obtenido sentencia favorable en instancia, no estaba legitimado para ello, naciendo sin embargo su interés para que se precisasen ciertos hechos una vez que el INSS formalizó su recurso, momento en el que el escrito de impugnación era el único medio para lograr aquel propósito. Y, respecto a la carencia de una resolución motivada y fundada en Derecho, rechaza lo aducido por el Ministerio público, repitiendo las causas por las que aprecia el error patente y la decisión arbitraria e irrazonable de la Sala de lo Social.</w:t>
      </w:r>
    </w:p>
    <w:p w:rsidR="0025129F" w:rsidRDefault="0025129F" w:rsidP="0025129F">
      <w:pPr>
        <w:pStyle w:val="TextoNormal"/>
      </w:pPr>
    </w:p>
    <w:p w:rsidR="0025129F" w:rsidRDefault="0025129F" w:rsidP="0025129F">
      <w:pPr>
        <w:pStyle w:val="TextoNormal"/>
      </w:pPr>
      <w:r w:rsidRPr="0025129F">
        <w:rPr>
          <w:rStyle w:val="NumeroAFNegritaCaracter"/>
        </w:rPr>
        <w:t>12</w:t>
      </w:r>
      <w:r>
        <w:t>. El Ministerio Fiscal presentó su escrito el día 10 de noviembre de 2000, interesando la desestimación del recurso de amparo con repetición de los argumentos ya ofrecidos en su escrito de alegaciones de 21 de mayo de 1999, con ocasión del trámite abierto al amparo del art. 50.3 LOTC.</w:t>
      </w:r>
    </w:p>
    <w:p w:rsidR="0025129F" w:rsidRDefault="0025129F" w:rsidP="0025129F">
      <w:pPr>
        <w:pStyle w:val="TextoNormal"/>
      </w:pPr>
    </w:p>
    <w:p w:rsidR="0025129F" w:rsidRDefault="0025129F" w:rsidP="0025129F">
      <w:pPr>
        <w:pStyle w:val="TextoNormal"/>
      </w:pPr>
      <w:r w:rsidRPr="0025129F">
        <w:rPr>
          <w:rStyle w:val="NumeroAFNegritaCaracter"/>
        </w:rPr>
        <w:t>13</w:t>
      </w:r>
      <w:r>
        <w:t>. Por providencia de 24 de enero de 2002 se señaló, para deliberación y fallo de la presente Sentencia, el día 28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 que se pone en tela de juicio en el presente recurso de amparo es la posible vulneración del derecho fundamental a la tutela judicial efectiva por la Sentencia de 24 de marzo de 1998, dictada en suplicación por la Sala de lo Social del Tribunal Superior de Justicia de Madrid, al no haber tomado en cuenta las precisiones sobre los hechos probados formuladas en el escrito de impugnación al recurso núm. 3575/97 interpuesto por el Instituto Nacional de la Seguridad Social (INSS), lo que relaciona con un déficit de congruencia, y por haber incurrido la precitada resolución judicial en un error patente y en una arbitraria e irrazonable interpretación de la norma rectora de la prestación de Seguridad Social en cuestión.</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entrar en el examen de fondo de la cuestión suscitada cúmplenos dar respuesta a la objeción de admisibilidad de la demanda de amparo formulada por el INSS, consistente en la falta de agotamiento de todos los recursos utilizables en la vía judicial previa a la interposición del amparo. A su juicio se produciría ese defecto porque no se planteó el recurso de casación para la unificación de doctrina, no bastando para cumplir con la obligación legal de agotamiento la mera indicación de que no existen sentencias contradictorias, como hace el recurrente.</w:t>
      </w:r>
    </w:p>
    <w:p w:rsidR="0025129F" w:rsidRDefault="0025129F" w:rsidP="0025129F">
      <w:pPr>
        <w:pStyle w:val="TextoNormal"/>
      </w:pPr>
      <w:r>
        <w:lastRenderedPageBreak/>
        <w:t>La objeción debe rechazarse. Tenemos dicho que 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en este procedimiento constitucional de amparo (SSTC 337/1993, de 15 de noviembre; 347/1993, de 22 de noviembre; 354/1993, de 29 de noviembre; 377/1993, de 20 de diciembre; 132/1994, de 9 de mayo; 140/1994, de 9 de mayo; 93/1997, de 8 de mayo; 183/1998, de 17 de diciembre; 5/1999, de 8 de febrero; 173/1999, de 27 de septiembre; y 183/2000, de 10 de julio). Siendo esto así, no basta la alegación abstracta de su procedencia, correspondiendo a la parte que pretende hacer valer su no interposición como motivo de inadmisibilidad (en este caso el INSS, en el trámite de alegaciones del art.  52.1 LOTC) el acreditar la posibilidad de recurrir a esta extraordinaria vía en el supuesto concreto, debiendo abstenerse de efectuar invocaciones vagas. Esto último es, justamente, lo que ocurre en este caso. El INSS no ofrece soporte alguno a la pretendida aptitud específica de aquel recurso cuya omisión denuncia, debiendo rechazarse por ello el óbice planteado.</w:t>
      </w:r>
    </w:p>
    <w:p w:rsidR="0025129F" w:rsidRDefault="0025129F" w:rsidP="0025129F">
      <w:pPr>
        <w:pStyle w:val="TextoNormal"/>
      </w:pPr>
    </w:p>
    <w:p w:rsidR="0025129F" w:rsidRDefault="0025129F" w:rsidP="0025129F">
      <w:pPr>
        <w:pStyle w:val="TextoNormal"/>
      </w:pPr>
      <w:r w:rsidRPr="0025129F">
        <w:rPr>
          <w:rStyle w:val="NumeroAFNegritaCaracter"/>
        </w:rPr>
        <w:t>3</w:t>
      </w:r>
      <w:r>
        <w:t>. Entrando ya en la cuestión de fondo, y situándonos primeramente en el ámbito de la denunciada incongruencia omisiva, se concluye que la falta de respuesta no se produjo, lo que, por lo demás, excusará la apreciación de la falta de agotamiento de los recursos utilizables dentro de la vía judicial por no formalización del correspondiente incidente de nulidad de actuaciones (art. 240.3 LOPJ).</w:t>
      </w:r>
    </w:p>
    <w:p w:rsidR="0025129F" w:rsidRDefault="0025129F" w:rsidP="0025129F">
      <w:pPr>
        <w:pStyle w:val="TextoNormal"/>
      </w:pPr>
      <w:r>
        <w:t>En efecto, el demandante centró la argumentación de su escrito de impugnación al recurso de suplicación en que los hechos que el INSS pretendía modificar no debían alterarse, por haber sido tomada en cuenta en la Sentencia de instancia la realidad fáctica y porque la corrección pretendida era interesada y desajustada al cuadro médico del demandante.  A tal efecto, para sintetizar la lógica que sustentaba la oposición al recurso, es ilustrativo el último párrafo de la impugnación al motivo primero de la suplicación, en el que el recurrente en amparo literalmente decía: "En conclusión, como todo ello ha sido tenido en cuenta por el juzgador, la adición de hechos probados que se propugna por el recurrente, que reiteramos es parcial, incompleta y, además, inexacta, no debe ser admitida por falta de relevancia para el fallo o de serlo deben incluirse en su totalidad los restantes extremos de los informes que se solicitan por exigirlo así el principio probatorio de integridad recogido en el art.1228 del Código Civil, de aplicación subsidiaria, a fin de evitar la indefensión que, en otro caso, se produciría al recurrido con violación del principio de tutela judicial efectiva consagrado por el art. 24 de la Constitución Española".</w:t>
      </w:r>
    </w:p>
    <w:p w:rsidR="0025129F" w:rsidRDefault="0025129F" w:rsidP="0025129F">
      <w:pPr>
        <w:pStyle w:val="TextoNormal"/>
      </w:pPr>
      <w:r>
        <w:t>Se evidencia en lo transcrito que se postulaba con carácter principal el mantenimiento de los hechos probados declarados en la Sentencia de instancia, justamente lo que acordó el Tribunal ad quem con la desestimación de ese motivo del recurso del INSS Que se solicitara subsidiariamente otra cosa -además para la eventualidad contraria, que no se ha verificado-, es algo que carece de toda relevancia.</w:t>
      </w:r>
    </w:p>
    <w:p w:rsidR="0025129F" w:rsidRDefault="0025129F" w:rsidP="0025129F">
      <w:pPr>
        <w:pStyle w:val="TextoNormal"/>
      </w:pPr>
      <w:r>
        <w:t xml:space="preserve">El órgano judicial, y esto es lo trascendente desde el plano que nos compete enjuiciar, dio respuesta a las pretensiones que se le sometían (SSTC 74/1999, de 24 de marzo, 101/1999, de 31 de mayo, 132/1999, de 15 de julio, 193/1999, de 25 de octubre, 212/1999, de 29 de noviembre, 77/2000, de 27 de marzo, 85/2000, de 27 de marzo, 86/2000, de 27 de marzo, 117/2000, de 5 de mayo, o 130/2000, de 16 de mayo, entre otras). En efecto: rechazó la pretensión de modificación fáctica deducida por el INSS y, consiguientemente, </w:t>
      </w:r>
      <w:r>
        <w:lastRenderedPageBreak/>
        <w:t>satisfizo la petición principal del demandante de amparo, haciendo con ello innecesaria la respuesta a la subsidiaria. No hubo, pues, incongruencia alguna</w:t>
      </w:r>
    </w:p>
    <w:p w:rsidR="0025129F" w:rsidRDefault="0025129F" w:rsidP="0025129F">
      <w:pPr>
        <w:pStyle w:val="TextoNormal"/>
      </w:pPr>
    </w:p>
    <w:p w:rsidR="0025129F" w:rsidRDefault="0025129F" w:rsidP="0025129F">
      <w:pPr>
        <w:pStyle w:val="TextoNormal"/>
      </w:pPr>
      <w:r w:rsidRPr="0025129F">
        <w:rPr>
          <w:rStyle w:val="NumeroAFNegritaCaracter"/>
        </w:rPr>
        <w:t>4</w:t>
      </w:r>
      <w:r>
        <w:t>. Resta la segunda alegación, relativa al pretendido error en el que habría incurrido la Sala de lo Social. Ese segundo reproche contra la Sentencia del Tribunal Superior de Justicia, íntimamente relacionado con el anterior, se refiere al error padecido por el órgano judicial al contestar al primer motivo (o fáctico) del recurso del INSS, que concluyó como se ha visto en la desestimación de la revisión requerida por al entidad gestora. La queja se apoya en que, frente a lo que sostiene la Sala, el informe de la Fundación Jiménez Díaz, de 8 de enero de 1996, sí había sido ratificado en el acto del juicio oral.</w:t>
      </w:r>
    </w:p>
    <w:p w:rsidR="0025129F" w:rsidRDefault="0025129F" w:rsidP="0025129F">
      <w:pPr>
        <w:pStyle w:val="TextoNormal"/>
      </w:pPr>
      <w:r>
        <w:t>Pues bien, también en este aspecto la demanda carece de fundamento.  Es cierto que en el acto del juicio oral compareció la Doctora Rodríguez- Bermejo y ratificó dicho dictamen, pero el error padecido por el órgano judicial en este extremo es irrelevante.  En efecto, como ya señalábamos anteriormente, esa circunstancia no condujo a la estimación de la pretensión de revisión fáctica del INSS, que, por el contrario, no prosperó. El demandante en amparo, en suma, vio satisfecho el propósito expreso que guiaba su escrito de impugnación en ese punto cuando el órgano judicial descartó la revisión de los hechos probados que pretendía el Instituto recurrente. La misma respuesta dada en el fundamento anterior nos sirve, entonces, en éste instante.</w:t>
      </w:r>
    </w:p>
    <w:p w:rsidR="0025129F" w:rsidRDefault="0025129F" w:rsidP="0025129F">
      <w:pPr>
        <w:pStyle w:val="TextoNormal"/>
      </w:pPr>
      <w:r>
        <w:t>A ello podría añadirse nuestra consolidada doctrina en materia de error patente. Hemos afirmado en numerosas ocasiones que sólo es constitucionalmente relevante el error que, siendo inmediatamente verificable y no imputable a quien lo esgrime, resultó determinante del fallo y generó un perjuicio material en la posición jurídica del afectado (SSTC 55/1993, de 15 de febrero, 203/1994, de 11 de julio, 117/1996, de 25 de junio, 63/1998, de 17 de marzo, 112/1998, de 1 de junio, 180/1998, de 17 de septiembre, 165/1999, de 27 de septiembre, 206/1999, de 8 de noviembre, 96/2000, de 10 de abril, 217/2000, de 18 de septiembre). En consecuencia, si ningún efecto negativo en la esfera jurídica del ciudadano aquí recurrente se ha producido, resultará innecesario indagar la existencia del resto de los requisitos que demandamos para apreciar su irrelevancia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Finalmente se ha de afirmar que la alegación de arbitrariedad e irrazonabilidad en la motivación de la Sentencia impugnada, que descansa en último término en el error denunciado, no revela sino una mera discrepancia con la calificación que efectúa el órgano judicial de las lesiones que padece el actor. Es ésta una apreciación reservada a la jurisdicción ordinaria, pues reiteradamente hemos dicho que no corresponde al Tribunal Constitucional, que no es una tercera instancia y órgano revisor que tenga que efectuar el control de mera legalidad, rectificar errores, equivocaciones o incorrecciones jurídicas en la interpretación y aplicación de las normas legales realizadas por los Jueces y Tribunales en el ejercicio exclusivo de la potestad que les reconoce el art. 117.3 CE, salvo que al hacerlo violaran alguna garantía constitucional. En caso contrario, el recurso de amparo quedaría transformado en una nueva instancia revisora con merma de las competencias que constitucionalmente corresponden a la jurisdicción ordinaria (por todas, SSTC 210/1991, de 11 de noviembre, y 237/1993, de 12 de julio). Por tanto, desde la perspectiva de control que nos corresponde, y con independencia de la mayor o menor fortuna en la exteriorización de los argumentos por la Sentencia recurrida, es perfectamente reconocible en esa resolución la interpretación de la legalidad ordinaria en cuanto al alcance invalidante del cuadro médico que se le sometía. Más allá de esta constatación no nos corresponde revisar la interpretación del Tribunal Superior de Justicia, por lo que procede denegar el amparo interesado.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la demanda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0" w:name="SENTENCIA_2002_17"/>
      <w:r>
        <w:lastRenderedPageBreak/>
        <w:t>SENTENCIA 17/2002, de 28 de enero de 2002</w:t>
      </w:r>
    </w:p>
    <w:bookmarkEnd w:id="20"/>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ECLI:ES:TC:2002:17</w:t>
      </w:r>
    </w:p>
    <w:p w:rsidR="0025129F" w:rsidRDefault="0025129F" w:rsidP="0025129F">
      <w:pPr>
        <w:pStyle w:val="SntesisDescriptiva"/>
      </w:pPr>
    </w:p>
    <w:p w:rsidR="0025129F" w:rsidRDefault="0025129F" w:rsidP="0025129F">
      <w:pPr>
        <w:pStyle w:val="SntesisDescriptiva"/>
      </w:pPr>
      <w:r>
        <w:t>Recurso de amparo 3148/98. Promovido por don Mohamed Samir frente a las Sentencias de la Audiencia Provincial y de un Juzgado de lo Penal de Valencia, por las que se le condenó por delitos de utilización ilegítima de vehículo de motor ajeno y de robo con fuerza en las cosas.</w:t>
      </w:r>
    </w:p>
    <w:p w:rsidR="0025129F" w:rsidRDefault="0025129F" w:rsidP="0025129F">
      <w:pPr>
        <w:pStyle w:val="SntesisDescriptiva"/>
      </w:pPr>
    </w:p>
    <w:p w:rsidR="0025129F" w:rsidRDefault="0025129F" w:rsidP="0025129F">
      <w:pPr>
        <w:pStyle w:val="SntesisAnaltica"/>
      </w:pPr>
      <w:r>
        <w:t>Vulneración parcial del derecho a la presunción de inocencia: prueba de indicios, consistentes en conducir un vehículo robado, darse a la fuga y ofrecer un descargo inverosímil, que funda la condena por un delito pero no por otro (STC 44/2000).</w:t>
      </w:r>
    </w:p>
    <w:p w:rsidR="0025129F" w:rsidRDefault="0025129F" w:rsidP="0025129F">
      <w:pPr>
        <w:pStyle w:val="SntesisAnaltica"/>
      </w:pPr>
    </w:p>
    <w:p w:rsidR="0025129F" w:rsidRDefault="0025129F" w:rsidP="0025129F">
      <w:pPr>
        <w:pStyle w:val="Extracto"/>
      </w:pPr>
      <w:r>
        <w:t>1.</w:t>
      </w:r>
      <w:r>
        <w:tab/>
        <w:t>Tanto el Juzgado de lo Penal como la Audiencia Provincial sí efectuaron el correspondiente juicio lógico que les llevó a inferir de manera razonable, a partir de las pruebas practicadas, que una persona que se encuentra en el interior de un vehículo robado con diversos objetos, también robados, difícilmente puede haber accedido al mismo tras ser recogido en autostop, inferencia suficiente por sí sola para enervar la presunción de inocencia en relación con el delito de robo con fuerza en las cosas [FJ 5].</w:t>
      </w:r>
    </w:p>
    <w:p w:rsidR="0025129F" w:rsidRDefault="0025129F" w:rsidP="0025129F">
      <w:pPr>
        <w:pStyle w:val="Extracto"/>
      </w:pPr>
    </w:p>
    <w:p w:rsidR="0025129F" w:rsidRDefault="0025129F" w:rsidP="0025129F">
      <w:pPr>
        <w:pStyle w:val="Extracto"/>
      </w:pPr>
      <w:r>
        <w:t>2.</w:t>
      </w:r>
      <w:r>
        <w:tab/>
        <w:t>En relación con el delito de utilización ilegítima del vehículo que ocupaba, no se ha realizado juicio de inferencia alguno por parte de los órganos judiciales, pues partiendo de que para realizar el tipo es preciso haber participado en la sustracción del vehículo (art. 244.1 CP 1995), de la mera presencia del recurrente en el vehículo no puede deducirse su participación en el robo del mismo [FJ 6].</w:t>
      </w:r>
    </w:p>
    <w:p w:rsidR="0025129F" w:rsidRDefault="0025129F" w:rsidP="0025129F">
      <w:pPr>
        <w:pStyle w:val="Extracto"/>
      </w:pPr>
    </w:p>
    <w:p w:rsidR="0025129F" w:rsidRDefault="0025129F" w:rsidP="0025129F">
      <w:pPr>
        <w:pStyle w:val="Extracto"/>
      </w:pPr>
      <w:r>
        <w:t>3.</w:t>
      </w:r>
      <w:r>
        <w:tab/>
        <w:t>No nos corresponde revisar la valoración de las pruebas a través de las cuales el órgano judicial alcanza su íntima convicción, dado que el art. 117.3 CE y el art. 741 LECrim atribuyen dicha tarea a los Tribunales penales, sino que incumbe a este Tribunal controlar exclusivamente la razonabilidad del discurso [ FJ 4].</w:t>
      </w:r>
    </w:p>
    <w:p w:rsidR="0025129F" w:rsidRDefault="0025129F" w:rsidP="0025129F">
      <w:pPr>
        <w:pStyle w:val="Extracto"/>
      </w:pPr>
    </w:p>
    <w:p w:rsidR="0025129F" w:rsidRDefault="0025129F" w:rsidP="0025129F">
      <w:pPr>
        <w:pStyle w:val="Extracto"/>
      </w:pPr>
      <w:r>
        <w:t>4.</w:t>
      </w:r>
      <w:r>
        <w:tab/>
        <w:t>Doctrina constitucional sobre el derecho a la presunción de inocencia, en particular sobre la prueba indiciaria (SSTC 31/1981, 175/1981, 111/1999, 120/1999, 44/2000, 124/2001) [FFJJ 2 y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3148/98, promovido por don Mohamed Samir, representado por la Procuradora de los Tribunales doña María Esperanza Álvaro Mateo y asistido de la Letrada doña Pilar Mas Bonacho, contra la Sentencia dictada el 25 de febrero de 1998 por el Juzgado de lo Penal núm. 1 de Valencia y contra la de la Sección Tercera de la Audiencia Provincial de dicha Ciudad, de 23 de junio de 1998, al resolver el recurso de apelación núm. 86/98 interpuesto contra la anterior, en causa seguida por delitos de utilización ilegítima de vehículo de motor ajeno y de robo con fuerza en las cosas. Ha intervenido el Ministerio Fiscal y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10 de julio de 1998, la Letrada doña Pilar Mas Bonacho, encargada en el proceso penal de la defensa de oficio de don Mohamed Samir, solicita en su nombre la designación de Procurador del turno de oficio para interponer recurso de amparo contra las resoluciones judiciales señaladas en el encabezamiento. Tras la tramitación procesal oportuna, la Procuradora de los Tribunales doña María Esperanza Álvaro Mateo formaliza la demanda de amparo en escrito registrado en este Tribunal el 13 de noviembre de 1998.</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que se fundamenta la demanda son, sucintamente expuestos, los siguientes: </w:t>
      </w:r>
    </w:p>
    <w:p w:rsidR="0025129F" w:rsidRDefault="0025129F" w:rsidP="0025129F">
      <w:pPr>
        <w:pStyle w:val="TextoNormal"/>
      </w:pPr>
      <w:r>
        <w:t xml:space="preserve">a) Como consecuencia de la sustracción de un automóvil y de diversos efectos en un domicilio y dos establecimientos públicos, se instruyó por el Juzgado de Instrucción núm. 2 de Requena el procedimiento abreviado 54/95, dictándose Sentencia de fecha 25 de febrero de 1998 por el Juzgado de lo Penal núm. 1 de Valencia por la que se condena a don Mohamed Samir en concepto de autor voluntario, responsable y directo de un delito de robo de uso y otro delito de robo con fuerza en las cosas de carácter continuado, sin la concurrencia de circunstancias modificativas de la responsabilidad criminal, a las penas de arresto de veinte fines de semana, por el primer delito; y cuatro años de prisión, con la accesoria de inhabilitación especial para el derecho de sufragio pasivo por el mismo tiempo, por el segundo delito, pago de una sexta parte de las costas y a diversas indemnizaciones. </w:t>
      </w:r>
    </w:p>
    <w:p w:rsidR="0025129F" w:rsidRDefault="0025129F" w:rsidP="0025129F">
      <w:pPr>
        <w:pStyle w:val="TextoNormal"/>
      </w:pPr>
      <w:r>
        <w:t xml:space="preserve">En la Sentencia dictada por el Juzgado de lo Penal núm. 1 de Valencia se declaró como probado, en primer lugar, que "el acusado en probable unión de otros individuos" y puestos de acuerdo, el día 26 de marzo de 1995 se apoderaron de un vehículo Opel Kadett tras forzar sus cerraduras, y en segundo lugar, que el 28 de marzo del mismo año realizaron varios robos con fuerza en las cosas en la localidad de Fuenterrobles apoderándose de varios objetos, que fueron encontrados en el vehículo del que salió el recurrente antes de ser </w:t>
      </w:r>
      <w:r>
        <w:lastRenderedPageBreak/>
        <w:t xml:space="preserve">detenido por Agentes de la Policía Local de Valencia, junto con los otros tres ocupantes del vehículo, en rebeldía y no juzgados en el procedimiento. </w:t>
      </w:r>
    </w:p>
    <w:p w:rsidR="0025129F" w:rsidRDefault="0025129F" w:rsidP="0025129F">
      <w:pPr>
        <w:pStyle w:val="TextoNormal"/>
      </w:pPr>
      <w:r>
        <w:t xml:space="preserve">Tal como consta en la fundamentación jurídica de la Sentencia, tales hechos se derivan de las manifestaciones vertidas por los funcionarios de Policía y por el hecho de que el demandante se encontraba en un vehículo en el que se encontraron una serie de objetos robados, afirmándose igualmente "lo insólito" de las manifestaciones del ahora recurrente. </w:t>
      </w:r>
    </w:p>
    <w:p w:rsidR="0025129F" w:rsidRDefault="0025129F" w:rsidP="0025129F">
      <w:pPr>
        <w:pStyle w:val="TextoNormal"/>
      </w:pPr>
      <w:r>
        <w:t>b) La Sentencia fue recurrida en apelación por el actor, siendo desestimada por Sentencia de 23 de junio de 1998, dictada por la Sección Tercera de la Audiencia Provincial de Valencia, con imposición de las costas procesales causadas en la alzada por el apelante.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de amparo se alega la vulneración del derecho a la presunción de inocencia (art. 24.2 CE). Según el demandante de amparo, ha sido condenado con base en meros indicios que en ningún caso constituyen prueba de cargo que determinen su autoría en los delitos imputados. Admite que dentro del automóvil donde viajaba cuando fue detenido había objetos que resultaron robados, pero desconocía su procedencia encontrándose dentro del vehículo tres personas más que igualmente podrían haberlos sustraído. Otro tanto alega en relación con el robo del citado automóvil, que tuvo lugar días antes de la detención sin que tampoco exista prueba alguna de su participación en él. </w:t>
      </w:r>
    </w:p>
    <w:p w:rsidR="0025129F" w:rsidRDefault="0025129F" w:rsidP="0025129F">
      <w:pPr>
        <w:pStyle w:val="TextoNormal"/>
      </w:pPr>
      <w:r>
        <w:t>Por todo ello, solicita la concesión del amparo y la nulidad de las Sentencias impugnadas. Por otrosí solicita la suspensión de la ejecución de las mismas.</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Tercera de este Tribunal, por providencia de 8 de febrero de 1999 acordó, de conformidad con lo dispuesto en el núm. 3 del art. 50 LOTC, conceder al demandante de amparo y al Ministerio Fiscal el plazo común de diez días para que formularan las alegaciones que estimaran pertinentes en relación con la carencia manifiesta de contenido constitucional de la demanda [art. 50.1 c) LOTC].</w:t>
      </w:r>
    </w:p>
    <w:p w:rsidR="0025129F" w:rsidRDefault="0025129F" w:rsidP="0025129F">
      <w:pPr>
        <w:pStyle w:val="TextoNormal"/>
      </w:pPr>
    </w:p>
    <w:p w:rsidR="0025129F" w:rsidRDefault="0025129F" w:rsidP="0025129F">
      <w:pPr>
        <w:pStyle w:val="TextoNormal"/>
      </w:pPr>
      <w:r w:rsidRPr="0025129F">
        <w:rPr>
          <w:rStyle w:val="NumeroAFNegritaCaracter"/>
        </w:rPr>
        <w:t>5</w:t>
      </w:r>
      <w:r>
        <w:t>. La Procuradora Sra. Álvaro Mateo evacúa el trámite conferido mediante escrito registrado el 1 de marzo de 1999 en este Tribunal. En él viene a reiterar las alegaciones ya formuladas en la demanda de amparo, insistiendo en la vulneración del derecho a la presunción de inocencia, al haber sido condenado su representado con base en meras conjeturas, y en la petición del amparo solicitado.</w:t>
      </w:r>
    </w:p>
    <w:p w:rsidR="0025129F" w:rsidRDefault="0025129F" w:rsidP="0025129F">
      <w:pPr>
        <w:pStyle w:val="TextoNormal"/>
      </w:pPr>
    </w:p>
    <w:p w:rsidR="0025129F" w:rsidRDefault="0025129F" w:rsidP="0025129F">
      <w:pPr>
        <w:pStyle w:val="TextoNormal"/>
      </w:pPr>
      <w:r w:rsidRPr="0025129F">
        <w:rPr>
          <w:rStyle w:val="NumeroAFNegritaCaracter"/>
        </w:rPr>
        <w:t>6</w:t>
      </w:r>
      <w:r>
        <w:t>. El Fiscal ante el Tribunal Constitucional formula sus alegaciones en escrito registrado el 5 de marzo de 1999, interesando se dicte Auto de inadmisión en razón de la manifiesta carencia de contenido constitucional de la demanda pues, a su juicio, es evidente la existencia de actividad probatoria de cargo.</w:t>
      </w:r>
    </w:p>
    <w:p w:rsidR="0025129F" w:rsidRDefault="0025129F" w:rsidP="0025129F">
      <w:pPr>
        <w:pStyle w:val="TextoNormal"/>
      </w:pPr>
    </w:p>
    <w:p w:rsidR="0025129F" w:rsidRDefault="0025129F" w:rsidP="0025129F">
      <w:pPr>
        <w:pStyle w:val="TextoNormal"/>
      </w:pPr>
      <w:r w:rsidRPr="0025129F">
        <w:rPr>
          <w:rStyle w:val="NumeroAFNegritaCaracter"/>
        </w:rPr>
        <w:t>7</w:t>
      </w:r>
      <w:r>
        <w:t>. La Sala Segunda, por providencia de 26 de mayo de 1999, acordó admitir a trámite la demanda de amparo y, en aplicación de lo dispuesto en el art. 51 LOTC, dirigir comunicación a la Sección Tercera de la Audiencia Provincial de Valencia a fin de que remitiera certificación o fotocopia adverada de las actuaciones correspondientes al rollo de apelación núm. 86/98. Asimismo, se decidió requerir al Juzgado de lo Penal núm. 1 de Valencia para que también remitiera certificación de las actuaciones correspondientes al procedimiento abreviado núm. 137/97; debiendo previamente emplazarse, a quienes hubieran sido parte en el procedimiento, excepto el recurrente, para que en plazo de diez días pudieran comparecer en el recurso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Por otra providencia de la misma fecha, la Sala Segunda decidió formar la oportuna pieza para la tramitación del incidente sobre la suspensión solicitada. Por Auto de 28 de junio de 1999, la Sala acordó suspender la ejecución de las Sentencias impugnadas, en lo que respecta a las penas privativas de libertad y accesoria de inhabilitación especial impuestas al recurrente.</w:t>
      </w:r>
    </w:p>
    <w:p w:rsidR="0025129F" w:rsidRDefault="0025129F" w:rsidP="0025129F">
      <w:pPr>
        <w:pStyle w:val="TextoNormal"/>
      </w:pPr>
    </w:p>
    <w:p w:rsidR="0025129F" w:rsidRDefault="0025129F" w:rsidP="0025129F">
      <w:pPr>
        <w:pStyle w:val="TextoNormal"/>
      </w:pPr>
      <w:r w:rsidRPr="0025129F">
        <w:rPr>
          <w:rStyle w:val="NumeroAFNegritaCaracter"/>
        </w:rPr>
        <w:t>9</w:t>
      </w:r>
      <w:r>
        <w:t>. Recibidas las actuaciones de los órganos judiciales, la Sala Segunda dictó providencia el 19 de julio de 1999 en la que da vista de las mismas al recurrente y al Ministerio Fiscal, por un plazo común de veinte días, para que presenten las alegaciones que estimen pertinentes,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Fiscal ante el Tribunal Constitucional, mediante escrito registrado el 15 de octubre de 1999, evacúa el trámite conferido, interesando la denegación del amparo. Señala, al respecto, que en las Sentencias recurridas se recogen una pluralidad de indicios acreditados, concatenados y concomitantes de los que fluye con naturalidad la intervención del actor. En tal sentido, manifiesta que en el robo de uso fue sorprendido en flagrante utilización del vehículo sustraído, ya que ocupaba el asiento del conductor, y en el resto de las infracciones contra la propiedad se le ocuparon no sólo la totalidad de los efectos sustraídos en todas ellas, sino también, según se aprecia en el atestado policial, los instrumentos necesarios para la comisión de las mismas: cortafríos, hachas, tijeras. Además, todo ello tuvo lugar en un punto geográfico determinado, distante del lugar de comisión y poco tiempo después de que se realizaran las sustracciones, coincidiendo tal tiempo con el que, usualmente, se invierte en realizar ese desplazamiento, lo que hace prácticamente imposible la intervención de otras personas distintas. Asimismo, llama la atención sobre el hecho de que la detención se produce tras una accidentada persecución policial y sobre el dato de que la explicación ofrecida por el ahora recurrente no sólo es ilógica o inverosímil, sino falsa. </w:t>
      </w:r>
    </w:p>
    <w:p w:rsidR="0025129F" w:rsidRDefault="0025129F" w:rsidP="0025129F">
      <w:pPr>
        <w:pStyle w:val="TextoNormal"/>
      </w:pPr>
      <w:r>
        <w:t>Los órganos judiciales y el Juez de lo Penal, sobre todo, continúa el Ministerio Fiscal, explicitan la inferencia, de la que fluye con racionalidad la condena habida y tal iter discursivo es expresivo de un proceso deductivo lógico para establecer un nexo, razonable y suficientemente explicado entre los hechos y la conclusión obtenida; de este modo, no puede calificarse tal inferencia de falta de lógica o coherencia o de excesivamente abierta, débil o indeterminada. Por todo lo expuesto, el Ministerio Fiscal interesa la denegación del amparo.</w:t>
      </w:r>
    </w:p>
    <w:p w:rsidR="0025129F" w:rsidRDefault="0025129F" w:rsidP="0025129F">
      <w:pPr>
        <w:pStyle w:val="TextoNormal"/>
      </w:pPr>
    </w:p>
    <w:p w:rsidR="0025129F" w:rsidRDefault="0025129F" w:rsidP="0025129F">
      <w:pPr>
        <w:pStyle w:val="TextoNormal"/>
      </w:pPr>
      <w:r w:rsidRPr="0025129F">
        <w:rPr>
          <w:rStyle w:val="NumeroAFNegritaCaracter"/>
        </w:rPr>
        <w:t>11</w:t>
      </w:r>
      <w:r>
        <w:t>. El recurrente no formula alegación alguna en el trámite conferido.</w:t>
      </w:r>
    </w:p>
    <w:p w:rsidR="0025129F" w:rsidRDefault="0025129F" w:rsidP="0025129F">
      <w:pPr>
        <w:pStyle w:val="TextoNormal"/>
      </w:pPr>
    </w:p>
    <w:p w:rsidR="0025129F" w:rsidRDefault="0025129F" w:rsidP="0025129F">
      <w:pPr>
        <w:pStyle w:val="TextoNormal"/>
      </w:pPr>
      <w:r w:rsidRPr="0025129F">
        <w:rPr>
          <w:rStyle w:val="NumeroAFNegritaCaracter"/>
        </w:rPr>
        <w:t>12</w:t>
      </w:r>
      <w:r>
        <w:t>. Por providencia de 24 de enero de 2002, se señaló para la deliberación, votación y fallo de la presente Sentencia, el día 28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cuestión que se plantea en el presente recurso de amparo es la de determinar si, como propugna el recurrente, en las resoluciones judiciales impugnadas, dictadas por el Juzgado de lo Penal núm. 1 de Valencia y por la Sección Tercera de la Audiencia Provin</w:t>
      </w:r>
      <w:r>
        <w:lastRenderedPageBreak/>
        <w:t>cial de dicha ciudad, se ha vulnerado su derecho a la presunción de inocencia (art. 24.2 CE) por inexistencia de prueba de cargo, habiendo sido condenado con base en meras sospechas y conjeturas.</w:t>
      </w:r>
    </w:p>
    <w:p w:rsidR="0025129F" w:rsidRDefault="0025129F" w:rsidP="0025129F">
      <w:pPr>
        <w:pStyle w:val="TextoNormal"/>
      </w:pPr>
    </w:p>
    <w:p w:rsidR="0025129F" w:rsidRDefault="0025129F" w:rsidP="0025129F">
      <w:pPr>
        <w:pStyle w:val="TextoNormal"/>
      </w:pPr>
      <w:r w:rsidRPr="0025129F">
        <w:rPr>
          <w:rStyle w:val="NumeroAFNegritaCaracter"/>
        </w:rPr>
        <w:t>2</w:t>
      </w:r>
      <w:r>
        <w:t>. Para analizar la queja del demandante, debemos partir de nuestra doctrina sobre el derecho a la presunción de inocencia, concebida como regla de juicio que, en esta vertiente y en sede constitucional, entraña el derecho a no ser condenado sin pruebas de cargo válidas, lo que implica (como hemos dicho desde la STC 31/1981, de 28 de julio, FJ 3, y reiterado con unas u otras palabras, en las SSTC 174/1985, de 17 de diciembre, FJ 2; 109/1986, de 24 de septiembre, FJ 1; 63/1993, de 1 de marzo, FJ 5; 81/1998, de 2 de abril, FJ 3; 189/1998, de 29 de septiembre, FJ 2; 220/1998, de 17 de diciembre, FJ 3; 111/1999, de 14 de junio, FJ 2; 33/2000, de 14 de febrero, FFJJ 4 y 5; y 126/2000, de 16 de mayo, FJ 12) que toda Sentencia condenatoria: a) debe expresar las pruebas en que se sustenta la declaración de responsabilidad penal; b) tal sustento ha de venir dado por verdaderos actos de prueba conformes a la Ley y a la Constitución; c) éstos han de ser practicados normalmente en el acto del juicio oral, salvo las excepciones constitucionalmente admisibles; d) las pruebas han de ser valoradas por los Tribunales con sometimiento a las reglas de la lógica y la experiencia, y e) la Sentencia debe encontrarse debidamente motivada. También hemos declarado constantemente que la prueba de cargo ha de estar referida a los elementos esenciales del delito objeto de condena, tanto de naturaleza objetiva como subjetiva (SSTC 252/1994, de 19 de septiembre, FJ 5; 35/1995, de 6 de febrero, FJ 3; y 68/2001, de 17 de marzo, FJ 5).</w:t>
      </w:r>
    </w:p>
    <w:p w:rsidR="0025129F" w:rsidRDefault="0025129F" w:rsidP="0025129F">
      <w:pPr>
        <w:pStyle w:val="TextoNormal"/>
      </w:pPr>
      <w:r>
        <w:t>Dicho en otros términos, la presunción de inocencia es una presunción iuris tantum, cuya destrucción requiere la existencia de una actividad probatoria, la cual "exigimos en un primer momento, a partir de la fundamental STC 31/1981, que fuera 'mínima'; después, desde la STC 109/1986, que resultase 'suficiente', y últimamente hemos requerido que el fallo condenatorio se apoye en 'verdaderos' actos de prueba (por ejemplo, SSTC 150/1989, 201/1989, 131/1997, 173/1997, 41/1998, 68/1998)" (SSTC 111/1999, de 14 de junio, FJ 2, y 171/2000, de 26 de junio, FJ 2).  En definitiva, nuestra doctrina está construida sobre la base de que el acusado llega al juicio como inocente y sólo puede salir de él como culpable si su primitiva condición es desvirtuada plenamente a partir de las pruebas aportadas por las acusaciones. En palabras de la ya citada STC 81/1998 (FJ 3), "la presunción de inocencia opera ... como el derecho del acusado a no sufrir una condena a menos que la culpabilidad haya quedado establecida más allá de toda duda razonable" (igualmente en la reciente STC 124/2001, de 4 de junio, FJ 9).</w:t>
      </w:r>
    </w:p>
    <w:p w:rsidR="0025129F" w:rsidRDefault="0025129F" w:rsidP="0025129F">
      <w:pPr>
        <w:pStyle w:val="TextoNormal"/>
      </w:pPr>
    </w:p>
    <w:p w:rsidR="0025129F" w:rsidRDefault="0025129F" w:rsidP="0025129F">
      <w:pPr>
        <w:pStyle w:val="TextoNormal"/>
      </w:pPr>
      <w:r w:rsidRPr="0025129F">
        <w:rPr>
          <w:rStyle w:val="NumeroAFNegritaCaracter"/>
        </w:rPr>
        <w:t>3</w:t>
      </w:r>
      <w:r>
        <w:t>. Este Tribunal ha admitido, asimismo, que el art. 24.2 CE no se opone a que la convicción del Tribunal se forme a través de la denominada prueba indiciaria (SSTC 174/1985 y 175/1985, de 17 de diciembre), declaración parecida a la efectuada por el Tribunal Europeo de Derechos Humanos, que también ha entendido que la utilización de la denominada prueba de indicios no se opone al contenido del art. 6.2 del Convenio europeo para la protección de los derechos humanos y las libertades fundamentales (SSTEDH casos Salabiaku contra Francia, de 7 de octubre de 1988; Pham Hoang contra Francia, de 25 de septiembre de 1992; y Telfner contra Austria, de 20 de marzo de 2001). La prueba de cargo puede ser, pues,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w:t>
      </w:r>
      <w:r>
        <w:lastRenderedPageBreak/>
        <w:t>pletamente probados a través de un proceso mental, razonado y acorde con las reglas del criterio humano que, en principio, debe quedar explicitado en la Sentencia. La falta de concordancia con las reglas del criterio humano o, en otros términos, la irrazonabilidad, puede producirse, tanto por falta de lógica o de coherencia en la inferencia, cuanto porque los indicios constatados no conduzcan naturalmente al hecho que de ellos se hace derivar, en virtud de su carácter excesivamente abierto, débil o indeterminado (entre las más recientes, SSTC 189/1998, de 28 de septiembre, FJ 3; 220/1998, de 16 de noviembre, FJ 4; 91/1999, de 26 de mayo, FJ 3; 120/1999, de 28 de junio, FJ 2; 44/2000, FJ 2).</w:t>
      </w:r>
    </w:p>
    <w:p w:rsidR="0025129F" w:rsidRDefault="0025129F" w:rsidP="0025129F">
      <w:pPr>
        <w:pStyle w:val="TextoNormal"/>
      </w:pPr>
      <w:r>
        <w:t>Por lo tanto, este Tribunal, cuando se le solicite, puede examinar externamente la razonabilidad del discurso que une la actividad probatoria y el relato fáctico resultante (SSTC 220/1998, de 16 de noviembre; 117/2000, de 5 de mayo).La finalidad de tal examen no es, obviamente, la de ponderar la razonabilidad de otras posibles inferencias (STC 157/1998, de 13 de julio, por todas), ni la de confirmar, variar o sustituir los hechos sujetos a valoración judicial, como si fuese ésta una tercera instancia y el Tribunal Constitucional un Tribunal de apelación (STC 124/2001, de 4 de junio, FJ 10, por todas), sino la de verificar si el razonamiento empleado en la valoración probatoria ha sido o no arbitrario, irracional o absurdo (SSTC 140/1985, de 21 de octubre; 169/1986, de 22 de diciembre; 44/1989, de 20 de febrero; 283/1994, de 24 de octubre; 49/1998, de 2 de marzo).</w:t>
      </w:r>
    </w:p>
    <w:p w:rsidR="0025129F" w:rsidRDefault="0025129F" w:rsidP="0025129F">
      <w:pPr>
        <w:pStyle w:val="TextoNormal"/>
      </w:pPr>
    </w:p>
    <w:p w:rsidR="0025129F" w:rsidRDefault="0025129F" w:rsidP="0025129F">
      <w:pPr>
        <w:pStyle w:val="TextoNormal"/>
      </w:pPr>
      <w:r w:rsidRPr="0025129F">
        <w:rPr>
          <w:rStyle w:val="NumeroAFNegritaCaracter"/>
        </w:rPr>
        <w:t>4</w:t>
      </w:r>
      <w:r>
        <w:t>. En el presente caso, es claro que no nos encontramos ante una prueba directa, sino que la condena se ha basado en una prueba indiciaria.  Centrada así la cuestión, y teniendo siempre en cuenta que no nos corresponde revisar la valoración de las pruebas a través de las cuales el órgano judicial alcanza su íntima convicción, dado que el art. 117.3 CE y el art. 741 LECrim atribuyen dicha tarea a los Tribunales penales, sino que incumbe a este Tribunal controlar exclusivamente la razonabilidad del discurso que une la actividad probatoria y el relato fáctico que resulta con el juicio de culpabilidad, ha de examinarse la queja del actor que cuestiona las inferencias realizadas por los Tribunales sentenciadores.</w:t>
      </w:r>
    </w:p>
    <w:p w:rsidR="0025129F" w:rsidRDefault="0025129F" w:rsidP="0025129F">
      <w:pPr>
        <w:pStyle w:val="TextoNormal"/>
      </w:pPr>
      <w:r>
        <w:t>Recordando sucintamente los datos señalados en los antecedentes de esta resolución, vemos que el recurrente es condenado por dos delitos: uno de utilización ilegítima de vehículo de motor ajeno (robo de uso, se dice en el fallo de la Sentencia de instancia) del art. 516 bis CP (texto refundido de 1973), y otro continuado de robo con fuerza en las cosas del art. 500, en relación con los arts. 504.2, 506.2 y 69 bis de dicho cuerpo legal.</w:t>
      </w:r>
    </w:p>
    <w:p w:rsidR="0025129F" w:rsidRDefault="0025129F" w:rsidP="0025129F">
      <w:pPr>
        <w:pStyle w:val="TextoNormal"/>
      </w:pPr>
      <w:r>
        <w:t>Para confirmar la condena, la Sentencia de la Audiencia Provincial que resolvió el recurso de apelación tuvo, fundamentalmente, en cuenta los siguientes indicios, considerados probados a partir del atestado y de los testimonios de los Agentes de Policía que participaron en la detención del recurrente: 1) que el demandante de amparo fue detenido por Agentes de la Policía Local tras dar éstos el alto al vehículo en que viajaba, al comprobar que había sido robado y que se daba a la fuga; 2) que, en el momento de la detención, sólo se encontraban en su interior el acusado y tres personas más de raza árabe, hallándose dentro del mismo y en su asiento trasero todos los objetos que habían sido robados horas antes en algunos establecimiento de la localidad de Fuenterrobles (Valencia). Con mayores reservas, se hace también referencia al testimonio de los Policías, que creen recordar aunque con dudas, dado el tiempo transcurrido, que el acusado salió huyendo por la puerta delantera izquierda, lo que acreditaría que conducía el vehículo, aunque este último extremo no se afirma por ninguno de los Policías.</w:t>
      </w:r>
    </w:p>
    <w:p w:rsidR="0025129F" w:rsidRDefault="0025129F" w:rsidP="0025129F">
      <w:pPr>
        <w:pStyle w:val="TextoNormal"/>
      </w:pPr>
      <w:r>
        <w:t xml:space="preserve">Frente a tales evidencias, el acusado alegó en su descargo que fue recogido cuando hacia autostop junto con otra persona por un vehículo en el que viajaban dos españoles, sin que hubiera participado en su sustracción ni en los demás robos. Estas explicaciones, sin </w:t>
      </w:r>
      <w:r>
        <w:lastRenderedPageBreak/>
        <w:t>embargo, no fueron consideradas creíbles por los órganos judiciales. En concreto, el Juzgado de lo Penal destaca "lo insólito que resulta pensar que quien ha pasado la noche cometiendo varios robos y lleva a la vista el botín obtenido, pare caritativamente en medio de la noche para subir a dos autoestopistas" (FJ 2).  Por su parte, la Audiencia Provincial desestima cualquier vulneración del derecho a la presunción de inocencia por la Sentencia anterior, tras reseñar que no puede ser considerado ni "lógico ni normal que un coche cargado con objetos robados pare a dos personas que hacen autostop"; además de que, en referencia al demandante de amparo, "si nada hubiera tenido que ocultar y no hubiera tenido nada que ver con los hechos no habría intentado huir de la policía" (FFJJ 1 y 2 de la Sentencia), primero conduciendo el vehículo en dirección contraria y luego huyendo a pie hasta que fue detenido.</w:t>
      </w:r>
    </w:p>
    <w:p w:rsidR="0025129F" w:rsidRDefault="0025129F" w:rsidP="0025129F">
      <w:pPr>
        <w:pStyle w:val="TextoNormal"/>
      </w:pPr>
    </w:p>
    <w:p w:rsidR="0025129F" w:rsidRDefault="0025129F" w:rsidP="0025129F">
      <w:pPr>
        <w:pStyle w:val="TextoNormal"/>
      </w:pPr>
      <w:r w:rsidRPr="0025129F">
        <w:rPr>
          <w:rStyle w:val="NumeroAFNegritaCaracter"/>
        </w:rPr>
        <w:t>5</w:t>
      </w:r>
      <w:r>
        <w:t>. De la aplicación de la doctrina constitucional expuesta anteriormente se desprende que el requisito exigido a la prueba indiciaria, relativo a la legitimidad constitucional de la inferencia, sólo se puede entender verificado en relación con el delito de robo con fuerza en las cosas por el que el demandante de amparo resultó condenado a cuatro años de prisión.</w:t>
      </w:r>
    </w:p>
    <w:p w:rsidR="0025129F" w:rsidRDefault="0025129F" w:rsidP="0025129F">
      <w:pPr>
        <w:pStyle w:val="TextoNormal"/>
      </w:pPr>
      <w:r>
        <w:t>Ciertamente, entiende este Tribunal que a tal conclusión no se llega sólo a partir del dato de la huida del demandante de amparo, ya que tal comportamiento permite explicaciones alternativas (la situación ilegal del acusado en nuestro país o el hecho de encontrarse en busca y captura por otros Juzgados, reseñadas por la propia demanda de amparo), que impiden que se le atribuya fuerza suficiente para desvirtuar la presunción de inocencia.  Ahora bien, al margen de dicha circunstancia, por lo que a este delito se refiere, tanto el Juzgado de lo Penal como la Audiencia Provincial sí efectuaron el correspondiente juicio lógico que les llevó a inferir de manera razonable, a partir de las pruebas practicadas, que una persona que se encuentra en el interior de un vehículo robado con diversos objetos, también robados, difícilmente puede haber accedido al mismo tras ser recogido en autostop. Lo concluyente de esta inferencia ha de bastar para considerarla como "comprensión razonable de la realidad normalmente vivida y apreciada conforme a los criterios colectivos vigentes" (STC 169/1986, de 22 de diciembre, FJ 2) y, en consecuencia, suficiente por sí sola para enervar la presunción de inocencia en relación con el delito de robo con fuerza en las cosas por el que fue condenado el demandante de amparo.</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Sin embargo, y a diferencia de la conclusión alcanzada en relación con el delito de robo con fuerza en las cosas, ningún juicio lógico existe en orden a acreditar la participación del recurrente en el delito de utilización ilegítima del vehículo que ocupaba; delito por el que fue condenado a la pena de arresto de veinte fines de semana. En este caso, no es que la inferencia que se ha efectuado sea tan abierta que en su seno quepa tal pluralidad de conclusiones alternativas que ninguna de ellas pueda darse por probada (STC 189/1998, de 28 de septiembre); es que, sencillamente, no se ha realizado juicio de inferencia alguno por parte de los órganos judiciales que han conocido de las actuaciones en primera y en segunda instancias. Pues bien, la exteriorización singularizada del juicio de inferencia en relación con este delito resultaba inexcusable teniendo en cuenta que los ocupantes del vehículo robado eran cuatro, sin que se llegue necesariamente a la conclusión de que todos ellos habían participado en su sustracción; máxime cuando el art. 244.1 CP actualmente vigente (Ley Orgánica 10/1995, de 23 de noviembre) -que, según se desprende de la Sentencia de primera instancia, es la norma materialmente aplicada por el Juzgado de lo Penal, de acuerdo con lo previsto en la Disposición transitoria primera del </w:t>
      </w:r>
      <w:r>
        <w:lastRenderedPageBreak/>
        <w:t>mismo cuerpo legal- sustituye el verbo "utilizar" empleado por el art. 516 bis del precedente Código Penal por "sustraer", lo que implica que para realizar el tipo es preciso haber participado en la sustracción del vehículo.</w:t>
      </w:r>
    </w:p>
    <w:p w:rsidR="0025129F" w:rsidRDefault="0025129F" w:rsidP="0025129F">
      <w:pPr>
        <w:pStyle w:val="TextoNormal"/>
      </w:pPr>
      <w:r>
        <w:t>Por otra parte, además, hay que tener en cuenta que, según consta en la relación de hechos probados parcialmente reproducida en los antecedentes, la sustracción tuvo lugar "en hora no determinada el día 26 de marzo de 1995": es decir, aproximadamente entre 53 y 29 horas antes de la detención (que se produjo a las 5:20 horas del día 28), lo que supone un lapso de tiempo durante el cual "pueden ocurrir muchas cosas", como se indica expresivamente en la propia demanda de amparo. En consecuencia, de la mera presencia del recurrente en el vehículo no puede deducirse su participación en el robo del mismo.</w:t>
      </w:r>
    </w:p>
    <w:p w:rsidR="0025129F" w:rsidRDefault="0025129F" w:rsidP="0025129F">
      <w:pPr>
        <w:pStyle w:val="TextoNormal"/>
      </w:pPr>
      <w:r>
        <w:t>En conclusión, no existe prueba de cargo en que fundamentar la condena respecto al delito de utilización ilegítima de vehículo de motor ajeno, por lo que, en este exclusivo aspecto, cabe dar la razón al recurrente declarando que se le ha vulnerado su derecho a la presunción de inocencia.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parcialmente el amparo solicitado por don Mohamed Samir y, en su virtud:</w:t>
      </w:r>
    </w:p>
    <w:p w:rsidR="0025129F" w:rsidRDefault="0025129F" w:rsidP="0025129F">
      <w:pPr>
        <w:pStyle w:val="TextoNormal"/>
      </w:pPr>
      <w:r>
        <w:t>1º Declarar que se ha vulnerado el derecho a la presunción de inocencia del recurrente, en lo que respecta a su condena como responsable de un delito de robo de uso.</w:t>
      </w:r>
    </w:p>
    <w:p w:rsidR="0025129F" w:rsidRDefault="0025129F" w:rsidP="0025129F">
      <w:pPr>
        <w:pStyle w:val="TextoNormal"/>
      </w:pPr>
      <w:r>
        <w:t>2º Restablecerle en su derecho y, a tal fin, anular, en este único extremo, las Sentencias dictadas por el Juzgado de lo Penal núm. 1 de Valencia y por la Sección Tercera de la Audiencia Provincial de dicha Ciudad, de 25 de febrero y de 23 de junio de 1998, respectivamente.</w:t>
      </w:r>
    </w:p>
    <w:p w:rsidR="0025129F" w:rsidRDefault="0025129F" w:rsidP="0025129F">
      <w:pPr>
        <w:pStyle w:val="TextoNormal"/>
      </w:pPr>
      <w:r>
        <w:t>3º Desestimar el recurso de amparo en todo lo demás.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1" w:name="SENTENCIA_2002_18"/>
      <w:r>
        <w:lastRenderedPageBreak/>
        <w:t>SENTENCIA 18/2002, de 28 de enero de 2002</w:t>
      </w:r>
    </w:p>
    <w:bookmarkEnd w:id="21"/>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ECLI:ES:TC:2002:18</w:t>
      </w:r>
    </w:p>
    <w:p w:rsidR="0025129F" w:rsidRDefault="0025129F" w:rsidP="0025129F">
      <w:pPr>
        <w:pStyle w:val="SntesisDescriptiva"/>
      </w:pPr>
    </w:p>
    <w:p w:rsidR="0025129F" w:rsidRDefault="0025129F" w:rsidP="0025129F">
      <w:pPr>
        <w:pStyle w:val="SntesisDescriptiva"/>
      </w:pPr>
      <w:r>
        <w:t>Recurso de amparo 4138/98 y 4167/98 (acumulados). Promovidos por don Enrique Manuel Pérez Horna y otros frente a las Sentencias de las Salas de lo Contencioso-Administrativo del Tribunal Supremo y del Tribunal Superior de Justicia de Cantabria que anularon la licencia de obra otorgada por el Ayuntamiento de Santander para construir diez viviendas unifamiliares.</w:t>
      </w:r>
    </w:p>
    <w:p w:rsidR="0025129F" w:rsidRDefault="0025129F" w:rsidP="0025129F">
      <w:pPr>
        <w:pStyle w:val="SntesisDescriptiva"/>
      </w:pPr>
    </w:p>
    <w:p w:rsidR="0025129F" w:rsidRDefault="0025129F" w:rsidP="0025129F">
      <w:pPr>
        <w:pStyle w:val="SntesisAnaltica"/>
      </w:pPr>
      <w:r>
        <w:t>Supuesta vulneración del derecho a la tutela judicial sin indefensión: emplazamiento edictal de interesados sobrevenidos, al adquirir las viviendas en litigio.</w:t>
      </w:r>
    </w:p>
    <w:p w:rsidR="0025129F" w:rsidRDefault="0025129F" w:rsidP="0025129F">
      <w:pPr>
        <w:pStyle w:val="SntesisAnaltica"/>
      </w:pPr>
    </w:p>
    <w:p w:rsidR="0025129F" w:rsidRDefault="0025129F" w:rsidP="0025129F">
      <w:pPr>
        <w:pStyle w:val="Extracto"/>
      </w:pPr>
      <w:r>
        <w:t>1.</w:t>
      </w:r>
      <w:r>
        <w:tab/>
        <w:t>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 [FJ 8].</w:t>
      </w:r>
    </w:p>
    <w:p w:rsidR="0025129F" w:rsidRDefault="0025129F" w:rsidP="0025129F">
      <w:pPr>
        <w:pStyle w:val="Extracto"/>
      </w:pPr>
    </w:p>
    <w:p w:rsidR="0025129F" w:rsidRDefault="0025129F" w:rsidP="0025129F">
      <w:pPr>
        <w:pStyle w:val="Extracto"/>
      </w:pPr>
      <w:r>
        <w:t>2.</w:t>
      </w:r>
      <w:r>
        <w:tab/>
        <w:t>No basta con ostentar un interés legítimo para hacer exigible la citación a juicio, sino que es necesario que tal circunstancia conste en el expediente administrativo y pueda ser conocida por la Sala, sin que le sea exigible la realización de investigaciones para indagar la existencia de otros posibles afectados [FJ 8].</w:t>
      </w:r>
    </w:p>
    <w:p w:rsidR="0025129F" w:rsidRDefault="0025129F" w:rsidP="0025129F">
      <w:pPr>
        <w:pStyle w:val="Extracto"/>
      </w:pPr>
    </w:p>
    <w:p w:rsidR="0025129F" w:rsidRDefault="0025129F" w:rsidP="0025129F">
      <w:pPr>
        <w:pStyle w:val="Extracto"/>
      </w:pPr>
      <w:r>
        <w:t>3.</w:t>
      </w:r>
      <w:r>
        <w:tab/>
        <w:t>El art. 97 LCJA a la sazón vigente sólo obligaba a emplazar a quienes hubieran sido parte en el proceso previo en el que hubiese recaído la Sentencia impugnada en casación, condición que no ostentaban los solicitantes de amparo, para quienes no existió el deber judicial de citar personalmente [FJ 8].</w:t>
      </w:r>
    </w:p>
    <w:p w:rsidR="0025129F" w:rsidRDefault="0025129F" w:rsidP="0025129F">
      <w:pPr>
        <w:pStyle w:val="Extracto"/>
      </w:pPr>
    </w:p>
    <w:p w:rsidR="0025129F" w:rsidRDefault="0025129F" w:rsidP="0025129F">
      <w:pPr>
        <w:pStyle w:val="Extracto"/>
      </w:pPr>
      <w:r>
        <w:t>4.</w:t>
      </w:r>
      <w:r>
        <w:tab/>
        <w:t>No se puede exigir a quien alega indefensión la prueba de su diligencia, dado que existe en principio una presunción de desconocimiento del pleito (STC 187/2000) [FJ 7].</w:t>
      </w:r>
    </w:p>
    <w:p w:rsidR="0025129F" w:rsidRDefault="0025129F" w:rsidP="0025129F">
      <w:pPr>
        <w:pStyle w:val="Extracto"/>
      </w:pPr>
    </w:p>
    <w:p w:rsidR="0025129F" w:rsidRDefault="0025129F" w:rsidP="0025129F">
      <w:pPr>
        <w:pStyle w:val="Extracto"/>
      </w:pPr>
      <w:r>
        <w:t>5.</w:t>
      </w:r>
      <w:r>
        <w:tab/>
        <w:t>El derecho de defensa impone a los órganos judiciales un especial deber de diligencia en la realización de los actos de comunicación procesal (SSTC 77/1997; 268/2000) [FJ 6].</w:t>
      </w:r>
    </w:p>
    <w:p w:rsidR="0025129F" w:rsidRDefault="0025129F" w:rsidP="0025129F">
      <w:pPr>
        <w:pStyle w:val="Extracto"/>
      </w:pPr>
    </w:p>
    <w:p w:rsidR="0025129F" w:rsidRDefault="0025129F" w:rsidP="0025129F">
      <w:pPr>
        <w:pStyle w:val="Extracto"/>
      </w:pPr>
      <w:r>
        <w:t>6.</w:t>
      </w:r>
      <w:r>
        <w:tab/>
        <w:t>En la medida en que la procedencia del planteamiento del incidente de nulidad no queda determinada de manera clara y concluyente en el presente caso, no es admisible exigirlo a los demandantes de amparo (SSTC 84/1999, 178/2000) [FJ 5].</w:t>
      </w:r>
    </w:p>
    <w:p w:rsidR="0025129F" w:rsidRDefault="0025129F" w:rsidP="0025129F">
      <w:pPr>
        <w:pStyle w:val="Extracto"/>
      </w:pPr>
    </w:p>
    <w:p w:rsidR="0025129F" w:rsidRDefault="0025129F" w:rsidP="0025129F">
      <w:pPr>
        <w:pStyle w:val="Extracto"/>
      </w:pPr>
      <w:r>
        <w:t>7.</w:t>
      </w:r>
      <w:r>
        <w:tab/>
        <w:t xml:space="preserve">Siempre que exista un recurso o remedio procesal susceptible de ser utilizado y adecuado por su carácter y naturaleza para tutelar el derecho o libertad que se </w:t>
      </w:r>
      <w:r>
        <w:lastRenderedPageBreak/>
        <w:t>entienda vulnerado, tal recurso ha de agotarse antes de acudir en vía constitucional (SSTC 61/1983, 228/2000) [FJ 4].</w:t>
      </w:r>
    </w:p>
    <w:p w:rsidR="0025129F" w:rsidRDefault="0025129F" w:rsidP="0025129F">
      <w:pPr>
        <w:pStyle w:val="Extracto"/>
      </w:pPr>
    </w:p>
    <w:p w:rsidR="0025129F" w:rsidRDefault="0025129F" w:rsidP="0025129F">
      <w:pPr>
        <w:pStyle w:val="Extracto"/>
      </w:pPr>
      <w:r>
        <w:t>8.</w:t>
      </w:r>
      <w:r>
        <w:tab/>
        <w:t>El eventual examen de las condiciones de admisibilidad del recurso no queda impedido por el hecho de que en su día decidiera la Sala la apertura del trámite previsto en el art. 50 de la Ley Orgánica de este Tribunal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los recursos de amparo acumulados núms. 4138/98 y 4167/98, promovido, el primero de ellos, por don Enrique Manuel Pérez Horna, don Pablo González García, don José Ángel Herreros Prieto, doña María Eugenia Estrada Álvarez y la sociedad COPORSA 87, S.A., representados todos ellos por el Procurador de los Tribunales don Argimiro Vázquez Guillén y bajo la dirección letrada de don Eduardo García de Enterría; e interpuesto el segundo por don Fernando Costa Galdós, don Julio Pozueta Echavarri y doña Pilar Larios Acacio, también representados por el Procurador don Argimiro Vázquez Guillén e, igualmente, bajo la dirección letrada de don Eduardo García de Enterría. Mediante ambos recursos se impugnan la Sentencia de la Sala de lo Contencioso-Administrativo, Sección Quinta, del Tribunal Supremo, de 22 de diciembre de 1997, recaída en el recurso de casación núm. 1906/92, que declaró no haber lugar a los recursos de casación interpuestos contra la Sentencia de 16 de octubre de 1992, dictada por la Sala de lo Contencioso- Administrativo del Tribunal Superior de Justicia de Cantabria, en el recurso contencioso-administrativo núm. 804/92, así como contra esta última, que anuló un Acuerdo del Ayuntamiento de Santander en cuya virtud se concedió licencia de obras relativas al solar sito en la Calleja Norte núms. 10 y 12 de dicha localidad. Ha intervenido el Ministerio Fiscal y ha comparecido el Ayuntamiento de Santander, representado por el Procurador don Roberto Granizo Palomeque y asistido de la Letrada doña Rosario Sanz-Lomana.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demanda presentada en este Tribunal el 3 de octubre de 1998, don Argimiro Vázquez Guillén, Procurador de los Tribunales, actuando en nombre y representación de don Enrique Manuel Pérez Horna, don Pablo González García, don José Ángel Herre</w:t>
      </w:r>
      <w:r>
        <w:lastRenderedPageBreak/>
        <w:t xml:space="preserve">ros Prieto, doña María Eugenia Estrada Álvarez y la sociedad COPORSA 87, S.A., interpone recurso de amparo contra las Sentencias reseñadas en el encabezamiento. </w:t>
      </w:r>
    </w:p>
    <w:p w:rsidR="0025129F" w:rsidRDefault="0025129F" w:rsidP="0025129F">
      <w:pPr>
        <w:pStyle w:val="TextoNormal"/>
      </w:pPr>
      <w:r>
        <w:t>Por escrito presentado en este Tribunal el 6 de octubre de 1998 don Argimiro Vázquez Guillén, Procurador de los Tribunales, actuando en nombre y representación de don Fernando Costa Galdós, don Julio Pozueta Echavarri y doña Pilar Larios Acacio, interpone recurso de amparo contra las mismas resoluciones judiciales.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que se fundamentan ambas demandas de amparo, sustancialmente iguales, son en términos sucintos los siguientes: </w:t>
      </w:r>
    </w:p>
    <w:p w:rsidR="0025129F" w:rsidRDefault="0025129F" w:rsidP="0025129F">
      <w:pPr>
        <w:pStyle w:val="TextoNormal"/>
      </w:pPr>
      <w:r>
        <w:t xml:space="preserve">a) El 12 de febrero de 1988 el Alcalde-Presidente del Ayuntamiento de Santander concedió licencia de obras a la entidad Inmobiliaria Mataleñas, S. A., para la construcción de diez viviendas unifamiliares adosadas en la calle Calleja Norte, núms. 10-12. </w:t>
      </w:r>
    </w:p>
    <w:p w:rsidR="0025129F" w:rsidRDefault="0025129F" w:rsidP="0025129F">
      <w:pPr>
        <w:pStyle w:val="TextoNormal"/>
      </w:pPr>
      <w:r>
        <w:t xml:space="preserve">b) La Comunidad de Propietarios de la calle Joaquín Costa núms. 17 al 23 interpuso recurso de reposición ante el Ayuntamiento de Santander contra la licencia concedida, que fue desestimado por Resolución de la Alcaldía-Presidencia de 28 de julio de 1988. </w:t>
      </w:r>
    </w:p>
    <w:p w:rsidR="0025129F" w:rsidRDefault="0025129F" w:rsidP="0025129F">
      <w:pPr>
        <w:pStyle w:val="TextoNormal"/>
      </w:pPr>
      <w:r>
        <w:t xml:space="preserve">c) Contra tal desestimación la citada Comunidad de Propietarios dedujo recurso contencioso-administrativo el 14 de diciembre de 1988, seguido bajo el núm. 1028/88 ante la Sala de lo Contencioso-Administrativo de la Audiencia Territorial de Burgos, en el que intervinieron como demandado el Ayuntamiento de Santander y como codemandante Inmobiliaria Mataleñas, S. A. </w:t>
      </w:r>
    </w:p>
    <w:p w:rsidR="0025129F" w:rsidRDefault="0025129F" w:rsidP="0025129F">
      <w:pPr>
        <w:pStyle w:val="TextoNormal"/>
      </w:pPr>
      <w:r>
        <w:t xml:space="preserve">d) Durante los años 1991 y 1992, las viviendas construidas al amparo de tal licencia fueron adquiridas por los hoy recurrentes en amparo. </w:t>
      </w:r>
    </w:p>
    <w:p w:rsidR="0025129F" w:rsidRDefault="0025129F" w:rsidP="0025129F">
      <w:pPr>
        <w:pStyle w:val="TextoNormal"/>
      </w:pPr>
      <w:r>
        <w:t xml:space="preserve">e) Mediante Auto de 23 de marzo de 1992, la Sala de lo Contencioso-Administrativo del Tribunal Superior de Justicia de Castilla y León, con sede en Burgos, acuerda inhibirse del conocimiento del recurso contencioso-administrativo y remitirlo a la Sala de dicho orden jurisdiccional del Tribunal Superior de Justicia de Cantabria, previo emplazamiento de las partes personadas. </w:t>
      </w:r>
    </w:p>
    <w:p w:rsidR="0025129F" w:rsidRDefault="0025129F" w:rsidP="0025129F">
      <w:pPr>
        <w:pStyle w:val="TextoNormal"/>
      </w:pPr>
      <w:r>
        <w:t xml:space="preserve">f) Una vez personadas las partes, la Sala de lo Contencioso- Administrativo del Tribunal Superior de Justicia de Cantabria dictó Sentencia el día 16 de octubre de 1992 por la que, estimando el recurso promovido por la Comunidad de Propietarios de la calle Joaquín Costa núms. 17 al 23, declaró la nulidad de las resoluciones municipales impugnadas y ordenó la demolición de la obra ilícitamente edificada a su amparo. La Sala considera, en cuanto al fondo del asunto, que la finca de la que formaba parte la parcela sobre la que se había materializado la edificación de las diez viviendas tenía agotada ya su edificabilidad, de acuerdo con las determinaciones del Plan General de Ordenación Urbana, sin que las operaciones de segregación y ocupación llevadas a cabo pudieran servir para obtener una capacidad edificatoria que conculcase las determinaciones del planeamiento. Por consiguiente, declara la nulidad de la licencia impugnada y, asimismo, acuerda la demolición de lo edificado, ante el carácter ilegalizable de las contravenciones urbanísticas apreciadas. </w:t>
      </w:r>
    </w:p>
    <w:p w:rsidR="0025129F" w:rsidRDefault="0025129F" w:rsidP="0025129F">
      <w:pPr>
        <w:pStyle w:val="TextoNormal"/>
      </w:pPr>
      <w:r>
        <w:t xml:space="preserve">g) Las representaciones del Ayuntamiento de Santander y de Inmobiliaria Mataleñas, S.A., prepararon recursos de casación contra la referida Sentencia, que fueron formalizados posteriormente, mediante los correspondientes escritos de interposición, presentados ante el Tribunal Supremo dentro del término de emplazamiento. </w:t>
      </w:r>
    </w:p>
    <w:p w:rsidR="0025129F" w:rsidRDefault="0025129F" w:rsidP="0025129F">
      <w:pPr>
        <w:pStyle w:val="TextoNormal"/>
      </w:pPr>
      <w:r>
        <w:t xml:space="preserve">h) La Sección Quinta de la Sala Tercera del Tribunal Supremo dictó Sentencia, con fecha 22 de diciembre de 1997, por la que declaró no haber lugar a los recursos de casación interpuestos. </w:t>
      </w:r>
    </w:p>
    <w:p w:rsidR="0025129F" w:rsidRDefault="0025129F" w:rsidP="0025129F">
      <w:pPr>
        <w:pStyle w:val="TextoNormal"/>
      </w:pPr>
      <w:r>
        <w:t>i) Por Auto de 20 de mayo de 1998 la Sala de lo Contencioso- Administrativo del Tribunal Superior de Justicia de Cantabria tuvo por instada la ejecución de la Sentencia dic</w:t>
      </w:r>
      <w:r>
        <w:lastRenderedPageBreak/>
        <w:t xml:space="preserve">tada en el recurso núm. 804/92 y acordó requerir al Ayuntamiento de Santander para que informara a la Sala sobre el estado de ejecución de dicha Sentencia. </w:t>
      </w:r>
    </w:p>
    <w:p w:rsidR="0025129F" w:rsidRDefault="0025129F" w:rsidP="0025129F">
      <w:pPr>
        <w:pStyle w:val="TextoNormal"/>
      </w:pPr>
      <w:r>
        <w:t xml:space="preserve">Por Resoluciones del Alcalde-Presidente del Ayuntamiento de Santander de 12 de mayo y 10 de agosto de 1998 se acuerda requerir a los propietarios de las viviendas para que procedan a la demolición de lo ilícitamente construido al amparo de la licencia anulada. </w:t>
      </w:r>
    </w:p>
    <w:p w:rsidR="0025129F" w:rsidRDefault="0025129F" w:rsidP="0025129F">
      <w:pPr>
        <w:pStyle w:val="TextoNormal"/>
      </w:pPr>
      <w:r>
        <w:t>j) Los ahora recurrentes en amparo, una vez que tuvieron conocimiento de las Sentencias dictadas, presentaron con fecha 22 de octubre de 1998 un escrito dirigido a la Sala de lo Contencioso- Administrativo del Tribunal Superior de Justicia de Cantabria, personándose como parte en la ejecución de la Sentencia de 16 de octubre de 1992. Por providencia de la mencionada Sala de 3 de noviembre de 1998 se les tuvo por personados en concepto de parte codemandada en la ejecución de la Sentencia. Asimismo, y en evitación de perjuicios irreparables, se acuerda ordenar al Ayuntamiento de Santander la paralización inmediata del cumplimiento de la resolución de la misma Sala, por la que se ordenaba la ejecución de la Sentencia.</w:t>
      </w:r>
    </w:p>
    <w:p w:rsidR="0025129F" w:rsidRDefault="0025129F" w:rsidP="0025129F">
      <w:pPr>
        <w:pStyle w:val="TextoNormal"/>
      </w:pPr>
    </w:p>
    <w:p w:rsidR="0025129F" w:rsidRDefault="0025129F" w:rsidP="0025129F">
      <w:pPr>
        <w:pStyle w:val="TextoNormal"/>
      </w:pPr>
      <w:r w:rsidRPr="0025129F">
        <w:rPr>
          <w:rStyle w:val="NumeroAFNegritaCaracter"/>
        </w:rPr>
        <w:t>3</w:t>
      </w:r>
      <w:r>
        <w:t>. En la demanda de amparo se invoca la vulneración del derecho a la tutela judicial efectiva. Se alega al respecto que los actores no recibieron ninguna comunicación, notificación o emplazamiento en relación con el recurso contencioso-administrativo, ni por parte del Tribunal ante el que se siguió, ni extrajudicialmente, por alguna otra persona pública o privada. Por tal razón no han podido participar en el proceso ni en el posterior recurso de casación, pese a que aquél concluyó con la Sentencia que anuló la licencia de obras y acordó el derribo de las viviendas construidas, sin que pudieran formular las alegaciones oportunas para la defensa de sus derechos e intereses legítimos. Se afirma que la decisión judicial recurrida afecta directamente a los intereses de los demandantes como titulares del derecho de propiedad de las viviendas cuyo derribo se ha acordado. En definitiva, se sostiene que la incomparecencia en el recurso contencioso les ha causado una evidente indefensión.</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14 de diciembre de 1998 la Sección Primera de este Tribunal, a tenor de lo dispuesto en el art. 50.3 LOTC, acordó conceder un plazo común de diez días al Ministerio Fiscal y a los solicitantes de amparo en el recurso núm. 4138/98 para que formularan las alegaciones que estimasen pertinentes en relación con la falta de agotamiento de todos los recursos utilizables dentro de la vía judicial [art. 50.1 a), en relación con el art. 44.1 a) LOTC].</w:t>
      </w:r>
    </w:p>
    <w:p w:rsidR="0025129F" w:rsidRDefault="0025129F" w:rsidP="0025129F">
      <w:pPr>
        <w:pStyle w:val="TextoNormal"/>
      </w:pPr>
    </w:p>
    <w:p w:rsidR="0025129F" w:rsidRDefault="0025129F" w:rsidP="0025129F">
      <w:pPr>
        <w:pStyle w:val="TextoNormal"/>
      </w:pPr>
      <w:r w:rsidRPr="0025129F">
        <w:rPr>
          <w:rStyle w:val="NumeroAFNegritaCaracter"/>
        </w:rPr>
        <w:t>5</w:t>
      </w:r>
      <w:r>
        <w:t>. El día 11 de enero de 1999 tuvo entrada en el Juzgado de guardia el escrito de alegaciones de los demandantes de amparo. En él se afirma que, al no haber sido emplazados en ningún momento, no fueron parte, ni en el recurso contencioso-administrativo resuelto por Sentencia de la Sala de tal orden jurisdiccional del Tribunal Superior de Justicia de Cantabria, ni en el posterior recurso de casación interpuesto por los demandados ante el Tribunal Supremo. Por tanto habrían quedado agotados todos los recursos judiciales utilizables. En particular, en cuanto al planteamiento de un incidente de nulidad de actuaciones contra la Sentencia de 16 de octubre de 1992, manifiestan que tal posibilidad estaba vedada por el art. 240 LOPJ, en su redacción anterior a la Ley Orgánica 5/1997, de 4 de diciembre. Con invocación de la jurisprudencia de este Tribunal, señalan que el planteamiento de dicho incidente, una vez recaída Sentencia definitiva, constituye un recurso manifiesta</w:t>
      </w:r>
      <w:r>
        <w:lastRenderedPageBreak/>
        <w:t>mente improcedente. Así pues no era posible plantear el incidente de nulidad de actuaciones cuando la lesión procesal se produjo, esto es, en la primera instancia.</w:t>
      </w:r>
    </w:p>
    <w:p w:rsidR="0025129F" w:rsidRDefault="0025129F" w:rsidP="0025129F">
      <w:pPr>
        <w:pStyle w:val="TextoNormal"/>
      </w:pPr>
    </w:p>
    <w:p w:rsidR="0025129F" w:rsidRDefault="0025129F" w:rsidP="0025129F">
      <w:pPr>
        <w:pStyle w:val="TextoNormal"/>
      </w:pPr>
      <w:r w:rsidRPr="0025129F">
        <w:rPr>
          <w:rStyle w:val="NumeroAFNegritaCaracter"/>
        </w:rPr>
        <w:t>6</w:t>
      </w:r>
      <w:r>
        <w:t>. El Ministerio Fiscal presentó escrito de alegaciones el día 14 de enero de 1999; en él, tras resumir los antecedentes, afirma que concurre la causa de inadmisión de falta de agotamiento de los recursos utilizables dentro de la vía judicial, de conformidad con el art. 50.1 a), en relación con el art. 44.1 a), LOTC. Para justificar tal aseveración, aduce que en el momento de dictarse la Sentencia de casación estaba ya vigente el conocido como "incidente extraordinario de nulidad", medio de rescisión de Sentencias firmes por violación del derecho a la tutela judicial efectiva, que ha de ser utilizado cuando concurra alguna de las circunstancias previstas en el art. 240.3 LOPJ, uno de cuyos motivos consiste en la existencia de defectos de forma que hayan causado indefensión, siempre que no haya sido posible denunciarlos antes de recaer Sentencia o resolución que ponga fin al proceso y que ésta no sea recurrible. Señala el Ministerio Fiscal que, pese a la concisa regulación contenida en el precepto referido, parece claro que la previsión relativa a los defectos formales, que hayan causado indefensión incluye supuestos como el denunciado, y que la declaración de nulidad habría determinado, no sólo la anulación de la Sentencia de casación, sino también de la de instancia, con retroacción del proceso al momento en que debió emplazarse a los interesados directos.</w:t>
      </w:r>
    </w:p>
    <w:p w:rsidR="0025129F" w:rsidRDefault="0025129F" w:rsidP="0025129F">
      <w:pPr>
        <w:pStyle w:val="TextoNormal"/>
      </w:pPr>
    </w:p>
    <w:p w:rsidR="0025129F" w:rsidRDefault="0025129F" w:rsidP="0025129F">
      <w:pPr>
        <w:pStyle w:val="TextoNormal"/>
      </w:pPr>
      <w:r w:rsidRPr="0025129F">
        <w:rPr>
          <w:rStyle w:val="NumeroAFNegritaCaracter"/>
        </w:rPr>
        <w:t>7</w:t>
      </w:r>
      <w:r>
        <w:t>. Por resoluciones de 28 de julio y 4 de noviembre de 1999, la Sala Segunda, de conformidad con lo dispuesto en el art. 11.2 LOTC, acordó conocer de los recursos de amparo y, a tenor del art. 51 LOTC, librar atenta comunicación a la Sección Quinta de la Sala de lo Contencioso- Administrativo del Tribunal Supremo, al Ayuntamiento de Santander y a Sala de lo Contencioso del Tribunal Superior de Justicia de Cantabria para que, en el término de diez días, remitieran certificación o fotocopia adverada de las actuaciones correspondientes al recurso de casación núm. 1906/92, de los expedientes del Negociado de Obras núms. 326 y 326 bis del año 1986, y de las actuaciones correspondientes al recurso contencioso-administrativo núm. 804/92, correspondiente al incoado bajo el núm. 1028/88 por la Sala de lo Contencioso-Administrativo de la antigua Audiencia Territorial de Burgos, respectivamente. Asimismo se interesó el emplazamiento de quienes hubieran sido parte en el procedimiento para que, en el término de diez días, pudieran comparecer en el presente proceso constitucional. Por diligencia de ordenación de 18 de noviembre de 1999 se acuerda solicitar a la Sala Tercera del Tribunal Supremo que remita copia de las actuaciones correspondientes al recurso núm. 804/92, por haber sido enviadas a dicho órgano para sustanciar recurso de casación.</w:t>
      </w:r>
    </w:p>
    <w:p w:rsidR="0025129F" w:rsidRDefault="0025129F" w:rsidP="0025129F">
      <w:pPr>
        <w:pStyle w:val="TextoNormal"/>
      </w:pPr>
    </w:p>
    <w:p w:rsidR="0025129F" w:rsidRDefault="0025129F" w:rsidP="0025129F">
      <w:pPr>
        <w:pStyle w:val="TextoNormal"/>
      </w:pPr>
      <w:r w:rsidRPr="0025129F">
        <w:rPr>
          <w:rStyle w:val="NumeroAFNegritaCaracter"/>
        </w:rPr>
        <w:t>8</w:t>
      </w:r>
      <w:r>
        <w:t>. Mediante diligencias de ordenación de 21 de febrero de 2000, se acordó tener por personado al Procurador don Roberto Granizo Palomeque en representación del Ayuntamiento de Santander y, a tenor de lo dispuesto en el art. 52.1 LOTC, dar vista de las actuaciones recibidas a las partes personadas y al Ministerio Fiscal, por plazo común de veinte días, para que dentro del expresado término pudieran formular las alegaciones que estimaran pertinentes.</w:t>
      </w:r>
    </w:p>
    <w:p w:rsidR="0025129F" w:rsidRDefault="0025129F" w:rsidP="0025129F">
      <w:pPr>
        <w:pStyle w:val="TextoNormal"/>
      </w:pPr>
    </w:p>
    <w:p w:rsidR="0025129F" w:rsidRDefault="0025129F" w:rsidP="0025129F">
      <w:pPr>
        <w:pStyle w:val="TextoNormal"/>
      </w:pPr>
      <w:r w:rsidRPr="0025129F">
        <w:rPr>
          <w:rStyle w:val="NumeroAFNegritaCaracter"/>
        </w:rPr>
        <w:t>9</w:t>
      </w:r>
      <w:r>
        <w:t>. Los escritos de alegaciones del Ministerio Fiscal fueron registrados en este Tribunal el 17 de marzo de 2000. Reitera la causa de inadmisibilidad de falta de agotamiento de los recursos judiciales previos, al no haberse empleado por los recurrentes el incidente extra</w:t>
      </w:r>
      <w:r>
        <w:lastRenderedPageBreak/>
        <w:t>ordinario de nulidad del art. 240.3 LOPJ. Aun reconociendo la cualidad de interesados de los demandantes, hace notar que el recurso contencioso-administrativo se interpuso en 1988, y los recurrentes de amparo adquirieron las viviendas en 1991 y 1992, por lo que, en el momento de interposición del recurso y de admisión y reclamación del expediente, no ostentaban la condición de interesados directos, ya que aún no habían adquirido las viviendas. Si la empresa inmobiliaria ocultó a los adquirentes la existencia del recurso y a la Sala el hecho de que iba vendiendo las viviendas, la supuesta vulneración del derecho a la tutela judicial efectiva no es atribuible al órgano judicial, que está obligado a comprobar la debida constitución de la relación procesal en el momento en que reclama el expediente y ordena emplazar a los que en ese momento consten como interesados directos. Concluye razonando el Ministerio Fiscal que ninguna infracción puede atribuirse a la actuación judicial, por lo que interesa que se dicte Sentencia declarando la inadmisibilidad o, en su caso, desestimando el recurso. Asimismo, y por medio de otrosí, manifiesta que se dan las circunstancias necesarias para acumular los recursos de amparo núms. 4138/98 y 4167/98.</w:t>
      </w:r>
    </w:p>
    <w:p w:rsidR="0025129F" w:rsidRDefault="0025129F" w:rsidP="0025129F">
      <w:pPr>
        <w:pStyle w:val="TextoNormal"/>
      </w:pPr>
    </w:p>
    <w:p w:rsidR="0025129F" w:rsidRDefault="0025129F" w:rsidP="0025129F">
      <w:pPr>
        <w:pStyle w:val="TextoNormal"/>
      </w:pPr>
      <w:r w:rsidRPr="0025129F">
        <w:rPr>
          <w:rStyle w:val="NumeroAFNegritaCaracter"/>
        </w:rPr>
        <w:t>10</w:t>
      </w:r>
      <w:r>
        <w:t>. El día 22 de marzo de 2000 tuvieron entrada en el Registro de este Tribunal los escritos de alegaciones de los recurrentes. En ellos reiteran, básicamente, los mismos argumentos esgrimidos en el escrito de demanda, incidiendo, asimismo, de forma especial, sobre la admisión a trámite del recurso de amparo, con alegaciones relativas a la imposibilidad de plantear el incidente de nulidad de actuaciones cuando la lesión procesal se produjo. Por otra parte, incluyen el relato de los hechos que han desembocado en el planteamiento del presente recurso para demostrar que los recurrentes tuvieron conocimiento por primera vez de la existencia del litigio y de las Sentencias objeto de la demanda de amparo a través de una Resolución municipal, comunicada meses después de dictarse la Sentencia del Tribunal Supremo, por la que se les ordenaba demoler sus casas. Por último, los recurrentes vuelven a insistir en la existencia de violación del derecho fundamental a la tutela judicial efectiva, con indefensión, invocando, para respaldar tal aserto, la jurisprudencia de este Tribunal. Como conclusión, solicitan a la Sala que dicte Sentencia estimatoria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La representación del Ayuntamiento de Santander presentó sus escritos de alegaciones el 23 de marzo de 2000. En ellos se limita a exponer resumidamente los antecedentes del caso, señalando que los propietarios afectados son terceros de buena fe, que ignoraban la existencia de recurso alguno contra la licencia que amparaba la construcción de sus viviendas, ya que el demandante no solicitó en ningún momento la toma de razón de la demanda en el Registro de la Propiedad. Asimismo, hace constar que, cuando los autos se recibieron en el Tribunal Superior de Justicia de Cantabria, no se dio al Ayuntamiento de Santander trámite de alegaciones, como hacía la Sala con todos los procedimientos que recibía de Burgos, sino que directamente dictó Sentencia. </w:t>
      </w:r>
    </w:p>
    <w:p w:rsidR="0025129F" w:rsidRDefault="0025129F" w:rsidP="0025129F">
      <w:pPr>
        <w:pStyle w:val="TextoNormal"/>
      </w:pPr>
      <w:r>
        <w:t>Concluyen los escritos con la súplica de que se tengan por formuladas alegaciones,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12</w:t>
      </w:r>
      <w:r>
        <w:t xml:space="preserve">. Por diligencia de ordenación de 3 de abril de 2000, se acuerda conceder un plazo de diez días a las representaciones de los recurrentes y del Ayuntamiento de Santander para que aleguen sobre la acumulación interesada por el Ministerio Fiscal del recurso núm. 4167/98 al seguido con el núm. 4138/98, con vista de las actuaciones de este último. </w:t>
      </w:r>
    </w:p>
    <w:p w:rsidR="0025129F" w:rsidRDefault="0025129F" w:rsidP="0025129F">
      <w:pPr>
        <w:pStyle w:val="TextoNormal"/>
      </w:pPr>
      <w:r>
        <w:lastRenderedPageBreak/>
        <w:t xml:space="preserve">Los recurrentes presentaron escrito el 8 de abril de 2000, manifestando no tener nada que objetar a lo interesado por el Ministerio Fiscal, dejando la decisión pertinente al mejor criterio de la Sala. El Ayuntamiento de Santander no presentó escrito alguno evacuando el traslado concedido. </w:t>
      </w:r>
    </w:p>
    <w:p w:rsidR="0025129F" w:rsidRDefault="0025129F" w:rsidP="0025129F">
      <w:pPr>
        <w:pStyle w:val="TextoNormal"/>
      </w:pPr>
      <w:r>
        <w:t>Mediante Auto de 29 de mayo de 2000, la Sala Segunda acordó la acumulación de los recursos núms. 4138/98 y 4167/98.</w:t>
      </w:r>
    </w:p>
    <w:p w:rsidR="0025129F" w:rsidRDefault="0025129F" w:rsidP="0025129F">
      <w:pPr>
        <w:pStyle w:val="TextoNormal"/>
      </w:pPr>
    </w:p>
    <w:p w:rsidR="0025129F" w:rsidRDefault="0025129F" w:rsidP="0025129F">
      <w:pPr>
        <w:pStyle w:val="TextoNormal"/>
      </w:pPr>
      <w:r w:rsidRPr="0025129F">
        <w:rPr>
          <w:rStyle w:val="NumeroAFNegritaCaracter"/>
        </w:rPr>
        <w:t>13</w:t>
      </w:r>
      <w:r>
        <w:t>. Por providencia de 24 de enero de 2002 se señaló para deliberación y fallo el día 28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Los recurrentes dirigen su demanda de amparo contra la Sentencia de la Sección Quinta de la Sala de lo Contencioso-Administrativo del Tribunal Supremo, de 22 de diciembre de 1997, por la que se declaró no haber lugar a los recursos de casación interpuestos contra la Sentencia de 16 de octubre de 1992, dictada por la Sala de lo Contencioso-Administrativo del Tribunal Superior de Justicia de Cantabria en el recurso contencioso-administrativo núm. 804/92 (procedente del recurso núm. 1028/88, interpuesto ante la Sala de igual orden jurisdiccional de la antigua Audiencia Territorial de Burgos).  Asimismo, el recurso de amparo se dirige contra esta última Sentencia, en cuya virtud se declaró la nulidad del Acuerdo del Ayuntamiento de Santander por el que se concedió a Inmobiliaria Mataleñas, S.A., licencia de obras para la construcción de viviendas en el solar sito en la calle Calleja Norte, núms.  10-12, de dicha localidad, acordando la Sentencia, además, la demolición de lo edificado, ante el carácter ilegalizable de las obras.</w:t>
      </w:r>
    </w:p>
    <w:p w:rsidR="0025129F" w:rsidRDefault="0025129F" w:rsidP="0025129F">
      <w:pPr>
        <w:pStyle w:val="TextoNormal"/>
      </w:pPr>
      <w:r>
        <w:t>Una vez que tuvieron conocimiento de las referidas Sentencias, como consecuencia de las órdenes de demolición expedidas por el Ayuntamiento de Santander en ejecución de las mismas, los ahora recurrentes formularon sus demandas de amparo, que tuvieron entrada en este Tribunal los días 3 y 6 de octubre de 1998.</w:t>
      </w:r>
    </w:p>
    <w:p w:rsidR="0025129F" w:rsidRDefault="0025129F" w:rsidP="0025129F">
      <w:pPr>
        <w:pStyle w:val="TextoNormal"/>
      </w:pPr>
    </w:p>
    <w:p w:rsidR="0025129F" w:rsidRDefault="0025129F" w:rsidP="0025129F">
      <w:pPr>
        <w:pStyle w:val="TextoNormal"/>
      </w:pPr>
      <w:r w:rsidRPr="0025129F">
        <w:rPr>
          <w:rStyle w:val="NumeroAFNegritaCaracter"/>
        </w:rPr>
        <w:t>2</w:t>
      </w:r>
      <w:r>
        <w:t>. Los demandantes de amparo denuncian la vulneración del derecho fundamental a la tutela judicial efectiva (art. 24.1 CE) basándose en que, pese a haber adquirido durante los años 1991 y 1992 las viviendas construidas en virtud de la licencia litigiosa, no recibieron ninguna comunicación, notificación o emplazamiento en relación con el recurso contencioso-administrativo seguido ante el Tribunal Superior de Justicia de Cantabria, ni por parte del propio órgano judicial, ni por el Ayuntamiento de Santander, ni por la empresa inmobiliaria que les vendió las viviendas y fue parte en el proceso. Manifiestan que, debido a ello, no han podido participar en éste ni en el posterior recurso de casación ni, por tanto, han tenido la posibilidad de formular las alegaciones oportunas en defensa de sus derechos e intereses legítimos, pese a que las resoluciones judiciales recurridas les afectan muy directamente, como titulares del derecho de propiedad sobre las viviendas cuyo derribo se ha acordado como consecuencia de la anulación de la licencia de obras. En conclusión, consideran que tal situación les ha impedido comparecer en el recurso contencioso-administrativo, causándoles una evidente indefensión.</w:t>
      </w:r>
    </w:p>
    <w:p w:rsidR="0025129F" w:rsidRDefault="0025129F" w:rsidP="0025129F">
      <w:pPr>
        <w:pStyle w:val="TextoNormal"/>
      </w:pPr>
      <w:r>
        <w:t>Por su parte, el Ministerio Fiscal solicita la desestimación del recurso de amparo por no existir violación del derecho fundamental invocado por los demandantes. Entiende que, aunque ha de reconocerse la condición de interesados a los recurrentes, es preciso advertir que el recurso contencioso- administrativo se interpuso en 1988, mientras que los recu</w:t>
      </w:r>
      <w:r>
        <w:lastRenderedPageBreak/>
        <w:t>rrentes de amparo adquirieron las viviendas en 1991 y 1992, por lo que en el momento de interposición del recurso y de reclamación del expediente no ostentaban la condición de interesados directos. Afirma que, si la empresa inmobiliaria ocultó a los adquirentes la existencia del recurso y a la Sala el hecho de que había ido enajenando las viviendas, la supuesta vulneración del derecho a la tutela judicial efectiva nunca podrá ser atribuida al órgano judicial, que está obligado a comprobar la debida constitución de la relación procesal en el momento en que reclama el expediente y ordena emplazar a los que en ese momento consten como interesados directos y que, en la medida en que así lo hizo, no cometió ninguna infracción del derecho fundamental consagrado en el art. 24.1 CE.</w:t>
      </w:r>
    </w:p>
    <w:p w:rsidR="0025129F" w:rsidRDefault="0025129F" w:rsidP="0025129F">
      <w:pPr>
        <w:pStyle w:val="TextoNormal"/>
      </w:pPr>
    </w:p>
    <w:p w:rsidR="0025129F" w:rsidRDefault="0025129F" w:rsidP="0025129F">
      <w:pPr>
        <w:pStyle w:val="TextoNormal"/>
      </w:pPr>
      <w:r w:rsidRPr="0025129F">
        <w:rPr>
          <w:rStyle w:val="NumeroAFNegritaCaracter"/>
        </w:rPr>
        <w:t>3</w:t>
      </w:r>
      <w:r>
        <w:t>. Antes de proceder a determinar si realmente se ha vulnerado el derecho a la tutela judicial efectiva, como alegan los recurrentes, es preciso analizar la objeción de carácter procesal articulada por el Ministerio Fiscal.  Reitera éste en su escrito de alegaciones la causa de inadmisibilidad de falta de agotamiento de los recursos judiciales previos por no haberse empleado por los recurrentes el incidente de nulidad del art. 240.3 LOPJ, extremo que, de confirmarse, determinaría la inadmisión del recurso en este momento procesal, de acuerdo con lo establecido en los arts. 44.1 a) y 50.1 a) LOTC, pues los defectos insubsanables de que pudiera estar afectado el recurso de amparo no resultan subsanados porque el recurso haya sido inicialmente admitido a trámite (SSTC 50/1991, de 11 de marzo, FJ 3; 129/2000, de 16 de mayo, FJ 2; 185/2000, de 10 de julio, FJ 3; 105/2001, de 23 de abril, FJ 2; 228/2001, de 26 de noviembre, FJ 2).</w:t>
      </w:r>
    </w:p>
    <w:p w:rsidR="0025129F" w:rsidRDefault="0025129F" w:rsidP="0025129F">
      <w:pPr>
        <w:pStyle w:val="TextoNormal"/>
      </w:pPr>
      <w:r>
        <w:t>No es óbice para que este Tribunal aborde el examen de la causa de inadmisibilidad invocada por el Ministerio Fiscal el hecho de que, por providencia de 14 de diciembre de 1998, la Sección Primera de este Tribunal, en aplicación de lo dispuesto en el art.  50.3 LOTC, acordase conceder un plazo común de diez días al Ministerio Fiscal y a los solicitantes de amparo en el recurso núm. 4138/98, para que formularan las alegaciones que estimaran pertinentes en relación con la falta de agotamiento de todos los recursos utilizables dentro de la vía judicial. En efecto, es bien expresiva de la inoperatividad de tal impedimento la STC 90/1987, de 3 de junio, FJ 1: "Este eventual examen, ya en la Sentencia, de las condiciones de admisibilidad del recurso no queda impedido, desde luego, por el hecho de que en su día decidiera la Sala la apertura del trámite previsto en el art. 50 de la Ley Orgánica de este Tribunal; pues, en tal caso, la resolución preliminar de admisión dictada tras la sustanciación de dicho incidente puede adoptarse con el fin de posponer la consideración del defecto o defectos inicialmente advertidos a una fase ulterior en el procedimiento, ya porque lo alegado entonces por el actor en defensa de la viabilidad de su recurso suscite problemas nuevos de cuya resolución dependa la decisión sobre la admisión, ya porque, en todo caso, se juzgue conveniente aguardar hasta el momento en que las actuaciones correspondientes obren ante este Tribunal (art. 51 de la Ley Orgánica de este Tribunal) para resolver -con una cognición más amplia y en favor, justamente, del mantenimiento con vida del recurso- sobre un problema de admisibilidad que muestre alguna complejidad peculiar".</w:t>
      </w:r>
    </w:p>
    <w:p w:rsidR="0025129F" w:rsidRDefault="0025129F" w:rsidP="0025129F">
      <w:pPr>
        <w:pStyle w:val="TextoNormal"/>
      </w:pPr>
    </w:p>
    <w:p w:rsidR="0025129F" w:rsidRDefault="0025129F" w:rsidP="0025129F">
      <w:pPr>
        <w:pStyle w:val="TextoNormal"/>
      </w:pPr>
      <w:r w:rsidRPr="0025129F">
        <w:rPr>
          <w:rStyle w:val="NumeroAFNegritaCaracter"/>
        </w:rPr>
        <w:t>4</w:t>
      </w:r>
      <w:r>
        <w:t>. Según se desprende con claridad del art. 53.2 CE, el recurso de amparo tiene un carácter subsidiario, y en esta naturaleza tiene origen la exigencia que, en el plano procedimental, establece el art. 44.1 a) LOTC, al requerir el agotamiento de todos los recursos utilizables en la vía judicial; expresión que este Tribunal ha entendido en el sentido de que, siempre que exista un recurso o remedio procesal susceptible de ser utilizado y adecuado por su carácter y naturaleza para tutelar el derecho o libertad que se entienda vulne</w:t>
      </w:r>
      <w:r>
        <w:lastRenderedPageBreak/>
        <w:t>rado, tal recurso ha de agotarse antes de acudir en vía constitucional (SSTC 61/1983, de 11 de julio, FJ 2; 204/1990, de 13 de diciembre, FJ 1; 73/1999, de 26 de abril, FJ 2; 71/2000, de 13 de marzo, FJ 3; 146/2001, de 18 de junio, FJ 3; 228/2001, de 26 de noviembre, FJ 3).</w:t>
      </w:r>
    </w:p>
    <w:p w:rsidR="0025129F" w:rsidRDefault="0025129F" w:rsidP="0025129F">
      <w:pPr>
        <w:pStyle w:val="TextoNormal"/>
      </w:pPr>
      <w:r>
        <w:t>Tal exigencia, lejos de constituir una formalidad vacía, supone, como ha afirmado reiteradamente este Tribunal, no sólo un elemento esencial para respetar la subsidiariedad del recurso de amparo, sino también, y en última instancia, para garantizar la correcta articulación entre este Tribunal y los órganos integrantes del Poder Judicial, a quienes primeramente corresponde la reparación de las posibles lesiones de derechos invocadas por los ciudadanos, de manera que la jurisdicción constitucional sólo puede intervenir una vez que, intentada dicha reparación, la misma no se ha producido, con agotamiento de la vía judicial (por todas, STC 284/2000, de 27 de noviembre, FJ 2).</w:t>
      </w:r>
    </w:p>
    <w:p w:rsidR="0025129F" w:rsidRDefault="0025129F" w:rsidP="0025129F">
      <w:pPr>
        <w:pStyle w:val="TextoNormal"/>
      </w:pPr>
      <w:r>
        <w:t>En este sentido tiene declarado este Tribunal que el incidente de nulidad de actuaciones, tras la reforma del art. 240 LOPJ operada por la Ley Orgánica 5/1997, de 4 de diciembre, se muestra como imprescindible en orden al cumplimiento de la previsión del art. 44.1 a) LOTC (STC 105/2001, de 23 de abril, FJ 3). Es preciso, pues, examinar si, como sostiene el Ministerio Fiscal, se dan los presupuestos de aplicación de la vía regulada en el precepto de referencia que, como consta en las actuaciones, no fue empleada por los hoy recurrentes.</w:t>
      </w:r>
    </w:p>
    <w:p w:rsidR="0025129F" w:rsidRDefault="0025129F" w:rsidP="0025129F">
      <w:pPr>
        <w:pStyle w:val="TextoNormal"/>
      </w:pPr>
    </w:p>
    <w:p w:rsidR="0025129F" w:rsidRDefault="0025129F" w:rsidP="0025129F">
      <w:pPr>
        <w:pStyle w:val="TextoNormal"/>
      </w:pPr>
      <w:r w:rsidRPr="0025129F">
        <w:rPr>
          <w:rStyle w:val="NumeroAFNegritaCaracter"/>
        </w:rPr>
        <w:t>5</w:t>
      </w:r>
      <w:r>
        <w:t>. En sus alegaciones los demandantes de amparo han argumentado que, al no haber sido emplazados en ningún momento, no fueron parte en el recurso contencioso-administrativo seguido ante el Tribunal Superior de Justicia de Cantabria ni en el posterior recurso de casación interpuesto por los demandados ante la Sala Tercera del Tribunal Supremo, por lo que entienden que, con ello, habrían quedado agotados todos los recursos judiciales utilizables. En particular manifiestan que el planteamiento del incidente de nulidad de actuaciones era imposible cuando la lesión procesal se produjo, pues dicho momento era el de la Sentencia de 16 de octubre de 1992, en el que, sin embargo, tal posibilidad estaba vedada por el art. 240 LOPJ, en su redacción anterior a la Ley Orgánica 5/1997. Además, y con invocación de la jurisprudencia de este Tribunal relativa a dicho artículo en su versión original, razonan que el planteamiento del incidente, una vez recaída Sentencia definitiva, constituye un recurso manifiestamente improcedente.</w:t>
      </w:r>
    </w:p>
    <w:p w:rsidR="0025129F" w:rsidRDefault="0025129F" w:rsidP="0025129F">
      <w:pPr>
        <w:pStyle w:val="TextoNormal"/>
      </w:pPr>
      <w:r>
        <w:t>Los argumentos de los demandantes de amparo no pueden ser compartidos en sus propios términos por este Tribunal. En primer lugar, el momento en que, en hipótesis, se habría podido plantear el incidente no sería, como afirman, el de la Sentencia de instancia, dictada el 16 de octubre de 1992, sino el del pronunciamiento de la suya por el Tribunal Supremo (22 de diciembre de 1997), resolviendo los recursos de casación planteados contra aquélla. Y es que uno de los presupuestos que hacen viable el planteamiento del incidente, según el art. 240.3 LOPJ, es que la Sentencia ponga fin al proceso y no sea susceptible de recurso en el que quepa reparar la indefensión sufrida. Evidentemente tales condiciones sólo pueden ser predicables, en este caso, de la Sentencia dictada por el Tribunal Supremo que puso fin definitivamente al proceso contencioso-administrativo, ya que la del Tribunal Superior de Justicia de Cantabria no era definitiva, por ser susceptible de recurso de casación, de conformidad con lo previsto en el art.  93.1 LJCA, en el cual, además, podría obtener remedio la indefensión ocasionada a los recurrentes a través de la invocación del motivo 3 del art.  95.1 de la misma Ley. Por consiguiente, la fecha a tomar en consideración es la de 22 de diciembre de 1997.</w:t>
      </w:r>
    </w:p>
    <w:p w:rsidR="0025129F" w:rsidRDefault="0025129F" w:rsidP="0025129F">
      <w:pPr>
        <w:pStyle w:val="TextoNormal"/>
      </w:pPr>
      <w:r>
        <w:lastRenderedPageBreak/>
        <w:t>Partiendo de esta premisa, ha de señalarse que la Ley Orgánica 5/1997, en la que se redactaba nuevamente el apartado 2 y se añadía un apartado 3 al art. 240 LOPJ, se publicó en el "Boletín Oficial del Estado" del día 5 de diciembre de 1997, produciéndose su entrada en vigor, de acuerdo con su Disposición final única, al día siguiente de tal publicación, es decir, el 6 de diciembre. Es más, la Disposición transitoria primera de la mencionada Ley dispuso la aplicación del art. 240, apartados 2 a 4, LOPJ, en su nueva redacción, a los procesos que hubiesen finalizado por resolución o Sentencia irrecurrible dentro del mes anterior a la promulgación de la Ley Orgánica. Por tanto, si la Sentencia del Tribunal Supremo que ha sido recurrida en amparo tiene fecha de 22 de diciembre de 1997, habiendo sido dictada ya bajo la vigencia de la Ley Orgánica 5/1997, resultaría exigible, a priori, la previa interposición del incidente de nulidad.</w:t>
      </w:r>
    </w:p>
    <w:p w:rsidR="0025129F" w:rsidRDefault="0025129F" w:rsidP="0025129F">
      <w:pPr>
        <w:pStyle w:val="TextoNormal"/>
      </w:pPr>
      <w:r>
        <w:t>Ahora bien, no se puede soslayar que, de acuerdo con el art. 240.3 LOPJ, en la redacción dada por la última Ley Orgánica citada, estaban legitimados para promover el incidente quienes fueran parte legítima en las actuaciones, habiendo ampliado esta legitimación la Ley Orgánica 13/1999, de 14 de mayo, a quienes hubieran debido ser parte, si bien, por obvias razones temporales, esta nueva regulación no se puede aplicar al supuesto que nos ocupa. Comoquiera que los demandantes de amparo no fueron parte, ni en el inicial recurso contencioso-administrativo, ni en el posterior recurso de casación, resulta altamente dudoso que, situados en un momento anterior a la Ley Orgánica 13/1999, les fuera exigible la interposición de dicho incidente.</w:t>
      </w:r>
    </w:p>
    <w:p w:rsidR="0025129F" w:rsidRDefault="0025129F" w:rsidP="0025129F">
      <w:pPr>
        <w:pStyle w:val="TextoNormal"/>
      </w:pPr>
      <w:r>
        <w:t>Pues bien, al existir dudas sobre la exigibilidad del incidente de nulidad de actuaciones a los recurrentes, por ser posible que carecieran de la imprescindible legitimación al efecto, hay que estar a la doctrina de este Tribunal, que ha entendido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y que, además, dada su naturaleza y finalidad, sean adecuados para reparar la lesión presuntamente sufrida (SSTC 84/1999, de 10 de mayo, FJ 2; 169/1999, de 27 de septiembre, FJ 3; 178/2000, de 26 de junio, FJ 3, entre otras). En definitiva, en la medida en que la procedencia del planteamiento del incidente de nulidad no queda determinada de manera clara y concluyente en el presente caso, no es admisible exigir a los demandantes de amparo su planteamiento con carácter previo a la utilización de la vía constitucional. Por las anteriores razones, ha de rechazarse la objeción procesal esgrimida por el Ministerio Fiscal.</w:t>
      </w:r>
    </w:p>
    <w:p w:rsidR="0025129F" w:rsidRDefault="0025129F" w:rsidP="0025129F">
      <w:pPr>
        <w:pStyle w:val="TextoNormal"/>
      </w:pPr>
    </w:p>
    <w:p w:rsidR="0025129F" w:rsidRDefault="0025129F" w:rsidP="0025129F">
      <w:pPr>
        <w:pStyle w:val="TextoNormal"/>
      </w:pPr>
      <w:r w:rsidRPr="0025129F">
        <w:rPr>
          <w:rStyle w:val="NumeroAFNegritaCaracter"/>
        </w:rPr>
        <w:t>6</w:t>
      </w:r>
      <w:r>
        <w:t>. Entrando ya en el examen del fondo de la demanda de amparo, la cuestión se centra en determinar si la falta de emplazamiento personal de los recurrentes produjo o no una lesión en su derecho a la tutela judicial efectiva.</w:t>
      </w:r>
    </w:p>
    <w:p w:rsidR="0025129F" w:rsidRDefault="0025129F" w:rsidP="0025129F">
      <w:pPr>
        <w:pStyle w:val="TextoNormal"/>
      </w:pPr>
      <w:r>
        <w:t>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Esta consideración impone a los órganos judiciales un especial deber de diligencia en la realización de los actos de comunicación procesal que asegure, en la medida de lo posible, su recepción por los destinatarios, dándoles así la oportunidad de defensa y evitando la indefensión (SSTC 77/1997, de 21 de abril, FJ 2; 268/2000, de 13 de noviembre, FJ 4).</w:t>
      </w:r>
    </w:p>
    <w:p w:rsidR="0025129F" w:rsidRDefault="0025129F" w:rsidP="0025129F">
      <w:pPr>
        <w:pStyle w:val="TextoNormal"/>
      </w:pPr>
      <w:r>
        <w:lastRenderedPageBreak/>
        <w:t>En relación con el deber de emplazamiento, este Tribunal ha afirmado reiteradamente que la efectividad de la comunicación de los actos procesales a quienes ostenten algún derecho o interés en la existencia misma del proceso resulta trascendental en orden a la debida garantía del derecho reconocido en el art. 24.1 CE (SSTC 186/1997, de 10 de noviembre, FJ 3; 26/1999, de 8 de marzo, FJ 3; 34/2001, de 12 de febrero,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personados en el proceso (STC 268/2000, de 13 de noviembre, FJ 4).</w:t>
      </w:r>
    </w:p>
    <w:p w:rsidR="0025129F" w:rsidRDefault="0025129F" w:rsidP="0025129F">
      <w:pPr>
        <w:pStyle w:val="TextoNormal"/>
      </w:pPr>
      <w:r>
        <w:t>Como hemos expuesto de manera sintetizada, entre otras, en las SSTC 72/1999, de 26 de abril, FJ 2, y 91/2001, de 2 de abril, FJ 4, para que la falta de emplazamiento tenga relevancia constitucional, y pueda dar lugar al otorgamiento del amparo, es preciso el cumplimiento de tres requisitos:</w:t>
      </w:r>
    </w:p>
    <w:p w:rsidR="0025129F" w:rsidRDefault="0025129F" w:rsidP="0025129F">
      <w:pPr>
        <w:pStyle w:val="TextoNormal"/>
      </w:pPr>
      <w:r>
        <w:t>a) Que el demandante de amparo sea titular de un derecho o de un interés legítimo y propio, susceptible de afección por los efectos que produzca la resolución dictada en el proceso; la situación de interés legítimo resulta identificable con cualquier ventaja o utilidad jurídica (SSTC 97/1991, de 9 de mayo, FJ 2 y 264/1994, de 3 de octubre, FJ 3). En todo caso, hay que destacar que la titularidad del derecho o interés legítimo debe darse al tiempo de la iniciación del proceso contencioso-administrativo (SSTC 65/1994, de 28 de febrero, FJ 3; 90/1996, de 27 de mayo, FJ 2, y 122/1998, de 15 de junio, FJ 3).</w:t>
      </w:r>
    </w:p>
    <w:p w:rsidR="0025129F" w:rsidRDefault="0025129F" w:rsidP="0025129F">
      <w:pPr>
        <w:pStyle w:val="TextoNormal"/>
      </w:pPr>
      <w:r>
        <w:t>b) Que se haya ocasionado una situación de indefensión real y efectiva del recurrente. No hay indefensión real y efectiva cuando el interesado tiene conocimiento extraprocesal del asunto y, por su propia falta de diligencia, no se persona en la causa (SSTC 117/1983, de 12 de diciembre, FJ 3; 74/1984, de 27 de junio, FJ 2; 97/1991, de 9 de mayo, FJ 4; 264/1994, de 3 de octubre, FJ 5, y 229/1997, de 12 de diciembre, FJ 3).</w:t>
      </w:r>
    </w:p>
    <w:p w:rsidR="0025129F" w:rsidRDefault="0025129F" w:rsidP="0025129F">
      <w:pPr>
        <w:pStyle w:val="TextoNormal"/>
      </w:pPr>
      <w:r>
        <w:t>c) Por último, que el interesado sea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0025129F" w:rsidRDefault="0025129F" w:rsidP="0025129F">
      <w:pPr>
        <w:pStyle w:val="TextoNormal"/>
      </w:pPr>
    </w:p>
    <w:p w:rsidR="0025129F" w:rsidRDefault="0025129F" w:rsidP="0025129F">
      <w:pPr>
        <w:pStyle w:val="TextoNormal"/>
      </w:pPr>
      <w:r w:rsidRPr="0025129F">
        <w:rPr>
          <w:rStyle w:val="NumeroAFNegritaCaracter"/>
        </w:rPr>
        <w:t>7</w:t>
      </w:r>
      <w:r>
        <w:t>. A la luz de la doctrina expuesta hemos de examinar si en el supuesto objeto del recurso de amparo concurren los requisitos precisos para poder estimar existente una vulneración del derecho fundamental a la tutela judicial efectiva.</w:t>
      </w:r>
    </w:p>
    <w:p w:rsidR="0025129F" w:rsidRDefault="0025129F" w:rsidP="0025129F">
      <w:pPr>
        <w:pStyle w:val="TextoNormal"/>
      </w:pPr>
      <w:r>
        <w:t xml:space="preserve">Como consta en las actuaciones, los demandantes de amparo adquirieron durante los años 1991 y 1992 parte de las viviendas construidas en virtud de la licencia de obras concedida en febrero de 1988 por el Ayuntamiento de Santander, que fue declarada nula por Sentencia de la Sala de lo Contencioso-Administrativo del Tribunal Superior de Justicia de Cantabria de 16 de octubre de 1992, posteriormente confirmada en casación por la Sala Tercera del Tribunal Supremo, mediante Sentencia de 22 de diciembre de 1997. A la vista de estos datos no puede negarse que los recurrentes, a medida que fueron adquiriendo la propiedad de las viviendas, asumieron un derecho subjetivo afectado por el objeto del proceso en trámite, en cuanto que en éste se ventilaba nada menos que la legalidad de la licencia en cuya virtud fueron construidas las expresadas viviendas, cuya anulación produciría un efecto especialmente negativo respecto de sus intereses. Consiguientemente, se puede entender, como se dijo en la STC 192/1997, de 11 de noviembre, FJ 4, para un supuesto similar, que los actores ostentaban un interés directo, propio y específico, por ser </w:t>
      </w:r>
      <w:r>
        <w:lastRenderedPageBreak/>
        <w:t>los adquirentes de las viviendas cuya demolición se había de producir en virtud de la decisión judicial. Y todo ello sin que hubiesen podido tener participación en ninguna de las dos instancias en las que se sustanció el proceso.</w:t>
      </w:r>
    </w:p>
    <w:p w:rsidR="0025129F" w:rsidRDefault="0025129F" w:rsidP="0025129F">
      <w:pPr>
        <w:pStyle w:val="TextoNormal"/>
      </w:pPr>
      <w:r>
        <w:t>Por otra parte, las actuaciones judiciales y administrativas remitidas no muestran datos concluyentes ni simples indicios que permitan deducir la carencia o insuficiencia de diligencia por parte de los demandantes de amparo para conocer extraprocesalmente la existencia del pleito que amenazaba a sus propiedades, con objeto de personarse en él en momento oportuno para ello. Ante las circunstancias del caso, cabe admitir como posible que el recurso contencioso-administrativo se iniciara y continuara su tramitación, hasta su conclusión definitiva, sin conocimiento de los recurrentes, con ocultación de esta situación, incluso, por parte de la empresa inmobiliaria que les transmitió las viviendas, pese a encontrarse personada en el proceso como demandada.  Por lo demás, y como dijimos en la STC 178/2000, de 26 de junio, FJ 6, no se puede exigir a quien alega indefensión la prueba de su diligencia, dado que existe en principio una presunción de desconocimiento del pleito.</w:t>
      </w:r>
    </w:p>
    <w:p w:rsidR="0025129F" w:rsidRDefault="0025129F" w:rsidP="0025129F">
      <w:pPr>
        <w:pStyle w:val="TextoNormal"/>
      </w:pPr>
    </w:p>
    <w:p w:rsidR="0025129F" w:rsidRDefault="0025129F" w:rsidP="0025129F">
      <w:pPr>
        <w:pStyle w:val="TextoNormal"/>
      </w:pPr>
      <w:r w:rsidRPr="0025129F">
        <w:rPr>
          <w:rStyle w:val="NumeroAFNegritaCaracter"/>
        </w:rPr>
        <w:t>8</w:t>
      </w:r>
      <w:r>
        <w:t>. Resta examinar, por tanto, si la actuación de los órganos judiciales fue correcta desde la perspectiva del derecho fundamental a la tutela judicial efectiva. En efecto, las consideraciones expuestas en el fundamento jurídico anterior respecto a la afección de un derecho sobrevenido de los recurrentes no son suficientes para determinar la exigencia de su emplazamiento en el recurso contencioso-administrativo. Este Tribunal ha dicho (entre otras, SSTC 65/1994, de 28 de febrero, FJ 3; 192/1997, de 11 de noviembre, FJ 5) que no basta con ostentar un interés legítimo para hacer exigible la citación a juicio, sino que es necesario que tal circunstancia conste en el expediente administrativo y pueda ser conocida por la Sala. En concreto, hemos afirmado en la referida Sentencia que la obligación de emplazar personalmente se refiere únicamente a quienes constan en las actuaciones judiciales o en el expediente administrativo como titulares de derechos o intereses legítimos y, por tanto, no se extiende a los que, después de haberse resuelto éste e iniciado el proceso contencioso, adquieren fuera de él la antedicha cualidad en virtud de actos posteriores. 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w:t>
      </w:r>
    </w:p>
    <w:p w:rsidR="0025129F" w:rsidRDefault="0025129F" w:rsidP="0025129F">
      <w:pPr>
        <w:pStyle w:val="TextoNormal"/>
      </w:pPr>
      <w:r>
        <w:t xml:space="preserve">En el caso presente, no constaba en el expediente administrativo ninguna referencia a los ahora recurrentes, ni tampoco existía esa referencia cuando se inicia el proceso judicial, figurando tan sólo la inmobiliaria demandada y la persona que transmitió a ésta la parcela sobre la que se levantó la construcción. Es más, esta ausencia de mención de los demandantes de amparo se mantiene durante toda la sustanciación del procedimiento judicial, tanto ante la Audiencia Territorial de Burgos y el Tribunal Superior de Justicia de Cantabria, como en el recurso de casación seguido ante el Tribunal Supremo. La primera referencia sobre ellos aparece en el año 1998, cuando se insta la ejecución de la Sentencia definitiva y el Ayuntamiento de Santander remite a la Sala de lo Contencioso- Administrativo las resoluciones dirigidas a los distintos propietarios requiriéndoles para la demolición de las viviendas construidas en virtud de la licencia declarada nula, y éstos se personan como parte interesada en el trámite de ejecución. En suma, y como ellos mismos reconocen, los recurrentes adquirieron sus derechos con posterioridad a la iniciación del proceso </w:t>
      </w:r>
      <w:r>
        <w:lastRenderedPageBreak/>
        <w:t>judicial y fueron absolutamente ajenos al procedimiento administrativo en el que fue dictado el Acuerdo municipal recurrido en vía contencioso-administrativa.</w:t>
      </w:r>
    </w:p>
    <w:p w:rsidR="0025129F" w:rsidRDefault="0025129F" w:rsidP="0025129F">
      <w:pPr>
        <w:pStyle w:val="TextoNormal"/>
      </w:pPr>
      <w:r>
        <w:t>Así pues, y teniendo en cuenta la doctrina constitucional anteriormente expuesta, la Sala de lo Contencioso-Administrativo de la Audiencia Territorial de Burgos (que fue la que intervino en el momento inicial del proceso) actuó en consonancia con las exigencias que derivan del art. 24.1 CE, y en cumplimiento estricto del deber de promover la defensa de quienes pudieran verse afectados por la decisión que se adoptara, sin que le fuera exigible la realización de investigaciones para indagar la existencia de otros posibles afectados. Es de reseñar, incluso, que, a los efectos de la salvaguarda del derecho a la tutela judicial efectiva, se ha aceptado por el Tribunal Superior de Justicia de Cantabria la personación de los recurrentes en el trámite de ejecución de la Sentencia y, a la vista de ésta, se ha paralizado la orden de demolición de las viviendas para evitar perjuicios irreparables.</w:t>
      </w:r>
    </w:p>
    <w:p w:rsidR="0025129F" w:rsidRDefault="0025129F" w:rsidP="0025129F">
      <w:pPr>
        <w:pStyle w:val="TextoNormal"/>
      </w:pPr>
      <w:r>
        <w:t>Tampoco cabe apreciar vulneración del derecho a la tutela judicial efectiva en las actuaciones seguidas ante el Tribunal Supremo, pues el art.  97 LJCA, a la sazón vigente, sólo obligaba a emplazar a quienes hubieran sido parte en el proceso previo en el que hubiese recaído la Sentencia impugnada en casación, condición que no ostentaban los solicitantes de amparo, a los que, como se ha visto, no existió el deber judicial de citar personalmente.</w:t>
      </w:r>
    </w:p>
    <w:p w:rsidR="0025129F" w:rsidRDefault="0025129F" w:rsidP="0025129F">
      <w:pPr>
        <w:pStyle w:val="TextoNormal"/>
      </w:pPr>
      <w:r>
        <w:t>En consecuencia, se constata que la actuación de los órganos judiciales que dictaron las Sentencias recurridas ha sido, no sólo procesalmente correcta, sino incontestable desde la perspectiva de la tutela judicial, por lo que el amparo carece de fundamento para prosperar.</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2" w:name="SENTENCIA_2002_19"/>
      <w:r>
        <w:lastRenderedPageBreak/>
        <w:t>SENTENCIA 19/2002, de 28 de enero de 2002</w:t>
      </w:r>
    </w:p>
    <w:bookmarkEnd w:id="22"/>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ECLI:ES:TC:2002:19</w:t>
      </w:r>
    </w:p>
    <w:p w:rsidR="0025129F" w:rsidRDefault="0025129F" w:rsidP="0025129F">
      <w:pPr>
        <w:pStyle w:val="SntesisDescriptiva"/>
      </w:pPr>
    </w:p>
    <w:p w:rsidR="0025129F" w:rsidRDefault="0025129F" w:rsidP="0025129F">
      <w:pPr>
        <w:pStyle w:val="SntesisDescriptiva"/>
      </w:pPr>
      <w:r>
        <w:t>Recurso de amparo 4321/98. Promovido por Metrópolis, S.A., frente a la Sentencia y al Auto de aclaración dictados por la Audiencia Provincial de Murcia en una causa sobre imprudencia temeraria por accidente de tráfico, que confirmaron su condena como responsable civil directo.</w:t>
      </w:r>
    </w:p>
    <w:p w:rsidR="0025129F" w:rsidRDefault="0025129F" w:rsidP="0025129F">
      <w:pPr>
        <w:pStyle w:val="SntesisDescriptiva"/>
      </w:pPr>
    </w:p>
    <w:p w:rsidR="0025129F" w:rsidRDefault="0025129F" w:rsidP="0025129F">
      <w:pPr>
        <w:pStyle w:val="SntesisAnaltica"/>
      </w:pPr>
      <w:r>
        <w:t>Supuesta vulneración del derecho a la tutela judicial efectiva sin indefensión: falta de legitimación de una compañía de seguros para interponer recurso de apelación, dentro de los límites del seguro obligatorio; valoración de daños conforme al baremo legal.</w:t>
      </w:r>
    </w:p>
    <w:p w:rsidR="0025129F" w:rsidRDefault="0025129F" w:rsidP="0025129F">
      <w:pPr>
        <w:pStyle w:val="SntesisAnaltica"/>
      </w:pPr>
    </w:p>
    <w:p w:rsidR="0025129F" w:rsidRDefault="0025129F" w:rsidP="0025129F">
      <w:pPr>
        <w:pStyle w:val="Extracto"/>
      </w:pPr>
      <w:r>
        <w:t>1.</w:t>
      </w:r>
      <w:r>
        <w:tab/>
        <w:t>El sistema de valoración de daños previstos en el anexo de la Ley 30/1995 en modo alguno interfiere en el adecuado ejercicio de la potestad jurisdiccional ( SSTC 181/2000, 21/2001) [FJ 4].</w:t>
      </w:r>
    </w:p>
    <w:p w:rsidR="0025129F" w:rsidRDefault="0025129F" w:rsidP="0025129F">
      <w:pPr>
        <w:pStyle w:val="Extracto"/>
      </w:pPr>
    </w:p>
    <w:p w:rsidR="0025129F" w:rsidRDefault="0025129F" w:rsidP="0025129F">
      <w:pPr>
        <w:pStyle w:val="Extracto"/>
      </w:pPr>
      <w:r>
        <w:t>2.</w:t>
      </w:r>
      <w:r>
        <w:tab/>
        <w:t>En los supuestos de seguro obligatorio, en los que las compañías aseguradoras tienen únicamente la condición de fiadores ex lege, existe una suficiente dación de conocimiento de la existencia del proceso y, por tanto, oportunidad de intervenir en el mismo, cuando aquéllas son requeridas y prestan fianza conforme a lo dispuesto en el art. 784.5 LECrim (SSTC 114/1988, 114/1996) [FJ 3].</w:t>
      </w:r>
    </w:p>
    <w:p w:rsidR="0025129F" w:rsidRDefault="0025129F" w:rsidP="0025129F">
      <w:pPr>
        <w:pStyle w:val="Extracto"/>
      </w:pPr>
    </w:p>
    <w:p w:rsidR="0025129F" w:rsidRDefault="0025129F" w:rsidP="0025129F">
      <w:pPr>
        <w:pStyle w:val="Extracto"/>
      </w:pPr>
      <w:r>
        <w:t>3.</w:t>
      </w:r>
      <w:r>
        <w:tab/>
        <w:t>Para condenar a una compañía aseguradora como responsable civil, directa o subsidiaria, es en todo caso necesaria la audiencia de la misma, salvo que no exista oposición alguna, aunque el alcance del derecho de contradicción puede ser limitado al peculiar objeto indemnizatorio o de resarcimiento [FJ 2].</w:t>
      </w:r>
    </w:p>
    <w:p w:rsidR="0025129F" w:rsidRDefault="0025129F" w:rsidP="0025129F">
      <w:pPr>
        <w:pStyle w:val="Extracto"/>
      </w:pPr>
    </w:p>
    <w:p w:rsidR="0025129F" w:rsidRDefault="0025129F" w:rsidP="0025129F">
      <w:pPr>
        <w:pStyle w:val="Extracto"/>
      </w:pPr>
      <w:r>
        <w:t>4.</w:t>
      </w:r>
      <w:r>
        <w:tab/>
        <w:t>En todo proceso judicial debe respetarse el derecho a la defensa contradictoria de las partes contendientes, sin que pueda justificarse la resolución judicial inaudita parte más que en el caso de incomparecencia por voluntad expresa o tácita, o por negligencia imputable a la parte que pretende hacer valer dicho derecho fundamental (SSTC 112/1987, 77/2001) [FJ 1].</w:t>
      </w:r>
    </w:p>
    <w:p w:rsidR="0025129F" w:rsidRDefault="0025129F" w:rsidP="0025129F">
      <w:pPr>
        <w:pStyle w:val="Extracto"/>
      </w:pPr>
    </w:p>
    <w:p w:rsidR="0025129F" w:rsidRDefault="0025129F" w:rsidP="0025129F">
      <w:pPr>
        <w:pStyle w:val="Extracto"/>
      </w:pPr>
      <w:r>
        <w:t>5.</w:t>
      </w:r>
      <w:r>
        <w:tab/>
        <w:t>Derecho a la tutela judicial efectiva en su vertiente de derecho a obtener de los Jueces y Tribunales una resolución razonada y fundada en Derecho [FJ 1].</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4321/98, promovido por Metrópolis, S.A., Compañía Nacional de Seguros y Reaseguros, representada por el Procurador de los Tribunales don José Manuel Villasante García y asistida por el Abogado don Luis Antonio Saiz García, contra la Sentencia dictada por la Sección Cuarta de la Audiencia Provincial de Murcia el 12 de septiembre de 1998 y contra el Auto del mismo órgano judicial de 29 de septiembre de 1998, en causa seguida por imprudencia temeraria con resultado de lesiones. Ha intervenido el Ministerio Fiscal y ha sido Ponente el Magistrado don Eugeni Gay Montalvo,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17 de octubre de 1998 el Procurador de los Tribunales don José Manuel Villasante García, en nombre y representación de Metrópolis, S.A., Compañía Nacional de Seguros y Reaseguros, interpuso demanda de amparo constitucional contra la Sentencia dictada por la Sección Cuarta de la Audiencia Provincial de Murcia de 12 de septiembre de 1998 y contra el Auto de la misma Sección de 29 de septiembre de 1998, recaído en aclaración de Sentencia, dictados ambos en el rollo de apelación 121/98, en autos de procedimiento abreviado núm. 83/96 seguido por imprudencia temeraria dimanante de accidente de tránsito.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que se fundamenta la demanda son, sucintamente expuestos, los siguientes: </w:t>
      </w:r>
    </w:p>
    <w:p w:rsidR="0025129F" w:rsidRDefault="0025129F" w:rsidP="0025129F">
      <w:pPr>
        <w:pStyle w:val="TextoNormal"/>
      </w:pPr>
      <w:r>
        <w:t xml:space="preserve">a) Como consecuencia de un accidente de tráfico, en el que su causante, "debido a la excesiva velocidad a la que circulaba, a que estaba lloviendo y a la disminución de sus facultades psicofísicas por las bebidas alcohólicas anteriormente ingeridas" perdió el control de vehículo que conducía, produciendo el atropello de tres personas y arrollando un ciclomotor, se incoaron diligencias previas núm. 303/96 seguidas por el Juzgado de Instrucción núm. 2 de Molina de Segura, en las que se acreditó la existencia de póliza de seguro de responsabilidad civil que amparaba al vehículo causante del siniestro, suscrita con la entidad ahora demandante. En su calidad de responsable civil directa, la actora afianzó en diferentes ocasiones el abono de las cantidades a las que, en su caso, pudiere en el futuro ser condenada, ingresando a tal efecto en la cuenta de consignaciones del Juzgado diversas cantidades, siendo emplazada por el Juzgado para que se personase en autos en fecha 14 de enero de 1997, constituyéndose la entidad aseguradora en parte en el procedimiento mediante escrito de fecha 11 de febrero de 1997 y admitiéndose su personación mediante providencia de18 de febrero de 1997. </w:t>
      </w:r>
    </w:p>
    <w:p w:rsidR="0025129F" w:rsidRDefault="0025129F" w:rsidP="0025129F">
      <w:pPr>
        <w:pStyle w:val="TextoNormal"/>
      </w:pPr>
      <w:r>
        <w:t xml:space="preserve">b) Avanzando la tramitación de la causa, se le dio traslado de los escritos de las partes acusadoras, contestando a éstos mediante escrito de conclusiones provisionales de fecha 6 de junio de 1997, en el que señalaba que no procedía la responsabilidad civil subsidiaria </w:t>
      </w:r>
      <w:r>
        <w:lastRenderedPageBreak/>
        <w:t xml:space="preserve">de Metrópolis al figurar como supuesto de exclusión de cobertura las consecuencias que tengan lugar por la conducción bajo los efectos de bebidas alcohólicas o sustancias tóxicas. Citada al juicio oral, en el que defendió su pretensiones, se dictó Sentencia de fecha 20 de marzo de 1998 por el Juzgado de lo Penal núm. 3 de Murcia, condenándose al conductor del turismo, como autor responsable de un delito de imprudencia temeraria con resultado de lesiones, a la pena de dos meses de arresto mayor, privación del permiso de conducir por tiempo de un año y al pago de diversas indemnizaciones a los lesionados. El fallo señaló, además, que "de dicha indemnización responderá como responsable civil directo la Compañía Metrópolis, S.A." </w:t>
      </w:r>
    </w:p>
    <w:p w:rsidR="0025129F" w:rsidRDefault="0025129F" w:rsidP="0025129F">
      <w:pPr>
        <w:pStyle w:val="TextoNormal"/>
      </w:pPr>
      <w:r>
        <w:t xml:space="preserve">c) La entidad recurrente, además de dos de los perjudicados, interpuso frente a la anterior Sentencia recurso de apelación, que fue tenido por interpuesto por el Juzgado de lo Penal, y que se resolvió por Sentencia de la Sección Cuarta de la Audiencia Provincial de Murcia, de 12 de septiembre de 1998, que desestimó el recurso interpuesto por ella al estimar que, a pesar de haber intervenido en la primera instancia, carecía de legitimación activa en el proceso, en virtud de lo dispuesto en el art. 784.5 LECrim, ya que las indemnizaciones reconocidas quedaban incluidas en los límites del seguro obligatorio. Sí estimó parcialmente, en cambio, el recurso interpuesto por los perjudicados, por lo que incrementó el importe de las indemnizaciones a cargo de la aseguradora, así como el pago por parte de ésta de los intereses legales sobre dicho importe. </w:t>
      </w:r>
    </w:p>
    <w:p w:rsidR="0025129F" w:rsidRDefault="0025129F" w:rsidP="0025129F">
      <w:pPr>
        <w:pStyle w:val="TextoNormal"/>
      </w:pPr>
      <w:r>
        <w:t>d) La entidad recurrente solicitó aclaración de tal Sentencia por escrito de fecha 24 de septiembre de 1998, en el que no discutía el aspecto relativo a su legitimación, sino el monto de las indemnizaciones acordadas, que consideraba no ajustadas al baremo de indemnización del daño personal contenido en la Ley sobre responsabilidad civil y seguro en la circulación de vehículos a motor. Por Auto de 29 de septiembre de 1998 la Sala declaró no haber lugar a la aclaración.</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Aduce la actora que la Sentencia impugnada es contraria al derecho fundamental a la tutela judicial efectiva consagrado en el art. 24.1 CE. Se alega en la demanda de amparo que, al haberle negado legitimación para ser parte en el recurso de apelación, se le está privando del derecho a defenderse en este recurso a pesar de haber sido condenada como parte principal en primera instancia, lo que determina a su vez que se le niegue su derecho al recurso. Por otra parte se considera que la Sentencia recurrida, al haber apreciado la falta de legitimación para recurrir en el recurso de apelación cuando esta legitimación le había sido reconocida en instancia, es arbitraria. En su opinión tal conducta no resulta coherente con la seguida en los anteriores trámites procesales. </w:t>
      </w:r>
    </w:p>
    <w:p w:rsidR="0025129F" w:rsidRDefault="0025129F" w:rsidP="0025129F">
      <w:pPr>
        <w:pStyle w:val="TextoNormal"/>
      </w:pPr>
      <w:r>
        <w:t xml:space="preserve">Se alega, también, que el Juzgado de lo Penal efectuó una incorrecta aplicación del baremo de carácter vinculante en la determinación del importe de las indemnizaciones a los lesionados, establecido en el Anexo de la Ley sobre responsabilidad civil y seguro en la circulación de vehículos a motor, y que la Audiencia Provincial, al no haber reconocido legitimación para recurrir en apelación a la entidad ahora demandante de amparo, no corrigió esa pretendida infracción, lo que, a su juicio, le ocasionó indefensión, vulnerándole su derecho a la tutela judicial efectiva. </w:t>
      </w:r>
    </w:p>
    <w:p w:rsidR="0025129F" w:rsidRDefault="0025129F" w:rsidP="0025129F">
      <w:pPr>
        <w:pStyle w:val="TextoNormal"/>
      </w:pPr>
      <w:r>
        <w:t>Por otrosí solicita la suspensión de la ejecución de las resoluciones judiciales impugnadas.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Sala Segunda, por providencia de 21 de noviembre de 2000, acordó admitir a trámite la demanda de amparo y, en virtud de lo dispuesto en el art. 51 LOTC, dirigir comunicación a la Sección Cuarta de la Audiencia Provincial de Murcia y al Juzgado de lo </w:t>
      </w:r>
      <w:r>
        <w:lastRenderedPageBreak/>
        <w:t>Penal núm. 3 de Murcia, para que, en un plazo de diez días, remitiesen certificación o fotocopia adverada de las actuaciones correspondientes, debiendo previamente emplazar a los que hubieran sido parte en el procedimiento, con excepción de la recurrente de amparo, para que, si lo deseaban, en el plazo de diez días, pudieran comparecer en el presente proceso.</w:t>
      </w:r>
    </w:p>
    <w:p w:rsidR="0025129F" w:rsidRDefault="0025129F" w:rsidP="0025129F">
      <w:pPr>
        <w:pStyle w:val="TextoNormal"/>
      </w:pPr>
    </w:p>
    <w:p w:rsidR="0025129F" w:rsidRDefault="0025129F" w:rsidP="0025129F">
      <w:pPr>
        <w:pStyle w:val="TextoNormal"/>
      </w:pPr>
      <w:r w:rsidRPr="0025129F">
        <w:rPr>
          <w:rStyle w:val="NumeroAFNegritaCaracter"/>
        </w:rPr>
        <w:t>5</w:t>
      </w:r>
      <w:r>
        <w:t>. Por otra providencia de la misma fecha la Sala Segunda acordó formar la oportuna pieza separada de suspensión. Por Auto de 18 de diciembre de 2000 la Sala acordó no haber lugar a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6</w:t>
      </w:r>
      <w:r>
        <w:t>. Una vez recibidas las actuaciones judiciales, por diligencia de ordenación de la Secretaría de la Sala Segunda de 15 de febrero de 2001, se acordó dar vista de las mismas a la parte recurrente y al Ministerio Fiscal por un plazo común de veinte días, dentro de los cuales podrían presentar las alegaciones que estimaran pertinentes,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escrito, registrado el 15 de marzo de 2001, el Procurador Sr. Villasante García viene a reiterar las alegaciones contenidas en la demanda de amparo, insistiendo en la petición de concesión del amparo pedido a la vista de la STC 181/2000, de 29 de junio, que resuelve sobre la obligatoriedad del "baremo de tráfico".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Fiscal ante el Tribunal Constitucional, mediante escrito también registrado el 15 de marzo de 2001, evacua el trámite conferido. En el mismo interesa se dicte Sentencia otorgando el amparo. Señala al respecto, en síntesis que, aun cuando tanto los conceptos como el monto de las cantidades a que ha sido condenada a abonar a los perjudicados como responsable civil directo, están comprendidas dentro de los límites del seguro obligatorio establecidos legalmente, podría apreciarse en el presente caso un menoscabo en la segunda instancia de las garantías procesales de la entidad actora como consecuencia de la decisión de la Audiencia Provincial de declarar mal admitido el recurso de apelación, habiendo sido no obstante parte en la sustanciación de la primera instancia ante el Juzgado de lo Penal. </w:t>
      </w:r>
    </w:p>
    <w:p w:rsidR="0025129F" w:rsidRDefault="0025129F" w:rsidP="0025129F">
      <w:pPr>
        <w:pStyle w:val="TextoNormal"/>
      </w:pPr>
      <w:r>
        <w:t xml:space="preserve">Así, señala que la doctrina de este Tribunal sobre la intervención de las compañías aseguradoras en los procesos penales, en particular en relación con el seguro obligatorio del automóvil (SSTC 48/1984, 114/1988, 57/1991 y ATC 327/1991), viene considerando suficiente para estimar cumplidas las exigencias del art. 24 CE la oportunidad procesal que a las compañías aseguradoras confiere el art. 784.5, núm. 5 LECrim. No obstante, dice, esta doctrina general reflejada en las resoluciones citadas parece referirse a supuestos concretos en los que, con toda claridad, quedarían deslindados los respectivos regímenes del seguro obligatorio y del seguro voluntario; o, lo que es igual, parecen atender aquellos casos en los que desde un inicio no se discute el ámbito de las correspondientes coberturas de ambos tipos de seguro. Sin embargo lo que acontece en el presente caso no es exactamente ese mismo supuesto de hecho, ya que, concurriendo en la misma entidad la doble condición de asegurador obligatorio y voluntario -como habitualmente sucede-, no resulta dilucidado en cuál de esos dos conceptos interviene en el proceso y, por lo tanto, si posee facultad para discutir exclusivamente sobre la obligación de afianzamiento (seguro obligatorio), o además sobre la cuantía de las indemnizaciones reconocidas (seguro voluntario). </w:t>
      </w:r>
    </w:p>
    <w:p w:rsidR="0025129F" w:rsidRDefault="0025129F" w:rsidP="0025129F">
      <w:pPr>
        <w:pStyle w:val="TextoNormal"/>
      </w:pPr>
      <w:r>
        <w:lastRenderedPageBreak/>
        <w:t xml:space="preserve">Examinando las actuaciones no aparece ninguna referencia en los autos a cuál sea la concreta condición en virtud de la que se convoca a la compañía aseguradora. Así, se afianzan diversas cantidades en la cuenta de consignaciones del Juzgado, sin que pueda afirmarse en ese momento que las mismas vayan a ser parte integrante, o incluso el total, de futuras indemnizaciones comprendidas en los límites del seguro obligatorio, o bien, excediendo de éstos, se hayan de incluir en la cobertura del seguro voluntario. Se presenta escrito al Juzgado solicitando la personación de la compañía en su condición de responsable civil directa, sin que se haga mención alguna al título inicial del que deriva dicha responsabilidad, esto es, al seguro obligatorio o al voluntario. El Juzgado admite la personación de la entidad como "responsable civil directa", y en esa misma cualidad le da traslado de la calificación de las partes acusadoras; le convoca a juicio y finalmente le condena en la Sentencia al abono de determinadas cantidades, sin que en ningún caso se haga referencia o se distinga su cualidad de asegurador obligatorio o voluntario. Además de todo ello ha de resaltarse que no es hasta el momento en que se dicta la Sentencia condenatoria por parte del Juzgado de lo Penal cuando se conoce con precisión a qué cobertura afectan las indemnizaciones reconocidas, pues no es hasta ese tiempo cuando se puede comprobar si aquéllas superan o no los límites legales del aseguramiento obligatorio. Precisamente esta es la base de la que parte la Sentencia ahora impugnada, cuando en el último inciso de su primer fundamento de derecho, señala que: "En consecuencia, la Entidad aseguradora Metrópolis, S.L., pese a habérsele dado intervención en la primera instancia del proceso carece de la legitimación necesaria para oponerse por sí a la Sentencia que únicamente le afecta en su concepto de asegurador por seguro obligatorio". Es decir, que para el Tribunal de apelación la decisión de la primera instancia es la que determina la falta de legitimación de esa parte procesal, con lo que en definitiva hace depender de una resolución no firme las consecuencias de inadmisión de un ulterior recurso que ante el propio Tribunal se plantea. </w:t>
      </w:r>
    </w:p>
    <w:p w:rsidR="0025129F" w:rsidRDefault="0025129F" w:rsidP="0025129F">
      <w:pPr>
        <w:pStyle w:val="TextoNormal"/>
      </w:pPr>
      <w:r>
        <w:t xml:space="preserve">A juicio del Fiscal la conclusión así obtenida conduce al absurdo, en cuanto habiendo admitido un órgano judicial la legitimación de una de las partes, dictando para ello una providencia -firme- en virtud de la cual se tiene por personada a la compañía aseguradora, ésta se ve privada de la segunda instancia después de haber participado en todos los trámites anteriores del proceso en la confianza de su no discutida legitimación; con lo que, en definitiva, una vez constituida válidamente una concreta relación jurídico-procesal, que ninguna parte ha recurrido, se rechaza de forma sorpresiva tal relación, sin dar opción alguna a la entidad afectada para que pueda, en su caso, oponerse a ello. Por todo lo cual, a juicio del Fiscal, no parecen ajustarse a los postulados constitucionales que interpretan el derecho a la tutela judicial efectiva aquellas decisiones que, como la aquí impugnada, se pronuncian sobre un extremo que no le era dado conocer a la parte al inicio de la instrucción del procedimiento, cual era el de su concurrencia al proceso como asegurador obligatorio o voluntario, pues lo único de lo que pudo tener constancia fue de su condición de responsable civil directo; y, desde esta perspectiva, no le puede ser exigible que actúe en la causa de forma diversa a como lo hizo, máxime cuando los órganos judiciales de instancia (Juzgado de Instrucción y Juzgado de lo Penal) validaron sucesivamente esa actuación. </w:t>
      </w:r>
    </w:p>
    <w:p w:rsidR="0025129F" w:rsidRDefault="0025129F" w:rsidP="0025129F">
      <w:pPr>
        <w:pStyle w:val="TextoNormal"/>
      </w:pPr>
      <w:r>
        <w:t xml:space="preserve">En conclusión, el Ministerio Fiscal estima que a la entidad aseguradora, en su cualidad de responsable civil directa, se le ha privado de la tutela judicial efectiva, por lo que interesa se dicte Sentencia otorgando el amparo, reconociendo la vulneración de tal derecho, y, en consecuencia, declarando la nulidad de las resoluciones judiciales dictadas por la Audiencia Provincial de Murcia y retrotrayendo las actuaciones al momento anterior a </w:t>
      </w:r>
      <w:r>
        <w:lastRenderedPageBreak/>
        <w:t>dictar Sentencia para que, admitiendo la legitimación de la entidad aseguradora en la segunda instancia, se resuelva el recurso interpuesto.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24 de enero 2002, se señaló para la deliberación y votación de la presente Sentencia, el día 28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finalidad del presente recurso de amparo exige determinar si, como propugna la entidad aseguradora recurrente y señala el Ministerio Fiscal, en las resoluciones judiciales dictadas por la Audiencia Provincial de Murcia y reseñadas en los antecedentes se ha vulnerado su derecho a obtener tutela judicial efectiva, sin indefensión, al habérsele negado legitimación para ser parte en la apelación de manera arbitraria.</w:t>
      </w:r>
    </w:p>
    <w:p w:rsidR="0025129F" w:rsidRDefault="0025129F" w:rsidP="0025129F">
      <w:pPr>
        <w:pStyle w:val="TextoNormal"/>
      </w:pPr>
      <w:r>
        <w:t>Al respecto, ha de comenzarse por recordar que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FJ 2; 6/1986, de 21 de enero; 118/1987, de 8 de julio; 57/1988, de 5 de abril; 124/1988, de 23 de junio; 216/1989, de 21 de diciembre; 154/1992, de 19 de octubre; 55/1995, de 6 de marzo; 104/1997, de 2 de junio; 108/2000, de 5 de mayo; 191/2001, de 1 de octubre, FJ 3,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25129F" w:rsidRDefault="0025129F" w:rsidP="0025129F">
      <w:pPr>
        <w:pStyle w:val="TextoNormal"/>
      </w:pPr>
      <w:r>
        <w:t xml:space="preserve">El derecho a obtener una resolución sobre el fondo rige tanto en el acceso a la primera respuesta judicial como en la fase de recurso. En el acceso a la jurisdicción el principio hermenéutico pro actione, entendido, no como la forzosa selección de la interpretación más favorable a la admisión de entre todas las posibles normas que la regula -ya que esta exigencia llevaría a este Tribunal a entrar en cuestiones de legalidad procesal que corresponden a los Tribunales ordinarios-, sino "como la interdicción de aquellas decisiones de inadmisión que por su rigorismo, por su formalismo excesivo o por cualquier otra razón revelen una clara desproporción entre los fines que aquellas causas preservan y los intereses que sacrifican" (SSTC 88/1997, de 5 de mayo, FJ 2, y 207/1998, de 26 de octubre, FJ 3), actúa con toda su intensidad, por lo que las decisiones de inadmisión sólo serán conformes con el art. 24.1 CE cuando no eliminen u obstaculicen injustificadamente el derecho a que un órgano judicial conozca y resuelva la pretensión formulada.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w:t>
      </w:r>
      <w:r>
        <w:lastRenderedPageBreak/>
        <w:t>amparo, salvo que la interpretación y aplicación de la norma en que se funden resulte arbitraria, manifiestamente infundada o sean el producto de un error patente (STC 119/1998, de 4 de junio).</w:t>
      </w:r>
    </w:p>
    <w:p w:rsidR="0025129F" w:rsidRDefault="0025129F" w:rsidP="0025129F">
      <w:pPr>
        <w:pStyle w:val="TextoNormal"/>
      </w:pPr>
      <w:r>
        <w:t>Por otra parte también es doctrina de este Tribunal que el derecho fundamental a obtener la tutela judicial efectiva reconocido en el art. 24.1 CE comporta la exigencia de que en ningún momento pueda producirse indefensión, lo que significa que en todo proceso judicial debe respetarse el derecho a la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que pretende hacer valer dicho derecho fundamental (SSTC 112/1987, de 2 de julio, FJ 2; 114/1988, de 10 de junio, FJ 2; 25/1997, de 11 de febrero, FJ 2; 102/1998, de 18 de mayo, FJ 2; 219/1999, de 29 de noviembre, FJ 2; 145/2000, de 29 de mayo, FJ 2; 77/2001, de 26 de marzo, FJ 2, entre otras).</w:t>
      </w:r>
    </w:p>
    <w:p w:rsidR="0025129F" w:rsidRDefault="0025129F" w:rsidP="0025129F">
      <w:pPr>
        <w:pStyle w:val="TextoNormal"/>
      </w:pPr>
    </w:p>
    <w:p w:rsidR="0025129F" w:rsidRDefault="0025129F" w:rsidP="0025129F">
      <w:pPr>
        <w:pStyle w:val="TextoNormal"/>
      </w:pPr>
      <w:r w:rsidRPr="0025129F">
        <w:rPr>
          <w:rStyle w:val="NumeroAFNegritaCaracter"/>
        </w:rPr>
        <w:t>2</w:t>
      </w:r>
      <w:r>
        <w:t>. Este derecho ha sido reconocido para las entidades aseguradoras del ramo del automóvil por este Tribunal (SSTC 4/1982, de 8 de febrero, FJ 5; 48/1984, de 4 de abril, FJ 4; 114/1988, FJ 2; 57/1991, de 14 de marzo, FJ 3; 56/1992, de 8 de abril, FJ 3; 155/1994, de 23 de mayo, FJ 3; 114/1996, de 25 de junio, FJ 1; 48/2001, de 26 de febrero, FJ 2; entre otras) al establecer que, para condenar a una compañía aseguradora como responsable civil directa o subsidiaria, con base en la existencia de una póliza de seguro obligatorio o voluntario, es en todo caso necesaria la audiencia de la misma, 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terceros civiles responsables, existe una suficiente dación de conocimiento de la existencia del proceso y, por tanto, oportunidad de intervenir en el mismo, cuando aquéllas son requeridas a fin de que presten fianza conforme a lo dispuesto en el art. 784.5, regla 5, LECrim, pues "se instrumenta por dicha vía una defensa de derechos limitada respecto a dichas entidades, que no son terceros ofendidos por el delito, sino responsables por mandato legal o por contrato en virtud de la relación surgida del seguro obligatorio, y que en principio es bastante para una correcta decisión, dada la entidad menor de los derechos controvertidos y la necesidad de agilizar el procedimiento" (STC 4/1982, FJ 6).</w:t>
      </w:r>
    </w:p>
    <w:p w:rsidR="0025129F" w:rsidRDefault="0025129F" w:rsidP="0025129F">
      <w:pPr>
        <w:pStyle w:val="TextoNormal"/>
      </w:pPr>
      <w:r>
        <w:t>En esta línea, en materia de seguro obligatorio ya se dijo en las STC 48/1984, de 4 de abril, FJ 6; 43/1989, de 20 de febrero, FJ 1, y ATC 39/1993, de 29 de enero, FJ 3, que el derecho y el interés de las compañías de seguros se limita a su obligación de pagar la indemnización y, por ello, a discutir tal obligación en relación con una regular vigencia del contrato de seguro, pues sólo si el seguro no existiera o derivara del contrato una excepción al pago, la compañía podría liberarse de su obligación, mientras que en materia de seguros voluntarios las compañías aseguradoras poseen, además, interés en la fijación del quantum de la indemnización; en definitiva, debe existir un interés concreto del sujeto que invoca el derecho fundamental (SSTC 48/1984, de 4 de abril, FJ 6; 90/1988, de 13 de mayo, FJ 2) y no únicamente el de la presencia de la compañía de seguros en el procedimiento (STC 48/1984, FJ 6; ATC 39/1993, FJ 4).</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Pues bien, se debe destacar como punto de partida de las reflexiones ulteriores que aquí la indemnización se mueve dentro de los límites del seguro obligatorio y a la luz de la doctrina anteriormente expuesta, hay que negar que, como propugna el Ministerio Fiscal, </w:t>
      </w:r>
      <w:r>
        <w:lastRenderedPageBreak/>
        <w:t>se haya producido la indefensión denunciada. En efecto, no puede admitirse que la entidad recurrente haya padecido indefensión como consecuencia de la negativa de la Audiencia Provincial a admitir la legitimación de aquélla en la apelación. Y esto hay que entenderlo así porque, en lo que se refiere a los límites cuantitativos de cobertura del seguro obligatorio de automóviles, la Ley sobre responsabilidad civil y seguro en la circulación de vehículos de motor (LRC), texto refundido, aprobado por Decreto 632/1968, de 21 de marzo, se remite a lo que dispusiere un futuro Reglamento. Fue, no obstante, la Ley 30/1995, de 8 de noviembre, de ordenación y supervisión de los seguros privados, la que en su Disposición transitoria duodécima estableció aquellos límites a partir del 1 de enero de 1996 en cincuenta y seis millones de pesetas por víctima en los daños a las personas, y dieciséis millones de pesetas por siniestro para los daños en los bienes. Estas cantidades son consecuencia de lo establecido en el art. 1.2 de la Segunda Directiva 84/5/CEE del Consejo, de 30 de diciembre de 1983, de aproximación de las legislaciones de los Estados miembros sobre el seguro de responsabilidad civil que resulta de la circulación de los vehículos automóviles.</w:t>
      </w:r>
    </w:p>
    <w:p w:rsidR="0025129F" w:rsidRDefault="0025129F" w:rsidP="0025129F">
      <w:pPr>
        <w:pStyle w:val="TextoNormal"/>
      </w:pPr>
      <w:r>
        <w:t>De acuerdo con los términos de los art. 5 y 7 a) LRC, la conducción bajo la influencia de bebidas alcohólicas, o de drogas tóxicas, estupefacientes o sustancias psicotrópicas, constituye una causa de repetición de la entidad aseguradora, pero tales circunstancias no son oponibles a los terceros perjudicados, sea cual fuese el tipo de daño que sufrieran. En idéntico sentido se pronuncian los arts. 9.4 y 11.1 del Real Decreto 7/2001, de 12 de enero, por el que se aprueba el Reglamento sobre la responsabilidad civil y seguro en la circulación de vehículos a motor. De tal manera que una cosa es que queden excluidos de la cobertura del seguro de suscripción obligatoria los daños causados por el asegurado por la conducción bajo dichas influencias, y otra que tal exclusión sea oponible al perjudicado, que no lo es, sin perjuicio, desde luego, del derecho de repetición del asegurador.</w:t>
      </w:r>
    </w:p>
    <w:p w:rsidR="0025129F" w:rsidRDefault="0025129F" w:rsidP="0025129F">
      <w:pPr>
        <w:pStyle w:val="TextoNormal"/>
      </w:pPr>
      <w:r>
        <w:t>A la vista de lo expuesto no puede negarse que las cantidades a las que fue condenada la actora como responsable civil directa, tanto en concepto de daños corporales, daños materiales y gastos de asistencia médica y hospitalaria, como en su monto, están comprendidas dentro de los límites del seguro obligatorio, tal y como el Ministerio Fiscal reconoce en su escrito de alegaciones. Siendo así, la Audiencia Provincial, al negar legitimación a la entidad aseguradora para sostener la apelación, no ha hecho más que aplicar el contenido de la prevención quinta del art. 784 LECrim, y ya hemos señalado en el fundamento de Derecho 1 que, en los supuestos de seguro obligatorio, como aquí ocurre, en los que las compañías aseguradoras tienen únicamente la condición de fiadores ex lege, existe una suficiente dación de conocimiento de la existencia del proceso y, por tanto, oportunidad de intervenir en el mismo, cuando aquéllas son requeridas y prestan fianza conforme a lo dispuesto en el art. 784.5 LECrim. (SSTC 114/1988 y 114/1996, por todas).</w:t>
      </w:r>
    </w:p>
    <w:p w:rsidR="0025129F" w:rsidRDefault="0025129F" w:rsidP="0025129F">
      <w:pPr>
        <w:pStyle w:val="TextoNormal"/>
      </w:pPr>
      <w:r>
        <w:t>Esto es, exactamente, lo que aconteció en el presente caso, por lo que no puede calificarse de absurdo, como hace el Ministerio Fiscal, el hecho de que le fuera negada a la actora en la segunda instancia la legitimación de que gozó en la primera. Es más, como queda reflejado en los antecedentes de esta Sentencia, la entidad recurrente ni siquiera discutía (en el escrito solicitando aclaración de la Sentencia dictada en la segunda instancia) su legitimación para intervenir en la apelación, sino el monto de las indemnizaciones acordadas. No cabe hablar, pues, de que existiera un rechazo sorpresivo de su legitimación y, en consecuencia, situación de indefensión alguna para la entidad recurrente.</w:t>
      </w:r>
    </w:p>
    <w:p w:rsidR="0025129F" w:rsidRDefault="0025129F" w:rsidP="0025129F">
      <w:pPr>
        <w:pStyle w:val="TextoNormal"/>
      </w:pPr>
      <w:r>
        <w:t xml:space="preserve">En supuestos como el presente, el derecho y el interés de las aseguradoras se limita a su obligación de pagar la indemnización y, en todo caso, a discutir dicha obligación en relación con la regular vigencia del contrato de seguro. No, desde luego, a formular oposición </w:t>
      </w:r>
      <w:r>
        <w:lastRenderedPageBreak/>
        <w:t>frente al perjudicado por el hecho de que su asegurado produjera los daños influenciado por los efectos de bebidas alcohólicas; y, en tal supuesto, como aquí acontece, ello sin perjuicio de que pueda utilizar la repetición contra su asegurado. En definitiva, no cabe atender la queja de la actora sobre la indefensión denunciada.</w:t>
      </w:r>
    </w:p>
    <w:p w:rsidR="0025129F" w:rsidRDefault="0025129F" w:rsidP="0025129F">
      <w:pPr>
        <w:pStyle w:val="TextoNormal"/>
      </w:pPr>
    </w:p>
    <w:p w:rsidR="0025129F" w:rsidRDefault="0025129F" w:rsidP="0025129F">
      <w:pPr>
        <w:pStyle w:val="TextoNormal"/>
      </w:pPr>
      <w:r w:rsidRPr="0025129F">
        <w:rPr>
          <w:rStyle w:val="NumeroAFNegritaCaracter"/>
        </w:rPr>
        <w:t>4</w:t>
      </w:r>
      <w:r>
        <w:t>. Por último y en cuanto a la también denunciada vulneración del derecho a la tutela judicial efectiva, por la incorrecta aplicación del baremo establecido por la Ley sobre responsabilidad civil y seguro en la circulación de vehículos de motor, tampoco esta queja merece ser estimada.</w:t>
      </w:r>
    </w:p>
    <w:p w:rsidR="0025129F" w:rsidRDefault="0025129F" w:rsidP="0025129F">
      <w:pPr>
        <w:pStyle w:val="TextoNormal"/>
      </w:pPr>
      <w:r>
        <w:t>Así, aun cuando haya de entenderse que el sistema de valoración de daños a las personas de la Ley sobre responsabilidad civil y seguro en la circulación de vehículos de motor, según redacción dada por la Disposición adicional octava de la citada Ley 30/1995, de 8 de noviembre, de ordenación y supervisión de los seguros privados, tiene carácter vinculante para los órganos judiciales (STC 181/2000, de 29 de junio, FJ 4), no puede decirse que, tanto el Juzgado de lo Penal núm. 3 de Murcia, como la Sección Cuarta de la Audiencia Provincial de dicha ciudad, no lo entendieran así en la aplicación al caso. Es más, la propia Audiencia Provincial, en el fundamento de Derecho segundo, se refiere expresamente al "baremo de carácter vinculante que ha sido ya aplicado (por la Juzgadora de instancia)".</w:t>
      </w:r>
    </w:p>
    <w:p w:rsidR="0025129F" w:rsidRDefault="0025129F" w:rsidP="0025129F">
      <w:pPr>
        <w:pStyle w:val="TextoNormal"/>
      </w:pPr>
      <w:r>
        <w:t>Como sostuvimos en las SSTC 181/2000, de 29 de junio, FJ 19, y 21/2001, de 29 de enero, FJ 4, el sistema de valoración de daños previstos en el Anexo de la Ley 30/1995, "en modo alguno interfiere en el adecuado ejercicio de la potestad jurisdiccional, puesto que corresponde a cada Juez o Tribunal verificar, con arreglo a lo alegado por las partes y lo que hubiese resultado de la prueba practicada, la realidad del hecho dañoso y la conducta e imputación del agente causante del daño, determinando su incidencia en relación con los daños producidos; así como subsumir los hechos en las normas, seleccionando e interpretando el Derecho de aplicación al caso, lo que supone, cuando fuese pertinente, concretar los diversos índices y reglas tabulares que utilizar para el cálculo de las indemnizaciones a que hubiese lugar". Por ello entendimos que de la mayor o menor densidad de los contenidos normativos que, en lo que atañe a la valoración y cuantificación de los daños personales, presenta el régimen legal introducido por la Ley 30/1995, no se deriva restricción alguna de las facultades pertenecientes a Jueces y Tribunales para el ejercicio exclusivo "de la potestad jurisdiccional en todo tipo de procesos juzgando y haciendo ejecutar lo juzgado" ex art. 117.3 CE.</w:t>
      </w:r>
    </w:p>
    <w:p w:rsidR="0025129F" w:rsidRDefault="0025129F" w:rsidP="0025129F">
      <w:pPr>
        <w:pStyle w:val="TextoNormal"/>
      </w:pPr>
      <w:r>
        <w:t>Otra cosa es que la actora discrepe de la forma en que se ha realizado la aplicación del citado baremo en este supuesto concreto, pero tal cuestión no puede ser abordada desde la perspectiva del derecho a la tutela judicial efectiva, salvo en los supuestos de que la interpretación de la legalidad pueda ser calificada como arbitraria, manifiestamente irrazonable o incurra en un error patente, lo que, ciertamente, no cabe apreciar en el presente caso, aunque otras interpretaciones de la misma sean posibles y puedan ser más favorables a los intereses de la recurrente.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lastRenderedPageBreak/>
        <w:t>Ha decidido</w:t>
      </w:r>
    </w:p>
    <w:p w:rsidR="0025129F" w:rsidRDefault="0025129F" w:rsidP="0025129F">
      <w:pPr>
        <w:pStyle w:val="TextoNormalCentrado"/>
        <w:keepNext/>
      </w:pPr>
    </w:p>
    <w:p w:rsidR="0025129F" w:rsidRDefault="0025129F" w:rsidP="0025129F">
      <w:pPr>
        <w:pStyle w:val="TextoNormal"/>
      </w:pPr>
      <w:r>
        <w:t>Denegar el amparo pedido.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3" w:name="SENTENCIA_2002_20"/>
      <w:r>
        <w:lastRenderedPageBreak/>
        <w:t>SENTENCIA 20/2002, de 28 de enero de 2002</w:t>
      </w:r>
    </w:p>
    <w:bookmarkEnd w:id="23"/>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ECLI:ES:TC:2002:20</w:t>
      </w:r>
    </w:p>
    <w:p w:rsidR="0025129F" w:rsidRDefault="0025129F" w:rsidP="0025129F">
      <w:pPr>
        <w:pStyle w:val="SntesisDescriptiva"/>
      </w:pPr>
    </w:p>
    <w:p w:rsidR="0025129F" w:rsidRDefault="0025129F" w:rsidP="0025129F">
      <w:pPr>
        <w:pStyle w:val="SntesisDescriptiva"/>
      </w:pPr>
      <w:r>
        <w:t>Recurso de amparo 4342/98. Promovido por don José Velasco Aroca frente a la Sentencia de la Sala de lo Social del Tribunal Superior de Justicia de Madrid que estimó parcialmente su demanda contra Caja Postal, S.A., y declaró improcedente su despido.</w:t>
      </w:r>
    </w:p>
    <w:p w:rsidR="0025129F" w:rsidRDefault="0025129F" w:rsidP="0025129F">
      <w:pPr>
        <w:pStyle w:val="SntesisDescriptiva"/>
      </w:pPr>
    </w:p>
    <w:p w:rsidR="0025129F" w:rsidRDefault="0025129F" w:rsidP="0025129F">
      <w:pPr>
        <w:pStyle w:val="SntesisAnaltica"/>
      </w:pPr>
      <w:r>
        <w:t>Vulneración del derecho a la libertad de expresión: nulidad de un despido por criticar al presidente de la empresa en una junta de accionistas, en relación con la gestión social, mediante expresiones que no fueron innecesarias ni vejatorias, y emitidas fuera del vínculo del contrato laboral.</w:t>
      </w:r>
    </w:p>
    <w:p w:rsidR="0025129F" w:rsidRDefault="0025129F" w:rsidP="0025129F">
      <w:pPr>
        <w:pStyle w:val="SntesisAnaltica"/>
      </w:pPr>
    </w:p>
    <w:p w:rsidR="0025129F" w:rsidRDefault="0025129F" w:rsidP="0025129F">
      <w:pPr>
        <w:pStyle w:val="Extracto"/>
      </w:pPr>
      <w:r>
        <w:t>1.</w:t>
      </w:r>
      <w:r>
        <w:tab/>
        <w:t>Un despido acordado como reacción empresarial frente a las opiniones emitidas por el recurrente al margen de sus obligaciones contractuales laborales es un despido efectuado con vulneración de su derecho fundamental de libertad de expresión [FJ 7].</w:t>
      </w:r>
    </w:p>
    <w:p w:rsidR="0025129F" w:rsidRDefault="0025129F" w:rsidP="0025129F">
      <w:pPr>
        <w:pStyle w:val="Extracto"/>
      </w:pPr>
    </w:p>
    <w:p w:rsidR="0025129F" w:rsidRDefault="0025129F" w:rsidP="0025129F">
      <w:pPr>
        <w:pStyle w:val="Extracto"/>
      </w:pPr>
      <w:r>
        <w:t>2.</w:t>
      </w:r>
      <w:r>
        <w:tab/>
        <w:t>La Sentencia ahora recurrida no respetó el necesario equilibrio entre las obligaciones dimanantes del contrato de trabajo y el ámbito del derecho fundamental del trabajador en juego [FJ 8].</w:t>
      </w:r>
    </w:p>
    <w:p w:rsidR="0025129F" w:rsidRDefault="0025129F" w:rsidP="0025129F">
      <w:pPr>
        <w:pStyle w:val="Extracto"/>
      </w:pPr>
    </w:p>
    <w:p w:rsidR="0025129F" w:rsidRDefault="0025129F" w:rsidP="0025129F">
      <w:pPr>
        <w:pStyle w:val="Extracto"/>
      </w:pPr>
      <w:r>
        <w:t>3.</w:t>
      </w:r>
      <w:r>
        <w:tab/>
        <w:t>La intervención del recurrente en la Junta General de Accionistas en modo alguno resulta reprochable desde la perspectiva de los límites genéricos al derecho de libertad de expresión, en la medida en que se limitó a manifestar su desaprobación a la gestión social objeto de valoración en esa Junta, y lo fueron en la persona de su presidente, como último sujeto responsable de la gestión criticada, sin que sus palabras puedan calificarse como ofensivas o vejatorias o realizadas en desdoro del prestigio de aquél o de la empresa [FJ 6].</w:t>
      </w:r>
    </w:p>
    <w:p w:rsidR="0025129F" w:rsidRDefault="0025129F" w:rsidP="0025129F">
      <w:pPr>
        <w:pStyle w:val="Extracto"/>
      </w:pPr>
    </w:p>
    <w:p w:rsidR="0025129F" w:rsidRDefault="0025129F" w:rsidP="0025129F">
      <w:pPr>
        <w:pStyle w:val="Extracto"/>
      </w:pPr>
      <w:r>
        <w:t>4.</w:t>
      </w:r>
      <w:r>
        <w:tab/>
        <w:t>Una Junta General ordinaria de Accinistas es expresión del principio democrático de participación de los accionistas, proyección de su libertad y manifestación colectiva de la libertad de expresión [FJ 5].</w:t>
      </w:r>
    </w:p>
    <w:p w:rsidR="0025129F" w:rsidRDefault="0025129F" w:rsidP="0025129F">
      <w:pPr>
        <w:pStyle w:val="Extracto"/>
      </w:pPr>
    </w:p>
    <w:p w:rsidR="0025129F" w:rsidRDefault="0025129F" w:rsidP="0025129F">
      <w:pPr>
        <w:pStyle w:val="Extracto"/>
      </w:pPr>
      <w:r>
        <w:t>5.</w:t>
      </w:r>
      <w:r>
        <w:tab/>
        <w:t>Tanto el derecho a la libertad de expresión [art. 20.1.a) CE], como el derecho a la información [art. 20.1.d) CE], revisten matices específicos cuando su ejercicio se realiza en el ámbito de la relación laboral [FJ 4].</w:t>
      </w:r>
    </w:p>
    <w:p w:rsidR="0025129F" w:rsidRDefault="0025129F" w:rsidP="0025129F">
      <w:pPr>
        <w:pStyle w:val="Extracto"/>
      </w:pPr>
    </w:p>
    <w:p w:rsidR="0025129F" w:rsidRDefault="0025129F" w:rsidP="0025129F">
      <w:pPr>
        <w:pStyle w:val="Extracto"/>
      </w:pPr>
      <w:r>
        <w:t>6.</w:t>
      </w:r>
      <w:r>
        <w:tab/>
        <w:t>Derecho a la libertad de expresión [FJ 4].</w:t>
      </w:r>
    </w:p>
    <w:p w:rsidR="0025129F" w:rsidRDefault="0025129F" w:rsidP="0025129F">
      <w:pPr>
        <w:pStyle w:val="Extracto"/>
      </w:pPr>
    </w:p>
    <w:p w:rsidR="0025129F" w:rsidRDefault="0025129F" w:rsidP="0025129F">
      <w:pPr>
        <w:pStyle w:val="Extracto"/>
      </w:pPr>
      <w:r>
        <w:t>7.</w:t>
      </w:r>
      <w:r>
        <w:tab/>
        <w:t>Nuestro enjuiciamiento, cuando de la infracción de derechos fundamentales sustantivos se trata, no se limita a examinar la razonabilidad de la motivación de las Sentencias objeto de impugnación (SSTC 200/1998, 49/2001) [FJ 3].</w:t>
      </w:r>
    </w:p>
    <w:p w:rsidR="0025129F" w:rsidRDefault="0025129F" w:rsidP="0025129F">
      <w:pPr>
        <w:pStyle w:val="Extracto"/>
      </w:pPr>
    </w:p>
    <w:p w:rsidR="0025129F" w:rsidRDefault="0025129F" w:rsidP="0025129F">
      <w:pPr>
        <w:pStyle w:val="Extracto"/>
      </w:pPr>
      <w:r>
        <w:lastRenderedPageBreak/>
        <w:t>8.</w:t>
      </w:r>
      <w:r>
        <w:tab/>
        <w:t>Además de no denunciarse en la demanda de amparo la vulneración del derecho consagrado en el art. 24.1 CE, la vulneración alegada por el Fiscal no se ha producido, toda vez que la Sala de lo Social dio respuesta expresa y directa a la lesión invocada por el recurrente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4342/98, promovido por don José Velasco Aroca, representado por el Procurador de los Tribunales don Ignacio Aguilar Fernández y bajo la asistencia del Letrado don Lorenzo David Sánchez Velasco, contra la Sentencia de la Sala de lo Social del Tribunal Superior de Justicia de Madrid, de 21 de marzo de 1997, por la que se desestima el recurso de suplicación (núm. 230/96) interpuesto contra la Sentencia del Juzgado de lo Social núm. 15 de Madrid, de 18 de octubre de 1995, recaída en proceso sobre despido (autos 565/95), y contra esta última resolución. Ha comparecido Argentaria, Caja Postal y Banco Hipotecario, S.A., representada por don Juan Ignacio Ávila del Hierro y asistida por el Letrado don Martín Godino Reyes. Ha intervenido el Ministerio Fiscal.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día 19 de octubre de 1998, el Procurador don Ignacio Aguilar Fernández, en nombre y representación de don José Velasco Aroca interpuso el recurso de amparo del que se hace mérito en el encabezamiento, por vulneración del art. 20.1.a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Constituyen la base de la demanda los siguientes antecedentes de hecho: </w:t>
      </w:r>
    </w:p>
    <w:p w:rsidR="0025129F" w:rsidRDefault="0025129F" w:rsidP="0025129F">
      <w:pPr>
        <w:pStyle w:val="TextoNormal"/>
      </w:pPr>
      <w:r>
        <w:t xml:space="preserve">a) El recurrente en amparo trabajaba para la entidad Caja Postal, S.A. desde 1984, en la que venía realizando las laborales de director de oficina bancaria. Con fecha de 23 de junio de 1995 intervino en la Junta General de Accionistas de Argentaria, S.A., en la que, dirigiéndose a su presidente, Sr. Luzón, se expresó en los términos que a continuación se transcriben literalmente: </w:t>
      </w:r>
    </w:p>
    <w:p w:rsidR="0025129F" w:rsidRDefault="0025129F" w:rsidP="0025129F">
      <w:pPr>
        <w:pStyle w:val="TextoNormal"/>
      </w:pPr>
      <w:r>
        <w:t>"Sr. Luzón, he venido aquí para votar en contra de su gestión, para votar en contra de todos y cada uno de los puntos del orden del día. No le apruebo las cuentas anuales, no le apruebo el informe de gestión, no le apruebo la cuenta de resultados, no le apruebo la ges</w:t>
      </w:r>
      <w:r>
        <w:lastRenderedPageBreak/>
        <w:t xml:space="preserve">tión social, no le apruebo el dividendo activo. Tampoco le apruebo los demás puntos del orden del día y voto en contra porque para Vd. ha perdido la confianza que yo tenía hace 4 años. </w:t>
      </w:r>
    </w:p>
    <w:p w:rsidR="0025129F" w:rsidRDefault="0025129F" w:rsidP="0025129F">
      <w:pPr>
        <w:pStyle w:val="TextoNormal"/>
      </w:pPr>
      <w:r>
        <w:t xml:space="preserve">Vengo a acusarle de llevar a Argentaria a la ruina, de llevar a Argentaria irreversiblemente a una absorción, le acuso como accionista y como director de una oficina de Caja Postal en Madrid. Le acuso de estar sangrando Caja Postal para salvar otras unidades de Argentaria, de utilizar las bases de datos de clientes de Caja Postal por parte del Banco Directo para ofrecerles su depósito, de esquilmar a los clientes hasta el punto de haber perdido la credibilidad, de machacarles con tiradas masivas de tarjetas sin selección previa, sin ningún control que siempre devuelven siempre se cobran las cuotas y se las tenemos que estar devolviendo. El fuerte de Caja Postal siempre ha sido la confianza que los clientes nos han demostrado. Vd. ha hecho que se pierda. Le acuso de que para Vd. el cliente no tiene ningún valor. Le acuso de menospreciar a los empleados de Caja Postal en beneficio del BEX y utilizar Caja Postal como retiro dorado para algunos empleados del Banco Exterior con sueldos astronómicos y ocupando puestos que estaban siendo desarrollados por buenos profesionales en Caja Postal. Como ejemplo le comentaré una anécdota que ha sucedido en Madrid, el responsable del servicio inmobiliario de Caja Postal, una persona con un buen futuro profesional la ha sustituido por una persona que ha sido retirada del Banco Exterior y con un sueldo bastante, vamos que multiplica por cinco y a esa persona se le ha retirado. Le acuso de traspasar a buenos profesionales de servicios internos a la red para poner en su lugar a personas del Banco Exterior, con una cualificación igual si no inferior y con el único motivo de cumplir lo que Vd. prometió a la reducción de plantilla del Banco Exterior. Le acuso de tratar de desprestigiar a las personas de Caja Postal en su artículo de 1 de mayo en la revista Actualidad Económica diciendo: 'el flojo de Caja Postal es la capacidad crediticia'. </w:t>
      </w:r>
    </w:p>
    <w:p w:rsidR="0025129F" w:rsidRDefault="0025129F" w:rsidP="0025129F">
      <w:pPr>
        <w:pStyle w:val="TextoNormal"/>
      </w:pPr>
      <w:r>
        <w:t xml:space="preserve">Sr. Luzón, todos los jefes de riesgos de esta casa son de ese famoso grupo de 500 directivos, veremos quien es quien no sabe dar los créditos. Dice también que después de 4 años hemos perdido la mentalidad de funcionarios, no Sr. Luzón, en Caja Postal nunca ha existido esa mentalidad. Es Vd. el que ha tardado 4 años en darse cuenta de que esa mentalidad no existía. Le acuso de estar llevando conscientemente o inconsciente, eso ya no lo sé, a Caja Postal a una posible absorción futura y dejarla preparada para reducir costes de personal abajo, acogiéndose al Artículo 52 y 53 del Estatuto de los Trabajadores. </w:t>
      </w:r>
    </w:p>
    <w:p w:rsidR="0025129F" w:rsidRDefault="0025129F" w:rsidP="0025129F">
      <w:pPr>
        <w:pStyle w:val="TextoNormal"/>
      </w:pPr>
      <w:r>
        <w:t xml:space="preserve">Sr. Luzón, en Caja Postal no le necesitábamos. Caja Postal por sí sola tenía capacidad para sobrevivir al futuro. </w:t>
      </w:r>
    </w:p>
    <w:p w:rsidR="0025129F" w:rsidRDefault="0025129F" w:rsidP="0025129F">
      <w:pPr>
        <w:pStyle w:val="TextoNormal"/>
      </w:pPr>
      <w:r>
        <w:t xml:space="preserve">Ahora, le voy a leer una carta que me llegó el día 29 de mayo del Servicio de Atención al Cliente, una carta muy cortita pero que no tiene ningún desperdicio. Es ante una reclamación que planteaban de un cliente, me contesta el Servicio de Atención al Cliente: 'Querido amigo José (y me llama amigo por la cantidad de veces que habíamos hablado por teléfono porque no nos conocíamos) después de decirme que sí y de muy buenas palabras cuando se lo reclamaba, hasta el día de la fecha no me han mandado los D y el departamento que sea, no viene al caso nombrarlo porque hubiera ocurrido igual que con cualquier otro, el informe que me pedía en el adjunto impreso de declaración. Por ello, lamento no haberte podido ser útil pese a mis buenos deseos'. Esto, Sr. Luzón, tiene dos lecturas, y bastante graves, la primera, su equipo de directivos, porque ese departamento está al frente uno de su nuevo equipo de directivos, no ha hecho ni caso a lo que le demanda el Jefe de Servicio de Atención al Cliente de esta Entidad y ha sido incapaz de hacer sentar a una persona 5 minutos para hacer un informe porque ni siquiera era un problema de dinero, y lo más grave Sr. Luzón, cuando Vd. llegó al puesto, evidentemente, Vd. ocupa los </w:t>
      </w:r>
      <w:r>
        <w:lastRenderedPageBreak/>
        <w:t xml:space="preserve">puestos de responsabilidad con las personas que considera de su confianza, eso es lógico y se hace en todas las entidades. </w:t>
      </w:r>
    </w:p>
    <w:p w:rsidR="0025129F" w:rsidRDefault="0025129F" w:rsidP="0025129F">
      <w:pPr>
        <w:pStyle w:val="TextoNormal"/>
      </w:pPr>
      <w:r>
        <w:t xml:space="preserve">Sr. Luzón, si Vd. el Servicio de Atención al Cliente no lo ocupa con una de esas personas, ya que está ocupado con una de los antiguos de Caja Postal, evidentemente me demuestra el valor que para Vd. tiene el cliente. </w:t>
      </w:r>
    </w:p>
    <w:p w:rsidR="0025129F" w:rsidRDefault="0025129F" w:rsidP="0025129F">
      <w:pPr>
        <w:pStyle w:val="TextoNormal"/>
      </w:pPr>
      <w:r>
        <w:t xml:space="preserve">Sr. Luzón, pienso que esto no tiene Vd. solución si Vd. sigue. Pienso que se debe marchar con sus 500 directivos. En caso de que Vd. siga le voy a pedir otro favor. Y es que deje a Caja Postal como estaba, estábamos bastante bien. Si hace eso yo le regalo mis 226 acciones que al paso que vamos tampoco van a valer mucho. Gracias". </w:t>
      </w:r>
    </w:p>
    <w:p w:rsidR="0025129F" w:rsidRDefault="0025129F" w:rsidP="0025129F">
      <w:pPr>
        <w:pStyle w:val="TextoNormal"/>
      </w:pPr>
      <w:r>
        <w:t xml:space="preserve">Diversos medios de comunicación se hicieron eco en días posteriores a la celebración de la Junta de Accionistas del desarrollo de la misma y de las críticas que recibió el Presidente de Argentaria. </w:t>
      </w:r>
    </w:p>
    <w:p w:rsidR="0025129F" w:rsidRDefault="0025129F" w:rsidP="0025129F">
      <w:pPr>
        <w:pStyle w:val="TextoNormal"/>
      </w:pPr>
      <w:r>
        <w:t xml:space="preserve">b) El día 13 de julio de 1995, la empresa hizo entrega al recurrente de la carta de despido, en la que tras reproducir su intervención en la Junta de accionistas celebrada el 23 de junio anterior, se decía lo siguiente: "Dejando al margen su condición de accionista, y puesto que como Vd. mismo manifestó hablaba también como Director de una de nuestras oficinas, las descalificaciones dirigidas al presidente de la Caja Sr. Luzón, tales como que 'está llevando a Argentaria a la ruina', o que 'ha esquilmado a los clientes', constituyen una evidente transgresión de la buena fe contractual, mucho más si se tiene en cuenta el puesto de confianza que Vd. ocupa. </w:t>
      </w:r>
    </w:p>
    <w:p w:rsidR="0025129F" w:rsidRDefault="0025129F" w:rsidP="0025129F">
      <w:pPr>
        <w:pStyle w:val="TextoNormal"/>
      </w:pPr>
      <w:r>
        <w:t xml:space="preserve">Constatada la realidad de las ofensas y descalificaciones, no desvirtuadas por Vd. en su contestación al pliego de cargos formulado con fecha 05/07/95, y la preocupación que sin duda habrán producido entre nuestros clientes y empleados, se ha decidido imponer a Vd. la sanción de despido disciplinario, al amparo de lo dispuesto en el Art. 54.2.d) del Estatuto de los Trabajadores, medida que tendrá efectos desde la fecha de la recepción de esta carta". </w:t>
      </w:r>
    </w:p>
    <w:p w:rsidR="0025129F" w:rsidRDefault="0025129F" w:rsidP="0025129F">
      <w:pPr>
        <w:pStyle w:val="TextoNormal"/>
      </w:pPr>
      <w:r>
        <w:t>c) Con fecha 8 de agosto de 1995, el recurrente presentó contra la entidad Caja Postal, S.A., demanda por despido nulo y/o improcedente, en la que mantenía que su despido era consecuencia del ejercicio de su legítimo derecho a discrepar, en su calidad de accionista minoritario de esa entidad bancaria, en la Junta general ordinaria de accionistas, lo cual, implicaba no sólo una violación de sus derechos como titular de acciones, sino también de su derecho a la libertad de expresión. La demanda fue desestimada por Sentencia del Juzgado de lo Social núm. 15 de Madrid, de 18 de octubre de 1995, que declaró la procedencia del despido al considerar que la intervención del actor en la Junta de accionistas celebrada el día 23 de junio de 1995 había quebrantado la buena fe contractual. En este sentido, se argumenta que el actor, como titular de 226 acciones y como Director de una oficina de Caja Postal en Madrid, había vertido una serie de acusaciones graves contra el Presidente de la entidad (tales como las de "estar llevando a Argentaria a la ruina", "estar sangrando Caja Postal", "esquilmar a los clientes", "menospreciar a los empleados", "utilizar Caja Postal como retiro dorado para algunos empleados del Banco Exterior", "tratar de desprestigiar a personas de Caja Postal"), que atentaban contra la buena fe contractual que debe regir las relaciones laborales, y que, si bien era cierto que las había proferido como accionista, también lo era que él mismo había precisado que formulaba dichas acusaciones como Director de la entidad urbana. Asimismo, se señala que, aunque la crítica efectuada por el actor, que se podía resumir en que la oficina de atención al cliente tenía deficiencias y que se intentaba la absorción de Caja Postal por el Banco Exterior de España, podía justificarse, se tenía que haber hecho sin utilizar expresiones vejatorias para la empresa ni para su presidente. En consecuencia, el Juez de lo Social sostuvo que las aludidas expre</w:t>
      </w:r>
      <w:r>
        <w:lastRenderedPageBreak/>
        <w:t xml:space="preserve">siones extralimitaron el derecho de libre expresión que el actor, como trabajador y como accionista, tenía para criticar la gestión del Presidente de la entidad, máxime si se tiene en cuenta que no se había probado que las afirmaciones proferidas fuesen ciertas, sino todo lo contrario, pues de los documentos aportados en autos se desprendía que la opinión que el actor tenía sobre la gestión de Caja Postal era errónea e inexacta. Por lo demás, la Sentencia del Juzgado de lo Social consideró que el que en algunos medios de información apareciera en la Sección de cartas al director misivas criticando determinadas actuaciones de la entidad, no acreditaba ni justificaba las manifestaciones efectuadas por el actor en la Junta de accionistas. Por consiguiente, su intervención se debía encuadrar dentro de la relación laboral y calificar como contraria a los parámetros de la buena fe o pactos éticos de probidad y lealtad profesional, ya que había supuesto una violación grave del deber de lealtad hacia la empresa con evidente trascendencia negativa para su prestigio, así como para su Presidente, al haberle acusado de actuaciones graves e inciertas. Finalmente, sobre la base de que la libertad de expresión consagrada en el art. 20.1.a CE no alcanza a los insultos ni a los calificativos degradantes, la Sentencia de instancia negó la existencia de lesión del derecho fundamental y declaró la procedencia del despido. </w:t>
      </w:r>
    </w:p>
    <w:p w:rsidR="0025129F" w:rsidRDefault="0025129F" w:rsidP="0025129F">
      <w:pPr>
        <w:pStyle w:val="TextoNormal"/>
      </w:pPr>
      <w:r>
        <w:t>d) Frente a la anterior resolución judicial la parte actora interpuso recurso de suplicación, denunciando la infracción del art. 54.2.d del Estatuto de los Trabajadores, así como del art. 20.1.a CE. El recurso fue estimado parcialmente por Sentencia de la Sala de lo Social del Tribunal Superior de Justicia de Madrid, de 21 de marzo de 1997, al calificar como improcedente el despido del recurrente. Comienza la Sala afirmando que resultaba incuestionable que la intervención del recurrente en la Junta general de accionistas se había efectuado en calidad de tal y no de trabajador, y que el que hubiese manifestado que hablaba "como accionista y como Director de una oficina de Caja Postal" no desnaturalizaba en modo alguno la mercantilidad del acto jurídico, ya que sólo como accionista tenía derecho a efectuar tal intervención, siendo la referencia a su puesto de trabajo un simple elemento retórico de refuerzo del contenido persuasorio de su discurso. Así las cosas, y teniendo en cuenta que una actuación ajena a la relación laboral no es susceptible de constituir un incumplimiento contractual, la Sala entendió que el empresario no estaba legitimado para sancionar ese hecho, a la vista del factum y de la distinta extensión que el derecho de expresión -en su vertiente de crítica- tiene en ambas relaciones (la cualidad de accionista se ubica en el ámbito de la dirección de la empresa, mientras que la de trabajador se desenvuelve en el de dependencia de ésta). En este sentido, afirma que "la lealtad laboral veda la crítica pública e irrespetuosa de la gestión empresarial, en mayor o menor grado, y antepone, en cualquier caso, el interés patronal al de la clientela", mientras que la "lealtad mercantil, en cambio, es compatible con la crítica pública y acerba -aunque no vejatoria o injuriosa de tal gestión, y puede conllevar una estrategia de defensa de la clientela frente al elemento directivo en el poder, que no es superior jerárquico, sino mero representante de los accionistas". En consecuencia, la Sentencia de suplicación razona que el contenido de la intervención del actor en la Junta constituía la censura de una gestión empresarial (más o menos fuerte, más o menos injuriosa o vejatoria), y que, inexistente el incumplimiento contractual, se debía revocar la declaración de procedencia del despido. Llegados a este punto, y planteándose la calificación del despido, la Sala basa su ilicitud en la consideración como no laboral del acto imputado al actor, al entender que "la ilicitud deviene de la falta de acreditamiento de un incumplimiento contractual en cuanto consta que el actor, como accionista, no cometió ilícito laboral alguno". De este modo, sostiene que "la cuestión nuclear de la ilicitud es ajena al derecho constitucional invocado en cuanto es elemento indiferente de su apreciación", y que siendo la no laboralidad de la impu</w:t>
      </w:r>
      <w:r>
        <w:lastRenderedPageBreak/>
        <w:t xml:space="preserve">tación lo importante, sólo en un ámbito extralaboral debía juzgarse el uso correcto o incorrecto de la libertad de expresión. Por todo lo cual, la Sentencia de la Sala de lo Social del Tribunal Superior de Justicia de Madrid terminó negando la lesión de este derecho fundamental, en tanto en cuanto "la radical nulidad presupone la represión de un derecho fundamental ejercitado 'desde' o 'dentro' de la relación laboral", y consiguientemente, calificó el despido de improcedente. </w:t>
      </w:r>
    </w:p>
    <w:p w:rsidR="0025129F" w:rsidRDefault="0025129F" w:rsidP="0025129F">
      <w:pPr>
        <w:pStyle w:val="TextoNormal"/>
      </w:pPr>
      <w:r>
        <w:t>e) Contra la anterior Sentencia, el recurrente interpuso recurso de casación para la unificación de doctrina, que fue inadmitido por Auto de la Sala de lo Social del Tribunal Supremo, de 3 de junio de 1998, tanto por no haber establecido el núcleo de la contradicción, como por falta de relación precisa y circunstanciada de esta última.</w:t>
      </w:r>
    </w:p>
    <w:p w:rsidR="0025129F" w:rsidRDefault="0025129F" w:rsidP="0025129F">
      <w:pPr>
        <w:pStyle w:val="TextoNormal"/>
      </w:pPr>
    </w:p>
    <w:p w:rsidR="0025129F" w:rsidRDefault="0025129F" w:rsidP="0025129F">
      <w:pPr>
        <w:pStyle w:val="TextoNormal"/>
      </w:pPr>
      <w:r w:rsidRPr="0025129F">
        <w:rPr>
          <w:rStyle w:val="NumeroAFNegritaCaracter"/>
        </w:rPr>
        <w:t>3</w:t>
      </w:r>
      <w:r>
        <w:t>. Con fundamento en ese itinerario procesal, el recurrente alega en su demanda de amparo que tanto la Sentencia del Juzgado de lo Social núm. 15 de Madrid, de 18 de octubre de 1995, como la dictada por la Sala de lo Social del Tribunal Superior de Justicia de Madrid, de 21 de marzo de 1997, han vulnerado su derecho a la libertad de expresión (art. 20.1.a CE) al no haber reparado su lesión, ya que, aun cuando su despido tuvo por causa las críticas que manifestó en la Junta de accionistas de Argentaria, S.A., celebrada el día 23 de junio de 1995, referentes a la gestión empresarial de esta última entidad, ninguna de las citadas resoluciones declaró su despido nulo. En primer lugar, argumenta que el hecho de ser trabajador no puede cercenar los derechos que como accionista y copropietario de la citada entidad le amparan, y, en particular, el de asistir o mostrar su opinión en una determinada asamblea. Asimismo, señala que manifestó sus opiniones en un foro restringido al que legítimamente tenía acceso y al que sólo asisten accionistas, y que las imputaciones formuladas se dirigieron al Sr. Luzón en su calidad de presidente de Argentaria, S.A., y no como crítica hacia su persona. En segundo término, el recurrente muestra su conformidad con la Sentencia de la Sala de lo Social en cuanto a que el motivo del despido resultaba ajeno al ámbito laboral, y, por tanto, no podía calificarse su actuación como transgresora de la buena fe contractual, al tener precisamente ésta un ámbito limitado circunscrito a la empresa. Sin embargo, considera que tal afirmación debió haber llevado a la Sala a otra conclusión, cual era que el despido había sido causado por la manifestación de una concreta opinión o crítica. En este sentido, precisa que, a pesar de que la carta de despido evidenciaba una relación de correspondencia entre la causa del despido y las opiniones manifestadas en su intervención en la Junta general, ninguna de las dos Sentencias impugnadas había ponderado como debieron hacerlo si su intervención traspasó los límites definitorios del derecho fundamental a la libertad de expresión (art. 20.1.a CE). También muestra su desacuerdo con la Sentencia de instancia al considerar que había emitido "expresiones vejatorias" contra la empresa, por cuanto su intervención en la Junta de accionistas supuso simplemente una crítica legítima sobre la gestión de la empresa emitida por un accionista más, sin que sus opiniones hubieran resultado injuriosas o vejatorias, extremo que se podía comprobar con el examen del tenor literal de su intervención, y por la ausencia de reacción por parte del destinatario de la crítica, que, aunque pudo reparar su buena imagen o prestigio, si es que lo entendió menoscabado, no lo hizo. Finalmente, considera que la Sentencia dictada por la Sala de lo Social del Tribunal Superior de Justicia, a pesar de estimar parcialmente el recurso de suplicación, en modo alguno cumplió el deber de tutela constitucionalmente impuesto ni reparó la lesión sufrida, en cuanto se limitó a una mera declaración de la improcedencia del despido, confirmando la eficacia extintiva de este último. A este respecto recuerda la doctrina constitucional (cita nuestras SSTC 38/1981, 114/1989, y 186/1996), según la cual "la reparación de la lesión de un derecho fundamental que hubie</w:t>
      </w:r>
      <w:r>
        <w:lastRenderedPageBreak/>
        <w:t>se sido causado por el despido laboral debe determinar la eliminación absoluta de sus efectos, y ello supone la declaración de nulidad del mismo, cuya consecuencia es la readmisión del trabajador". Por todo lo cual, solicita que se declare la vulneración de su derecho fundamental a la libertad de expresión, la nulidad de su despido, y que se revoquen las dos Sentencias de la jurisdicción social objeto de recurso.</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Segunda, por providencia de 15 de julio de 1999, admitió a trámite la demanda y, en aplicación del art. 51 LOTC, acordó dirigir comunicación a las Salas de lo Social del Tribunal Supremo y del Tribunal Superior de Justicia de Madrid, así como al Juzgado de lo Social núm. 15 de Madrid, a fin de que en el plazo de diez días remitiesen certificación o fotocopia adverada de las actuaciones correspondientes y que se emplazase a quienes hubieran sido parte en el procedimiento, excepto la parte recurrente en amparo, a los efectos de que en el plazo de diez días pudiesen comparecer en el recurso de amparo y defender sus derechos.</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de 17 de septiembre de 1999 se personó la representación procesal de Caja Postal, S.A., en la actualidad, Argentaria, Caja Postal y Banco Hipotecario, S.A., y por providencia de la Sala Primera de 27 de septiembre de 1999 se la tuvo por personada y parte en el procedimiento, acordándose, conforme al art. 52.1 LOTC, dar vista de las actuaciones recibidas a las partes y al Ministerio Fiscal por plazo común de veinte días.</w:t>
      </w:r>
    </w:p>
    <w:p w:rsidR="0025129F" w:rsidRDefault="0025129F" w:rsidP="0025129F">
      <w:pPr>
        <w:pStyle w:val="TextoNormal"/>
      </w:pPr>
    </w:p>
    <w:p w:rsidR="0025129F" w:rsidRDefault="0025129F" w:rsidP="0025129F">
      <w:pPr>
        <w:pStyle w:val="TextoNormal"/>
      </w:pPr>
      <w:r w:rsidRPr="0025129F">
        <w:rPr>
          <w:rStyle w:val="NumeroAFNegritaCaracter"/>
        </w:rPr>
        <w:t>6</w:t>
      </w:r>
      <w:r>
        <w:t>. Con fecha de 28 de octubre de 1999, formuló sus alegaciones la representación procesal del recurrente en amparo, ratificando en su integridad el contenido de su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Con fecha de 28 de octubre de 1999 registró su escrito de alegaciones la representación procesal de Argentaria, Caja Postal y Banco Hipotecario, S.A., en el que solicita la denegación del amparo. Comienza diciendo que el recurrente pretende amparar su actuación en su calidad de accionista, con objeto de encontrar cobertura legal a sus descalificaciones y excluir así la responsabilidad laboral en que pudiera incurrir. De este modo, mantiene que el actor no se limitó a efectuar una crítica de la gestión social de Argentaria, única posible como accionista, sino que los datos, juicios de valor y acusaciones vertidas lo fueron siempre en relación con su empresa, Caja Postal, y sobre cuestiones ajenas al ámbito mercantil, conocidas exclusivamente por su condición de trabajador (cartas internas, emisión de tarjetas, cargos directivos, reclamaciones de clientes, etc.), y que tal propósito se puso de manifiesto por el propio recurrente cuando precisó "le acuso como accionista y como director de una oficina de Caja Postal". Finalmente, y tras referirse a la doctrina constitucional sobre el derecho fundamental a la libertad de expresión, y en concreto a la STC 204/1997, concluye diciendo que las acusaciones vertidas por el recurrente "no se limitaron a informar y exponer los hechos y a explicar sus críticas al respecto, sino que también hizo juicios de valor claramente ofensivos, innecesarios para expresar su opinión sobre los hechos denunciados y proferidos en descrédito de los directivos y responsables de la empresa", y que por ello se sitúan fuera del ámbito de protección del derecho a la libertad de expresión consagrado en el art. 20 CE.</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Con fecha de 28 de octubre de 1999 el Ministerio Fiscal presentó su escrito de alegaciones, en el que comienza puntualizando que el presente proceso constitucional ha de </w:t>
      </w:r>
      <w:r>
        <w:lastRenderedPageBreak/>
        <w:t xml:space="preserve">centrarse en determinar si la reacción empresarial que condujo al despido es legítima o, por el contrario, el trabajador fue sancionado disciplinariamente por el lícito ejercicio de sus derechos fundamentales, en cuyo caso el despido no podría dejar de calificarse como nulo (cita las SSTC 6/1998 y 106/1996). Constata, asimismo, que la singularidad de este proceso radica en el hecho de que las dos Sentencias frente a las que se solicita el amparo presentan un contenido diverso en lo que se refiere al pronunciamiento sobre las pretensiones deducidas, ya que mientras el Juzgado de lo Social se pronunció sobre la eventual lesión del derecho a la libertad de expresión, la Sentencia de la Sala de lo Social del Tribunal Superior de Justicia lo omitió, al estimar que solo en un ámbito extralaboral había de juzgarse el uso correcto o incorrecto de la libertad de expresión. De este modo, lo primero que cuestiona el Fiscal es la posible vulneración del derecho a la tutela judicial efectiva (art. 24.1 CE) ante la falta de pronunciamiento de la Sala sobre la lesión del art. 20.1.a CE, afirmando que, de ser así, el Tribunal Constitucional estaría igualmente llamado a pronunciarse sobre la denunciada lesión del derecho a la libertad de expresión. En cuanto a esta última, manifiesta su disconformidad con el pronunciamiento de la Sala de lo Social, al haber situado el acto supuestamente ilícito (manifestaciones del actor en la Junta de accionistas) en el ámbito mercantil, haciendo derivar de ello la calificación del despido como improcedente, y negando la realidad objetiva del despido por el simple hecho de que la empresa no se hallaba legitimada para valorar la conducta que dio lugar a la decisión extintiva, a pesar de que resultase imposible disociar la crítica efectuada por el trabajador y el acto del despido. Sentado lo anterior, el Fiscal recuerda que, según la doctrina constitucional (cita, entre otras, SSTC 120/1983, 88/1985, 6/1988, 126/1990, 4/1996 y 106/1996), la celebración de un contrato de trabajo no implica en modo alguno la privación para el trabajador de los derechos que la Constitución le reconoce como ciudadano, entre ellos el de difundir libremente los pensamientos, ideas y opiniones (art. 20.1.a CE), y que en el ámbito de la relación laboral las manifestaciones de una parte respecto de la otra deben enmarcarse en las pautas de comportamiento que se derivan de tal relación, pues el contrato de trabajo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ámbito de dicha relación. Surge, así, en el ejercicio de los derechos constitucionales, un límite adicional impuesto por la relación laboral y que deriva del principio de buena fe entre las partes del contrato de trabajo al que éstas han de ajustar su comportamiento mutuo, aunque ello no suponga, ciertamente, la existencia de un deber genérico de lealtad con un significado omnicomprensivo de sujeción del trabajador al interés empresarial, pues tal cosa no resultaría acorde con el sistema constitucional de relaciones laborales. </w:t>
      </w:r>
    </w:p>
    <w:p w:rsidR="0025129F" w:rsidRDefault="0025129F" w:rsidP="0025129F">
      <w:pPr>
        <w:pStyle w:val="TextoNormal"/>
      </w:pPr>
      <w:r>
        <w:t>Expuesta la anterior doctrina, el Fiscal procede a analizar si el despido puede calificarse como nulo, y comienza destacando que, dado que las manifestaciones del actor se efectuaron en la Junta ordinaria de accionistas, se debían circunscribir a tal ámbito, sin que, en consecuencia, pudiera verse mermada en forma alguna su libertad de expresión, al no existir "limite adicional" o "condicionamiento" derivado del deber de lealtad, como manifestación de la buena fe contractual. Y ello incluso aunque el actor, al hacer uso de la palabra en aquel acto, manifestara que expresaba sus opiniones en su doble condición de accionista y trabajador, pues la última de las cualidades citadas no le estaba permitiendo en modo alguno intervenir, al tratarse de la reunión de un órgano social, en el que los trabajadores no participan. Prosigue, sin embargo, señalando que "cuestión diferente es la que se refiere no a la cualidad con la que el actor intervino en este acto, sino al contenido de su interven</w:t>
      </w:r>
      <w:r>
        <w:lastRenderedPageBreak/>
        <w:t>ción, y más concretamente a la fuente de conocimiento de los hechos que relató en la Junta de accionistas, y que él mismo refirió a su propia experiencia personal como director de una oficina; es decir, que en definitiva, actuando como accionista, reveló diversos extremos relativos al funcionamiento interno de la entidad ... que con independencia del lugar en el que se hicieran -Junta Ordinaria de Accionistas o cualquier otro-, suponían descubrir a terceros aspectos internos del funcionamiento de la entidad empleadora, defraudando el deber de sigilo o discreción, máxime teniendo en cuenta que las irregularidades advertidas por el trabajador podían hacerse llegar a los órganos directivos de la sociedad por la vía adecuada dentro de un organigrama empresarial, con lo que la conducta del actor, no puede por menos de calificarse como vulneradora del secreto profesional". De lo anterior, el Fiscal deduce que, al intervenir el recurrente en la Junta en la única condición en que podía -es decir, como accionista- y al ser sancionada su actuación con un despido disciplinario, resulta obvio que se afectó su derecho fundamental a la libertad de expresión, ya que éste no podía resultar condicionado ni sujeto a un límite adicional derivado del vínculo laboral. Por otro lado, afirma que la revelación de aspectos internos de la entidad en el foro público supuso una falta de lealtad para con el empleador, que quizás pudiese constituir una causa justificativa de la decisión de resolver el contrato de trabajo. Concluye finalmente, el Fiscal argumentando que "en este caso, la interrelación entre esos dos términos, que aparecen en principio como antagónicos, debe resolverse aplicando la anterior doctrina sentada en la STC 7/1993 y por lo tanto estimar la existencia de un despido 'pluricausal', en el que confluye, un panorama discriminatorio (sanción a trabajador por sus opiniones como accionista) y otro eventual motivo concomitante de justificación (revelación por el trabajador de un secreto profesional), que resulta válido para excluir que el mismo pueda considerarse discriminatorio o contrario a los derechos fundamentales -con independencia de que merezca la calificación de procedente o improcedente-, lo que conduce a estimar indebida la concesión del amparo". Por todo lo expuesto, el Fiscal interesa se dicte Sentencia que declare como único pronunciamiento la denegación del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24 de enero de 2002 se señaló para deliberación y votación de la presente Sentencia el siguiente día 28.</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Tal como ha quedado expuesto en los antecedentes, el recurrente en amparo, don José Velasco Aroca, director de una sucursal bancaria de Caja Postal, S.A., fue despedido disciplinariamente por transgresión de la buena fe contractual (art. 54.2.d LET) con motivo de las críticas que profirió contra el Presidente de Argentaria, S.A., durante la celebración de la Junta General de Accionistas de la entidad el 23 de junio de 1995. Su demanda de amparo se dirige frente a la Sentencia del Juzgado de lo Social núm. 15 de Madrid, de 18 de octubre de 1995, así como a la dictada en suplicación por la Sala de lo Social del Tribunal Superior de Justicia de Madrid, de 21 de marzo de 1997, que declararon, respectivamente, la procedencia e improcedencia de su despido, pero no su nulidad, razón por la cual considera que ambas decisiones judiciales lesionaron su derecho fundamental a la libertad de expresión (art. 20.1.a CE). Sostiene el recurrente que la causa de su despido resultaba ajena al ámbito laboral, y que, consecuentemente, su actuación no podía calificarse como transgresora de la buena fe contractual. Considera que su intervención en la Junta General de Accionistas de Argentaria, S.A., efectuada como accionista, supuso el </w:t>
      </w:r>
      <w:r>
        <w:lastRenderedPageBreak/>
        <w:t>ejercicio de una crítica legítima de la gestión empresarial, sin que sus opiniones hubiesen resultado injuriosas o vejatorias, y que, a pesar de ello, ninguna de las Sentencias impugnadas, por distintas razones, había procedido a ponderar si las manifestaciones objeto de la sanción empresarial traspasaron los límites del derecho fundamental que se estima vulnerado.</w:t>
      </w:r>
    </w:p>
    <w:p w:rsidR="0025129F" w:rsidRDefault="0025129F" w:rsidP="0025129F">
      <w:pPr>
        <w:pStyle w:val="TextoNormal"/>
      </w:pPr>
      <w:r>
        <w:t>Por su parte, el Ministerio Fiscal interesa la denegación del recurso de amparo al calificar el despido del recurrente de pluricausal, ya que, en su opinión, en la decisión empresarial extintiva confluyeron un panorama discriminatorio (en la medida en que el recurrente fue sancionado por las opiniones que manifestó como accionista) y una causa concomitante de despido, cual fue el incumplimiento del deber de sigilo profesional que pesaba sobre el recurrente al haber revelado datos en la Junta General de Accionistas concernientes al funcionamiento interno de la entidad para la que trabajaba, causa válida para excluir el carácter discriminatorio del despido, con independencia de la calificación como procedente o improcedente que pudiera merecer.</w:t>
      </w:r>
    </w:p>
    <w:p w:rsidR="0025129F" w:rsidRDefault="0025129F" w:rsidP="0025129F">
      <w:pPr>
        <w:pStyle w:val="TextoNormal"/>
      </w:pPr>
      <w:r>
        <w:t>Finalmente, la representación procesal de Argentaria, Caja Postal y Banco Hipotecario, S.A., empresa demandada en el proceso a quo, sostiene que no ha existido la vulneración denunciada del derecho fundamental invocado, porque las manifestaciones del recurrente -efectuadas no sólo en su calidad de accionista, sino también de trabajador- quedaban fuera del ámbito de protección del derecho fundamental de libertad de expresión, al constituir juicios de valor claramente ofensivos, innecesarios y emitidos en descrédito de los directivos y responsables de la empresa.</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abordar el examen del objeto del presente proceso constitucional es necesario realizar una precisión previa, dado que el Ministerio Fiscal hace referencia en su escrito de alegaciones a la posible vulneración del derecho a la tutela judicial efectiva (art. 24.1 CE) por la incongruencia omisiva en que habría incurrido la Sentencia del Tribunal Superior de Justicia de Madrid, de 21 de marzo de 1997, pues, a su juicio, dejó incontestada la pretensión del recurrente relativa a la nulidad del despido como consecuencia de la lesión de su derecho de libertad de expresión, acudiendo para ello al razonamiento de la "no laboralidad" de la imputación o crítica que el actor dirigió ante la Junta General de Accionistas de Argentaria, S.A., al presidente de esta entidad.</w:t>
      </w:r>
    </w:p>
    <w:p w:rsidR="0025129F" w:rsidRDefault="0025129F" w:rsidP="0025129F">
      <w:pPr>
        <w:pStyle w:val="TextoNormal"/>
      </w:pPr>
      <w:r>
        <w:t>Sin embargo, además de no denunciarse en la demanda de amparo la vulneración del derecho consagrado en el art. 24.1 CE, la vulneración alegada no se ha producido, toda vez que la Sala de lo Social dio respuesta expresa y directa a la lesión invocada por el recurrente, al entender que el enjuiciamiento del uso correcto o incorrecto de la libertad de expresión debía efectuarse desde una perspectiva y en un ámbito diferente al laboral, y, por ello, ajeno a la jurisdicción del orden social, puesto que la declaración de nulidad radical presupone la represión de un derecho fundamental ejercitado "desde" o "dentro" de la relación laboral, lo que no ocurría en el presente caso en el que el recurrente no actuaba como trabajador, sino como accionista. Por tal motivo la Sala consideró que no podía declarar nulo el despido. Consiguientemente, y con independencia de que, al abordar la cuestión de fondo, podamos aceptar o no la solución adoptada por el órgano judicial, no cabe apreciar la vulneración del derecho a la tutela judicial efectiva, ya que la cuestión sometida a la consideración del órgano judicial en el recurso de suplicación no quedó imprejuzgada o sin respuesta, sino, al contrario, fue respondida motivadamente.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Entrando ya en el fondo del asunto, invoca el actor la vulneración de su derecho fundamental a la libertad de expresión (art. 20.1.a CE) alegando que las manifestaciones </w:t>
      </w:r>
      <w:r>
        <w:lastRenderedPageBreak/>
        <w:t>críticas dirigidas al presidente de Argentaria, S.A., en un foro ajeno al trabajo se convirtieron en el único elemento justificante de su despido. Siendo esta la pretensión de la demanda de amparo nos corresponde, como Tribunal de garantía o tutela de los derechos fundamentales, efectuar la ponderación del derecho que el recurrente estima vulnerado y de las circunstancias concurrentes en su ejercicio, al objeto de determinar si tuvo lugar dentro de su ámbito legítimo, constitucionalmente protegido frente al poder disciplinario empresarial, y si las limitaciones establecidas por los órganos judiciales están constitucionalmente justificadas (SSTC 105/1990, de 6 de junio, FJ 4; y 204/1997, de 25 de noviembre, FJ 2). Y aunque, en principio, tal ponderación deben hacerla los órganos judiciales, nuestro enjuiciamiento, cuando de la infracción de derechos fundamentales sustantivos se trata, no se limita a examinar la razonabilidad de la motivación de las Sentencias objeto de impugnación (SSTC 200/1998, de 14 de octubre, FJ 4; 134/1999, de 15 de julio FJ 2; 180/1999, de 11 de octubre, FJ 3; 112/2000, de 7 de junio, FJ 5; 297/2000, de 11 de diciembre, FJ 3; y 49/2001, de 26 de febrero, FJ 3), sino que alcanza a comprobar si se ha realizado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(STC 6/1988, FJ 4, con cita de la STC 8/1985, FJ 4)" (STC 106/1996, de 12 de junio, FJ 5). Hemos de examinar, en consecuencia, si en el presente caso el recurrente en amparo hizo un uso legítimo de su derecho fundamental de libre expresión al emitir sus críticas contra el presidente de Argentaria, S.A., durante la celebración de la Junta General de Accionistas, en cuyo caso, la sanción de despido disciplinario por transgresión de la buena  fe contractual habría vulnerado aquel derecho fundamental y también las Sentencias impugnadas en la medida en que no repararon la lesión, o si, por el contrario, sus manifestaciones fueron inapropiadas, en la forma o en el fondo, excediendo los límites constitucionalmente admisibles, y, en su consecuencia, fue proporcionada y adecuada la medida disciplinaria adoptada por la empresa.</w:t>
      </w:r>
    </w:p>
    <w:p w:rsidR="0025129F" w:rsidRDefault="0025129F" w:rsidP="0025129F">
      <w:pPr>
        <w:pStyle w:val="TextoNormal"/>
      </w:pPr>
      <w:r>
        <w:t>En este sentido, y como ha quedado dicho en los antecedentes, ninguna de las dos Sentencias recurridas, pese a contener pronunciamientos de sentido diverso, reconocieron la lesión del derecho fundamental invocado. Efectivamente, el Juzgado de lo Social declaró la procedencia del despido sobre la base de que el art. 20.1.a CE no alcanza a los insultos, a las acusaciones graves no probadas como ciertas, ni a los calificativos degradantes, considerando que la actuación del recurrente fue contraria a la buena fe y al deber de lealtad hacia la empresa, por cuanto en la Junta de Accionistas había formulado expresiones vejatorias para la empresa y para su presidente, que extralimitaron su derecho de libre expresión como trabajador de la empresa y como accionista. Por su parte, la Sala de lo Social del Tribunal Superior de Justicia de Madrid, aunque calificó el despido del recurrente como improcedente, tampoco reparó la lesión denunciada, al entender que la actuación objeto de sanción realizada por el recurrente en su condición de accionista en el ámbito de la relación mercantil o societaria que le unía a la entidad, resultaba ajena a la relación laboral y no era susceptible de constituir un incumplimiento contractual, por lo que la eventual lesión del derecho a la libertad de expresión debía juzgarse en un ámbito extralaboral.</w:t>
      </w:r>
    </w:p>
    <w:p w:rsidR="0025129F" w:rsidRDefault="0025129F" w:rsidP="0025129F">
      <w:pPr>
        <w:pStyle w:val="TextoNormal"/>
      </w:pPr>
      <w:r>
        <w:t xml:space="preserve">En consecuencia, el análisis de la vulneración alegada exige partir necesariamente de la doble condición que en este caso posee el recurrente, esto es, de un lado, accionista de una entidad financiera, y, de otra parte, trabajador de la misma como director de una sucursal bancaria. Ahora bien, es necesario precisar ya en este momento que el recurrente intervino </w:t>
      </w:r>
      <w:r>
        <w:lastRenderedPageBreak/>
        <w:t>en la Junta General de Accionistas en la que profirió las manifestaciones aquí discutidas en su calidad de accionista, pues era únicamente ésta condición la que le legitimaba para participar en dicho órgano social. Sin embargo, aunque esto sea así, no cabe duda alguna de que tal condición en este caso resulta inseparable de la de trabajador de la entidad, pues, con independencia de que las manifestaciones realizadas por el recurrente encuentran su base no sólo en el conocimiento adquirido como accionista de la misma, sino en la experiencia alcanzada fruto de las funciones que venía desempeñando en la entidad bancaria, la realidad incuestionable es, como razona el Fiscal, el "despido y el contenido de la carta de despido que expresamente sitúa el origen de la decisión de prescindir de los servicios del actor, en el hecho mismo de la crítica; derivando de ello consecuencias como trabajador, no como accionista". No es posible, pues, como hace la Sala de lo Social del Tribunal Superior de Justicia en la Sentencia de suplicación impugnada, deslindar si las manifestaciones críticas vertidas por el recurrente en la Junta General de Accionistas respondieron a una u otra cualidad para situarlos fuera de la relación laboral y concluir en la imposibilidad de su calificación como incumplimiento contractual laboral y en la consiguiente calificación del despido como improcedente, pues, según sigue argumentando el Fiscal, los hechos "no son otros que una actuación reactiva del empleador despidiendo al trabajador, es decir ejercitando una acción de resolución de contrato por supuesto incumplimiento de una obligación, cual es la del respeto de la buena fe contractual". Lo determinante, por tanto, no es si las manifestaciones del recurrente respondieron en mayor o menor medida a una u otra cualidad, sino el hecho de que fueron la causa de su despido y trascendieron, en su efecto, del ámbito mercantil como accionista, condición en virtud de la que participó en la Junta General y emitió sus opiniones y juicios de valor negativos sobre la gestión de la entidad, al laboral como trabajador, condición en virtud de la cual fue despedido.  Habiendo sido esto así, es entonces desde la perspectiva contractual laboral desde la que debe analizarse el contenido de tales manifestaciones, en orden a determinar si resultaban comprendidas dentro del ámbito del derecho fundamental garantizado por el art. 20.1.a CE, o por el contrario, la modulación que en el ejercicio de tal derecho fundamental impone la existencia de una relación laboral las sitúa fuera del ámbito de su protección, significando un incumplimiento del deber contractual de buena fe que preside las relaciones laborales.</w:t>
      </w:r>
    </w:p>
    <w:p w:rsidR="0025129F" w:rsidRDefault="0025129F" w:rsidP="0025129F">
      <w:pPr>
        <w:pStyle w:val="TextoNormal"/>
      </w:pPr>
    </w:p>
    <w:p w:rsidR="0025129F" w:rsidRDefault="0025129F" w:rsidP="0025129F">
      <w:pPr>
        <w:pStyle w:val="TextoNormal"/>
      </w:pPr>
      <w:r w:rsidRPr="0025129F">
        <w:rPr>
          <w:rStyle w:val="NumeroAFNegritaCaracter"/>
        </w:rPr>
        <w:t>4</w:t>
      </w:r>
      <w:r>
        <w:t>. Sentado lo anterior, no resulta ocioso recordar que, según jurisprudencia consolidada, el derecho a la libertad de expresión tiene por objeto la libre expresión de pensamientos, ideas y opiniones, concepto amplio dentro del cual deben incluirse las creencias y juicios de valor. Según hemos dicho con reiteración, este derecho comprende la crítica de la conducta de otro, aun cuando la misma sea desabrida y pueda molestar, inquietar o disgustar a quien se dirige (SSTC 6/2000, de 17 de enero, FJ 5; 49/2001, de 26 de febrero, FJ 4; y 204/2001, de 15 de octubre, FJ 4), pues "así lo requieren el pluralismo, la tolerancia y el espíritu de apertura, sin lo cuales no existe 'sociedad democrática' (SSTEDH de 23 de abril de 1992, Castells c. España, § 42, y de 29 de febrero de 2000, [Fuentes Bobo c. España], § 43). Fuera del ámbito de protección de dicho derecho se sitúan las frases y expresiones ultrajantes u ofensivas, sin relación con las ideas u opiniones que se expongan, y por tanto, innecesarias a este propósito, dado que el art. 20.1.a CE no reconoce un pretendido derecho al insulto, que sería, por lo demás incompatible con la norma fundamental (SSTC 204/1997, de 25 de noviembre; 134/1999, de 15 de julio, FJ 3; 6/2000, de 17 de enero, FJ 5; 11/2000, de 17 de enero, FJ 7; 110/2000, de 5 de mayo, FJ 8; 297/2000, de 11 de diciembre, FJ 7; 49/2001, de 26 de febrero, FJ 5; y 148/2001, de 15 de octubre, FJ 4).</w:t>
      </w:r>
    </w:p>
    <w:p w:rsidR="0025129F" w:rsidRDefault="0025129F" w:rsidP="0025129F">
      <w:pPr>
        <w:pStyle w:val="TextoNormal"/>
      </w:pPr>
      <w:r>
        <w:lastRenderedPageBreak/>
        <w:t>Pues bien, planteándose nuevamente ante este Tribunal la cuestión relativa a la protección del derecho fundamental a la libertad de expresión frente al ejercicio del poder disciplinario empresarial en el seno de una relación de trabajo, se hace preciso recordar que la celebración de un contrato de trabajo no implica, en modo alguno, la privación para una de las partes, el trabajador, de los derechos que la Constitución le reconoce como ciudadano, así como también que la libertad de empresa (art. 38 CE) no legitima que los trabajadores hayan de soportar limitaciones injustificadas de sus derechos fundamentales y libertades públicas (por todas, STC 80/2001, de 26 de marzo, FJ 3, con cita de la STC 88/1985, de 19 de julio, FJ 2). Es cierto que tanto el derecho a la libertad de expresión (art. 20.1.a CE), como el derecho a la información (art. 20.1.d CE), revisten matices específicos cuando su ejercicio se realiza en el ámbito de la relación laboral, pues la buena fe o la especial confianza recíproca entre el trabajador y el empresario inherente al vínculo contractual que les une actúa como límite adicional a ese ejercicio. Hemos dicho en reiteradas ocasiones que la relación contractual laboral genera un complejo de derechos y obligaciones recíprocas que modula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(SSTC 106/1996, de 12 de junio, FJ 5; 1/1998, de 12 de enero, FJ 3; 90/1999, de 26 de mayo, FJ 3; y 241/1999, de 20 de diciembre, FJ 4). Sin embargo, esto no significa que exista un deber genérico de lealtad con un significado omnicomprensivo de sujeción del trabajador al interés empresarial, pues no resultaría acorde con el sistema constitucional de relaciones laborales (SSTC 186/1996, de 25 de noviembre, FJ 3; 204/1997, de 25 de noviembre, FJ 2; 1/1998, de 12 de enero, FJ 3; 197/1998, de 13 de octubre, FJ 2; y 241/1999, de 20 de diciembre, FJ 4). Por este motivo, es preciso que en casos como el presente, los órganos judiciales preserven el necesario equilibrio entre las obligaciones del trabajador dimanantes del contrato de trabajo y el ámbito de sus derechos y libertades constitucionales, pues  dada la posición preeminente de éstos en el Ordenamiento jurídico, en cuanto "proyecciones de los núcleos esenciales de la dignidad de la persona" (art. 10.1 CE) y fundamentos del propio Estado democrático (art. 1 CE), la modulación que el contrato de trabajo puede producir en su ejercicio ha de ser la estrictamente imprescindible para el logro de los legítimos intereses empresariales, y proporcional y adecuada a la consecución de tal fin (SSTC 6/1982, de 21 de enero, FJ 8; 106/1996, de 12 de junio, FJ 5; 204/1997, de 25 de noviembre, FJ 2; 1/1998, de 12 de enero, FJ 3; 90/1999, de 26 de mayo, FJ 3; 98/2000, de 10 de abril, FJ 7; y 80/2001, de 26 de marzo, FJ 3, entre otras).</w:t>
      </w:r>
    </w:p>
    <w:p w:rsidR="0025129F" w:rsidRDefault="0025129F" w:rsidP="0025129F">
      <w:pPr>
        <w:pStyle w:val="TextoNormal"/>
      </w:pPr>
    </w:p>
    <w:p w:rsidR="0025129F" w:rsidRDefault="0025129F" w:rsidP="0025129F">
      <w:pPr>
        <w:pStyle w:val="TextoNormal"/>
      </w:pPr>
      <w:r w:rsidRPr="0025129F">
        <w:rPr>
          <w:rStyle w:val="NumeroAFNegritaCaracter"/>
        </w:rPr>
        <w:t>5</w:t>
      </w:r>
      <w:r>
        <w:t>. Aplicando la doctrina expuesta al caso analizado, es preciso partir del específico contexto en el que se produjeron las manifestaciones controvertidas efectuadas por el recurrente en el seno de una Junta General ordinaria de Accionistas en la que aquél participaba como sujeto titular de acciones. Tal tipo de Junta es expresión del principio democrático de participación de los accionistas, proyección de su libertad y manifestación colectiva de la libertad de expresión, ejercitada a través de una asociación transitoria de personas que opera a modo de técnica instrumental para el intercambio o exposición de ideas, de la defensa de intereses o de la publicidad de problemas o reivindicaciones. En una sociedad democrática, la Junta de accionistas configura un espacio de participación de éstos en la gestión societaria, en la que no sólo pueden expresar sus opiniones, sino también su conformidad o disconformidad, tanto con la gestión social, en sentido genérico, como con los responsables de la misma, a título particular.</w:t>
      </w:r>
    </w:p>
    <w:p w:rsidR="0025129F" w:rsidRDefault="0025129F" w:rsidP="0025129F">
      <w:pPr>
        <w:pStyle w:val="TextoNormal"/>
      </w:pPr>
      <w:r>
        <w:lastRenderedPageBreak/>
        <w:t>En este marco, no se puede obviar el hecho de que la persona a la que el recurrente dirigió sus críticas era el máximo gestor de un ente societario, y, como tal, revestía una incuestionable "notoriedad pública". Hemos dicho que cuando se ejercita la libertad de expresión reconocida en el art. 20.1.a CE,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(STC 159/1986, de 16 de diciembre, FJ 6). Y hemos distinguido entre "personaje público", categoría reservada únicamente a todo aquel que tenga atribuida la administración del poder público, y "personajes con notoriedad pública" (SSTC 134/1999, de 15 de julio, FJ 7; y 192/1999, de 25 de octubre, FJ 7).</w:t>
      </w:r>
    </w:p>
    <w:p w:rsidR="0025129F" w:rsidRDefault="0025129F" w:rsidP="0025129F">
      <w:pPr>
        <w:pStyle w:val="TextoNormal"/>
      </w:pPr>
      <w:r>
        <w:t>En el presente caso, aun cuando el destinatario de las manifestaciones críticas del recurrente no fuera una persona investida de "autoridad pública", no cabe duda de que el presidente de la entidad bancaria comparecida en el presente proceso constitucional tiene una clara proyección pública atendiendo al puesto que ocupa o desempeña. Junto a esto, se ha de tener en cuenta, además, que la celebración de la Junta en la que participó el actor tenía precisamente por cometido actuar el control por parte de los accionistas de la gestión social llevada a cabo durante el ejercicio en cuestión, así como hacer posible la aprobación de las cuentas. En consecuencia, la persona responsable de la gestión de la entidad debía asumir el riesgo de que las opiniones, críticas o informaciones vertidas por los accionistas pudieran llegar a resultarle molestas o hirientes, en la medida en que su labor gestora se encontraba sometida al escrutinio de los distintos titulares de acciones que encuentran en la Junta de accionistas el cauce apropiado para la expresión libre de sus opiniones.</w:t>
      </w:r>
    </w:p>
    <w:p w:rsidR="0025129F" w:rsidRDefault="0025129F" w:rsidP="0025129F">
      <w:pPr>
        <w:pStyle w:val="TextoNormal"/>
      </w:pPr>
      <w:r>
        <w:t>Ahora bien, el derecho de libre expresión no permite que la crítica pueda ir acompañada de expresiones formalmente injuriosas o que se refieran a cuestiones cuya revelación o divulgación resulte innecesaria para hacer uso de ese derecho de participación social, pues, pese a la notoriedad pública de la persona frente a la que se dirige la crítica u opinión o revelación adversa, que puede alcanzar una mayor intensidad que la dirigida frente a aquellas personas privadas sin vocación ni proyección pública, aquélla, como es obvio, no carece de los derechos al honor, a la intimidad o a la propia imagen frente a las opiniones, críticas o informaciones lesivas del art. 18 CE (SSTC 11/2000, de 18 de febrero, FJ 8; 21/2000, de 31 de enero, FJ 6; 112/2000, de 5 de mayo, FJ 8; 148/2001, de 27 de junio, FJ 6; y 204/2001, de 15 de octubre, FJ 6). Lo que no implica que se pueda silenciar o recriminar a quienes emiten sus opiniones, comentarios o críticas sobre su actuación gestora, dentro de los límites del ejercicio legítimo del derecho a la libertad de expresión.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Sentado lo anterior, debemos afirmar que la intervención del recurrente en la Junta en modo alguno resulta reprochable desde la perspectiva de los límites genéricos al derecho de libertad de expresión; antes al contrario, supuso un legítimo ejercicio de su derecho fundamental a la libertad de expresión (art. 20.1.a CE), en la medida en que se limitó a manifestar su desaprobación a la gestión social llevada a cabo, expresando su disconformidad tanto con el informe de gestión como con las cuentas anuales y de resultados, así como con el dividendo activo, para terminar criticando diferentes aspectos relativos a la utilización que se estaba haciendo de Caja Postal para salvar otras unidades de Argentaria, las diferentes actuaciones que hacían perder la confianza de los clientes en esa entidad bancaria, el intento de absorción de Caja Postal por el Banco Exterior de España, o, finalmente, el deficiente funcionamiento de algunos servicios como el de atención al cliente. </w:t>
      </w:r>
      <w:r>
        <w:lastRenderedPageBreak/>
        <w:t>Como puede apreciarse, todas y cada una de sus críticas se refirieron a la gestión social objeto de valoración en esa Junta, y lo fueron en la persona de su presidente, como último sujeto responsable de la gestión criticada, sin que sus palabras puedan calificarse como ofensivas o vejatorias o realizadas en desdoro del prestigio de aquél o de la empresa.</w:t>
      </w:r>
    </w:p>
    <w:p w:rsidR="0025129F" w:rsidRDefault="0025129F" w:rsidP="0025129F">
      <w:pPr>
        <w:pStyle w:val="TextoNormal"/>
      </w:pPr>
      <w:r>
        <w:t>Teniendo en cuenta las circunstancias del caso, el contenido mismo de las expresiones cuestionadas y el que las mismas tenían como fondo un análisis crítico de la gestión social de la entidad en el marco de una Junta de accionistas en la que el recurrente participaba, no cabe considerar que sus expresiones fueran innecesarias y gratuitas en relación con las manifestaciones que expresaba, ni que por su contenido y forma, tuvieran una finalidad vejatoria, pues se limitaron a reforzar el juicio de valor emitido por el recurrente. En ningún caso se utilizaron calificativos insultantes o que desacreditasen al presidente de la entidad o a la empresa, sino, antes al contrario, la exposición se realizó dentro de los límites de lo tolerable, o, como dicen las propias Sentencias impugnadas en sus relaciones de hechos probados, "en tono correcto y adecuado". Desde esta triple vertiente, esto es, el lugar o específico contexto en el que se expresaron (la Junta de accionistas), la condición o cualidad con la que se emitieron (accionista), y, finalmente, la forma o medio de manifestarlas (en tono correcto y adecuado, como acabamos de señalar, y oralmente y no con el sosiego y la meditación que cabe presumir en quien redacta un escrito, como se ha dicho, por ejemplo, en la STC 336/1993, de 15 de noviembre, FJ 6.b, o en la STEDH de 29 de febrero de 2000, Fuentes Bobo c. España, § 46), ninguna censura se puede efectuar de la intervención del recurrente desde la perspectiva del examen de los límites genéricos del derecho fundamental a la libertad de expresión.</w:t>
      </w:r>
    </w:p>
    <w:p w:rsidR="0025129F" w:rsidRDefault="0025129F" w:rsidP="0025129F">
      <w:pPr>
        <w:pStyle w:val="TextoNormal"/>
      </w:pPr>
    </w:p>
    <w:p w:rsidR="0025129F" w:rsidRDefault="0025129F" w:rsidP="0025129F">
      <w:pPr>
        <w:pStyle w:val="TextoNormal"/>
      </w:pPr>
      <w:r w:rsidRPr="0025129F">
        <w:rPr>
          <w:rStyle w:val="NumeroAFNegritaCaracter"/>
        </w:rPr>
        <w:t>7</w:t>
      </w:r>
      <w:r>
        <w:t>. No habiendo excedido las manifestaciones del recurrente en amparo los límites genéricos del derecho de libre expresión, resta examinar si su conducta traspasó los límites específicos que para el ejercicio de dicho derecho en ejecución de un contrato de trabajo se derivan de la relación contractual laboral, ya que en este ámbito contractual se produjo la reacción sancionadora de Argentaria, S.A., frente a aquella conducta, instrumentada a través del ejercicio de la facultad empresarial de despido disciplinario por transgresión de la buena fe contractual (art. 54.1.d LET). Es decir, hemos de determinar si el despido del recurrente producido, a tenor de los términos de la carta de despido, "dejando al margen su condición de accionista", "por las descalificaciones dirigidas al presidente de la Compañía, Sr. Luzón", lesionó o no el derecho fundamental que invoca el recurrente.</w:t>
      </w:r>
    </w:p>
    <w:p w:rsidR="0025129F" w:rsidRDefault="0025129F" w:rsidP="0025129F">
      <w:pPr>
        <w:pStyle w:val="TextoNormal"/>
      </w:pPr>
      <w:r>
        <w:t xml:space="preserve">Sobre este particular, mantiene, de un lado, el Juzgado de lo Social que el contenido de la intervención del actor traspasó el límite indicado, al suponer "una violación grave del deber de lealtad hacia la empresa, con evidente trascendencia negativa para su prestigio, así como para el presidente de la misma, Sr. Luzón, al haberle acusado de actuaciones graves, y, por supuesto, inciertas por no probadas". En cambio, a la Sentencia dictada en grado de suplicación le resultó evidente "la falta de legitimación del empresario para sancionar tal hecho, ya que no podemos reputar incumplimiento contractual una actuación ajena a la relación laboral". Considerando que el contenido de la intervención del recurrente en la Junta General de Argentaria debía enjuiciarse en el ámbito societario y no ante la jurisdicción social, insistió la Sentencia de la Sala de lo Social del Tribunal Superior de Justicia de Madrid en considerar "inexistente el incumplimiento" contractual del trabajador y la necesidad de revocar la declaración de procedencia del despido efectuada por la Sentencia de instancia. Pero al no pronunciarse sobre la vulneración del derecho fundamental de libre expresión del recurrente, que remite a "un ámbito extralaboral", argumentó que el despido no podía ser declarado nulo, sino improcedente. "La ilicitud del despido", </w:t>
      </w:r>
      <w:r>
        <w:lastRenderedPageBreak/>
        <w:t>afirma, "no la hemos fijado en base a la censura injusta de la libertad de expresión -que exigiría ponderar si tales límites se han traspasado o no en relación con el derecho fundamental al honor del ofendido-, sino por considerar no laboral -y por tanto ajeno a esta jurisdicción- el acto imputado. La ilicitud deviene de la falta de acreditamiento de un incumplimiento contractual en cuanto consta que el actor, como accionista, no cometió ilícito laboral alguno. Entendemos que la cuestión nuclear de la ilicitud es ajena al derecho constitucional invocado en cuanto es elemento indiferente de su apreciación". No existiendo vulneración de un derecho fundamental "desde" o "dentro" de la relación laboral, "el despido injustificado ha de juzgarse improcedente" conforme al art. 55.4 LET. Por su parte, el Ministerio Fiscal considera que, en este caso, la transgresión de la buena fe contractual y del deber de lealtad se produjo por el incumplimiento del actor del deber de sigilo profesional, en la medida en que reveló a terceros aspectos internos del funcionamiento de la entidad empleadora, lo que a su juicio, justificaba el despido y excluía el carácter discriminatorio de la decisión empresarial.</w:t>
      </w:r>
    </w:p>
    <w:p w:rsidR="0025129F" w:rsidRDefault="0025129F" w:rsidP="0025129F">
      <w:pPr>
        <w:pStyle w:val="TextoNormal"/>
      </w:pPr>
      <w:r>
        <w:t>No puede este Tribunal, sin embargo, aceptar ninguna de las consideraciones anteriores, por las razones que pasamos a exponer.</w:t>
      </w:r>
    </w:p>
    <w:p w:rsidR="0025129F" w:rsidRDefault="0025129F" w:rsidP="0025129F">
      <w:pPr>
        <w:pStyle w:val="TextoNormal"/>
      </w:pPr>
      <w:r>
        <w:t>En primer lugar, frente a la Sentencia de instancia, que consideró que las expresiones vertidas por el recurrente lo fueron también como trabajador de la empresa demandada, porque, como ya hemos dicho, dichas manifestaciones críticas deben ponderarse teniendo en cuenta el foro y el modo específicos en el que se emitieron, lo que veda el poder calificarlas como injuriosas o vejatorias o innecesarias, y, en consecuencia, lesivas del derecho al honor del gestor social o del prestigio de la empresa, valor este último no exactamente identificable con el honor, consagrado en la Constitución como derecho fundamental, por lo que en su ponderación frente a la libertad de expresión debe asignársele un nivel más débil de protección del que corresponde atribuir al derecho al honor de las personas físicas, según afirmamos en nuestra STC 139/1995, de 26 de septiembre, FJ 4; y, en segundo término, porque, en el presente caso, ninguna relevancia ha de tener el que las manifestaciones del actor resultasen o no ciertas, ya que encontrándonos ante el ejercicio del derecho a la libertad de expresión, las opiniones o juicios de valor emitidos no se prestan -a diferencia de lo que ocurre con la libertad de información- a una demostración de su exactitud, no siendo exigible la prueba de la veracidad o la diligencia en su averiguación (por todas, STC 204/1997, de 25 de noviembre, FJ 2).</w:t>
      </w:r>
    </w:p>
    <w:p w:rsidR="0025129F" w:rsidRDefault="0025129F" w:rsidP="0025129F">
      <w:pPr>
        <w:pStyle w:val="TextoNormal"/>
      </w:pPr>
      <w:r>
        <w:t>Respecto de la Sentencia de suplicación, hemos de partir, como hicimos en el caso de la STC 57/1999, de 12 de abril, del hecho incuestionable de la ilicitud del despido (sea por su improcedencia, según la resolución judicial impugnada, sea por su nulidad, según se postula en el recurso de amparo). Pues bien, un despido acordado como reacción empresarial frente a las opiniones emitidas por el recurrente al margen de sus obligaciones contractuales laborales es un despido efectuado con vulneración de su derecho fundamental de libertad de expresión, pues para el Tribunal de suplicación no hay constancia alguna de que la censurada y sancionada expresión de las opiniones del recurrente se hubiera llevado a cabo fuera del ámbito propio y protegido de tal derecho al emitirse aquéllas fuera del vínculo contractual laboral. Pues bien, no siendo ilícito el ejercicio por el trabajador de su derecho fundamental de libre expresión, ámbito en el que la Sentencia de la Sala de lo Social sitúa la controversia aún sin pronunciarse sobre su licitud por apreciar falta de jurisdicción dada la condición de accionista del recurrente, es obvio que la reacción empresarial que condujo al despido, basado exclusivamente en las manifestaciones libremente expresadas por el trabajador despedido y que la Sala consideró ilícito por injustificado, no puede ser calificada sino como radicalmente nula.</w:t>
      </w:r>
    </w:p>
    <w:p w:rsidR="0025129F" w:rsidRDefault="0025129F" w:rsidP="0025129F">
      <w:pPr>
        <w:pStyle w:val="TextoNormal"/>
      </w:pPr>
      <w:r>
        <w:lastRenderedPageBreak/>
        <w:t>A ello ha de añadirse que el recurrente se limitó únicamente a señalar ante la Junta General de Accionistas algunas deficiencias o irregularidades en el funcionamiento de la entidad (como la emisión de tiradas masivas de tarjetas de crédito, la cesión de bases de datos de clientes, o la existencia de quejas en el Servicio de Atención al Cliente), que en modo alguno supuso la revelación de secretos relativos a la explotación y negocios del empresario, que pudiera justificar la restricción empresarial de su derecho fundamental a la libertad de expresión, especialmente si se toma en consideración el foro en el que se produjeron las manifestaciones controvertidas. En consecuencia, la sanción disciplinaria de la empresa contra las manifestaciones vertidas por el actor ha sido constitucionalmente ilegítima, por tratarse de una reacción totalmente desproporcionada (STEDH de 29 de febrero de 2000, Fuentes Bobo c.  España, § 50) frente a unas declaraciones que no sólo eran lícitas, como hemos visto, sino ajustadas al entorno en el que se desarrollaron.</w:t>
      </w:r>
    </w:p>
    <w:p w:rsidR="0025129F" w:rsidRDefault="0025129F" w:rsidP="0025129F">
      <w:pPr>
        <w:pStyle w:val="TextoNormal"/>
      </w:pPr>
    </w:p>
    <w:p w:rsidR="0025129F" w:rsidRDefault="0025129F" w:rsidP="0025129F">
      <w:pPr>
        <w:pStyle w:val="TextoNormal"/>
      </w:pPr>
      <w:r w:rsidRPr="0025129F">
        <w:rPr>
          <w:rStyle w:val="NumeroAFNegritaCaracter"/>
        </w:rPr>
        <w:t>8</w:t>
      </w:r>
      <w:r>
        <w:t>. Siendo esto así, es decir, producido el despido con vulneración del expresado derecho fundamental, es claro que la respuesta dada por la Sentencia ahora recurrida del Juzgado de lo Social no respetó el necesario equilibrio entre las obligaciones dimanantes del contrato de trabajo y el ámbito del derecho fundamental del trabajador en juego, ni la restricción del ejercicio de dicho derecho efectuada por el contrato de trabajo fue la estrictamente imprescindible, proporcional y adecuada a la satisfacción de legítimos intereses empresariales, puesto que la existencia misma de la relación laboral causó en el recurrente la vulneración de su derecho a expresar libremente sus pensamientos, ideas y opiniones por cuanto el ejercicio de dicho derecho fundamental fue la única causa de su despido.</w:t>
      </w:r>
    </w:p>
    <w:p w:rsidR="0025129F" w:rsidRDefault="0025129F" w:rsidP="0025129F">
      <w:pPr>
        <w:pStyle w:val="TextoNormal"/>
      </w:pPr>
      <w:r>
        <w:t>Tampoco la Sentencia de suplicación reparó la vulneración del derecho fundamental del recurrente a su libertad de expresión producida por el acto extintivo empresarial al declarar el despido improcedente con opción empresarial entre indemnización o readmisión.</w:t>
      </w:r>
    </w:p>
    <w:p w:rsidR="0025129F" w:rsidRDefault="0025129F" w:rsidP="0025129F">
      <w:pPr>
        <w:pStyle w:val="TextoNormal"/>
      </w:pPr>
      <w:r>
        <w:t>Lo antes razonado nos lleva derechamente al otorgamiento del amparo con la ineludible consecuencia de declarar la nulidad del despido disciplinario al incurrir éste en violación del invocado derecho fundamental, con los efectos legalmente previstos (art.  56.5 LET) de readmisión forzosa del trabajador despedido y abono de los salarios dejados de percibir.</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José Velasco Aroca y, en consecuencia:</w:t>
      </w:r>
    </w:p>
    <w:p w:rsidR="0025129F" w:rsidRDefault="0025129F" w:rsidP="0025129F">
      <w:pPr>
        <w:pStyle w:val="TextoNormal"/>
      </w:pPr>
      <w:r>
        <w:t>1º Declarar que ha sido vulnerado su derecho a la libertad de expresión (art. 20.1.a CE).</w:t>
      </w:r>
    </w:p>
    <w:p w:rsidR="0025129F" w:rsidRDefault="0025129F" w:rsidP="0025129F">
      <w:pPr>
        <w:pStyle w:val="TextoNormal"/>
      </w:pPr>
      <w:r>
        <w:t>2º Anular las Sentencias de la Sala de lo Social del Tribunal Superior de Justicia de Madrid, de 21 de marzo de 1997, y del Juzgado de lo Social núm.15 de Madrid, de 18 de octubre de 1995.</w:t>
      </w:r>
    </w:p>
    <w:p w:rsidR="0025129F" w:rsidRDefault="0025129F" w:rsidP="0025129F">
      <w:pPr>
        <w:pStyle w:val="TextoNormal"/>
      </w:pPr>
      <w:r>
        <w:t>3º Restablecer al recurrente en su derecho fundamental, declarando la nulidad del despido, con los efectos legales procedentes.</w:t>
      </w:r>
    </w:p>
    <w:p w:rsidR="0025129F" w:rsidRDefault="0025129F" w:rsidP="0025129F">
      <w:pPr>
        <w:pStyle w:val="TextoNormal"/>
      </w:pPr>
    </w:p>
    <w:p w:rsidR="0025129F" w:rsidRDefault="0025129F" w:rsidP="0025129F">
      <w:pPr>
        <w:pStyle w:val="TextoNormal"/>
      </w:pPr>
      <w:r>
        <w:lastRenderedPageBreak/>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4" w:name="SENTENCIA_2002_21"/>
      <w:r>
        <w:lastRenderedPageBreak/>
        <w:t>SENTENCIA 21/2002, de 28 de enero de 2002</w:t>
      </w:r>
    </w:p>
    <w:bookmarkEnd w:id="24"/>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ECLI:ES:TC:2002:21</w:t>
      </w:r>
    </w:p>
    <w:p w:rsidR="0025129F" w:rsidRDefault="0025129F" w:rsidP="0025129F">
      <w:pPr>
        <w:pStyle w:val="SntesisDescriptiva"/>
      </w:pPr>
    </w:p>
    <w:p w:rsidR="0025129F" w:rsidRDefault="0025129F" w:rsidP="0025129F">
      <w:pPr>
        <w:pStyle w:val="SntesisDescriptiva"/>
      </w:pPr>
      <w:r>
        <w:t>Recurso de amparo 1193/99. Promovido por don Javier Leocadio Martín Moyano frente a la Sentencia de la Sala de lo Contencioso-Administrativo del Tribunal Superior de Justicia de Andalucía que desestimó su demanda contra la Agencia Estatal de Administración Tributaria sobre liquidación del IRPF de 1992.</w:t>
      </w:r>
    </w:p>
    <w:p w:rsidR="0025129F" w:rsidRDefault="0025129F" w:rsidP="0025129F">
      <w:pPr>
        <w:pStyle w:val="SntesisDescriptiva"/>
      </w:pPr>
    </w:p>
    <w:p w:rsidR="0025129F" w:rsidRDefault="0025129F" w:rsidP="0025129F">
      <w:pPr>
        <w:pStyle w:val="SntesisAnaltica"/>
      </w:pPr>
      <w:r>
        <w:t>Supuesta vulneración del derecho a la igualdad: declaración conjunta en el impuesto sobre la renta de las personas físicas de los matrimonios con hijos, en contraste con los matrimonios separados (SSTC 47/2001 y 212/2001).</w:t>
      </w:r>
    </w:p>
    <w:p w:rsidR="0025129F" w:rsidRDefault="0025129F" w:rsidP="0025129F">
      <w:pPr>
        <w:pStyle w:val="SntesisAnaltica"/>
      </w:pPr>
    </w:p>
    <w:p w:rsidR="0025129F" w:rsidRDefault="0025129F" w:rsidP="0025129F">
      <w:pPr>
        <w:pStyle w:val="Extracto"/>
      </w:pPr>
      <w:r>
        <w:t>1.</w:t>
      </w:r>
      <w:r>
        <w:tab/>
        <w:t>El recurrente -no separado legalmente- en el supuesto de que opte por la declaración conjunta, debe acogerse, junto con su cónyuge e hijos menores no emancipados, a la modalidad de unidad familiar prevista en la Ley reguladora del impuesto sobre la renta de las personas físicas (STC 47/2001, FJ 5) [FJ 3].</w:t>
      </w:r>
    </w:p>
    <w:p w:rsidR="0025129F" w:rsidRDefault="0025129F" w:rsidP="0025129F">
      <w:pPr>
        <w:pStyle w:val="Extracto"/>
      </w:pPr>
    </w:p>
    <w:p w:rsidR="0025129F" w:rsidRDefault="0025129F" w:rsidP="0025129F">
      <w:pPr>
        <w:pStyle w:val="Extracto"/>
      </w:pPr>
      <w:r>
        <w:t>2.</w:t>
      </w:r>
      <w:r>
        <w:tab/>
        <w:t>La opción por la declaración conjunta debe abarcar a la totalidad de los miembros de la unidad familiar, de manera que si uno de ellos presenta declaración individual, los restantes deberán utilizar el mismo régimen (STC 212/2001) [FJ 3].</w:t>
      </w:r>
    </w:p>
    <w:p w:rsidR="0025129F" w:rsidRDefault="0025129F" w:rsidP="0025129F">
      <w:pPr>
        <w:pStyle w:val="Extracto"/>
      </w:pPr>
    </w:p>
    <w:p w:rsidR="0025129F" w:rsidRDefault="0025129F" w:rsidP="0025129F">
      <w:pPr>
        <w:pStyle w:val="Extracto"/>
      </w:pPr>
      <w:r>
        <w:t>3.</w:t>
      </w:r>
      <w:r>
        <w:tab/>
        <w:t>La norma tributaria discrimina a quienes están casados y no separados legalmente frente a quienes se han separado mediante resolución judicial, dado que el diverso trato responde a que las situaciones jurídicas consideradas son diferentes [FJ 3].</w:t>
      </w:r>
    </w:p>
    <w:p w:rsidR="0025129F" w:rsidRDefault="0025129F" w:rsidP="0025129F">
      <w:pPr>
        <w:pStyle w:val="Extracto"/>
      </w:pPr>
    </w:p>
    <w:p w:rsidR="0025129F" w:rsidRDefault="0025129F" w:rsidP="0025129F">
      <w:pPr>
        <w:pStyle w:val="Extracto"/>
      </w:pPr>
      <w:r>
        <w:t>4.</w:t>
      </w:r>
      <w:r>
        <w:tab/>
        <w:t>Para que el art. 14 CE resulte vulnerado por el legislador no basta con que en situaciones puntuales, al margen de los objetivos perseguidos por la Ley, determinados sujetos pasivos, con un determinado nivel de renta, puedan verse ocasionalmente beneficiados en su declaración del impuesto sobre la renta de las personas físicas por el hecho de no mantener una relación matrimonial [FJ 4].</w:t>
      </w:r>
    </w:p>
    <w:p w:rsidR="0025129F" w:rsidRDefault="0025129F" w:rsidP="0025129F">
      <w:pPr>
        <w:pStyle w:val="Extracto"/>
      </w:pPr>
    </w:p>
    <w:p w:rsidR="0025129F" w:rsidRDefault="0025129F" w:rsidP="0025129F">
      <w:pPr>
        <w:pStyle w:val="Extracto"/>
      </w:pPr>
      <w:r>
        <w:t>5.</w:t>
      </w:r>
      <w:r>
        <w:tab/>
        <w:t>El recurso de amparo constitucional se encuentra objetivamente limitado a la protección de los derechos y libertades reconocidos en los arts. 14 a 29 CE, más la objeción de conciencia del art. 30 CE (SSTC 159/1997, 26/2001)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1193/99, promovido por don Javier Leocadio Martín Moyano, bajo la representación procesal del Procurador de los Tribunales don Daniel Bufala Balmaseda y asistido por el Letrado don Alfonso Carbonell Porras, contra la Sentencia de la Sección Cuarta de la Sala de lo Contencioso-Administrativo del Tribunal Superior de Justicia de Andalucía con sede en Sevilla, de 12 de febrero de 1999, recaída en el recurso contencioso-administrativo núm. 1241/96, seguido contra la Resolución del Tribunal Económico-Administrativo Regional de Andalucía (Sevilla), con fecha de 21 de diciembre de 1995, desestimatoria de la reclamación interpuesta contra la liquidación complementaria girada por la Administración tributaria en concepto de Impuesto sobre la renta de las personas físicas correspondiente al ejercicio 1992. Han comparecido el Ministerio Fiscal y el Abogado del Estado.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ante este Tribunal el día 18 de marzo de 1999, el Procurador de los Tribunales don Daniel Bufala Balmaseda, en nombre y representación de don Javier Leocadio Martín Moyano, interpuso recurso de amparo constitucional contra la Sentencia de la Sección Cuarta de la Sala de lo Contencioso-Administrativo del Tribunal Superior de Justicia de Andalucía, de 12 de febrero de 1999, a que se refiere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se basa en los siguientes hechos: </w:t>
      </w:r>
    </w:p>
    <w:p w:rsidR="0025129F" w:rsidRDefault="0025129F" w:rsidP="0025129F">
      <w:pPr>
        <w:pStyle w:val="TextoNormal"/>
      </w:pPr>
      <w:r>
        <w:t xml:space="preserve">a) La Administración tributaria practicó al actor liquidación provisional paralela en concepto de Impuesto sobre la renta de las personas físicas correspondiente al ejercicio 1992 aplicándole la tarifa individual. La causa de la liquidación se encontraba en que el recurrente realizó su declaración del impuesto por el ejercicio citado de forma conjunta con sus tres hijos menores, pero autoliquidando su esposa de forma individual, cuando según la Ley la opción era, o para cada uno de los cónyuges de forma individual o de todos de manera conjunta en una sola declaración. </w:t>
      </w:r>
    </w:p>
    <w:p w:rsidR="0025129F" w:rsidRDefault="0025129F" w:rsidP="0025129F">
      <w:pPr>
        <w:pStyle w:val="TextoNormal"/>
      </w:pPr>
      <w:r>
        <w:t xml:space="preserve">b) Presentada reclamación económico-administrativa contra la anterior liquidación (expediente núm. 14/3140/94) ante el Tribunal Económico-Administrativo Regional de Andalucía, mediante Resolución con fecha de 21 de diciembre de 1995 se desestima, confirmando la liquidación girada. </w:t>
      </w:r>
    </w:p>
    <w:p w:rsidR="0025129F" w:rsidRDefault="0025129F" w:rsidP="0025129F">
      <w:pPr>
        <w:pStyle w:val="TextoNormal"/>
      </w:pPr>
      <w:r>
        <w:t xml:space="preserve">c) Interpuesto recurso contencioso-administrativo ante el Tribunal Superior de Justicia de Andalucía, éste se desestima por Sentencia con fecha de 12 de febrero de 1999 (recurso núm. 1241/96). La cuestión sometida a la consideración del Tribunal era determinar si el actor tenía derecho a tributar conjunta y solidariamente con sus hijos menores, cuando el cónyuge no separado legalmente había optado por el régimen de tributación individual. La </w:t>
      </w:r>
      <w:r>
        <w:lastRenderedPageBreak/>
        <w:t>respuesta de la Sala de lo Contencioso tuvo un carácter negativo, en tanto que entendió que la Ley 18/1991, de 6 de junio, reguladora del Impuesto sobre la renta de las personas físicas (en adelante, LIRPF), establecía como norma general la declaración individual, admitiendo sólo en determinados casos que, por razones de gestión y por decisión de todos los integrantes de determinados grupos familiares, pudiera acudirse a la declaración conjunta; en tal caso, se establecen tipos distintos con los que se tratan de neutralizar los efectos del carácter progresivo del impuesto respecto de la acumulación de rentas. Además, tal opción sólo es posible allí donde existen varios perceptores de rentas, que se acumulan en la declaración conjunta, lo que no ocurre en el presente caso, donde los hijos del demandante no aparecían como perceptores de ninguna renta.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su demanda de amparo aduce el recurrente la vulneración del derecho a la igualdad ante la ley (art. 14 CE) en relación con los arts. 31.1 (igualdad tributaria) y 39 (protección de la familia) del texto constitucional, ya que se le prohíbe el derecho, tanto en vía administrativa como en la posterior jurisdiccional, a elegir libremente la forma de tributar (individual o conjuntamente), por el hecho de estar legalmente casado cuando, sin embargo, dicha opción se permite a las parejas separadas legalmente. Es decir, que la discriminación se produce por "prohibir a un contribuyente, legalmente casado, realizar su declaración de la renta conjuntamente con sus hijos, que cumplen los requisitos exigidos en la ley, al realizar su cónyuge declaración individual, siendo el motivo de la prohibición el estar legalmente casado, y permitirlo a un contribuyente que esté legalmente separado". </w:t>
      </w:r>
    </w:p>
    <w:p w:rsidR="0025129F" w:rsidRDefault="0025129F" w:rsidP="0025129F">
      <w:pPr>
        <w:pStyle w:val="TextoNormal"/>
      </w:pPr>
      <w:r>
        <w:t>Para probar la existencia de discriminación el actor realiza diferentes interpretaciones de la normativa del IRPF, acudiendo a los métodos: literal y lógico (como la ley no define la unidad familiar admite la existencia de una unidad familiar formada sólo por cónyuges sin hijos), sociológico (la interpretación de que un padre o madre no pueden optar por el régimen de tributación conjunta con sus hijos por el mero hecho de estar casados es anacrónica), histórico-legislativo (puesto que aunque los antecedentes sean contrarios nada impide que la ley no pueda separarse del anterior criterio) y teleológico (dado que la exposición de motivos de la LIRPF se encarga de recordar la contribución de todos de acuerdo con su capacidad económica mediante un sistema tributario justo inspirado en los principios de igualdad y progresividad). No obstante, recalca que la vulneración constitucional no la produce la Ley sino la interpretación que de la Ley hace la Administración (confirmada por el órgano judicial).</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 de julio de 1999, la Sala Segunda acordó admitir a trámite la demanda y, en aplicación de lo dispuesto en el art. 51 LOTC, dirigir atenta comunicación a la Sala de lo Contencioso-Administrativo del Tribunal Superior de Justicia de Andalucía con sede en Sevilla para que remitiese testimonio del recurso núm. 1241/96, emplazando previamente a quienes hubieran sido parte en el procedimiento, con excepción del recurrente en amparo, para que, si así lo desean, puedan comparecer, en el plazo de diez días, en el presente proceso constitucional; igualmente interesó del Tribunal Económico-Administrativo Regional de Andalucía que remitiera certificación, o copia adverada, de las actuaciones correspondientes a la reclamación económico-administrativa núm. 14/3140/94. Por escrito presentado en el Registro de este Tribunal con fecha de 4 de agosto de 1999 se personó el Abogado del Estado.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5</w:t>
      </w:r>
      <w:r>
        <w:t>. Por providencia de 9 de septiembre de 1999, la Sala Segunda acordó tener por personado y parte en el procedimiento al Abogado del Estado y, a tenor de lo previsto en el art. 52.1 LOTC, dar vista de las actuaciones a las partes y al Ministerio Fiscal, por plazo común de veinte días para que, si lo consideran oportuno, presenten dentro de dicho plazo las alegaciones que estimen convenientes.</w:t>
      </w:r>
    </w:p>
    <w:p w:rsidR="0025129F" w:rsidRDefault="0025129F" w:rsidP="0025129F">
      <w:pPr>
        <w:pStyle w:val="TextoNormal"/>
      </w:pPr>
    </w:p>
    <w:p w:rsidR="0025129F" w:rsidRDefault="0025129F" w:rsidP="0025129F">
      <w:pPr>
        <w:pStyle w:val="TextoNormal"/>
      </w:pPr>
      <w:r w:rsidRPr="0025129F">
        <w:rPr>
          <w:rStyle w:val="NumeroAFNegritaCaracter"/>
        </w:rPr>
        <w:t>6</w:t>
      </w:r>
      <w:r>
        <w:t>. La parte actora presentó sus alegaciones por escrito con fecha de entrada en el Registro de este Tribunal de 1 de octubre de 1999, insistiendo en las alegaciones vertidas en el escrito de interposición de la demanda de amparo y suplicando su concesión.</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Abogado del Estado formuló alegaciones mediante escrito registrado el día 4 de octubre de 1999, en el que suplicaba se dictase Sentencia totalmente denegatoria del amparo pretendido. En su escrito, antes de analizar las vulneraciones de derechos fundamentales que se alegan, comienza haciendo tres precisiones. En primer lugar, señala que, con arreglo a los arts. 53.2 CE y 41.1 LOTC, no cabe entrar a examinar las supuestas infracciones de los arts. 31.1 y 39 CE, sino solamente las estrictamente basadas en el art. 14 CE. En segundo término, entiende que la demanda de amparo no pone en tela de juicio la constitucionalidad del art. 87 de la Ley del IRPF, sino la interpretación -ratificada o, al menos, no corregida por el Tribunal Superior de Justicia- con arreglo a la cual la Administración le ha aplicado el citado precepto legal, con lo cual el amparo debe quedar encuadrado en el art. 43 LOTC. En tercer lugar, considera patente que el suplico de la demanda de amparo formula algunas pretensiones ajenas a la jurisdicción de este Tribunal. En particular, a su juicio, mientras resulta lícito pretender la declaración de nulidad de la liquidación provisional impugnada y de la resolución judicial que se recurren en amparo, resulta incompatible con la configuración constitucional y legal del amparo solicitar que se declare el derecho del recurrente "a realizar declaración del impuesto sobre la renta de las personas físicas formando unidad familiar con sus hijos menores, haciéndolo su cónyuge, de quien no está legítimamente separado, de forma individual". </w:t>
      </w:r>
    </w:p>
    <w:p w:rsidR="0025129F" w:rsidRDefault="0025129F" w:rsidP="0025129F">
      <w:pPr>
        <w:pStyle w:val="TextoNormal"/>
      </w:pPr>
      <w:r>
        <w:t xml:space="preserve">Por lo que al fondo de la cuestión respecta, el Abogado del Estado descarta que el derecho fundamental a la igualdad del art. 14 CE haya resultado vulnerado en el presente caso. Para llegar a esta conclusión comienza destacando la necesidad de determinar si la presunta infracción del principio de igualdad denunciada debe enmarcarse en el art. 14 CE (en el que cabe incluir las diferencias de tratamiento con carácter "subjetivo") o en el art. 31.1 CE (que integra las diferencias por razones objetivas "atinentes a la renta o a los ingresos de los sujetos"), dado que, conforme a reiterada doctrina de este Tribunal, sólo resulta tutelable en amparo la discriminación "por razón de cualquiera de las circunstancias personales o sociales a que se refiere el art. 14 CE". Pues bien, reconoce el Abogado del Estado que la cuestión de igualdad planteada en la demanda queda incluida en la esfera del art. 14 CE y no en la del art. 31.1 CE.: por un lado, el rasgo del que depende el trato desigual es subjetivo, estar o no separado legalmente; por otro, no puede considerarse inapropiado el término de comparación elegido por el demandante. En efecto, el tratamiento que dentro del régimen de tributación conjunta reciben las rentas del recurrente -casado- es comparado con el que recibiría un contribuyente separado que, en cuanto a lo demás, estuviera en idéntica situación. </w:t>
      </w:r>
    </w:p>
    <w:p w:rsidR="0025129F" w:rsidRDefault="0025129F" w:rsidP="0025129F">
      <w:pPr>
        <w:pStyle w:val="TextoNormal"/>
      </w:pPr>
      <w:r>
        <w:t>Así planteado el juicio constitucional de igualdad, el Abogado del Estado considera que el amparo no puede prosperar, pues existe una razón jurídica evidente para dar un tratamiento diferencial a los cónyuges no separados y a los separados legalmente en la delimi</w:t>
      </w:r>
      <w:r>
        <w:lastRenderedPageBreak/>
        <w:t xml:space="preserve">tación de la unidad familiar, a los efectos del régimen de tributación conjunta. Ya que, de una parte, los cónyuges no separados legalmente deben vivir juntos (art. 68 CC) y se presume legalmente que así lo hacen (art. 69 CC); del mismo modo, los padres casados y no separados están obligados a tener en su compañía a los hijos bajo potestad (art. 154.1 CE). De otra parte, en contraste con la situación descrita, la Sentencia de separación produce la suspensión de la vida en común de los casados (art. 83 CC) y los hijos pueden convivir con uno sólo de los cónyuges separados (arts. 91 y ss. CC, último párrafo del art. 156 CC). Hay, pues, una clara diferencia -sigue diciendo el Abogado del Estado- entre las situaciones jurídicas convivenciales de los cónyuges no legalmente separados con hijos menores dependientes y la de los cónyuges separados; diferencia que justifica que a los primeros se les aplique el núm. 1 del art. 87 y a los segundos el núm. 2 del propio artículo. La delimitación en uno y otro caso de la unidad familiar, a efectos de tributación conjunta, refleja simplemente el diverso régimen jurídico aplicable a una y otra situación, así como el tipo de unidad convivencial normal en uno y otro caso, por la que debe guiarse el legislador. Hay, por tanto, razones jurídicas objetivas que justifican, sin lesión alguna del art. 14 CE, el diferente trato que el art. 87 LIRPF da a los cónyuges no legalmente separados con hijos menores dependientes respecto a los legalmente separados con hijos menores a su cargo. </w:t>
      </w:r>
    </w:p>
    <w:p w:rsidR="0025129F" w:rsidRDefault="0025129F" w:rsidP="0025129F">
      <w:pPr>
        <w:pStyle w:val="TextoNormal"/>
      </w:pPr>
      <w:r>
        <w:t xml:space="preserve">No proponiéndose en la demanda ningún otro término de comparación, no procede -a juicio del Abogado del Estado- entrar a examinar otras cuestiones constitucionales relativas al derecho fundamental de igualdad que pudieran suscitarse en relación con el art. 87 LIRPF y que trató en las alegaciones formuladas en los recursos de amparo núms. 4204/96 y 3042/97, cuyos puntos esenciales recuerda, ad cautelam: a) la única opción libre reconocida por el legislador es la relativa a la tributación conjunta (arts. 86 y 88 LIRPF); b) nada hay en el tenor del art. 87 LIRPF que permita postular una libertad de elegir entre las dos configuraciones de la unidad familiar; c) el art. 87.1 LIRPF, además de a los supuestos expresamente previstos en el mismo (cónyuges no separados legalmente e hijos menores dependientes), debe aplicarse analógicamente a todos los supuestos de unidad familiar que guarden relación de semejanza con la legalmente formulada; esto es, es el núm. 1 y no el 2 del art. 87 donde deben ser subsumidas las unidades familiares formadas por hombre y mujer que conviven more uxorio junto con sus hijos menores dependientes, si los hubieren; d) no está prohibida la integración analógica del art. 87.1 LIRPF porque las leyes tributarias no están incluidas en las categorías del art. 4.2 CC y la prohibición de analogía del art. 23.3 LGT sólo opera respecto del hecho imponible y de los beneficios tributarios, no existiendo en Derecho tributario una prohibición general de analogía in malam partem, más aun si con ésta se evitan discriminaciones contrarias a la Constitución; e) Nada obliga a aceptar la premisa de que el supuesto de convivencia more uxorio de hombre y mujer, ambos perceptores de renta, con dos hijos menores dependientes, debe encuadrarse en el art. 87.2 LIRPF, como consecuencia de que el principio de igualdad impone el mismo trato en favor de los casados en idéntica situación. Por el contrario, es perfectamente respetuoso con el art. 14 CE partir de que supuestos como el de los esposos recurrentes deben subsumirse bajo el art. 87.1 LIRPF, precepto que, además, deberá aplicarse ex analogía a los casos de uniones more uxorio; f) La Administración deberá cuidar de que en la aplicación del art. 87 LIRPF no se produzcan discriminaciones contrarias al art. 14 CE. Pero el cónyuge recurrente no tiene derecho a que el art. 87.1 LIRPF se aplique también a quienes conviven more uxorio en sus mismas circunstancias económico-familiares, dado que el derecho fundamental de igualdad sólo atribuye una facultad reaccional frente a la propia discriminación; y g) en conclusión, la aplicación al recurrente del art. 87.1 LIRPF, o visto </w:t>
      </w:r>
      <w:r>
        <w:lastRenderedPageBreak/>
        <w:t>desde otra perspectiva, la denegación de que pueda acogerse al art. 87.2 LIRPF, no violó su derecho fundamental de igualdad reconocido por el art. 14 CE.</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Ministerio Fiscal formuló sus alegaciones mediante escrito registrado en este Tribunal el 6 de octubre de 1999, en el que interesa se dicte Sentencia que estime el recurso de amparo y declare que tanto el acto administrativo de liquidación como la Sentencia del Tribunal Superior de Justicia de Andalucía han vulnerado el derecho del demandante de amparo a la igualdad. En dicho escrito comienza por precisar que, pese a que en el "suplico" de la demanda se solicita la anulación tanto de la Sentencia recurrida como del acto administrativo de liquidación impugnado, el recurso de amparo ha de entenderse interpuesto principalmente contra este último, esto es, por la vía del art. 43 LOTC y no del art. 44 de la citada Ley Orgánica. </w:t>
      </w:r>
    </w:p>
    <w:p w:rsidR="0025129F" w:rsidRDefault="0025129F" w:rsidP="0025129F">
      <w:pPr>
        <w:pStyle w:val="TextoNormal"/>
      </w:pPr>
      <w:r>
        <w:t xml:space="preserve">Aclarado lo anterior, el Ministerio Fiscal comienza examinando la infracción del principio de igualdad ante la Ley que denuncia la demanda de amparo. Dicha vulneración -señala- se habría producido al haber sido obligado el recurrente a tributar conjuntamente en la modalidad de unidad familiar prevista en el apartado 1 del art. 87 LIRPF y al no permitírsele acudir a la establecida en el apartado 2 de dicho precepto. A continuación, trascribe el art. 87 LIRPF y advierte que del conjunto de la regulación legal no se desprende que para formar parte de una unidad familiar todos sus miembros -o, al menos, más de uno de ellos- deban percibir rentas sometidas al IRPF. Entiende el demandante -prosigue el Ministerio Fiscal- que el art. 87 LIRPF no impide a los cónyuges separados legalmente recurrir a la modalidad de unidad familiar descrita en su apartado 2 (aplicable claramente en los casos de convivencia more uxorio, separación, nulidad del matrimonio y divorcio), aunque reconoce que, por el contrario, los convivientes de hecho no podrían acogerse al supuesto previsto en el apartado 1. Asimismo, afirma que la imposibilidad para los recurrentes de constituir unidades familiares del art. 87.2 LIRPF, establecida tanto en las resoluciones administrativas como en las judiciales, constituye un caso de discriminación ante la Ley contrario al art. 14 CE, si se compara la situación que se les impone con los casos de personas que, en identidad de situación -convivencia con dos hijos-, no están unidos por vínculo matrimonial. </w:t>
      </w:r>
    </w:p>
    <w:p w:rsidR="0025129F" w:rsidRDefault="0025129F" w:rsidP="0025129F">
      <w:pPr>
        <w:pStyle w:val="TextoNormal"/>
      </w:pPr>
      <w:r>
        <w:t xml:space="preserve">Seguidamente el Fiscal destaca que el sistema de tributación establecido en la Ley 18/1991 ha supuesto la concesión a los contribuyentes de una opción entre las llamadas "tributación individual" y "tributación conjunta" de los integrantes de la unidad familiar, siendo los tipos tributarios de la declaración individual más gravosos que los de la conjunta, con el fin de compensar el aumento de la base imponible que normalmente conlleva esta última, al acumular las rentas percibidas por los distintos integrantes de la unidad familiar. Sostiene también que la opción del art. 87.2 LIRPF supone un trato favorable para el contribuyente, tanto si se compara con la auténtica tributación individual (puesto que en este caso el tipo impositivo es mayor), como si se contrasta con la conjunta del art. 87.1 LIRPF (que da lugar a una acumulación de rentas y, en consecuencia, a un aumento de la base imponible). Sin embargo -advierte-, no es ésta la cuestión aquí suscitada, sino el diferente trato que, según el recurrente, supone imponerle la modalidad de unidad familiar prevista en el art. 87.1 LIRPF, impidiéndole, de este modo, frente a los progenitores con hijos comunes que conviven more uxorio, acudir a la modalidad configurada en el art. 87.2 LIRPF. </w:t>
      </w:r>
    </w:p>
    <w:p w:rsidR="0025129F" w:rsidRDefault="0025129F" w:rsidP="0025129F">
      <w:pPr>
        <w:pStyle w:val="TextoNormal"/>
      </w:pPr>
      <w:r>
        <w:t xml:space="preserve">Así centrado el problema, el Fiscal observa que, a diferencia de la antigua Ley 44/1978, reguladora del IRPF (art. 5), el art. 87.2 LIRPF no exige para su aplicación la existencia de nulidad, disolución del matrimonio o separación judicial, ni que se trate del caso de </w:t>
      </w:r>
      <w:r>
        <w:lastRenderedPageBreak/>
        <w:t xml:space="preserve">padres solteros y sus hijos, aunque mantiene la prohibición de pertenencia a dos unidades familiares; aparte de que la Ley 18/1991, a diferencia de la anterior, no impone la tributación conjunta en todos los casos de unidad familiar, sino que permite optar entre ésta (para cuyo caso establece lo que denomina "modalidades de unidad familiar") y la tributación individual. </w:t>
      </w:r>
    </w:p>
    <w:p w:rsidR="0025129F" w:rsidRDefault="0025129F" w:rsidP="0025129F">
      <w:pPr>
        <w:pStyle w:val="TextoNormal"/>
      </w:pPr>
      <w:r>
        <w:t xml:space="preserve">Pone de manifiesto el Ministerio Fiscal que no todo trato desigual es contrario al art. 14 CE, sino sólo el que, por carecer de una razón fundada, puede considerarse discriminatorio. A estos efectos -advierte-, no es preciso que la norma -o su interpretación y aplicación- tiendan a la discriminación, sino que basta con que den lugar a un trato diferente no justificado por alguna de las causas establecidas en el art. 14 CE, entre las que se encuentra "cualquier otra condición o circunstancia personal o social", expresión que incluye el matrimonio y la situación familiar. </w:t>
      </w:r>
    </w:p>
    <w:p w:rsidR="0025129F" w:rsidRDefault="0025129F" w:rsidP="0025129F">
      <w:pPr>
        <w:pStyle w:val="TextoNormal"/>
      </w:pPr>
      <w:r>
        <w:t xml:space="preserve">En todo caso, la vulneración del principio de igualdad ante la Ley exige para ser apreciada que se aporte término válido de comparación y, a juicio del Fiscal, en el presente caso se ha aportado, no tanto -señala- sobre la base de una aplicación real a un caso determinado, sino de estudios doctrinales y, especialmente, de Resoluciones de la Dirección General de Tributos. En definitiva, considera el Ministerio Fiscal que tanto los actos administrativos como las resoluciones recurridas, en cuanto imposibilitan la opción del art. 87.2 LIRPF a quienes están unidos por vínculo matrimonial frente a los que, en la misma situación, no lo están, determinan que, a igualdad de condiciones - esencialmente de renta y cargas familiares-, se produzca una diferencia de trato desfavorable y no justificada y, en consecuencia, contraria al art. 14 CE. A su juicio, no es la propia ley la que consagra un trato discriminatorio de forma evidente, dado que la redacción literal del art. 87.2 LIRPF, al no precisar nada, permite una interpretación acorde con la suscitada por el demandante, prescindiendo de cuál fuese la voluntad del legislador; en consecuencia, estamos ante un supuesto de discriminación en la aplicación de la ley, no de violación del principio de igualdad ante aquélla. </w:t>
      </w:r>
    </w:p>
    <w:p w:rsidR="0025129F" w:rsidRDefault="0025129F" w:rsidP="0025129F">
      <w:pPr>
        <w:pStyle w:val="TextoNormal"/>
      </w:pPr>
      <w:r>
        <w:t>Por todo lo expuesto, el Fiscal interesa se dicte Sentencia que estime el recurso de amparo y declare que tanto el acto administrativo de liquidación como la Sentencia del Tribunal Superior de Justicia de Andalucía han vulnerado el derecho a la igualdad del demandante de amparo; y, en consecuencia, se anule el citado acto y resolución judicial, determinando la retroacción del procedimiento administrativo al momento inmediatamente anterior a practicarse la liquidación provisional, para que se dicte otra que sea respetuosa con aquel derecho fundamental.</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fecha 24 de enero de 2002, se señaló para deliberación y votación de la presente Sentencia el día 28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La presente demanda de amparo se dirige contra la Sentencia de la Sección Cuarta de la Sala de lo Contencioso-Administrativo del Tribunal Superior de Justicia de Andalucía, de 12 de febrero de 1999, recaída en el recurso contencioso-administrativo núm.  1241/96, seguido contra la Resolución del Tribunal Económico-Administrativo Regional de Andalucía, con fecha de 21 de diciembre de 1995, desestimatoria de la reclamación interpuesta contra la liquidación complementaria girada por la Administración Tributaria </w:t>
      </w:r>
      <w:r>
        <w:lastRenderedPageBreak/>
        <w:t>en concepto de Impuesto sobre la renta de las personas físicas correspondiente al ejercicio 1992.</w:t>
      </w:r>
    </w:p>
    <w:p w:rsidR="0025129F" w:rsidRDefault="0025129F" w:rsidP="0025129F">
      <w:pPr>
        <w:pStyle w:val="TextoNormal"/>
      </w:pPr>
      <w:r>
        <w:t>Alega el recurrente la vulneración del derecho a la igualdad ante la ley (art. 14 CE) en relación con los arts. 31.1 (igualdad tributaria) y 39 (protección de la familia) del texto constitucional, ya que se le prohíbe el derecho, tanto en vía administrativa como en la posterior jurisdiccional, a optar libremente la forma de tributar (individual o conjuntamente), por el hecho de estar legalmente casado, cuando sin embargo tal opción sí se le permite a las parejas separadas legalmente.</w:t>
      </w:r>
    </w:p>
    <w:p w:rsidR="0025129F" w:rsidRDefault="0025129F" w:rsidP="0025129F">
      <w:pPr>
        <w:pStyle w:val="TextoNormal"/>
      </w:pPr>
      <w:r>
        <w:t>El Abogado del Estado se opone a la pretensión de amparo, pues, a su juicio, no se ha producido la infracción del art. 14 CE invocada, dado que existe una clara diferencia entre las situaciones jurídicas convivenciales de los cónyuges no legalmente separados con hijos menores dependientes y la de los cónyuges separados, que justifica que a los primeros se les aplique el art. 87.1 de la Ley 18/1991, de 6 de junio, reguladora del Impuesto sobre la renta de las personas físicas (en adelante, LIRPF) y a los segundos el art. 87.2 LIRPF, sin lesión alguna del art. 14 CE.</w:t>
      </w:r>
    </w:p>
    <w:p w:rsidR="0025129F" w:rsidRDefault="0025129F" w:rsidP="0025129F">
      <w:pPr>
        <w:pStyle w:val="TextoNormal"/>
      </w:pPr>
      <w:r>
        <w:t>En cambio, el Ministerio Fiscal considera que se ha vulnerado el principio de igualdad. A su juicio, imposibilitar, como hacen los actos administrativos y resoluciones judiciales impugnadas, la opción por la modalidad de unidad familiar del art. 87.2 LIRPF a quienes están unidos por vínculo matrimonial frente a los que, en la misma situación, no lo están, determina que, a igualdad de renta y cargas familiares, se produzca una diferencia de trato desfavorable y no justificada contraria, por tanto, al art. 14 CE.</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comenzar el análisis de las vulneraciones aducidas en el escrito de demanda es necesario hacer una precisión previa, a saber, que el recurso de amparo constitucional, de acuerdo con lo establecido en los arts. 53.2 CE y 41.1 LOTC, se encuentra objetivamente limitado a la protección de los derechos y libertades reconocidos en los arts. 14 a 29 CE, más la objeción de conciencia del art. 30 CE, no pudiéndose hacer valer otras pretensiones que las dirigidas a restablecer o preservar esos derechos o libertades (por todas, SSTC 159/1997, de 2 de octubre, FJ 4; 183/1997, de 28 de octubre, FJ 3; 55/1998, de 16 de marzo, FJ 3; 71/1998, de 30 de marzo, FJ 4; 36/1999, de 22 de marzo, FJ 3; 84/1999, de 10 de mayo, FJ 4, y 26/2001, de 29 de enero, FJ 2).  En consecuencia, ningún pronunciamiento cabe hacer por parte de este Tribunal respecto de las posibles vulneraciones de los arts. 31.1 y 39 CE.</w:t>
      </w:r>
    </w:p>
    <w:p w:rsidR="0025129F" w:rsidRDefault="0025129F" w:rsidP="0025129F">
      <w:pPr>
        <w:pStyle w:val="TextoNormal"/>
      </w:pPr>
    </w:p>
    <w:p w:rsidR="0025129F" w:rsidRDefault="0025129F" w:rsidP="0025129F">
      <w:pPr>
        <w:pStyle w:val="TextoNormal"/>
      </w:pPr>
      <w:r w:rsidRPr="0025129F">
        <w:rPr>
          <w:rStyle w:val="NumeroAFNegritaCaracter"/>
        </w:rPr>
        <w:t>3</w:t>
      </w:r>
      <w:r>
        <w:t>. Fijados así los términos de la controversia, es necesario anticipar que la cuestión objeto del presente recurso de amparo ha sido recientemente resuelta en las SSTC 47/2001, de 15 de febrero, y 212/2001, de 29 de octubre, donde se llegó a un resultado contrario a la vulneración del derecho fundamental en cuestión, en la primera de ellas, utilizando como término de comparación el de las parejas de hecho, y en la segunda, sometiendo a contraste la situación de los cónyuges con la de las personas separadas jurídicamente. En efecto, según hemos dicho en estas Sentencias resulta claro que, conforme al art. 87 LIRPF, el recurrente -no separado legalmente- en el supuesto de que opte por la declaración conjunta, debe acogerse, junto con su cónyuge e hijos menores no emancipados, a la modalidad de unidad familiar prevista en el apartado 1 del art. 87 LIRPF (STC 47/2001, FJ 5), pues de la literalidad del citado precepto se deduce que éste establece dos modalidades de unidad familiar: en primer lugar, "la integrada por los cónyuges no separados legalmente y, si los hubiere, los hijos menores" que con ellos convivan; y en segundo lugar, "la formada por el padre o la madre y los hijos" que reúnan los citados requisitos, no quedando la per</w:t>
      </w:r>
      <w:r>
        <w:lastRenderedPageBreak/>
        <w:t>tenencia a una u otra unidad familiar al arbitrio del sujeto pasivo del impuesto, por estar predeterminada en la Ley con carácter imperativo (STC 212/2001, FJ 4).</w:t>
      </w:r>
    </w:p>
    <w:p w:rsidR="0025129F" w:rsidRDefault="0025129F" w:rsidP="0025129F">
      <w:pPr>
        <w:pStyle w:val="TextoNormal"/>
      </w:pPr>
      <w:r>
        <w:t>Ahora bien, como se ha expuesto en los antecedentes, el demandante pretende que la Administración tributaria le permita constituir una unidad familiar de las recogidas en el art. 87, núm. 2, LIRPF únicamente con sus hijos, "escindiendo así artificiosamente en dos, no sólo la 'unidad familiar' tal y como está legalmente configurada en el citado art. 87 LIRPF, sino incluso, de algún modo, la propia familia en cuanto sustrato de la referida categoría" (SSTC 47/2001, FJ 6; y 212/2001, FJ 4).  En este sentido, y como hemos dicho en la STC 212/2001 en un supuesto idéntico al ahora analizado, "conviene señalar que el art. 88 LIRPF establece que la 'opción por la declaración conjunta debe abarcar a la totalidad de los miembros de la unidad familiar', de manera que si uno de ellos presenta declaración individual, los restantes deberán utilizar el mismo régimen". Y este es un requisito que la norma prevé para los dos tipos de unidad familiar recogidas en el art. 87 LIRPF. Si se trata (como en el caso del recurrente) de la primera de las modalidades, la declaración conjunta habrá de ser suscrita necesariamente por ambos cónyuges y sus hijos. Pero también cuando la unidad familiar está conformada por un padre o madre separado legalmente y sus hijos la norma obliga a que sean todos los integrantes de la familia los que se decidan por la declaración conjunta para que el régimen de acumulación de rentas resulte aplicable. Esto sentado, no resulta correcto afirmar, como hace el demandante de amparo, que es el mero hecho de estar casado y no separado legalmente lo que le impide hacer la declaración conjunta con sus hijos. La razón de que la Administración tributaria haya denegado al recurrente la opción por el citado régimen reside exclusivamente en que uno de los componentes de la unidad familiar (concretamente, su esposa) ha decidido presentar una declaración individual, régimen que la Ley 18/1991, dictada a raíz de la STC 45/1989, de 20 de febrero, establece como regla general.  Ciertamente, para que quienes están casados y separados legalmente puedan hacer la declaración conjunta sólo es preciso que acumulen sus rentas a la de los hijos menores que con ellos convivan, sin que en este caso, a diferencia de quienes mantienen el vínculo matrimonial, deban (ni puedan) integrar en la declaración las rentas del otro cónyuge separado. Esta circunstancia, empero, no permite afirmar que la norma tributaria discrimina a quienes están casados y no separados legalmente frente a quienes se han separado mediante resolución judicial, dado que, como advierte el Abogado del Estado, el diverso trato responde a que las situaciones jurídicas consideradas son diferentes. En efecto, parece evidente que la convivencia como obligación jurídica es uno de los elementos que ha tenido en cuenta el legislador en el ámbito tributario, al igual que en otros sectores del Ordenamiento (así, en el art. 3.2 de la Ley 1/1996, de 10 de enero, de asistencia jurídica gratuita), a la hora de delimitar quiénes integran las unidades familiares a las que se permite optar por la tributación conjunta.  Y mientras que los casados y no separados "están obligados a vivir juntos" (art. 68 Código Civil), y se presume legalmente que así lo hacen (art. 69 CC), debiendo tener en su compañía a los hijos bajo su potestad (art. 154.1 CC), por el contrario, "la Sentencia de separación produce la suspensión de la vida común de los casados" (art. 83 CC), y los hijos pueden convivir solamente con uno de los cónyuges separados (arts. 91 y ss CC, y art. 156 CC). Al ser efecto característico de la separación legal el cese de la convivencia de los esposos, resulta razonable que la LIRPF únicamente autorice al cónyuge separado a acumular sus rentas con las de los hijos con los que conviva (STC 212/2001, FJ 5).</w:t>
      </w:r>
    </w:p>
    <w:p w:rsidR="0025129F" w:rsidRDefault="0025129F" w:rsidP="0025129F">
      <w:pPr>
        <w:pStyle w:val="TextoNormal"/>
      </w:pPr>
    </w:p>
    <w:p w:rsidR="0025129F" w:rsidRDefault="0025129F" w:rsidP="0025129F">
      <w:pPr>
        <w:pStyle w:val="TextoNormal"/>
      </w:pPr>
      <w:r w:rsidRPr="0025129F">
        <w:rPr>
          <w:rStyle w:val="NumeroAFNegritaCaracter"/>
        </w:rPr>
        <w:t>4</w:t>
      </w:r>
      <w:r>
        <w:t>. En suma, hemos de insistir, una vez más, en que "para que el art. 14 CE resulte vulnerado por el legislador, no basta con que en situaciones puntuales, al margen de los obje</w:t>
      </w:r>
      <w:r>
        <w:lastRenderedPageBreak/>
        <w:t>tivos perseguidos por la Ley, determinados sujetos pasivos, con un determinado nivel de renta, puedan verse ocasionalmente beneficiados en su declaración del IRPF por el hecho de no mantener una relación matrimonial. Como hemos señalado en diversas ocasiones, las leyes 'en su pretensión de racionalidad se proyectan sobre la normalidad de los casos, sin que baste la aparición de un supuesto no previsto para determinar su inconstitucionalidad' (SSTC 73/1996, de 30 de abril, FJ 5; y 289/2000, de 30 de noviembre, FJ 6). Por el contrario, la discriminación denunciada sólo podría apreciarse si un análisis de la regulación del IRPF llevara a la conclusión de que la Ley establece un régimen tributario más gravoso en su conjunto para los sujetos pasivos casados que para quienes no lo están, en atención, precisamente, a su vínculo matrimonial. Pero nada de esto puede deducirse ni del art. 87 LIRPF que, como hemos señalado, establece expresamente la posibilidad de que los cónyuges no separados legalmente opten por el régimen de tributación conjunta cuando lo estimen conveniente, ni del resto de los preceptos de la Ley 18/1991, que regulan los elementos que inciden en la cuantificación del IRPF sin atender en absoluto al estado civil de los sujetos pasivos" (SSTC 47/2001, FJ 7; y 212/2001, FJ 5).</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don Javier Leocadio Martín Moyano.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5" w:name="SENTENCIA_2002_22"/>
      <w:r>
        <w:lastRenderedPageBreak/>
        <w:t>SENTENCIA 22/2002, de 28 de enero de 2002</w:t>
      </w:r>
    </w:p>
    <w:bookmarkEnd w:id="25"/>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ECLI:ES:TC:2002:22</w:t>
      </w:r>
    </w:p>
    <w:p w:rsidR="0025129F" w:rsidRDefault="0025129F" w:rsidP="0025129F">
      <w:pPr>
        <w:pStyle w:val="SntesisDescriptiva"/>
      </w:pPr>
    </w:p>
    <w:p w:rsidR="0025129F" w:rsidRDefault="0025129F" w:rsidP="0025129F">
      <w:pPr>
        <w:pStyle w:val="SntesisDescriptiva"/>
      </w:pPr>
      <w:r>
        <w:t>Recurso de amparo 2916/99. Promovido por doña Pilar de la Morena Robledo y otro frente al Auto de la Audiencia Provincial de Madrid que, en queja, confirmó la inadmisión de su recurso de apelación en un juicio de desahucio.</w:t>
      </w:r>
    </w:p>
    <w:p w:rsidR="0025129F" w:rsidRDefault="0025129F" w:rsidP="0025129F">
      <w:pPr>
        <w:pStyle w:val="SntesisDescriptiva"/>
      </w:pPr>
    </w:p>
    <w:p w:rsidR="0025129F" w:rsidRDefault="0025129F" w:rsidP="0025129F">
      <w:pPr>
        <w:pStyle w:val="SntesisAnaltica"/>
      </w:pPr>
      <w:r>
        <w:t>Vulneración del derecho a la tutela judicial efectiva (acceso al recurso legal): inadmisión de recurso por error patente al valorar la consignación de las rentas vencidas de un contrato de arrendamiento.</w:t>
      </w:r>
    </w:p>
    <w:p w:rsidR="0025129F" w:rsidRDefault="0025129F" w:rsidP="0025129F">
      <w:pPr>
        <w:pStyle w:val="SntesisAnaltica"/>
      </w:pPr>
    </w:p>
    <w:p w:rsidR="0025129F" w:rsidRDefault="0025129F" w:rsidP="0025129F">
      <w:pPr>
        <w:pStyle w:val="Extracto"/>
      </w:pPr>
      <w:r>
        <w:t>1.</w:t>
      </w:r>
      <w:r>
        <w:tab/>
        <w:t>El Auto del Juzgado que declaró firme la Sentencia de desahucio, en la medida en que se funda en la equivocación del órgano jurisdiccional de que los apelantes no acreditaron el pago de la mensualidad de enero de 1999, incurre en un error patente que vulnera el derecho a la tutela judicial efectiva [FJ 6].</w:t>
      </w:r>
    </w:p>
    <w:p w:rsidR="0025129F" w:rsidRDefault="0025129F" w:rsidP="0025129F">
      <w:pPr>
        <w:pStyle w:val="Extracto"/>
      </w:pPr>
    </w:p>
    <w:p w:rsidR="0025129F" w:rsidRDefault="0025129F" w:rsidP="0025129F">
      <w:pPr>
        <w:pStyle w:val="Extracto"/>
      </w:pPr>
      <w:r>
        <w:t>2.</w:t>
      </w:r>
      <w:r>
        <w:tab/>
        <w:t>El entendimiento que en el Auto se realiza del controvertido requisito procesal del pago o consignación de la renta para la admisión del recurso de apelación conduce a la solución, contraria a la finalidad inspiradora del art. 1567 LEC, de que se tendría por cumplido el requisito a quien paga o consigna en el plazo concedido por el requerimiento judicial, y no a quien, como los demandantes, hicieron efectivo el pago de la renta de modo voluntario y en fecha anterior al requerimiento judicial [FJ 7].</w:t>
      </w:r>
    </w:p>
    <w:p w:rsidR="0025129F" w:rsidRDefault="0025129F" w:rsidP="0025129F">
      <w:pPr>
        <w:pStyle w:val="Extracto"/>
      </w:pPr>
    </w:p>
    <w:p w:rsidR="0025129F" w:rsidRDefault="0025129F" w:rsidP="0025129F">
      <w:pPr>
        <w:pStyle w:val="Extracto"/>
      </w:pPr>
      <w:r>
        <w:t>3.</w:t>
      </w:r>
      <w:r>
        <w:tab/>
        <w:t>No resultaba exigible cumplir en sus términos un requerimiento que resultaba injustificado [FJ 5].</w:t>
      </w:r>
    </w:p>
    <w:p w:rsidR="0025129F" w:rsidRDefault="0025129F" w:rsidP="0025129F">
      <w:pPr>
        <w:pStyle w:val="Extracto"/>
      </w:pPr>
    </w:p>
    <w:p w:rsidR="0025129F" w:rsidRDefault="0025129F" w:rsidP="0025129F">
      <w:pPr>
        <w:pStyle w:val="Extracto"/>
      </w:pPr>
      <w:r>
        <w:t>4.</w:t>
      </w:r>
      <w:r>
        <w:tab/>
        <w:t>El requisito del pago o consignación de las rentas vencidas al tiempo de la interposición del recurso, o de las que vayan venciendo durante su tramitación, no constituye un formalismo desproporcionado contrario al derecho a la tutela judicial efectiva del art. 24.1 CE [FJ 4].</w:t>
      </w:r>
    </w:p>
    <w:p w:rsidR="0025129F" w:rsidRDefault="0025129F" w:rsidP="0025129F">
      <w:pPr>
        <w:pStyle w:val="Extracto"/>
      </w:pPr>
    </w:p>
    <w:p w:rsidR="0025129F" w:rsidRDefault="0025129F" w:rsidP="0025129F">
      <w:pPr>
        <w:pStyle w:val="Extracto"/>
      </w:pPr>
      <w:r>
        <w:t>5.</w:t>
      </w:r>
      <w:r>
        <w:tab/>
        <w:t>Error patente determinante de la vulneración del art. 24.1 CE (SSTC 55/1993, 171/2001) [FJ 3].</w:t>
      </w:r>
    </w:p>
    <w:p w:rsidR="0025129F" w:rsidRDefault="0025129F" w:rsidP="0025129F">
      <w:pPr>
        <w:pStyle w:val="Extracto"/>
      </w:pPr>
    </w:p>
    <w:p w:rsidR="0025129F" w:rsidRDefault="0025129F" w:rsidP="0025129F">
      <w:pPr>
        <w:pStyle w:val="Extracto"/>
      </w:pPr>
      <w:r>
        <w:t>6.</w:t>
      </w:r>
      <w:r>
        <w:tab/>
        <w:t>Derecho a la tutela judicial efectiva, en su vertiente de derecho de acceso a los recursos legalmente establecidos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2916/99, promovido por doña Pilar de la Morena Robledo y don Santiago Fernández de la Morena, representados por el Procurador de los Tribunales don Federico Pinilla Peco y bajo la dirección de la Letrada doña María José Morell García, contra Auto de 4 de junio de 1999 de la Sección 18 de la Audiencia Provincial de Madrid, que desestimó el recurso de queja núm. 212/99. Ha intervenido el Ministerio Fiscal y ha sido parte don Ángel y don José Martínez Sáenz, representados por el Procurador doña María Victoria Pérez-Mulet y Díez-Picazo, y bajo la dirección del Letrado don Ricardo Fernández Ongil. Ha sido Ponente el Magistrado don Pablo García Manzano,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Por escrito registrado en este Tribunal el 3 de julio de 1999, se interpuso el recurso de amparo que se deja mencionado en el encabezamiento y que se fundamenta en los siguientes hechos: </w:t>
      </w:r>
    </w:p>
    <w:p w:rsidR="0025129F" w:rsidRDefault="0025129F" w:rsidP="0025129F">
      <w:pPr>
        <w:pStyle w:val="TextoNormal"/>
      </w:pPr>
      <w:r>
        <w:t xml:space="preserve">a) Doña Pilar de la Morena Robledo y don Santiago Fernández de la Morena, en su condición de arrendatarios de un local de negocio, fueron demandados por don Ángel y don José Martínez Sáenz, en su calidad de arrendadores, con fecha de 11 de septiembre de 1998, en un juicio de desahucio por falta de pago, por no haber sido satisfecha la renta correspondiente a los meses de julio, agosto y septiembre de 1998, que ascendía a la cantidad de 405.867 pesetas, y 406 de gastos bancarios de devolución. </w:t>
      </w:r>
    </w:p>
    <w:p w:rsidR="0025129F" w:rsidRDefault="0025129F" w:rsidP="0025129F">
      <w:pPr>
        <w:pStyle w:val="TextoNormal"/>
      </w:pPr>
      <w:r>
        <w:t xml:space="preserve">b) Seguido el juicio en rebeldía de los demandados, el Juzgado de Primera Instancia núm. 16 de Madrid (autos 641/98), dictó Sentencia el 19 de noviembre de 1998, notificada el 2 de diciembre de 1998, en la que estimó la demanda, declaró resuelto el contrato de arrendamiento que vinculaba a las partes, y condenó a los demandados al oportuno desalojo. </w:t>
      </w:r>
    </w:p>
    <w:p w:rsidR="0025129F" w:rsidRDefault="0025129F" w:rsidP="0025129F">
      <w:pPr>
        <w:pStyle w:val="TextoNormal"/>
      </w:pPr>
      <w:r>
        <w:t xml:space="preserve">c) Con fecha de 5 de diciembre de 1998 los demandados interpusieron recurso de apelación alegando, en primer lugar, la nulidad del juicio por infracción de las normas o garantías procesales, por la indefensión contraria al art. 24.1 CE sufrida al no haber sido citado debidamente al juicio, y, en segundo lugar, se opusieron a la demanda invocando el pago de las rentas que la motivaron. </w:t>
      </w:r>
    </w:p>
    <w:p w:rsidR="0025129F" w:rsidRDefault="0025129F" w:rsidP="0025129F">
      <w:pPr>
        <w:pStyle w:val="TextoNormal"/>
      </w:pPr>
      <w:r>
        <w:t xml:space="preserve">Con el escrito de interposición del recurso acompañaron justificantes que acreditaban el pago de 661.000 pesetas satisfechas mediante ingreso en la cuenta de los arrendadores, del siguiente modo: 406.000 pesetas el 17 de septiembre de 1998, 127.500 pesetas el 21 de octubre de 1998, y 127.500 pesetas el 17 de noviembre de 1998. </w:t>
      </w:r>
    </w:p>
    <w:p w:rsidR="0025129F" w:rsidRDefault="0025129F" w:rsidP="0025129F">
      <w:pPr>
        <w:pStyle w:val="TextoNormal"/>
      </w:pPr>
      <w:r>
        <w:t xml:space="preserve">d) Por providencia de 9 de diciembre de 1998 el Juzgado tuvo por interpuesto el recurso en tiempo y forma, que admitió en ambos efectos, dando traslado del escrito a la parte actora por cinco días, a los efectos del art. 734 LEC. </w:t>
      </w:r>
    </w:p>
    <w:p w:rsidR="0025129F" w:rsidRDefault="0025129F" w:rsidP="0025129F">
      <w:pPr>
        <w:pStyle w:val="TextoNormal"/>
      </w:pPr>
      <w:r>
        <w:t xml:space="preserve">e) Notificada la anterior providencia, la parte apelada interpuso contra ella recurso de reposición alegando, en síntesis, la infracción del art. 1566 LEC, porque los apelantes sólo </w:t>
      </w:r>
      <w:r>
        <w:lastRenderedPageBreak/>
        <w:t xml:space="preserve">habían efectuado el pago de 661.000 pesetas cuando, en realidad, lo adeudado, incluyendo la mensualidad de diciembre, era la suma de 815.924 pesetas. </w:t>
      </w:r>
    </w:p>
    <w:p w:rsidR="0025129F" w:rsidRDefault="0025129F" w:rsidP="0025129F">
      <w:pPr>
        <w:pStyle w:val="TextoNormal"/>
      </w:pPr>
      <w:r>
        <w:t xml:space="preserve">f) Los apelantes impugnaron el recurso de reposición por escrito presentado el 22 de diciembre de 1998, acreditando, mediante los correspondientes justificantes bancarios de ingreso, haber pagado, además de las 661.000 pesetas ya justificadas, la suma de 127.500 pesetas el 4 de diciembre de 1998, y 28.000 pesetas el 9 de diciembre de 1998. </w:t>
      </w:r>
    </w:p>
    <w:p w:rsidR="0025129F" w:rsidRDefault="0025129F" w:rsidP="0025129F">
      <w:pPr>
        <w:pStyle w:val="TextoNormal"/>
      </w:pPr>
      <w:r>
        <w:t xml:space="preserve">Con estos pagos, los apelantes acreditaron tener abonada a la parte actora la suma total de 816.500 pesetas. </w:t>
      </w:r>
    </w:p>
    <w:p w:rsidR="0025129F" w:rsidRDefault="0025129F" w:rsidP="0025129F">
      <w:pPr>
        <w:pStyle w:val="TextoNormal"/>
      </w:pPr>
      <w:r>
        <w:t xml:space="preserve">g) Por Auto de 21 de enero de 1999 el Juzgado resuelve que "no constando acreditado por la apelante estar al corriente en el pago de las rentas en las que se sustenta el desahucio, y las debidas hasta ahora, en total 952.745 pesetas por cuanto que tan sólo se justifican 661.000 pesetas, procede no haber lugar a dar trámite al recurso de apelación interpuesto en tanto no se acredite el pago o consignación de la diferencia, en el bien entendido sentido de que si en el plazo de tres días no se ha acreditado lo anterior, quedará de derecho firme la Sentencia, conforme al artículo 1566 y 1567 LEC", por lo que se acuerda requerir a los apelantes para que en el plazo de tres días "acrediten conforme al artículo 1566, el pago o consignación de la cantidad de 291.745 pesetas adeudadas por rentas pendientes al día de la fecha, con apercibimiento en este caso de tener por firme y consentida la sentencia dictada en estos autos". </w:t>
      </w:r>
    </w:p>
    <w:p w:rsidR="0025129F" w:rsidRDefault="0025129F" w:rsidP="0025129F">
      <w:pPr>
        <w:pStyle w:val="TextoNormal"/>
      </w:pPr>
      <w:r>
        <w:t xml:space="preserve">h) Notificado el anterior Auto el 25 de enero de 1999, con fecha de 28 de enero de 1999, los apelantes presentan escrito en el que, en síntesis, alegan que ya han pagado la suma de 816.000 pesetas, según lo acreditado en autos, y que es la cantidad que según los cálculos de los demandantes cubría las cantidades adeudadas hasta diciembre de 1998. En cuanto a la renta del mes de enero, aportan justificante de pago de 124.400 pesetas, efectuado el 8 de enero de 1999, y una carta del Letrado de los arrendadores demandantes en la que fijaba las rentas a partir del mes de enero de 1999 en la cantidad de 124.343 pesetas. </w:t>
      </w:r>
    </w:p>
    <w:p w:rsidR="0025129F" w:rsidRDefault="0025129F" w:rsidP="0025129F">
      <w:pPr>
        <w:pStyle w:val="TextoNormal"/>
      </w:pPr>
      <w:r>
        <w:t xml:space="preserve">i) Por Auto de 2 de febrero de 1999 el Juzgado declaró firme y consentida la Sentencia dictada en el juicio de desahucio. Esta decisión se motivó en los siguientes fundamentos jurídicos: </w:t>
      </w:r>
    </w:p>
    <w:p w:rsidR="0025129F" w:rsidRDefault="0025129F" w:rsidP="0025129F">
      <w:pPr>
        <w:pStyle w:val="TextoNormal"/>
      </w:pPr>
      <w:r>
        <w:t>"1. Consta en autos que la demanda de desahucio de la actora se sustentaba en la cantidad de 405.862 pesetas por los meses de julio, agosto y septiembre de 1998, estableciendo una renta a partir de agosto de 136.821 pesetas, acordándose el mismo por Sentencia de fecha 19 de noviembre siguiente que declaraba ser la cantidad sobre la que la acción se sustentaba la de 405.867 pesetas.</w:t>
      </w:r>
    </w:p>
    <w:p w:rsidR="0025129F" w:rsidRDefault="0025129F" w:rsidP="0025129F">
      <w:pPr>
        <w:pStyle w:val="TextoNormal"/>
      </w:pPr>
    </w:p>
    <w:p w:rsidR="0025129F" w:rsidRDefault="0025129F" w:rsidP="0025129F">
      <w:pPr>
        <w:pStyle w:val="TextoNormal"/>
      </w:pPr>
      <w:r w:rsidRPr="0025129F">
        <w:rPr>
          <w:rStyle w:val="NumeroAFNegritaCaracter"/>
        </w:rPr>
        <w:t>2</w:t>
      </w:r>
      <w:r>
        <w:t>. Consta asimismo que la demandada en la fecha de interposición de su recurso de apelación cinco de diciembre, había abonado la cantidad de 406.000 pesetas el 17.9.98; 127.500 pesetas el 21.10.1998; 127.500 el 27.11.1998; más otras 127.500 el día 4.12.1998, en total 788.500 pesetas, no obstante adeudarse a dicha fecha incluido diciembre 816.330 pesetas (405.867 más 136.821 pesetas por tres meses octubre, noviembre y diciembre).</w:t>
      </w:r>
    </w:p>
    <w:p w:rsidR="0025129F" w:rsidRDefault="0025129F" w:rsidP="0025129F">
      <w:pPr>
        <w:pStyle w:val="TextoNormal"/>
      </w:pPr>
    </w:p>
    <w:p w:rsidR="0025129F" w:rsidRDefault="0025129F" w:rsidP="0025129F">
      <w:pPr>
        <w:pStyle w:val="TextoNormal"/>
      </w:pPr>
      <w:r w:rsidRPr="0025129F">
        <w:rPr>
          <w:rStyle w:val="NumeroAFNegritaCaracter"/>
        </w:rPr>
        <w:t>3</w:t>
      </w:r>
      <w:r>
        <w:t>. Que con posterioridad a dicha fecha de interposición del recurso, se hizo ingreso de 28.000 pesetas, concretamente el día 9.12.1998.</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Que con fecha 21 de enero se dictó auto por el que se acordaba para poner fin a la cuestión, requerir a la demandada apelante para que justificara el pago o consignación de </w:t>
      </w:r>
      <w:r>
        <w:lastRenderedPageBreak/>
        <w:t>la cantidad de 291.745 pesetas por deudas pendientes al día de la fecha, en razón a no haberse tenido conocimiento preciso de lo abonado en diciembre y de lo correspondiente a enero cantidad que era la diferencia entre las 661.000 pesetas acreditadas, sin diciembre por la demanda, y la adeudada de 815.924 pesetas según la actora (en realidad 816.330 pesetas), más la mensualidad corriente de enero de 136.821 pesetas, en total como se dice 291.745 pesetas.</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La no acreditación del pago o consignación de la cantidad debida a la fecha de interposición del recurso de apelación por la demandada, cinco de diciembre de 1998, en cuantía de 816.330 pesetas, sino sólo de 788.500 pesetas, unido a la falta de consignación o pago de la cantidad señalada en el auto de fecha 21 de enero de 1999, por cuanto que sólo se acreditan las 28.000 pesetas de fecha 9 de diciembre de 1998 (además de la mensualidad de diciembre) y no la mensualidad de enero de 1999, obligan a tener por firme y consentida la sentencia de autos". </w:t>
      </w:r>
    </w:p>
    <w:p w:rsidR="0025129F" w:rsidRDefault="0025129F" w:rsidP="0025129F">
      <w:pPr>
        <w:pStyle w:val="TextoNormal"/>
      </w:pPr>
      <w:r>
        <w:t xml:space="preserve">j) Interpuesto recurso de queja contra el referido Auto, la Sección Decimoctava de la Audiencia Provincial de Madrid, dictó Auto el 4 de junio de 1999, notificado el 10 de junio, en el que desestimó el recurso. Esta resolución se fundó en la siguiente motivación: </w:t>
      </w:r>
    </w:p>
    <w:p w:rsidR="0025129F" w:rsidRDefault="0025129F" w:rsidP="0025129F">
      <w:pPr>
        <w:pStyle w:val="TextoNormal"/>
      </w:pPr>
      <w:r>
        <w:t xml:space="preserve">"A tenor del contenido, tanto de los documentos aportados por la actora, como del informe realizado por el Ilmo. Sr. Magistrado-Juez, del Juzgado de Primera Instancia núm. 16 de Madrid, debe de estimarse, que no concurre, en el recurrente, la observancia de lo previsto en los artículos 1566 y 1567 de la LEC, para que el recurso de apelación por ésta planteado, pudiera ser admitido a trámite y ello a la vista, de que ya, por Auto de fecha 21 de enero de 1999, por el Juzgado de instancia, se requirió a los demandados D. Santiago Fernández y Dª Pilar de la Morena, a que en plazo no superior a tres días acreditaran, la consignación o pago de la cantidad de 291.745 pesetas adeudadas al día de la fecha, con apercibimiento de tener caso contrario por firme y consentida la Sentencia dictada en autos. No obstante, y a fecha de 2 de febrero de 1999 existía una diferencia de abono de 788.500 pesetas, frente a 816.330 ptas., no abonándose más que la cantidad de 28.000 ptas., de las referidas, en el Auto de 21 de enero de 1999, y a falta de pago de las rentas de diciembre de 1998 y enero de 1999. Por ello procede desestimar el recurso interpuesto, confirmando el Auto de fecha 2 de febrero de 1999". </w:t>
      </w:r>
    </w:p>
    <w:p w:rsidR="0025129F" w:rsidRDefault="0025129F" w:rsidP="0025129F">
      <w:pPr>
        <w:pStyle w:val="TextoNormal"/>
      </w:pPr>
      <w:r>
        <w:t xml:space="preserve">2. La demanda denuncia la vulneración del derecho a la tutela judicial efectiva del art. 24.1 CE que, a juicio de los recurrentes, se ha producido porque se les niega el acceso al recurso de apelación por el incumplimiento del requisito del pago o consignación de rentas de los arts. 1566 y 1567 LEC cuando, en realidad, han satisfecho las rentas adeudadas, con cita de diversa jurisprudencia constitucional dictada en torno a este requisito de admisibilidad de los recursos. </w:t>
      </w:r>
    </w:p>
    <w:p w:rsidR="0025129F" w:rsidRDefault="0025129F" w:rsidP="0025129F">
      <w:pPr>
        <w:pStyle w:val="TextoNormal"/>
      </w:pPr>
      <w:r>
        <w:t xml:space="preserve">3. Por providencia de 11 de octubre de 1999, la Sección Primera acordó admitir a trámite el presente recurso y tener por parte al Procurador comparecido en nombre de los recurrentes y, de conformidad con el art. 51 LOTC, requirió al Juzgado de Primera Instancia núm. 16 de Madrid y a la Sección Decimoctava de la Audiencia Provincial de Madrid para que remitiesen testimonio de los autos del juicio de desahucio 641/98 y del rollo de queja 212/99; interesando al propio tiempo el emplazamiento de cuantos fueron parte en el proceso judicial antecedente, con excepción de los recurrentes, para que pudieran comparecer en este proceso constitucional en el plazo de diez días. Asimismo, se concedió a los recurrentes un plazo de diez días para que manifestasen los medios de prueba de que intentaban valerse, y se ordenó abrir la pieza separada de suspensión. </w:t>
      </w:r>
    </w:p>
    <w:p w:rsidR="0025129F" w:rsidRDefault="0025129F" w:rsidP="0025129F">
      <w:pPr>
        <w:pStyle w:val="TextoNormal"/>
      </w:pPr>
      <w:r>
        <w:lastRenderedPageBreak/>
        <w:t xml:space="preserve">4. Por escrito presentado el 27 de octubre de 1999 los recurrentes manifiestan los medios de prueba de que intentan valerse, consistentes en los documentos aportados con la demanda y los justificantes de pago de las rentas desde marzo de 1999 hasta septiembre de 1999, fecha del lanzamiento, dado que el pago de las rentas anteriores consta en los autos del Juzgado. Asimismo, se propone como prueba el testimonio de los autos del Juzgado y el rollo del recurso de queja. </w:t>
      </w:r>
    </w:p>
    <w:p w:rsidR="0025129F" w:rsidRDefault="0025129F" w:rsidP="0025129F">
      <w:pPr>
        <w:pStyle w:val="TextoNormal"/>
      </w:pPr>
      <w:r>
        <w:t>5. Por providencia de 10 de enero de 2000, se acordó tener por recibidas las actuaciones solicitadas, tener por parte a la Procuradora doña María Victoria Pérez-Mulet y Díez-Picazo, en nombre de don Ángel y don José Martínez Sáenz, y dar vista de las actuaciones a las partes y al Ministerio Fiscal para que en el plazo común de veinte días pudieran presentar las alegaciones que estimaran procedentes. Respecto a la prueba propuesta por los recurrentes, se dan por reproducidos los documentos aportados con la demanda, y respecto de los recibos aportados, se acuerda dar traslado a las partes. Respecto a los testimonios solicitados estese a lo acordado en la providencia de 11 de octubre de 1999.</w:t>
      </w:r>
    </w:p>
    <w:p w:rsidR="0025129F" w:rsidRDefault="0025129F" w:rsidP="0025129F">
      <w:pPr>
        <w:pStyle w:val="TextoNormal"/>
      </w:pPr>
    </w:p>
    <w:p w:rsidR="0025129F" w:rsidRDefault="0025129F" w:rsidP="0025129F">
      <w:pPr>
        <w:pStyle w:val="TextoNormal"/>
      </w:pPr>
      <w:r w:rsidRPr="0025129F">
        <w:rPr>
          <w:rStyle w:val="NumeroAFNegritaCaracter"/>
        </w:rPr>
        <w:t>6</w:t>
      </w:r>
      <w:r>
        <w:t>. En 11 de enero de 2000 se dictó Auto por la Sala Primera, en la pieza separada de suspensión, denegando la solicitada, por haberse producido el desalojo del local arrendado el 29 de septiembre de 1999.</w:t>
      </w:r>
    </w:p>
    <w:p w:rsidR="0025129F" w:rsidRDefault="0025129F" w:rsidP="0025129F">
      <w:pPr>
        <w:pStyle w:val="TextoNormal"/>
      </w:pPr>
    </w:p>
    <w:p w:rsidR="0025129F" w:rsidRDefault="0025129F" w:rsidP="0025129F">
      <w:pPr>
        <w:pStyle w:val="TextoNormal"/>
      </w:pPr>
      <w:r w:rsidRPr="0025129F">
        <w:rPr>
          <w:rStyle w:val="NumeroAFNegritaCaracter"/>
        </w:rPr>
        <w:t>7</w:t>
      </w:r>
      <w:r>
        <w:t>. Por escrito registrado el 27 de enero de 2000, los recurrentes interesan que se den por reproducidas las alegaciones formuladas en el escrito de demanda.</w:t>
      </w:r>
    </w:p>
    <w:p w:rsidR="0025129F" w:rsidRDefault="0025129F" w:rsidP="0025129F">
      <w:pPr>
        <w:pStyle w:val="TextoNormal"/>
      </w:pPr>
    </w:p>
    <w:p w:rsidR="0025129F" w:rsidRDefault="0025129F" w:rsidP="0025129F">
      <w:pPr>
        <w:pStyle w:val="TextoNormal"/>
      </w:pPr>
      <w:r w:rsidRPr="0025129F">
        <w:rPr>
          <w:rStyle w:val="NumeroAFNegritaCaracter"/>
        </w:rPr>
        <w:t>8</w:t>
      </w:r>
      <w:r>
        <w:t>. Mediante escrito presentado el 2 de febrero de 2000, la representación de don Ángel y don José Martínez Sáenz se opone al amparo. Alega que a la fecha de interposición del recurso de apelación no se tenían satisfechas las rentas vencidas. El recurso se presenta el 4 de diciembre de 1998, fecha en la que, además de no tener acreditado en autos un ingreso de 127.500 pesetas, faltaban por ingresar 27.424 de las adeudadas, para cuyo pago ingresan 28.000 el día 9 siguiente, esto es, con posterioridad a la fecha de presentación del recurso. Las rentas en las que se sustentaba la demanda de desahucio ascendían a 815.924 pesetas, a diciembre de 1998, mientras que las ingresadas a la fecha del 4 de diciembre, ascendían a 788.500 pesetas. Fotocopia del ingreso de 28.000 pesetas antes citado fue aportada de contrario junto con su impugnación al recurso de reposición de fecha 21 de diciembre de 1998 dirigida al Juzgado de Primera Instancia núm. 16. Obvio es decir que no tenía, en la fecha de presentación del recurso, acreditadas, ni pagadas, la totalidad de las rentas vencidas.</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Por escrito registrado el 8 de febrero de 2000, el Fiscal presenta sus alegaciones en las que interesa la estimación del amparo. Cuando los recurrentes interponen el recurso de apelación, en 5 de diciembre de 1998, justifican el pago de las rentas de los meses de julio, agosto, septiembre, octubre y noviembre del año en curso. Como quiera que el precepto exige la consignación de todas las rentas vencidas (1566 LEC), el apelado interpuso un recurso de reposición contra la admisión provisional de la apelación por no haber sido pagada la renta de diciembre de 1998. Con respecto a la suma diferencial de 27.424, dicha parte señalaba que se había consignado el día 9 de diciembre de 1998, es decir después de la fecha de interposición del recurso. En la impugnación de la reposición, los recurrentes justifican ambos pagos, la renta de diciembre el día 4 y la cantidad añadida (por redondeo 28.000 pesetas) el día 9. El Juzgado, por el Auto de 21 de enero de 1999 no particulariza si </w:t>
      </w:r>
      <w:r>
        <w:lastRenderedPageBreak/>
        <w:t xml:space="preserve">se han pagado o no las rentas mes por mes puesto que habla de un déficit de 291.745 pesetas sin más especificación. Sin embargo, únicamente interesa dejar constancia aquí de la concesión de un plazo de tres días para acreditar el pago. Dentro del plazo concedido, los recurrentes acreditan el pago de las cantidades: a saber, el mes de diciembre, y el de enero en la cantidad de 124.400 pesetas que es la suma regularizada exigida por el arrendador en carta que obra en las actuaciones. Tal mensualidad de enero aparece concretamente acreditada en el folio 121 de las diligencias. El paso siguiente es el Auto del Juzgado de 2 de febrero de 1999. En su parte dispositiva se declara firme la Sentencia, lo que supone de facto la inadmisión de la apelación y en el fundamento jurídico 5 se dan las razones de tal consecuencia. En él textualmente se dice: "La no acreditación del pago o consignación de la cantidad debida a la fecha de interposición del recurso de apelación por la demandada, cinco de diciembre de 1998, en cuantía de 816.330 pesetas, sino sólo de 788.500 pesetas, unido a la falta de consignación o pago de la cantidad señalada en el auto de fecha 21 de enero de 1999, por cuanto que sólo se acreditan las 28.000 pesetas de fecha 9 de diciembre de 1998 (además de la mensualidad de diciembre) y no la mensualidad de enero de 1999, obligan a tener por firme y consentida la Sentencia de autos". </w:t>
      </w:r>
    </w:p>
    <w:p w:rsidR="0025129F" w:rsidRDefault="0025129F" w:rsidP="0025129F">
      <w:pPr>
        <w:pStyle w:val="TextoNormal"/>
      </w:pPr>
      <w:r>
        <w:t xml:space="preserve">Pues bien, de las dos razones que se dan, una no existe, esto es, la falta de consignación de la renta de enero, que consta al folio 121. Por lo que respecta a la falta de consignación de la suma de 28.000 pesetas con anterioridad a la interposición del recurso, si bien se trata de un dato cierto, toda vez que se interpuso el 5 y se consignó el 9, no puede traer consigo, la inadmisión del recurso y la firmeza de la Sentencia. </w:t>
      </w:r>
    </w:p>
    <w:p w:rsidR="0025129F" w:rsidRDefault="0025129F" w:rsidP="0025129F">
      <w:pPr>
        <w:pStyle w:val="TextoNormal"/>
      </w:pPr>
      <w:r>
        <w:t xml:space="preserve">Efectivamente, la modificación operada en el art. 1567 LEC por la Ley de arrendamientos urbanos de 1994 trató de paliar los efectos tajantes de la falta de consignación dando la oportunidad de subsanación del defecto. En tal reforma, después de señalar el efecto de inadmisión a la falta de consignación, se daba una última oportunidad al arrendatario, mediante la adición del siguiente inciso: "siempre que, requerido por el Juez o Tribunal que conozca de los mismos, no cumpliere su obligación de pago o consignación en el plazo de cinco días". </w:t>
      </w:r>
    </w:p>
    <w:p w:rsidR="0025129F" w:rsidRDefault="0025129F" w:rsidP="0025129F">
      <w:pPr>
        <w:pStyle w:val="TextoNormal"/>
      </w:pPr>
      <w:r>
        <w:t xml:space="preserve">Pues bien, es de observar, sigue diciendo el Ministerio Fiscal, que aún cuando la consignación de las 28.000 pesetas es posterior en cuatro días a la fecha de interposición, el apelante-arrendatario, procedió a consignar la citada cantidad diferencial sin que fuera necesario el requerimiento previsto en la Ley. No parece pues, que se pueda entender cumplido el requisito cuando media el requerimiento, y no cumplido cuando se consigna voluntariamente, ya que la ratio legis del precepto obedece al no perjuicio del arrendador por el recurso del arrendatario, efecto no producido en el presente caso. Así, concluye, el error patente en cuanto a la consignación de enero, y la interpretación formalista del art. 1567 LEC hacen perecer el citado Auto por contrario al art. 24.1 CE. </w:t>
      </w:r>
    </w:p>
    <w:p w:rsidR="0025129F" w:rsidRDefault="0025129F" w:rsidP="0025129F">
      <w:pPr>
        <w:pStyle w:val="TextoNormal"/>
      </w:pPr>
      <w:r>
        <w:t xml:space="preserve">Por lo que respecta al Auto de la Audiencia Provincial de Madrid, inadmitiendo la queja de 4 de junio de 1999, vuelve a incurrir en los mismos errores que el Auto que indirectamente confirma. A los errores del Auto del Juzgado, habría que agregar ahora otro más, que lo es no sólo considerar impagada la renta de enero, sino también la de diciembre de 1998, que aparecía claramente acreditada como pagada y reconocida por los Autos del Juzgado. Lo expuesto revela, la lesión de la tutela judicial efectiva en una doble vertiente, la interpretación formalista, cuando no errónea de la Ley y la equivocación patente consistente en inadmitir un recurso por no consignar rentas cuando ello no es cierto. Si bien, desde la STC 37/1995 se ha distinguido entre el derecho de acceso al proceso y al recurso, dando una mayor transcendencia al quebranto de aquél, que nace ex Constitutione que a éste, ello no debe revertir en el desamparo de las inadmisiones que se producen por una </w:t>
      </w:r>
      <w:r>
        <w:lastRenderedPageBreak/>
        <w:t>razón inexistente o con una interpretación arbitraria de la norma. El alcance del amparo debe llevar a la anulación de los Autos del Juzgado y el de la Audiencia Provincial así como a que no se deje de admitir el recurso de apelación por falta de consignación de las rentas adeudadas al momento de la admisión en febrero de 2000.</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24 de enero de 2002 se señaló para votación y fallo del presente recurso el día 28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Dados los términos en que se formula demanda, el presente recurso de amparo tiene por objeto determinar si la decisión de los órganos judiciales de inadmitir a trámite el recurso de apelación interpuesto por los arrendatarios demandantes de amparo contra la Sentencia recaída en el juicio de desahucio en el que fueron demandados, por el incumplimiento del requisito de pago o consignación de las rentas debidas que establecen los arts. 1566 y 1567 LEC, ha vulnerado su derecho a la tutela judicial efectiva del art. 24.1 CE, en su vertiente de derecho de acceso a los recursos legalmente establecidos.</w:t>
      </w:r>
    </w:p>
    <w:p w:rsidR="0025129F" w:rsidRDefault="0025129F" w:rsidP="0025129F">
      <w:pPr>
        <w:pStyle w:val="TextoNormal"/>
      </w:pPr>
      <w:r>
        <w:t>La queja de los arrendatarios demandantes del amparo es favorablemente informada por el Ministerio Fiscal, quien se pronuncia, en sus alegaciones, a favor del otorgamiento del amparo.</w:t>
      </w:r>
    </w:p>
    <w:p w:rsidR="0025129F" w:rsidRDefault="0025129F" w:rsidP="0025129F">
      <w:pPr>
        <w:pStyle w:val="TextoNormal"/>
      </w:pPr>
      <w:r>
        <w:t>Por su parte, la representación de los arrendadores Sres. Martínez Sáenz, comparecidos en este proceso constitucional, se oponen a la estimación del amparo, por entender que los demandantes (arrendatarios apelantes en el proceso a quo) no habían cumplido el requisito procesal del pago o consignación de las rentas vencidas en el momento de formular el recurso de apelación.</w:t>
      </w:r>
    </w:p>
    <w:p w:rsidR="0025129F" w:rsidRDefault="0025129F" w:rsidP="0025129F">
      <w:pPr>
        <w:pStyle w:val="TextoNormal"/>
      </w:pPr>
    </w:p>
    <w:p w:rsidR="0025129F" w:rsidRDefault="0025129F" w:rsidP="0025129F">
      <w:pPr>
        <w:pStyle w:val="TextoNormal"/>
      </w:pPr>
      <w:r w:rsidRPr="0025129F">
        <w:rPr>
          <w:rStyle w:val="NumeroAFNegritaCaracter"/>
        </w:rPr>
        <w:t>2</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25129F" w:rsidRDefault="0025129F" w:rsidP="0025129F">
      <w:pPr>
        <w:pStyle w:val="TextoNormal"/>
      </w:pPr>
      <w:r>
        <w:t xml:space="preserve">El derecho a obtener una resolución sobre el fondo rige tanto en el acceso a la primera instancia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(SSTC 6/1986, de 21 de enero; 118/1987, de 8 de julio; 216/1989, de 21 de </w:t>
      </w:r>
      <w:r>
        <w:lastRenderedPageBreak/>
        <w:t>diciembre; 154/1992, de 19 de octubre; 55/1995, de 6 de marzo; 104/1997, de 2 de junio; 112/1997, de 3 de junio; 8/1998, de 13 de enero; 38/1998, de 17 de febrero; 130/1998, de 16 de junio; 207/1998, de 26 de octubre; 16/1999, de 22 de febrero; 63/1999, de 26 de abril, y 108/2000, de 5 de mayo),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ello,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proceda estimar como arbitraria o manifiestamente irrazonable (STC 133/2000, de 16 de mayo),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w:t>
      </w:r>
    </w:p>
    <w:p w:rsidR="0025129F" w:rsidRDefault="0025129F" w:rsidP="0025129F">
      <w:pPr>
        <w:pStyle w:val="TextoNormal"/>
      </w:pPr>
    </w:p>
    <w:p w:rsidR="0025129F" w:rsidRDefault="0025129F" w:rsidP="0025129F">
      <w:pPr>
        <w:pStyle w:val="TextoNormal"/>
      </w:pPr>
      <w:r w:rsidRPr="0025129F">
        <w:rPr>
          <w:rStyle w:val="NumeroAFNegritaCaracter"/>
        </w:rPr>
        <w:t>3</w:t>
      </w:r>
      <w:r>
        <w:t>. Por lo que concierne, a esta última posible causa determinante de la vulneración del art. 24.1 CE, por haber incurrido el órgano judicial en un "error patente" con efectos negativos en la esfera jurídica del litigante (indefensión), procederá otorgar el amparo siempre que: a) el error no sea imputable a la negligencia de la parte, sino atribuible al órgano judicial; b) se trate de un yerro, predominantemente de carácter fáctico, que sea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Asimismo, en una reiterada y consolidada jurisprudencia, hemos declarado que el requisito del pago o consignación de las rentas vencidas al tiempo de la interposición del recurso, o de las que vayan venciendo durante su tramitación, que se establece en los artículos 1566 y 1567 LEC de 1881 (y en la actualidad en el art. 449.1 y 2 de la Ley 1/2000), no constituye un formalismo desproporcionado contrario al derecho a la tutela judicial efectiva del art. 24.1 CE, en su vertiente de derecho de acceso a los recursos legalmente establecidos. Por el contrario, representa una exigencia esencial para el acceso y la sustanciación de los recursos, cuya finalidad es la de asegurar los intereses del arrendador que ha obtenido una Sentencia favorable, para evitar que el arrendatario se valga del sistema de recursos que la Ley le concede, como medio para continuar en el goce o uso del </w:t>
      </w:r>
      <w:r>
        <w:lastRenderedPageBreak/>
        <w:t>inmueble arrendado sin satisfacer la contraprestación de la renta, convirtiendo así el recurso en una maniobra dilatoria del lanzamiento en perjuicio del arrendador (STC 204/1998, de 26 de diciembre, por todas).</w:t>
      </w:r>
    </w:p>
    <w:p w:rsidR="0025129F" w:rsidRDefault="0025129F" w:rsidP="0025129F">
      <w:pPr>
        <w:pStyle w:val="TextoNormal"/>
      </w:pPr>
      <w:r>
        <w:t>Igualmente, hemos declarado que una interpretación teleológica o finalista del requisito procesal que nos ocupa, exige distinguir entre el hecho real del pago o consignación de las rentas vencidas, que se erige en un requisito esencial e insubsanable para la admisión del recurso, y la prueba o acreditación de dicho pago o consignación que constituye, por el contrario, un mero requisito formal y subsanable (STC 344/1993, de 22 de noviembre, por todas).</w:t>
      </w:r>
    </w:p>
    <w:p w:rsidR="0025129F" w:rsidRDefault="0025129F" w:rsidP="0025129F">
      <w:pPr>
        <w:pStyle w:val="TextoNormal"/>
      </w:pPr>
      <w:r>
        <w:t>En atención a ello, este Tribunal ha estimado que la formulación de un recurso en un proceso arrendaticio sin que al tiempo de hacerlo, o dentro del plazo de interposición, se hubiera pagado o consignado el importe de las rentas vencidas, puede suponer la omisión de un requisito esencial e insubsanable que determina la procedencia de una causa legal de inadmisibilidad del recurso (arts. 1566 LEC 1881, y 449.1 LEC 2000), que no resulta contraria al derecho a la tutela judicial efectiva (STC 204/1998, de 26 de diciembre).</w:t>
      </w:r>
    </w:p>
    <w:p w:rsidR="0025129F" w:rsidRDefault="0025129F" w:rsidP="0025129F">
      <w:pPr>
        <w:pStyle w:val="TextoNormal"/>
      </w:pPr>
    </w:p>
    <w:p w:rsidR="0025129F" w:rsidRDefault="0025129F" w:rsidP="0025129F">
      <w:pPr>
        <w:pStyle w:val="TextoNormal"/>
      </w:pPr>
      <w:r w:rsidRPr="0025129F">
        <w:rPr>
          <w:rStyle w:val="NumeroAFNegritaCaracter"/>
        </w:rPr>
        <w:t>5</w:t>
      </w:r>
      <w:r>
        <w:t>. Proyectando la referida doctrina al caso enjuiciado, debemos comenzar recordando que tras la Ley 29/1994, de 24 de noviembre, de arrendamientos urbanos (Disposición adicional 5.2), el art. 1566 LEC disponía que: "En ningún caso se admitirán al demandado los recursos de apelación y de casación, cuando procedan, si no acredita al interponerlos tener satisfechas las rentas vencidas y las que con arreglo al contrato deba pagar adelantadas, o si no las consigna judicial o notarialmente". Ello no obstante, la falta de pago o consignación al tiempo de interposición del recurso no es ahora esencial, pues el art. 1567 LEC disponía, a su vez, que "Si el arrendatario no cumpliese lo prevenido en el artículo anterior, se tendrá por firme la sentencia y se procederá a su ejecución, siempre que requerido por el Juez o Tribunal que conozca de los mismos no cumpliere su obligación de pago o consignación en el plazo de cinco días".</w:t>
      </w:r>
    </w:p>
    <w:p w:rsidR="0025129F" w:rsidRDefault="0025129F" w:rsidP="0025129F">
      <w:pPr>
        <w:pStyle w:val="TextoNormal"/>
      </w:pPr>
      <w:r>
        <w:t>Teniendo en cuenta la referida regulación legal, si examinamos la conducta procesal observada por los demandantes de amparo que se deja reflejada con detalle en los antecedentes de esta Sentencia, vemos que, al tiempo de interponer el recurso de apelación contra la Sentencia de desahucio el día 5 de diciembre de 1998, acreditaron tener pagada la cantidad de 661.000 pesetas, aunque en realidad habían satisfecho un total de 788.500 pesetas (por el pago de 127.500 pesetas que efectuaron el día 4 de diciembre de 1998); no obstante, tras alegar los arrendadores apelados, al recurrir en reposición la providencia de 9 de diciembre de 1998 que admitió el recurso de apelación, la infracción del art. 1566 LEC, por ascender lo adeudado, incluida la mensualidad de diciembre de 1998, a la suma de 815.924 pesetas, con fecha de 9 de diciembre de 1998 los apelantes pagaron la cantidad de 28.000 pesetas (lo que hacía un total abonado de 816.500 pesetas, que acreditaron al impugnar el recurso de reposición mediante escrito presentado el 22 de diciembre de 1998).</w:t>
      </w:r>
    </w:p>
    <w:p w:rsidR="0025129F" w:rsidRDefault="0025129F" w:rsidP="0025129F">
      <w:pPr>
        <w:pStyle w:val="TextoNormal"/>
      </w:pPr>
      <w:r>
        <w:t>Es decir, que los entonces apelantes y ahora demandantes de amparo, pese a que al tiempo de la interposición del recurso no acreditaron el pago de todas las rentas adeudadas hasta la fecha, pues abonaron 788.500 pesetas cuando, en realidad, lo debido ascendía a 815.924 pesetas, subsanaron este defecto advertido por los apelados, sin necesidad de ser requeridos al efecto por el Juzgado, como exigía el art. 1567 LEC, mediante el pago adicional de las 28.000 pesetas pagadas el 9 de diciembre de 1998.</w:t>
      </w:r>
    </w:p>
    <w:p w:rsidR="0025129F" w:rsidRDefault="0025129F" w:rsidP="0025129F">
      <w:pPr>
        <w:pStyle w:val="TextoNormal"/>
      </w:pPr>
      <w:r>
        <w:t xml:space="preserve">Por esta razón, al considerar el Auto de 21 de enero de 1999 que sólo estaba justificado el pago de 661.000 pesetas cuando, en realidad, lo pagado y acreditado por los apelantes </w:t>
      </w:r>
      <w:r>
        <w:lastRenderedPageBreak/>
        <w:t>en aquella fecha ascendía a 816.500 pesetas, incurre en un error, que lleva al Juzgado a exigir el pago de 291.745 pesetas que, a excepción de la cantidad referida al mes de enero, ya estaban satisfechas.</w:t>
      </w:r>
    </w:p>
    <w:p w:rsidR="0025129F" w:rsidRDefault="0025129F" w:rsidP="0025129F">
      <w:pPr>
        <w:pStyle w:val="TextoNormal"/>
      </w:pPr>
      <w:r>
        <w:t>Lo expuesto, permite afirmar que la conducta observada por los apelantes tras serles notificado el Auto de 21 de enero de 1999, alegando que ya tenían pagada la suma de 816.000 pesetas, según lo acreditado en las actuaciones, que era la cantidad redondeada que cubría la suma que, conforme a los propios cálculos de los apelados se adeudaba hasta diciembre, y acreditando el pago de otras 124.400 pesetas efectuado el 8 de enero de 1999, para atender a la mensualidad de enero, dado que según la carta que se acompañaba del Letrado de los demandantes, la renta fijada para el mes de enero de 1999 ascendía a la suma de 124.343 pesetas, no puede considerarse sino como una forma razonable y diligente de dar cumplimiento al requisito previsto en el art.  1566 LEC, y de atender el requerimiento efectuado por el citado Auto de 21 de enero de 1999 para que los apelantes acreditasen el pago o consignación de 291.745 pesetas; dado que, conforme a los propios cálculos de los apelados, el concepto a que esta cantidad respondía ya estaba pagada, en cuanto a las mensualidades vencidas hasta diciembre de 1998 (816.500 pesetas), y en lo relativo a la mensualidad de enero (124.400 pesetas), por lo que no resultaba exigible cumplir en sus términos un requerimiento que resultaba injustificado.</w:t>
      </w:r>
    </w:p>
    <w:p w:rsidR="0025129F" w:rsidRDefault="0025129F" w:rsidP="0025129F">
      <w:pPr>
        <w:pStyle w:val="TextoNormal"/>
      </w:pPr>
    </w:p>
    <w:p w:rsidR="0025129F" w:rsidRDefault="0025129F" w:rsidP="0025129F">
      <w:pPr>
        <w:pStyle w:val="TextoNormal"/>
      </w:pPr>
      <w:r w:rsidRPr="0025129F">
        <w:rPr>
          <w:rStyle w:val="NumeroAFNegritaCaracter"/>
        </w:rPr>
        <w:t>6</w:t>
      </w:r>
      <w:r>
        <w:t>. Las circunstancias relatadas conducen a estimar que el Auto del Juzgado de 2 de febrero de 1999 que declaró firme la Sentencia de desahucio, en la medida en que se funda en la equivocación del órgano jurisdiccional de que los apelantes no acreditaron el pago de la mensualidad de enero de 1999, cuando éstos justificaron que con fecha de 8 de enero de 1999, habían pagado la cantidad de 124.400 pesetas que cubría la cantidad de 124.343 pesetas en que los propios arrendadores fijaron la renta del mes de enero, incurre en un error patente, que, al ser determinante de la decisión de inadmisión del recurso de apelación vulnera el derecho a la tutela judicial efectiva, en su vertiente de derecho de acceso a los recursos legalmente establecidos, error que no sólo no se corrigió por el posterior Auto de la Audiencia de 4 de junio de 1999, sino que se vio incrementado por el Tribunal ad quem, por cuanto ésta última resolución desestimó el recurso de queja con fundamento en que faltaba el abono de las rentas de diciembre de 1998 y enero de 1999 lo que, como hemos visto, no se ajustaba a la realidad de los pagos efectuados por los ahora demandantes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Finalmente, el referido Auto del Juzgado de Primera Instancia de 2 de febrero de 1999, que declara firme la Sentencia dando lugar al desahucio al inadmitir el recurso de apelación de los arrendatarios contra aquélla, sustenta la falta del requisito de pago o consignación de las rentas vencidas, exigido por el art. 1566 LEC, en que la diferencia por importe de 28.000 pesetas no fue satisfecha al momento de interposición de la apelación, el 5 de diciembre de 1998, sino cuatro días más tarde, el 9 de diciembre de dicho año.</w:t>
      </w:r>
    </w:p>
    <w:p w:rsidR="0025129F" w:rsidRDefault="0025129F" w:rsidP="0025129F">
      <w:pPr>
        <w:pStyle w:val="TextoNormal"/>
      </w:pPr>
      <w:r>
        <w:t xml:space="preserve">Ahora bien, y como acertadamente alega el Fiscal, esta interpretación del requisito no puede calificarse de razonable, pues atendido el régimen jurídico de flexibilización que introdujo la nueva redacción del art. 1567 de dicha Ley procesal, en cuanto permite un requerimiento del órgano jurisdiccional para que en plazo de cinco días el arrendatario- apelante cumpla su obligación de pago o consignación de las rentas vencidas, requerimiento aquí formalmente producido mediante el Auto del Juzgado de 21 de enero de 1999, y acreditado por los apelantes y ahora demandantes de amparo que dicha cantidad de 28.000 pesetas fue ingresada o abonada en la cuenta de los arrendadores con fecha 9 de </w:t>
      </w:r>
      <w:r>
        <w:lastRenderedPageBreak/>
        <w:t>diciembre de 1998, es decir, con anterioridad al requerimiento, el entendimiento que en el mencionado Auto se realiza del controvertido requisito procesal del pago o consignación de la renta para la admisión del recurso de apelación conduce a la solución, contraria a la finalidad inspiradora del mencionado art. 1567 LEC, de que se tendría por cumplido el requisito a quien paga o consigna en el plazo concedido por el requerimiento judicial, y no a quien, como los demandantes, hicieron efectivo el pago de la renta de modo voluntario y en fecha anterior al requerimiento judicial, por lo que también en este aspecto, el Auto del Juzgado, confirmado al resolver el recurso de queja por la Audiencia Provincial, se muestra como irrazonable y lesiona el derecho fundamental a una tutela judicial efectiva sin indefensión, al privar a los arrendatarios objeto de la acción de desahucio, que prosperó en la primera instancia, de su derecho al recurso de apelación, siendo así que dieron cumplimiento al requisito o presupuesto procesal legalmente exigido para su admisión.</w:t>
      </w:r>
    </w:p>
    <w:p w:rsidR="0025129F" w:rsidRDefault="0025129F" w:rsidP="0025129F">
      <w:pPr>
        <w:pStyle w:val="TextoNormal"/>
      </w:pPr>
      <w:r>
        <w:t>Todo lo expuesto conduce, en consecuencia, a que debamos otorgar el amparo solicitado.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doña Pilar de la Morena Robledo y don Santiago Fernández de la Morena y, en su virtud:</w:t>
      </w:r>
    </w:p>
    <w:p w:rsidR="0025129F" w:rsidRDefault="0025129F" w:rsidP="0025129F">
      <w:pPr>
        <w:pStyle w:val="TextoNormal"/>
      </w:pPr>
      <w:r>
        <w:t>1º Reconocer el derecho de los recurrentes a la tutela judicial efectiva sin indefensión (art. 24.1 CE).</w:t>
      </w:r>
    </w:p>
    <w:p w:rsidR="0025129F" w:rsidRDefault="0025129F" w:rsidP="0025129F">
      <w:pPr>
        <w:pStyle w:val="TextoNormal"/>
      </w:pPr>
      <w:r>
        <w:t>2º Declarar la nulidad del Auto de 2 de febrero de 1999 del Juzgado de Primera Instancia núm. 16 de Madrid, dictado en el juicio de desahucio núm. 641/98, y del Auto de 4 de junio de 1999 de la Sección Decimoctava de la Audiencia Provincial de Madrid, que desestimó el recurso de queja formulado contra aquella resolución.</w:t>
      </w:r>
    </w:p>
    <w:p w:rsidR="0025129F" w:rsidRDefault="0025129F" w:rsidP="0025129F">
      <w:pPr>
        <w:pStyle w:val="TextoNormal"/>
      </w:pPr>
      <w:r>
        <w:t>3º Retrotraer las actuaciones al momento procesal inmediatamente anterior al de dictarse el Auto de 2 de febrero de 1999, a fin de que el Juzgado de Primera Instancia acuerde lo procedente sobre la admisión del recurso de apelación, con respeto del derecho fundamental reconocido.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6" w:name="SENTENCIA_2002_23"/>
      <w:r>
        <w:lastRenderedPageBreak/>
        <w:t>SENTENCIA 23/2002, de 28 de enero de 2002</w:t>
      </w:r>
    </w:p>
    <w:bookmarkEnd w:id="26"/>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ECLI:ES:TC:2002:23</w:t>
      </w:r>
    </w:p>
    <w:p w:rsidR="0025129F" w:rsidRDefault="0025129F" w:rsidP="0025129F">
      <w:pPr>
        <w:pStyle w:val="SntesisDescriptiva"/>
      </w:pPr>
    </w:p>
    <w:p w:rsidR="0025129F" w:rsidRDefault="0025129F" w:rsidP="0025129F">
      <w:pPr>
        <w:pStyle w:val="SntesisDescriptiva"/>
      </w:pPr>
      <w:r>
        <w:t>Recurso de amparo 581-2001. Promovido por don Sergio Hernández Fernández respecto de resoluciones de la Audiencia Provincial, y de un Juzgado de Instrucción, de Santa Cruz de Tenerife que acordaron su prisión provisional, en una causa seguida por delitos de robo con violencia e intimidación y contra la salud pública.</w:t>
      </w:r>
    </w:p>
    <w:p w:rsidR="0025129F" w:rsidRDefault="0025129F" w:rsidP="0025129F">
      <w:pPr>
        <w:pStyle w:val="SntesisDescriptiva"/>
      </w:pPr>
    </w:p>
    <w:p w:rsidR="0025129F" w:rsidRDefault="0025129F" w:rsidP="0025129F">
      <w:pPr>
        <w:pStyle w:val="SntesisAnaltica"/>
      </w:pPr>
      <w:r>
        <w:t>Vulneración del derecho a la libertad personal: prisión provisional insuficientemente motivada (STC 128/1995).</w:t>
      </w:r>
    </w:p>
    <w:p w:rsidR="0025129F" w:rsidRDefault="0025129F" w:rsidP="0025129F">
      <w:pPr>
        <w:pStyle w:val="SntesisAnaltica"/>
      </w:pPr>
    </w:p>
    <w:p w:rsidR="0025129F" w:rsidRDefault="0025129F" w:rsidP="0025129F">
      <w:pPr>
        <w:pStyle w:val="Extracto"/>
      </w:pPr>
      <w:r>
        <w:t>1.</w:t>
      </w:r>
      <w:r>
        <w:tab/>
        <w:t>Los órganos judiciales no han motivado suficientemente sus decisiones al acordar y mantener, en sus respectivos casos, la prisión provisional del recurrente [FJ 4].</w:t>
      </w:r>
    </w:p>
    <w:p w:rsidR="0025129F" w:rsidRDefault="0025129F" w:rsidP="0025129F">
      <w:pPr>
        <w:pStyle w:val="Extracto"/>
      </w:pPr>
    </w:p>
    <w:p w:rsidR="0025129F" w:rsidRDefault="0025129F" w:rsidP="0025129F">
      <w:pPr>
        <w:pStyle w:val="Extracto"/>
      </w:pPr>
      <w:r>
        <w:t>2.</w:t>
      </w:r>
      <w:r>
        <w:tab/>
        <w:t>La genérica alarma social, así invocada, no justifica adecuadamente la adopción o mantenimiento de la medida cautelar (SSTC 66/1997, 47/2000) [FJ 4].</w:t>
      </w:r>
    </w:p>
    <w:p w:rsidR="0025129F" w:rsidRDefault="0025129F" w:rsidP="0025129F">
      <w:pPr>
        <w:pStyle w:val="Extracto"/>
      </w:pPr>
    </w:p>
    <w:p w:rsidR="0025129F" w:rsidRDefault="0025129F" w:rsidP="0025129F">
      <w:pPr>
        <w:pStyle w:val="Extracto"/>
      </w:pPr>
      <w:r>
        <w:t>3.</w:t>
      </w:r>
      <w:r>
        <w:tab/>
        <w:t>Doctrina acerca de los requisitos exigibles, en el ámbito constitucional, respecto de la medida cautelar de prisión provisional (STC 61/2001) [FJ 3].</w:t>
      </w:r>
    </w:p>
    <w:p w:rsidR="0025129F" w:rsidRDefault="0025129F" w:rsidP="0025129F">
      <w:pPr>
        <w:pStyle w:val="Extracto"/>
      </w:pPr>
    </w:p>
    <w:p w:rsidR="0025129F" w:rsidRDefault="0025129F" w:rsidP="0025129F">
      <w:pPr>
        <w:pStyle w:val="Extracto"/>
      </w:pPr>
      <w:r>
        <w:t>4.</w:t>
      </w:r>
      <w:r>
        <w:tab/>
        <w:t>La puesta en libertad del demandante de amparo no priva de objeto al recurso, pues si se hubiera cometido la vulneración del derecho fundamental que denuncia, a este Tribunal correspondía repararla, al menos en parte, otorgando el amparo en los términos procedentes (art. 55 LOTC; SSTC 47/2000, 61/2001)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581-2001, promovido por don Sergio Hernández Fernández, representado por la Procuradora doña María Lourdes Amasio Díaz y asistido del Letrado don Sergio Arbelo Ledesma, contra el Auto de fecha 27 de noviembre de 2000, dictado por el Juzgado de Instrucción núm. 2 de Arona en las diligencias previas núm. </w:t>
      </w:r>
      <w:r>
        <w:lastRenderedPageBreak/>
        <w:t>5527-2000, en el que se acordó la prisión provisional comunicada y sin fianza del ahora recurrente, contra el Auto de 7 de diciembre de 2000, dictado por dicho Juzgado en las mismas diligencias previas, que desestimó el recurso de reforma formulado frente a dicho Auto, y contra el Auto de 11 de enero de 2001 dictado por la Audiencia Provincial de Santa Cruz de Tenerife, Sección Segunda, que desestimó el recurso de queja interpuesto contra los anteriores. Ha intervenido el Ministerio Fiscal y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presentado en el Registro de este Tribunal el día 2 de febrero de 2001, la Procuradora de los Tribunales doña María Lourdes Amasio Díaz, en nombre y representación de don Sergio Hernández Fernández, interpuso recurso de amparo contra las resoluciones judiciales mencionadas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en síntesis, los que a continuación se relacionan: </w:t>
      </w:r>
    </w:p>
    <w:p w:rsidR="0025129F" w:rsidRDefault="0025129F" w:rsidP="0025129F">
      <w:pPr>
        <w:pStyle w:val="TextoNormal"/>
      </w:pPr>
      <w:r>
        <w:t xml:space="preserve">a) El Juzgado de Instrucción núm. 2 de Arona dictó Auto en fecha 27 de noviembre de 2000, en el curso del proceso seguido contra el actual demandante de amparo y otros, por supuestos delitos de robo con violencia e intimidación y contra la salud pública, por el que acordó su prisión provisional comunicada y sin fianza. </w:t>
      </w:r>
    </w:p>
    <w:p w:rsidR="0025129F" w:rsidRDefault="0025129F" w:rsidP="0025129F">
      <w:pPr>
        <w:pStyle w:val="TextoNormal"/>
      </w:pPr>
      <w:r>
        <w:t xml:space="preserve">La fundamentación jurídica de dicho Auto era del tenor literal siguiente: "Primero.- Conforme a lo dispuesto en los artículos 503 y 504.bis.2 de la Ley de Enjuiciamiento Criminal, para que proceda la prisión provisional se requiere: 1)- Que conste en la causa la existencia de un hecho que tenga caracteres de delito.- 2)- Que éste tenga señalada pena superior a prisión menor (hoy superior a tres años, conforme al nuevo Código Penal) o que, teniéndola igual o inferior, se considere procedente en atención a las circunstancias del hecho o antecedentes del inculpado.- 3)- Que existan motivos bastantes para estimar responsable criminalmente a la persona contra la que se haya de dictar el auto de prisión.- 4)- Que se haya celebrado la 'audiencia' prevista en el artículo 504.bis.2, con asistencia del imputado y del Ministerio Fiscal.- 5)- Que la prisión haya sido solicitada por el Fiscal o parte acusadora.- Segundo.- En el presente caso concurren todos los requisitos mencionados, por cuanto de las actuaciones practicadas se desprende la existencia de un delito de robo con violencia e intimidación y contra la salud pública, previsto y penado en el vigente Código Penal en sus artículos 242 y 363, respectivamente, existen en la causa méritos bastantes para estimar responsable criminalmente de dicho delito a Sergio Hernández Fernández, se ha celebrado la audiencia que exige la Ley y por último la prisión provisional ha sido solicitada por el Ministerio Fiscal.- Tercero.- Por lo expuesto procede decretar la prisión provisional comunicada y sin fianza por esta causa de Sergio Hernández Fernández". </w:t>
      </w:r>
    </w:p>
    <w:p w:rsidR="0025129F" w:rsidRDefault="0025129F" w:rsidP="0025129F">
      <w:pPr>
        <w:pStyle w:val="TextoNormal"/>
      </w:pPr>
      <w:r>
        <w:t xml:space="preserve">b) Contra dicho Auto interpuso el ahora demandante de amparo recurso de reforma en el que, amén de entender que no había datos bastantes para que pudiera presumirse su participación en los supuestos delitos de robo y contra la salud pública, alegaba, con invocación del art. 17 CE, la falta de motivación de la resolución judicial por no haber considerado las circunstancias personales del interesado, entre ellas su arraigo familiar, profesional, económico y social, que fundamentaban la ausencia de riesgo de fuga para el caso de quedar en libertad. </w:t>
      </w:r>
    </w:p>
    <w:p w:rsidR="0025129F" w:rsidRDefault="0025129F" w:rsidP="0025129F">
      <w:pPr>
        <w:pStyle w:val="TextoNormal"/>
      </w:pPr>
      <w:r>
        <w:lastRenderedPageBreak/>
        <w:t xml:space="preserve">El recurso de reforma fue desestimado por el citado Juzgado de Instrucción mediante Auto de 7 de diciembre de 2000, cuya fundamentación jurídica es del tenor literal siguiente: "Único.- Las alegaciones formuladas por el Letrado Sr. Arbelo Ledesma no desvirtúan las consideraciones en su día tenidas en cuenta para acordar la prisión provisional del Sr. Hernández.- En efecto, de las diligencias hasta ahora practicadas existen suficientes indicios en la causa como para considerar al Sr. Hernández presunto autor de un delito de robo con violencia e intimidación y de un delito contra la salud pública, los cuales conllevan una pena suficientemente grave, lo que, unido a la indudable alarma social que produce la comisión de este tipo de delitos, nos hacen pensar que son motivos bastantes para mantener la situación de prisión provisional inicialmente acordada.- Los requisitos que han de reunirse para que proceda acordar la prisión provisional o su mantenimiento, que cabe analizar si concurren en el presente caso, son: -Que conste en la causa la existencia de un hecho que presente caracteres de delito. De las actuaciones practicadas existen indicios racionales de que los hechos que han dado origen a las mismas pueden ser constitutivos de un delito previsto y penado en el art. 242 del Código Penal, como es el de robo con violencia e intimidación, al haber sido reconocido por Lauren Tozzi como la persona que le golpeó en la cabeza cuando lo perseguía y le dio alcance a la altura del centro comercial y por Patrick Carrera como una de las personas que formaban el grupo de cuatro, y por encontrarse en el coche que el mismo conducía la cartera incluyendo la tarjeta de crédito del Sr. Tozzi. Igualmente los hechos pueden ser constitutivos de un delito contra la salud pública previsto y penado en el art. 368 y siguientes del Código Penal, ya que el propio Sr. Hernández reconoce en su declaración presentada en sede judicial que los franceses le preguntaron por pastillas y ellos se ofrecieron a conseguírselas. Preguntado que conseguía con ofrecerse a conseguir pastillas, manifiesta que algo de dinero.- Que éste tenga señalada pena superior a la de prisión menor o, no siendo superior, concurran determinados elementos que habrán de ser atendidos por el Juez y que aparecen recogidos en el art. 503 de la Ley de Enjuiciamiento Criminal. El delito de robo con violencia e intimidación y el delito contra la salud pública tienen prevista pena superior a la prisión menor, por lo que en este caso también concurre este requisito, y además se trata de delitos que crean una enorme alarma social.- Que aparezcan en la causa motivos bastantes para considerar criminalmente responsable del delito a la persona contra quien se haya de dictar el auto de prisión. El hecho de ser reconocido, como se señaló anteriormente, por las víctimas del delito y su propia declaración en sede judicial, reconociendo haberse ofrecido para conseguir droga a las víctimas, son motivos bastantes para considerar al imputado responsable criminal de estos delitos.- Por todo ello procede, como se ha expuesto, desestimar el recurso interpuesto y confirmar la resolución recurrida". </w:t>
      </w:r>
    </w:p>
    <w:p w:rsidR="0025129F" w:rsidRDefault="0025129F" w:rsidP="0025129F">
      <w:pPr>
        <w:pStyle w:val="TextoNormal"/>
      </w:pPr>
      <w:r>
        <w:t>c) Contra el anterior Auto se formuló recurso de queja, en el que nuevamente se alegaba la insuficiente fundamentación de las resoluciones judiciales, con la consiguiente lesión de los derechos reconocidos en los arts. 17.1 y 24.1 CE. Dicha falta de motivación se evidencia en el hecho de que la medida de privación de libertad se pretende justificar por la gravedad de la pena correspondiente a los delitos imputados y por la alarma social que produce la comisión de éstos, pero sin fundamentar la misma en consideración a las concretas circunstancias personales del encausado. En este sentido, se alude en el recurso a que "ni se mencione siquiera el riesgo de fuga, ni se atienda a las circunstancias personales y de arraigo familiar alegadas", señalando, al efecto, "las referentes a la ausencia de antecedentes penales, a la ausencia de riesgo de fuga, pues se trata de un joven de 18 años, estudiante de COU, con domicilio conocido que vive con sus padres, funcionarios del Es</w:t>
      </w:r>
      <w:r>
        <w:lastRenderedPageBreak/>
        <w:t xml:space="preserve">tado de profesión, y que tiene un entorno familiar y social sano y estable", excluyendo además la existencia de peligro de ocultación de pruebas. </w:t>
      </w:r>
    </w:p>
    <w:p w:rsidR="0025129F" w:rsidRDefault="0025129F" w:rsidP="0025129F">
      <w:pPr>
        <w:pStyle w:val="TextoNormal"/>
      </w:pPr>
      <w:r>
        <w:t>La Sección Segunda de la Audiencia Provincial de Santa Cruz de Tenerife desestimó el recurso de queja mediante Auto de 11 de enero de 2001, fundamentando tal decisión textualmente en los siguientes fundamentos jurídicos: "Primero.- El recurso de queja no puede ser acogido: a) Porque los argumentos del recurso no desvirtúan el Auto impugnado, que de una forma detallada justifica, a resulta de las pruebas practicadas en las diligencias, las razones de la prisión provisional sin fianza acordada.- b) Porque, teniendo en cuenta los hechos objeto de las diligencias, sin perjuicio de ulterior valoración, por el momento presentan los caracteres de un delito de robo con violencia e intimidación en las personas, tipificado en el art. 242. 1 y 2 del Código Penal, con la evidente alarma social que el mismo supone y la pena establecida de hasta cinco años de prisión.- c) Porque de las diligencias practicadas, también los hechos podrían ser constitutivos de un delito contra la salud pública del art. 368 del Código Penal.- d) Porque de las diligencias practicadas en la causa, según se recoge y razona en el auto recurrido, existen indicios determinantes de la participación en los hechos por parte del ahora recurrente.- Segundo.- En consecuencia, procede la desestimación del recurso, la confirmación del auto impugnado con declaración de oficio de las costas de esta alzada, a tenor de lo dispuesto en los artículos 239 y 240.1 de la Ley de Enjuiciamiento Criminal".</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Con base en los anteriores hechos, formula el actor su demanda de amparo que dirige contra las mencionadas resoluciones judiciales por entender que todas ellas han lesionado su derecho a la libertad personal (art. 17.1 CE). Esta vulneración constitucional dimana de que las resoluciones judiciales no expresan ningún fin constitucionalmente legítimo que justifique la privación de libertad. Concretamente, el Auto de la Audiencia Provincial no hace ninguna mención a las circunstancias personales del recurrente que fueron alegadas en el recurso de queja, fundamentando la decisión únicamente en la gravedad de la pena y la alarma social que produce el delito de robo, circunstancias éstas que son insuficientes -alega el actor- para justificar la prisión provisional desde una perspectiva constitucional, de cuya doctrina se citan, entre otras, las SSTC 128/1995, 62/1996, 158/1996 y 44/1997. </w:t>
      </w:r>
    </w:p>
    <w:p w:rsidR="0025129F" w:rsidRDefault="0025129F" w:rsidP="0025129F">
      <w:pPr>
        <w:pStyle w:val="TextoNormal"/>
      </w:pPr>
      <w:r>
        <w:t>En virtud de todo ello, la demanda de amparo termina suplicando que "se otorgue al recurrente el amparo solicitado, le reconozca el derecho a la libertad y, en consecuencia, acuerde la nulidad de las resoluciones recurridas, Auto de prisión de fecha 27 de noviembre de 2000 del Juzgado de Instrucción número Dos de Arona, Auto desestimatorio del recurso de reforma de fecha 7 de diciembre de 2000 y el Auto de la Audiencia Provincial de Santa Cruz de Tenerife de fecha 11 de enero de 2001". Por medio de otrosí, se pide asimismo la suspensión de la ejecución de dichas resoluciones judiciales, en virtud de lo dispuesto en el art. 56 LOTC.</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30 de marzo de 2001 la Sala Segunda de este Tribunal acordó admitir a trámite la demanda de amparo presentada y que se requiriese atentamente, conforme a lo establecido en el art. 51 LOTC, a la Sección Segunda de la Audiencia Provincial de Santa Cruz de Tenerife y al Juzgado de Instrucción núm. 2 de Arona a fin de que, en plazo que no excediera de diez días, remitiesen, respectivamente, testimonio de las actuaciones correspondientes al rollo núm. 485-2000 (recurso de aqueja) y a las diligencias previas núm. 5527-2000 y pieza de situación personal del recurrente, interesando al propio tiempo el emplazamiento de quienes fueran parte en el procedimiento, con excep</w:t>
      </w:r>
      <w:r>
        <w:lastRenderedPageBreak/>
        <w:t>ción del demandante de amparo, ya personado, para que en el plazo de diez días pudieran comparecer, si lo desearan, en el recurso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providencia de esa misma fecha, 30 de marzo de 2000, la Sala acordó la formación de la pieza separada para la tramitación del incidente de suspensión, conforme determina el art. 56 LOTC, y la concesión de un plazo común de tres días al Ministerio Fiscal y al recurrente para que alegaran cuanto tuviesen por conveniente sobre dicha medida cautelar. </w:t>
      </w:r>
    </w:p>
    <w:p w:rsidR="0025129F" w:rsidRDefault="0025129F" w:rsidP="0025129F">
      <w:pPr>
        <w:pStyle w:val="TextoNormal"/>
      </w:pPr>
      <w:r>
        <w:t xml:space="preserve">En fecha 17 de abril de 2001 se recibió escrito de la representación del demandante por el que ponía en conocimiento de este Tribunal que el Juzgado de lo Penal núm. 3 de Tenerife, mediante Auto de 14 de marzo de 2001 había acordado la libertad provisional sin fianza del demandante, en vista de lo cual consideraba dicha parte que perdía su finalidad la tramitación del incidente de suspensión instado inicialmente. </w:t>
      </w:r>
    </w:p>
    <w:p w:rsidR="0025129F" w:rsidRDefault="0025129F" w:rsidP="0025129F">
      <w:pPr>
        <w:pStyle w:val="TextoNormal"/>
      </w:pPr>
      <w:r>
        <w:t xml:space="preserve">En fecha 20 de abril de 2000 se registró el escrito de alegaciones del Ministerio público sobre la suspensión, en el que solicitaba su denegación. </w:t>
      </w:r>
    </w:p>
    <w:p w:rsidR="0025129F" w:rsidRDefault="0025129F" w:rsidP="0025129F">
      <w:pPr>
        <w:pStyle w:val="TextoNormal"/>
      </w:pPr>
      <w:r>
        <w:t>Mediante Auto de 16 de julio de 2000 la Sala acordó tener por desistido al demandante de amparo en la solicitud de suspensión de los efectos de las resoluciones recurridas.</w:t>
      </w:r>
    </w:p>
    <w:p w:rsidR="0025129F" w:rsidRDefault="0025129F" w:rsidP="0025129F">
      <w:pPr>
        <w:pStyle w:val="TextoNormal"/>
      </w:pPr>
    </w:p>
    <w:p w:rsidR="0025129F" w:rsidRDefault="0025129F" w:rsidP="0025129F">
      <w:pPr>
        <w:pStyle w:val="TextoNormal"/>
      </w:pPr>
      <w:r w:rsidRPr="0025129F">
        <w:rPr>
          <w:rStyle w:val="NumeroAFNegritaCaracter"/>
        </w:rPr>
        <w:t>6</w:t>
      </w:r>
      <w:r>
        <w:t>. Por diligencia de ordenación de 18 de octubre de 2001 de la Secretaría de la Sala Segunda se abrió el trámite de alegaciones, que prevé el art. 52 LOTC, por plazo común de veinte días.</w:t>
      </w:r>
    </w:p>
    <w:p w:rsidR="0025129F" w:rsidRDefault="0025129F" w:rsidP="0025129F">
      <w:pPr>
        <w:pStyle w:val="TextoNormal"/>
      </w:pPr>
    </w:p>
    <w:p w:rsidR="0025129F" w:rsidRDefault="0025129F" w:rsidP="0025129F">
      <w:pPr>
        <w:pStyle w:val="TextoNormal"/>
      </w:pPr>
      <w:r w:rsidRPr="0025129F">
        <w:rPr>
          <w:rStyle w:val="NumeroAFNegritaCaracter"/>
        </w:rPr>
        <w:t>7</w:t>
      </w:r>
      <w:r>
        <w:t>. En fecha 16 de noviembre de 2001 se recibió el escrito de alegaciones del recurrente, ratificando íntegramente su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En la misma fecha de 16 de noviembre de 2001 se recibió el escrito de alegaciones del Ministerio Fiscal. En él, tras reseñar, en síntesis, los hechos que fundamentan la petición de amparo, analiza el Ministerio público la queja constitucional del recurrente, afirmando que el eje central de la presente demanda de amparo radica en la invocada falta de motivación de los Autos de prisión provisional que acordaron la imposición de una medida limitativa del derecho fundamental a la libertad personal. </w:t>
      </w:r>
    </w:p>
    <w:p w:rsidR="0025129F" w:rsidRDefault="0025129F" w:rsidP="0025129F">
      <w:pPr>
        <w:pStyle w:val="TextoNormal"/>
      </w:pPr>
      <w:r>
        <w:t>Recuerda el Ministerio Fiscal la reiterada doctrina de este Tribunal Constitucional (SSTC 47/2000, 164/2000, 165/2000 y 61/2001, entre otras muchas), según la cual, cuando el derecho a la tutela judicial efectiva se conecta a otro derecho fundamental, como es en este caso el de la libertad personal, las exigencias de motivación resultan especialmente reforzadas sin que el control de constitucionalidad de las resoluciones que acuerden la limitación de tales derechos pueda ceñirse en exclusiva a constatar la manifiesta irracionalidad o arbitrariedad de la fundamentación y decisión judicial, sino que aquéllas han de extenderse a la verificación de si la medida así adoptada responde a un fin constitucionalmente legítimo y de si se ha realizado la necesaria ponderación entre el sacrificio del derecho fundamental que dicha medida limitativa comporta y el interés general que se persigue. Además, entre los criterios que han de ser considerados como relevantes para el enjuiciamiento de la suficiencia y razonabilidad de la motivación se encuentran, como ha señalado, entre otras, la STC 61/2001, en primer lugar, las características y la gravedad del delito imputado y de la pena con que se amenaza y, en segundo lugar, las circunstancias concretas y las personales del imputado. Ahora bien, este último criterio puede no ser exigible en un primer momento, en el que el órgano judicial puede apoyar su decisión en cri</w:t>
      </w:r>
      <w:r>
        <w:lastRenderedPageBreak/>
        <w:t xml:space="preserve">terios puramente objetivos, como la gravedad de la pena o el tipo de delito, pero posteriormente las exigencias de proporcionalidad deben conducir inexorablemente a la necesidad de tener en cuenta las circunstancias personales y del supuesto de hecho para acordar el mantenimiento o la modificación de la medida cautelar. La motivación del Auto de prisión alude a la necesidad de que el órgano judicial explicite el fin constitucionalmente legítimo sobre el que apoya su decisión y realice un juicio de proporcionalidad sobre las circunstancias concurrentes en el hecho y personales del sometido a la medida. </w:t>
      </w:r>
    </w:p>
    <w:p w:rsidR="0025129F" w:rsidRDefault="0025129F" w:rsidP="0025129F">
      <w:pPr>
        <w:pStyle w:val="TextoNormal"/>
      </w:pPr>
      <w:r>
        <w:t xml:space="preserve">A la luz de la anterior doctrina constitucional -continúa el Ministerio público- se impone el análisis de las tres resoluciones que son objeto de la presente demanda de amparo. Así, puede advertirse que en el inicial Auto de prisión provisional que fue dictado en el mismo día que el Sr. Hernández Fernández fue detenido, el Juzgado de Instrucción sustentó su decisión de acordar la prisión provisional en la apreciación de indicios racionales de criminalidad imputables al referido como presunto autor de dos delitos graves como eran los de robo con violencia y tráfico de drogas. Es evidente que en este caso y en dicho momento, dada la premura de tiempo que medió entre la apertura de las diligencias penales, la detención y la adopción de la medida cautelar ningún reproche constitucional habría podido hacerse a este inicial Auto si el mismo hubiere justificado la concurrencia de un fin constitucionalmente legítimo como era el del aseguramiento de la investigación o de la persona del imputado a las resultas del proceso fundamentándolo en la gravedad de los delitos que eran imputados al actor, pues se ignoraban cuáles podrían ser las particulares circunstancias del hecho y las personales que concurrían en aquél. Sin embargo, en el Auto se limita el órgano judicial a constatar, como si de una resolución inculpatoria se tratare, la concurrencia de indicios racionales de criminalidad de dos delitos graves en la persona del imputado sin expresar ninguna conexión con los fines constitucionalmente legítimos que justificarían la adopción de dicha medida, lo que se traduce, en definitiva y de conformidad con la doctrina constitucionalmente expuesta, en una carencia absoluta de motivación de esta resolución, pues aunque apoyada en la gravedad de los delitos imputados la resolución no efectuó ponderación alguna de los intereses legítimos y del derecho fundamental sacrificado. </w:t>
      </w:r>
    </w:p>
    <w:p w:rsidR="0025129F" w:rsidRDefault="0025129F" w:rsidP="0025129F">
      <w:pPr>
        <w:pStyle w:val="TextoNormal"/>
      </w:pPr>
      <w:r>
        <w:t xml:space="preserve">Por su parte, el segundo de los Autos, dictado para resolver el recurso de reforma interpuesto, mantiene sustancialmente la misma fundamentación que el anterior, añadiendo únicamente el argumento de que un delito de este tipo causa una gran alarma social, aunque sin desarrollar esta afirmación. Por ello llega a la decisión de mantenimiento de la situación de prisión provisional. Dicho Auto, si bien fue dictado apenas diez días después del que inicialmente había acordado la medida cautelar expuesta, no incluyó ninguna consideración sobre una de las cuestiones esenciales que se recogían en el escrito del recurso como era la de las circunstancias personales del imputado que se citaban en el mismo: su condición de estudiante con domicilio conocido en la localidad de La Laguna y su carencia de antecedentes. Amén de ello, seguía sin exponer los fines constitucionalmente legítimos que fundamentaran el mantenimiento de la medida, alegando exclusivamente la concurrencia de una "alarma social" cuando, de modo reiterado (STC 47/2000, por todas), el Tribunal Constitucional ha rechazado la invocación de aquélla como fin constitucionalmente legítimo, porque la citada podría satisfacer las exigencias de prevención general propias de una resolución inculpatoria y justificaría por ello la imposición de una pena, pero no puede servir de fundamento para una medida cautelar como la expuesta, orientada a la consecución de otros fines como son los de la evitación de la fuga del presunto autor de un hecho delictivo, asegurando su presencia en el acto del juicio, o el aseguramiento del buen fin de la investigación impidiendo toda actuación obstruccionista por parte del </w:t>
      </w:r>
      <w:r>
        <w:lastRenderedPageBreak/>
        <w:t xml:space="preserve">imputado. Ni se tuvieron, pues, en cuenta las circunstancias particulares del caso ni tampoco las personales del imputado, puestas ya de manifiesto por el mismo en su recurso y sobre las que el Juzgado podría haber extremado su diligencia para constatar la veracidad de lo afirmado; ni tampoco se explicitaron en esta ocasión los fines constitucionalmente legítimos que hubieran justificado el mantenimiento de una medida de tanta gravedad como la acordada. El segundo de los Autos se limitó a reproducir con más detalle que el anterior los mismos argumentos de aquél permitiendo atisbar en su fundamentación, más un pronunciamiento inculpatorio o de condena que el propio de un Auto de adopción de una medida cautelar. </w:t>
      </w:r>
    </w:p>
    <w:p w:rsidR="0025129F" w:rsidRDefault="0025129F" w:rsidP="0025129F">
      <w:pPr>
        <w:pStyle w:val="TextoNormal"/>
      </w:pPr>
      <w:r>
        <w:t xml:space="preserve">Por último, el tercero de los Autos dictados, el resolutorio del recurso de queja, tampoco cumple, en el parecer del Ministerio Fiscal, las exigencias de motivación destacadas por la doctrina constitucional, pues se limita a confirmar en su integridad la bondad de las dos resoluciones anteriores sin completar de una manera explícita los fines legítimos en los que apoyar el mantenimiento de la medida. Ha de tenerse, además, en cuenta que en el caso de autos adquirían especial relieve las circunstancias personales del demandante de amparo, pues se trataba de un joven de dieciocho años, estudiante, con domicilio conocido y sin antecedentes penales, datos éstos que, una vez verificados hubieran permitido realizar el necesario juicio de proporcionalidad sobre el evidente sacrificio del derecho fundamental a la libertad personal de una persona no inmersa en el mundo de la delincuencia habitual, con todas las consecuencias que ello conlleva, y el fin constitucionalmente legítimo que se trataba de conseguir. En definitiva, pues, tampoco el Auto resolutorio del recurso de queja dictado por la Audiencia de Santa Cruz de Tenerife satisface las exigencias constitucionales de motivación que exige el art. 17.1 de la Constitución. </w:t>
      </w:r>
    </w:p>
    <w:p w:rsidR="0025129F" w:rsidRDefault="0025129F" w:rsidP="0025129F">
      <w:pPr>
        <w:pStyle w:val="TextoNormal"/>
      </w:pPr>
      <w:r>
        <w:t xml:space="preserve">El Ministerio Fiscal concluye que el amparo debe ser otorgado, si bien su alcance habrá de ser meramente formal y limitado a los Autos impugnados, pues el Sr. Hernández Fernández alcanzó posteriormente la libertad provisional por esta causa y fue condenado más tarde por uno de los dos delitos de que había sido acusado además de por dos faltas. El derecho a la libertad personal del recurrente quedará pues plenamente respetado con la anulación de los Autos de 27 de noviembre y 7 de diciembre de 2000 y de 11 de enero de 2001, dictados, respectivamente, por el Juzgado de Instrucción núm. 2 de Arona y por la Sección Segunda de la Audiencia Provincial de Santa Cruz de Tenerife. </w:t>
      </w:r>
    </w:p>
    <w:p w:rsidR="0025129F" w:rsidRDefault="0025129F" w:rsidP="0025129F">
      <w:pPr>
        <w:pStyle w:val="TextoNormal"/>
      </w:pPr>
      <w:r>
        <w:t>Por todo ello, el Ministerio Fiscal interesa del Tribunal Constitucional que dicte Sentencia con los siguientes pronunciamientos: otorgamiento del amparo, reconocimiento al recurrente de su derecho a la libertad personal y anulación de los Autos impugnados en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fecha 24 de enero de 2002 se acordó señalar para la deliberación y votación de esta Sentencia el día 28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presente recurso de amparo se dirige contra los Autos de 27 de noviembre y 7 de diciembre de 2000, dictados por el Juzgado de Instrucción núm. 2 de Arona en las diligencias previas núm. 5527-2000, seguidas por supuestos delitos de robo con violencia e intimidación y contra la salud pública, y contra el Auto de 11 de enero de 2001, dictado por la Sección Segunda de la Audiencia Provincial de Santa Cruz de Tenerife. El primero de dichos Autos acordó la prisión provisional comunicada y sin fianza del ahora recurrente en </w:t>
      </w:r>
      <w:r>
        <w:lastRenderedPageBreak/>
        <w:t>amparo, el segundo desestimó el recurso de reforma interpuesto contra el anterior y el tercero desestimó el recurso de queja formulado ante la Audiencia Provincial. Se hace referencia con más detalle a dichos Autos en el antecedente segundo de esta Sentencia.</w:t>
      </w:r>
    </w:p>
    <w:p w:rsidR="0025129F" w:rsidRDefault="0025129F" w:rsidP="0025129F">
      <w:pPr>
        <w:pStyle w:val="TextoNormal"/>
      </w:pPr>
      <w:r>
        <w:t>El recurrente en amparo alega que las tres resoluciones judiciales impugnadas vulneran el derecho fundamental a la libertad personal (art. 17.1 CE) ya que acuerdan la prisión provisional de aquél sin motivación suficiente, al no referirse a los fines que constitucionalmente pueden legitimar tal medida de privación de libertad y, en relación con ello, al no contemplar las circunstancias personales concretas del encausado en el sentido exigido por reiterada doctrina constitucional.</w:t>
      </w:r>
    </w:p>
    <w:p w:rsidR="0025129F" w:rsidRDefault="0025129F" w:rsidP="0025129F">
      <w:pPr>
        <w:pStyle w:val="TextoNormal"/>
      </w:pPr>
      <w:r>
        <w:t>Por su parte, el Ministerio Fiscal interesa el otorgamiento del amparo por falta de fundamentación suficiente de los Autos impugnados. Afirma, al efecto, que dichos Autos ni explicitan cuáles sean los fines constitucionalmente legítimos sobre los que apoyan, en sus respectivos casos, la decisión de privación de libertad del ahora recurrente en amparo ni tampoco (lo que, con mayor razón, es exigible a los Autos de 7 de diciembre de 2000 y 11 de enero de 2001) incluyen consideración alguna sobre las circunstancias particulares del caso y personales de aquél.</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analizar lo que constituye el propio objeto del recurso -si la motivación de las mencionadas resoluciones judiciales es constitucionalmente suficiente- debe examinarse si se ha producido la pérdida sobrevenida de dicho objeto, como consecuencia de haberse producido la puesta en libertad del recurrente en amparo con posterioridad a la presentación de la demanda de amparo y antes de su admisión a trámite.</w:t>
      </w:r>
    </w:p>
    <w:p w:rsidR="0025129F" w:rsidRDefault="0025129F" w:rsidP="0025129F">
      <w:pPr>
        <w:pStyle w:val="TextoNormal"/>
      </w:pPr>
      <w:r>
        <w:t>El supuesto es similar a los ya resueltos en las SSTC 61/2001, de 26 de febrero, y 8/2002, de 14 de enero, donde también se había acordado la libertad del recurrente antes de la fecha de admisión a trámite del recurso de amparo y después de la presentación de la demanda del proceso constitucional de amparo. Dijimos en la primera de dichas Sentencias que "como se declaró en la STC 47/2000, de 17 de febrero, FJ 1, ... la puesta en libertad del demandante de amparo no priva de objeto a este recurso, pues si se hubiera cometido la vulneración del derecho fundamental que denuncia, a este Tribunal correspondía repararla, al menos en parte, otorgando el amparo en los términos procedentes (art. 55 LOTC)". A tal conclusión no cabe oponer que el decurso procesal en este caso (al igual que en el de los recursos correspondientes a las SSTC 61/2001 y 8/2002) y en el resuelto por la STC 47/2000 sean distintos. Como indicábamos en la STC 61/2001 sobre este particular, y reiteramos en la STC 8/2002, "tanto en uno como en otro los recurrentes se encontraban en prisión cuando acudieron a este Tribunal en demanda de amparo, sin que el hecho diferenciador de que la libertad se produjera antes o después de la admisión a trámite del recurso de amparo pueda ser determinante a efectos del control que este Tribunal debe realizar sobre la decisión judicial de decretar o mantener la medida cautelar". Así pues, no cabe convenir en la pérdida sobrevenida de objeto en el presente caso.</w:t>
      </w:r>
    </w:p>
    <w:p w:rsidR="0025129F" w:rsidRDefault="0025129F" w:rsidP="0025129F">
      <w:pPr>
        <w:pStyle w:val="TextoNormal"/>
      </w:pPr>
    </w:p>
    <w:p w:rsidR="0025129F" w:rsidRDefault="0025129F" w:rsidP="0025129F">
      <w:pPr>
        <w:pStyle w:val="TextoNormal"/>
      </w:pPr>
      <w:r w:rsidRPr="0025129F">
        <w:rPr>
          <w:rStyle w:val="NumeroAFNegritaCaracter"/>
        </w:rPr>
        <w:t>3</w:t>
      </w:r>
      <w:r>
        <w:t>. Pasando al análisis de fondo de la queja planteada, preciso es referirse a la reiterada doctrina de este Tribunal acerca de los requisitos exigibles, en el ámbito constitucional, respecto de la medida cautelar de prisión provisional. Esta doctrina se recoge en la citada STC 61/2000, FJ 3, según la cual la constitucionalidad de la medida de prisión exige el cumplimiento de los requisitos que a continuación se indican:</w:t>
      </w:r>
    </w:p>
    <w:p w:rsidR="0025129F" w:rsidRDefault="0025129F" w:rsidP="0025129F">
      <w:pPr>
        <w:pStyle w:val="TextoNormal"/>
      </w:pPr>
      <w:r>
        <w:t>a) Su configuración y aplicación han de tener como presupuesto la existencia de indicios racionales de la comisión del delito y su objetivo ha de ser la consecución de fines constitucionalmente legítimos y congruentes con la naturaleza de la medida.  Se ha seña</w:t>
      </w:r>
      <w:r>
        <w:lastRenderedPageBreak/>
        <w:t>lado, al respecto, que los riesgos a prevenir son la sustracción a la acción de la Administración de justicia, la obstrucción de la justicia penal y la reiteración delictiva (así, entre otras, la STC 207/2000, de 24 de julio, FJ 6).</w:t>
      </w:r>
    </w:p>
    <w:p w:rsidR="0025129F" w:rsidRDefault="0025129F" w:rsidP="0025129F">
      <w:pPr>
        <w:pStyle w:val="TextoNormal"/>
      </w:pPr>
      <w:r>
        <w:t>b) Las decisiones relativas a la adopción y al mantenimiento de la prisión provisional deben expresarse en una resolución judicial motivada. Para que la motivación se considere suficiente y razonable es preciso que la misma sea el resultado de la ponderación de los intereses en juego (la libertad de la persona cuya inocencia se presume, por un lado; la realización de la Administración de justicia penal y la evitación de hechos delictivos, por otro) y que esta ponderación no sea arbitraria, en el sentido de que resulte acorde con las pautas del normal razonamiento lógico y especialmente con los fines que justifican la prisión provisional [SSTC 128/1995, de 26 de julio, FJ 4 b), y 47/2000, FJ 2].</w:t>
      </w:r>
    </w:p>
    <w:p w:rsidR="0025129F" w:rsidRDefault="0025129F" w:rsidP="0025129F">
      <w:pPr>
        <w:pStyle w:val="TextoNormal"/>
      </w:pPr>
      <w:r>
        <w:t>Entre los criterios que este Tribunal ha considerado relevantes para el enjuiciamiento de la suficiencia y razonabilidad de la motivación se encuentran, en primer lugar, las características y la gravedad del delito imputado y de la pena con que se amenaza y, en segundo lugar, las circunstancias concretas y personales del imputado. Ahora bien, este último criterio puede no ser exigible en un primer momento, por no disponer el órgano judicial de tales datos. Por ello se ha afirmado que, si bien en ese primer momento la medida de prisión provisional puede justificarse atendiendo a criterios objetivos, como la gravedad de la pena o el tipo de delito, en un momento posterior el paso del tiempo obliga a ponderar no sólo si se han modificado estas circunstancias sino también las circunstancias personales conocidas en ese momento (SSTC 37/1996, de 11 de marzo, FJ 6, y 62/1996, de 16 de abril, FJ 5).</w:t>
      </w:r>
    </w:p>
    <w:p w:rsidR="0025129F" w:rsidRDefault="0025129F" w:rsidP="0025129F">
      <w:pPr>
        <w:pStyle w:val="TextoNormal"/>
      </w:pPr>
      <w:r>
        <w:t>c) Es obligado, además, indicar que el control que este Tribunal debe ejercer ha de limitarse a verificar que la decisión ha sido adoptada de forma fundada, razonada y acorde con los fines de esta institución, ya que no corresponde a este Tribunal determinar en cada caso si concurren o no las circunstancias que permiten la adopción o el mantenimiento de la prisión provisional sino únicamente el control externo de esa decisión (entre otras, SSTC 19/1999, de 22 de febrero, FJ 6, 71/2000, de 13 de marzo, FJ 8, y 231/2000, de 2 de octubre, FJ 7).</w:t>
      </w:r>
    </w:p>
    <w:p w:rsidR="0025129F" w:rsidRDefault="0025129F" w:rsidP="0025129F">
      <w:pPr>
        <w:pStyle w:val="TextoNormal"/>
      </w:pPr>
    </w:p>
    <w:p w:rsidR="0025129F" w:rsidRDefault="0025129F" w:rsidP="0025129F">
      <w:pPr>
        <w:pStyle w:val="TextoNormal"/>
      </w:pPr>
      <w:r w:rsidRPr="0025129F">
        <w:rPr>
          <w:rStyle w:val="NumeroAFNegritaCaracter"/>
        </w:rPr>
        <w:t>4</w:t>
      </w:r>
      <w:r>
        <w:t>. La aplicación de la anterior doctrina al presente supuesto determina la estimación del amparo, pues los órganos judiciales no han motivado suficientemente sus decisiones al acordar y mantener, en sus respectivos casos, la prisión provisional del recurrente.</w:t>
      </w:r>
    </w:p>
    <w:p w:rsidR="0025129F" w:rsidRDefault="0025129F" w:rsidP="0025129F">
      <w:pPr>
        <w:pStyle w:val="TextoNormal"/>
      </w:pPr>
      <w:r>
        <w:t xml:space="preserve">El primero de los Autos, dictado por el Juzgado de Instrucción núm. 2 de Arona, después de referirse a los requisitos previstos en los artículos 503 y 504 bis.2 LECrim, se limita a establecer cuáles sean los delitos por los que se encuentra abierta la causa penal, con expresa mención de los artículos del Código Penal que los tipifican, así como la imputación inicial al recurrente por su presunta participación en los mismos. Aunque, conforme se ha señalado, en este primer momento procesal el nivel constitucional de exigencia en orden a la motivación es menor (particularmente en lo que atañe a las circunstancias personales del encausado que el Juzgado puede desconocer al comienzo de las actuaciones), sin embargo es de apreciar que la referencia a la provisional inculpación del recurrente es genérica, sin ninguna concreción, que la referencia a la gravedad de la pena es implícita o por remisión (mediante la cita de los pertinentes artículos del Código Penal) y que ninguna mención se hace, en absoluto, a alguno de los riesgos cuya prevención justifica, según criterio constitucional, la adopción de la medida restrictiva del derecho a la libertad; esto es, la reiteración delictiva, la sustracción a la acción de la justicia o su posible obstrucción. Ha de concluirse, por ello, que el Auto de 27 de noviembre de 2000, que acordó la prisión </w:t>
      </w:r>
      <w:r>
        <w:lastRenderedPageBreak/>
        <w:t>provisional comunicada y sin fianza del ahora recurrente en amparo, carece de la justificación exigible desde la perspectiva constitucional.</w:t>
      </w:r>
    </w:p>
    <w:p w:rsidR="0025129F" w:rsidRDefault="0025129F" w:rsidP="0025129F">
      <w:pPr>
        <w:pStyle w:val="TextoNormal"/>
      </w:pPr>
      <w:r>
        <w:t>Es aún mayor el defecto de motivación que se aprecia en las otras dos resoluciones judiciales que se impugnan, el Auto de 7 de diciembre de 2000 del Juzgado de Instrucción de Arona y el Auto de 11 de enero de 2001 de la Sección Segunda de la Audiencia Provincial de Santa Cruz de Tenerife.</w:t>
      </w:r>
    </w:p>
    <w:p w:rsidR="0025129F" w:rsidRDefault="0025129F" w:rsidP="0025129F">
      <w:pPr>
        <w:pStyle w:val="TextoNormal"/>
      </w:pPr>
      <w:r>
        <w:t>El Auto de 7 de diciembre de 2000, como mantiene el Ministerio Fiscal en su escrito de alegaciones, añade solamente el argumento de "la indudable alarma social que produce la comisión de este tipo de delitos", aunque sin desarrollar esta afirmación.  Mas la genérica alarma social, así invocada, no justifica adecuadamente la adopción o mantenimiento de la medida cautelar que se contempla. En efecto, como dijimos en la STC 66/1997, de 7 de abril, FJ 6, y reiteramos en las SSTC 98/1997, de 20 de mayo, FJ 9, y 47/2000, de 17 de febrero, FJ 5, "con independencia del correspondiente juicio que pueda merecer la finalidad de mitigación de otras alarmas sociales que posean otros contenidos -la alarma social que se concreta en disturbios sociales, por ejemplo- y otros orígenes -la fuga del imputado o su libertad provisional-, juicio en el que ahora no es pertinente entrar,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 Por otra parte, dicho Auto no contiene consideración alguna sobre las circunstancias personales de quien recurría en reforma, circunstancias a las que explícitamente se aludía en el escrito de recurso, constituyendo uno de los puntos centrales del mismo, alegando su condición de estudiante, con domicilio conocido en La Laguna en un entorno familiar y social sano y estable, y sin antecedentes penales.  Por último, aunque este Auto contiene una especial concreción y fundamentación de los hechos por los que se inculpaba provisionalmente al interesado (lo que no sucedía en la resolución entonces recurrida), sin embargo tampoco se expresan en él los fines constitucionalmente legítimos que hubieran justificado el mantenimiento de la medida cautelar de privación de libertad.</w:t>
      </w:r>
    </w:p>
    <w:p w:rsidR="0025129F" w:rsidRDefault="0025129F" w:rsidP="0025129F">
      <w:pPr>
        <w:pStyle w:val="TextoNormal"/>
      </w:pPr>
      <w:r>
        <w:t>El Auto de la Sección Segunda de la Audiencia Provincial de Santa Cruz de Tenerife, de fecha 11 de enero de 2001, carece también de la motivación constitucionalmente exigible. Se limita a hacer genéricas referencias a los tipos delictivos, participación del interesado, gravedad de la pena y alarma social, y a expresar que "los argumentos del recurso no desvirtúan el Auto impugnado, que de una forma detallada justifica, a resulta de las pruebas practicadas en las diligencias, las razones de la prisión provisional sin fianza acordada". Así pues, no contiene referencia alguna a las circunstancias personales del interesado, el entonces recurrente en queja, circunstancias expresadas antes en el recurso de reforma y reiteradas luego en el recurso de queja, ni contiene explicación alguna relativa a los fines legítimos que pudieran fundamentar el mantenimiento de la prisión provisional, pese a que en el recurso de queja se alegaba expresamente, con la finalidad de justificar tales extremos, la inexistencia tanto del riesgo de fuga como del peligro de ocultación de pruebas.</w:t>
      </w:r>
    </w:p>
    <w:p w:rsidR="0025129F" w:rsidRDefault="0025129F" w:rsidP="0025129F">
      <w:pPr>
        <w:pStyle w:val="TextoNormal"/>
      </w:pPr>
      <w:r>
        <w:t>Por todo ello, se ha de concluir que los Autos impugnados han vulnerado el derecho fundamental a la libertad que consagra el art. 17.1 CE por falta de motivación suficiente. En consecuencia, procede el otorgamiento del amparo postulado, con la consiguiente anulación de las mencionadas resoluciones judiciales.</w:t>
      </w:r>
    </w:p>
    <w:p w:rsidR="0025129F" w:rsidRDefault="0025129F" w:rsidP="0025129F">
      <w:pPr>
        <w:pStyle w:val="TextoNormal"/>
      </w:pPr>
    </w:p>
    <w:p w:rsidR="0025129F" w:rsidRDefault="0025129F" w:rsidP="0025129F">
      <w:pPr>
        <w:pStyle w:val="TextoNormalCentrado"/>
        <w:keepNext/>
      </w:pPr>
      <w:r>
        <w:lastRenderedPageBreak/>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Sergio Hernández Fernández y, en consecuencia:</w:t>
      </w:r>
    </w:p>
    <w:p w:rsidR="0025129F" w:rsidRDefault="0025129F" w:rsidP="0025129F">
      <w:pPr>
        <w:pStyle w:val="TextoNormal"/>
      </w:pPr>
      <w:r>
        <w:t>1º Declarar que se ha vulnerado el derecho del recurrente a la libertad (art. 17.1 CE).</w:t>
      </w:r>
    </w:p>
    <w:p w:rsidR="0025129F" w:rsidRDefault="0025129F" w:rsidP="0025129F">
      <w:pPr>
        <w:pStyle w:val="TextoNormal"/>
      </w:pPr>
      <w:r>
        <w:t>2º Restablecerle en su derecho y, a tal fin, anular los Autos del Juzgado de Instrucción núm. 2 de Arona de 27 de noviembre y 7 de diciembre de 2000, y de la Sección Segunda de la Audiencia Provincial de Santa Cruz de Tenerife de 11 de enero de 2001.</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veintiocho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7" w:name="SENTENCIA_2002_24"/>
      <w:r>
        <w:lastRenderedPageBreak/>
        <w:t>SENTENCIA 24/2002, de 31 de enero de 2002</w:t>
      </w:r>
    </w:p>
    <w:bookmarkEnd w:id="27"/>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52, de 1 de marzo de 2002)</w:t>
      </w:r>
    </w:p>
    <w:p w:rsidR="0025129F" w:rsidRDefault="0025129F" w:rsidP="0025129F">
      <w:pPr>
        <w:pStyle w:val="TtuloBOE"/>
      </w:pPr>
    </w:p>
    <w:p w:rsidR="0025129F" w:rsidRDefault="0025129F" w:rsidP="0025129F">
      <w:pPr>
        <w:pStyle w:val="SntesisDescriptiva"/>
      </w:pPr>
      <w:r>
        <w:t>ECLI:ES:TC:2002:24</w:t>
      </w:r>
    </w:p>
    <w:p w:rsidR="0025129F" w:rsidRDefault="0025129F" w:rsidP="0025129F">
      <w:pPr>
        <w:pStyle w:val="SntesisDescriptiva"/>
      </w:pPr>
    </w:p>
    <w:p w:rsidR="0025129F" w:rsidRDefault="0025129F" w:rsidP="0025129F">
      <w:pPr>
        <w:pStyle w:val="SntesisDescriptiva"/>
      </w:pPr>
      <w:r>
        <w:t>Recurso de inconstitucionalidad 3079/96. Promovido por el Presidente del Gobierno contra la Ley del Principado de Asturias 1/1996, de 26 de abril, de concesión de créditos extraordinarios y suplementos de crédito destinados a atender la actualización de retribuciones, modificación de plantillas y otras obligaciones del personal.</w:t>
      </w:r>
    </w:p>
    <w:p w:rsidR="0025129F" w:rsidRDefault="0025129F" w:rsidP="0025129F">
      <w:pPr>
        <w:pStyle w:val="SntesisDescriptiva"/>
      </w:pPr>
    </w:p>
    <w:p w:rsidR="0025129F" w:rsidRDefault="0025129F" w:rsidP="0025129F">
      <w:pPr>
        <w:pStyle w:val="SntesisAnaltica"/>
      </w:pPr>
      <w:r>
        <w:t>Competencias sobre régimen estatutario de los funcionarios públicos y sobre planificación general de la actividad económica: límites estatales al incremento de retribuciones (SSTC 63/1986 y 62/2001). Nulidad parcial.</w:t>
      </w:r>
    </w:p>
    <w:p w:rsidR="0025129F" w:rsidRDefault="0025129F" w:rsidP="0025129F">
      <w:pPr>
        <w:pStyle w:val="SntesisAnaltica"/>
      </w:pPr>
    </w:p>
    <w:p w:rsidR="0025129F" w:rsidRDefault="0025129F" w:rsidP="0025129F">
      <w:pPr>
        <w:pStyle w:val="Extracto"/>
      </w:pPr>
      <w:r>
        <w:t>1.</w:t>
      </w:r>
      <w:r>
        <w:tab/>
        <w:t>La norma autonómica ha de reputarse inconstitucional, no porque ignore los topes máximos establecidos por el Estado a los incrementos retributivos de los empleados del sector público, sino porque modifica la base sobre la que han de computarse [FJ 9].</w:t>
      </w:r>
    </w:p>
    <w:p w:rsidR="0025129F" w:rsidRDefault="0025129F" w:rsidP="0025129F">
      <w:pPr>
        <w:pStyle w:val="Extracto"/>
      </w:pPr>
    </w:p>
    <w:p w:rsidR="0025129F" w:rsidRDefault="0025129F" w:rsidP="0025129F">
      <w:pPr>
        <w:pStyle w:val="Extracto"/>
      </w:pPr>
      <w:r>
        <w:t>2.</w:t>
      </w:r>
      <w:r>
        <w:tab/>
        <w:t>No se aprecia relación de conexión entre el precepto que dio lugar a los incrementos retributivos, cuya inconstitucionalidad hemos apreciado, y el que autoriza créditos para hacer frente a las consecuencias retributivas resultantes de la operación de revisión de las relaciones y catálogos de puestos de trabajo de la Administración autonómica [FJ 10].</w:t>
      </w:r>
    </w:p>
    <w:p w:rsidR="0025129F" w:rsidRDefault="0025129F" w:rsidP="0025129F">
      <w:pPr>
        <w:pStyle w:val="Extracto"/>
      </w:pPr>
    </w:p>
    <w:p w:rsidR="0025129F" w:rsidRDefault="0025129F" w:rsidP="0025129F">
      <w:pPr>
        <w:pStyle w:val="Extracto"/>
      </w:pPr>
      <w:r>
        <w:t>3.</w:t>
      </w:r>
      <w:r>
        <w:tab/>
        <w:t>El análisis de la constitucionalidad de los preceptos legales impugnados habrá de efectuarse por contraste con lo dispuesto en el art. 149.1.13 CE, teniendo siempre presente el principio de coordinación de las Haciendas públicas, consagrado por el art. 156.1 CE [FJ 5].</w:t>
      </w:r>
    </w:p>
    <w:p w:rsidR="0025129F" w:rsidRDefault="0025129F" w:rsidP="0025129F">
      <w:pPr>
        <w:pStyle w:val="Extracto"/>
      </w:pPr>
    </w:p>
    <w:p w:rsidR="0025129F" w:rsidRDefault="0025129F" w:rsidP="0025129F">
      <w:pPr>
        <w:pStyle w:val="Extracto"/>
      </w:pPr>
      <w:r>
        <w:t>4.</w:t>
      </w:r>
      <w:r>
        <w:tab/>
        <w:t>Doctrina constitucional acerca de la vinculación de los legisladores autonómicos a los límites retributivos en el sector público fijados por el Estado (SSTC 63/1986, 237/1992, 62/2001) [FJ 5].</w:t>
      </w:r>
    </w:p>
    <w:p w:rsidR="0025129F" w:rsidRDefault="0025129F" w:rsidP="0025129F">
      <w:pPr>
        <w:pStyle w:val="Extracto"/>
      </w:pPr>
    </w:p>
    <w:p w:rsidR="0025129F" w:rsidRDefault="0025129F" w:rsidP="0025129F">
      <w:pPr>
        <w:pStyle w:val="Extracto"/>
      </w:pPr>
      <w:r>
        <w:t>5.</w:t>
      </w:r>
      <w:r>
        <w:tab/>
        <w:t>Doctrina constitucional sobre la garantía formal de la normativa básica estatal (SSTC 69/1988, 80/1988, 223/2000) [FJ 6].</w:t>
      </w:r>
    </w:p>
    <w:p w:rsidR="0025129F" w:rsidRDefault="0025129F" w:rsidP="0025129F">
      <w:pPr>
        <w:pStyle w:val="Extracto"/>
      </w:pPr>
    </w:p>
    <w:p w:rsidR="0025129F" w:rsidRDefault="0025129F" w:rsidP="0025129F">
      <w:pPr>
        <w:pStyle w:val="Extracto"/>
      </w:pPr>
      <w:r>
        <w:t>6.</w:t>
      </w:r>
      <w:r>
        <w:tab/>
        <w:t>Ninguna duda suscita la vocación básica de la limitación de incrementos salariales fijada en el art. 4.1 del Real Decreto-ley 12/1995, de 28 de diciembre, de medidas urgentes en materia presupuestaria, tributaria y financiera, y el consecuente sometimiento al mismo del legislador autonómico [FJ 6].</w:t>
      </w:r>
    </w:p>
    <w:p w:rsidR="0025129F" w:rsidRDefault="0025129F" w:rsidP="0025129F">
      <w:pPr>
        <w:pStyle w:val="Extracto"/>
      </w:pPr>
    </w:p>
    <w:p w:rsidR="0025129F" w:rsidRDefault="0025129F" w:rsidP="0025129F">
      <w:pPr>
        <w:pStyle w:val="Extracto"/>
      </w:pPr>
      <w:r>
        <w:t>7.</w:t>
      </w:r>
      <w:r>
        <w:tab/>
        <w:t>El art. 4.1 del Real Decreto-ley 12/1995 fue aprobado para dar respuesta a las necesidades derivadas de una situación de prórroga presupuestaria. Lo que, entre otros extremos, obliga a integrar sus previsiones con las recogidas en el art. 18 de la Ley de presupuestos generales del Estado para 1995, que establecía ex</w:t>
      </w:r>
      <w:r>
        <w:lastRenderedPageBreak/>
        <w:t>presamente la inaplicabilidad de las cláusulas de origen convencional que implicasen crecimientos retributivos superiores a los autorizados por la Ley de presupuestos [FJ 7].</w:t>
      </w:r>
    </w:p>
    <w:p w:rsidR="0025129F" w:rsidRDefault="0025129F" w:rsidP="0025129F">
      <w:pPr>
        <w:pStyle w:val="Extracto"/>
      </w:pPr>
    </w:p>
    <w:p w:rsidR="0025129F" w:rsidRDefault="0025129F" w:rsidP="0025129F">
      <w:pPr>
        <w:pStyle w:val="Extracto"/>
      </w:pPr>
      <w:r>
        <w:t>8.</w:t>
      </w:r>
      <w:r>
        <w:tab/>
        <w:t>Esta regla no puede estimarse alterada como consecuencia de la devolución al Gobierno de la Nación del Proyecto de Ley de presupuestos generales del Estado para el ejercicio de 1996 [FJ 7].</w:t>
      </w:r>
    </w:p>
    <w:p w:rsidR="0025129F" w:rsidRDefault="0025129F" w:rsidP="0025129F">
      <w:pPr>
        <w:pStyle w:val="Extracto"/>
      </w:pPr>
    </w:p>
    <w:p w:rsidR="0025129F" w:rsidRDefault="0025129F" w:rsidP="0025129F">
      <w:pPr>
        <w:pStyle w:val="Extracto"/>
      </w:pPr>
      <w:r>
        <w:t>9.</w:t>
      </w:r>
      <w:r>
        <w:tab/>
        <w:t>Distinción entre la fuente jurídica del gasto público y la fuente de la obligación (STC 63/1986) [FJ 8].</w:t>
      </w:r>
    </w:p>
    <w:p w:rsidR="0025129F" w:rsidRDefault="0025129F" w:rsidP="0025129F">
      <w:pPr>
        <w:pStyle w:val="Extracto"/>
      </w:pPr>
    </w:p>
    <w:p w:rsidR="0025129F" w:rsidRDefault="0025129F" w:rsidP="0025129F">
      <w:pPr>
        <w:pStyle w:val="Extracto"/>
      </w:pPr>
      <w:r>
        <w:t>10.</w:t>
      </w:r>
      <w:r>
        <w:tab/>
        <w:t>No cabe negar de antemano la posibilidad de que una determinada partida o consignación presupuestaria autorizada por el legislador autonómico sea objeto de un proceso constitucional [FJ 8].</w:t>
      </w:r>
    </w:p>
    <w:p w:rsidR="0025129F" w:rsidRDefault="0025129F" w:rsidP="0025129F">
      <w:pPr>
        <w:pStyle w:val="Extracto"/>
      </w:pPr>
    </w:p>
    <w:p w:rsidR="0025129F" w:rsidRDefault="0025129F" w:rsidP="0025129F">
      <w:pPr>
        <w:pStyle w:val="Extracto"/>
      </w:pPr>
      <w:r>
        <w:t>11.</w:t>
      </w:r>
      <w:r>
        <w:tab/>
        <w:t>Los procesos constitucionales con contenido competencial no pierden su objeto por la derogación, sustitución o modificación de la norma impugnada, pues lo relevante es determinar si ha cesado o no la controversia competencial (STC 290/2000)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inconstitucionalidad núm. 3079/96, promovido por el Presidente del Gobierno contra el art. 2.1 a), inciso final y, por conexión, el art. 1 de la Ley del Principado de Asturias 1/1996, de 26 de abril, de concesión de créditos extraordinarios y suplementos de crédito destinados a atender la actualización de retribuciones, modificación de plantillas y otras obligaciones del personal al servicio de la Administración, Organismos Autónomos y Servicio de Salud del Principado de Asturias. Ha comparecido y formulado alegaciones el Consejo de Gobierno del Principado de Asturias, por medio del Letrado del Principado de Asturias. Ha sido Ponente el Magistrado don Pablo Cachón Villar, quien expresa el parecer del Tribunal.</w:t>
      </w:r>
    </w:p>
    <w:p w:rsidR="0025129F" w:rsidRDefault="0025129F" w:rsidP="0025129F">
      <w:pPr>
        <w:pStyle w:val="TextoNormal"/>
      </w:pPr>
    </w:p>
    <w:p w:rsidR="0025129F" w:rsidRDefault="0025129F" w:rsidP="0025129F">
      <w:pPr>
        <w:pStyle w:val="TextoNormalNegritaCentrado"/>
        <w:keepNext/>
      </w:pPr>
      <w:r>
        <w:lastRenderedPageBreak/>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Abogado del Estado, en representación del Presidente del Gobierno de la Nación, mediante escrito que tuvo entrada en el Registro General de este Tribunal el 29 de julio de 1996, con invocación expresa del art. 161.2 CE, formuló recurso de inconstitucionalidad contra los preceptos de la Ley del Principado de Asturias 1/1996, de 26 de abril, de los que se hace mérito en el encabezamiento de esta Sentencia. </w:t>
      </w:r>
    </w:p>
    <w:p w:rsidR="0025129F" w:rsidRDefault="0025129F" w:rsidP="0025129F">
      <w:pPr>
        <w:pStyle w:val="TextoNormal"/>
      </w:pPr>
      <w:r>
        <w:t xml:space="preserve">A tenor del escrito rector de este proceso constitucional, los términos del recurso y su fundamentación jurídica son los siguientes: </w:t>
      </w:r>
    </w:p>
    <w:p w:rsidR="0025129F" w:rsidRDefault="0025129F" w:rsidP="0025129F">
      <w:pPr>
        <w:pStyle w:val="TextoNormal"/>
      </w:pPr>
      <w:r>
        <w:t xml:space="preserve">a) Comienza el Abogado del Estado reseñando el contenido y alcance de los preceptos impugnados que, según su parecer, exceden el marco competencial resultante de las reglas 13 y 18 del art. 149.1 CE. </w:t>
      </w:r>
    </w:p>
    <w:p w:rsidR="0025129F" w:rsidRDefault="0025129F" w:rsidP="0025129F">
      <w:pPr>
        <w:pStyle w:val="TextoNormal"/>
      </w:pPr>
      <w:r>
        <w:t xml:space="preserve">Así, en primer lugar, recuerda que el art. 2.1 de la Ley del Principado de Asturias incluye un suplemento de créditos, por importe de novecientos veintidós millones de pesetas, destinados a atender las operaciones que ahora se mencionan. En primer lugar, la aplicación, en las retribuciones del personal de la Administración, Organismos Autónomos y Servicio de Salud del Principado de Asturias, de los incrementos consolidables resultantes del art. 4.2 del Real Decreto-ley 12/1995, de 28 de diciembre, de medidas urgentes en materia presupuestaria, tributaria y financiera y "de lo estipulado para garantizar el mantenimiento del poder adquisitivo en el Acuerdo entre la Administración del Principado y los Sindicatos para el periodo 1995-1997". En segundo lugar, la aplicación de dichos incrementos a las retribuciones de los miembros del Consejo de Gobierno y altos cargos de la Administración del Principado de Asturias. Por último, la creación de treinta y dos nuevas plazas en las plantillas de personal funcionario y laboral de la Administración del Principado de Asturias, detalladas en el Anexo II de la Ley. </w:t>
      </w:r>
    </w:p>
    <w:p w:rsidR="0025129F" w:rsidRDefault="0025129F" w:rsidP="0025129F">
      <w:pPr>
        <w:pStyle w:val="TextoNormal"/>
      </w:pPr>
      <w:r>
        <w:t xml:space="preserve">El apartado a) in fine del precepto de la Ley territorial permite exceder el límite previsto, con carácter básico, en el art. 4.1 del meritado Real Decreto-ley 12/1995 a fin de garantizar, según se ha indicado, "el mantenimiento del poder adquisitivo en el Acuerdo entre la Administración del Principado y los Sindicatos para el periodo 1995-1997". A ese respecto, el Abogado del Estado subraya que, a diferencia de lo que disponen las normas básicas dictadas por el Estado, donde se establece un porcentaje fijo de incremento retributivo, en la Ley del Principado de Asturias se utiliza un criterio de actualización diferente, determinado por la garantía del mantenimiento del poder adquisitivo. Esta solución es coherente con lo consignado en el preámbulo de la Ley autonómica, donde se considera que el "fondo" recogido en el Acuerdo celebrado entre la Administración del Principado y los sindicatos debe experimentar un incremento de un 0,8 por 100 respecto del importe de las retribuciones del personal para 1995, con carácter consolidable. </w:t>
      </w:r>
    </w:p>
    <w:p w:rsidR="0025129F" w:rsidRDefault="0025129F" w:rsidP="0025129F">
      <w:pPr>
        <w:pStyle w:val="TextoNormal"/>
      </w:pPr>
      <w:r>
        <w:t xml:space="preserve">Por su parte, el art. 1 de la Ley prevé los instrumentos para el cumplimiento de lo dispuesto en el art. 2.1, determinando que "para dotar los fondos destinados a revisar las relaciones de puestos de trabajo y catálogos de personal en cumplimiento del Acuerdo entre la Administración del Principado de Asturias y los sindicatos para el periodo 1995-1997 sobre condiciones de trabajo de los empleados públicos del Principado, se concede, por importe de 25.000.000 de pesetas, el crédito extraordinario 31.01.126G-166. 'Cuotas sociales' y se suplementa en 140.000.000 de pesetas el crédito 31.01.126G-180. 'Provisión social y de personal', según figura en el anexo I". </w:t>
      </w:r>
    </w:p>
    <w:p w:rsidR="0025129F" w:rsidRDefault="0025129F" w:rsidP="0025129F">
      <w:pPr>
        <w:pStyle w:val="TextoNormal"/>
      </w:pPr>
      <w:r>
        <w:t xml:space="preserve">b) Consignado el contenido de los preceptos legales autonómicos, pasa el Abogado del Estado a exponer las razones por las cuales incurren en extralimitación del ámbito dentro del cual ejerce sus competencias la Comunidad Autónoma del Principado de Asturias. </w:t>
      </w:r>
    </w:p>
    <w:p w:rsidR="0025129F" w:rsidRDefault="0025129F" w:rsidP="0025129F">
      <w:pPr>
        <w:pStyle w:val="TextoNormal"/>
      </w:pPr>
      <w:r>
        <w:lastRenderedPageBreak/>
        <w:t xml:space="preserve">Al respecto, comienza recordando que el Estado es competente, conforme al art. 149.1.18 CE, para establecer las bases del régimen jurídico de las Administraciones públicas y del régimen estatutario de sus funcionarios. En ejercicio de esta competencia, se fijan anualmente en las Leyes de Presupuestos Generales del Estado los incrementos retributivos máximos para el personal del sector público. En el caso, el Real Decreto-ley 12/1995 fijaba como regla general la limitación del 3,5 por 100 en el incremento retributivo del personal al servicio de las Administraciones públicas (art. 4.2), remitiéndose además a lo previsto en el art. 18.1 de la Ley 41/1994, de 30 de diciembre, de Presupuestos Generales del Estado para 1995, precepto que disponía como único incremento retributivo ese referido 3,5 por 100, al tiempo que declaraba que "los acuerdos, convenios o pactos que impliquen crecimientos retributivos superiores experimentarán la oportuna adecuación, deviniendo inaplicables en caso contrario las cláusulas que se opongan al mismo". </w:t>
      </w:r>
    </w:p>
    <w:p w:rsidR="0025129F" w:rsidRDefault="0025129F" w:rsidP="0025129F">
      <w:pPr>
        <w:pStyle w:val="TextoNormal"/>
      </w:pPr>
      <w:r>
        <w:t xml:space="preserve">En opinión del Abogado del Estado, el carácter básico de estos preceptos es inconcuso y materialmente persiguen asegurar un tratamiento uniforme para todo el personal al servicio del sector público para 1996 que no ponga en riesgo la política de contención del gasto público. Con respecto a estas decisiones de política económica, este Tribunal ha declarado que la actividad financiera de las Comunidades Autónomas debe someterse a las mismas en la medida en que tratan de garantizar el equilibrio económico mediante las oportunas medidas tendentes a conseguir la estabilidad económica interna o externa. Esta cláusula general no permite la adopción de cualesquiera medidas limitativas de la autonomía financiera de las Comunidades Autónomas sino, en todo caso, de aquéllas dirigidas a la consecución y mantenimiento de la estabilidad y del equilibrio económico. </w:t>
      </w:r>
    </w:p>
    <w:p w:rsidR="0025129F" w:rsidRDefault="0025129F" w:rsidP="0025129F">
      <w:pPr>
        <w:pStyle w:val="TextoNormal"/>
      </w:pPr>
      <w:r>
        <w:t xml:space="preserve">A tal fin, no resulta injustificado que, en razón de una política de contención de la inflación a través de la reducción del déficit público y de prioridad de las inversiones públicas frente a los gastos consuntivos, se establezcan por el Estado topes máximos globales de incremento de la masa retributiva de los empleados públicos. Ello no varía, aunque condiciona, la autonomía de gasto de las Comunidades Autónomas, según se ha declarado en la STC 63/1986, de 21 de mayo (FJ 11). </w:t>
      </w:r>
    </w:p>
    <w:p w:rsidR="0025129F" w:rsidRDefault="0025129F" w:rsidP="0025129F">
      <w:pPr>
        <w:pStyle w:val="TextoNormal"/>
      </w:pPr>
      <w:r>
        <w:t xml:space="preserve">La competencia estatal para el establecimiento de las bases del régimen estatutario de los funcionarios públicos (art. 149.1.18 CE), le permite establecer límites a los incrementos retributivos comunes para todas las Administraciones públicas, hallando fundamento en los principios constitucionales de igualdad y solidaridad, según se afirmó en la expresada STC 63/1986, FJ 11. Tales límites se recogieron en esta ocasión en el Decreto-ley de medidas presupuestarias para 1996 y fueron desconocidos por la Ley del Principado de Asturias. </w:t>
      </w:r>
    </w:p>
    <w:p w:rsidR="0025129F" w:rsidRDefault="0025129F" w:rsidP="0025129F">
      <w:pPr>
        <w:pStyle w:val="TextoNormal"/>
      </w:pPr>
      <w:r>
        <w:t xml:space="preserve">Por otro lado, de acuerdo con la doctrina sentada en la STC 96/1990, de 24 de mayo (FJ 3), el Estado no puede imponer cualesquiera límites a la autonomía financiera sino sólo aquellos directamente relacionados con las exigencias de la política económica general de carácter presupuestario dirigidos a la consecución y mantenimiento de la estabilidad económica interna y externa. De esa misma resolución se infiere que las competencias autonómicas sobre régimen local no impiden al Estado la adopción de las medidas necesarias para alcanzar esos objetivos de política económica general o sectorial. </w:t>
      </w:r>
    </w:p>
    <w:p w:rsidR="0025129F" w:rsidRDefault="0025129F" w:rsidP="0025129F">
      <w:pPr>
        <w:pStyle w:val="TextoNormal"/>
      </w:pPr>
      <w:r>
        <w:t xml:space="preserve">c) El presente recurso de inconstitucionalidad se dirige contra el art. 2.1 a) de la Ley del Principado de Asturias, en la parte en la que destina el suplemento de crédito que aprueba el art. 1 a cumplir "lo estipulado para garantizar el mantenimiento del poder adquisitivo en el Acuerdo entre la Administración del Principado y los Sindicatos para el periodo 1995-1997". </w:t>
      </w:r>
    </w:p>
    <w:p w:rsidR="0025129F" w:rsidRDefault="0025129F" w:rsidP="0025129F">
      <w:pPr>
        <w:pStyle w:val="TextoNormal"/>
      </w:pPr>
      <w:r>
        <w:lastRenderedPageBreak/>
        <w:t xml:space="preserve">Denuncia el Abogado del Estado que esta previsión ignora el límite que, con carácter general y básico, se prevé para todas las Administraciones públicas en el art. 4.2 del Real Decreto-ley 12/1995, en relación con el art. 18.1 de la Ley de Presupuestos Generales del Estado para 1995. El mencionado acuerdo entre la Administración del Principado de Asturias y los sindicatos para el periodo 1995-1997, cuyo texto la Ley territorial no incorpora pero asume, en lugar de partir de los parámetros de la normativa básica "garantiza el mantenimiento del poder adquisitivo del personal de la Administración, Organismos Autónomos y Servicio de Salud del Principado de Asturias". Asimismo afirma el Abogado del Estado que la Ley del Principado parte en su preámbulo de que el citado acuerdo prevé "para cada ejercicio la constitución, con efectos económicos de carácter consolidable, de un fondo para el mantenimiento del poder adquisitivo si, a 31 de diciembre de 1995, el crecimiento del IPC resultara superior al previsto a esa fecha y la masa salarial del conjunto de los empleados públicos, en términos homogéneos efectivos, hubiera crecido por debajo de dicho IPC durante 1995, y todo ello en consonancia con los objetivos de crecimiento del PIB y reducción del déficit público. El comportamiento de los factores económicos en que se ha fundamentado la generación del fondo arroja un 0,8 % de incremento a aplicar sobre las retribuciones totales de 1995 con carácter consolidable". </w:t>
      </w:r>
    </w:p>
    <w:p w:rsidR="0025129F" w:rsidRDefault="0025129F" w:rsidP="0025129F">
      <w:pPr>
        <w:pStyle w:val="TextoNormal"/>
      </w:pPr>
      <w:r>
        <w:t xml:space="preserve">Se produce, por tanto, un incremento del 0,8 por 100 sobre el máximo del 3,5 por 100 previsto en las disposiciones legales estatales reseñadas, en las que se definen las bases en materia de gastos de personal al servicio del sector público, precisándose en ellas que los acuerdos, convenios o pactos que impliquen incrementos retributivos superiores deberán experimentar la oportuna adecuación, "deviniendo inaplicables en caso contrario las cláusulas que se opongan a esta disposición básica". El precepto contenido en el art. 2.1 a) de la Ley impugnada impide, en el ámbito de la Comunidad Autónoma del Principado de Asturias, la aplicación de la norma básica estatal sobre contención del gasto público y la aplicación de las medidas de planificación del mismo contenidas en la normativa básica estatal. A su vez, el art. 1 de la Ley se recurre por conexión, en cuanto aprueba el suplemento de crédito que sirve de sustento a la medida contenida en el art. 2.1 a), y sólo en este aspecto. </w:t>
      </w:r>
    </w:p>
    <w:p w:rsidR="0025129F" w:rsidRDefault="0025129F" w:rsidP="0025129F">
      <w:pPr>
        <w:pStyle w:val="TextoNormal"/>
      </w:pPr>
      <w:r>
        <w:t xml:space="preserve">d) Por lo expuesto, el Abogado del Estado concluye su escrito solicitando la declaración de inconstitucionalidad del art. 2.1 a) de la Ley del Principado de Asturias 1/1996, de 26 de abril, de concesión de créditos extraordinarios y suplementos de créditos destinados a atender la actualización de retribuciones, modificación de plantillas y otras obligaciones del personal al servicio de la Administración, Organismos Autónomos y Servicio de Salud del Principado de Asturias, en la parte que destina el suplemento de crédito a "lo estipulado para garantizar el mantenimiento del poder adquisitivo en el Acuerdo entre la Administración del Principado y los Sindicatos para el periodo 1995-1997" y, por conexión, del art. 1. </w:t>
      </w:r>
    </w:p>
    <w:p w:rsidR="0025129F" w:rsidRDefault="0025129F" w:rsidP="0025129F">
      <w:pPr>
        <w:pStyle w:val="TextoNormal"/>
      </w:pPr>
      <w:r>
        <w:t>Al escrito se acompaña certificación expedida por el Vicepresidente Primero del Gobierno y Ministro de la Presidencia dando cuenta del Acuerdo adoptado por el Consejo de Ministros en su reunión celebrada el día 26 de julio de 1996 solicitando de su Presidente la interposición del presente recurso de inconstitucionalidad, así como el oficio dirigido por el Presidente del Gobierno de la Nación al Director General del Servicio Jurídico del Estado ordenando la formalización del recurso.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Sección de Vacaciones de este Tribunal, mediante providencia de 1 de agosto de 1996, acordó admitir a trámite el recurso de inconstitucionalidad; dar traslado de la demanda y documentos presentados, de conformidad con el art. 34 LOTC, al Congreso de </w:t>
      </w:r>
      <w:r>
        <w:lastRenderedPageBreak/>
        <w:t xml:space="preserve">los Diputados y al Senado, así como a la Junta General y al Consejo de Gobierno del Principado de Asturias, por conducto de sus respectivos Presidentes, al objeto de que en el plazo de quince días pudiesen personarse en el proceso y formular las alegaciones que estimaran convenientes; tener por invocado el art. 161.2 CE, lo que, a tenor del art. 30 LOTC, produjo la suspensión de la vigencia y aplicación de la Ley impugnada para las partes desde la fecha de interposición del recurso y para los terceros desde el día en que se publicase la suspensión en el "Boletín Oficial del Estado"; y, por último, publicar la incoación del recurso y la suspensión acordada en los Boletines Oficiales del Estado y del Principado de Asturias. </w:t>
      </w:r>
    </w:p>
    <w:p w:rsidR="0025129F" w:rsidRDefault="0025129F" w:rsidP="0025129F">
      <w:pPr>
        <w:pStyle w:val="TextoNormal"/>
      </w:pPr>
      <w:r>
        <w:t>Esta providencia fue publicada en el "Boletín Oficial del Estado" núm. 191, de 8 de agosto de 1996.</w:t>
      </w:r>
    </w:p>
    <w:p w:rsidR="0025129F" w:rsidRDefault="0025129F" w:rsidP="0025129F">
      <w:pPr>
        <w:pStyle w:val="TextoNormal"/>
      </w:pPr>
    </w:p>
    <w:p w:rsidR="0025129F" w:rsidRDefault="0025129F" w:rsidP="0025129F">
      <w:pPr>
        <w:pStyle w:val="TextoNormal"/>
      </w:pPr>
      <w:r w:rsidRPr="0025129F">
        <w:rPr>
          <w:rStyle w:val="NumeroAFNegritaCaracter"/>
        </w:rPr>
        <w:t>3</w:t>
      </w:r>
      <w:r>
        <w:t>. Por escrito presentado el 6 de septiembre de 1996, el Presidente del Senado interesó que se tuviera por personada a dicha Cámara y por ofrecida su colaboración a los efectos del art. 88.1 LOTC. El 13 de septiembre de 1996 el Presidente del Congreso de los Diputados comunicó que la Mesa de la Cámara, en su reunión del día 11 de septiembre de 1996, había acordado no personarse ni formular alegaciones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El Letrado del Principado de Asturias, en representación procesal de dicha Comunidad Autónoma, formuló, mediante escrito registrado el 17 de septiembre de 1996, las alegaciones que ahora se sintetizan: </w:t>
      </w:r>
    </w:p>
    <w:p w:rsidR="0025129F" w:rsidRDefault="0025129F" w:rsidP="0025129F">
      <w:pPr>
        <w:pStyle w:val="TextoNormal"/>
      </w:pPr>
      <w:r>
        <w:t xml:space="preserve">a) En primer lugar reseña que el recurso carece de objeto puesto que la Ley que regula el incremento de las retribuciones de los empleados del Principado de Asturias no es la Ley 1/1996, de 26 de abril, sino la 2/1996, de 25 de junio, de Presupuestos Generales del Principado de Asturias para 1996. Es esta Ley y no la concretamente impugnada la que establece de modo expreso el incremento cuestionado, ajustándose en ello a lo establecido en el Real Decreto-ley 12/1995. Si lo que el Gobierno de la Nación pretende es evitar una desviación de las retribuciones del personal al servicio de la Comunidad Autónoma por encima de los límites fijados en este Decreto-ley, dicha pretensión queda suficientemente satisfecha en los arts. 17.1 y 18.1 de la meritada Ley 2/1996. El primero de estos preceptos dispone: </w:t>
      </w:r>
    </w:p>
    <w:p w:rsidR="0025129F" w:rsidRDefault="0025129F" w:rsidP="0025129F">
      <w:pPr>
        <w:pStyle w:val="TextoNormal"/>
      </w:pPr>
      <w:r>
        <w:t xml:space="preserve">"Con efectos de 1 de enero de 1996, las retribuciones del personal funcionario perteneciente a la Administración del Principado de Asturias, sus Organismos Autónomos y Entes de Derecho Público experimentarán, aplicado en las cuantías y de acuerdo con los regímenes retributivos vigentes en 1995, un incremento porcentual idéntico al establecido en el Real Decreto-Ley 12/1995, de 28 de diciembre, sobre medidas urgentes en materia presupuestaria, tributaria y financiera, para el personal de análoga naturaleza, sin perjuicio del resultado individual de la aplicación de dicho incremento". </w:t>
      </w:r>
    </w:p>
    <w:p w:rsidR="0025129F" w:rsidRDefault="0025129F" w:rsidP="0025129F">
      <w:pPr>
        <w:pStyle w:val="TextoNormal"/>
      </w:pPr>
      <w:r>
        <w:t xml:space="preserve">A su vez, en el art. 18.1 se establece: </w:t>
      </w:r>
    </w:p>
    <w:p w:rsidR="0025129F" w:rsidRDefault="0025129F" w:rsidP="0025129F">
      <w:pPr>
        <w:pStyle w:val="TextoNormal"/>
      </w:pPr>
      <w:r>
        <w:t xml:space="preserve">"Con efectos a 1 de enero de 1996, las retribuciones del personal laboral perteneciente a la Administración del Principado de Asturias, sus Organismos Autónomos y Entes de Derecho Público experimentarán, aplicado en las cuantías y de acuerdo con los regímenes retributivos vigentes en 1995, un incremento porcentual idéntico al fijado en el Real Decreto-Ley 12/1995, de 28 de diciembre, sobre medidas urgentes en materia presupuestaria, tributaria y financiera, para el personal de análoga naturaleza, sin perjuicio del resultado individual de la aplicación de dicho incremento". </w:t>
      </w:r>
    </w:p>
    <w:p w:rsidR="0025129F" w:rsidRDefault="0025129F" w:rsidP="0025129F">
      <w:pPr>
        <w:pStyle w:val="TextoNormal"/>
      </w:pPr>
      <w:r>
        <w:lastRenderedPageBreak/>
        <w:t xml:space="preserve">En los preceptos que siguen, hasta el 23, de contenido normativo similar al de la Ley estatal 41/1994, de 30 de diciembre, es constante la referencia al límite máximo del 3,5 por 100, que en ningún caso se rebasa. </w:t>
      </w:r>
    </w:p>
    <w:p w:rsidR="0025129F" w:rsidRDefault="0025129F" w:rsidP="0025129F">
      <w:pPr>
        <w:pStyle w:val="TextoNormal"/>
      </w:pPr>
      <w:r>
        <w:t xml:space="preserve">Pues bien, según resulta de los preceptos transcritos y del resto de la Ley 2/1996, ésta respeta los límites establecidos en el Real Decreto-ley 12/1995, incluso con mayor escrupulosidad que el legislador estatal. Quiere ello decir que, aun en el supuesto de que la Ley impugnada por el Gobierno de la Nación hubiese infringido una norma estatal, en cuanto autorizaba un incremento retributivo superior a los límites recogidos en ésta, dicha autorización ha quedado sustituida por la Ley de Presupuestos Generales posterior, cuya impugnación no consta. En consecuencia, el recurso carece de objeto. </w:t>
      </w:r>
    </w:p>
    <w:p w:rsidR="0025129F" w:rsidRDefault="0025129F" w:rsidP="0025129F">
      <w:pPr>
        <w:pStyle w:val="TextoNormal"/>
      </w:pPr>
      <w:r>
        <w:t xml:space="preserve">b) Con independencia de lo anterior, el Letrado del Principado de Asturias entiende que no parece aventurado cuestionar el carácter básico del art. 4 del Real Decreto-ley 12/1995, de 28 de diciembre. </w:t>
      </w:r>
    </w:p>
    <w:p w:rsidR="0025129F" w:rsidRDefault="0025129F" w:rsidP="0025129F">
      <w:pPr>
        <w:pStyle w:val="TextoNormal"/>
      </w:pPr>
      <w:r>
        <w:t xml:space="preserve">Al respecto, con invocación expresa de la STC 80/1988, recuerda el sentido de la noción formal de lo básico. De tal modo que, no habiéndose declarado expresamente el carácter básico del precepto antecitado, es preciso averiguar si materialmente posee esa naturaleza. Una conclusión que no es posible alcanzar aplicando al precepto los criterios hermenéuticos enumerados en el art. 3.1 CC, en particular si se atiende a sus antecedentes legislativos inmediatos. </w:t>
      </w:r>
    </w:p>
    <w:p w:rsidR="0025129F" w:rsidRDefault="0025129F" w:rsidP="0025129F">
      <w:pPr>
        <w:pStyle w:val="TextoNormal"/>
      </w:pPr>
      <w:r>
        <w:t xml:space="preserve">En este sentido, se recuerda que no pueden pasarse por alto las notables diferencias que se aprecian en la norma invocada en la demanda por contraste con su precedente -el art. 18 de la Ley 41/1994, de 30 de diciembre, de Presupuestos Generales del Estado para 1995-, al que parcialmente se remite el art. 4 del Real Decreto-ley 12/1995. En el mencionado art. 18 el legislador estatal ha dejado constancia expresa de su voluntad de atribuirle carácter básico y su obligatorio reflejo en las normas autonómicas o en los presupuestos de las entidades locales. Así, lo primero se plasma en el título o enunciado mismo del precepto ("Bases y coordinación de la planificación general de la actividad económica en materia de gasto de personal al servicio del sector público"); lo segundo deriva del apartado 5 del precepto. Por el contrario, en el Real Decreto-ley ni figura expresamente su carácter básico ni se establece que los criterios fijados en su art. 4 han de reflejarse en las normas presupuestarias de las entidades territoriales infraestatales. </w:t>
      </w:r>
    </w:p>
    <w:p w:rsidR="0025129F" w:rsidRDefault="0025129F" w:rsidP="0025129F">
      <w:pPr>
        <w:pStyle w:val="TextoNormal"/>
      </w:pPr>
      <w:r>
        <w:t xml:space="preserve">Consecuentemente, es perfectamente lícito deducir y sostener que para el legislador -en este caso el Gobierno de la Nación en ejercicio de la potestad reconocida en el art. 86.1 CE-, la referida norma no tiene carácter básico. </w:t>
      </w:r>
    </w:p>
    <w:p w:rsidR="0025129F" w:rsidRDefault="0025129F" w:rsidP="0025129F">
      <w:pPr>
        <w:pStyle w:val="TextoNormal"/>
      </w:pPr>
      <w:r>
        <w:t xml:space="preserve">c) Si el examen se ciñe a la disposición autonómica concretamente impugnada, a juicio del Letrado del Principado de Asturias, tampoco se aprecia en ella, con la debida claridad, su oposición al precepto estatal invocado por contraste. </w:t>
      </w:r>
    </w:p>
    <w:p w:rsidR="0025129F" w:rsidRDefault="0025129F" w:rsidP="0025129F">
      <w:pPr>
        <w:pStyle w:val="TextoNormal"/>
      </w:pPr>
      <w:r>
        <w:t xml:space="preserve">En primer lugar, atendiendo a los antecedentes legislativos, se recuerda que en el art. 18 de la Ley estatal 41/1994 consta un párrafo cuya supresión propicia, cuando menos, la duda. Se decía allí que "los acuerdos, convenios o pactos que impliquen crecimientos retributivos superiores a los que se establecen en el presente artículo o en las normas que lo desarrollen deberán experimentar la oportuna adecuación, deviniendo inaplicables en caso contrario las cláusulas que se opongan al mismo". Nada similar establece el art. 4 del Real Decreto-ley 12/1995, cuya vulneración se denuncia en la demanda. Parece, por consiguiente, que el legislador ha querido introducir un trato distinto del recogido en la normativa anterior y que la supresión o el silencio que recae sobre esa obligada adecuación ha de significar la aplicabilidad de esos pactos y convenios. Una prueba de ello nos la suministra el propio Real Decreto-ley invocado y el comportamiento del Gobierno demandante. </w:t>
      </w:r>
    </w:p>
    <w:p w:rsidR="0025129F" w:rsidRDefault="0025129F" w:rsidP="0025129F">
      <w:pPr>
        <w:pStyle w:val="TextoNormal"/>
      </w:pPr>
      <w:r>
        <w:lastRenderedPageBreak/>
        <w:t xml:space="preserve">Así, en el art. 1 del Real Decreto-ley 12/1995 se contiene una clara excepción al incremento general uniforme del 3,5 por 100, al menos como posibilidad. Por otro lado, el Gobierno no ha tenido inconveniente alguno en crear un fondo específico destinado a mantener el poder adquisitivo de los empleados públicos y dar cumplimiento al acuerdo alcanzado con los sindicatos, como consta en la Resolución del Consejo de Ministros de 19 de septiembre de 1994, publicada en el "Boletín Oficial del Estado" del siguiente día 20. El precepto de la Ley autonómica impugnado por el Abogado del Estado va destinado a aprobar un suplemento de crédito que, entre otras finalidades, atiende a la de cumplir un acuerdo idéntico por su objeto y origen pactado, si bien circunscrito al ámbito territorial del Principado de Asturias. </w:t>
      </w:r>
    </w:p>
    <w:p w:rsidR="0025129F" w:rsidRDefault="0025129F" w:rsidP="0025129F">
      <w:pPr>
        <w:pStyle w:val="TextoNormal"/>
      </w:pPr>
      <w:r>
        <w:t xml:space="preserve">Por otra parte, la STC 63/1986, reiteradamente invocada por el Abogado del Estado en su recurso, ha puesto de relieve que "los créditos consignados en los estados de gastos de los Presupuestos Generales no son fuente alguna de obligación", añadiendo que sólo constituyen autorizaciones legislativas para que dentro de unos determinados límites la Administración (en aquel supuesto la estatal) pueda disponer de los fondos necesarios para hacer frente a sus obligaciones. El mismo carácter de autorización legislativa hay que atribuir a los créditos impugnados por el Gobierno de la Nación en el presente recurso, que no lo perdieron por el hecho de venir recogidos en una Ley destinada a aprobar un suplemento de crédito debido a la inicial ausencia de Presupuestos Generales de la Comunidad para el año 1996. Se trata, por tanto, de una autorización de gasto y no del establecimiento de un incremento retributivo determinado, de donde es preciso concluir que el quebrantamiento de la normativa básica estatal, si tal hubiera, habría que buscarlo e imputarlo a la disposición concreta que hace uso de esta autorización. Si el examen se detiene en esa norma concreta, se llega a la conclusión de que no ha habido extralimitación competencial alguna y que se ha respetado adecuadamente la normativa estatal. En efecto, el Decreto del Gobierno 17/1996, de 16 de mayo, publicado en el "Boletín Oficial del Principado de Asturias" de 20 de mayo de 1996, fija para el año 1996, cuantificándolas, las retribuciones del personal funcionario incluido en las relaciones de puestos de trabajo de la Administración del Principado de Asturias. Pues bien, dicho Decreto establece para todos los conceptos retributivos, tanto los básicos como los complementarios, un incremento del 3,5 por 100, como puede comprobarse si se contrasta la norma reglamentaria con el Decreto 2/1995, de 18 de enero, para el ejercicio presupuestario anterior. </w:t>
      </w:r>
    </w:p>
    <w:p w:rsidR="0025129F" w:rsidRDefault="0025129F" w:rsidP="0025129F">
      <w:pPr>
        <w:pStyle w:val="TextoNormal"/>
      </w:pPr>
      <w:r>
        <w:t>Por las razones expuestas, el Letrado del Principado de Asturias solicita la desestimación del presente recurso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Próximo a finalizar el plazo de los cinco meses que determina el art. 161.2 CE desde que se produjo la suspensión de los preceptos impugnados en este proceso, la Sección Primera de este Tribunal Constitucional acordó, mediante providencia de 25 de noviembre de 1996, oír al Abogado del Estado y al Letrado del Principado de Asturias para que, en el plazo común de cinco días, pudieran exponer lo que estimasen pertinente acerca del mantenimiento o levantamiento de dicha suspensión. </w:t>
      </w:r>
    </w:p>
    <w:p w:rsidR="0025129F" w:rsidRDefault="0025129F" w:rsidP="0025129F">
      <w:pPr>
        <w:pStyle w:val="TextoNormal"/>
      </w:pPr>
      <w:r>
        <w:t>Evacuado por el Abogado del Estado el trámite de alegaciones conferido, sin que lo hiciera la representación procesal del Gobierno del Principado de Asturias, en el ATC 379/1996, de 17 de diciembre, el Pleno de este Tribunal acordó mantener la suspensión de la vigencia de los preceptos legales impugnados.</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29 de enero de 2002 se señaló para deliberación y votación de la presente Sentencia el día 31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Son objeto del presente recurso de inconstitucionalidad, promovido por el Presidente del Gobierno, el art. 2.1 a), inciso final, y, por conexión, el art. 1 de la Ley de la Junta General del Principado de Asturias 1/1996, de 26 de abril, de concesión de créditos extraordinarios y suplemento de créditos destinados a atender la actualización de retribuciones, modificación de plantillas y otras obligaciones de personal al servicio de la Administración, Organismos Autónomos y Servicio de Salud del Principado de Asturias.</w:t>
      </w:r>
    </w:p>
    <w:p w:rsidR="0025129F" w:rsidRDefault="0025129F" w:rsidP="0025129F">
      <w:pPr>
        <w:pStyle w:val="TextoNormal"/>
      </w:pPr>
      <w:r>
        <w:t>El precitado art. 2.1.a) dispone lo siguiente: "Por un importe total de 922.000.000 pts., se suplementan los créditos que figuran en el anexo I con el fin de atender el coste de: a) La aplicación en las retribuciones del personal de la Administración, organismos autónomos y Servicio de Salud del Principado de Asturias de los incrementos consolidables resultantes de lo dispuesto en el art. 4.2 del Real Decreto-ley 12/1995, de 28 de diciembre, de medidas urgentes en materia presupuestaria, tributaria y financiera, y de lo estipulado para garantizar el mantenimiento del poder adquisitivo en el Acuerdo entre la Administración del Principado y los Sindicatos para el período 1995/1997". La pretensión de declaración de inconstitucionalidad afecta al último inciso del precepto transcrito, es decir, aquel según el cual se destina también el suplemento de crédito a atender "lo estipulado para garantizar el mantenimiento del poder adquisitivo en el Acuerdo entre la Administración del Principado y los Sindicatos para el período 1995/1997".</w:t>
      </w:r>
    </w:p>
    <w:p w:rsidR="0025129F" w:rsidRDefault="0025129F" w:rsidP="0025129F">
      <w:pPr>
        <w:pStyle w:val="TextoNormal"/>
      </w:pPr>
      <w:r>
        <w:t>Por su parte, el art. 1 prescribe que "para dotar los fondos destinados a revisar las relaciones de puestos de trabajo y catálogos de personal en cumplimiento del Acuerdo entre la Administración del Principado de Asturias y los Sindicatos para el período 1995/1997 sobre condiciones de trabajo de los empleados públicos del Principado, se concede, por importe de 25.000.000 pts., el crédito extraordinario 31.01.126G-166 'Cuotas sociales', y se suplementa en 140.000.000 pts. el crédito 31.01.126G-180 'Provisión social y de personal', según figura en el anexo I".</w:t>
      </w:r>
    </w:p>
    <w:p w:rsidR="0025129F" w:rsidRDefault="0025129F" w:rsidP="0025129F">
      <w:pPr>
        <w:pStyle w:val="TextoNormal"/>
      </w:pPr>
      <w:r>
        <w:t>El Abogado del Estado fundamenta la inconstitucionalidad de los preceptos impugnados en que el incremento retributivo de ellos derivado en beneficio de los empleados públicos al servicio de la Administración del Principado de Asturias es contrario al sistema de distribución de competencias resultante de las reglas 13 y 18 del art. 149.1 CE. Por su parte, la representación procesal del Consejo de Gobierno del Principado de Asturias, sin perjuicio de sostener la pérdida de objeto del recurso, defiende la plena constitucionalidad de los preceptos legales impugnados.</w:t>
      </w:r>
    </w:p>
    <w:p w:rsidR="0025129F" w:rsidRDefault="0025129F" w:rsidP="0025129F">
      <w:pPr>
        <w:pStyle w:val="TextoNormal"/>
      </w:pPr>
    </w:p>
    <w:p w:rsidR="0025129F" w:rsidRDefault="0025129F" w:rsidP="0025129F">
      <w:pPr>
        <w:pStyle w:val="TextoNormal"/>
      </w:pPr>
      <w:r w:rsidRPr="0025129F">
        <w:rPr>
          <w:rStyle w:val="NumeroAFNegritaCaracter"/>
        </w:rPr>
        <w:t>2</w:t>
      </w:r>
      <w:r>
        <w:t>. Las alegaciones formuladas por la representación del Consejo de Gobierno del Principado de Asturias hacen necesario que, antes de entrar en el enjuiciamiento de las cuestiones de fondo suscitadas en el presente proceso constitucional, examinemos la posible pérdida de su objeto.</w:t>
      </w:r>
    </w:p>
    <w:p w:rsidR="0025129F" w:rsidRDefault="0025129F" w:rsidP="0025129F">
      <w:pPr>
        <w:pStyle w:val="TextoNormal"/>
      </w:pPr>
      <w:r>
        <w:t xml:space="preserve">Concretamente, señala el Consejo de Gobierno del Principado de Asturias que el actual recurso de inconstitucionalidad carece de objeto desde el momento mismo en que la norma reguladora del incremento de las retribuciones de los empleados públicos al servicio de la Administración autonómica no es la Ley 1/1996, de 26 de abril, sino la Ley 2/1996, de 25 de junio, por la que se aprueban los Presupuestos Generales del Principado para 1996. Sentado esto, destaca que los arts. 17.1 y 18.1 de esta última Ley citada se atienen escrupulosamente a los límites para los incrementos retributivos de los empleados del sector </w:t>
      </w:r>
      <w:r>
        <w:lastRenderedPageBreak/>
        <w:t>público fijados en el art. 4 del Real Decreto-ley 12/1995, de 28 de diciembre, de medidas urgentes en materia presupuestaria, tributaria y financiera, al establecer que las retribuciones del personal al servicio de la Administración del Principado de Asturias experimentarían durante el año 1996 un "incremento porcentual idéntico" al previsto por la norma estatal. De tal forma que, aun en la hipótesis de que la Ley impugnada hubiese incurrido en un exceso competencial, éste habría sido posteriormente subsanado por la Ley 2/1996, de Presupuestos Generales del Principado de Asturias para el ejercicio de 1996.</w:t>
      </w:r>
    </w:p>
    <w:p w:rsidR="0025129F" w:rsidRDefault="0025129F" w:rsidP="0025129F">
      <w:pPr>
        <w:pStyle w:val="TextoNormal"/>
      </w:pPr>
    </w:p>
    <w:p w:rsidR="0025129F" w:rsidRDefault="0025129F" w:rsidP="0025129F">
      <w:pPr>
        <w:pStyle w:val="TextoNormal"/>
      </w:pPr>
      <w:r w:rsidRPr="0025129F">
        <w:rPr>
          <w:rStyle w:val="NumeroAFNegritaCaracter"/>
        </w:rPr>
        <w:t>3</w:t>
      </w:r>
      <w:r>
        <w:t>. Para resolver adecuadamente la cuestión ahora planteada es preciso referir, con carácter previo, el contexto normativo en el que se enmarca la Ley del Principado de Asturias 1/1996 objeto del recurso de inconstitucionalidad sometido a nuestra consideración. Esta tarea previa resulta necesaria para poder apreciar en qué medida la posterior Ley 2/1996, por la que se aprueban los Presupuestos Generales del Principado de Asturias para 1996, tiene el efecto que apuntan las tesis del ejecutivo autonómico.</w:t>
      </w:r>
    </w:p>
    <w:p w:rsidR="0025129F" w:rsidRDefault="0025129F" w:rsidP="0025129F">
      <w:pPr>
        <w:pStyle w:val="TextoNormal"/>
      </w:pPr>
      <w:r>
        <w:t>Al respecto, importa recordar que la Ley 1/1996 ahora impugnada, fue aprobada en un contexto de prórroga presupuestaria consecuencia de la no aprobación por la Junta General del Principado de Asturias del Proyecto de Ley de Presupuestos Generales para 1996 en su momento remitido por el Consejo de Gobierno. La ordenación de esa prórroga presupuestaria se llevó a efecto mediante el Decreto del Consejo de Gobierno del Principado 188/1995, de 28 de diciembre (publicado en el "Boletín Oficial del Principado de Asturias" de 30 de diciembre de 1995). En lo que ahora estrictamente interesa, debemos reseñar que, de acuerdo con lo dispuesto en el art. 31.1 de la Ley 6/1986, de 31 de mayo, de régimen económico y presupuestario del Principado de Asturias, la citada norma reglamentaria se limitó a disponer la prórroga de los créditos previamente consignados en la Ley 3/1994, de 29 de diciembre, de Presupuestos Generales del Principado de Asturias para 1995.</w:t>
      </w:r>
    </w:p>
    <w:p w:rsidR="0025129F" w:rsidRDefault="0025129F" w:rsidP="0025129F">
      <w:pPr>
        <w:pStyle w:val="TextoNormal"/>
      </w:pPr>
      <w:r>
        <w:t>En este contexto la Junta General del Principado aprobó la Ley 1/1996, de 26 de abril, de concesión de créditos extraordinarios y suplemento de créditos destinados a atender la actualización de retribuciones, modificación de plantillas y otras obligaciones de personal al servicio de la Administración, Organismos Autónomos y Servicio de Salud del Principado de Asturias. Dicha Ley contiene tres artículos, de los cuales ya se han transcrito el primero y, en parte (concretamente en la afectada por el recurso), el segundo. En este art. 2 se determina el importe y destino de los créditos suplementados.  El texto íntegro de dicho precepto es del tenor literal siguiente:</w:t>
      </w:r>
    </w:p>
    <w:p w:rsidR="0025129F" w:rsidRDefault="0025129F" w:rsidP="0025129F">
      <w:pPr>
        <w:pStyle w:val="TextoNormal"/>
      </w:pPr>
      <w:r>
        <w:t>"1. Por un importe total de 922.000.000 pts., se suplementan los créditos que figuran en el anexo I con el fin de atender el coste de:</w:t>
      </w:r>
    </w:p>
    <w:p w:rsidR="0025129F" w:rsidRDefault="0025129F" w:rsidP="0025129F">
      <w:pPr>
        <w:pStyle w:val="TextoNormal"/>
      </w:pPr>
      <w:r>
        <w:t>a) La aplicación en las retribuciones del personal de la Administración, organismos autónomos y Servicio de Salud del Principado de Asturias de los incrementos consolidables resultantes de lo dispuesto en el art. 4.2 del Real Decreto-ley 12/1995, de 28 de diciembre, de medidas urgentes en materia presupuestaria, tributaria y financiera, y de lo estipulado para garantizar el mantenimiento del poder adquisitivo en el Acuerdo entre la Administración del Principado y los Sindicatos para el período 1995/1997.</w:t>
      </w:r>
    </w:p>
    <w:p w:rsidR="0025129F" w:rsidRDefault="0025129F" w:rsidP="0025129F">
      <w:pPr>
        <w:pStyle w:val="TextoNormal"/>
      </w:pPr>
      <w:r>
        <w:t>b) La aplicación de los incrementos previstos en el apartado anterior a las retribuciones de los miembros del Consejo de Gobierno y altos cargos de la Administración del Principado de Asturias.</w:t>
      </w:r>
    </w:p>
    <w:p w:rsidR="0025129F" w:rsidRDefault="0025129F" w:rsidP="0025129F">
      <w:pPr>
        <w:pStyle w:val="TextoNormal"/>
      </w:pPr>
      <w:r>
        <w:t>c) La creación de 32 nuevas plazas en las plantillas de personal funcionario y laboral de la Administración del Principado de Asturias, con arreglo al detalle del anexo II."</w:t>
      </w:r>
    </w:p>
    <w:p w:rsidR="0025129F" w:rsidRDefault="0025129F" w:rsidP="0025129F">
      <w:pPr>
        <w:pStyle w:val="TextoNormal"/>
      </w:pPr>
      <w:r>
        <w:lastRenderedPageBreak/>
        <w:t>Finalmente, en el art. 3 se dispone que "el mayor gasto derivado de los créditos extraordinarios y de los suplementos de crédito que se conceden en esta Ley se financiará con cargo al superávit de liquidación del ejercicio 1995".</w:t>
      </w:r>
    </w:p>
    <w:p w:rsidR="0025129F" w:rsidRDefault="0025129F" w:rsidP="0025129F">
      <w:pPr>
        <w:pStyle w:val="TextoNormal"/>
      </w:pPr>
      <w:r>
        <w:t>Como quiera que el objeto del presente proceso constitucional se ciñe a la previsión recogida en el art. 2.1 a), impugnándose el art. 1 de la Ley autonómica únicamente por conexión, centraremos nuestro análisis en el primero de estos preceptos, dejando para más adelante la tarea de precisar en qué medida existe dicha relación de conexión. Hecha esta advertencia, interesa recordar que el mencionado art. 2.1 a) de la Ley 1/1996 se refiere a "los incrementos consolidables" resultantes de la aplicación de lo dispuesto en el Real Decreto-ley 12/1995, de 28 de diciembre, de medidas urgentes en materia presupuestaria, tributaria y financiera, y en el Acuerdo entre la Administración del Principado y los Sindicatos para el periodo 1995/1997.</w:t>
      </w:r>
    </w:p>
    <w:p w:rsidR="0025129F" w:rsidRDefault="0025129F" w:rsidP="0025129F">
      <w:pPr>
        <w:pStyle w:val="TextoNormal"/>
      </w:pPr>
      <w:r>
        <w:t>En cuanto al Real Decreto-ley 12/1995, de 28 de diciembre, convalidado por Resolución del Congreso de los Diputados de 30 de enero de 1996, su aprobación trae causa de la devolución al Gobierno de la Nación del Proyecto de Ley de Presupuestos Generales del Estado para 1996. Esta decisión del Pleno del Congreso de los Diputados determinó la prórroga automática, de acuerdo con lo previsto en el art. 134.4 CE, de los Presupuestos para el ejercicio de 1995, aprobados por la Ley 41/1994, de 30 de diciembre.  Pues bien, según se afirma expresamente en su preámbulo, el Real Decreto-ley mencionado se dictó con objeto de "solventar algunos problemas ocasionados por la prórroga cuya solución se considera inaplazable". Entre dichos problemas se mencionaba explícitamente la congelación de las retribuciones de los empleados públicos, que se resuelve fijándose un límite a los incrementos retributivos del 3,5 por 100 (art. 4).</w:t>
      </w:r>
    </w:p>
    <w:p w:rsidR="0025129F" w:rsidRDefault="0025129F" w:rsidP="0025129F">
      <w:pPr>
        <w:pStyle w:val="TextoNormal"/>
      </w:pPr>
      <w:r>
        <w:t>Por lo que hace a la referencia al Acuerdo entre la Administración del Principado y los sindicatos para el periodo 1995/1997, ésta debe entenderse hecha al Acuerdo suscrito por ambas partes el 15 de marzo de 1995, posteriormente aprobado por el Consejo de Gobierno y publicado por Resolución de la Consejería de Interior y Administraciones Públicas de 20 de marzo de 1995 en el "Boletín Oficial del Principado de Asturias" del siguiente día 25 de marzo. En el art. 3.1 de dicho Acuerdo se crea un Fondo para el mantenimiento del poder adquisitivo en los siguientes términos:</w:t>
      </w:r>
    </w:p>
    <w:p w:rsidR="0025129F" w:rsidRDefault="0025129F" w:rsidP="0025129F">
      <w:pPr>
        <w:pStyle w:val="TextoNormal"/>
      </w:pPr>
      <w:r>
        <w:t>"Se generará un fondo específico para el mantenimiento del poder adquisitivo si, a 31 de diciembre de 1995, el crecimiento del IPC resultara superior al previsto a esa fecha y la masa salarial del conjunto de los empleados públicos incluidos en el ámbito del presente Acuerdo, en términos homogéneos de efectivos, hubiera crecido por debajo de dicho Índice durante 1995, y ello en consonancia con los objetivos de crecimiento del PIB y reducción del déficit público del conjunto de las Administraciones Públicas expresados en los Presupuestos Generales del Estado y en particular en los Presupuestos Generales del Principado de Asturias."</w:t>
      </w:r>
    </w:p>
    <w:p w:rsidR="0025129F" w:rsidRDefault="0025129F" w:rsidP="0025129F">
      <w:pPr>
        <w:pStyle w:val="TextoNormal"/>
      </w:pPr>
      <w:r>
        <w:t>En cuanto a los criterios de aplicación del Fondo, el art. 3.3 remite a la negociación entre las partes firmantes del Acuerdo, disponiéndose que, en todo caso, "sus efectos económicos serán de 1 de enero de 1996 y tendrán carácter consolidable". Por otro lado, debemos señalar que en el art. 5 se prevé la extensión a los empleados públicos autonómicos de los incrementos retributivos reconocidos en el seno de la Administración del Estado para los años 1996 y 1997.</w:t>
      </w:r>
    </w:p>
    <w:p w:rsidR="0025129F" w:rsidRDefault="0025129F" w:rsidP="0025129F">
      <w:pPr>
        <w:pStyle w:val="TextoNormal"/>
      </w:pPr>
      <w:r>
        <w:t xml:space="preserve">De lo ahora expuesto interesa hacer hincapié en el carácter consolidable de los incrementos retributivos resultantes del Fondo creado por el Acuerdo de 15 de marzo de 1995. Carácter consolidable reiterado por el art. 2.1 a) de la Ley 1/1996, por el que se autorizan </w:t>
      </w:r>
      <w:r>
        <w:lastRenderedPageBreak/>
        <w:t>los suplementos de crédito necesarios para hacer efectivos dichos incrementos que, según se indica en el preámbulo de esta misma Ley, ascienden a 0,8 puntos porcentuales.</w:t>
      </w:r>
    </w:p>
    <w:p w:rsidR="0025129F" w:rsidRDefault="0025129F" w:rsidP="0025129F">
      <w:pPr>
        <w:pStyle w:val="TextoNormal"/>
      </w:pPr>
    </w:p>
    <w:p w:rsidR="0025129F" w:rsidRDefault="0025129F" w:rsidP="0025129F">
      <w:pPr>
        <w:pStyle w:val="TextoNormal"/>
      </w:pPr>
      <w:r w:rsidRPr="0025129F">
        <w:rPr>
          <w:rStyle w:val="NumeroAFNegritaCaracter"/>
        </w:rPr>
        <w:t>4</w:t>
      </w:r>
      <w:r>
        <w:t>. Una vez expuesto el contexto normativo en el que han de integrarse los preceptos impugnados de la Ley del Principado de Asturias 1/1996, tal y como se plantea en este proceso, es llegado el momento de determinar si la posterior aprobación de la Ley 2/1996, de Presupuestos Generales del Principado de Asturias para el ejercicio de 1996, ha privado de objeto al presente proceso constitucional conforme sostiene la representación procesal del Consejo de Gobierno de dicha Comunidad Autónoma.</w:t>
      </w:r>
    </w:p>
    <w:p w:rsidR="0025129F" w:rsidRDefault="0025129F" w:rsidP="0025129F">
      <w:pPr>
        <w:pStyle w:val="TextoNormal"/>
      </w:pPr>
      <w:r>
        <w:t>Por lo que específicamente se refiere a los procesos constitucionales con contenido competencial,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w:t>
      </w:r>
    </w:p>
    <w:p w:rsidR="0025129F" w:rsidRDefault="0025129F" w:rsidP="0025129F">
      <w:pPr>
        <w:pStyle w:val="TextoNormal"/>
      </w:pPr>
      <w:r>
        <w:t>En el presente caso el Consejo de Gobierno del Principado de Asturias defiende la carencia de objeto del recurso porque los hipotéticos excesos competenciales en que podrían haber incurrido los preceptos legales concretamente impugnados han quedado subsanados con la aprobación de la Ley 2/1996, de 25 de junio, Presupuestos Generales del Principado de Asturias para 1996, cuyos arts. 17.1 y 18.1 se atienen estrictamente a los límites máximos que para los incrementos retributivos del personal al servicio del sector público se fijaron en el art. 4 del Real Decreto-ley 12/1995, de 28 de diciembre, de medidas urgentes en materia presupuestaria, tributaria y financiera. De donde resulta que la Comunidad Autónoma no plantea en puridad una desaparición sobrevenida del objeto de este proceso constitucional cuanto un reproche sobre la pretendidamente incorrecta interposición del recurso de inconstitucionalidad frente a una norma que, en el momento en el que aquél se formalizó (29 de julio de 1996), habría sido reemplazada por la Ley 2/1996, cuya entrada en vigor se produjo, como ya hemos reseñado anteriormente, el 30 de junio de 1996.</w:t>
      </w:r>
    </w:p>
    <w:p w:rsidR="0025129F" w:rsidRDefault="0025129F" w:rsidP="0025129F">
      <w:pPr>
        <w:pStyle w:val="TextoNormal"/>
      </w:pPr>
      <w:r>
        <w:t>Pues bien, no es posible compartir las tesis expresadas sobre este particular por la representación procesal del Consejo de Gobierno del Principado de Asturias. La Ley 2/1996, que no deroga formalmente la Ley 1/1996, objeto del recurso de inconstitucionalidad que ahora nos corresponde resolver, no ha venido a sustituir ni reemplazar el contenido de esta última norma. Concretamente, la previsión de los incrementos retributivos a que tenía derecho el personal al servicio de la Administración autonómica durante el ejercicio presupuestario de 1996 contenida en los arts. 17.1 y 18.1 en nada altera las consecuencias retributivas resultantes de la aplicación de la Ley 1/1996.</w:t>
      </w:r>
    </w:p>
    <w:p w:rsidR="0025129F" w:rsidRDefault="0025129F" w:rsidP="0025129F">
      <w:pPr>
        <w:pStyle w:val="TextoNormal"/>
      </w:pPr>
      <w:r>
        <w:t xml:space="preserve">Antes al contrario, la autorización de créditos extraordinarios y suplementos de crédito llevada a cabo por la Ley 1/1996 tiene por objeto dar efectividad al incremento que había </w:t>
      </w:r>
      <w:r>
        <w:lastRenderedPageBreak/>
        <w:t>de aplicarse sobre las retribuciones totales de 1995, equivalente a un 0,8 por 100 según se indica en el preámbulo de la propia Ley. Como quiera que dicho incremento tiene carácter consolidable, pues así se afirma expresamente tanto en el preámbulo de dicha Ley como en su art. 2.1 a), ello depara como consecuencia que el nuevo incremento retributivo establecido en los preceptos reseñados de la Ley 2/1996 toma como base del cálculo las retribuciones percibidas durante el año 1995 acrecentadas -según la cuantificación consignada en el preámbulo de la Ley autonómica- en 0,8 puntos porcentuales. De donde resulta que no cabe hablar de carencia de objeto en el presente recurso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5</w:t>
      </w:r>
      <w:r>
        <w:t>. Entrando ya en el examen de la cuestión de fondo suscitada en este proceso constitucional, interesa comenzar recordando la doctrina que este Tribunal ha venido elaborando acerca de la vinculación de los legisladores autonómicos a los límites retributivos en el sector público fijados por el Estado. Dicha doctrina se contiene en las SSTC 63/1986, de 21 de mayo; 96/1990, de 24 de mayo; 237/1992, de 15 de diciembre; 171/1996, de 30 de octubre; 103/1997, de 22 de mayo, y en la reciente 62/2001, de 1 de marzo.</w:t>
      </w:r>
    </w:p>
    <w:p w:rsidR="0025129F" w:rsidRDefault="0025129F" w:rsidP="0025129F">
      <w:pPr>
        <w:pStyle w:val="TextoNormal"/>
      </w:pPr>
      <w:r>
        <w:t>De acuerdo con dicha doctrina, entre las bases del régimen estatutario de la función pública a las que se refiere el art. 149.1.18 CE cabe incluir, entre otras, las previsiones relativas a las retribuciones de los funcionarios, comunes a todas las Administraciones públicas, lo que, a su vez, hallaría fundamento en los principios constitucionales de igualdad y solidaridad (en particular, SSTC 96/1990, de 24 de mayo, FJ 3; 237/1992, de 15 de diciembre, FJ 4, y 103/1997, de 22 de mayo, FJ 2).  Ahora bien, como hemos advertido en la STC 62/2001, FJ 2, este título no respalda la competencia del Estado para fijar límites o topes máximos, de carácter global a los incrementos retributivos del personal al servicio de las Administraciones públicas. No sólo porque la noción de "personal al servicio del sector público" empleada a este respecto en las distintas Leyes de Presupuestos tiene un alcance subjetivo más amplio que la de "funcionarios" utilizada por el citado art. 149.1.18 CE, sino también -y fundamentalmente- porque, en lo que se refiere al elemento objetivo de la competencia estatal, el "régimen estatutario" de dichos funcionarios, hemos indicado que "cualquiera que sea la extensión otorgada a este concepto, no puede incluirse en él una simple medida coyuntural y de eficacia limitada en el tiempo que, aunque produzca un efecto directo sobre la cuantificación de los derechos económicos de los funcionarios, tiene un fundamento y una finalidad extraños a la relación de servicio, en cuanto constituye una medida económica general de carácter presupuestario dirigida a contener la expansión relativa de uno de los componentes esenciales del gasto público" (STC 63/1986, de 21 de mayo, FJ 11). Dicho de otro modo, en tanto la definición de los diversos conceptos retributivos de los funcionarios públicos se incardina en la competencia atribuida al Estado por el art.  149.1.18 CE, su cuantificación o el establecimiento de límites a la misma, con lo que ello supone de limitación de la autonomía financiera de las Comunidades Autónomas en su vertiente de poder de gasto, debe reconducirse tanto al título competencial contenido en el art. 149.1.13 CE como al principio de coordinación al que se refiere el art. 156.1 CE, en este último caso con el alcance previsto en el art. 2.1 b) LOFCA (SSTC 103/1997, FJ 1, y 62/2001, FJ 4).</w:t>
      </w:r>
    </w:p>
    <w:p w:rsidR="0025129F" w:rsidRDefault="0025129F" w:rsidP="0025129F">
      <w:pPr>
        <w:pStyle w:val="TextoNormal"/>
      </w:pPr>
      <w:r>
        <w:t xml:space="preserve">Perfilado este encuadramiento competencial de la materia, que implica la limitación de nuestras consideraciones al referido título del art.  149.1.13 CE, expresamente invocado por el Abogado del Estado en el escrito rector de este proceso constitucional, interesa recordar que hemos calificado la fijación de esos límites superiores al incremento retributivo del personal al servicio del sector público como "una medida económica general de carácter presupuestario dirigida a contener la expansión relativa de uno de los componentes </w:t>
      </w:r>
      <w:r>
        <w:lastRenderedPageBreak/>
        <w:t>esenciales del gasto público" (por todas, STC 62/2001, FJ 4). Por ello, esa decisión, coyuntural y de eficacia temporal limitada, resulta constitucionalmente justificada en razón de una política de contención de la inflación a través de la reducción del déficit público (en especial, STC 63/1986, FJ 11). El establecimiento de esos techos salariales, que encuentra su apoyo en la competencia estatal de dirección de la actividad económica general ex art. 149.1.13 CE, persigue la consecución de la estabilidad económica, objetivo macroeconómico auspiciado por el art. 40.1 CE, a lo que indiscutiblemente puede contribuir la gradual recuperación del equilibrio presupuestario (sobre este último aspecto, SSTC 237/1992, FJ 3, y 62/2001, FJ 4). Consecuentemente, desde la perspectiva competencial es irreprochable que el Estado plasme esta decisión en las Leyes de Presupuestos, habida cuenta de que éstas, lejos de ceñirse a ser un mero conjunto de previsiones contables, representan "un vehículo de dirección y orientación de la política económica" general (entre las más recientes, SSTC 130/1999, de 1 de julio, FJ 4; 234/1999, de 16 de diciembre, FJ 4, y 32/2000, de 3 de febrero, FJ 5).</w:t>
      </w:r>
    </w:p>
    <w:p w:rsidR="0025129F" w:rsidRDefault="0025129F" w:rsidP="0025129F">
      <w:pPr>
        <w:pStyle w:val="TextoNormal"/>
      </w:pPr>
      <w:r>
        <w:t>Asimismo, y conforme hemos señalado en la STC 62/2001, FJ 4, resumiendo la doctrina constitucional en la materia, la imposición de estos topes máximos encuentra también su fundamento en el límite a la autonomía financiera que establece el principio de coordinación con la Hacienda estatal del art. 156.1 CE, con el alcance previsto en el art. 2.1 b) LOFCA, el cual exige a las Comunidades Autónomas la acomodación de su actividad financiera a las medidas oportunas que adopte el Estado a fin de alcanzar la estabilidad económica interna y externa, pues a él le corresponde la responsabilidad de garantizar el equilibrio económico general.  A partir de ese principio de coordinación, delimitado por la LOFCA, resulta posible, dijimos en dicha Sentencia, que el Estado "acuerde una medida unilateral con fuerza normativa general susceptible de incidir en las competencias autonómicas en materia presupuestaria, siempre que aquélla tenga una relación directa con los mencionados objetivos de política económica".  Ello justifica el carácter prioritario de las inversiones públicas frente a los gastos consuntivos, a cuyo efecto parece legítimo que el Estado fije topes máximos globales al incremento de la masa retributiva de los empleados públicos, pero no que "predetermine unilateralmente los incrementos máximos de las cuantías de las retribuciones de cada funcionario dependiente de las Comunidades Autónomas, individualmente considerado, debiendo referirse tal límite al volumen total de las retribuciones (SSTC 63/1986, FJ 11; 96/1990, FJ 3; 171/1996, FJ 3)" (STC 62/2001, FJ 4).</w:t>
      </w:r>
    </w:p>
    <w:p w:rsidR="0025129F" w:rsidRDefault="0025129F" w:rsidP="0025129F">
      <w:pPr>
        <w:pStyle w:val="TextoNormal"/>
      </w:pPr>
      <w:r>
        <w:t>En consecuencia, el análisis de la constitucionalidad de los preceptos legales impugnados en el presente recurso de inconstitucionalidad habrá de efectuarse por contraste con lo dispuesto en el art. 149.1.13 CE, expresamente invocado por el Abogado del Estado. Asimismo, por su específica relación con el título competencial reconocido al Estado en dicho precepto constitucional, deberemos tener siempre presente el principio de coordinación de las Haciendas públicas, consagrado por el art. 156.1 CE.</w:t>
      </w:r>
    </w:p>
    <w:p w:rsidR="0025129F" w:rsidRDefault="0025129F" w:rsidP="0025129F">
      <w:pPr>
        <w:pStyle w:val="TextoNormal"/>
      </w:pPr>
    </w:p>
    <w:p w:rsidR="0025129F" w:rsidRDefault="0025129F" w:rsidP="0025129F">
      <w:pPr>
        <w:pStyle w:val="TextoNormal"/>
      </w:pPr>
      <w:r w:rsidRPr="0025129F">
        <w:rPr>
          <w:rStyle w:val="NumeroAFNegritaCaracter"/>
        </w:rPr>
        <w:t>6</w:t>
      </w:r>
      <w:r>
        <w:t>. Sintetizada la doctrina constitucional relevante para la resolución del caso, procede examinar las alegaciones formuladas por el Consejo de Gobierno del Principado de Asturias para desvirtuar la pretensión de inconstitucionalidad deducida por el Abogado del Estado, las cuales, caso de ser aceptadas, impedirían la aplicación al presente supuesto de dicha doctrina constitucional.</w:t>
      </w:r>
    </w:p>
    <w:p w:rsidR="0025129F" w:rsidRDefault="0025129F" w:rsidP="0025129F">
      <w:pPr>
        <w:pStyle w:val="TextoNormal"/>
      </w:pPr>
      <w:r>
        <w:t xml:space="preserve">En la primera de dichas alegaciones se cuestiona el carácter básico de lo dispuesto en el art. 4.1 del Real Decreto-ley 12/1995, de 28 de diciembre. A este respecto, con invocación expresa de la doctrina recogida en la STC 80/1988, de 28 de abril, en torno a la noción </w:t>
      </w:r>
      <w:r>
        <w:lastRenderedPageBreak/>
        <w:t>formal de lo básico, y advirtiendo la ausencia de una expresa declaración del carácter básico del referido precepto, aduce la Comunidad Autónoma que no es posible inferir tal carácter por contraste con lo dispuesto en el art. 18 de la Ley 41/1994, de 30 de diciembre, de Presupuestos Generales del Estado para 1995 al que parcialmente se remite aquél. Concretamente, sostiene que en el referido art. 4.1 del Real Decreto-ley no se impone, al contrario de lo que sucedía con el indicado precepto de la Ley 41/1994, la extensión de los topes salariales a las normas presupuestarias de las Comunidades Autónomas.</w:t>
      </w:r>
    </w:p>
    <w:p w:rsidR="0025129F" w:rsidRDefault="0025129F" w:rsidP="0025129F">
      <w:pPr>
        <w:pStyle w:val="TextoNormal"/>
      </w:pPr>
      <w:r>
        <w:t>En aplicación de nuestra doctrina sobre el concepto y alcance de lo básico debemos rechazar este alegato. Con arreglo a dicha doctrina, constantemente reiterada a partir de la STC 69/1988, de 19 de abril, FJ 5, el control por este Tribunal de la normativa básica estatal exige valorar una doble esfera, material y formal. Con la primera trata de evitarse que puedan dejarse sin contenido o inconstitucionalmente cercenadas las competencias autonómicas, en tanto que mediante la segunda debe velarse por que el cierre del sistema no se mantenga en la ambigüedad permanente que resultaría de reconocer al Estado la facultad de oponer sorpresivamente a las Comunidades Autónomas, como norma básica, cualquier clase de precepto al margen de su rango o estructura (por todas, SSTC 96/1996, de 30 de mayo, FJ 32; 118/1998, de 4 de junio, FJ 16; 242/1999, de 21 de diciembre, FJ 8, y 223/2000, de 21 de septiembre, FJ 6).</w:t>
      </w:r>
    </w:p>
    <w:p w:rsidR="0025129F" w:rsidRDefault="0025129F" w:rsidP="0025129F">
      <w:pPr>
        <w:pStyle w:val="TextoNormal"/>
      </w:pPr>
      <w:r>
        <w:t>Por lo que se refiere a esa segunda vertiente, formal, de lo básico, su efectividad se traduce en una preferencia por la Ley como el instrumento normativo idóneo para su establecimiento pues sólo a su través se alcanzará, con las garantías inherentes al procedimiento legislativo, una determinación cierta y estable de los ámbitos respectivos de ordenación de las materias en las que concurran y se articulen las competencias básicas estatales y las autonómicas de desarrollo legislativo [SSTC 213/1994, de 14 de julio, FJ 10; 197/1996, de 28 de noviembre, FJ 5 b); 118/1998, FJ 16, y 242/1999, FJ 8]. De ello deriva la exigencia de que sea la propia Ley la que declare expresamente el carácter básico de la norma. Bien entendido que esta exigencia puede entenderse satisfecha cuando la norma presente "una estructura que permita inferir, directa o indirectamente, pero sin especial dificultad, su vocación o pretensión básica" (STC 128/199, de 1 de julio, FJ 15, que cita a su vez las SSTC 69/1988, de 19 de abril, FJ 5, 80/1988, de 28 de abril, FJ 5, 213/1994, de 14 de julio, FJ 10, 197/1997, de 24 de noviembre, FJ 5.b, y 118/1998, de 4 de junio, FJ 16).</w:t>
      </w:r>
    </w:p>
    <w:p w:rsidR="0025129F" w:rsidRDefault="0025129F" w:rsidP="0025129F">
      <w:pPr>
        <w:pStyle w:val="TextoNormal"/>
      </w:pPr>
      <w:r>
        <w:t>En el presente caso, esa vocación o pretensión básica del art. 4.1 del Real Decreto-ley 12/1995, por lo demás expresamente afirmada en el preámbulo de la Ley de la Junta General del Principado de Asturias 1/1996, puede inferirse sin mayor esfuerzo de su estructura. Por otro lado, contrariamente a lo que sostiene la representación procesal del Consejo de Gobierno del Principado de Asturias, no es cierto que se remita sólo parcialmente al art. 18.2 de la Ley 41/1994, de 30 de diciembre, de Presupuestos Generales del Estado para 1995, sino que el contenido del precepto cuyo carácter básico se discute sólo es comprensible a partir de lo dispuesto en este artículo de la Ley 41/1994. En efecto, como ya hemos reseñado con anterioridad, el indicado Real Decreto-ley fue dictado para resolver algunos problemas suscitados por la prórroga, para el ejercicio de 1996, de los Presupuestos Generales confeccionados para el año 1995.</w:t>
      </w:r>
    </w:p>
    <w:p w:rsidR="0025129F" w:rsidRDefault="0025129F" w:rsidP="0025129F">
      <w:pPr>
        <w:pStyle w:val="TextoNormal"/>
      </w:pPr>
      <w:r>
        <w:t>Es en este contexto de prórroga presupuestaria en el que debe interpretarse lo dispuesto en el art. 4.1 del Real Decreto-ley 12/1995, en el que se establece que "a partir del 1 de enero de 1996, el límite máximo de incremento de las retribuciones del personal al servicio del sector público a que se refiere el artículo 18.2 de la Ley 41/1994, de 30 de diciembre, será de 3,5 por 100 respecto a las de 1995". De este modo, la acotación del ámbito subjetivo de aplicación del precepto ahora parcialmente reproducido sólo es posible me</w:t>
      </w:r>
      <w:r>
        <w:lastRenderedPageBreak/>
        <w:t>diante su integración con lo dispuesto en el art. 18.2 de la Ley 41/1994. Pues bien, si paramos mientes en el hecho de que este último precepto remite a la delimitación del sector público recogida en el apartado 1 del propio art. 18 de la Ley 14/1994, que incluía expresamente tanto las Comunidades Autónomas y los organismos de ellas dependientes como las Corporaciones Locales y los organismos de ellas dependientes, ninguna duda suscita la vocación básica de la limitación de incrementos salariales fijada en el art. 4.1 del Real Decreto-ley 12/1995, de 28 de diciembre, de medidas urgentes en materia presupuestaria, tributaria y financiera, y el consecuente sometimiento al mismo del legislador autonómico.</w:t>
      </w:r>
    </w:p>
    <w:p w:rsidR="0025129F" w:rsidRDefault="0025129F" w:rsidP="0025129F">
      <w:pPr>
        <w:pStyle w:val="TextoNormal"/>
      </w:pPr>
    </w:p>
    <w:p w:rsidR="0025129F" w:rsidRDefault="0025129F" w:rsidP="0025129F">
      <w:pPr>
        <w:pStyle w:val="TextoNormal"/>
      </w:pPr>
      <w:r w:rsidRPr="0025129F">
        <w:rPr>
          <w:rStyle w:val="NumeroAFNegritaCaracter"/>
        </w:rPr>
        <w:t>7</w:t>
      </w:r>
      <w:r>
        <w:t>. Por otro lado, sostiene el Consejo de Gobierno del Principado de Asturias que el art. 4.1 del Real Decreto-ley, a diferencia de lo que sucedía con el art. 18 de la Ley 41/1994, no determina expresamente la inaplicación de los acuerdos, convenios o pactos que impliquen crecimientos retributivos superiores a los fijados en dicho precepto, de donde debería concluirse la plena aplicabilidad de tales acuerdos. Siempre a juicio del Ejecutivo autonómico, esta apertura de las posibilidades de incrementar las retribuciones de los empleados públicos por vía convencional sería coherente con el hecho de que en el art. 1 del propio Real Decreto-ley 12/1995 se contenga una excepción evidente al incremento general uniforme del 3,5 por 100 y con la creación, mediante Resolución del Consejo de Ministros de 16 de septiembre de 1994, de un fondo estatal de características similares al establecido por el Acuerdo alcanzado por la Administración del Principado de Asturias y los Sindicatos el 15 de marzo de 1995.</w:t>
      </w:r>
    </w:p>
    <w:p w:rsidR="0025129F" w:rsidRDefault="0025129F" w:rsidP="0025129F">
      <w:pPr>
        <w:pStyle w:val="TextoNormal"/>
      </w:pPr>
      <w:r>
        <w:t>Tampoco esta alegación puede ser compartida. En aras de la claridad expositiva, parece oportuno examinar conjuntamente la eficacia de los incrementos superiores al 3,5 por 100 resultantes de convenios o pactos suscritos por la Administración con los Sindicatos y la existencia de un Acuerdo entre la Administración del Estado y los Sindicatos idéntico al celebrado entre la Administración autonómica y las centrales sindicales el 15 de marzo de 1995, dejando para más adelante la determinación del sentido y alcance del art. 1 del Real Decreto-ley 12/1995.</w:t>
      </w:r>
    </w:p>
    <w:p w:rsidR="0025129F" w:rsidRDefault="0025129F" w:rsidP="0025129F">
      <w:pPr>
        <w:pStyle w:val="TextoNormal"/>
      </w:pPr>
      <w:r>
        <w:t>En cuanto al Acuerdo alcanzado entre la Administración del Estado y los Sindicatos sobre condiciones de trabajo en la función pública para el periodo 1995-1997, publicado por Resolución de la Secretaría de Estado para la Administración Pública de 19 de septiembre de 1994 en el "Boletín Oficial del Estado" del día 20 siguiente, hemos de convenir con el Consejo de Gobierno del Principado de Asturias en la coincidencia de lo dispuesto en el Capítulo III del Título II del mismo con la previsión contenida en el art. 3 del Acuerdo suscrito por la Administración del Principado de Asturias y los Sindicatos el día 15 de marzo de 1995. En ambos casos se procede a la creación de un Fondo para el mantenimiento del poder adquisitivo de los empleados públicos con efectos económicos de 1 de enero de 1996 y carácter consolidable.</w:t>
      </w:r>
    </w:p>
    <w:p w:rsidR="0025129F" w:rsidRDefault="0025129F" w:rsidP="0025129F">
      <w:pPr>
        <w:pStyle w:val="TextoNormal"/>
      </w:pPr>
      <w:r>
        <w:t xml:space="preserve">Ahora bien, más allá de esas coincidencias, interesa destacar que no es objeto de impugnación en este proceso ni la creación del referido Fondo autonómico ni tampoco la regulación de la que se le dota en el Acuerdo de 15 de marzo de 1995, sino la autorización del suplemento de crédito previsto en el art. 2.1 a) de la Ley del Principado de Asturias 1/1996. Tal impugnación ha ser resuelta exclusivamente, parece conveniente destacarlo, a través del contraste de dicha autorización con las disposiciones básicas aprobadas por el Estado para la ordenación económica general (art. 149.1.13 CE), aquí en lo concerniente a los incrementos retributivos de los empleados públicos, plasmados en el Real Decreto-ley 12/1995. Todo ello sin perjuicio de poner de manifiesto que no se ha aducido que el Acuerdo alcanzado entre la Administración del Estado y los Sindicatos haya dado como </w:t>
      </w:r>
      <w:r>
        <w:lastRenderedPageBreak/>
        <w:t>resultado una ampliación de créditos equiparable a la efectuada en la indicada Ley autonómica.</w:t>
      </w:r>
    </w:p>
    <w:p w:rsidR="0025129F" w:rsidRDefault="0025129F" w:rsidP="0025129F">
      <w:pPr>
        <w:pStyle w:val="TextoNormal"/>
      </w:pPr>
      <w:r>
        <w:t>Sentado esto, debemos recordar que el art. 4.1 del Real Decreto-ley 12/1995 fue aprobado para dar respuesta a las necesidades derivadas de una situación de prórroga presupuestaria. Lo que, entre otros extremos, obliga a integrar sus previsiones con las recogidas en el art. 18 de la Ley 41/1994, de Presupuestos Generales del Estado para 1995, en cuyo apartado segundo, párrafo segundo, se establecía expresamente la inaplicabilidad de las cláusulas de origen convencional que implicasen crecimientos retributivos superiores a los autorizados por la Ley de Presupuestos. Por tanto, la no reproducción de esta previsión en el art. 4.1 del mencionado Real Decreto-ley no puede interpretarse a contrario como una derogación implícita de esta regla, que si bien no se hallaba inescindiblemente vinculada con una específica partida presupuestaria, representaba una previsión de política económica general de carácter básico integrante del contenido constitucionalmente previsto para las Leyes de Presupuestos, previsión que no puede estimarse alterada como consecuencia de la devolución al Gobierno de la Nación del Proyecto de Ley de Presupuestos Generales del Estado para el ejercicio de 1996. Pues bien, el contraste de la norma autonómica impugnada con lo dispuesto en el Real Decreto-ley 12/1995 pone de manifiesto la falta de adecuación de aquélla a las bases estatales en la materia.</w:t>
      </w:r>
    </w:p>
    <w:p w:rsidR="0025129F" w:rsidRDefault="0025129F" w:rsidP="0025129F">
      <w:pPr>
        <w:pStyle w:val="TextoNormal"/>
      </w:pPr>
      <w:r>
        <w:t>Esta conclusión no resulta alterada por la referencia que el Consejo de Gobierno del Principado de Asturias formula a la modulación del alcance subjetivo de lo básico contenida en el art. 1 del Real Decreto-ley 12/1995.  Sin perjuicio de dejar señalado que la representación procesal del Ejecutivo autonómico caracteriza a la excepción recogida en dicho precepto como mera posibilidad, debe destacarse que la efectividad del suplemento de crédito autorizado por la Ley 1/1996 no se limita al personal docente, que es el único contemplado en el indicado art. 1 del Real Decreto-ley 12/1995, sino que tiene un alcance general para el conjunto de los empleados públicos al servicio de la Administración del Principado de Asturias, por lo que no es posible, ni tan siquiera aceptando la existencia de este régimen excepcional, partir del mismo para, obviando su carácter marcadamente limitado, pretender soslayar las determinaciones básicas aplicables al conjunto de los empleados públicos.</w:t>
      </w:r>
    </w:p>
    <w:p w:rsidR="0025129F" w:rsidRDefault="0025129F" w:rsidP="0025129F">
      <w:pPr>
        <w:pStyle w:val="TextoNormal"/>
      </w:pPr>
    </w:p>
    <w:p w:rsidR="0025129F" w:rsidRDefault="0025129F" w:rsidP="0025129F">
      <w:pPr>
        <w:pStyle w:val="TextoNormal"/>
      </w:pPr>
      <w:r w:rsidRPr="0025129F">
        <w:rPr>
          <w:rStyle w:val="NumeroAFNegritaCaracter"/>
        </w:rPr>
        <w:t>8</w:t>
      </w:r>
      <w:r>
        <w:t>. Finalmente, sostiene el Consejo Ejecutivo del Principado de Asturias, con invocación expresa de la doctrina establecida en la STC 63/1986, de 21 de mayo, que los suplementos de crédito autorizados por la Ley 1/1996 no pasan de ser meras consignaciones presupuestarias. O lo que es igual, se trata de una simple autorización de gasto y no del establecimiento de un incremento retributivo determinado que, en todo caso, tendría su origen en el ya indicado Acuerdo suscrito entre la Administración autonómica y los Sindicatos el 15 de marzo de 1995.</w:t>
      </w:r>
    </w:p>
    <w:p w:rsidR="0025129F" w:rsidRDefault="0025129F" w:rsidP="0025129F">
      <w:pPr>
        <w:pStyle w:val="TextoNormal"/>
      </w:pPr>
      <w:r>
        <w:t>A este respecto debemos comenzar poniendo de manifiesto que la cita de la doctrina de este Tribunal a propósito de la autorización presupuestaria de gasto realizada por la representación procesal del Consejo de Gobierno del Principado de Asturias parece desconocer la matización que del sentido y alcance de la misma se lleva a cabo en la STC 13/1992, de 6 de febrero, FJ 5. Allí, tras recordarse la distinción entre fuente jurídica del gasto público y fuente de la obligación, efectuada por la STC 63/1986, de 21 de mayo, FJ 6, y reiterada por la STC 146/1986, de 25 de noviembre, FJ 8, tuvimos ocasión de advertir que "esa doctrina no puede ser aplicada de manera mecánica para negar la posibilidad (ya apuntada explícitamente en las SSTC 95/1986, FJ 5, y 88/1987, FJ 2) de que las Comunidades Autónomas impugnen las partidas del estado de gastos de las Leyes de Presupuestos Genera</w:t>
      </w:r>
      <w:r>
        <w:lastRenderedPageBreak/>
        <w:t>les del Estado cuando lo que se cuestiona -como ahora acontece y era también el caso del conflicto positivo de competencia resuelto por la STC 146/1986- es la competencia misma del Estado para, mediante el ejercicio de su poder financiero, centralizar en organismos de la Administración estatal los fondos destinados a subvenciones o ayudas en materias de competencia exclusiva de las Comunidades Autónomas".</w:t>
      </w:r>
    </w:p>
    <w:p w:rsidR="0025129F" w:rsidRDefault="0025129F" w:rsidP="0025129F">
      <w:pPr>
        <w:pStyle w:val="TextoNormal"/>
      </w:pPr>
      <w:r>
        <w:t>Consecuentemente, no cabe negar de antemano la posibilidad de que una determinada partida o consignación presupuestaria autorizada por el legislador autonómico, aquí la Junta General del Principado de Asturias, sea objeto de un proceso constitucional cuando lo que se discute es precisamente la vulneración del sistema de competencias en que dicho legislador ha incurrido al otorgar esa autorización. Además, es oportuno señalar que en esta ocasión no se discute la competencia autonómica para crear o articular el Fondo a fin de mantener el poder adquisitivo previsto en el art. 3 de los Acuerdos de 15 de marzo de 1995; lo que se denuncia es que, en ocasión de hacer efectivo este Fondo, el legislador autonómico ha incurrido en un exceso competencial al desconocer los topes máximos que para los incrementos retributivos de los empleados públicos había establecido la normativa básica.</w:t>
      </w:r>
    </w:p>
    <w:p w:rsidR="0025129F" w:rsidRDefault="0025129F" w:rsidP="0025129F">
      <w:pPr>
        <w:pStyle w:val="TextoNormal"/>
      </w:pPr>
      <w:r>
        <w:t>Siendo ésta la causa petendi del recurso de inconstitucionalidad, la previa impugnación del Acuerdo de 15 de marzo de 1995, al que no se reprocha infracción alguna de orden competencial, no puede erigirse en presupuesto de procedibilidad contrariamente a lo que viene a postular la representación procesal del Consejo de Gobierno del Principado de Asturias.</w:t>
      </w:r>
    </w:p>
    <w:p w:rsidR="0025129F" w:rsidRDefault="0025129F" w:rsidP="0025129F">
      <w:pPr>
        <w:pStyle w:val="TextoNormal"/>
      </w:pPr>
    </w:p>
    <w:p w:rsidR="0025129F" w:rsidRDefault="0025129F" w:rsidP="0025129F">
      <w:pPr>
        <w:pStyle w:val="TextoNormal"/>
      </w:pPr>
      <w:r w:rsidRPr="0025129F">
        <w:rPr>
          <w:rStyle w:val="NumeroAFNegritaCaracter"/>
        </w:rPr>
        <w:t>9</w:t>
      </w:r>
      <w:r>
        <w:t>. El rechazo de las alegaciones formuladas por el Consejo de Gobierno del Principado de Asturias en defensa de la constitucionalidad de los preceptos impugnados de la Ley 1/1996 determina la aplicabilidad a los mismos de la doctrina que hemos resumido en el fundamento jurídico quinto de esta Sentencia y, en su virtud, la declaración de inconstitucionalidad y consiguiente nulidad del art. 2.1 a) en la parte que destina el suplemento de crédito a "lo estipulado para garantizar el mantenimiento del poder adquisitivo en el Acuerdo entre la Administración del Principado y los Sindicatos para el período 1995/1997". Este precepto, en cuanto materializa un incremento - cuantificado por el preámbulo de la propia Ley en el 0,8 por 100- en las retribuciones de los empleados públicos autonómicos, a aplicar sobre las retribuciones totales de 1995 con carácter consolidable, altera la base sobre la que se calcula el posterior incremento del 3,5 por 100 acordado por la Ley 2/1996, de Presupuestos Generales del Principado de Asturias.</w:t>
      </w:r>
    </w:p>
    <w:p w:rsidR="0025129F" w:rsidRDefault="0025129F" w:rsidP="0025129F">
      <w:pPr>
        <w:pStyle w:val="TextoNormal"/>
      </w:pPr>
      <w:r>
        <w:t>Dicha alteración perturba la consecución de los objetivos antiinflacionistas perseguidos por el Estado mediante el establecimiento de unos topes a los incrementos retributivos de los empleados del sector público.  De tal suerte que la norma autonómica ha de reputarse inconstitucional, no porque ignore esos topes máximos, sino porque modifica la base sobre la que han de computarse.</w:t>
      </w:r>
    </w:p>
    <w:p w:rsidR="0025129F" w:rsidRDefault="0025129F" w:rsidP="0025129F">
      <w:pPr>
        <w:pStyle w:val="TextoNormal"/>
      </w:pPr>
      <w:r>
        <w:t>Esta conclusión no se ve alterada por la mención efectuada por la representación procesal del Consejo de Gobierno del Principado de Asturias del Decreto autonómico 17/1996, de 16 de mayo, por el que se fijan las retribuciones del personal funcionario incluido en las relaciones de puestos de trabajo de la Administración del Principado. Antes al contrario, aun siendo cierto que en dicha norma reglamentaria se prevé un incremento de la totalidad de conceptos retributivos del 3,5 por 100 durante el año 1996, no es menos cierto que esta operación se efectúa partiendo, como expresamente se reconoce en el preámbulo, de las bases presupuestarias sentadas por la Ley 1/1996, es decir, tomando como base las retribuciones totales de 1995 incrementadas en ese 0,8 por 100 al que se refiere el preám</w:t>
      </w:r>
      <w:r>
        <w:lastRenderedPageBreak/>
        <w:t>bulo de la última norma mencionada. De ello resulta que la Comunidad Autónoma del Principado de Asturias ha introducido una medida que afecta al sentido y alcance de las bases estatales fijadas ex art.  149.1.13 CE, tal y como han sido concretadas en este proceso.</w:t>
      </w:r>
    </w:p>
    <w:p w:rsidR="0025129F" w:rsidRDefault="0025129F" w:rsidP="0025129F">
      <w:pPr>
        <w:pStyle w:val="TextoNormal"/>
      </w:pPr>
      <w:r>
        <w:t>Por consiguiente, procede, con estimación del presente recurso, declarar la inconstitucionalidad del inciso final del art. 2.1 a) de la Ley de la Junta General del Principado de Asturias 1/1996, de 26 de abril, de concesión de créditos extraordinarios y suplementos de crédito destinados a atender la actualización de retribuciones, modificación de plantillas y otras obligaciones del personal al servicio de la Administración, Organismos Autónomos y Servicio de Salud del Principado de Asturias, por vulnerar lo dispuesto en el art. 149.1.13 CE.</w:t>
      </w:r>
    </w:p>
    <w:p w:rsidR="0025129F" w:rsidRDefault="0025129F" w:rsidP="0025129F">
      <w:pPr>
        <w:pStyle w:val="TextoNormal"/>
      </w:pPr>
    </w:p>
    <w:p w:rsidR="0025129F" w:rsidRDefault="0025129F" w:rsidP="0025129F">
      <w:pPr>
        <w:pStyle w:val="TextoNormal"/>
      </w:pPr>
      <w:r w:rsidRPr="0025129F">
        <w:rPr>
          <w:rStyle w:val="NumeroAFNegritaCaracter"/>
        </w:rPr>
        <w:t>10</w:t>
      </w:r>
      <w:r>
        <w:t>. Sentado esto debemos avanzar que la declaración de inconstitucionalidad no puede extenderse al art. 1 de la Ley autonómica al no apreciarse la relación de conexión a la que se refiere el Abogado del Estado en el escrito rector de este proceso constitucional cuando precisa que el indicado precepto legal es objeto de impugnación "en cuanto aprueba el suplemento de crédito que sirve de sustento a la medida contenida en su artículo 2 a) y sólo en ese aspecto".</w:t>
      </w:r>
    </w:p>
    <w:p w:rsidR="0025129F" w:rsidRDefault="0025129F" w:rsidP="0025129F">
      <w:pPr>
        <w:pStyle w:val="TextoNormal"/>
      </w:pPr>
      <w:r>
        <w:t>Cierto es que tanto los incrementos retributivos cuya inconstitucionalidad hemos apreciado como la revisión negociada de las relaciones y catálogos de puestos de trabajo del personal al servicio de la Administración del Principado de Asturias están previstos en el Acuerdo alcanzado entre la Administración y los Sindicatos el 15 de marzo de 1995.  Sin embargo, ese origen común no autoriza a concluir que entre ambas medidas exista una inequívoca conexión.</w:t>
      </w:r>
    </w:p>
    <w:p w:rsidR="0025129F" w:rsidRDefault="0025129F" w:rsidP="0025129F">
      <w:pPr>
        <w:pStyle w:val="TextoNormal"/>
      </w:pPr>
      <w:r>
        <w:t>En este sentido debemos señalar que mediante la autorización del crédito extraordinario y suplemento de crédito consignados en el art. 1 de la Ley 1/1996 se pretende hacer frente a las consecuencias retributivas -aquí en su vertiente de provisiones y cuotas sociales y de personal- resultantes de la operación de revisión de las relaciones y catálogos de puestos de trabajo llevada a cabo en aplicación del Acuerdo antes referido. Se trata, por tanto, de una finalidad distinta de la perseguida en el art.  2.1 a) in fine, con la que no aparece vinculada desde una perspectiva lógica -por las razones ya expuestas- ni presupuestaria o cuantitativa.</w:t>
      </w:r>
    </w:p>
    <w:p w:rsidR="0025129F" w:rsidRDefault="0025129F" w:rsidP="0025129F">
      <w:pPr>
        <w:pStyle w:val="TextoNormal"/>
      </w:pPr>
      <w:r>
        <w:t>En consecuencia, no siendo posible apreciar relación de conexión entre ambos preceptos, debemos desestimar en este punto el presente recurso de inconstitucionalidad.</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parcialmente el presente recurso de inconstitucionalidad y, en consecuencia:</w:t>
      </w:r>
    </w:p>
    <w:p w:rsidR="0025129F" w:rsidRDefault="0025129F" w:rsidP="0025129F">
      <w:pPr>
        <w:pStyle w:val="TextoNormal"/>
      </w:pPr>
      <w:r>
        <w:t>1º Declarar inconstitucional y nulo el art. 2.1 a), inciso final -que dice "y de lo estipulado para garantizar el mantenimiento del poder adquisitivo en el Acuerdo entre la Administración del Principado y los Sindicatos para el período 1995/1997"- de la Ley del Principado de Asturias 1/1996, de 26 de abril de concesión de créditos extraordinarios y suple</w:t>
      </w:r>
      <w:r>
        <w:lastRenderedPageBreak/>
        <w:t>mentos de crédito destinados a atender la actualización de retribuciones, modificación de plantillas y otras obligaciones del personal al servicio de la Administración, Organismos Autónomos y Servicio de Salud del Principado de Asturias.</w:t>
      </w:r>
    </w:p>
    <w:p w:rsidR="0025129F" w:rsidRDefault="0025129F" w:rsidP="0025129F">
      <w:pPr>
        <w:pStyle w:val="TextoNormal"/>
      </w:pPr>
      <w:r>
        <w:t>2º Desestimar el recurso de inconstitucionalidad en todo lo demás.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treinta y uno de enero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8" w:name="SENTENCIA_2002_25"/>
      <w:r>
        <w:lastRenderedPageBreak/>
        <w:t>SENTENCIA 25/2002, de 11 de febrero de 2002</w:t>
      </w:r>
    </w:p>
    <w:bookmarkEnd w:id="28"/>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ECLI:ES:TC:2002:25</w:t>
      </w:r>
    </w:p>
    <w:p w:rsidR="0025129F" w:rsidRDefault="0025129F" w:rsidP="0025129F">
      <w:pPr>
        <w:pStyle w:val="SntesisDescriptiva"/>
      </w:pPr>
    </w:p>
    <w:p w:rsidR="0025129F" w:rsidRDefault="0025129F" w:rsidP="0025129F">
      <w:pPr>
        <w:pStyle w:val="SntesisDescriptiva"/>
      </w:pPr>
      <w:r>
        <w:t>Recurso de amparo 603/97. Promovido por Hispano-Francesa de Energía Nuclear, S.A., frente a la Sentencia de la Sala Tercera del Tribunal Supremo que confirmó la multa impuesta por el Consejo de Ministros a causa de un incidente en la central nuclear Vandellós-I.</w:t>
      </w:r>
    </w:p>
    <w:p w:rsidR="0025129F" w:rsidRDefault="0025129F" w:rsidP="0025129F">
      <w:pPr>
        <w:pStyle w:val="SntesisDescriptiva"/>
      </w:pPr>
    </w:p>
    <w:p w:rsidR="0025129F" w:rsidRDefault="0025129F" w:rsidP="0025129F">
      <w:pPr>
        <w:pStyle w:val="SntesisAnaltica"/>
      </w:pPr>
      <w:r>
        <w:t>Vulneración del derecho a la legalidad sancionadora: descripción de conductas con remisión a preceptos reglamentarios que cumple la reserva de ley, pero indeterminación de las sanciones administrativas.</w:t>
      </w:r>
    </w:p>
    <w:p w:rsidR="0025129F" w:rsidRDefault="0025129F" w:rsidP="0025129F">
      <w:pPr>
        <w:pStyle w:val="SntesisAnaltica"/>
      </w:pPr>
    </w:p>
    <w:p w:rsidR="0025129F" w:rsidRDefault="0025129F" w:rsidP="0025129F">
      <w:pPr>
        <w:pStyle w:val="Extracto"/>
      </w:pPr>
      <w:r>
        <w:t>1.</w:t>
      </w:r>
      <w:r>
        <w:tab/>
        <w:t>Hemos reprobado explícitamente en otros pronunciamientos la técnica utilizada por la disposición adicional segunda de la Ley 15/1980, dado que en ella no se establece graduación alguna de las sanciones en función de las infracciones, sino un límite máximo de aquéllas en función del órgano que las impone, dejando a éste un amplísimo margen de apreciación en la fijación del importe de la multa que puede imponer al infractor, a quien no se garantiza mínimamente la seguridad jurídica (STC 207/1990) [FJ 6].</w:t>
      </w:r>
    </w:p>
    <w:p w:rsidR="0025129F" w:rsidRDefault="0025129F" w:rsidP="0025129F">
      <w:pPr>
        <w:pStyle w:val="Extracto"/>
      </w:pPr>
    </w:p>
    <w:p w:rsidR="0025129F" w:rsidRDefault="0025129F" w:rsidP="0025129F">
      <w:pPr>
        <w:pStyle w:val="Extracto"/>
      </w:pPr>
      <w:r>
        <w:t>2.</w:t>
      </w:r>
      <w:r>
        <w:tab/>
        <w:t>La normativa permitía predecir con suficiente grado de certeza que existía una infracción administrativa consistente en la tardanza en la comunicación de un suceso generador de peligro (SSTC 341/1993, 132/2001) [FJ 5].</w:t>
      </w:r>
    </w:p>
    <w:p w:rsidR="0025129F" w:rsidRDefault="0025129F" w:rsidP="0025129F">
      <w:pPr>
        <w:pStyle w:val="Extracto"/>
      </w:pPr>
    </w:p>
    <w:p w:rsidR="0025129F" w:rsidRDefault="0025129F" w:rsidP="0025129F">
      <w:pPr>
        <w:pStyle w:val="Extracto"/>
      </w:pPr>
      <w:r>
        <w:t>3.</w:t>
      </w:r>
      <w:r>
        <w:tab/>
        <w:t>El art. 25.1 CE no excluye que la norma de rango legal contenga remisiones a normas reglamentarias, siempre que en aquélla queden suficientemente determinados los elementos esenciales de la conducta antijurídica [FFJJ 4 y 5].</w:t>
      </w:r>
    </w:p>
    <w:p w:rsidR="0025129F" w:rsidRDefault="0025129F" w:rsidP="0025129F">
      <w:pPr>
        <w:pStyle w:val="Extracto"/>
      </w:pPr>
    </w:p>
    <w:p w:rsidR="0025129F" w:rsidRDefault="0025129F" w:rsidP="0025129F">
      <w:pPr>
        <w:pStyle w:val="Extracto"/>
      </w:pPr>
      <w:r>
        <w:t>4.</w:t>
      </w:r>
      <w:r>
        <w:tab/>
        <w:t>Del carácter mixto de este proceso de amparo deriva un orden lógico de examen de las infracciones sometidas a nuestro conocimiento (STC 14/1999)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603/97, promovido por la sociedad mercantil Hispano-Francesa de Energía Nuclear, S.A. (HIFRENSA), representada por el Procurador de los Tribunales don Francisco Velasco Muñoz-Cuéllar y asistida por el Abogado don Alberto Raventós Soler, contra la Sentencia de 19 de diciembre de 1996 de lo Contencioso-Administrativo del Tribunal Supremo, que desestimó el recurso contencioso- administrativo interpuesto contra el Acuerdo del Consejo de Ministros de 7 de febrero de 1992, confirmatorio del Acuerdo del mismo órgano de 3 de mayo de 1991, por el que se impuso a la recurrente una multa de setenta millones de pesetas. Han intervenido el Abogado del Estado y el Ministerio Fiscal. Ha sido Ponente el Magistrado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Juzgado de guardia el 12 de febrero de 1997, registrado en este Tribunal el día 15 siguiente, el Procurador de los Tribunales don Francisco Velasco Muñoz-Cuéllar, en nombre y representación de la empresa Hispano-Francesa de Energía Nuclear, S.A. (HIFRENSA), interpuso recurso de amparo contra la resolución judicial y los actos administrativos citados en el encabezamiento de la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y relevantes para la resolución del caso son los siguientes: </w:t>
      </w:r>
    </w:p>
    <w:p w:rsidR="0025129F" w:rsidRDefault="0025129F" w:rsidP="0025129F">
      <w:pPr>
        <w:pStyle w:val="TextoNormal"/>
      </w:pPr>
      <w:r>
        <w:t xml:space="preserve">a) El día 19 de octubre de 1989, a las veintiuna horas y treinta y nueve minutos, tuvo lugar en la central nuclear Vandellós-I (Tarragona) un incendio en uno de los equipos convencionales de la misma, concretamente, en el grupo turboalternador principal número dos. La central comunicó el incidente al Centro de Emergencias del Consejo de Seguridad Nuclear (SALEM) a las veintidós horas y once minutos. Con anterioridad, a las veintiuna horas y cuarenta y seis minutos, la central comunicó el incendio al parque de bomberos de Tarragona. La primera llamada al Centro de Coordinación Operativa de Protección Civil (CECOP) se realizó a las cero horas y un minuto del día 20 de octubre de 1989. </w:t>
      </w:r>
    </w:p>
    <w:p w:rsidR="0025129F" w:rsidRDefault="0025129F" w:rsidP="0025129F">
      <w:pPr>
        <w:pStyle w:val="TextoNormal"/>
      </w:pPr>
      <w:r>
        <w:t xml:space="preserve">b) Como consecuencia del incidente, el Ministro de Industria y Energía, mediante Orden de 27 de noviembre de 1989, impuso a la entidad aquí recurrente una sanción consistente en la suspensión del permiso de explotación definitivo de la Central Nuclear al amparo de lo dispuesto en el art. 92 de la Ley 25/1964, de energía nuclear. Por Orden del Ministerio de Industria y Energía de 31 de julio de 1990 se dejó sin efecto, con carácter definitivo, el permiso de explotación para la central en lo que afecta a la operación a potencia de la misma. </w:t>
      </w:r>
    </w:p>
    <w:p w:rsidR="0025129F" w:rsidRDefault="0025129F" w:rsidP="0025129F">
      <w:pPr>
        <w:pStyle w:val="TextoNormal"/>
      </w:pPr>
      <w:r>
        <w:t xml:space="preserve">c) Con posterioridad a la imposición de estas medidas, y a propuesta del Consejo de Seguridad Nuclear, se incoó por el Ministerio de Industria, Comercio y Energía expediente sancionador como consecuencia del ya mencionado incidente. En el pliego de cargos notificado a la actora se le imputaba un retraso injustificado en el aviso del incidente al SALEM y al CECOP en los siguientes términos: 1) Retraso injustificado en la comunicación del incidente al SALEM y al Gobierno Civil de Tarragona; 2) Comunicación incompleta al SALEM de las circunstancias del incidente, concretamente, falta de información sobre la refrigeración del reactor, y calificación del incidente como categoría I, cuando debió haberse calificado de categoría II; 3) Incumplimiento de la solicitud del Consejo de </w:t>
      </w:r>
      <w:r>
        <w:lastRenderedPageBreak/>
        <w:t xml:space="preserve">Seguridad Nuclear de designar una persona responsable de las comunicaciones con el SALEM y el CECOP; 4) Falta de cumplimentación del impreso sobre “notificación de emergencia nuclear”; 5) La solicitud de apoyo exterior no se efectuó a través de los canales establecidos. Todo ello derivado de lo dispuesto en el plan básico de emergencia nuclear (PBEN) y en el plan de emergencia nuclear de Tarragona (PENTA). </w:t>
      </w:r>
    </w:p>
    <w:p w:rsidR="0025129F" w:rsidRDefault="0025129F" w:rsidP="0025129F">
      <w:pPr>
        <w:pStyle w:val="TextoNormal"/>
      </w:pPr>
      <w:r>
        <w:t xml:space="preserve">d) Tras la pertinente tramitación, dicho expediente sancionador culminó con el Acuerdo del Consejo de Ministros de 3 de mayo de 1991, por el que se imponía a la entidad recurrente una multa de setenta millones de pesetas por considerar que había quedado probado el incumplimiento por aquélla de lo establecido en el plan de emergencia interior y en el plan de emergencia nuclear de la provincia de Tarragona en los aspectos que en la propuesta de resolución se expresaba. </w:t>
      </w:r>
    </w:p>
    <w:p w:rsidR="0025129F" w:rsidRDefault="0025129F" w:rsidP="0025129F">
      <w:pPr>
        <w:pStyle w:val="TextoNormal"/>
      </w:pPr>
      <w:r>
        <w:t xml:space="preserve">e) Contra dicho Acuerdo se interpuso recurso de reposición alegando, entre otros motivos, la falta de tipificación de la conducta sancionada puesto que el art. 91 de la Ley 25/1964, de 29 de abril, reguladora de la energía nuclear, no describía las actuaciones que se consideraban infracciones ni las clasificaba atendiendo a su mayor o menor gravedad. El recurso fue desestimado por Acuerdo del Consejo de Ministros de 7 de febrero de 1992, en cuyos fundamentos jurídicos se reitera que la actuación de la entidad recurrente el día del incidente “supone un retraso en la comunicación inicial a la citada Sala de Emergencia del CSN (SALEM) y un claro incumplimiento de lo establecido en el Plan Básico de Emergencia y en el Plan de Emergencia Nuclear de la Provincia de Tarragona (PENTA), donde se expresa que las emergencias deberán declararse y comunicarse a las Autoridades ‘tan pronto como sea posible’”. En relación a la alegada falta de tipificación, el Acuerdo afirma que la Ley 25/1964, en el art. 91, y el art. 2, c) y d) de la Ley 15/1980, tipifican la infracción cometida puesto que ésta supuso una transgresión de las obligaciones claras y contundentes de “comunicar datos”, “condiciones de seguridad”, o “cumplimiento de las normas y condicionamientos establecidos tanto de tipo general como los particulares de cada instalación”, exigencias que además venían especificadas en el plan de emergencia interior y en el plan de emergencia nuclear de la provincia de Tarragona. </w:t>
      </w:r>
    </w:p>
    <w:p w:rsidR="0025129F" w:rsidRDefault="0025129F" w:rsidP="0025129F">
      <w:pPr>
        <w:pStyle w:val="TextoNormal"/>
      </w:pPr>
      <w:r>
        <w:t>f) Frente a la anterior Resolución, la entidad demandante de amparo interpuso recurso contencioso-administrativo, alegando entre otros motivos vulneración del art. 25.1 CE por entender que el hecho infractor que se le imputó no estaba tipificado en la Ley. El recurso fue desestimado por Sentencia de la Sala Tercera del Tribunal Supremo de 19 de diciembre de 1996, en la que se declara que los actos administrativos impugnados son conformes a Derecho. En el fundamento jurídico tercero, la Sala afirma que la infracción por la que fue sancionada la entidad está tipificada en la Ley puesto que la empresa incumplió los mandatos contenidos en el art. 91 de la citada Ley 25/1964, que obliga a comunicar a la Administración los datos referentes a las condiciones de seguridad técnica o sanitaria del personal, así como los datos referentes a la explotación de las instalaciones nucleares. Por otro lado, la empresa habría incumplido la específica obligación que le incumbía de comunicar el incidente a la Administración mediante la “notificación de emergencias nucleares”, y ni tan siquiera fue diligente en la comunicación de los datos, actitud que supuso un incumplimiento del citado precepto legal, y de lo establecido en el plan básico de emergencia nuclear y en el plan de emergencia nuclear de Tarragona.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entidad demandante de amparo aduce en primer lugar vulneración del art. 25.1 CE por infracción del principio de legalidad sancionadora y del principio de tipicidad de las infracciones administrativas. Señala que el Acuerdo del Consejo de Ministros y la Sentencia impugnada la sancionaron de acuerdo con lo dispuesto en los arts. 91 a 93 de la Ley </w:t>
      </w:r>
      <w:r>
        <w:lastRenderedPageBreak/>
        <w:t xml:space="preserve">25/1964, modificados por el art. 2 d) y la Disposición adicional segunda de la Ley 15/1980, y que el citado art. 91 incumple la garantía material y formal exigida por el art. 25.1 CE, puesto que se limita a enunciar que la infracción de preceptos legales y reglamentarios sobre determinadas materias, como el “registro y comunicación de datos”, será sancionada, remitiendo para su tipificación al PBEN, regulado en la Orden Ministerial de 29 de marzo de 1989, una norma infralegal que carece de la cobertura legal necesaria. No existirían pues, según la recurrente, preceptos legales que tipificaran las infracciones por las que fue sancionada, puesto que el citado art. 91 de la Ley 25/1964 no concreta las obligaciones relativas a la comunicación de datos cuyo incumplimiento constituye una infracción, remitiendo para ello exclusivamente a normas infralegales, como el PBEN, que tipifica una infracción ex novo sin la preceptiva cobertura legal. </w:t>
      </w:r>
    </w:p>
    <w:p w:rsidR="0025129F" w:rsidRDefault="0025129F" w:rsidP="0025129F">
      <w:pPr>
        <w:pStyle w:val="TextoNormal"/>
      </w:pPr>
      <w:r>
        <w:t xml:space="preserve">Alega en segundo lugar vulneración del mismo precepto constitucional (art. 25.1 CE) por infracción del principio de tipicidad de las sanciones impuestas, puesto que la regulación de éstas infringe la garantía material de predeterminación de las sanciones y de la correspondencia necesaria entre éstas y las infracciones, omitiendo cualquier criterio de graduación. Esta infracción no se vería afectada por el hecho de que las repetidas sanciones se hallen en una ley preconstitucional (Ley 25/1964), dado que la tipificación de las infracciones se lleva a cabo con el concurso de otra ley postconstitucional (Ley 15/1980), y de una norma infralegal, también postconstitucional (Orden Ministerial de 29 de marzo de 1989), con lo cual ha de reputarse en su globalidad un régimen sancionador postconstitucional, al que no es aplicable la flexibilización de las exigencias constitucionales del art. 25.1 CE, según la conocida doctrina de este Tribunal. En realidad, el legislador postconstitucional habría reconocido la insuficiencia de dicho régimen al modificarlo mediante la Ley 40/1994, de 30 de diciembre, de ordenación del sistema eléctrico nacional, que tipifica debidamente las infracciones y las sanciones. </w:t>
      </w:r>
    </w:p>
    <w:p w:rsidR="0025129F" w:rsidRDefault="0025129F" w:rsidP="0025129F">
      <w:pPr>
        <w:pStyle w:val="TextoNormal"/>
      </w:pPr>
      <w:r>
        <w:t xml:space="preserve">Se denuncia en tercer lugar vulneración del art. 25.1 CE por infracción del principio non bis in idem al haber sido sancionada la entidad en primer lugar por la Orden Ministerial de 27 de noviembre de 1989, y después mediante el Acuerdo del Consejo de Ministros de 3 de mayo de 1991, existiendo entre ambas sanciones una identidad de sujeto, de hechos y de fundamento. </w:t>
      </w:r>
    </w:p>
    <w:p w:rsidR="0025129F" w:rsidRDefault="0025129F" w:rsidP="0025129F">
      <w:pPr>
        <w:pStyle w:val="TextoNormal"/>
      </w:pPr>
      <w:r>
        <w:t xml:space="preserve">Una cuarta queja se formula por vulneración del art. 25.1 CE, en relación al art. 9.3 CE, por prescripción de la infracción sancionada puesto que la Administración no llevó a cabo ninguna actuación entre el 2 de marzo de 1990, en que la entidad formuló alegaciones frente al pliego de cargos, y el 28 de febrero de 1991, en que se le notificó la propuesta de resolución, sin que pueda entenderse interrumpida tal prescripción por diligencias vacías de contenido dictadas sin conocimiento del interesado. </w:t>
      </w:r>
    </w:p>
    <w:p w:rsidR="0025129F" w:rsidRDefault="0025129F" w:rsidP="0025129F">
      <w:pPr>
        <w:pStyle w:val="TextoNormal"/>
      </w:pPr>
      <w:r>
        <w:t xml:space="preserve">En quinto lugar, se alega vulneración del art. 24.1 CE por haber incurrido la Sentencia del Tribunal Supremo en un vicio de incongruencia omisiva, tanto en relación a los hechos probados, omitiendo que entre el inicio del incidente y el primer aviso al SALEM transcurrieron veintinueve minutos; como en lo referente a las peticiones del recurrente, puesto que nada se dice respecto de la alegada infracción del principio non bis in idem; así como en lo relativo al Derecho aplicable, al no tomar en consideración el nuevo régimen sancionador introducido por la Ley 40/1994, la cual establece criterios de graduación de la sanción impuesta cuya aplicación podría ser más favorable que la normativa aplicada. </w:t>
      </w:r>
    </w:p>
    <w:p w:rsidR="0025129F" w:rsidRDefault="0025129F" w:rsidP="0025129F">
      <w:pPr>
        <w:pStyle w:val="TextoNormal"/>
      </w:pPr>
      <w:r>
        <w:t xml:space="preserve">En último término, se aduce vulneración del art. 24.2 CE por la inexistencia de una segunda instancia jurisdiccional independiente, garantía del orden penal trasladable a la actuación sancionadora de la Administración, dado que únicamente el Tribunal Supremo, en primera y única instancia, ha conocido de la adecuación a Derecho de la sanción impuesta. </w:t>
      </w:r>
    </w:p>
    <w:p w:rsidR="0025129F" w:rsidRDefault="0025129F" w:rsidP="0025129F">
      <w:pPr>
        <w:pStyle w:val="TextoNormal"/>
      </w:pPr>
      <w:r>
        <w:lastRenderedPageBreak/>
        <w:t xml:space="preserve">Subsidiariamente, se alega vulneración del art. 25.1 CE por infracción del principio de proporcionalidad en la imposición de la sanción administrativa, puesto que puede deducirse de la Disposición adicional segunda de la Ley 15/1980 que la sanción de setenta millones de pesetas impuesta a la entidad es una sanción muy grave, en su grado medio, calificación incorrecta si se acude a los nuevos criterios fijados por la Ley 40/1994, que da nueva redacción a los arts. 91 y 92 de la Ley 25/1964. </w:t>
      </w:r>
    </w:p>
    <w:p w:rsidR="0025129F" w:rsidRDefault="0025129F" w:rsidP="0025129F">
      <w:pPr>
        <w:pStyle w:val="TextoNormal"/>
      </w:pPr>
      <w:r>
        <w:t>Con base en los motivos transcritos se solicita que se dicte Sentencia otorgando el amparo, y se declare la nulidad de los Acuerdos impugnados y de la Sentencia del Tribunal Supremo de 19 de diciembre de 1996. Subsidiariamente, se interesa la anulación de esta última, por vulnerar los arts. 24 y 25 CE, retrotrayendo las actuaciones al momento anterior a la votación y fallo de la misma, ordenando que se conceda trámite a las partes para formular alegaciones en relación al nuevo régimen sancionador introducido por la Ley 40/1994.</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23 de marzo de 1998, la Sección Segunda del Tribunal acordó la admisión a trámite de la demanda de amparo y, de acuerdo con lo dispuesto en el art. 51 LOTC, requerir atentamente al Tribunal Supremo para que en el plazo de diez días remitiese testimonio del recurso contencioso-administrativo núm. 6893/92, interesando al propio tiempo que se emplazase a quienes fueron parte en el mencionado proceso, con excepción de la recurrente en amparo, para que pudieran comparecer en el presente proceso.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providencia de la misma fecha, la Sección Segunda del Tribunal acordó formar la oportuna pieza separada para la tramitación del incidente de suspensión, de conformidad con lo dispuesto en el art. 56 LOTC, y otorgar un plazo de tres días a la parte recurrente, al Abogado del Estado y al Ministerio Fiscal para que alegasen lo que estimaren pertinente sobre la suspensión solicitada. </w:t>
      </w:r>
    </w:p>
    <w:p w:rsidR="0025129F" w:rsidRDefault="0025129F" w:rsidP="0025129F">
      <w:pPr>
        <w:pStyle w:val="TextoNormal"/>
      </w:pPr>
      <w:r>
        <w:t>Evacuado el trámite de alegaciones conferido, la Sala Primera del Tribunal dictó Auto de 4 de mayo de 1998 por el que acordó denegar la suspensión de la ejecución del Acuerdo del Consejo de Ministros y de la Sentencia del Tribunal Supremo impugnados.</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escrito registrado en este Tribunal el 29 de abril de 1998, el Abogado del Estado, en la representación que ostenta, se personó en este proceso de amparo, solicitando que se entendieran con él las actuaciones sucesivas.</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la Sección Primera de 4 de mayo de 1998, se tuvieron por recibidas las actuaciones remitidas por la Sala Tercera del Tribunal Supremo y el escrito del Abogado del Estado, a quien se tuvo por personado y parte en el presente recurso. Asimismo, y a tenor de lo dispuesto en el art. 52 LOTC se acordó dar vista de las actuaciones recibidas a la parte recurrente, al Abogado del Estado y al Ministerio Fiscal, por un plazo común de veinte días, para que pudieran presentar las alegaciones que tuvieran por convenientes.</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Abogado del Estado evacuó el trámite de alegaciones conferido mediante escrito registrado en este Tribunal el 26 de mayo de 1998, en el que interesa la desestimación del recurso de amparo con base en los argumentos que resumidamente se exponen a continuación. En relación a la alegada vulneración del principio de legalidad sancionadora del art. 25.1 CE, por no permitir la Ley 25/1964 conocer las conductas y omisiones infractoras, </w:t>
      </w:r>
      <w:r>
        <w:lastRenderedPageBreak/>
        <w:t xml:space="preserve">señala que dicha norma contiene una lista cerrada de infracciones, y su art. 91 efectúa una relación de conductas para cuya tipificación se sirve de las prohibiciones legales y reglamentarias a las que se remite. En concreto, en materia de comunicación de datos, el precepto manda que se comuniquen a la Administración aquéllos referentes a las condiciones de seguridad técnica o sanitaria del personal, así como aquéllos que afectan a la explotación de las instalaciones nucleares. La relativa indeterminación de la Ley sobre los supuestos concretos no excluye la identificación de determinados tipos de conducta como ilegítimas y sancionables porque ello es inferible con un grado absoluto de certeza. Así, el deber de comunicación a la Administración de cualquier evento que interese a los objetivos de la Ley, como la protección de la vida, la salud y hacienda de los ciudadanos, hace previsible la acción sancionadora. </w:t>
      </w:r>
    </w:p>
    <w:p w:rsidR="0025129F" w:rsidRDefault="0025129F" w:rsidP="0025129F">
      <w:pPr>
        <w:pStyle w:val="TextoNormal"/>
      </w:pPr>
      <w:r>
        <w:t xml:space="preserve">En relación a la infracción del principio de predeterminación normativa de las sanciones (art. 25.1 CE), admite que resultaría más adecuado a las exigencias constitucionales una tipificación más precisa en las cuantías, pero señala que no puede exigirse a una Ley preconstitucional el cumplimiento de criterios que no estaban constitucionalmente establecidos en el momento de su promulgación, sin que la posterior modificación del texto legal la convierta en una norma postconstitucional. </w:t>
      </w:r>
    </w:p>
    <w:p w:rsidR="0025129F" w:rsidRDefault="0025129F" w:rsidP="0025129F">
      <w:pPr>
        <w:pStyle w:val="TextoNormal"/>
      </w:pPr>
      <w:r>
        <w:t xml:space="preserve">Tampoco debería ser acogida la queja por vulneración del principio non bis in idem, por no haber sido invocada en la vía judicial previa, y porque no existió propiamente duplicación sancionadora entre la previa suspensión del permiso de explotación y la posterior imposición de la multa. La misma suerte debería correr la alegada vulneración del art. 25.1 CE por la incorrecta aplicación de la prescripción, puesto que se trata de una cuestión ajena a la tutela de los derechos fundamentales. </w:t>
      </w:r>
    </w:p>
    <w:p w:rsidR="0025129F" w:rsidRDefault="0025129F" w:rsidP="0025129F">
      <w:pPr>
        <w:pStyle w:val="TextoNormal"/>
      </w:pPr>
      <w:r>
        <w:t xml:space="preserve">Señala el Abogado del Estado que la denunciada incongruencia omisiva en la que habría incurrido la Sentencia impugnada no es tal sino un desajuste entre el razonamiento fáctico que el demandante quería ver como base de la Sentencia y el que ésta finalmente atendió. Por otra parte, y en relación a la inaplicación del régimen supuestamente más favorable de la Ley 40/1994, afirma que se trata de una cuestión relativa a la eventual proyección retroactiva de las normas sancionadoras más favorables, que no integra el requisito procesal de la congruencia. </w:t>
      </w:r>
    </w:p>
    <w:p w:rsidR="0025129F" w:rsidRDefault="0025129F" w:rsidP="0025129F">
      <w:pPr>
        <w:pStyle w:val="TextoNormal"/>
      </w:pPr>
      <w:r>
        <w:t>En cuanto a la infracción del art. 24.2 CE por la inexistencia de una segunda instancia jurisdiccional, aduce el Abogado del Estado que según nuestra jurisprudencia se trata de una garantía que atañe exclusivamente al proceso penal. Finalmente, la denunciada vulneración del art. 25.1 CE por infracción del principio de proporcionalidad tampoco debería acogerse por cuanto tal principio se invoca sin conexión con otros preceptos constitucionales, basándose exclusivamente en una indebida apreciación de los hechos por parte del Tribunal Supremo y en una interpretación de las previsiones sancionadoras de la Ley 40/1994.</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Ministerio Fiscal presentó su escrito de alegaciones el 28 de mayo de 1998, en el que, después de señalar el carácter mixto del presente amparo, pasa a analizar los diversos motivos alegados por la entidad recurrente, concluyendo con la solicitud de estimación del recurso por vulneración del derecho a la legalidad sancionadora. </w:t>
      </w:r>
    </w:p>
    <w:p w:rsidR="0025129F" w:rsidRDefault="0025129F" w:rsidP="0025129F">
      <w:pPr>
        <w:pStyle w:val="TextoNormal"/>
      </w:pPr>
      <w:r>
        <w:t xml:space="preserve">A juicio del Fiscal, carece de contenido constitucional la queja por vulneración del derecho a la doble instancia porque el art. 14.5 del Pacto internacional de derechos civiles y políticos lo acoge exclusivamente para el proceso penal, sin cubrir tal norma la extensión al proceso contencioso- administrativo. Tampoco debería acogerse el denunciado vicio de incongruencia omisiva puesto que la no inclusión en los hechos probados de un punto </w:t>
      </w:r>
      <w:r>
        <w:lastRenderedPageBreak/>
        <w:t xml:space="preserve">considerado importante por la recurrente no afecta al derecho a la tutela judicial; por otra parte, la denuncia formulada en su día por infracción del principio non bis in idem debe entenderse desestimada de forma tácita en la Sentencia del Tribunal Supremo; tampoco la ausencia de resolución sobre la posible aplicación retroactiva de la Ley 40/1994 habría comportado incongruencia. </w:t>
      </w:r>
    </w:p>
    <w:p w:rsidR="0025129F" w:rsidRDefault="0025129F" w:rsidP="0025129F">
      <w:pPr>
        <w:pStyle w:val="TextoNormal"/>
      </w:pPr>
      <w:r>
        <w:t xml:space="preserve">Sostiene el Ministerio Fiscal que la denunciada infracción del principio non bis in idem debe ser desestimada por cuanto la medida adoptada por la Orden del Ministerio de Industria no se fundó en la Ley 25/1964, y no tuvo carácter sancionador sino cautelar, a fin de proteger la seguridad de las personas y del medio ambiente. Igualmente debe ser rechazada la denunciada infracción del principio de legalidad por prescripción de la infracción sancionada, puesto que se trata de una cuestión de legalidad ordinaria. Asimismo, la queja por violación de dicho principio desde la perspectiva de la proporcionalidad de la sanción ha de ser desestimada porque tal principio, en abstracto, no se integra en el derecho fundamental a la legalidad sancionadora. </w:t>
      </w:r>
    </w:p>
    <w:p w:rsidR="0025129F" w:rsidRDefault="0025129F" w:rsidP="0025129F">
      <w:pPr>
        <w:pStyle w:val="TextoNormal"/>
      </w:pPr>
      <w:r>
        <w:t>Por el contrario, el Ministerio Fiscal entiende que sí se produjo una infracción del principio de legalidad sancionadora por la carencia de determinación legal del núcleo esencial de la infracción por la que se sancionó a la recurrente, puesto que la descripción de dicha infracción que se hace en el art. 91 de la Ley de 25/1964 y en el Decreto 2869/1972, de 21 de julio, por el que se aprueba el Reglamento sobre instalaciones nucleares y radiactivas, impiden al interesado conocer con anticipación qué conductas pueden ser sancionadas, infringiendo la seguridad jurídica. Igualmente debería ser estimado este motivo por cuanto la Disposición adicional segunda de la Ley 15/1980, que modificó la Ley de 25/1964, no hace mención a la posible relación entre la gravedad de la infracción y la sanción resultante, de modo que el administrado ignora a priori la sanción que pudiera corresponderle según el tipo de infracción.</w:t>
      </w:r>
    </w:p>
    <w:p w:rsidR="0025129F" w:rsidRDefault="0025129F" w:rsidP="0025129F">
      <w:pPr>
        <w:pStyle w:val="TextoNormal"/>
      </w:pPr>
    </w:p>
    <w:p w:rsidR="0025129F" w:rsidRDefault="0025129F" w:rsidP="0025129F">
      <w:pPr>
        <w:pStyle w:val="TextoNormal"/>
      </w:pPr>
      <w:r w:rsidRPr="0025129F">
        <w:rPr>
          <w:rStyle w:val="NumeroAFNegritaCaracter"/>
        </w:rPr>
        <w:t>10</w:t>
      </w:r>
      <w:r>
        <w:t>. En su escrito de alegaciones registrado en este Tribunal el 3 de junio de 1998, la representación procesal de la entidad recurrente en amparo da por reproducidos los argumentos contenidos en la demanda, insistiendo en que la privación de un doble grado de control jurisdiccional de la sanción impuesta resulta atentatoria al derecho a la tutela judicial efectiva consagrado en el art. 24.2 CE, en relación con el art. 14.4 del Pacto internacional de derechos civiles y políticos de 1966, interpretado el primero a la luz del art. 6 del Convenio europeo para la protección de los derechos humanos y libertades fundamentales y la doctrina sobre el mismo del Tribunal Europeo de Derechos Humanos. Por ello, entiende que esa exclusión del doble control debe conducir a una mayor extensión del ámbito del enjuiciamiento que corresponde a este Tribunal en los recursos de amparo.</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24 de enero de 2002 se señaló para votación y fallo de la presente Sentencia el 28 siguiente del mismo mes y año, día en el que se inició el trámite que ha finalizado hoy.</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presente recurso de amparo tiene carácter mixto: por un lado se dirige contra el Acuerdo del Consejo de Ministros de 7 de febrero de 1992, confirmatorio del Acuerdo de 3 de mayo de 1991, por el que se sancionó a la recurrente con multa de setenta millones de pesetas; por otro, el amparo se impetra respecto de la Sentencia de 19 de diciembre de </w:t>
      </w:r>
      <w:r>
        <w:lastRenderedPageBreak/>
        <w:t>1996 de la Sala Tercera del Tribunal Supremo, que desestimó el recurso contencioso- administrativo contra el primero de los citados Acuerdos, confirmando la sanción impuesta.</w:t>
      </w:r>
    </w:p>
    <w:p w:rsidR="0025129F" w:rsidRDefault="0025129F" w:rsidP="0025129F">
      <w:pPr>
        <w:pStyle w:val="TextoNormal"/>
      </w:pPr>
      <w:r>
        <w:t>La demandante imputa a las resoluciones administrativas sancionadoras, y a la Sentencia que las confirma, cinco vulneraciones del art.  25.1 CE. La primera, por infracción del principio de legalidad sancionadora y del principio de tipicidad de las infracciones administrativas, pues la multa se impuso en aplicación de lo dispuesto en los arts. 91 a 93 de la Ley 25/1964, modificados por el art. 2 d) y la Disposición adicional segunda de la Ley 15/1980, preceptos que incumplirían la garantía material (tipicidad) y formal (reserva de Ley) exigida por el art. 25.1 CE. En concreto, se alega que el art.  91 de la Ley 25/1964 se limita a enunciar que la infracción de preceptos legales y reglamentarios sobre “registro y comunicación de datos” será sancionada gubernativamente, remitiendo para su tipificación a una norma infralegal, el Plan básico de emergencia nuclear (PBEN), regulado en la Orden Ministerial de 29 de marzo de 1989.</w:t>
      </w:r>
    </w:p>
    <w:p w:rsidR="0025129F" w:rsidRDefault="0025129F" w:rsidP="0025129F">
      <w:pPr>
        <w:pStyle w:val="TextoNormal"/>
      </w:pPr>
      <w:r>
        <w:t>La segunda vulneración del art. 25.1 CE se habría producido por infracción del principio de la predeterminación normativa de las sanciones impuestas, ya que su regulación incumpliría la garantía material de la configuración precisa de las sanciones y de la correspondencia necesaria entre éstas y las infracciones, omitiendo cualquier criterio de graduación.</w:t>
      </w:r>
    </w:p>
    <w:p w:rsidR="0025129F" w:rsidRDefault="0025129F" w:rsidP="0025129F">
      <w:pPr>
        <w:pStyle w:val="TextoNormal"/>
      </w:pPr>
      <w:r>
        <w:t>La tercera vulneración del art. 25.1 CE la funda la recurrente en la infracción del principio non bis in idem por haber sido doblemente sancionada: por la Orden Ministerial de 27 de noviembre de 1989, que acordaba la suspensión del permiso de explotación definitivo de la central nuclear, que ya era una sanción, y mediante el Acuerdo del Consejo de Ministros aquí impugnado, existiendo entre ambas sanciones una identidad de sujeto, de hechos y de fundamento.</w:t>
      </w:r>
    </w:p>
    <w:p w:rsidR="0025129F" w:rsidRDefault="0025129F" w:rsidP="0025129F">
      <w:pPr>
        <w:pStyle w:val="TextoNormal"/>
      </w:pPr>
      <w:r>
        <w:t>La cuarta vulneración del art. 25.1 CE se denuncia en relación con el art. 9.3 CE, por no haberse apreciado la prescripción de la infracción sancionada, que habría tenido lugar por la inactividad de la Administración entre el 2 de marzo de 1990, en que la entidad formuló alegaciones frente al pliego de cargos, y el 28 de febrero de 1991, en que se le notificó la propuesta de resolución.</w:t>
      </w:r>
    </w:p>
    <w:p w:rsidR="0025129F" w:rsidRDefault="0025129F" w:rsidP="0025129F">
      <w:pPr>
        <w:pStyle w:val="TextoNormal"/>
      </w:pPr>
      <w:r>
        <w:t>Finalmente, y de forma subsidiaria, se denuncia una quinta vulneración del art. 25.1 CE por infracción del principio de proporcionalidad en la aplicación de la sanción administrativa, puesto que según la recurrente puede deducirse de la Disposición adicional segunda de la Ley 15/1980, de 22 de abril, de creación del Consejo de Seguridad Nuclear, que la sanción de setenta millones de pesetas impuesta a la entidad es una sanción muy grave, en su grado medio, calificación incorrecta si se acuden a los nuevos criterios fijados por la Ley 40/1994, de 30 de diciembre, de ordenación del sistema eléctrico nacional, que da nueva redacción a los arts. 91 y 92 de la Ley 25/1964, de 29 de abril, reguladora de la energía nuclear.</w:t>
      </w:r>
    </w:p>
    <w:p w:rsidR="0025129F" w:rsidRDefault="0025129F" w:rsidP="0025129F">
      <w:pPr>
        <w:pStyle w:val="TextoNormal"/>
      </w:pPr>
      <w:r>
        <w:t>La demandante imputa a la Sentencia del Tribunal Supremo la vulneración del art. 24.1 CE por haber incurrido en un vicio de incongruencia omisiva en tres extremos: en relación con los hechos probados, omitiendo que entre el inicio del incidente y el primer aviso al Centro de Emergencias del Consejo de Seguridad Nuclear (SALEM) transcurrieron veintinueve minutos, en lo referente a las peticiones del recurrente, puesto que nada se dice respecto de la alegada infracción del principio non bis in idem, y en lo relativo al Derecho aplicable, al no tomar en consideración el nuevo régimen sancionador introducido por la Ley 40/1994, la cual establece criterios de graduación de la sanción impuesta cuya aplicación podría ser más favorable que la de la normativa anterior.</w:t>
      </w:r>
    </w:p>
    <w:p w:rsidR="0025129F" w:rsidRDefault="0025129F" w:rsidP="0025129F">
      <w:pPr>
        <w:pStyle w:val="TextoNormal"/>
      </w:pPr>
      <w:r>
        <w:lastRenderedPageBreak/>
        <w:t>Por último, se aduce vulneración del art. 24.2 CE por la inexistencia de una doble instancia jurisdiccional revisora de la sanción, garantía del orden penal trasladable a la actuación sancionadora de la Administración, de acuerdo con las normas internacionales sobre derechos y libertades.</w:t>
      </w:r>
    </w:p>
    <w:p w:rsidR="0025129F" w:rsidRDefault="0025129F" w:rsidP="0025129F">
      <w:pPr>
        <w:pStyle w:val="TextoNormal"/>
      </w:pPr>
      <w:r>
        <w:t>El Abogado del Estado propone la desestimación de la demanda, rechazando todas las quejas de la recurrente. A su juicio, no se habría vulnerado el principio de legalidad sancionadora (art. 25.1 CE) puesto que el art. 91 de la Ley 25/1964 tipifica las conductas en materia de comunicación de datos a la Administración con un grado absoluto de certeza, especialmente los referentes a las condiciones de seguridad técnica o sanitaria del personal.  Asimismo, señala que no pueden exigirse a una Ley preconstitucional las garantías de predeterminación normativa que la vigente Constitución establece respecto de las cuantías de las sanciones. Por otro lado, debería rechazarse el motivo relativo al principio de proporcionalidad puesto que se invoca sin conexión con otros preceptos constitucionales.</w:t>
      </w:r>
    </w:p>
    <w:p w:rsidR="0025129F" w:rsidRDefault="0025129F" w:rsidP="0025129F">
      <w:pPr>
        <w:pStyle w:val="TextoNormal"/>
      </w:pPr>
      <w:r>
        <w:t>Según el Abogado del Estado, tampoco debería acogerse la vulneración del principio non bis in idem, por no haberse producido duplicación de sanciones; ni la queja por prescripción, por tratarse de una cuestión ajena a los derechos fundamentales; ni la infracción de la garantía de una doble instancia, que abarcaría solo al proceso penal.</w:t>
      </w:r>
    </w:p>
    <w:p w:rsidR="0025129F" w:rsidRDefault="0025129F" w:rsidP="0025129F">
      <w:pPr>
        <w:pStyle w:val="TextoNormal"/>
      </w:pPr>
      <w:r>
        <w:t>Finalmente, entiende que la Sentencia del Tribunal Supremo no incurrió en incongruencia omisiva por no incluir un determinado hecho en el razonamiento fáctico, ni al omitir una referencia a la aplicación de la Ley 40/1994, supuestamente más favorable.</w:t>
      </w:r>
    </w:p>
    <w:p w:rsidR="0025129F" w:rsidRDefault="0025129F" w:rsidP="0025129F">
      <w:pPr>
        <w:pStyle w:val="TextoNormal"/>
      </w:pPr>
      <w:r>
        <w:t>El Ministerio Fiscal, por su parte, interesa la estimación del amparo por considerar que se vulneró el principio de legalidad sancionadora al carecer de determinación legal el núcleo esencial de la infracción por la que se sancionó a la recurrente, puesto que su descripción en el art. 91 de la Ley 25/1964 y en el Decreto 2869/1972 impiden al interesado conocer las conductas sancionables. Asimismo, entiende que la Disposición adicional segunda de la Ley 15/1980, que modificó la Ley 25/1964, no establece una relación entre la gravedad de la infracción y la sanción resultante. El Fiscal propone desestimar los restantes motivos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Del carácter mixto de este proceso de amparo y habida cuenta de la petición principal del suplico de la demanda que lo ha generado, deriva (SSTC 207/1990, de 17 de diciembre, FJ 1; 219/1991, de 25 de noviembre, FF JJ 1 y 2, y 1/2001, de 15 de enero, FF JJ 2 y 3) un “orden lógico de examen de las infracciones sometidas a nuestro conocimiento” (STC 14/1999, de 22 de febrero, FJ 2) que conduce, ante todo, al estudio de las alegadas vulneraciones del “contenido esencial del principio de legalidad del derecho estatal sancionador” (STC 22/1990, de 15 de febrero, FJ 7), pues la recurrente entiende que tanto los actos administrativos como la Sentencia aquí impugnados vulneran la doble garantía material y formal que en materia sancionadora consagra el art.  25.1 CE.</w:t>
      </w:r>
    </w:p>
    <w:p w:rsidR="0025129F" w:rsidRDefault="0025129F" w:rsidP="0025129F">
      <w:pPr>
        <w:pStyle w:val="TextoNormal"/>
      </w:pPr>
      <w:r>
        <w:t xml:space="preserve">Para determinar si efectivamente se produjo tal infracción, conviene recordar algunos datos del procedimiento sancionador y del posterior proceso contencioso- administrativo. La actora, entidad mercantil que desde 1982 gozaba de permiso para la explotación de la central nuclear de Vandellós-I, fue sancionada mediante Acuerdo del Consejo de Ministros de 3 de mayo de 1991 con multa de setenta millones de pesetas por incumplimiento de lo establecido en el plan básico de emergencia nuclear y en el plan de emergencia nuclear de la provincia de Tarragona durante el incendio que se produjo en dicha instalación el 19 de octubre de 1989. La infracción consistió, concretamente, en el retraso injustificado en la comunicación de información al Centro de Emergencia del Consejo de Seguridad </w:t>
      </w:r>
      <w:r>
        <w:lastRenderedPageBreak/>
        <w:t>Nuclear y al Centro de Coordinación Operativa de Protección Civil (CECOP), así como la falta de cumplimentación del impreso sobre “notificación de emergencia nuclear”.</w:t>
      </w:r>
    </w:p>
    <w:p w:rsidR="0025129F" w:rsidRDefault="0025129F" w:rsidP="0025129F">
      <w:pPr>
        <w:pStyle w:val="TextoNormal"/>
      </w:pPr>
      <w:r>
        <w:t>La anterior resolución fue confirmada por el posterior Acuerdo de 7 de febrero de 1992, donde se señala que, de conformidad con el art. 91 de la Ley 25/1964, y el art.  2, c) y d) de la Ley 15/1980, la infracción cometida supuso una transgresión de las obligaciones claras y contundentes de “comunicar datos”, “condiciones de seguridad”, o “cumplimiento de las normas y condicionamientos establecidos tanto de tipo general como los particulares de cada instalación”, exigencias especificadas en el plan de emergencia interior y en el plan de emergencia nuclear de la provincia de Tarragona (PENTA).</w:t>
      </w:r>
    </w:p>
    <w:p w:rsidR="0025129F" w:rsidRDefault="0025129F" w:rsidP="0025129F">
      <w:pPr>
        <w:pStyle w:val="TextoNormal"/>
      </w:pPr>
      <w:r>
        <w:t>Finalmente, la Sentencia del Tribunal Supremo declaró ajustada a Derecho la sanción por entender que la recurrente incumplió los mandatos del art. 91 de la Ley 25/1964, así como lo establecido en el PBEN y el PENTA, que obligan a comunicar a la Administración los datos referentes a las condiciones de seguridad técnica o sanitaria del personal, y los datos referentes a la explotación de las instalaciones nucleares. La empresa habría incumplido la específica obligación de comunicar el incidente mediante la “notificación de emergencias nucleares” y no habría mantenido una actitud de debida diligencia en la notificación de los datos.</w:t>
      </w:r>
    </w:p>
    <w:p w:rsidR="0025129F" w:rsidRDefault="0025129F" w:rsidP="0025129F">
      <w:pPr>
        <w:pStyle w:val="TextoNormal"/>
      </w:pPr>
    </w:p>
    <w:p w:rsidR="0025129F" w:rsidRDefault="0025129F" w:rsidP="0025129F">
      <w:pPr>
        <w:pStyle w:val="TextoNormal"/>
      </w:pPr>
      <w:r w:rsidRPr="0025129F">
        <w:rPr>
          <w:rStyle w:val="NumeroAFNegritaCaracter"/>
        </w:rPr>
        <w:t>3</w:t>
      </w:r>
      <w:r>
        <w:t>. Así las cosas, será de subrayar que las normas principales que han servido de fundamento para la imposición de la sanción atribuida a la recurrente en amparo son el art.  91 de la Ley 25/1964, de 29 de abril, sobre energía nuclear, la Disposición adicional segunda de la Ley 15/1980, de 22 de abril, de creación del Consejo de Seguridad Nuclear, así como lo establecido en el plan básico de emergencia nuclear, publicado por Orden Ministerial de 29 de marzo de 1989.</w:t>
      </w:r>
    </w:p>
    <w:p w:rsidR="0025129F" w:rsidRDefault="0025129F" w:rsidP="0025129F">
      <w:pPr>
        <w:pStyle w:val="TextoNormal"/>
      </w:pPr>
      <w:r>
        <w:t>El art. 91 de la Ley 25/1964 dispone: “La infracción de los preceptos legales y reglamentarios sobre extracción, tratamiento y obtención de minerales radiactivos, registro y comunicación de datos, métodos de trabajo, condiciones de seguridad técnica o sanitaria del personal, manipulación, transporte, utilización y desecho de materiales e isótopos radiactivos, así como de los referentes al montaje y explotación de las instalaciones nucleares o de cualquier otra instalación que produzca o trabaje con dispositivos que generen radiaciones ionizantes, será sancionada gubernativamente”.</w:t>
      </w:r>
    </w:p>
    <w:p w:rsidR="0025129F" w:rsidRDefault="0025129F" w:rsidP="0025129F">
      <w:pPr>
        <w:pStyle w:val="TextoNormal"/>
      </w:pPr>
      <w:r>
        <w:t>Por su parte, la Ley 15/1980 modificó los arts. 92 y 93 de la anterior, estableciendo en su art. 2 d) la competencia del Consejo de Seguridad Nuclear para proponer la “imposición de las sanciones legalmente establecidas sobre energía nuclear incluida la anulación de licencias, permisos o autorizaciones” y prescribiendo en su Disposición adicional segunda que: “la cuantía de las sanciones a que hace referencia el artículo segundo, apartado d) de la presente Ley y la competencia de la imposición de las mismas será la siguiente: - Autoridades y Jefes de Servicio provinciales regionales, hasta quinientas mil pesetas; - Directores generales y Autoridades de nivel equivalente, hasta cinco millones de pesetas; - Ministro de Industria y Energía, hasta diez millones de pesetas; - Consejo de Ministros, hasta cien millones de pesetas”.</w:t>
      </w:r>
    </w:p>
    <w:p w:rsidR="0025129F" w:rsidRDefault="0025129F" w:rsidP="0025129F">
      <w:pPr>
        <w:pStyle w:val="TextoNormal"/>
      </w:pPr>
      <w:r>
        <w:t>Finalmente, el plan básico de emergencia nuclear, aprobado por el Consejo de Ministros, en su reunión del día 3 de marzo de 1989 y publicado en el Boletín Oficial del Estado núm. 89/1989, de 14 de abril (arts. 8 y 11 de la Ley 2/1985, de 21 de enero, sobre protección civil y STC 133/1990, de 19 de julio) dispone que “inmediatamente después de la identificación del suceso iniciador, el Director de Emergencia efectuará su notificación al CECOP y al SALEM” (apartado III.1.1).</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Sobre esta base, importa recordar nuestra consolidada jurisprudencia sobre las exigencias del art. 25.1 de la Constitución en el ámbito sancionador administrativo. Para ello, debemos comenzar señalando que el derecho fundamental enunciado en aquel precepto incorpora la regla nullum crimen nulla poena sine lege, extendiéndola incluso al ordenamiento sancionador administrativo, y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(por todas, STC 42/1987, de 7 de abril, FJ 2).</w:t>
      </w:r>
    </w:p>
    <w:p w:rsidR="0025129F" w:rsidRDefault="0025129F" w:rsidP="0025129F">
      <w:pPr>
        <w:pStyle w:val="TextoNormal"/>
      </w:pPr>
      <w:r>
        <w:t>A partir de ahí, hemos precisado que la garantía material contenida en aquel precepto tiene un alcance absoluto, como se afirma en la Sentencia citada, de manera que la norma punitiva aplicable ha de permitir predecir con suficiente grado de certeza las conductas que constituyen infracción y el tipo y grado de sanción del que puede hacerse merecedor quien la cometa (SSTC 219/1989, de 21 de diciembre, FJ 2; 116/1993, de 29 de marzo, FJ 3; 153/1996, de 30 de septiembre, FJ 3). Por el contrario, la reserva de Ley en este ámbito tendría una eficacia relativa o limitada (SSTC 101/1988, de 8 de junio, FJ 3; 29/1989, de 6 de febrero, FJ 2; 177/1992, de 2 de noviembre, FJ 2), que no excluiría la colaboración reglamentaria en la propia tarea de tipificación de las infracciones y atribución de las correspondientes sanciones, pero sí que tales remisiones hicieran posible una regulación independiente y no claramente subordinada a la Ley (SSTC 83/1984, de 24 de julio, FJ 4; 42/1987, FJ 2; 3/1988, de 21 de enero, FJ 9). Lo que el art. 25.1 CE prohíbe, hemos matizado, es la remisión de la Ley al Reglamento sin una previa determinación de los elementos esenciales de la conducta antijurídica en la propia Ley (SSTC 305/1993, de 25 de octubre, FJ 3; 341/1993, de 18 de noviembre, FJ 10.b; 116/1999, de 17 de junio, FJ 16; 60/2000, de 2 de marzo, FJ 3).</w:t>
      </w:r>
    </w:p>
    <w:p w:rsidR="0025129F" w:rsidRDefault="0025129F" w:rsidP="0025129F">
      <w:pPr>
        <w:pStyle w:val="TextoNormal"/>
      </w:pPr>
    </w:p>
    <w:p w:rsidR="0025129F" w:rsidRDefault="0025129F" w:rsidP="0025129F">
      <w:pPr>
        <w:pStyle w:val="TextoNormal"/>
      </w:pPr>
      <w:r w:rsidRPr="0025129F">
        <w:rPr>
          <w:rStyle w:val="NumeroAFNegritaCaracter"/>
        </w:rPr>
        <w:t>5</w:t>
      </w:r>
      <w:r>
        <w:t>. A la luz de esta jurisprudencia, puede afirmarse que en el presente caso no se han incumplido las exigencias del art. 25.1 CE en la tipificación de la infracción.</w:t>
      </w:r>
    </w:p>
    <w:p w:rsidR="0025129F" w:rsidRDefault="0025129F" w:rsidP="0025129F">
      <w:pPr>
        <w:pStyle w:val="TextoNormal"/>
      </w:pPr>
      <w:r>
        <w:t>La entidad recurrente fue sancionada por incumplir los mandatos del art. 91 de la Ley 25/1964, el cual establece que “la infracción de los preceptos legales y reglamentarios” sobre determinadas materias, entre otras, “registro y comunicación de datos” y “condiciones de seguridad técnica o sanitaria del personal”, “será sancionada gubernativamente”; y por incumplir lo establecido en el plan básico de energía nuclear, que dispone: “inmediatamente después de la identificación del suceso iniciador [que pueda conducir a una emergencia], el Director de Emergencia efectuará su notificación al CECOP y al SALEM” (apartado III.1.1).</w:t>
      </w:r>
    </w:p>
    <w:p w:rsidR="0025129F" w:rsidRDefault="0025129F" w:rsidP="0025129F">
      <w:pPr>
        <w:pStyle w:val="TextoNormal"/>
      </w:pPr>
      <w:r>
        <w:t xml:space="preserve">Desde el punto de vista de la garantía material contenida en el art. 25.1 CE, exigible también a normas preconstitucionales (STC 116/1993, FJ 3) como la aquí examinada, hemos declarado que no vulnera la exigencia de lex certa la remisión que el precepto que tipifica las infracciones realice a otras normas que impongan deberes y obligaciones concretas de ineludible cumplimiento, de forma que su conculcación se asuma como elemento definidor de la infracción sancionable misma, siempre que sea asimismo previsible, con suficiente grado de certeza, la consecuencia punitiva derivada de aquel incumplimiento o </w:t>
      </w:r>
      <w:r>
        <w:lastRenderedPageBreak/>
        <w:t>transgresión (SSTC 219/1989, FJ 5; 116/1993, FJ 3). Por lo tanto, el art. 25.1 CE no excluye que la norma de rango legal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(SSTC 3/1988, de 21 de enero, FJ 9; 341/1993, de 18 de noviembre, FJ 10; 60/2000, de 2 de marzo, FJ 3). Como ha expresado concisamente la reciente STC 132/2001, de 8 de junio, el art. 25.1 CE proscribe toda habilitación reglamentaria vacía de contenido material propio (FJ 5).</w:t>
      </w:r>
    </w:p>
    <w:p w:rsidR="0025129F" w:rsidRDefault="0025129F" w:rsidP="0025129F">
      <w:pPr>
        <w:pStyle w:val="TextoNormal"/>
      </w:pPr>
      <w:r>
        <w:t>Pues bien, ningún reproche puede realizarse ex art. 25.1 CE a la remisión que el art. 91 de la Ley 25/1964 hace a normas reglamentarias para integrar el tipo legal de infracción administrativa, pues no puede entenderse que la remisión que efectúa dicha norma a “preceptos legales y reglamentarios” sobre “registro y comunicación de datos” y “condiciones de seguridad técnica o sanitaria del personal” impidiera al interesado conocer las conductas sancionables. El precepto legal, a) describe una conducta claramente consistente en la omisión de la comunicación de datos, y b) concreta que éstos, en lo que ahora importa, se refieran a las condiciones de seguridad técnica y a la explotación de las instalaciones nucleares, elementos ambos perfilados por el plan básico de emergencia nuclear que insistentemente alude a la “detección a tiempo” de anomalías (Presentación, ap. III) y a la notificación a la autoridad competente de los sucesos que puedan producir daños a las personas o sus bienes (ap. I, Bases y I.3.a, Principios), notificación ésta que ha de producirse “inmediatamente” después de la identificación del suceso iniciador (ap. III.1.1), lo que no pasa de ser una obviedad, claramente contenida en una Ley dirigida a proteger vidas, salud y haciendas (art. 1.b) de los gravísimos daños que puede ocasionar un accidente nuclear y que reclaman urgentísimas medidas preventivas.</w:t>
      </w:r>
    </w:p>
    <w:p w:rsidR="0025129F" w:rsidRDefault="0025129F" w:rsidP="0025129F">
      <w:pPr>
        <w:pStyle w:val="TextoNormal"/>
      </w:pPr>
      <w:r>
        <w:t>Así las cosas, sin necesidad de insistir en la muy importante cualificación del personal de las instalaciones nucleares y radiactivas (Título V del Decreto 2869/1972, de 21 de julio), ha de concluirse que la normativa indicada permitía predecir con suficiente grado de certeza que existía una infracción administrativa consistente en la tardanza en la comunicación de un suceso generador de peligro, lo que sin duda incluía el incidente litigioso, dada la descripción que del mismo hace la Sentencia impugnada: “Al producirse el incendio en la Central Nuclear de Vandellós-I, a las 21 horas, 39 minutos, del día 19 de octubre de 1989, en el grupo turboalternador principal, número 2, que determinó la rotura de las tuberías de aceite de lubricación de la turbina y una fuga de hidrógeno de refrigeración del alternador, el personal de turno procedió al inicio de las labores de extinción del incendio inmediatamente. Veinte minutos después, en la Sala de Control se observaron problemas en la regulación automática de la alimentación al cambiador principal de calor, lo que provocaba paradas y arranques alternativos y simultáneos de las bombas de alimentación del agua al cambiador, por bajo nivel en los tanques de alimentación complementarios. También que los tanques de almacenamiento de agua EDOK y de transferencias TFOR, perdían nivel y que la cava empezó a inundarse”. Cuestión distinta y ajena a esta jurisdicción constitucional (art. 44.1.b LOTC) es la relativa al hecho, que la resolución judicial entiende probado, de la inexistencia y tardanza en las distintas comunicaciones del acontecimiento. Ha de concluirse así que el conjunto normativo señalado ofrece un nivel de previsibilidad y certeza que cumple las exigencias de lex certa, y por ello su aplicación a la recurrente no vulneró, en este punto, la garantía material contenida en el art. 25.1 CE.</w:t>
      </w:r>
    </w:p>
    <w:p w:rsidR="0025129F" w:rsidRDefault="0025129F" w:rsidP="0025129F">
      <w:pPr>
        <w:pStyle w:val="TextoNormal"/>
      </w:pPr>
      <w:r>
        <w:t xml:space="preserve">La conclusión anterior hace asimismo inviable la queja por vulneración de la garantía formal del art. 25.1 CE. En efecto, hemos declarado que la reserva de ley contenida en este </w:t>
      </w:r>
      <w:r>
        <w:lastRenderedPageBreak/>
        <w:t>precepto constitucional prohíbe dejar a la potestad reglamentaria, por entero y ex novo, la definición de las conductas susceptibles de sanción (STC 60/2000, FJ 4), circunstancia que no se da en el presente supuesto, pues, incluso prescindiendo de que se trataba de una normativa preconstitucional (SSTC 15/1981, de 7 de mayo, FJ 7; 42/1987, de 7 de abril, FJ 3; y 177/1992, de 1 de diciembre, FJ 3), ha de subrayarse que la norma legal, como hemos afirmado, tipifica los elementos esenciales de la conducta por la que fue sancionada la entidad demandante de amparo. Y aún podría añadirse que las concreciones del plan básico entroncan directamente con la expresa finalidad de la Ley: “proteger vidas, salud y haciendas contra los peligros derivados de la energía nuclear y de los efectos nocivos de las radiaciones ionizantes” (art. 1. b).</w:t>
      </w:r>
    </w:p>
    <w:p w:rsidR="0025129F" w:rsidRDefault="0025129F" w:rsidP="0025129F">
      <w:pPr>
        <w:pStyle w:val="TextoNormal"/>
      </w:pPr>
    </w:p>
    <w:p w:rsidR="0025129F" w:rsidRDefault="0025129F" w:rsidP="0025129F">
      <w:pPr>
        <w:pStyle w:val="TextoNormal"/>
      </w:pPr>
      <w:r w:rsidRPr="0025129F">
        <w:rPr>
          <w:rStyle w:val="NumeroAFNegritaCaracter"/>
        </w:rPr>
        <w:t>6</w:t>
      </w:r>
      <w:r>
        <w:t>. Descartada la queja por vulneración del principio de tipicidad de las infracciones, debemos examinar ahora la relativa a la predeterminación normativa de las sanciones, garantizada asimismo por el art. 25.1 CE. Alega la entidad solicitante de amparo, coincidiendo con ella el Ministerio Fiscal, que la Disposición adicional segunda de la Ley 15/1980, modificativa de los arts. 92 y 93 de la Ley 25/1964, incumple la garantía material de tal predeterminación porque establece la cuantía de aquéllas omitiendo cualquier graduación, fijando sus límites máximos en función de la autoridad competente, y sin ninguna correspondencia con las infracciones, lo cual impide al administrado conocer la sanción que pudiera corresponderle según el tipo de infracción.</w:t>
      </w:r>
    </w:p>
    <w:p w:rsidR="0025129F" w:rsidRDefault="0025129F" w:rsidP="0025129F">
      <w:pPr>
        <w:pStyle w:val="TextoNormal"/>
      </w:pPr>
      <w:r>
        <w:t>Formulada en estos términos, la queja debe ser acogida. En efecto, hemos afirmado que la exigencia material absoluta de predeterminación normativa afecta no sólo a la tipificación de las infracciones, sino también a la definición y, en su caso, graduación o escala de las sanciones imponibles y, como es lógico, a la correlación necesaria entre actos o conductas ilícitas tipificadas y las sanciones consiguientes a las mismas, de manera que el conjunto de las normas punitivas aplicables permita predecir, con suficiente grado de certeza, el tipo y el grado de sanción determinado del que puede hacerse merecedor quien cometa una o más infracciones concretas (STC 219/1989, de 21 de diciembre, FJ 4; 61/1990, de 29 de marzo, FJ 3). Con base en este canon, hemos reprobado explícitamente en otros pronunciamientos la técnica utilizada por la Disposición adicional segunda de la Ley 15/1980, que modificó el art. 93 de la Ley 25/1964, dado que en ella no se establece graduación alguna de las sanciones en función de las infracciones, sino un límite máximo de aquéllas en función del órgano que las impone, dejando a éste un amplísimo margen de apreciación en la fijación del importe de la multa que puede imponer al infractor, a quien no se garantiza mínimamente la seguridad jurídica. Esta técnica legislativa en sí misma infringe directamente el art. 25.1 CE al encomendar por entero a la discrecionalidad judicial o administrativa el establecimiento de la correspondencia necesaria entre los ilícitos y las sanciones (STC 207/1990, de 17 de diciembre, FJ 2), y por ello su aplicación en el presente caso vulneró el derecho a la legalidad sancionadora de la demandante.</w:t>
      </w:r>
    </w:p>
    <w:p w:rsidR="0025129F" w:rsidRDefault="0025129F" w:rsidP="0025129F">
      <w:pPr>
        <w:pStyle w:val="TextoNormal"/>
      </w:pPr>
      <w:r>
        <w:t>Y así lo ha entendido también el propio Tribunal Supremo en las Sentencias de 8 de enero de 1998 y de 2 de diciembre de 1999, relativas precisamente a la aquí examinada Disposición adicional segunda de la Ley 15/1980.</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De lo anterior se concluye que la sanción impuesta a la entidad recurrente en base a la Ley 25/1964 (arts. 92 y 93), y a la Disposición adicional segunda de la Ley 15/1980, infringió el principio de legalidad de las sanciones y por ello los Acuerdos del Consejo de Ministros de 7 de febrero de 1992 y de 3 de mayo de 1991, así como la Sentencia del Tribunal Supremo de 19 de diciembre de 1996 que los confirmó, vulneraron el derecho de la </w:t>
      </w:r>
      <w:r>
        <w:lastRenderedPageBreak/>
        <w:t>demandante a la legalidad sancionadora (art. 25.1 CE). En consecuencia, procedente será el otorgamiento del amparo solicitado, declarando la nulidad de las resoluciones administrativas y de la Sentencia impugnada en el presente recurso, lo que hace innecesario el examen de las restantes quejas formuladas en la demanda.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la entidad Hispano-Francesa de Energía Nuclear, S.A. (HIFRENSA) y, en consecuencia:</w:t>
      </w:r>
    </w:p>
    <w:p w:rsidR="0025129F" w:rsidRDefault="0025129F" w:rsidP="0025129F">
      <w:pPr>
        <w:pStyle w:val="TextoNormal"/>
      </w:pPr>
      <w:r>
        <w:t>1º Reconocer el derecho de la recurrente a la legalidad en materia sancionadora (art. 25.1 CE).</w:t>
      </w:r>
    </w:p>
    <w:p w:rsidR="0025129F" w:rsidRDefault="0025129F" w:rsidP="0025129F">
      <w:pPr>
        <w:pStyle w:val="TextoNormal"/>
      </w:pPr>
      <w:r>
        <w:t>2º Declarar la nulidad de las resoluciones administrativas y la Sentencia impugnadas en el presente recurso.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29" w:name="SENTENCIA_2002_26"/>
      <w:r>
        <w:lastRenderedPageBreak/>
        <w:t>SENTENCIA 26/2002, de 11 de febrero de 2002</w:t>
      </w:r>
    </w:p>
    <w:bookmarkEnd w:id="29"/>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ECLI:ES:TC:2002:26</w:t>
      </w:r>
    </w:p>
    <w:p w:rsidR="0025129F" w:rsidRDefault="0025129F" w:rsidP="0025129F">
      <w:pPr>
        <w:pStyle w:val="SntesisDescriptiva"/>
      </w:pPr>
    </w:p>
    <w:p w:rsidR="0025129F" w:rsidRDefault="0025129F" w:rsidP="0025129F">
      <w:pPr>
        <w:pStyle w:val="SntesisDescriptiva"/>
      </w:pPr>
      <w:r>
        <w:t>Recurso de amparo 2123/97. Promovido por Oper Tenerife, S.A., frente a la Sentencia de la Sala de lo Contencioso-Administrativo del Tribunal Superior de Justicia de Canarias, que desestimó su demanda contra la Comunidad Autónoma sobre multa impuesta por infracción del Reglamento de máquinas recreativas y de azar de Canarias.</w:t>
      </w:r>
    </w:p>
    <w:p w:rsidR="0025129F" w:rsidRDefault="0025129F" w:rsidP="0025129F">
      <w:pPr>
        <w:pStyle w:val="SntesisDescriptiva"/>
      </w:pPr>
    </w:p>
    <w:p w:rsidR="0025129F" w:rsidRDefault="0025129F" w:rsidP="0025129F">
      <w:pPr>
        <w:pStyle w:val="SntesisAnaltica"/>
      </w:pPr>
      <w:r>
        <w:t>Vulneración del derecho a la legalidad sancionadora: infracción administrativa que carece de cobertura legal.</w:t>
      </w:r>
    </w:p>
    <w:p w:rsidR="0025129F" w:rsidRDefault="0025129F" w:rsidP="0025129F">
      <w:pPr>
        <w:pStyle w:val="SntesisAnaltica"/>
      </w:pPr>
    </w:p>
    <w:p w:rsidR="0025129F" w:rsidRDefault="0025129F" w:rsidP="0025129F">
      <w:pPr>
        <w:pStyle w:val="Extracto"/>
      </w:pPr>
      <w:r>
        <w:t>1.</w:t>
      </w:r>
      <w:r>
        <w:tab/>
        <w:t>La conducta consistente en «no respetar el plazo mínimo de permanencia» de las máquinas de juego en los locales donde estuviera autorizada su instalación, calificada reglamentariamente como infracción muy grave, constituye una regulación independiente, no claramente subordinada a la Ley, del tipo de una infracción administrativa o, lo que es igual, la degradación de la garantía esencial ex art. 25 CE que el principio de reserva de ley entraña [FJ 4].</w:t>
      </w:r>
    </w:p>
    <w:p w:rsidR="0025129F" w:rsidRDefault="0025129F" w:rsidP="0025129F">
      <w:pPr>
        <w:pStyle w:val="Extracto"/>
      </w:pPr>
    </w:p>
    <w:p w:rsidR="0025129F" w:rsidRDefault="0025129F" w:rsidP="0025129F">
      <w:pPr>
        <w:pStyle w:val="Extracto"/>
      </w:pPr>
      <w:r>
        <w:t>2.</w:t>
      </w:r>
      <w:r>
        <w:tab/>
        <w:t>La Ley sancionadora ha de contener los elementos esenciales de la conducta antijurídica y la naturaleza y límites de las sanciones a imponer, correspondiendo al Reglamento, en su caso, el desarrollo y precisión de los tipos de infracciones previamente establecidos por la Ley (STC 132/2001) [FJ 3].</w:t>
      </w:r>
    </w:p>
    <w:p w:rsidR="0025129F" w:rsidRDefault="0025129F" w:rsidP="0025129F">
      <w:pPr>
        <w:pStyle w:val="Extracto"/>
      </w:pPr>
    </w:p>
    <w:p w:rsidR="0025129F" w:rsidRDefault="0025129F" w:rsidP="0025129F">
      <w:pPr>
        <w:pStyle w:val="Extracto"/>
      </w:pPr>
      <w:r>
        <w:t>3.</w:t>
      </w:r>
      <w:r>
        <w:tab/>
        <w:t>La simple acotación de una materia (en este caso, juegos y apuestas) o el carácter residual de un tipo de infracción (respecto de otros tipos definidos con precisión en la misma Ley) no permiten identificar, en la Ley, qué conductas serán sancionables (STC 60/2000)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2123/97, promovido por la entidad Oper Tenerife, S.A., representada por el Procurador de los Tribunales don Juan Antonio García San Miguel y </w:t>
      </w:r>
      <w:r>
        <w:lastRenderedPageBreak/>
        <w:t>Orueta y asistida de la Letrada doña Alicia González Alonso, contra la Sentencia de la Sala de lo Contencioso- Administrativo del Tribunal Superior de Justicia de Canarias, de 21 de abril de 1997, recaída en el recurso contencioso-administrativo núm. 55/96, y contra la Resolución de 20 de noviembre de 1995 del Consejero de la Presidencia y Relaciones Institucionales del Gobierno de Canarias. Han comparecido el Ministerio Fiscal y la Comunidad Autónoma de Canarias, representada y defendida por la Letrada doña Begoña Ibarra García.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que tuvo entrada en este Tribunal el día 20 de mayo de 1997, el Procurador de los Tribunales don Juan Antonio García San Miguel y Orueta, en nombre y representación de la entidad Oper Tenerife, S.A., interpuso recurso de amparo contra la Sentencia dictada el 21 de abril de 1997 por la Sala de lo Contencioso-Administrativo del Tribunal Superior de Justicia de Canarias en el recurso contencioso- administrativo núm. 55/96, que desestima el recurso formulado contra la Resolución de 13 de noviembre de 1995 del Consejero de la Presidencia y Relaciones Institucionales del Gobierno de Canarias, la cual había impuesto una sanción pecuniaria a dicha entidad por infracción del art. 39.23 del Reglamento de máquinas recreativas y de azar de Canarias, así como contra esta última Resolución.</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se basa, en esencia, en los siguientes hechos: </w:t>
      </w:r>
    </w:p>
    <w:p w:rsidR="0025129F" w:rsidRDefault="0025129F" w:rsidP="0025129F">
      <w:pPr>
        <w:pStyle w:val="TextoNormal"/>
      </w:pPr>
      <w:r>
        <w:t xml:space="preserve">a) En enero de 1991 la empresa operadora Oper Tenerife, S.A., fue autorizada por la Dirección General de Justicia e Interior del Gobierno de Canarias, mediante diligencia en la guía de circulación, para explotar en los locales autorizados una máquina recreativa tipo “B” (TF-B-11677) de su propiedad por un plazo de cuatro años. La citada entidad instaló dicha máquina en un establecimiento hostelero de Tenerife (“Bar Manolo”, sito en Vilaflor, calle Santa Catalina, núm. 9) formalizando con el titular del local el correspondiente boletín de instalación que fue debidamente cotejado, verificado y sellado en la Consejería de Presidencia el 19 de enero de 1993, con un período de validez de cuatro años. </w:t>
      </w:r>
    </w:p>
    <w:p w:rsidR="0025129F" w:rsidRDefault="0025129F" w:rsidP="0025129F">
      <w:pPr>
        <w:pStyle w:val="TextoNormal"/>
      </w:pPr>
      <w:r>
        <w:t xml:space="preserve">b) Mediante requerimiento notarial de 25 de noviembre de 1994, el titular del establecimiento hostelero comunicó a Oper Tenerife, S.A., su intención de no prorrogar el plazo de permanencia de la citada máquina recreativa en su local. Como consecuencia de que en febrero de 1995 dicho requerimiento fuera presentado en la Administración, el 21 de marzo de 1995 funcionarios de la inspección del juego de la Comunidad Autónoma de Canarias levantaron acta en la que se ponía de manifiesto que, pese al mencionado requerimiento notarial, aún se encontraba ubicada en el citado local la máquina recreativa tipo “B”, TF-B-11677. El 10 de abril de 1995 la Administración autonómica inició los trámites para la revocación del boletín de situación de la máquina de la titularidad de la recurrente. </w:t>
      </w:r>
    </w:p>
    <w:p w:rsidR="0025129F" w:rsidRDefault="0025129F" w:rsidP="0025129F">
      <w:pPr>
        <w:pStyle w:val="TextoNormal"/>
      </w:pPr>
      <w:r>
        <w:t xml:space="preserve">c) Mediante providencia de 11 de abril de 1995, la Viceconsejería para las Administraciones Públicas ordenó la incoación de un expediente sancionador a Oper Tenerife, S.A., (núm. 39/1995) por infracción de la normativa vigente sobre el juego, procediéndose a estos efectos a nombrar instructor del procedimiento y a formular el correspondiente pliego de cargos, que fue notificado al interesado mediante anuncio publicado en el BOC núm. 76, de 19 de junio de 1995, quien no presentó alegaciones en el plazo concedido al efecto. </w:t>
      </w:r>
    </w:p>
    <w:p w:rsidR="0025129F" w:rsidRDefault="0025129F" w:rsidP="0025129F">
      <w:pPr>
        <w:pStyle w:val="TextoNormal"/>
      </w:pPr>
      <w:r>
        <w:lastRenderedPageBreak/>
        <w:t xml:space="preserve">d) El instructor del expediente dictó propuesta de resolución en el sentido de que se sancionara a Oper Tenerife, S.A., titular de la empresa operadora núm. 518, con una multa de un millón de pesetas por infracción muy grave, prevista en el art. 39.23 del Decreto 93/1988, de 31 de mayo, por el que se aprueba el Reglamento de máquinas recreativas y de azar de la Comunidad Autónoma de Canarias (en adelante, el Reglamento), al no haberse respetado el plazo mínimo de permanencia que para las máquinas de juego se determina en el art. 22 del Reglamento. El 16 de agosto de 1995 la citada propuesta fue notificada al inculpado, sin que éste formulara alegaciones a la misma. </w:t>
      </w:r>
    </w:p>
    <w:p w:rsidR="0025129F" w:rsidRDefault="0025129F" w:rsidP="0025129F">
      <w:pPr>
        <w:pStyle w:val="TextoNormal"/>
      </w:pPr>
      <w:r>
        <w:t xml:space="preserve">e) A la vista de la propuesta formulada por el Viceconsejero de Administración Pública, el 13 de noviembre de 1995 el Consejero de Presidencia y Relaciones Institucionales de la Comunidad Autónoma de Canarias dictó Resolución en la que acordó, según expresa en su parte dispositiva, “sancionar a Oper Tenerife S.A., como titular de la empresa operadora núm. 518, con multa de un millón de pesetas, por haberse comprobado que en el establecimiento Bar Manolo, sito en Vilaflor, c/Santa Catalina, núm. 9, se encuentra instalada y en funcionamiento una máquina recreativa del tipo B.TF.B.11677, propiedad de la empresa operadora Oper Tenerife S.A., habiéndosele comunicado por el titular del establecimiento en tiempo y forma debida mediante requerimiento notarial de fecha 25 de noviembre de 1994 su intención de no prorrogar el plazo de permanencia de la citada máquina recreativa en su establecimiento”. La calificación jurídica de los hechos se hace en el apartado quinto de las “consideraciones jurídicas” de dicha Resolución, con remisión a las disposiciones de la Ley 6/1985, de 30 de diciembre, reguladora de los juegos y apuestas en Canarias, y al Decreto 93/1988, de 31 de mayo, por el que se aprueba el Reglamento de máquinas recreativas y de azar de la Comunidad Autónoma de Canarias, modificado parcialmente por los Decretos 132/1989, de 1 de junio, y 89/1990, de 23 de mayo. El tenor literal de dicho apartado es el siguiente: “De acuerdo con lo previsto en el art. 39.23 del citado Reglamento, introducido por el Decreto 132/1989, de 1 de junio (BOC núm. 97, de 17 de julio de 1989), la infracción debe calificarse de muy grave, por no respetar el plazo mínimo de permanencia que para las máquinas de juego se determina en el art. 22 del Reglamento, procediendo sancionar con multa de un millón de pesetas, a tenor de lo preceptuado en el art. 42 del mismo texto reglamentario en relación con el art. 22 de la referida Ley”. </w:t>
      </w:r>
    </w:p>
    <w:p w:rsidR="0025129F" w:rsidRDefault="0025129F" w:rsidP="0025129F">
      <w:pPr>
        <w:pStyle w:val="TextoNormal"/>
      </w:pPr>
      <w:r>
        <w:t xml:space="preserve">f) Contra la citada Resolución interpuso Oper Tenerife, S.A., recurso contencioso-administrativo, en el que, entre otras consideraciones, se alegó la falta de cobertura legal del art. 39.23 del citado Reglamento. Se solicitaba en la demanda del expresado recurso contencioso-administrativo la revocación y anulación de la mencionada resolución administrativa de 13 de noviembre de 1995 (en dicho escrito de demanda se fijaba como fecha la de 20 de noviembre) así como la declaración de nulidad del referido apartado 23 del art. 39 del Reglamento “por ser contrario al art. 25.1 de la Constitución Española”, y se pedía con carácter subsidiario que se ordenase la retroacción de las actuaciones al trámite inmediatamente anterior a la resolución del expediente administrativo, para dictar la pertinente resolución a la vista de las alegaciones de dicha parte recurrente. </w:t>
      </w:r>
    </w:p>
    <w:p w:rsidR="0025129F" w:rsidRDefault="0025129F" w:rsidP="0025129F">
      <w:pPr>
        <w:pStyle w:val="TextoNormal"/>
      </w:pPr>
      <w:r>
        <w:t>El recurso fue desestimado por la Sentencia, ahora impugnada, de 21 de abril de 1997, que confirmó la resolución administrativa recurrida por estimarla ajustada a Derecho. En lo que interesa a los fines de este recurso de amparo, se dice en el fundamento jurídico séptimo de dicha Sentencia que “por parte de la entidad recurrente, titular de la máquina recreativa, se ha incumplido el citado artículo 22 del Decreto 93/1988, al haberse efectuado por el titular del Bar Manolo, de Vilaflor, donde la misma se encontraba instalada, manifestación expresa de retirada de la máquina en tiempo y forma, y, sin embargo, la enti</w:t>
      </w:r>
      <w:r>
        <w:lastRenderedPageBreak/>
        <w:t>dad no procedió a la retirada de la misma tal como exige el Reglamento de Máquinas Recreativas de la Comunidad Autónoma de Canarias”. Y se concluye en el fundamento jurídico octavo del modo siguiente: “Procede, por consiguiente, desestimar el recurso y su demanda, confirmando, en todos sus términos, la resolución impugnada al encontrar asimismo la norma habilitante de la calificación como infracción grave de los hechos expuestos en la Ley 6/1985, de 30 de diciembre, reguladora de los Juegos y Apuestas de Canarias”.</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entidad recurrente solicita el amparo con fundamento en que la Resolución del Consejero de Presidencia y Relaciones Institucionales del Gobierno de Canarias y la Sentencia del Tribunal Superior de Justicia de Canarias impugnadas vulneran los arts. </w:t>
      </w:r>
    </w:p>
    <w:p w:rsidR="0025129F" w:rsidRDefault="0025129F" w:rsidP="0025129F">
      <w:pPr>
        <w:pStyle w:val="TextoNormal"/>
      </w:pPr>
      <w:r>
        <w:t xml:space="preserve">25.1 y 24.1 de la Constitución, por las razones que se exponen a continuación: </w:t>
      </w:r>
    </w:p>
    <w:p w:rsidR="0025129F" w:rsidRDefault="0025129F" w:rsidP="0025129F">
      <w:pPr>
        <w:pStyle w:val="TextoNormal"/>
      </w:pPr>
      <w:r>
        <w:t xml:space="preserve">a) Antes de entrar en el análisis de fondo, la demandante de amparo precisa el objeto del recurso de amparo interpuesto: no sólo se pretende — afirma— la nulidad de la resolución administrativa que impone la sanción y de la Sentencia del Tribunal Superior de Justicia de Canarias que la confirma, sino también la declaración de nulidad de la norma que le sirve de cobertura. </w:t>
      </w:r>
    </w:p>
    <w:p w:rsidR="0025129F" w:rsidRDefault="0025129F" w:rsidP="0025129F">
      <w:pPr>
        <w:pStyle w:val="TextoNormal"/>
      </w:pPr>
      <w:r>
        <w:t xml:space="preserve">Seguidamente pone de manifiesto la conveniencia de admitir a trámite el recurso de amparo interpuesto. A este respecto, destaca que se han admitido y estimado recursos de amparo cuyo objeto era similar al que aquí se plantea, esto es, la imposición de una sanción administrativa en aplicación de una norma reglamentaria que no dispone de cobertura legal, vulnerando, por tanto, el art. 25.1 CE. En este sentido, la demanda destaca, en primer lugar, la STC 61/1990, de 29 de marzo, en la que este Tribunal, estimando que se había vulnerado el citado precepto constitucional, declaró la nulidad de las Resoluciones de la Dirección General de Policía y de la Subsecretaría del Ministerio del Interior que imponían al recurrente en amparo una sanción de revocación de su licencia de detective privado, así como de la Orden del Ministerio de Interior de 20 de enero de 1981, en virtud de la cual se dictaron aquéllas; en segundo lugar, las SSTC 77/1983 y 25/1984, que establecen los límites de la potestad sancionadora de la Administración que derivan del art. 25.1 CE; en tercer lugar, la STC 42/1987, de 7 de abril, que anuló las Resoluciones del Gobernador Civil de Baleares y del Ministerio del Interior, en virtud de las cuales se impuso al entonces recurrente una multa por infracciones del Reglamento de Casinos de Juego de 9 de enero de 1979, Sentencia que provocó la aprobación del Real Decreto-ley 2/1987, de 3 de julio, que regula la potestad sancionadora de la Administración; en cuarto y último lugar, las Sentencias de la Sala Quinta del Tribunal Supremo de 6 de julio, 7 de julio y 11 de noviembre de 1997, y de la Sala Tercera de dicho Tribunal, de 14 de abril de 1990, que habían anulado diversos preceptos reglamentarios en materia de máquinas recreativas (se citan el Real Decreto 877/1987 y el Real Decreto 593/1990) por carecer de cobertura legal. </w:t>
      </w:r>
    </w:p>
    <w:p w:rsidR="0025129F" w:rsidRDefault="0025129F" w:rsidP="0025129F">
      <w:pPr>
        <w:pStyle w:val="TextoNormal"/>
      </w:pPr>
      <w:r>
        <w:t xml:space="preserve">b) Hechas las anteriores precisiones, la demandante de amparo expone las razones por las que el apartado 23 del art. 39 del Reglamento de máquinas recreativas y de azar, apartado introducido por el Decreto 132/1989, de 1 de junio, no tiene cobertura legal, vulnerando, de este modo, el art. 25.1 CE. A este respecto, la entidad recurrente pone de manifiesto que ni la Resolución del Consejero de Presidencia y Relaciones Institucionales del Gobierno de Canarias, que impone la sanción, ni la Sentencia del Tribunal Superior de Justicia de Canarias impugnada, que la confirma, hacen referencia alguna al precepto legal que, en su caso, pudiera prestar cobertura al citado art. 39.23 del Reglamento. </w:t>
      </w:r>
    </w:p>
    <w:p w:rsidR="0025129F" w:rsidRDefault="0025129F" w:rsidP="0025129F">
      <w:pPr>
        <w:pStyle w:val="TextoNormal"/>
      </w:pPr>
      <w:r>
        <w:lastRenderedPageBreak/>
        <w:t xml:space="preserve">El citado precepto —señala la demanda— establece como infracción muy grave no “respetar el plazo mínimo de permanencia que para la máquina de juego se determina en el artículo 22 de este Reglamento”, y ni en el catálogo de infracciones graves previsto en el art. 21.2, apartado 2.1., de la Ley 6/1985, de 30 de diciembre, reguladora de los juegos y apuestas de Canarias, ni en ninguna otra norma se hace referencia al deber de permanencia de la máquina recreativa en un establecimiento, deber que, por otro lado, la entidad recurrente estima que cumplió sobradamente. En definitiva, la demandante de amparo entiende que no existe ninguna norma legal que de cobertura al art. 39.23 del Reglamento, de manera que, a su juicio, se sancionó una conducta que a todas luces el legislador no pretendía castigar dado que la máquina recreativa estaba autorizada, cumplía con todas las autorizaciones necesarias para su explotación y estaba en funcionamiento por voluntad del titular del establecimiento, puesto que de otro modo éste hubiera desconectado la máquina de la red. Lo que no tiene ningún sentido —señala la demanda— es realizar el requerimiento notarial y continuar por su propia voluntad explotando la máquina recreativa. Atendiendo a la lógica expuesta —se concluye—, como se desprende del catálogo de infracciones contenido en la Ley, el legislador no debió calificar la conducta de la entidad recurrente como infractora. </w:t>
      </w:r>
    </w:p>
    <w:p w:rsidR="0025129F" w:rsidRDefault="0025129F" w:rsidP="0025129F">
      <w:pPr>
        <w:pStyle w:val="TextoNormal"/>
      </w:pPr>
      <w:r>
        <w:t xml:space="preserve">c) Por lo que respecta a la vulneración del art. 24.1 CE, la demandante de amparo pone de manifiesto que no sólo la Resolución administrativa que impone la sanción pecuniaria omite toda indicación al precepto legal que daría cobertura a la infracción tipificada en el art. 39.23 del Reglamento, sino que, denunciada dicha circunstancia en vía judicial, la Sentencia del Tribunal Superior de Justicia de Canarias impugnada, sin referirse siquiera a la impugnación del citado precepto reglamentario —lo que, a juicio de la entidad recurrente, constituye una incongruencia omisiva con trascendencia constitucional—, se limita a citar de forma genérica la Ley 6/1985, de 30 de diciembre, al señalar en el fundamento de Derecho octavo que procede “desestimar el recurso y su demanda confirmando en todos sus términos la resolución impugnada al encontrar asimismo la norma habilitante de la calificación como infracción grave de los hechos expuestos en la Ley 6/1985, de 30 de diciembre, reguladora de los Juegos y Apuestas de Canarias”. </w:t>
      </w:r>
    </w:p>
    <w:p w:rsidR="0025129F" w:rsidRDefault="0025129F" w:rsidP="0025129F">
      <w:pPr>
        <w:pStyle w:val="TextoNormal"/>
      </w:pPr>
      <w:r>
        <w:t>Por todo lo expuesto, la representación procesal de la parte recurrente solicita se dicte Sentencia en la que se acuerde lo siguiente: “1. Se otorgue el amparo solicitado por infracción del art. 25.1 y 24.1 de la Constitución Española.- 2. Se declare la nulidad de la Resolución del Consejero de Presidencia y Relaciones Institucionales del Gobierno de Canarias de fecha 20 de noviembre de 1995, así como de la Sentencia del Tribunal Superior de Justicia de Canarias impugnada de 21 de abril de 1997.- 3. Se reconozca el derecho de mi mandante a no ser sancionado en aplicación del artículo 39.23 del Reglamento de Máquinas Recreativas y de Azar de Canarias según redacción dada por el Decreto 132/1989, de 1 de junio.- 4. Se declare la nulidad del art. 39.23 del Reglamento de Máquinas Recreativas y de Azar de Canarias”.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providencia de 10 de noviembre de 1997, la Sección Tercera de este Tribunal acordó admitir a trámite la demanda de amparo presentada por el Procurador don Juan Antonio García San Miguel y Orueta, en nombre y representación de Oper Tenerife, S.A., contra la Sentencia de la Sala de lo Contencioso-Administrativo del Tribunal Superior de Justicia de Canarias de 21 de abril de 1997, recaída en recurso 55/96 interpuesto contra la Resolución de 13 de noviembre de 1995 del Consejero de Presidencia y Relaciones Institucionales del Gobierno de Canarias. Por ello, y en aplicación de lo dispuesto en el art. 51 LOTC, se acordó en dicho proveído requerir atentamente a la Consejería de Presidencia y </w:t>
      </w:r>
      <w:r>
        <w:lastRenderedPageBreak/>
        <w:t>Relaciones Institucionales del Gobierno de Canarias y a la Sala de lo Contencioso-Administrativo del Tribunal Superior de Justicia de dicha Comunidad para que remitieran certificación o fotocopia adverada de las actuaciones correspondientes, respectivamente, al expediente 39/95 y al recurso contencioso- administrativo núm. 55/96; debiendo previamente emplazarse para que, en el plazo de diez días, pudieran comparecer en los recursos de amparo, a quienes hubieran sido parte en el procedimiento, excepto la parte recurrente en amparo.</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9 de diciembre de 1997, la Sección Cuarta de este Tribunal acordó tener por personado y parte en el procedimiento al Letrado de los Servicios Jurídicos del Gobierno de Canarias, en nombre y representación de la Administración pública de su Comunidad Autónoma, acordándose entender con él las sucesivas actuaciones; asimismo, acordó dar vista de las actuaciones recibidas a las partes personadas y al Ministerio Fiscal por plazo común de veinte días para que, conforme determina el art. 52.1 LOTC, presentaran las alegaciones que estimaran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La entidad recurrente formuló sus alegaciones en escrito registrado de entrada en este Tribunal el 9 de enero de 1998, en el que suplica que se otorgue el amparo solicitado. En dicho escrito, comienza señalando que la Sentencia del Tribunal Superior de Justicia de Canarias impugnada, al no expresar qué precepto de la Ley 6/1985, de 30 de diciembre, que cita en su fundamento de derecho octavo, da cobertura legal al art. 39.23 del Reglamento de máquinas recreativas y de azar de la Comunidad Autónoma de Canarias, incurre en incongruencia omisiva vulneradora del art. 24.1 CE. </w:t>
      </w:r>
    </w:p>
    <w:p w:rsidR="0025129F" w:rsidRDefault="0025129F" w:rsidP="0025129F">
      <w:pPr>
        <w:pStyle w:val="TextoNormal"/>
      </w:pPr>
      <w:r>
        <w:t xml:space="preserve">Seguidamente, la demandante pone de manifiesto las razones por las que acudió a la vía de amparo sin antes interponer recurso de casación contra la citada Sentencia: en primer lugar, porque la cuantía del recurso dirigido, en última instancia, contra la sanción que se le impuso, se estableció en 1.000.000 ptas., cantidad que no llega al límite mínimo legalmente establecido para recurrir en casación; en segundo lugar, porque la denunciada vulneración del art. 25 CE sólo se atribuye a normas autonómicas y, en virtud de reiterada jurisprudencia del Tribunal Supremo, el art. 93.4 de la Ley jurisdiccional sólo autoriza la admisión del recurso de casación cuando se recurren normas estatales; en tercer lugar, porque aunque pudiera considerarse como norma estatal el art. 25.1 CE, el Tribunal Supremo (cita, a este respecto, la STS de 24 de enero de 1996), con fundamento en el art. 5.4 LOPJ, ha señalado que la simple invocación de un precepto constitucional no permite abrir la vía casacional. En suma, a juicio de la entidad recurrente, la cuantía del recurso contencioso-administrativo, la circunstancia de que la única norma del ordenamiento estatal que se entiende infringida sea la Constitución Española (concretamente, su art. 25.1), así como la doctrina del Tribunal Supremo sobre la admisión del recurso de casación, llevan a la conclusión de que la citada vía le estaba vedada, por lo que resultaba procedente interponer directamente el recurso de amparo. No obstante, para el supuesto de que este Tribunal llegara a la conclusión contraria, la demandante se remite a “otras Sentencias del Tribunal Constitucional que entienden que no es necesario para acudir a la vía de amparo haber interpuesto todos los recursos posibles”. </w:t>
      </w:r>
    </w:p>
    <w:p w:rsidR="0025129F" w:rsidRDefault="0025129F" w:rsidP="0025129F">
      <w:pPr>
        <w:pStyle w:val="TextoNormal"/>
      </w:pPr>
      <w:r>
        <w:t>Finalmente, por lo que respecta a la falta de cobertura legal del art. 39.23 del Reglamento de máquinas recreativas y de azar de la Comunidad Autónoma de Canarias, la entidad recurrente se remite a los argumentos esgrimidos en su escrito de interposición del recurso de amparo.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7</w:t>
      </w:r>
      <w:r>
        <w:t xml:space="preserve">. La Letrada de la Comunidad Autónoma de Canarias formuló sus alegaciones mediante escrito presentado en el Registro de este Tribunal el 12 de enero de 1998, en el que suplica se dicte Sentencia denegatoria del amparo pretendido confirmando en todos sus términos la Sentencia recurrida. Señala, en primer lugar, los hechos que dieron lugar a la imposición de la sanción de 1.000.000 de pesetas a la entidad recurrente: no retirar la máquina recreativa tipo “B” instalada en el establecimiento “Bar Manolo”, pese a que el titular del mismo le comunicase mediante requerimiento notarial en noviembre de 1994 su intención de no prorrogar el plazo de permanencia de la citada máquina en su local. A continuación destaca los preceptos legales y reglamentarios en que se fundamentó dicha sanción y expresa las razones por las que considera que ésta respeta el principio de legalidad establecido en el art. 25.1 CE. </w:t>
      </w:r>
    </w:p>
    <w:p w:rsidR="0025129F" w:rsidRDefault="0025129F" w:rsidP="0025129F">
      <w:pPr>
        <w:pStyle w:val="TextoNormal"/>
      </w:pPr>
      <w:r>
        <w:t xml:space="preserve">A juicio de la Letrada, la reserva de Ley puede funcionar de dos modos diferentes. La Ley, desde luego, puede regular por sí misma toda la materia reservada. Lo más habitual, sin embargo, es que la Ley no regule exhaustivamente la materia sino que se limite a lo esencial, remitiéndose para el resto al reglamento, “al que invita u ordena a ‘colaborar’ en la normación”. A tal fin indica que el Tribunal Constitucional ha declarado en reiteradas ocasiones que la colaboración reglamentaria es una figura jurídica intachable que tiene varias justificaciones, tales como la estimación de que “sería ilógico exigir al legislador una previsión casuística” (STC 99/1987) o la consideración del “carácter en cierto modo insuprimible de la potestad reglamentaria en ciertas materias” (STC 42/1987) o la apreciación de que “en el ámbito reglamentario las consideraciones de oportunidad pueden hacer necesaria una relativa rápida variación de criterios de regulación” (STS de 8 de junio de 1988). Así pues, la colaboración reglamentaria no supone una excepción a la reserva de Ley, sino una modalidad de su ejercicio. Si lo desea, el legislador puede agotar a través de la Ley la regulación de la materia; pero también puede decidir dejarla incompleta y encomendar a un reglamento que regule el resto de acuerdo con las instrucciones y pautas que le proporciona. Por ello, afirma dicha parte, es habitual que las normas sancionadoras, integradas de ordinario en una ley sectorial, se limiten a describir algunos tipos o algunos elementos comunes esenciales a todos los tipos, remitiéndose luego implícita o explícitamente a un reglamento para que complete la descripción. </w:t>
      </w:r>
    </w:p>
    <w:p w:rsidR="0025129F" w:rsidRDefault="0025129F" w:rsidP="0025129F">
      <w:pPr>
        <w:pStyle w:val="TextoNormal"/>
      </w:pPr>
      <w:r>
        <w:t>Sentado lo anterior, señala la Letrada que en el caso que nos ocupa el hecho imputado constituye una infracción de lo dispuesto en el art. 22 del Decreto 89/1990, de 23 de mayo, por el que se aprueba el Reglamento de máquinas recreativas de la Comunidad Autónoma de Canarias, norma que regula los plazos de permanencia y sus prórrogas de las máquinas recreativas en los locales en los que se hubiese autorizado su instalación. Tal y como señala la Sentencia recurrida en su fundamento jurídico octavo, la calificación de los hechos tiene su norma habilitante en la Ley 6/1985, de 30 de diciembre, reguladora de los juegos y apuestas en Canarias, desarrollada por el Decreto autonómico 132/1989, de 1 de junio, por el que se modifica parcialmente el Decreto 93/1988, de 31 de mayo, por el que se aprueba el Reglamento de máquinas y de azar de la Comunidad Autónoma de Canarias. Concretamente, la citada Ley 6/1985 establece expresamente en el art. 21.1 que constituye infracción administrativa “el incumplimiento de los mandatos, órdenes y prohibiciones establecidos en la presente Ley, disposiciones reglamentarias que la desarrollen o los actos administrativos de ejecución”. Y en su art. 21, apartado 2, subapartado 2.1, letra n), dispone que constituye infracción muy grave “cualquier acción u omisión que signifique alteración o modificación sustancial de lo que ordenan los reglamentos respectivos tanto si es respecto al jugador como a los titulares de las autorizaciones administrativas y al personal que las gestiona”. De todo ello se deduce, según afirma la Letrada de la Comunidad Autó</w:t>
      </w:r>
      <w:r>
        <w:lastRenderedPageBreak/>
        <w:t xml:space="preserve">noma de Canarias, que existe norma legal habilitante a cuyo amparo, y en virtud de lo dispuesto en el art. 39.23 del citado Decreto 132/1989, en relación con el art. 22.1 del Decreto 89/1990, el hecho imputado merece la calificación de infracción administrativa muy grave, ajustándose plenamente a Derecho la sanción impuesta. Carece de consistencia, pues, para la Letrada, la ausencia de norma legal habilitante que denuncia la entidad recurrente en amparo. </w:t>
      </w:r>
    </w:p>
    <w:p w:rsidR="0025129F" w:rsidRDefault="0025129F" w:rsidP="0025129F">
      <w:pPr>
        <w:pStyle w:val="TextoNormal"/>
      </w:pPr>
      <w:r>
        <w:t>Concluye sus alegaciones la Letrada de la Comunidad Autónoma negando que la Sentencia ahora impugnada haya incurrido en incongruencia omisiva vulneradora del derecho a la tutela judicial efectiva. La incongruencia omisiva supone la ausencia total de pronunciamiento expreso o implícito sobre alguna de las cuestiones suscitadas por las partes en apoyo de su pretensión. La Sentencia recurrida, sin embargo, resuelve en sus fundamentos jurídicos todas y cada una de las cuestiones suscitadas por las partes. Concretamente, en el fundamento jurídico octavo se pronuncia expresamente sobre la cuestión de la norma habilitante y afirma que en este caso la cobertura legal se encuentra en la Ley 6/1985, de 30 de diciembre, reguladora de los juegos y apuestas de Canarias.</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Ministerio Fiscal formuló sus alegaciones mediante escrito con entrada en este Tribunal el 9 de enero de 1998, en el que interesa se dicte sentencia otorgando el amparo, por cuanto del proceso resulta la lesión del derecho de la solicitante de amparo a no ser sancionada por hechos no previstos en una norma con rango de Ley, consagrado en el art. 25.1 CE. En dicho escrito, tras centrar el objeto del recurso y señalar que los preceptos constitucionales que se dicen vulnerados son los arts. 24.1 y 25 CE, comienza analizando la infracción del derecho a obtener la tutela efectiva de Jueces y Tribunales que la demanda achaca a la Sentencia recurrida. </w:t>
      </w:r>
    </w:p>
    <w:p w:rsidR="0025129F" w:rsidRDefault="0025129F" w:rsidP="0025129F">
      <w:pPr>
        <w:pStyle w:val="TextoNormal"/>
      </w:pPr>
      <w:r>
        <w:t xml:space="preserve">Recuerda el Ministerio Fiscal que la entidad recurrente entiende que se le ha vulnerado el derecho recogido en el art. 24.1 CE porque, habiendo formulado una pretensión de nulidad del art. 39.23 del Reglamento de máquinas recreativas y de azar de la Comunidad Canaria, alegando su falta de cobertura legal, la Sala de lo Contencioso-Administrativo del Tribunal Superior de Justicia de Canarias no fundamenta en absoluto su tesis desestimatoria. A juicio del Ministerio Fiscal, para resolver esta incongruencia omisiva que se denuncia es preciso examinar en primer lugar la respuesta ofrecida por la Sentencia impugnada. A este respecto, pone de manifiesto que dicha Sentencia, en su fundamento jurídico octavo, se limita a declarar que “la norma habilitante de la calificación como infracción grave de los hechos expuestos (se encuentra) en la Ley 6/85, de 30 de diciembre, reguladora de los Juegos y Apuestas de Canarias”, sin que concrete en qué precepto de la mencionada norma legal se apoya la infracción administrativa y su correspondiente sanción. </w:t>
      </w:r>
    </w:p>
    <w:p w:rsidR="0025129F" w:rsidRDefault="0025129F" w:rsidP="0025129F">
      <w:pPr>
        <w:pStyle w:val="TextoNormal"/>
      </w:pPr>
      <w:r>
        <w:t xml:space="preserve">Esto sentado, el Ministerio Fiscal cita las SSTC 5/1986, 34/1992 y 305/1994, y transcribe el FJ 3 de la STC 85/1996 para indicar que, conforme a la doctrina de este Tribunal, la incongruencia omisiva constituye un vicio en la resolución judicial que, en la medida en que deja imprejuzgada alguna de las cuestiones planteadas por la parte, deja vacío de contenido el propio derecho a obtener la tutela judicial efectiva. Y señala, al mismo tiempo, que carece, no obstante, de transcendencia constitucional aquella falta de contestación que en realidad suponga una resolución tácita de las pretensiones planteadas por la parte (STC 142/1995). En el caso que nos ocupa —señala— la respuesta ofrecida por la Sala de lo Contencioso- Administrativo es meramente aparente, pues en absoluto concreta el precepto de la Ley en que se apoya el cuestionado precepto reglamentario. Se limita a una genérica remisión a la Ley, insuficiente para encarnar una auténtica respuesta a la pretensión planteada. Con lo dicho por la Sentencia se hace imposible saber cuál es el concreto apoyo </w:t>
      </w:r>
      <w:r>
        <w:lastRenderedPageBreak/>
        <w:t xml:space="preserve">legal que posee el artículo que genera la sanción administrativa. Así pues, en opinión del Fiscal, nos encontramos ante un supuesto de silencio parcial, en el sentido empleado por el FJ 6 de la STC 195/1995. </w:t>
      </w:r>
    </w:p>
    <w:p w:rsidR="0025129F" w:rsidRDefault="0025129F" w:rsidP="0025129F">
      <w:pPr>
        <w:pStyle w:val="TextoNormal"/>
      </w:pPr>
      <w:r>
        <w:t xml:space="preserve">La Sentencia dictada en el caso de autos —prosigue el Fiscal— puede calificarse como corta en su respuesta, lo que habitualmente conllevaría la necesidad de anularla para que en su lugar se dictase otra que dé respuesta cumplida a todas las pretensiones de la actora. No obstante, entiende el Fiscal que no debe ser esta la postura de este Tribunal en este caso concreto. En efecto, aunque el recurso contencioso-administrativo no se haya tramitado por los cauces de la Ley 62/1978, lo cierto es que en él sólo se planteaban cuestiones relativas a derechos fundamentales. Así las cosas —señala—, debe entenderse agotada la vía judicial procedente, lo que permite a este Tribunal entrar en el fondo de la cuestión que realmente se plantea: la existencia de cobertura legal del art. 39.23 del Reglamento canario de máquinas recreativas y de azar. </w:t>
      </w:r>
    </w:p>
    <w:p w:rsidR="0025129F" w:rsidRDefault="0025129F" w:rsidP="0025129F">
      <w:pPr>
        <w:pStyle w:val="TextoNormal"/>
      </w:pPr>
      <w:r>
        <w:t xml:space="preserve">A este respecto, después de transcribir los arts. 22 y 39.23 del citado Reglamento (el último de los citados en la redacción dada por el Decreto de 1 de junio de 1989), señala el Fiscal que un examen pormenorizado del art. 21 de la Ley 6/1985, de 30 de diciembre, reguladora de los juegos y apuestas, lleva a la conclusión de que el único apartado en que la conducta prevista en el art. 39.23 del Reglamento podría apoyarse es el 2.1.n, en virtud del cual se considera infracción muy grave “cualquier acción u omisión que signifique alteración o modificación sustancial de lo que ordenan los reglamentos respectivos tanto si es respecto al jugador como a los titulares de las autorizaciones administrativas y al personal que las gestiona”. Para el Ministerio Fiscal, nos encontramos ante una regulación de conductas típicas que ha sido deferida por el legislador al absoluto arbitrio del ejecutivo, autor de los Reglamentos, lo que, de acuerdo con la doctrina de este Tribunal (cita las SSTC 6/1994, FJ 4, y 341/1993, FJ 10.b) vulnera el art. 25 CE. </w:t>
      </w:r>
    </w:p>
    <w:p w:rsidR="0025129F" w:rsidRDefault="0025129F" w:rsidP="0025129F">
      <w:pPr>
        <w:pStyle w:val="TextoNormal"/>
      </w:pPr>
      <w:r>
        <w:t>Lo expuesto lleva al Ministerio Fiscal a solicitar que se otorgue el amparo y se declare la nulidad de la sanción administrativa así como de la Sentencia que la confirma, por vulneración del art. 25 CE. Cabe además, a su juicio, la posibilidad de que este Tribunal se autoplantee la cuestión de inconstitucionalidad prevista en el art. 55.2 LOTC, por cuanto no sólo la aplicación del art. 21.2.1.n de la Ley 6/1985 autonómica de Canarias sino el propio texto legal suponen una quiebra del principio de legalidad en la tipificación de las infracciones administrativas consagrado en el art. 25 CE.</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fecha 7 de febrero de 2002 se señaló para deliberación y votación de la presente Sentencia el día 11 de febrero de 2001.</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se dirige contra la Sentencia dictada el 21 de abril de 1997 por la Sala de lo Contencioso-Administrativo del Tribunal Superior de Justicia de Canarias en el recurso contencioso- administrativo núm. 55/1996 y contra la Resolución de 13 de noviembre de 1995 del Consejero de la Presidencia y Relaciones Institucionales del Gobierno de Canarias, confirmada por dicha Sentencia. La expresada Resolución administrativa había impuesto a la entidad ahora recurrente en amparo una sanción pecuniaria de un millón de pesetas por infracción del art. 39.23 del Decreto 93/88, de 31 de mayo, por el que se aprueba el Reglamento de máquinas recreativas y de azar de la Comunidad Autónoma de Canarias.</w:t>
      </w:r>
    </w:p>
    <w:p w:rsidR="0025129F" w:rsidRDefault="0025129F" w:rsidP="0025129F">
      <w:pPr>
        <w:pStyle w:val="TextoNormal"/>
      </w:pPr>
      <w:r>
        <w:lastRenderedPageBreak/>
        <w:t>La solicitante de amparo considera que la Sentencia y la Resolución administrativa impugnadas han vulnerado el principio de legalidad establecido en el art. 25.1 CE, así como su derecho fundamental a obtener la tutela efectiva de Jueces y Tribunales sin que, en ningún caso, se produzca indefensión, garantizado en el art. 24.1 CE. A su juicio, la infracción del art. 25.1 CE se habría producido al imponerle el Consejero de la Presidencia y Relaciones Institucionales del Gobierno de Canarias la expresada sanción con fundamento en un precepto reglamentario —el art.  39.23 del Reglamento de máquinas recreativas y de azar de la Comunidad Autónoma de Canarias— que carece de la preceptiva cobertura en la Ley 6/1985, de 30 de diciembre, reguladora de los juegos y apuestas de Canarias, o en cualquier otra Ley. Por lo que respecta a la denunciada vulneración del art. 24.1 CE, ésta habría tenido lugar por la incongruencia omisiva o ex silentio en la que habría incurrido el Tribunal Superior de Justicia de Canarias al no haberse pronunciado, tal y como se le había reclamado en la demanda contencioso-administrativa, acerca del supuesto precepto de la mencionada Ley 6/1985 que hubiera podido dar cobertura a la infracción tipificada en el art. 39.23 del citado Reglamento.</w:t>
      </w:r>
    </w:p>
    <w:p w:rsidR="0025129F" w:rsidRDefault="0025129F" w:rsidP="0025129F">
      <w:pPr>
        <w:pStyle w:val="TextoNormal"/>
      </w:pPr>
      <w:r>
        <w:t>Por su parte, la Letrada de la Comunidad Autónoma de Canarias se opone a la pretensión de amparo. Por lo que respecta a la pretendida infracción del art. 25 CE, descarta que ésta haya podido tener lugar, dado que los preceptos reglamentarios cuya aplicación dio lugar a la imposición de la sanción a la entidad recurrente —el apartado 23 del art. 39 del Decreto 93/1988, añadido por el Decreto 132/1989, en relación con el art.  22.1 del Decreto 89/1990, en su redacción dada por el Decreto 89/1990, de 23 de mayo— tendrían cobertura en el art. 21, apartado 2, subapartado 2.1, letra n), de la Ley 6/1985, de 30 de diciembre, reguladora de los juegos y apuestas de Canarias. A su juicio, también carecería de todo fundamento la denunciada vulneración del derecho fundamental a obtener la tutela judicial efectiva, dado que la Sentencia impugnada señala expresamente en su fundamento jurídico octavo que la norma legal que habilita al art. 39.23 del Reglamento para calificar los hechos sancionados como infracción muy grave es la citada Ley 6/1985.</w:t>
      </w:r>
    </w:p>
    <w:p w:rsidR="0025129F" w:rsidRDefault="0025129F" w:rsidP="0025129F">
      <w:pPr>
        <w:pStyle w:val="TextoNormal"/>
      </w:pPr>
      <w:r>
        <w:t>Para el Ministerio Fiscal la Sentencia ahora recurrida en amparo incurre en la incongruencia omisiva denunciada al no especificar el precepto de la Ley 6/1985 que pudiera prestar cobertura al art. 39.23 del Reglamento de máquinas recreativas y de azar de la Comunidad Autónoma de Canarias. Y añade que, en todo caso, dado que en el recurso contencioso-administrativo sólo se plantearon cuestiones relativas a derechos fundamentales, debe entenderse agotada la vía judicial y pasar al examen de la cuestión de fondo que realmente se plantea: la cobertura legal del citado precepto reglamentario. Considera, a este respecto, que existe infracción del art. 25.1 CE, dado que, según afirma, “un examen pormenorizado de la Ley canaria 6/85, de 30 de diciembre, reguladora de los Juegos y Apuestas, especialmente de su artículo 21 en que se tipifican las infracciones, lleva a esta representación pública a la conclusión de que el único apartado en que la conducta prevista en el art. 39.23 del Reglamento podría apoyarse es en el apartado 2.1 n)”, precepto que, según concluye el Ministerio Fiscal, deja al absoluto arbitrio del ejecutivo de la Comunidad Autónoma la definición de las conductas constitutivas de infracción muy grave.</w:t>
      </w:r>
    </w:p>
    <w:p w:rsidR="0025129F" w:rsidRDefault="0025129F" w:rsidP="0025129F">
      <w:pPr>
        <w:pStyle w:val="TextoNormal"/>
      </w:pPr>
    </w:p>
    <w:p w:rsidR="0025129F" w:rsidRDefault="0025129F" w:rsidP="0025129F">
      <w:pPr>
        <w:pStyle w:val="TextoNormal"/>
      </w:pPr>
      <w:r w:rsidRPr="0025129F">
        <w:rPr>
          <w:rStyle w:val="NumeroAFNegritaCaracter"/>
        </w:rPr>
        <w:t>2</w:t>
      </w:r>
      <w:r>
        <w:t>. Fijados así los términos de la controversia, antes de comenzar el análisis de los motivos aludidos en el recurso de amparo es preciso delimitar los actos contra los que se suscita. A este respecto, conviene señalar que, como se deduce del encabezamiento y la fundamentación jurídica de la demanda, nos encontramos en este caso ante un recurso de carácter mixto o complejo. En efecto, por un lado, se utiliza el cauce habilitado en el art.  43 LOTC al imputar a la Resolución de 13 de noviembre de 1995 del Consejero de la Presi</w:t>
      </w:r>
      <w:r>
        <w:lastRenderedPageBreak/>
        <w:t>dencia y Relaciones Institucionales del Gobierno de Canarias la vulneración del principio de legalidad establecido en el art. 25.1 CE, reprochándose a la citada Sentencia del Tribunal Superior de Justicia de Canarias no haber reparado la supuesta lesión. Por otro lado, se achaca directamente a dicha resolución judicial la vulneración del derecho a obtener la tutela judicial efectiva establecido en el art. 24.1 CE, empleándose de este modo la vía del art. 44 LOTC.</w:t>
      </w:r>
    </w:p>
    <w:p w:rsidR="0025129F" w:rsidRDefault="0025129F" w:rsidP="0025129F">
      <w:pPr>
        <w:pStyle w:val="TextoNormal"/>
      </w:pPr>
      <w:r>
        <w:t>Con objeto de acotar debidamente el ámbito de nuestro enjuiciamiento, aún cabe hacer una consideración adicional acerca del acto administrativo recurrido. De acuerdo con la Resolución de 13 de noviembre de 1995 del Consejero de Presidencia y Relaciones Institucionales de la Comunidad Autónoma de Canarias, a la entidad recurrente se le impuso la sanción de 1.000.000 de pesetas, prevista en el art. 42.1 del Reglamento de máquinas recreativas y de azar de la Comunidad Autónoma de Canarias, por mantener durante el ejercicio de 1995 la máquina recreativa tipo “B” de su propiedad en el establecimiento hostelero en el que estaba instalada, pese a que el 25 de noviembre de 1994 el titular del citado local le había comunicado mediante requerimiento notarial “su intención de no prorrogar el plazo de permanencia de la citada máquina recreativa en su establecimiento”. De la fundamentación jurídica de dicha Resolución se desprende que la Administración autonómica apreció que los hechos descritos constituían una infracción de lo dispuesto en el art. 22.1, apartado segundo, del citado Reglamento, en su redacción dada por el Decreto 89/1990, de 23 de mayo, en virtud del cual, “el deber de permanencia de las máquinas de juego en los locales donde estuviera autorizada su instalación se prorrogará automáticamente por plazos sucesivos de doce meses, si con anterioridad al último mes de vigencia del plazo corriente, no se hace por alguna de las partes manifestación expresa en contrario, notificada a la otra parte por medio fehaciente”; y que dicha infracción debía calificarse como muy grave a tenor del art. 39.23 del Reglamento, introducido por el Decreto 132/1989, de 1 de junio, que define como tal “no respetar el plazo mínimo de permanencia que para la máquina de juego se determina en el artículo 22 de este Reglamento”.</w:t>
      </w:r>
    </w:p>
    <w:p w:rsidR="0025129F" w:rsidRDefault="0025129F" w:rsidP="0025129F">
      <w:pPr>
        <w:pStyle w:val="TextoNormal"/>
      </w:pPr>
    </w:p>
    <w:p w:rsidR="0025129F" w:rsidRDefault="0025129F" w:rsidP="0025129F">
      <w:pPr>
        <w:pStyle w:val="TextoNormal"/>
      </w:pPr>
      <w:r w:rsidRPr="0025129F">
        <w:rPr>
          <w:rStyle w:val="NumeroAFNegritaCaracter"/>
        </w:rPr>
        <w:t>3</w:t>
      </w:r>
      <w:r>
        <w:t>. Entrando ya en el fondo de las quejas, siguiendo el orden de la demanda de amparo, procede examinar en primer lugar la denunciada vulneración del principio de legalidad establecido en el art. 25.1 CE. A este respecto, conviene precisar que la recurrente en amparo no discute la cobertura legal de la sanción de un millón de pesetas prevista en el art.  42.1 del Reglamento de máquinas recreativas y de azar de la Comunidad Autónoma de Canarias. Tampoco se pone en duda en la demanda de amparo que los hechos que han dado lugar a la imposición de la sanción pecuniaria por el Consejero de Presidencia y Relaciones Institucionales de la Comunidad Autónoma de Canarias encajen en el tipo infractor descrito en el art. 39.23 de dicho Reglamento, introducido por el Decreto 132/1989. La entidad recurrente fundamenta la vulneración del art. 25.1 CE en que el citado precepto reglamentario carece de cobertura legal, en tanto que la conducta que define como infracción muy grave no está tipificada como tal en ninguna Ley.</w:t>
      </w:r>
    </w:p>
    <w:p w:rsidR="0025129F" w:rsidRDefault="0025129F" w:rsidP="0025129F">
      <w:pPr>
        <w:pStyle w:val="TextoNormal"/>
      </w:pPr>
      <w:r>
        <w:t xml:space="preserve">Planteado en tales términos el debate, conviene recordar que, como hemos afirmado en la STC 132/2001, de 8 de junio, FJ 5, “desde la STC 42/1987, de 7 de abril, FJ 2, viene declarando este Tribunal que el art.  25.1 CE proscribe toda habilitación reglamentaria vacía de contenido material propio”. Decíamos a continuación en la expresada STC 132/2001 lo siguiente: “Esta doctrina ha sido luego pormenorizada y especificada para distintos supuestos de colaboración reglamentaria en la tipificación de infracciones y sanciones. De esta forma hemos precisado, en relación con normas reglamentarias del Estado o de las Comunidades Autónomas, que la Ley sancionadora ha de contener los elementos </w:t>
      </w:r>
      <w:r>
        <w:lastRenderedPageBreak/>
        <w:t>esenciales de la conducta antijurídica y la naturaleza y límites de las sanciones a imponer (SSTC 3/1988, de 21 de enero, FJ 9; 101/1988, de 8 de junio, FJ 3; 341/1993, de 18 de noviembre, FJ 10; 60/2000, de 2 de marzo, FJ 3). Con una formulación más directa dijimos en la STC 305/1993, de 25 de octubre, FJ 3, que el art. 25.1 CE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esta declaración ha sido luego reiterada, entre otras, en la STC 6/1994, de 17 de enero, FJ 2. Es claro que, con una u otra formulación, nuestra jurisprudencia viene identificando en el art. 25.1 CE una exigencia de tipificación de los elementos esenciales de las infracciones administrativas y de sus correspondientes sanciones, correspondiendo al Reglamento, en su caso, el desarrollo y precisión de los tipos de infracciones previamente establecidos por la Ley”. Igual doctrina se mantiene en las SSTC 61/1990, de 29 de marzo, FFJJ 7 y 8, 133/1999, de 15 de julio, FJ 2, y 276/2000, de 16 de noviembre, FJ 6, entre otras.</w:t>
      </w:r>
    </w:p>
    <w:p w:rsidR="0025129F" w:rsidRDefault="0025129F" w:rsidP="0025129F">
      <w:pPr>
        <w:pStyle w:val="TextoNormal"/>
      </w:pPr>
    </w:p>
    <w:p w:rsidR="0025129F" w:rsidRDefault="0025129F" w:rsidP="0025129F">
      <w:pPr>
        <w:pStyle w:val="TextoNormal"/>
      </w:pPr>
      <w:r w:rsidRPr="0025129F">
        <w:rPr>
          <w:rStyle w:val="NumeroAFNegritaCaracter"/>
        </w:rPr>
        <w:t>4</w:t>
      </w:r>
      <w:r>
        <w:t>. Debemos, pues, proyectar esta doctrina constitucional al caso ahora planteado y, conforme a la misma, analizar si la norma reglamentaria sancionadora que resultó de aplicación a la entidad recurrente encontraba o no suficiente cobertura en una norma con rango de Ley. Ciertamente, cuál pudiera ser la norma legal que ofrece cobertura al art. 39.23 del Reglamento de máquinas recreativas y de azar es algo que no puede deducirse de la Resolución que impuso la sanción a Oper Tenerife, S.A., dado que, como subraya la demanda, aquélla se limita a especificar los preceptos del texto reglamentario que la fundamentan (consideraciones jurídicas cuarta y quinta).  Tampoco es éste un dato que pueda extraerse de la Sentencia del Tribunal Superior de Justicia de Canarias impugnada que, como denuncian tanto la recurrente como el Ministerio Fiscal, en su fundamento jurídico octavo cita como norma habilitante del art. 39.23 del Reglamento a la Ley 6/1985, de 30 de diciembre, reguladora de los juegos y apuestas de Canarias, pero sin concretar precepto alguno de la misma. Es la Letrada de la Comunidad Autónoma de Canarias la que en el escrito de alegaciones presentado ante este Tribunal especifica que la calificación de los hechos sancionados como infracción muy grave tiene cobertura en el art. 21.1, apartado 2, subapartado 2.1, letra n), de la mencionada Ley, en virtud del cual constituye infracción muy grave “cualquier acción u omisión que signifique alteración o modificación sustancial de lo que ordenan los reglamentos respectivos tanto si es respecto al jugador como a los titulares de las autorizaciones administrativas y al personal que las gestiona”.</w:t>
      </w:r>
    </w:p>
    <w:p w:rsidR="0025129F" w:rsidRDefault="0025129F" w:rsidP="0025129F">
      <w:pPr>
        <w:pStyle w:val="TextoNormal"/>
      </w:pPr>
      <w:r>
        <w:t>En suma, tanto la Administración autonómica que ha impuesto la sanción que se recurre en amparo, como el órgano judicial que la ha confirmado, coinciden en que el art. 39.23 del Reglamento tiene cobertura en la Ley 6/1985, que regula los juegos y apuestas en la Comunidad Autónoma de Canarias o, lo que es igual, que la conducta antijurídica que el citado precepto reglamentario define como infracción muy grave y se imputa al ahora recurrente en amparo encuentra su definición básica en la citada norma legal.  Sin embargo, el análisis de dicha Ley, señaladamente de su Título IV, que regula el régimen de infracciones y sanciones, lleva a una conclusión diferente.</w:t>
      </w:r>
    </w:p>
    <w:p w:rsidR="0025129F" w:rsidRDefault="0025129F" w:rsidP="0025129F">
      <w:pPr>
        <w:pStyle w:val="TextoNormal"/>
      </w:pPr>
      <w:r>
        <w:t xml:space="preserve">En efecto, el art. 21.2 de la Ley 6/1985, después de señalar que las infracciones pueden ser “muy graves, graves o leves”, enumera en su apartado 2.1 un extenso catálogo de conductas que se tipifican como infracciones muy graves. Concretamente, de conformidad con dicho precepto, constituyen infracciones muy graves los siguientes comportamientos: </w:t>
      </w:r>
      <w:r>
        <w:lastRenderedPageBreak/>
        <w:t>la explotación de un juego sin autorización [letra a)]; no llevar los libros de contabilidad exigidos reglamentariamente [letra b)]; el empleo de máquinas no homologadas o autorizadas [letra c)]; la importación, fabricación, distribución, venta, instalación o explotación de elementos de juego no inscritos en el registro de modelos [letra d)]; la autorización a menores de la práctica de juegos [letra e)]; el empleo de documentos falsos para obtener los permisos necesarios [letra f)]; carecer de los documentos precisos para explotar los elementos del juego [letra g)]; la práctica de juegos en lugares no autorizados [letra h)]; alcanzar o superar en un 100 por 100 los límites máximos de premios y apuestas permitidos para cada juego [letra i)]; la negativa a los requerimientos de la inspección [letra j)]; la asociación con otras personas para fomentar la práctica de los juegos al margen de las normas [letra k)]; la concesión de préstamos a los jugadores en los lugares donde se practique el juego [letra l)]; la reiteración de tres faltas graves en un período de doce meses [letra m)]; y cualquier acción u omisión que signifique alteración o modificación sustancial de lo que ordenan los reglamentos [letra n)].</w:t>
      </w:r>
    </w:p>
    <w:p w:rsidR="0025129F" w:rsidRDefault="0025129F" w:rsidP="0025129F">
      <w:pPr>
        <w:pStyle w:val="TextoNormal"/>
      </w:pPr>
      <w:r>
        <w:t>Pues bien, resulta evidente que la conducta consistente en “no respetar el plazo mínimo de permanencia” de las máquinas de juego en los locales donde estuviera autorizada su instalación, calificada por el art.  39.23 del Reglamento de máquinas recreativas y de azar como infracción muy grave, ni está tipificada como tal en el subapartado 2.1 del art. 21.2 de la Ley 6/1985, ni constituye —como reclama la garantía de carácter formal que incorpora el art. 25.1 CE— desarrollo de ninguno de los tipos de infracciones que el citado precepto legal define como infracciones muy graves. Nos encontramos, pues, prima facie, ante una regulación independiente, no claramente subordinada a la Ley, del tipo de una infracción administrativa o, lo que es igual, ante la degradación de la garantía esencial ex art. 25 CE que el principio de reserva de ley entraña, como forma de asegurar que la regulación de los ámbitos de libertad que corresponden a los ciudadanos dependa exclusivamente de la voluntad de sus representantes.</w:t>
      </w:r>
    </w:p>
    <w:p w:rsidR="0025129F" w:rsidRDefault="0025129F" w:rsidP="0025129F">
      <w:pPr>
        <w:pStyle w:val="TextoNormal"/>
      </w:pPr>
      <w:r>
        <w:t>Por otra parte, y frente a lo que mantiene la Letrada de la Comunidad Autónoma de Canarias, no puede entenderse a estos efectos como cobertura legal suficiente la calificación como infracción muy grave que la letra n) del art. 21.2, subapartado 2.1, hace de “cualquier acción u omisión que signifique alteración o modificación sustancial de lo que ordenan los reglamentos respectivos”. Basta señalar, al efecto, que no es ésta una norma habilitante, esto es, una norma que habilite para el ejercicio del poder reglamentario en el ámbito sancionador, sino que es de suyo —como se evidencia por la simple lectura de su texto— una norma que, por sí misma, define infracciones administrativas mediante la simple remisión (una remisión ciertamente genérica y abierta) a la regulación de normas reglamentarias. Es por todo ello, precisamente, por lo que dicha norma no ofrece la cobertura legal que pretende la representación procesal de la Comunidad Autónoma. Al respecto debe advertirse, en primer lugar, que la previsión típica de la norma reglamentaria cuestionada no es equivalente a la previsión típica de la precitada norma legal. Y, en segundo lugar, que el citado precepto legal sólo se refiere a la contravención de Reglamentos que regulen los juegos y apuestas, conteniendo una tipificación residual (sólo son infracciones muy graves las contravenciones reglamentarias que no estén ya específicamente tipificadas en otro precepto de la Ley 6/1985); mas, como señalamos en la STC 60/2000, FJ 4 [con cita en la STC 341/1993, FJ 10 b)], “la simple acotación de una materia” (en este caso, juegos y apuestas) “o el carácter residual de un tipo de infracción (respecto de otros tipos definidos con precisión en la misma Ley) no permiten identificar, en la Ley, qué conductas serán sancionables”.</w:t>
      </w:r>
    </w:p>
    <w:p w:rsidR="0025129F" w:rsidRDefault="0025129F" w:rsidP="0025129F">
      <w:pPr>
        <w:pStyle w:val="TextoNormal"/>
      </w:pPr>
      <w:r>
        <w:lastRenderedPageBreak/>
        <w:t>De todo ello se desprende que, frente a lo que mantienen la Administración sancionadora y el Tribunal Superior de Justicia de Canarias, el art. 39.23 del Decreto 93/1988, de 31 de mayo, por el que se aprueba el Reglamento de máquinas recreativas y de azar de la Comunidad Autónoma de Canarias, introducido por el Decreto 132/1989, de 1 de junio, carece de cobertura en la Ley 6/1985, reguladora de los juegos y apuestas de Canarias, y que, por tanto, la aplicación que del mismo han hecho el Consejero de Presidencia y Relaciones Institucionales de la Comunidad Autónoma de Canarias y la resolución judicial que la ha confirmado vulneran el art. 25.1 CE.</w:t>
      </w:r>
    </w:p>
    <w:p w:rsidR="0025129F" w:rsidRDefault="0025129F" w:rsidP="0025129F">
      <w:pPr>
        <w:pStyle w:val="TextoNormal"/>
      </w:pPr>
      <w:r>
        <w:t>Todo lo expuesto conduce a anular la resolución sancionadora impugnada y la Sentencia de la Sala de lo Contencioso-Administrativo del Tribunal Superior de Justicia de Canarias de 21 de abril de 1997, que en funciones de revisión judicial no reparó la lesión previa.</w:t>
      </w:r>
    </w:p>
    <w:p w:rsidR="0025129F" w:rsidRDefault="0025129F" w:rsidP="0025129F">
      <w:pPr>
        <w:pStyle w:val="TextoNormal"/>
      </w:pPr>
      <w:r>
        <w:t>La conclusión de que la resolución judicial impugnada en amparo ha vulnerado el art. 25 CE hace innecesario examinar la infracción del art. 24.1 CE que el demandante de amparo imputa también a dicha Sentencia.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la entidad Oper Tenerife, S.A., y, en su virtud:</w:t>
      </w:r>
    </w:p>
    <w:p w:rsidR="0025129F" w:rsidRDefault="0025129F" w:rsidP="0025129F">
      <w:pPr>
        <w:pStyle w:val="TextoNormal"/>
      </w:pPr>
      <w:r>
        <w:t>1º Declarar que se ha vulnerado el derecho de la entidad recurrente a la legalidad sancionadora (art. 25.1 CE).</w:t>
      </w:r>
    </w:p>
    <w:p w:rsidR="0025129F" w:rsidRDefault="0025129F" w:rsidP="0025129F">
      <w:pPr>
        <w:pStyle w:val="TextoNormal"/>
      </w:pPr>
      <w:r>
        <w:t>2º Reconocer el derecho de la entidad recurrente a no ser sancionada en aplicación del art. 39, apartado 23, del Decreto 93/1988, de 31 de mayo, por el que se aprueba el Reglamento de máquinas recreativas y de azar de la Comunidad Autónoma de Canarias, apartado introducido por el Decreto 132/1989, de 1 de junio.</w:t>
      </w:r>
    </w:p>
    <w:p w:rsidR="0025129F" w:rsidRDefault="0025129F" w:rsidP="0025129F">
      <w:pPr>
        <w:pStyle w:val="TextoNormal"/>
      </w:pPr>
      <w:r>
        <w:t>3º Declarar la nulidad de la Resolución de 13 de noviembre de 1995 del Consejero de Presidencia y Relaciones Institucionales de la Comunidad Autónoma de Canarias y de la Sentencia de la Sala de lo Contencioso- Administrativo del Tribunal Superior de Justicia de Canarias de 21 de abril de 1997.</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0" w:name="SENTENCIA_2002_27"/>
      <w:r>
        <w:lastRenderedPageBreak/>
        <w:t>SENTENCIA 27/2002, de 11 de febrero de 2002</w:t>
      </w:r>
    </w:p>
    <w:bookmarkEnd w:id="30"/>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ECLI:ES:TC:2002:27</w:t>
      </w:r>
    </w:p>
    <w:p w:rsidR="0025129F" w:rsidRDefault="0025129F" w:rsidP="0025129F">
      <w:pPr>
        <w:pStyle w:val="SntesisDescriptiva"/>
      </w:pPr>
    </w:p>
    <w:p w:rsidR="0025129F" w:rsidRDefault="0025129F" w:rsidP="0025129F">
      <w:pPr>
        <w:pStyle w:val="SntesisDescriptiva"/>
      </w:pPr>
      <w:r>
        <w:t>Recurso de amparo 2397/97. Promovido por don Juan Ignacio Viña Solares frente a los Autos de la Audiencia Provincial y de un Juzgado de Primera Instancia de Madrid que autorizaron a la Tesorería General de la Seguridad Social la entrada en un local de negocio para el lanzamiento del ejecutado en un expediente de apremio.</w:t>
      </w:r>
    </w:p>
    <w:p w:rsidR="0025129F" w:rsidRDefault="0025129F" w:rsidP="0025129F">
      <w:pPr>
        <w:pStyle w:val="SntesisDescriptiva"/>
      </w:pPr>
    </w:p>
    <w:p w:rsidR="0025129F" w:rsidRDefault="0025129F" w:rsidP="0025129F">
      <w:pPr>
        <w:pStyle w:val="SntesisAnaltica"/>
      </w:pPr>
      <w:r>
        <w:t>Vulneración del derecho a la tutela judicial efectiva (incongruencia): falta de respuesta a las cuestiones planteadas en los recursos de reforma y queja, basadas en la previa denegación por otro Juzgado, la necesidad de la entrada y otros extremos.</w:t>
      </w:r>
    </w:p>
    <w:p w:rsidR="0025129F" w:rsidRDefault="0025129F" w:rsidP="0025129F">
      <w:pPr>
        <w:pStyle w:val="SntesisAnaltica"/>
      </w:pPr>
    </w:p>
    <w:p w:rsidR="0025129F" w:rsidRDefault="0025129F" w:rsidP="0025129F">
      <w:pPr>
        <w:pStyle w:val="Extracto"/>
      </w:pPr>
      <w:r>
        <w:t>1.</w:t>
      </w:r>
      <w:r>
        <w:tab/>
        <w:t>Las resoluciones judiciales han vulnerado el derecho a la tutela judicial efectiva (art. 24.1 CE), pues todo motivo de recurso atinente a un derecho fundamental requiere una respuesta expresa (STC 67/200) [FJ 6].</w:t>
      </w:r>
    </w:p>
    <w:p w:rsidR="0025129F" w:rsidRDefault="0025129F" w:rsidP="0025129F">
      <w:pPr>
        <w:pStyle w:val="Extracto"/>
      </w:pPr>
    </w:p>
    <w:p w:rsidR="0025129F" w:rsidRDefault="0025129F" w:rsidP="0025129F">
      <w:pPr>
        <w:pStyle w:val="Extracto"/>
      </w:pPr>
      <w:r>
        <w:t>2.</w:t>
      </w:r>
      <w:r>
        <w:tab/>
        <w:t>Dados los términos de la alegación formulada, de vulneración del derecho al juez predeterminado por la ley (art. 24.2 CE) con fundamento en la previa denegación de entrada, que había acordado otro órgano judicial, no puede entenderse que la simple negación del efecto de cosa juzgada sea una tácita denegación, sino que propiamente constituye una auténtica omisión de respuesta [ FJ 5].</w:t>
      </w:r>
    </w:p>
    <w:p w:rsidR="0025129F" w:rsidRDefault="0025129F" w:rsidP="0025129F">
      <w:pPr>
        <w:pStyle w:val="Extracto"/>
      </w:pPr>
    </w:p>
    <w:p w:rsidR="0025129F" w:rsidRDefault="0025129F" w:rsidP="0025129F">
      <w:pPr>
        <w:pStyle w:val="Extracto"/>
      </w:pPr>
      <w:r>
        <w:t>3.</w:t>
      </w:r>
      <w:r>
        <w:tab/>
        <w:t>Doctrina constitucional sobre la incongruencia omisiva de las resoluciones judiciales (SSTC 67/2000, 5/2001)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2397/97 promovido por don Juan Ignacio Viña Solares, representado primero por la Procuradora de los Tribunales doña María de los Ángeles Cuevas León y posteriormente por doña Gloria de Oro-Pulido Sanz y asistido por el Abogado don Tomás Cantoral Fernández, contra el Auto de 25 de abril de 1997 de la Sección Decimosexta de la Audiencia Provincial de Madrid, que desestimó el recurso de queja </w:t>
      </w:r>
      <w:r>
        <w:lastRenderedPageBreak/>
        <w:t>interpuesto contra el Auto del Juzgado de Primera Instancia núm. 6 de Madrid, de fecha 31 de enero de 1997, el cual, a su vez, había desestimado el recurso de reforma formulado contra el Auto de 31 de enero de 1996 del mismo Juzgado, recaído en diligencias indeterminadas núm. 98/96, que había autorizado la entrada en un local de negocio para la ejecución de una resolución administrativa. Ha intervenido el Ministerio Fiscal. Ha sido parte la Tesorería General de la Seguridad Social, asistida y representada por el Letrado don Juan Andrés Ruiz Díaz.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3 de junio de 1997, don Juan Ignacio Viña Solares, bajo la representación procesal de la Procuradora María de los Ángeles Cuevas León, interpuso demanda de amparo constitucional contra las resoluciones arriba indicadas.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que se fundamenta la demanda son, sucintamente expuestos, los siguientes: </w:t>
      </w:r>
    </w:p>
    <w:p w:rsidR="0025129F" w:rsidRDefault="0025129F" w:rsidP="0025129F">
      <w:pPr>
        <w:pStyle w:val="TextoNormal"/>
      </w:pPr>
      <w:r>
        <w:t xml:space="preserve">a) La Unidad de Recaudación Ejecutiva (URE) núm. 9 de Madrid tramitó contra el ahora recurrente en amparo, titular de un negocio de hostelería sito en un local de la calle General Moscardó, núm. 25, de Madrid, un expediente de apremio por reclamación de cuotas impagadas a la Seguridad Social. En dicho procedimiento le fue embargado el derecho de traspaso sobre el local, del que era arrendatario. Tras los trámites oportunos se celebró la subasta y, como quedó desierta, se procedió a la venta del derecho de traspaso embargado mediante la forma de gestión directa. El propietario del local de negocio, que es la Fundación Gregorio Prieto, ejercitó su derecho de tanteo, siéndole adjudicado el expresado derecho de traspaso. </w:t>
      </w:r>
    </w:p>
    <w:p w:rsidR="0025129F" w:rsidRDefault="0025129F" w:rsidP="0025129F">
      <w:pPr>
        <w:pStyle w:val="TextoNormal"/>
      </w:pPr>
      <w:r>
        <w:t xml:space="preserve">b) El 11 de noviembre de 1994 se formalizó ante Notario la escritura de adjudicación del derecho de traspaso por parte de la URE a favor de la adjudicataria Fundación Gregorio Prieto. </w:t>
      </w:r>
    </w:p>
    <w:p w:rsidR="0025129F" w:rsidRDefault="0025129F" w:rsidP="0025129F">
      <w:pPr>
        <w:pStyle w:val="TextoNormal"/>
      </w:pPr>
      <w:r>
        <w:t xml:space="preserve">c) El 15 de noviembre de 1994 la URE intentó practicar una diligencia de entrega de la posesión del local. Tal diligencia no pudo llevarse a efecto ya que el Letrado del ahora recurrente en amparo, que le representaba en dicho acto, manifestó que “no tenía instrucción ni indicación alguna por parte del sujeto pasivo referida a la entrega de las llaves del local de negocio”. </w:t>
      </w:r>
    </w:p>
    <w:p w:rsidR="0025129F" w:rsidRDefault="0025129F" w:rsidP="0025129F">
      <w:pPr>
        <w:pStyle w:val="TextoNormal"/>
      </w:pPr>
      <w:r>
        <w:t xml:space="preserve">d) En fecha 30 de diciembre de 1994 la Fundación Gregorio Prieto instó un juicio civil de cognición solicitando la ejecución judicial y lanzamiento del Sr. Viña Solares del local comercial mencionado. Por Auto de 10 de enero de 1995 el Juzgado de Primera Instancia núm. 35 de Madrid inadmitió a trámite dicha pretensión “por incompetencia de jurisdicción”. </w:t>
      </w:r>
    </w:p>
    <w:p w:rsidR="0025129F" w:rsidRDefault="0025129F" w:rsidP="0025129F">
      <w:pPr>
        <w:pStyle w:val="TextoNormal"/>
      </w:pPr>
      <w:r>
        <w:t>e) El 2 de marzo de 1995 la URE solicitó del Juzgado de Instrucción autorización de entrada en el expresado local y posterior lanzamiento del ejecutado. Previa oposición de éste, a quien se dio traslado del escrito de solicitud, el Juzgado de Instrucción núm. 12 dictó Auto con fecha 2 de octubre de 1995, que denegó la pretensión deducida. En esta resolución se razona sobre la naturaleza del derecho adjudicado y se afirma (segundo de sus fundamentos jurídicos) que “en el caso contemplado no puede concederse la autorización solicitada, pues ésta es innecesaria”, ya que “debe tenerse en cuenta que el bien adju</w:t>
      </w:r>
      <w:r>
        <w:lastRenderedPageBreak/>
        <w:t xml:space="preserve">dicado no es local arrendado, ni su uso y disfrute, sino el derecho de traspaso de dicho local”. </w:t>
      </w:r>
    </w:p>
    <w:p w:rsidR="0025129F" w:rsidRDefault="0025129F" w:rsidP="0025129F">
      <w:pPr>
        <w:pStyle w:val="TextoNormal"/>
      </w:pPr>
      <w:r>
        <w:t xml:space="preserve">f) El 31 de octubre de 1995 la URE requirió al ejecutado para la entrega de las llaves del local y posteriormente señaló la fecha de 29 de noviembre del mismo año para la práctica de la diligencia de entrega. Interpuesto recurso de reposición el 24 de noviembre, se suspendió la diligencia de entrega acordada. La Dirección Provincial de la Seguridad Social desestimó dicho recurso por Resolución de 8 de enero de 1996, en la que asimismo señaló el siguiente día 18 de enero para llevar a efecto la entrega del local de negocio, con apercibimiento de lanzamiento. </w:t>
      </w:r>
    </w:p>
    <w:p w:rsidR="0025129F" w:rsidRDefault="0025129F" w:rsidP="0025129F">
      <w:pPr>
        <w:pStyle w:val="TextoNormal"/>
      </w:pPr>
      <w:r>
        <w:t xml:space="preserve">g) Asimismo, en enero de 1996 la Fundación Gregorio Prieto formuló demanda contra el Sr. Viña Solares en la que solicitaba se declarase “la resolución de los contratos de arrendamiento de los locales de la calle General Moscardó, 25, de Madrid, suscritos entre la Fundación nombrada y el demandado, por falta de pago de la renta y otras cantidades cuyo pago corresponde al arrendatario, previniendo a dicho demandado de su obligación de desalojar el local”, con apercibimiento de lanzamiento, y asimismo se condenase al entonces demandado al pago de la cantidad que le adeudaba, más “la renta y el importe de los servicios del local de los días que transcurran hasta el efectivo desalojo”. </w:t>
      </w:r>
    </w:p>
    <w:p w:rsidR="0025129F" w:rsidRDefault="0025129F" w:rsidP="0025129F">
      <w:pPr>
        <w:pStyle w:val="TextoNormal"/>
      </w:pPr>
      <w:r>
        <w:t xml:space="preserve">h) También en enero de 1996 la URE solicitó nueva autorización de entrada en los expresados locales para el lanzamiento del ejecutado. El Juzgado de Instrucción núm. 6 de Madrid otorgó la autorización de entrada solicitada, mediante Auto de fecha 31 de enero de 1996. La fundamentación jurídica de dicho Auto decía lo siguiente: “El Tribunal Constitucional, entre otras en la Sentencia 144/87, de 23 de septiembre, publicada en el BOE de 20 de octubre de 1987, ha señalado que la facultad ejercida por el Juez de Instrucción al amparo de lo dispuesto en el art. 87.2 de la Ley Orgánica del Poder Judicial ‘no ha sustraído a la jurisdicción contenciosa el control de la legalidad de los actos de la Administración cuya ejecución exige la entrada en un domicilio para atribuirlo al Juez de Instrucción que ha de acordar esa entrada’. Razona el Alto Tribunal que ‘el control de la legalidad de tales actos, como el de toda la actuación administrativa, sigue siendo competencia específica de una jurisdicción que es también la única que puede acordar la suspensión de lo resuelto por la Administración’. En consecuencia, el Juez de Instrucción decide como garante de la inviolabilidad del domicilio y lo único que ha de asegurar es que requiere la entrada en él la ejecución de un acto que prima facie parece dictado por Autoridad competente en el ejercicio de sus facultades propias, debiendo observarse que la ejecución del acto limita la inviolabilidad del domicilio sólo en cuanto sea exclusivamente indispensable para garantizar aquélla. Por consiguiente, y pareciendo necesaria la ejecución del acto, procede librar el mandamiento que se interesa, de conformidad con lo dispuesto en el art. 87.2 antes invocado” (sic). La parte dispositiva del Auto es del tenor literal siguiente: “Se decreta la entrada en el domicilio de Fundación Gregorio Prieto, sito en Madrid, c/General Moscardó, 25, por parte de los Funcionarios de la Unidad de Recaudación Ejecutiva de la Seguridad Social, a fin de proceder a la entrada, descerrajadura de la puerta en caso necesario y lanzamiento del ejecutado, librándose mandamiento para que se lleve a efecto lo acordado, enviando al Juzgado el resultado de las diligencias que se practiquen así como los datos de quienes lo lleven a efecto”. </w:t>
      </w:r>
    </w:p>
    <w:p w:rsidR="0025129F" w:rsidRDefault="0025129F" w:rsidP="0025129F">
      <w:pPr>
        <w:pStyle w:val="TextoNormal"/>
      </w:pPr>
      <w:r>
        <w:t xml:space="preserve">i) Con fundamento en dicho Auto la URE emplazó al ejecutado para la entrega del local, señalando el día 17 de octubre de 1996 para la diligencia correspondiente. En dicha fecha el ejecutado se opuso basándose en que dicha resolución no se le había notificado, por lo que se suspendió la diligencia. </w:t>
      </w:r>
    </w:p>
    <w:p w:rsidR="0025129F" w:rsidRDefault="0025129F" w:rsidP="0025129F">
      <w:pPr>
        <w:pStyle w:val="TextoNormal"/>
      </w:pPr>
      <w:r>
        <w:lastRenderedPageBreak/>
        <w:t xml:space="preserve">j) Notificado posteriormente el Auto, el ejecutado y ahora demandante de amparo interpuso recurso de reforma contra el mismo, que fue desestimado por Auto de 31 de enero de 1997 del mismo Juzgado de Instrucción. El único fundamento jurídico de este último Auto decía lo siguiente: “Son válidos los propios razonamientos jurídicos expuestos en el auto recurrido, que aquí se dan por reproducidos, en el que se decretaba la entrada en el local sito en la C/General Moscardó 25, por cuya razón procede desestimar el Recurso de Reforma interpuesto por la Procuradora Sra. Cuevas León en la representación de Juan Ignacio Viña Solares, mantener en todo su pronunciamiento la resolución recurrida”. El expresado Auto decía asimismo que contra el mismo no cabía “recurso ordinario alguno, pudiendo interponerse únicamente recurso de queja ante la superioridad”. </w:t>
      </w:r>
    </w:p>
    <w:p w:rsidR="0025129F" w:rsidRDefault="0025129F" w:rsidP="0025129F">
      <w:pPr>
        <w:pStyle w:val="TextoNormal"/>
      </w:pPr>
      <w:r>
        <w:t>k) El ahora demandante de amparo interpuso recurso de queja contra el Auto de 31 de enero de 1997, cuyo conocimiento correspondió a la Sección Decimosexta de la Audiencia Provincial de Madrid. Dicho Tribunal dictó Auto en fecha 25 de abril de 1997, que desestimó el recurso de queja, y cuyo único fundamento jurídico es del tenor literal siguiente: “De los antecedentes obrantes en la Causa y en el presente Rollo relativos al Auto de entrada en domicilio que se recurre, debe entenderse que la mencionada Resolución es ajustada a derecho, por cuanto que las funciones del Juez de Instrucción no se extienden al enjuiciamiento exhaustivo de la legalidad de un acto que jurídicamente y de manera forzosa ha de ser calificado de administrativo, acto cuya ejecución precisa, por lo demás, la entrada en el domicilio, puesto que el control de la legalidad de tales actos corresponde, a través de los recursos pertinentes, a la jurisdicción contencioso-administrativa.- El Juez de Instrucción lo único que debe examinar a los efectos de conceder la autorización, como garante, eso sí, del derecho fundamental a la inviolabilidad del domicilio, es si el acto está, prima facie, dictado por autoridad competente y en el ejercicio de las facultades que legalmente le estén atribuidas, y si su ejecución exige la entrada en el domicilio, requisitos que se dan en el presente caso, no debiendo la Sala entrar a conocer sobre el fondo del asunto, cuestión ésta por ende extensiva al Instructor, por lo que sus resoluciones no tienen el carácter en estos supuestos de cosa juzgada”.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de amparo se aducen diversas vulneraciones constitucionales, que se relacionan a continuación. </w:t>
      </w:r>
    </w:p>
    <w:p w:rsidR="0025129F" w:rsidRDefault="0025129F" w:rsidP="0025129F">
      <w:pPr>
        <w:pStyle w:val="TextoNormal"/>
      </w:pPr>
      <w:r>
        <w:t xml:space="preserve">En primer lugar, se alega vulneración del art. 24.1 CE, en cuanto se ha desconocido el derecho de audiencia y contradicción previas a la adopción de la resolución judicial. El recurrente alega que el Auto de 31 de enero de 1996 se dictó sin que le fuera concedido ningún tipo de audiencia. Y añade, respecto de los Autos resolutorios de los recursos de reforma y de queja, que “ninguno de los dos se pronuncia sobre el reproche de inexistencia de trámite de audiencia previa y contradicción que se le había formulado”. Señala, al efecto, la representación del recurrente que “la falta de tal trámite de alegaciones o audiencia previa a la Autorización ha hurtado a mi representado la posibilidad de poner en conocimiento del Juez de Instrucción (antes de emitir tal autorización) sus dudas sobre el carácter del acto que se intenta ejecutar, su cualidad de cosa juzgada por existir resolución previa denegando la Autorización de Entrada, dictada por el Juzgado de Instrucción núm. 12, y la falta de competencia del órgano que lo emitió, por agotamiento de la vía administrativa, generando una situación de absoluta indefensión”. Indica asimismo el recurrente que tal indefensión “no queda sanada por el hecho ... de que se nos otorgase la posibilidad de interponer recurso de reforma o de queja puesto que, mientras tanto, ya se ha podido causar la hipotética lesión del derecho fundamental a la inviolabilidad del domicilio, con los grandes perjuicios que le son inherentes”. </w:t>
      </w:r>
    </w:p>
    <w:p w:rsidR="0025129F" w:rsidRDefault="0025129F" w:rsidP="0025129F">
      <w:pPr>
        <w:pStyle w:val="TextoNormal"/>
      </w:pPr>
      <w:r>
        <w:lastRenderedPageBreak/>
        <w:t xml:space="preserve">En segundo lugar, se alega la vulneración del art. 24.2 CE, “en su faceta de Derecho al Juez Ordinario Predeterminado por la Ley, en relación con el principio de seguridad jurídica”. Afirma el recurrente que es reiterada la doctrina del Tribunal Constitucional que “indica la conexión existente entre el principio de inmodificabilidad de las resoluciones judiciales firmes, anudado a la seguridad jurídica consagrada en el art. 9.3 de la CE y la tutela judicial efectiva de su art. 24”. Y añade que en este caso, “además de afectar a la tutela judicial efectiva ... se vulnera el derecho al Juez Ordinario predeterminado por la Ley cuando la U.R.E. núm. 9 de Madrid, tras haberle sido negada la Autorización de Entrada por el Juzgado de Instrucción núm. 12 de Madrid, reproduce su petición ante otro Juzgado, el de Instrucción nº 6, con el fin de probar suerte y que le autoricen la ejecución del acto”. Indica, al efecto, el recurrente que la URE no había formulado recurso alguno contra la resolución denegatoria que había dictado el Juzgado de Instrucción núm. 12. Por último, dice el recurrente, sobre este particular, lo siguiente: “Parece que la U.R.E. funda esta segunda petición en el inconsistente argumento de que la anterior ocasión en la que se solicitó la entrada el acto cuya ejecución se pretendía no era regular, puesto que no se había requerido previamente de desalojo voluntario. Tal aserto es incierto, puesto que el acto para cuya ejecución se solicitó la autorización de entrada ante el Juzgado de Instrucción núm. 12 era para proceder a la entrega intentada de forma voluntaria el 15 de noviembre de 1994 (es decir, existió requerimiento previo)”. </w:t>
      </w:r>
    </w:p>
    <w:p w:rsidR="0025129F" w:rsidRDefault="0025129F" w:rsidP="0025129F">
      <w:pPr>
        <w:pStyle w:val="TextoNormal"/>
      </w:pPr>
      <w:r>
        <w:t xml:space="preserve">En tercer lugar, se alega la vulneración del art. 24.1 CE, en cuanto se refiere al “derecho a la obtención de una resolución sobre el fondo del asunto fundada en derecho, en relación con la doctrina que para la interpretación de este derecho ha sido dictada por el Tribunal Constitucional”. Afirma el recurrente que ninguna de las tres resoluciones impugnada satisface las exigencias constitucionales de fundamentación y motivación, indicando, además, que los dos últimos autos “burlan el espíritu del derecho de acceso a los recursos pues, aunque se nos concede tal acceso, la respuesta que a los mismos se les da es tan nimia, parca e infundada que más hubiera valido haber denegado la posibilidad de recurrir”. Respecto del Auto de 31 de enero de 1997 se afirma que el único fundamento se limita a remitirse a los razonamientos contenidos en el Auto entonces recurrido, por lo que se trata de “una pura resolución ‘de formulario’ en la que no se manifiesta haber realizado ningún examen sobre los motivos de impugnación que eran objeto del recurso de reforma”. En lo que se refiere al Auto de 25 de abril de 1997, indica el recurrente que “ni siquiera razona la concurrencia en el supuesto concreto de los dos únicos requisitos que dice que tienen que reunir las solicitudes: que haya sido dictada por autoridad competente y que sea necesaria la autorización solicitada para la ejecución del acto”, y añade que “al final se ve una implícita respuesta a uno de los motivos del recurso de queja: que las resoluciones del Juez de Instrucción, en estos casos, no tienen carácter de cosa juzgada; respuesta que, con ser la única concreta que se da a uno de los motivos de impugnación, tampoco es acertada, puesto que no era tal el objeto del reproche”. </w:t>
      </w:r>
    </w:p>
    <w:p w:rsidR="0025129F" w:rsidRDefault="0025129F" w:rsidP="0025129F">
      <w:pPr>
        <w:pStyle w:val="TextoNormal"/>
      </w:pPr>
      <w:r>
        <w:t xml:space="preserve">En cuarto lugar, se alega “violación del derecho fundamental a la inviolabilidad del domicilio, consagrado en el art. 18.2 de la CE, en relación con el art. 87.2 de la Ley Orgánica del Poder Judicial y de la doctrina emanada de este Tribunal Constitucional en interpretación de ambas normas”. Esta vulneración constitucional se fundamenta en dos motivos diferentes, que se indican seguidamente. Por una parte se aduce que la falta de motivación de estas resoluciones judiciales, al ser limitativas del derecho fundamental que garantiza la inviolabilidad del domicilio, no sólo conlleva la vulneración del derecho fundamental que consagra el art. 24.1 CE sino también la de este derecho fundamental. Por otra parte se indica que la autorización de entrada se otorgó sin respetar los requisitos exigidos </w:t>
      </w:r>
      <w:r>
        <w:lastRenderedPageBreak/>
        <w:t xml:space="preserve">al efecto por este Tribunal, ya que ni el acto administrativo cuya ejecución se autoriza había sido dictado regularmente por la autoridad competente, ni era necesaria la entrada en el local de negocio para la ejecución del acto, ni tampoco se determinaron las personas concretas a las que se autorizaba la entrada, ni el número máximo de personas que podían entrar, ni el margen temporal en el que se habían de desarrollar los actos de ejecución. </w:t>
      </w:r>
    </w:p>
    <w:p w:rsidR="0025129F" w:rsidRDefault="0025129F" w:rsidP="0025129F">
      <w:pPr>
        <w:pStyle w:val="TextoNormal"/>
      </w:pPr>
      <w:r>
        <w:t>Termina el recurrente la demanda de amparo solicitando que “[se] dicte Sentencia por la que se otorgue el amparo solicitado, declarando la nulidad del Auto de la Sección 16ª de la Audiencia Provincial de Madrid, de 25 de abril de 1997, y de aquellos de los que trae causa, ordenando la retroacción de las actuaciones al momento anterior al dictado del primero de ellos para que el Juez de Instrucción núm. 6 de Madrid dicte otro ajustado y conforme con los derechos fundamentales vulnerados”. Asimismo solicita, mediante otrosí, “la suspensión de la eficacia de la resolución judicial que se combate a través de la presente demanda de amparo”.</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Cuarta de este Tribunal, previa presentación de escrito presentado por la Procuradora doña Gloria de Oro Pulido Sanz, acompañado de poder otorgado por don Ignacio Viña Solares, acordó, por proveído de 15 de septiembre de 1997, tener a dicha Procuradora “por personada y parte en el procedimiento en nombre y representación del recurrente en amparo, acordándose entender con ella las sucesivas actuaciones”.</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22 de junio de 1998 la Sección Cuarta acordó admitir a trámite la demanda de amparo y, en virtud de lo dispuesto en el art. 51 LOTC, dirigir comunicación a la Sección Decimosexta de la Audiencia Provincial de Madrid a fin de que, en un plazo que no excediera de diez días, remitiera certificación o fotocopia adverada de las actuaciones correspondientes al recurso de queja núm. 12/97. Asimismo acordó en dicha providencia dirigir la correspondiente comunicación al Juzgado de Instrucción núm. 6 de Madrid para que remitiera, también en plazo que no excediera de diez días, certificación o fotocopia adverada de las actuaciones correspondientes al procedimiento de diligencias indeterminadas núm. 98/96 y para que emplazara a los que hubieran sido parte en el procedimiento, con excepción del recurrente en amparo, a fin de que comparecieran, sí así lo deseaban, en el plazo de diez días en el presente proceso.</w:t>
      </w:r>
    </w:p>
    <w:p w:rsidR="0025129F" w:rsidRDefault="0025129F" w:rsidP="0025129F">
      <w:pPr>
        <w:pStyle w:val="TextoNormal"/>
      </w:pPr>
    </w:p>
    <w:p w:rsidR="0025129F" w:rsidRDefault="0025129F" w:rsidP="0025129F">
      <w:pPr>
        <w:pStyle w:val="TextoNormal"/>
      </w:pPr>
      <w:r w:rsidRPr="0025129F">
        <w:rPr>
          <w:rStyle w:val="NumeroAFNegritaCaracter"/>
        </w:rPr>
        <w:t>6</w:t>
      </w:r>
      <w:r>
        <w:t>. Por otra providencia de la misma fecha la Sección Cuarta acordó formar pieza separada de suspensión y, de conformidad con lo prevenido en el art. 56 LOTC, conceder un plazo común de tres días al Ministerio Fiscal y al solicitante de amparo para que alegasen lo que estimaran pertinente sobre la suspensión solicitada. Por Auto de 14 de septiembre de 1998 la Sala Segunda acordó suspender la ejecución de las resoluciones impugnadas.</w:t>
      </w:r>
    </w:p>
    <w:p w:rsidR="0025129F" w:rsidRDefault="0025129F" w:rsidP="0025129F">
      <w:pPr>
        <w:pStyle w:val="TextoNormal"/>
      </w:pPr>
    </w:p>
    <w:p w:rsidR="0025129F" w:rsidRDefault="0025129F" w:rsidP="0025129F">
      <w:pPr>
        <w:pStyle w:val="TextoNormal"/>
      </w:pPr>
      <w:r w:rsidRPr="0025129F">
        <w:rPr>
          <w:rStyle w:val="NumeroAFNegritaCaracter"/>
        </w:rPr>
        <w:t>7</w:t>
      </w:r>
      <w:r>
        <w:t>. Por escrito presentado en el Registro de este Tribunal 21 de julio de 1998 el Letrado de la Administración de la Seguridad Social, en nombre y representación de la Tesorería General de la Seguridad Social, solicitó ser tenido por parte personada en el presente recurso de amparo. La Sección Cuarta, por providencia de 8 de octubre de 1998, acordó tener por personada y parte en este procedimiento a la Tesorería General de la Seguridad Social.</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26 de noviembre de 1998 la Sección Cuarta acordó dar vista de las actuaciones recibidas a la parte recurrente, a la Tesorería General de la Seguridad So</w:t>
      </w:r>
      <w:r>
        <w:lastRenderedPageBreak/>
        <w:t>cial y al Ministerio Fiscal por plazo común de veinte días para que dentro de dicho plazo, si lo estimaban conveniente, formulasen alegaciones.</w:t>
      </w:r>
    </w:p>
    <w:p w:rsidR="0025129F" w:rsidRDefault="0025129F" w:rsidP="0025129F">
      <w:pPr>
        <w:pStyle w:val="TextoNormal"/>
      </w:pPr>
    </w:p>
    <w:p w:rsidR="0025129F" w:rsidRDefault="0025129F" w:rsidP="0025129F">
      <w:pPr>
        <w:pStyle w:val="TextoNormal"/>
      </w:pPr>
      <w:r w:rsidRPr="0025129F">
        <w:rPr>
          <w:rStyle w:val="NumeroAFNegritaCaracter"/>
        </w:rPr>
        <w:t>9</w:t>
      </w:r>
      <w:r>
        <w:t>. El 8 de febrero de 1999 el Letrado de la Administración de la Seguridad Social presentó en el Registro de este Tribunal su escrito de alegaciones. Aduce el representante de la Administración que en el presente caso no se ha producido vulneración alguna de derecho fundamental susceptible de amparo constitucional. En su opinión, la Tesorería General de la Seguridad Social ha solicitado y obtenido la autorización judicial de entrada en domicilio, lo que no supone ni la vulneración del derecho fundamental a la inviolabilidad del domicilio ni la de ningún otro derecho fundamental.</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Ministerio Fiscal, por escrito de 4 de enero de 1999, presentó su escrito de alegaciones interesando de este Tribunal que se dictase sentencia estimatoria del recurso de amparo por vulnerar las resoluciones recurridas los derechos fundamentales consagrados en los arts. 24 y 18.2 CE. </w:t>
      </w:r>
    </w:p>
    <w:p w:rsidR="0025129F" w:rsidRDefault="0025129F" w:rsidP="0025129F">
      <w:pPr>
        <w:pStyle w:val="TextoNormal"/>
      </w:pPr>
      <w:r>
        <w:t xml:space="preserve">Entiende el Ministerio público, en primer lugar, que las resoluciones recurridas “carecen de motivación y fundamento legal y no explican las razones por las que se dictan”. Añade, al efecto, que “dichas resoluciones se limitan a señalar el precepto legal en que se basan (art. 87.2 LOPJ) pero sin determinar los hechos a los que se aplica este precepto y las razones de su aplicación”, de modo que “no contestan las alegaciones del actor a pesar de que dichas alegaciones se refieren a cuestiones fundamentales como son: la naturaleza y efectos del derecho que se trata de aplicar, las relaciones contractuales existentes entre las partes, su posible extinción y la necesidad de acudir para su efectividad a otra jurisdicción así como la falta de cumplimiento de las exigencias jurisprudenciales que autorizan la entrada y lanzamiento del inmueble”. Afirma finalmente, en cuanto a este particular, que “esta falta de motivación, en cuanto impide el conocimiento por la parte de las razones de la resolución, supone la violación del derecho fundamental a la tutela judicial efectiva consagrada en el art. 24.1 de la CE”. </w:t>
      </w:r>
    </w:p>
    <w:p w:rsidR="0025129F" w:rsidRDefault="0025129F" w:rsidP="0025129F">
      <w:pPr>
        <w:pStyle w:val="TextoNormal"/>
      </w:pPr>
      <w:r>
        <w:t xml:space="preserve">En segundo lugar, el Ministerio Fiscal entiende que no se ha producido la vulneración de derechos fundamentales, que el recurrente vincula a las exigencias de audiencia previa y derecho al Juez ordinario predeterminado por ley. Considera que no existe falta de audiencia al haber oído los órganos judiciales al ahora recurrente en amparo a través de los recursos de reforma y de queja, “por lo que la pretendida falta de audiencia ha sido reparada de forma efectiva por el Juez y la Audiencia y, por lo tanto, ha habido la contradicción exigida por el derecho fundamental a la tutela judicial efectiva”. Tampoco considera que exista la vulneración del Juez predeterminado por la Ley en relación con la seguridad jurídica alegada, pues entiende que en este caso la petición de una segunda autorización se debió a que la Administración consideró que en la primera de ellas no se había cumplido el requisito de requerimiento previo al destinatario del acto que se pretendía ejecutar —ahora recurrente en amparo— para que lo cumpliera voluntariamente y que esta interpretación de la normativa aplicable realizada por la Administración estaba fundada, motivada y no adolecía de arbitrariedad. Añade que “el órgano que concede la autorización es un Juez de primera instancia, quien legalmente era el competente para ello, y la primera resolución dictada por otro Juez no constituye cosa juzgada al no entrar en el fondo de la pretensión, porque el Juez de instrucción se limita a examinar si se cumplen o no los requisitos en el momento en que se presenta la solicitud, pudiendo variar posteriormente las circunstancias concurrentes”. </w:t>
      </w:r>
    </w:p>
    <w:p w:rsidR="0025129F" w:rsidRDefault="0025129F" w:rsidP="0025129F">
      <w:pPr>
        <w:pStyle w:val="TextoNormal"/>
      </w:pPr>
      <w:r>
        <w:lastRenderedPageBreak/>
        <w:t xml:space="preserve">En tercer lugar, examina el Ministerio Fiscal la alegada vulneración del derecho fundamental reconocido en el art. 18.2 CE. Dice al efecto que, según doctrina constitucional consolidada, “la motivación y fundamentación en derecho es una exigencia formal del principio de proporcionalidad a fin de que el Tribunal pueda comprobar la necesidad de la medida limitativa del derecho fundamental y para lograr su cumplimiento es necesario que el órgano judicial plasme en su resolución el indispensable juicio de ponderación de los derechos fundamentales e intereses en pugna, por lo que si no se cumple con este deber de motivación de las resoluciones limitativas de los derechos fundamentales por esta sola causa se infringe ya el derecho fundamental”. Afirma el Ministerio Fiscal, respecto del caso que nos ocupa, que la falta de contestación a las alegaciones de la parte (el ahora recurrente en amparo) “impide conocer las razones de la autorización”, reiterando que “la procedencia o improcedencia de las cuestiones puestas de manifiesto por el actor no han sido examinadas ni contestadas por el órgano judicial y esta falta de razonamiento y fundamentación en las resoluciones que se recurren, en cuanto limitan el derecho fundamental, sin motivar la limitación mediante la correspondiente ponderación entre aquel derecho y la necesidad de entrada, supone la violación del derecho fundamental consagrado en el art. 18.2 de la CE”. </w:t>
      </w:r>
    </w:p>
    <w:p w:rsidR="0025129F" w:rsidRDefault="0025129F" w:rsidP="0025129F">
      <w:pPr>
        <w:pStyle w:val="TextoNormal"/>
      </w:pPr>
      <w:r>
        <w:t>Por último, dice el Ministerio Fiscal que el actor alega pero no acredita que en el momento de dictarse el Auto recurrido existiera un proceso en otro orden jurisdiccional cuyo objeto fuese el problema de la realidad del no pago de las prestaciones sociales debidas y sus consecuencias, añadiendo que “esta falta de prueba impide aplicar la sentencia del Tribunal Constitucional 199/1998 al no poder determinarse con precisión si el supuesto objeto de este recurso de amparo quedaba fuera del precepto aplicado —art. 87.2 LOPJ”. Concluye el Ministerio Fiscal que “no podemos afirmar, por lo tanto, que la intervención del Juzgado de Instrucción constituye una interferencia y un impedimento determinante de la violación del art. 24.1 de la CE al impedir que el Tribunal competente pudiera dispensar la tutela judicial efectiva en toda su extensión”.</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7 de febrero de 2002, se señaló para deliberación y votación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el Auto de la Sección Decimosexta de la Audiencia Provincial de Madrid de 25 de abril de 1997, que desestima el recurso de queja interpuesto contra el Auto de 31 de enero de 1997 del Juzgado de Instrucción núm. 6 de Madrid, el cual, a su vez, había desestimado el recurso de reforma formulado contra el Auto del mismo Juzgado de fecha 31 de enero de 1996, dictado en las diligencias indeterminadas 98/96.</w:t>
      </w:r>
    </w:p>
    <w:p w:rsidR="0025129F" w:rsidRDefault="0025129F" w:rsidP="0025129F">
      <w:pPr>
        <w:pStyle w:val="TextoNormal"/>
      </w:pPr>
      <w:r>
        <w:t>Este último Auto de 31 de enero de 1996, aplicando el entonces vigente art. 87.2 LOPJ, había autorizado a la Administración a entrar en el local en que se hallaba el negocio de hostelería de la titularidad del ahora recurrente en amparo y lanzarle de dicho inmueble, con el fin de ejecutar el acto administrativo por el que se adjudicaba a la propietaria del local el derecho de traspaso sobre éste. Tal derecho le había sido embargado al recurrente en expediente de apremio tramitado por la Unidad de Recaudación Ejecutiva núm. 9 de Madrid por impago de deudas a la Seguridad Social y, tras los trámites oportunos —se intentó su venta en pública subasta y como quedó desierta se procedió a su venta por ges</w:t>
      </w:r>
      <w:r>
        <w:lastRenderedPageBreak/>
        <w:t>tión directa—, se adjudicó al propietario del local de negocio (Fundación Gregorio Prieto) al haber ejercido éste su derecho de tanteo.</w:t>
      </w:r>
    </w:p>
    <w:p w:rsidR="0025129F" w:rsidRDefault="0025129F" w:rsidP="0025129F">
      <w:pPr>
        <w:pStyle w:val="TextoNormal"/>
      </w:pPr>
      <w:r>
        <w:t>La parte dispositiva del expresado Auto de 31 de enero de 1996 dice lo siguiente: “Se decreta la entrada en el domicilio de Fundación Gregorio Prieto, sito en Madrid, C/General Moscardó, 25, por parte de los Funcionarios de la Unidad de Recaudación Ejecutiva de la Seguridad Social, a fin de proceder a la entrada, descerrajadura de la puerta en caso necesario y lanzamiento del ejecutado, librándose mandamiento para que se lleve a efecto lo acordado, enviando al Juzgado el resultado de las diligencias que se practiquen así como los datos de quienes lo lleven a efecto”.</w:t>
      </w:r>
    </w:p>
    <w:p w:rsidR="0025129F" w:rsidRDefault="0025129F" w:rsidP="0025129F">
      <w:pPr>
        <w:pStyle w:val="TextoNormal"/>
      </w:pPr>
    </w:p>
    <w:p w:rsidR="0025129F" w:rsidRDefault="0025129F" w:rsidP="0025129F">
      <w:pPr>
        <w:pStyle w:val="TextoNormal"/>
      </w:pPr>
      <w:r w:rsidRPr="0025129F">
        <w:rPr>
          <w:rStyle w:val="NumeroAFNegritaCaracter"/>
        </w:rPr>
        <w:t>2</w:t>
      </w:r>
      <w:r>
        <w:t>. El demandante de amparo aduce que los Autos impugnados vulneran derechos fundamentales consagrados en los arts. 18.2 y 24 CE, según con detalle se expresa en los antecedentes de esta Sentencia. Respecto de la alegada vulneración del art. 24 CE, el recurrente se refiere fundamentalmente a los siguientes extremos: a) el Auto de 31 de enero de 1996, autorizando la entrada en el local de negocio, es contrario al derecho fundamental a la tutela judicial efectiva por haber sido dictado inaudita parte, ya que no se concedió previa audiencia al ejecutado; b) las tres resoluciones judiciales impugnadas no satisfacen las exigencias constitucionales de fundamentación y motivación, habiendo de destacarse en especial que el Auto del Juzgado de Instrucción, resolutorio del recurso de reforma, y el Auto de la Audiencia Provincial, resolutorio del recurso de queja, no dan respuesta a las cuestiones que, en los respectivos recursos, fueron planteadas por el recurrente, generando con ello incongruencia omisiva; c) las resoluciones impugnadas vulneran el derecho al Juez ordinario predeterminado por la Ley, ya que autorizan la entrada pese a que previamente, y concurriendo las mismas circunstancias, esa autorización había sido denegada por otro órgano judicial, debiendo considerarse lesiva del referido derecho fundamental la práctica de reiterar la solicitud hasta encontrar un órgano judicial que acceda a las pretensiones formuladas.</w:t>
      </w:r>
    </w:p>
    <w:p w:rsidR="0025129F" w:rsidRDefault="0025129F" w:rsidP="0025129F">
      <w:pPr>
        <w:pStyle w:val="TextoNormal"/>
      </w:pPr>
      <w:r>
        <w:t>En lo que se refiere a la alegada vulneración del derecho reconocido por el art.  18.2 CE, el recurso se fundamenta en diversos motivos, que se resumen a continuación: a) la falta de motivación de las resoluciones judiciales, ya aducida, conlleva, en cuanto se refiere a la autorización de entrada en domicilio, la vulneración del expresado derecho fundamental; b) las resoluciones judiciales no cumplen los requisitos que exige la jurisprudencia constitucional, pues ni determinan las personas concretas a las que se autoriza la entrada, ni el número máximo de personas que pueden entrar, ni tampoco se establece el margen temporal en que se han de desarrollar los actos de ejecución; c) el acto administrativo que pretende ejecutarse, aunque ha sido dictado por autoridad competente, lo ha sido fuera del ejercicio ordinario de sus funciones; d) la entrada, cuya autorización se solicitó al órgano judicial, no era necesaria para la ejecución del acto.</w:t>
      </w:r>
    </w:p>
    <w:p w:rsidR="0025129F" w:rsidRDefault="0025129F" w:rsidP="0025129F">
      <w:pPr>
        <w:pStyle w:val="TextoNormal"/>
      </w:pPr>
      <w:r>
        <w:t>El Ministerio Fiscal solicita la estimación del amparo por entender que las resoluciones impugnadas vulneran el art. 24.1 CE, al no encontrarse debidamente motivadas y no dar respuesta a las cuestiones alegadas, y el art. 18.2 CE ya que, al tratarse de una medida limitativa del derecho fundamental que consagra el referido precepto constitucional, la falta de motivación determina la vulneración del derecho fundamental a la inviolabilidad del domicilio. Considera, en cambio, que no concurren las demás infracciones del art. 24 CE alegadas por el recurrente.</w:t>
      </w:r>
    </w:p>
    <w:p w:rsidR="0025129F" w:rsidRDefault="0025129F" w:rsidP="0025129F">
      <w:pPr>
        <w:pStyle w:val="TextoNormal"/>
      </w:pPr>
      <w:r>
        <w:t>La Tesorería General de la Seguridad Social, que es parte en este recurso de amparo, solicita su desestimación pues considera que no concurre ninguna de las vulneraciones constitucionales alegadas.</w:t>
      </w:r>
    </w:p>
    <w:p w:rsidR="0025129F" w:rsidRDefault="0025129F" w:rsidP="0025129F">
      <w:pPr>
        <w:pStyle w:val="TextoNormal"/>
      </w:pPr>
    </w:p>
    <w:p w:rsidR="0025129F" w:rsidRDefault="0025129F" w:rsidP="0025129F">
      <w:pPr>
        <w:pStyle w:val="TextoNormal"/>
      </w:pPr>
      <w:r w:rsidRPr="0025129F">
        <w:rPr>
          <w:rStyle w:val="NumeroAFNegritaCaracter"/>
        </w:rPr>
        <w:t>3</w:t>
      </w:r>
      <w:r>
        <w:t>. De las diferentes cuestiones planteadas, debemos examinar en primer lugar los defectos de motivación aducidos, en especial los que, referidos a la falta de respuesta a las cuestiones planteadas en los respectivos recursos de reforma y queja, pueden ser expresión de la concurrencia de incongruencia omisiva. Su estimación, caso de ser procedente, haría innecesario el análisis de las demás vulneraciones alegadas.</w:t>
      </w:r>
    </w:p>
    <w:p w:rsidR="0025129F" w:rsidRDefault="0025129F" w:rsidP="0025129F">
      <w:pPr>
        <w:pStyle w:val="TextoNormal"/>
      </w:pPr>
      <w:r>
        <w:t>Para poder apreciar que existe incongruencia omisiva debe constatarse en primer lugar que la cuestión cuyo conocimiento y decisión se dice que quedó imprejuzgada fue efectivamente planteada ante el órgano judicial en el momento procesal oportuno. Como dijimos en la STC 215/1999, de 29 de noviembre, FJ 3, citada a su vez por la STC 5/2001, de 15 de enero, FJ 4, “el juicio sobre la congruencia de la resolución judicial exige confrontar ‘la parte dispositiva de la Sentencia y el objeto del proceso, delimitado por referencia a sus elementos subjetivos —partes— y objetivos —causa de pedir y petitum—‘; de manera que en relación a estos últimos elementos ‘la adecuación debe extenderse tanto al resultado que el litigante pretende obtener, como a los hechos y fundamentos jurídicos que sustentan la pretensión’ (por todas, SSTC 136/1998, FJ 2, 29/1999, FJ 2)”.</w:t>
      </w:r>
    </w:p>
    <w:p w:rsidR="0025129F" w:rsidRDefault="0025129F" w:rsidP="0025129F">
      <w:pPr>
        <w:pStyle w:val="TextoNormal"/>
      </w:pPr>
      <w:r>
        <w:t>Una vez comprobado el expresado extremo, deben tomarse en consideración las concretas circunstancias del caso pues, como reiteradamente hemos sostenido, las hipótesis de incongruencia omisiva vulneradora del derecho fundamental a la tutela judicial efectiva no pueden resolverse genéricamente sino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(STC 5/2001, FJ 4, y las por ella citadas).</w:t>
      </w:r>
    </w:p>
    <w:p w:rsidR="0025129F" w:rsidRDefault="0025129F" w:rsidP="0025129F">
      <w:pPr>
        <w:pStyle w:val="TextoNormal"/>
      </w:pPr>
      <w:r>
        <w:t>A estos efectos hemos señalado que hay distinguir entre las alegaciones aducidas por las partes para fundamentar sus pretensiones y las pretensiones en sí mismas consideradas. Respecto de estas últimas hemos sostenido que las exigencias de congruencia son más estrictas y por ello hemos afirmado que para poder apreciar que del conjunto de razonamientos contenidos en la resolución judicial existe una respuesta tácita es preciso no sólo que de los referidos razonamientos pueda deducirse que el órgano judicial ha valorado la pretensión sostenida, sino, además, que de ellos puedan deducirse también los motivos en los que esta respuesta tácita se fundamenta. Por el contrario, respecto de las meras alegaciones, la satisfacción del derecho a la tutela judicial efectiva no exige, en principio, una contestación explícita y pormenorizada a todas y cada una de ellas, pudiendo bastar, en atención a las circunstancias particulares concurrentes, con una respuesta global o genérica, aunque se omita respecto de alegaciones concretas no substanciales (entre otras, SSTC 23/2000, de 31 de enero, FJ 2; 85/2000, de 27 de marzo, FJ 3; 5/2001, de 15 de enero, FJ 4).</w:t>
      </w:r>
    </w:p>
    <w:p w:rsidR="0025129F" w:rsidRDefault="0025129F" w:rsidP="0025129F">
      <w:pPr>
        <w:pStyle w:val="TextoNormal"/>
      </w:pPr>
      <w:r>
        <w:t xml:space="preserve">No obstante, existen casos en los que la falta de respuesta expresa a las alegaciones formuladas ha de examinarse con mayor rigor. Así sucede en los supuestos en los que se alega la vulneración de derechos fundamentales (SSTC 34/1997, de 25 de febrero, FJ 2; 153/1998, de 13 de julio, FJ 2; 67/2000, de 13 de marzo, FJ 3; 53/2001, de 26 de febrero, FJ 3). Tal exigencia, como ha señalado este Tribunal, se fundamenta no sólo en el lugar ocupado por los derechos fundamentales en nuestro Ordenamiento (art.  10.1 CE), sino en que a través de ella se preserva “la posición de subsidiariedad en que el constituyente ha situado este recurso de amparo ante el Tribunal Constitucional, que lleva a configurarlo de forma tal que los órganos judiciales tengan la posibilidad —y al tiempo la obligación— de subsanar en vía ordinaria las lesiones de derechos fundamentales que ante ellos se alegan, </w:t>
      </w:r>
      <w:r>
        <w:lastRenderedPageBreak/>
        <w:t>o desestimar motivadamente tales pretensiones cuando carezcan de fundamento” (STC 83/1998, de 20 de abril, FJ 3, que reitera la doctrina establecida en la STC 34/1997, de 25 de febrero, FJ 2).</w:t>
      </w:r>
    </w:p>
    <w:p w:rsidR="0025129F" w:rsidRDefault="0025129F" w:rsidP="0025129F">
      <w:pPr>
        <w:pStyle w:val="TextoNormal"/>
      </w:pPr>
    </w:p>
    <w:p w:rsidR="0025129F" w:rsidRDefault="0025129F" w:rsidP="0025129F">
      <w:pPr>
        <w:pStyle w:val="TextoNormal"/>
      </w:pPr>
      <w:r w:rsidRPr="0025129F">
        <w:rPr>
          <w:rStyle w:val="NumeroAFNegritaCaracter"/>
        </w:rPr>
        <w:t>4</w:t>
      </w:r>
      <w:r>
        <w:t>. En la demanda de amparo se aduce que los Autos que resuelven el recurso de reforma y el posterior recurso de queja no dan respuesta a las cuestiones que se plantearon en dichos recurso ni cumplen las exigencias constitucionales de motivación.</w:t>
      </w:r>
    </w:p>
    <w:p w:rsidR="0025129F" w:rsidRDefault="0025129F" w:rsidP="0025129F">
      <w:pPr>
        <w:pStyle w:val="TextoNormal"/>
      </w:pPr>
      <w:r>
        <w:t>a) Las alegaciones del recurso de reforma se concretaban fundamentalmente en los siguientes extremos: 1) la mera adjudicación del derecho de traspaso no comporta el lanzamiento del inquilino de modo que el Juez de Instrucción, como garante de la inviolabilidad del domicilio, no podía autorizar la entrada a tal fin; 2) la iniciación por la propietaria del local de una acción resolutoria por falta de pago contra el ahora recurrente en amparo, después de que se le hubiera adjudicado a aquélla el derecho de traspaso, suponía el reconocimiento de nuevo de su condición de inquilino, de modo que el ejercicio de tal acción implicaba el desistimiento de la ejecución del acto por el que se le reconocía el derecho de traspaso, lo que a su vez comportaba la improcedencia de otorgar la autorización de entrada solicitada por la URE; 3) la autorización otorgada vulneraba el principio de seguridad jurídica, la cosa juzgada, la buena fe y el derecho al juez predeterminado por la Ley; estas alegaciones se fundamentaban, en primer lugar, en que con anterioridad otro órgano judicial había denegado la autorización de entrada en domicilio, por lo que el otorgamiento posterior de esta autorización no sólo no respetaba el contenido de la primera resolución sino que además vulneraba el principio de seguridad jurídica (pues la resolución judicial había generado en el interesado la legítima expectativa de que no sería inquietado en la posesión, salvo revocación en vía de recurso o resolución de la jurisdicción civil que precisara el alcance del derecho embargado); y, en segundo lugar, se aducía que, con independencia de que las resoluciones de los Juzgados de Instrucción en estos casos puedan producir o no efecto de cosa juzgada, es contrario al derecho al Juez predeterminado por la Ley el reiterar la petición hasta encontrar un órgano judicial que acceda a las pretensiones.</w:t>
      </w:r>
    </w:p>
    <w:p w:rsidR="0025129F" w:rsidRDefault="0025129F" w:rsidP="0025129F">
      <w:pPr>
        <w:pStyle w:val="TextoNormal"/>
      </w:pPr>
      <w:r>
        <w:t>El Auto de 31 de enero de 1997 desestimó este recurso. La desestimación se fundamenta únicamente en que el órgano judicial considera que “son válidos los propios razonamientos jurídicos expuestos en el acto recurrido, que aquí se dan por reproducidos”.  Conviene señalar que el Auto recurrido en reforma fundamentaba su decisión en que, de acuerdo con la doctrina de la STC 144/1987, de 23 de septiembre, lo dispuesto en el art. 87.2 LOPJ (entonces vigente) “no ha sustraído a la jurisdicción contenciosa el control de la legalidad de los actos de la Administración cuya ejecución exige la entrada en un domicilio”, de modo que el Juez de Instrucción, “como garante de la inviolabilidad del domicilio ... lo único que ha de asegurar es que requiere la entrada en él la ejecución de un acto que prima facie parece dictado por Autoridad competente en el ejercicio de sus facultades propias, debiendo observarse [que] la ejecución del acto limita la inviolabilidad del domicilio sólo en cuanto sea exclusivamente indispensable para garantizar aquélla”.</w:t>
      </w:r>
    </w:p>
    <w:p w:rsidR="0025129F" w:rsidRDefault="0025129F" w:rsidP="0025129F">
      <w:pPr>
        <w:pStyle w:val="TextoNormal"/>
      </w:pPr>
      <w:r>
        <w:t>b) En el recurso de queja interpuesto contra el Auto de 31 de enero de 1997 reiteró el demandante de amparo las mismas alegaciones del recurso de reforma y formuló además las que a continuación se relacionan: 1) “la falta de razonamiento válido, de motivación concreta de las resoluciones judiciales constituye, sin duda alguna, una quiebra del derecho fundamental a la tutela judicial efectiva”, que “se concreta en indefensión, para la parte recurrente pues, en definitiva, tanto da el inadmitir a trámite un recurso como el admitirlo para desestimarlo sin más argumentación ni razonamiento que ‘dar por reproducidos los consignados en la resolución recurrida’”; 2) vulneración del derecho fundamental a la in</w:t>
      </w:r>
      <w:r>
        <w:lastRenderedPageBreak/>
        <w:t>violabilidad del domicilio, que se invoca bajo el epígrafe “nulidad del auto impugnado y de su precedente por indeterminación subjetiva y temporal”, ya que en los expresados autos “ni se determinan las personas concretas a quienes se autoriza la entrada, ni el número máximo de las mismas, ni se establece el margen temporal en que se han de desarrollar los actos de ejecución de la Administración, todo lo cual concede un margen de arbitrariedad suficiente como para permitir que se produzcan actuaciones irregulares, contrarias, por completo, al espíritu y finalidad de garantía que, respecto del derecho fundamental a la inviolabilidad del domicilio, adquiere la actuación del Juez de Instrucción frente a los actos de ejecución administrativa”; 3) “falta del trámite de audiencia previa”, pues el Auto de 31 de enero de 1996 se dictó sin que fuera oído previamente el ahora recurrente en amparo; se dice, al respecto, en el recurso de queja que ciertamente “no existe ninguna norma positiva que establezca un trámite previo de audiencia al afectado; pero su necesidad se desprende del contenido del art. 24 de la Constitución en tanto que consagra el derecho a la tutela judicial efectiva de jueces y tribunales sin que en ningún caso pueda producirse indefensión”, y se dice expresamente que, con tal omisión, se ha impedido al interesado exponer “sus dudas sobre el carácter del acto que se intenta ejecutar, su cualidad de cosa juzgada frente a la petición de autorización de entrada por el Juzgado de Instrucción núm. 12, y la falta de competencia del órgano que lo emitió, por agotamiento de la vía administrativa”.</w:t>
      </w:r>
    </w:p>
    <w:p w:rsidR="0025129F" w:rsidRDefault="0025129F" w:rsidP="0025129F">
      <w:pPr>
        <w:pStyle w:val="TextoNormal"/>
      </w:pPr>
      <w:r>
        <w:t>La Audiencia Provincial desestima el recurso mediante Auto de 25 de abril de 1997, fundamentando su decisión en que la resolución impugnada es ajustada a Derecho al considerar que “las funciones del Juez de instrucción no se extienden al enjuiciamiento exhaustivo de la legalidad de un acto que jurídicamente y de manera forzosa ha de ser calificado de administrativo, acto cuya ejecución precisa, por lo demás, la entrada en el domicilio, puesto que el control de la legalidad de tales actos corresponde, a través de los recursos pertinentes, a la jurisdicción contencioso- administrativa”. Según se sostiene en esta resolución judicial, “el Juez de Instrucción lo único que debe examinar a los efectos de conceder la autorización, como garante, eso sí, del derecho fundamental a la inviolabilidad del domicilio, es si el acto está, prima facie, dictado por autoridad competente y en el ejercicio de las facultades que legalmente le estén atribuidas, y si su ejecución exige la entrada en el domicilio, requisitos que se dan en el presente caso, no debiendo entrar la Sala a conocer sobre el fondo del asunto, cuestión ésta por ende extensiva al Instructor, por lo que sus resoluciones no tienen el carácter en estos supuestos de cosa juzgada”.</w:t>
      </w:r>
    </w:p>
    <w:p w:rsidR="0025129F" w:rsidRDefault="0025129F" w:rsidP="0025129F">
      <w:pPr>
        <w:pStyle w:val="TextoNormal"/>
      </w:pPr>
    </w:p>
    <w:p w:rsidR="0025129F" w:rsidRDefault="0025129F" w:rsidP="0025129F">
      <w:pPr>
        <w:pStyle w:val="TextoNormal"/>
      </w:pPr>
      <w:r w:rsidRPr="0025129F">
        <w:rPr>
          <w:rStyle w:val="NumeroAFNegritaCaracter"/>
        </w:rPr>
        <w:t>5</w:t>
      </w:r>
      <w:r>
        <w:t>. A tenor de los razonamientos contenidos en las resoluciones judiciales impugnadas cabe concluir que tanto el Juzgado de Instrucción núm. 6 de Madrid como la Audiencia Provincial, en sus respectivos Autos de 31 de enero y 25 de abril de 1997, han desestimado los correspondientes recursos de reforma y queja sin haberse pronunciado expresamente sobre algunos de los motivos que, con explícita invocación de derechos fundamentales supuestamente vulnerados, fueron aducidos por el recurrente.</w:t>
      </w:r>
    </w:p>
    <w:p w:rsidR="0025129F" w:rsidRDefault="0025129F" w:rsidP="0025129F">
      <w:pPr>
        <w:pStyle w:val="TextoNormal"/>
      </w:pPr>
      <w:r>
        <w:t>Así sucede, en efecto, respecto de la alegada vulneración del derecho al juez predeterminado por la ley (art. 24.2 CE), invocado en relación con los principios de cosa juzgada, seguridad jurídica y buena fe, y con fundamento en la previa denegación de entrada, que había acordado otro órgano judicial (el Juzgado de Instrucción núm. 12 de Madrid) mediante Auto de 2 de octubre de 1995, consentido por la Administración, en cuanto no fue recurrido. Se trata de una alegación formulada tanto en el recurso de reforma como en el de queja, cuya respuesta fue absolutamente omitida en el Auto de 31 de enero de 1997 y sólo parcial e insatisfactoriamente efectuada en el Auto de 25 de abril de 1997, que se li</w:t>
      </w:r>
      <w:r>
        <w:lastRenderedPageBreak/>
        <w:t>mitó a negar el carácter de cosa juzgada de las resoluciones del Instructor “en estos supuestos”. Basta señalar, al efecto, que tal alegación fue hecha por el recurrente (indicando que no trataba de precisar si había vinculación de cosa juzgada o, más bien, un precedente serio y fundado), contradiciendo las alegaciones de la Administración para justificar tal “segunda” petición de autorización de entrada, y basando la vulneración del meritado derecho fundamental en la ruptura de los principios de seguridad jurídica y buena fe (en la medida en que uno y otro resultan desconocidos por la Administración cuando ésta ha podido formular, sin causa bastante para ello, una segunda petición para satisfacer sus intereses). Existe aquí una auténtica pretensión de rechazo de la petición de la Administración, sustentada sobre un indubitado elemento fáctico (la denegación judicial anterior) y con un supuesto sustento jurídico en la invocación de un derecho fundamental. Pues bien, respecto de tal pretensión no han dado los órganos judiciales una efectiva respuesta, pues, dados los términos de la alegación formulada, no puede entenderse que la simple negación del efecto de cosa juzgada sea una tácita denegación sino que propiamente constituye una auténtica omisión de respuesta, generadora de incongruencia omisiva.</w:t>
      </w:r>
    </w:p>
    <w:p w:rsidR="0025129F" w:rsidRDefault="0025129F" w:rsidP="0025129F">
      <w:pPr>
        <w:pStyle w:val="TextoNormal"/>
      </w:pPr>
      <w:r>
        <w:t>Nada dice tampoco el Auto de 25 de abril de 1997 sobre determinadas alegaciones formuladas en el recurso de queja y que no lo habían sido, en cambio, en el recurso de reforma. Nos referimos concretamente a las alegaciones de falta de audiencia previa y de indeterminación subjetiva y temporal de los Autos recurridos, con invocación, al efecto, respectivamente, del derecho a la tutela judicial efectiva y del derecho a la inviolabilidad del domicilio.</w:t>
      </w:r>
    </w:p>
    <w:p w:rsidR="0025129F" w:rsidRDefault="0025129F" w:rsidP="0025129F">
      <w:pPr>
        <w:pStyle w:val="TextoNormal"/>
      </w:pPr>
      <w:r>
        <w:t>Además, los Autos impugnados afirman, en sus respectivas fundamentaciones jurídicas, que sigue correspondiendo a la jurisdicción contencioso-administrativa el control de la legalidad de los actos de la Administración cuya ejecución exige la entrada en domicilio, y que la función del Juez de Instrucción, como garante de la inviolabilidad del domicilio, se concreta en la consideración de si el acto está, prima facie, dictado por autoridad competente en el ejercicio de sus facultades y si su ejecución exige la entrada en domicilio, circunstancias todas ellas que se estiman concurrentes en el supuesto contemplado. Respecto de tales extremos cuestionaba el ahora demandante de amparo, en los respectivos recursos de reforma y queja, la necesidad de la medida de entrada en el local y lanzamiento para la efectividad de la adjudicación del derecho de traspaso.  Pues bien, en los precitados Autos no se da respuesta alguna a tal cuestión (limitándose a afirmar que la ejecución “exige la entrada”), respuesta que, ciertamente, sólo podría basarse en un razonamiento (inexistente en este caso) sustentado sobre una consideración indiciaria y prima facie, pero que en todo caso era necesaria por referirse a cuestión vinculada con la invocación de un derecho fundamental y por haber precedido una resolución de otro órgano judicial (el Juzgado de Instrucción núm. 12) que había denegado la autorización de entrada, precisamente por considerarla innecesaria.</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La exposición precedente evidencia que de la fundamentación jurídica contenida en las resoluciones impugnadas, Auto de 31 de enero de 1997 y Auto de 25 de abril de 1997, no cabe razonablemente deducir que los correspondientes órganos judiciales hayan dado siquiera sea una respuesta global o genérica a las diversas alegaciones formuladas en los recursos de reforma y queja, ya examinados. Antes bien, ha de entenderse que dichas resoluciones judiciales han vulnerado el derecho a la tutela judicial efectiva (art. 24.1 CE) del recurrente en amparo ya que, habiéndose invocado la infracción de diversos derechos fundamentales en los precitados recursos, tales resoluciones debieron haber dado una explícita respuesta pues, de acuerdo con la doctrina constitucional expuesta, “todo motivo de </w:t>
      </w:r>
      <w:r>
        <w:lastRenderedPageBreak/>
        <w:t>recurso atinente a un derecho fundamental requiere una respuesta expresa (SSTC 34/1997, de 25 de febrero, FJ 2; 83/1998, de 20 de abril, FJ 3, y 153/1998, de 13 de julio, FJ 2)” (STC 67/2000, de 13 de marzo, FJ 2).</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parcialmente el amparo solicitado y, en su virtud:</w:t>
      </w:r>
    </w:p>
    <w:p w:rsidR="0025129F" w:rsidRDefault="0025129F" w:rsidP="0025129F">
      <w:pPr>
        <w:pStyle w:val="TextoNormal"/>
      </w:pPr>
      <w:r>
        <w:t>1º Declarar que ha sido vulnerado el derecho del recurrente a la tutela judicial efectiva.</w:t>
      </w:r>
    </w:p>
    <w:p w:rsidR="0025129F" w:rsidRDefault="0025129F" w:rsidP="0025129F">
      <w:pPr>
        <w:pStyle w:val="TextoNormal"/>
      </w:pPr>
      <w:r>
        <w:t>2º Restablecerle en su derecho y, a tal fin:</w:t>
      </w:r>
    </w:p>
    <w:p w:rsidR="0025129F" w:rsidRDefault="0025129F" w:rsidP="0025129F">
      <w:pPr>
        <w:pStyle w:val="TextoNormal"/>
      </w:pPr>
      <w:r>
        <w:t>a) Anular el Auto de 25 de abril de 1997 de la Sección Decimosexta de la Audiencia Provincial de Madrid, por el que se resuelve el recurso de queja núm. 12/97, y el del Juzgado de Instrucción núm. 6 de Madrid de 31 de enero de 1997, por el que se resuelve el recurso de reforma interpuesto contra el Auto del mismo Juzgado de 31 de enero de 1996 (diligencias indeterminadas 98/96).</w:t>
      </w:r>
    </w:p>
    <w:p w:rsidR="0025129F" w:rsidRDefault="0025129F" w:rsidP="0025129F">
      <w:pPr>
        <w:pStyle w:val="TextoNormal"/>
      </w:pPr>
      <w:r>
        <w:t>b) Retrotraer las actuaciones al momento anterior al de dictarse el Auto del Juzgado de Instrucción núm. 6 de Madrid de 31 de enero de 1997 para que el órgano judicial dicte otro conforme al derecho fundamental que consagra el art. 24.1 CE.</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1" w:name="SENTENCIA_2002_28"/>
      <w:r>
        <w:lastRenderedPageBreak/>
        <w:t>SENTENCIA 28/2002, de 11 de febrero de 2002</w:t>
      </w:r>
    </w:p>
    <w:bookmarkEnd w:id="31"/>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ECLI:ES:TC:2002:28</w:t>
      </w:r>
    </w:p>
    <w:p w:rsidR="0025129F" w:rsidRDefault="0025129F" w:rsidP="0025129F">
      <w:pPr>
        <w:pStyle w:val="SntesisDescriptiva"/>
      </w:pPr>
    </w:p>
    <w:p w:rsidR="0025129F" w:rsidRDefault="0025129F" w:rsidP="0025129F">
      <w:pPr>
        <w:pStyle w:val="SntesisDescriptiva"/>
      </w:pPr>
      <w:r>
        <w:t>Recurso de amparo 3340/97. Promovido por don Alejandro y don Antonio González de Huelva Valverde frente a la Sentencia de la Sala Segunda del Tribunal Supremo que, en grado de casación, confirmó su condena por un delito contra la salud pública.</w:t>
      </w:r>
    </w:p>
    <w:p w:rsidR="0025129F" w:rsidRDefault="0025129F" w:rsidP="0025129F">
      <w:pPr>
        <w:pStyle w:val="SntesisDescriptiva"/>
      </w:pPr>
    </w:p>
    <w:p w:rsidR="0025129F" w:rsidRDefault="0025129F" w:rsidP="0025129F">
      <w:pPr>
        <w:pStyle w:val="SntesisAnaltica"/>
      </w:pPr>
      <w:r>
        <w:t>Vulneración del derecho a un proceso con garantías: negativa a excluir el resto de la prueba, afirmando sin motivación que carece de conexión causal con la intervención de las comunicaciones declarada ilícita por el propio Tribunal penal.</w:t>
      </w:r>
    </w:p>
    <w:p w:rsidR="0025129F" w:rsidRDefault="0025129F" w:rsidP="0025129F">
      <w:pPr>
        <w:pStyle w:val="SntesisAnaltica"/>
      </w:pPr>
    </w:p>
    <w:p w:rsidR="0025129F" w:rsidRDefault="0025129F" w:rsidP="0025129F">
      <w:pPr>
        <w:pStyle w:val="Extracto"/>
      </w:pPr>
      <w:r>
        <w:t>1.</w:t>
      </w:r>
      <w:r>
        <w:tab/>
        <w:t>La Sentencia recurrida afirma que no existe conexión causal entre las intervenciones telefónicas ilícitas y los registros domiciliarios, puesto que existían «averiguaciones previas de la policía» que en ningún momento detalla, lo que implica falta de motivación de la resolución enjuiciada. La no exclusión del resto de la prueba, sobre la base de una desconexión inmotivada, vulnera el derecho a un proceso con todas las garantías [FJ 5].</w:t>
      </w:r>
    </w:p>
    <w:p w:rsidR="0025129F" w:rsidRDefault="0025129F" w:rsidP="0025129F">
      <w:pPr>
        <w:pStyle w:val="Extracto"/>
      </w:pPr>
    </w:p>
    <w:p w:rsidR="0025129F" w:rsidRDefault="0025129F" w:rsidP="0025129F">
      <w:pPr>
        <w:pStyle w:val="Extracto"/>
      </w:pPr>
      <w:r>
        <w:t>2.</w:t>
      </w:r>
      <w:r>
        <w:tab/>
        <w:t>Doctrina constitucional sobre la valoración de pruebas derivadas de otras obtenidas con vulneración de derechos fundamentales (SSTC 81/1998, 136/2000) [FJ 4].</w:t>
      </w:r>
    </w:p>
    <w:p w:rsidR="0025129F" w:rsidRDefault="0025129F" w:rsidP="0025129F">
      <w:pPr>
        <w:pStyle w:val="Extracto"/>
      </w:pPr>
    </w:p>
    <w:p w:rsidR="0025129F" w:rsidRDefault="0025129F" w:rsidP="0025129F">
      <w:pPr>
        <w:pStyle w:val="Extracto"/>
      </w:pPr>
      <w:r>
        <w:t>3.</w:t>
      </w:r>
      <w:r>
        <w:tab/>
        <w:t>La prohibición de valoración de la prueba nula, y de la de ella derivada, es una regla de exclusión probatoria que tiene una dimensión exclusivamente procesal (STC 114/1984) [FFJJ 3 y 4].</w:t>
      </w:r>
    </w:p>
    <w:p w:rsidR="0025129F" w:rsidRDefault="0025129F" w:rsidP="0025129F">
      <w:pPr>
        <w:pStyle w:val="Extracto"/>
      </w:pPr>
    </w:p>
    <w:p w:rsidR="0025129F" w:rsidRDefault="0025129F" w:rsidP="0025129F">
      <w:pPr>
        <w:pStyle w:val="Extracto"/>
      </w:pPr>
      <w:r>
        <w:t>4.</w:t>
      </w:r>
      <w:r>
        <w:tab/>
        <w:t>La desconexión entre las escuchas telefónicas y la entrada y registro que permiten el hallazgo de la droga plantea un problema de prueba derivada de prueba ilícita, que nuestra jurisprudencia resuelve en el ámbito del derecho a un proceso con todas las garantías. La fundamentación de la condena, más que un problema de tutela judicial efectiva plantea un problema de presunción de inocencia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3340/97, promovido por don Alejandro y don Antonio González de Huelva Valverde, representados por la Procuradora de los Tribunales doña Adela Cano Lantero y asistidos por el Abogado don Pedro Nacher Coloma, contra la Sentencia 740/1997 de la Sala Segunda del Tribunal Supremo, de fecha 26 de mayo de 1997. Ha intervenido el Ministerio Fiscal. Ha sido Ponente el Magistrado don Eugeni Gay Montalvo,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26 de julio de 1997 la Procuradora de los Tribunales doña Adela Cano Lantero, en nombre y representación de don Alejandro y don Antonio González de Huelva Valverde, formula demanda de amparo contra la Sentencia 740/1997 de la Sala Segunda del Tribunal Supremo, de fecha 26 de mayo de 1997, que les condenó como autores de un delito contra la salud pública, desestimando el recurso de casación interpuesto contra la Sentencia de la Sección Segunda de Audiencia Provincial de Valencia, de fecha 28 de diciembre de 1995.</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El recurso tiene su origen en los siguientes antecedentes de hecho, que se exponen sintéticamente en lo que concierne al objeto del recurso: </w:t>
      </w:r>
    </w:p>
    <w:p w:rsidR="0025129F" w:rsidRDefault="0025129F" w:rsidP="0025129F">
      <w:pPr>
        <w:pStyle w:val="TextoNormal"/>
      </w:pPr>
      <w:r>
        <w:t xml:space="preserve">a) Los recurrentes fueron condenados en primera instancia, por Sentencia de la Audiencia Provincial de Valencia de fecha 28 de diciembre de 1995, como autores de un delito contra la salud pública del art. 344 CP 1973, respecto de sustancia que causa grave daño a la salud, sin circunstancias modificativas de la responsabilidad, a la pena de cuatro años, dos meses y un día de prisión menor, accesorias y multa de 2.000.000 pesetas, con 90 días de arresto sustitutorio en caso de impago. La condena se basó en el hallazgo en el domicilio de los recurrentes —en el curso de un registro policial llevado a cabo con mandamiento judicial y acompañados del Secretario Judicial—, de sustancias estupefacientes (5,04 gramos de hachís y 14 dosis de LSD) y de utensilios de los utilizados habitualmente para la venta al menudeo de tales sustancias, y en el “contenido inequívoco de las conversaciones telefónicas grabadas”, en virtud de una intervención telefónica judicialmente autorizada. </w:t>
      </w:r>
    </w:p>
    <w:p w:rsidR="0025129F" w:rsidRDefault="0025129F" w:rsidP="0025129F">
      <w:pPr>
        <w:pStyle w:val="TextoNormal"/>
      </w:pPr>
      <w:r>
        <w:t xml:space="preserve">b) La Sentencia del Tribunal Supremo de 26 de mayo de 1997 anula el valor probatorio de la grabación y transcripción de las escuchas telefónicas, al entender que con las mismas se ha vulnerado el art. 18.3 CE, pues las resoluciones autorizantes no estaban suficientemente fundadas, las prórrogas no aparecen debidamente motivadas y no hubo un suficiente control judicial en el proceso de incorporación al sumario de las cintas que grabaron las conversaciones, ni en su transcripción. </w:t>
      </w:r>
    </w:p>
    <w:p w:rsidR="0025129F" w:rsidRDefault="0025129F" w:rsidP="0025129F">
      <w:pPr>
        <w:pStyle w:val="TextoNormal"/>
      </w:pPr>
      <w:r>
        <w:t>c) Pese a ello, la Sentencia de casación mantiene la condena de los recurrentes, al entender que el hallazgo de la droga en sus domicilios —ratio de la condena— es prueba valorable en el acto del juicio oral, pues no hay conexión causal entre las intervenciones telefónicas y los registros domiciliarios que dieron lugar al hallazgo de la droga y los utensilios, ya que los registros se basaron en las averiguaciones de la Policía previas a la intervención telefónica.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3</w:t>
      </w:r>
      <w:r>
        <w:t xml:space="preserve">. Los recurrentes fundamentan su demanda de amparo en la lesión de los derechos fundamentales a la tutela judicial efectiva (art. 24.1 CE) y a la inviolabilidad de domicilio (art. 18.2 CE). </w:t>
      </w:r>
    </w:p>
    <w:p w:rsidR="0025129F" w:rsidRDefault="0025129F" w:rsidP="0025129F">
      <w:pPr>
        <w:pStyle w:val="TextoNormal"/>
      </w:pPr>
      <w:r>
        <w:t xml:space="preserve">a) Se invoca, en primer lugar, la vulneración del derecho a la tutela judicial efectiva, por falta de congruencia de la Sentencia de casación recurrida con el contenido de las actuaciones y con su propia fundamentación. La incongruencia se basa en que la Sentencia de casación, tras declarar la nulidad de las intervenciones telefónicas y sus efectos, mantiene las condenas de los ahora recurrentes de amparo, afirmando que no existe conexión causal entre las escuchas y la entrada y registro que permite el hallazgo de la droga y la condena. Por otra parte se pone de relieve que respecto de otros encausados sí se afirma la conexión causal, que contaminaría la entrada y registro en sus domicilios, y se les absuelve y, hallándose los recurrentes en la misma situación, son condenados pese a todo. </w:t>
      </w:r>
    </w:p>
    <w:p w:rsidR="0025129F" w:rsidRDefault="0025129F" w:rsidP="0025129F">
      <w:pPr>
        <w:pStyle w:val="TextoNormal"/>
      </w:pPr>
      <w:r>
        <w:t xml:space="preserve">b) Se alega también la lesión del derecho a la inviolabilidad de domicilio (art. 18.2 CE), pues suprimido como posible fundamento de la autorización de la entrada y registro en el domicilio de los recurrentes el conocimiento adquirido a través de las intervenciones telefónicas declaradas nulas, lo único que hubiera podido motivar la adopción de esta diligencia serían las “actuaciones previas de la policía”, y en la causa no constan éstas ni existe indicio objetivo alguno que, por sí solo y al margen del contenido de las escuchas, pueda considerarse suficiente. Por ello la resolución que autoriza la diligencia de entrada y registro carecería de motivación, lo que vulneraría el derecho a la inviolabilidad del domicilio. Y, siendo así, el hallazgo de la droga en la casa de los recurrentes en el curso de la entrada y registro tampoco podría utilizarse como prueba válida para desvirtuar la presunción de inocencia. </w:t>
      </w:r>
    </w:p>
    <w:p w:rsidR="0025129F" w:rsidRDefault="0025129F" w:rsidP="0025129F">
      <w:pPr>
        <w:pStyle w:val="TextoNormal"/>
      </w:pPr>
      <w:r>
        <w:t>Por ello se solicita que se declare la nulidad de las Sentencias impugnadas y se restablezca a los demandantes en los derechos fundamentales lesionados. Asimismo se interesa el recibimiento a prueba y la suspensión de la ejecución de la Sentencia.</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9 de julio de 1998 la Sección Cuarta de este Tribunal acuerda admitir a trámite la demanda de amparo, así como requerir a los órganos juzgadores la remisión de testimonio de las actuaciones.</w:t>
      </w:r>
    </w:p>
    <w:p w:rsidR="0025129F" w:rsidRDefault="0025129F" w:rsidP="0025129F">
      <w:pPr>
        <w:pStyle w:val="TextoNormal"/>
      </w:pPr>
    </w:p>
    <w:p w:rsidR="0025129F" w:rsidRDefault="0025129F" w:rsidP="0025129F">
      <w:pPr>
        <w:pStyle w:val="TextoNormal"/>
      </w:pPr>
      <w:r w:rsidRPr="0025129F">
        <w:rPr>
          <w:rStyle w:val="NumeroAFNegritaCaracter"/>
        </w:rPr>
        <w:t>5</w:t>
      </w:r>
      <w:r>
        <w:t>. Asimismo, mediante providencia de fecha 9 de julio de 1998 se acordó la apertura de la correspondiente pieza separada para la tramitación del incidente de suspensión, concediéndose un plazo común de tres días a la parte recurrente y al Ministerio Fiscal para que formularan las alegaciones que se tuvieran por convenientes respecto de este particular, conforme a lo previsto en el art. 56 LOTC. Transcurrido el término conferido, mediante Auto de 19 de agosto de 1998, la Sala Segunda acordó la suspensión requerida respecto del recurrente don Alejandro González de Huelva Valverde.</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17 de septiembre de 1998 se acordó dar vista de las actuaciones recibidas a la parte recurrente y al Ministerio Fiscal, por plazo común de veinte días, para que dentro del mismo formularan las alegaciones que estimasen pertinentes, de conformidad con el art. 52.1 LOTC.</w:t>
      </w:r>
    </w:p>
    <w:p w:rsidR="0025129F" w:rsidRDefault="0025129F" w:rsidP="0025129F">
      <w:pPr>
        <w:pStyle w:val="TextoNormal"/>
      </w:pPr>
    </w:p>
    <w:p w:rsidR="0025129F" w:rsidRDefault="0025129F" w:rsidP="0025129F">
      <w:pPr>
        <w:pStyle w:val="TextoNormal"/>
      </w:pPr>
      <w:r w:rsidRPr="0025129F">
        <w:rPr>
          <w:rStyle w:val="NumeroAFNegritaCaracter"/>
        </w:rPr>
        <w:t>7</w:t>
      </w:r>
      <w:r>
        <w:t>. La representación procesal de los recurrentes, mediante escrito que tuvo su entrada en este Tribunal el 16 de octubre de 1998, formuló sus alegaciones, reiterando resumida</w:t>
      </w:r>
      <w:r>
        <w:lastRenderedPageBreak/>
        <w:t>mente los motivos y argumentos ya deducidos en el escrito de interposición del recurso, para concluir reproduciendo el suplico de la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17 de febrero de 1999 tuvieron entrada en el Registro de este Tribunal las alegaciones del Ministerio Fiscal, en las que se solicita que se deniegue el amparo, por entender que no existe lesión de los derechos fundamentales que sirven de apoyo a la demanda. </w:t>
      </w:r>
    </w:p>
    <w:p w:rsidR="0025129F" w:rsidRDefault="0025129F" w:rsidP="0025129F">
      <w:pPr>
        <w:pStyle w:val="TextoNormal"/>
      </w:pPr>
      <w:r>
        <w:t>Afirma el Fiscal que el núcleo de la argumentación de la demanda es determinar el alcance de la teoría del fruto del árbol envenenado, según la cual, declaradas nulas las intervenciones telefónicas, todo lo que directa o indirectamente derive de ellas debe reputarse igualmente nulo y sin valor probatorio alguno. Citando las SSTC 81/1998 y 121/1998 entiende que este caso es similar al resuelto por la primera de ellas, en la que también se anula como prueba el contenido de unas escuchas telefónicas, pero no se extiende la nulidad a otras pruebas derivadas, que se consideran desconectadas de la primera y suficientes para fundamentar la condena. Ello podría fundamentarse en este caso, según el Fiscal, teniendo en cuenta los siguientes datos: la existencia de investigaciones policiales al margen de las escuchas, que parte de la droga fue aprehendida en un automóvil, que la causa de la nulidad de las intervenciones telefónicas es sobrevenida en su ejecución por la falta de control judicial y que los Autos de 11 de octubre de 1994, que acuerdan la diligencia de entrada y registro en los domicilios de los recurrentes, no hacen referencia al resultado de las intervenciones telefónicas. Esta base fáctica permitiría afirmar, como hace el Tribunal Supremo, la desconexión causal de la entrada y registro con la prueba ilícita y que la ocupación de la droga es un supuesto de “hallazgo inevitable”, independiente de la intervención de las comunicaciones. No existiría, por tanto, ni vulneración del art. 24.1 CE —ya que el Tribunal Supremo no incurre en incongruencia alguna, sino que afirma la nulidad de una prueba y la validez de otra sobre la base de su desconexión causal—, ni del art. 18.2 CE —porque los registros domiciliarios se ordenan en resoluciones debidamente motivadas, cuyo origen es independiente de las pruebas anuladas por el propio Tribunal, una nulidad que no es originaria, sino sobrevenida durante la ejecución por la falta de control judicial.</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7 de febrero de 2002, se señaló para deliberación y votación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pretende determinar si, anulado por el Tribunal Supremo el valor probatorio de las cintas y de las transcripciones de las conversaciones intervenidas, el resto de las pruebas en virtud de las cuales resultaron condenados los recurrentes como autores del delito contra la salud pública que se les imputaba son prueba de cargo suficiente y pueden ser tenidas en cuenta por no tener conexión causal con la lesión del derecho fundamental al secreto de las comunicaciones (art.  18.3 CE), que ya ha sido declarada judicialmente, declaración que ha de ser apreciada aquí como un dato que no nos corresponde valorar ni revisar en este proceso (STC 81/1998, de 2 de abril, FJ 1). Pues, de no ser así, sostienen los recurrentes que se habrían vulnerado su derecho a la tutela judicial efectiva (art. 24.1 CE) y a la inviolabilidad del domicilio (art.  18.2 CE) y, a consecuencia de ello, al valorarse pruebas derivadas del conocimiento adquirido como efecto de un acto lesivo de un derecho fundamental y fundarse en ellas la condena, resulta</w:t>
      </w:r>
      <w:r>
        <w:lastRenderedPageBreak/>
        <w:t>rían también vulnerados los derechos a un proceso con todas las garantías y a la presunción de inocencia (art. 24.2 CE).</w:t>
      </w:r>
    </w:p>
    <w:p w:rsidR="0025129F" w:rsidRDefault="0025129F" w:rsidP="0025129F">
      <w:pPr>
        <w:pStyle w:val="TextoNormal"/>
      </w:pPr>
    </w:p>
    <w:p w:rsidR="0025129F" w:rsidRDefault="0025129F" w:rsidP="0025129F">
      <w:pPr>
        <w:pStyle w:val="TextoNormal"/>
      </w:pPr>
      <w:r w:rsidRPr="0025129F">
        <w:rPr>
          <w:rStyle w:val="NumeroAFNegritaCaracter"/>
        </w:rPr>
        <w:t>2</w:t>
      </w:r>
      <w:r>
        <w:t>. La primera de las alegaciones, relativa a la vulneración del derecho a la tutela judicial efectiva (art. 24.1 CE) por falta de congruencia de la Sentencia de casación con el contenido de las actuaciones y con su propia fundamentación, no puede ser estimada en cuanto tal, sino que es reconducible a la presunta vulneración del derecho a un proceso con todas las garantías (por valoración de pruebas derivadas del conocimiento adquirido como efecto de un acto lesivo de un derecho fundamental) y del derecho a la presunción de inocencia.</w:t>
      </w:r>
    </w:p>
    <w:p w:rsidR="0025129F" w:rsidRDefault="0025129F" w:rsidP="0025129F">
      <w:pPr>
        <w:pStyle w:val="TextoNormal"/>
      </w:pPr>
      <w:r>
        <w:t>Este Tribunal ha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(por todas, STC 15/1999, de 22 de febrero, FJ 2, con múltiples citas). Así definida la incongruencia, resulta evidente que no es ésta la cuestión planteada por los recurrentes.  Bajo el inadecuado reproche de incongruencia, lo que en rigor se plantea es que la Sentencia, pese a declarar la nulidad de las intervenciones telefónicas, mantiene la condena de los recurrentes con una motivación insuficiente y que los recurrentes entienden contradictoria con la anulación de las intervenciones telefónicas, falta de motivación que, al referirse a la fundamentación de la condena, más que un problema de tutela judicial efectiva plantea un problema de presunción de inocencia, y que al cuestionar la desconexión entre las escuchas y la entrada y registro que permiten el hallazgo de la droga plantea un problema de prueba derivada de prueba ilícita que nuestra jurisprudencia resuelve en el ámbito del derecho a un proceso con todas las garantías.</w:t>
      </w:r>
    </w:p>
    <w:p w:rsidR="0025129F" w:rsidRDefault="0025129F" w:rsidP="0025129F">
      <w:pPr>
        <w:pStyle w:val="TextoNormal"/>
      </w:pPr>
    </w:p>
    <w:p w:rsidR="0025129F" w:rsidRDefault="0025129F" w:rsidP="0025129F">
      <w:pPr>
        <w:pStyle w:val="TextoNormal"/>
      </w:pPr>
      <w:r w:rsidRPr="0025129F">
        <w:rPr>
          <w:rStyle w:val="NumeroAFNegritaCaracter"/>
        </w:rPr>
        <w:t>3</w:t>
      </w:r>
      <w:r>
        <w:t>. Respecto de la alegación relativa al derecho a la inviolabilidad del domicilio (art. 18.2 CE), puede afirmarse igualmente que carece de fundamento, al no ser posible imputar a las resoluciones judiciales impugnadas una conculcación directa e inmediata de este derecho.</w:t>
      </w:r>
    </w:p>
    <w:p w:rsidR="0025129F" w:rsidRDefault="0025129F" w:rsidP="0025129F">
      <w:pPr>
        <w:pStyle w:val="TextoNormal"/>
      </w:pPr>
      <w:r>
        <w:t xml:space="preserve">Los recurrentes afirman que la resolución que autoriza la entrada y registro carece de motivación, lo que vulneraría su derecho a la inviolabilidad del domicilio, pero tal carencia no sería originaria, sino derivada de la prohibición de valoración del conocimiento adquirido a través de las intervenciones telefónicas declaradas nulas. El Auto de 11 de octubre de 1994 concede la autorización sobre la base de “la existencia de indicios racionales de que en el lugar que allí se expresa se encuentran las personas imputadas, efectos o instrumentos de un delito contra la salud pública, o libros papeles u otros objetos que puedan servir para su descubrimiento y comprobación, por lo que es procedente acordar en el presente caso la entrada y registro en el mencionado lugar”, y esos indicios se infieren “de lo actuado” y “de las intervenciones telefónicas efectuadas” de forma inequívoca, por lo que la motivación del citado Auto puede considerarse suficiente, sin que ello sea cuestionado por los recurrentes.  En definitiva, de nuevo bajo esta alegación lo que se plantea es la contaminación de las pruebas conectadas con una prueba declarada nula por violación de un derecho fundamental, lo cual afectará, en su caso, al derecho a un proceso con todas las garantías y, a partir de ahí, eventualmente, del derecho a la presunción de inocencia, </w:t>
      </w:r>
      <w:r>
        <w:lastRenderedPageBreak/>
        <w:t>sin que de ello pueda derivarse además la vulneración de otro derecho fundamental material, como es el derecho a la inviolabilidad del domicilio.</w:t>
      </w:r>
    </w:p>
    <w:p w:rsidR="0025129F" w:rsidRDefault="0025129F" w:rsidP="0025129F">
      <w:pPr>
        <w:pStyle w:val="TextoNormal"/>
      </w:pPr>
      <w:r>
        <w:t>En efecto, la prohibición de valoración de la prueba nula y de la de ella derivada es una regla de exclusión probatoria, orientada a garantizar un proceso justo. Tiene, por tanto, una dimensión exclusivamente procesal, sin los efectos materiales que pretende el recurrente. Así lo hemos declarado en la STC 114/1984, de 29 de noviembre, FJ 2, al afirmar que la posible afectación y lesión de derechos fundamentales se producirá, en su caso, “sólo por referencia a los derechos que cobran existencia en el ámbito del proceso (art. 24.2 CE)”. Ninguna lesión del derecho fundamental a la inviolabilidad de domicilio reconocido en el art. 18.2 CE puede derivarse, por tanto, de la prohibición de valoración, en el proceso, del conocimiento adquirido a través de las intervenciones telefónicas declaradas nulas.</w:t>
      </w:r>
    </w:p>
    <w:p w:rsidR="0025129F" w:rsidRDefault="0025129F" w:rsidP="0025129F">
      <w:pPr>
        <w:pStyle w:val="TextoNormal"/>
      </w:pPr>
    </w:p>
    <w:p w:rsidR="0025129F" w:rsidRDefault="0025129F" w:rsidP="0025129F">
      <w:pPr>
        <w:pStyle w:val="TextoNormal"/>
      </w:pPr>
      <w:r w:rsidRPr="0025129F">
        <w:rPr>
          <w:rStyle w:val="NumeroAFNegritaCaracter"/>
        </w:rPr>
        <w:t>4</w:t>
      </w:r>
      <w:r>
        <w:t>. Así reconducido el problema, procederemos a continuación a analizar nuestra doctrina sobre la primera de las cuestiones de fondo. Desde la STC 114/1984, de 29 de noviembre, hemos sostenido que, aunque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en virtud de su contradicción con ese derecho fundamental y, en definitiva, con la idea de “proceso justo”, debe considerarse prohibida por la Constitución (STC 114/1984, de 29 de noviembre, FJ 5 y, entre las más recientes, SSTC 81/1998, de 2 de abril, FJ 2; 69/2001, de 17 de marzo, FJ 26). Tal prohibición atañe no sólo a los resultados directos de la intervención, sino que se extiende a “cualquier otra prueba derivada de la observación telefónica, siempre que exista una conexión causal entre ambos resultados probatorios” (STC 49/1996, de 26 de marzo, FJ 3), aunque derive indirectamente de aquélla (SSTC 85/1994, de 14 de marzo, FJ 4; 86/1995, de 6 de junio, FJ 3; 181/1995, de 11 de diciembre, FJ 4; 54/1996, de 26 de marzo, FJ 8).</w:t>
      </w:r>
    </w:p>
    <w:p w:rsidR="0025129F" w:rsidRDefault="0025129F" w:rsidP="0025129F">
      <w:pPr>
        <w:pStyle w:val="TextoNormal"/>
      </w:pPr>
      <w:r>
        <w:t>Sin embargo, junto a esta regla general, en supuestos excepcionales hemos considerado lícita la valoración de pruebas que, aunque se encuentren conectadas desde una perspectiva natural con el hecho vulnerador del derecho fundamental, por derivar del conocimiento adquirido a partir del mismo, puedan considerarse jurídicamente independientes (SSTC 86/1995, de 6 de junio, FJ 4; 54/1996, de 26 de marzo, FJ 6; 81/1998, de 2 de abril, FJ 4; 151/1998, de 13 de julio, FJ 3; 166/1999, de 27 de septiembre, FJ 4; 136/2000, de 29 de mayo, FJ 6). La razón fundamental que avala la independencia jurídica de unas pruebas respecto de otras radica en que las pruebas derivadas son, desde su consideración intrínseca, constitucionalmente legítimas, pues ellas no se han obtenido con vulneración de ningún derecho fundamental.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 En la presencia o ausencia de esa conexión reside, pues, la ratio de la interdicción de la valoración de las pruebas obtenidas a partir del conocimiento derivado de otras que vulneran el derecho al secreto de las comunicaciones” (STC 81/1998, de 2 de abril, FJ 4).</w:t>
      </w:r>
    </w:p>
    <w:p w:rsidR="0025129F" w:rsidRDefault="0025129F" w:rsidP="0025129F">
      <w:pPr>
        <w:pStyle w:val="TextoNormal"/>
      </w:pPr>
      <w:r>
        <w:t>En esta última Sentencia establecimos también una doble perspectiva de análisis para determinar si existe o no la conexión de antijuridicidad: una perspectiva interna, que atiende a la índole y características de la vulneración del derecho al secreto de las comuni</w:t>
      </w:r>
      <w:r>
        <w:lastRenderedPageBreak/>
        <w:t>caciones en la prueba originaria (qué garantías de la injerencia en el derecho se han visto menoscabadas y en qué forma), así como al resultado inmediato de la infracción (el conocimiento adquirido a través de la injerencia practicada inconstitucionalmente). Por otro lado, una perspectiva externa, que atiende 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dos aspectos que configuran el contenido del derecho fundamental sustantivo” (STC 81/1998, de 2 de abril, FJ 4; en el mismo sentido, entre otras, SSTC 121/1998, de 15 de junio, FJ 6; 49/1999, de 5 de abril, FJ 14; 94/1999, de 31 de mayo, FJ 6; 166/1999, de 27 de septiembre, FJ 4; 171/1999, de 27 de septiembre, FJ 4; 136/2000, de 29 de mayo, FJ 6).</w:t>
      </w:r>
    </w:p>
    <w:p w:rsidR="0025129F" w:rsidRDefault="0025129F" w:rsidP="0025129F">
      <w:pPr>
        <w:pStyle w:val="TextoNormal"/>
      </w:pPr>
      <w:r>
        <w:t>Por tanto la posibilidad de valoración en juicio de pruebas que pudieran estar conectadas con otras obtenidas con vulneración de derechos fundamentales sustantivos requiere un análisis a dos niveles: en primer lugar, ha de analizarse si existe o no conexión causal entre ambas pruebas, conexión que constituye el presupuesto para poder hablar de prueba derivada. Sólo si existiera dicha conexión procede el análisis de la conexión de antijuridicidad (cuya inexistencia legitimaría la posibilidad de valoración de la prueba derivada). De no darse siquiera la conexión causal no sería necesario ni procedente analizar la conexión de antijuridicidad, y ninguna prohibición de valoración en juicio recaería sobre la prueba en cuestión.</w:t>
      </w:r>
    </w:p>
    <w:p w:rsidR="0025129F" w:rsidRDefault="0025129F" w:rsidP="0025129F">
      <w:pPr>
        <w:pStyle w:val="TextoNormal"/>
      </w:pPr>
      <w:r>
        <w:t>Por último hemos afirmado que la valoración acerca de si se ha roto o no el nexo entre una prueba y otra no es, en sí misma, un hecho, sino un juicio de experiencia acerca del grado de conexión que determina la pertinencia o impertinencia de la prueba cuestionada que corresponde, en principio, a los Jueces y Tribunales ordinarios, limitándose nuestro control a la comprobación de la razonabilidad del mismo (STC 81/1998, de 2 de abril, FJ 5, citando ATC 46/1983, de 9 de febrero, FJ 6, y SSTC 51/1985, de 10 de abril, FJ 9; 174/1985, de 17 de diciembre, FJ 2; 63/1993, de 1 de marzo, FJ 5; 244/1994, de 15 de septiembre, FJ 2, entre otras).</w:t>
      </w:r>
    </w:p>
    <w:p w:rsidR="0025129F" w:rsidRDefault="0025129F" w:rsidP="0025129F">
      <w:pPr>
        <w:pStyle w:val="TextoNormal"/>
      </w:pPr>
    </w:p>
    <w:p w:rsidR="0025129F" w:rsidRDefault="0025129F" w:rsidP="0025129F">
      <w:pPr>
        <w:pStyle w:val="TextoNormal"/>
      </w:pPr>
      <w:r w:rsidRPr="0025129F">
        <w:rPr>
          <w:rStyle w:val="NumeroAFNegritaCaracter"/>
        </w:rPr>
        <w:t>5</w:t>
      </w:r>
      <w:r>
        <w:t>. La aplicación de la doctrina anteriormente expuesta al presente caso nos obliga a situar el problema en el primer nivel de análisis, esto es, el de la existencia o no de conexión causal entre las intervenciones telefónicas anuladas por el Tribunal Supremo y los registros domiciliarios en el curso de los cuales se produce el hallazgo de la droga, debiendo limitarse nuestro control a la comprobación de la razonabilidad del juicio de desconexión llevado a cabo por el Tribunal Supremo.</w:t>
      </w:r>
    </w:p>
    <w:p w:rsidR="0025129F" w:rsidRDefault="0025129F" w:rsidP="0025129F">
      <w:pPr>
        <w:pStyle w:val="TextoNormal"/>
      </w:pPr>
      <w:r>
        <w:t>En efecto, la resolución judicial recurrida afirma, en su fundamento jurídico segundo, la ilicitud de las intervenciones telefónicas, anulando su valor probatorio. No obstante en el fundamento jurídico tercero sostiene que “en este caso falta la conexión causal entre las intervenciones telefónicas y los registros domiciliarios, pues ambas diligencias tienen como origen común las averiguaciones previas de la Policía y por ello puede establecerse desconexión entre ambas; por lo que no habiéndose aplicado el subtipo agravado basta con la existencia de la droga ocupada en el registro domiciliario para la punición por el tipo genérico contra la salud pública”, debiendo afirmarse, a la vista de las actuaciones y de la Sentencia de la Audiencia Provincial de Valencia, que el juicio de experiencia realizado por el Tribunal Supremo para negar la conexión causal entre ambas pruebas carece de fundamentación como para entenderlo razonable.</w:t>
      </w:r>
    </w:p>
    <w:p w:rsidR="0025129F" w:rsidRDefault="0025129F" w:rsidP="0025129F">
      <w:pPr>
        <w:pStyle w:val="TextoNormal"/>
      </w:pPr>
      <w:r>
        <w:lastRenderedPageBreak/>
        <w:t>Para fundamentar esta valoración han de tenerse en cuenta los siguientes datos: la intervención telefónica se autoriza mediante Auto de 14 de junio de 1994 y el registro domiciliario y la detención de los sospechosos se producen el 11 de octubre de 1994, cuatro meses después, sin que en todo ese periodo consten en las actuaciones otras diligencias policiales complementarias a la intervención telefónica. Por otra parte el oficio policial por el que se solicita el mandamiento de entrada y registro se produce tras haber tenido conocimiento por la intervención telefónica de que uno de los recurrentes iba a tener un encuentro con otro coencausado (Vidal), al que en el momento de su detención se le ocupa cocaína en uno de sus bolsillos. Y el Auto de 11 de octubre de 1994, por el que se acuerda la entrada y registro en el domicilio de los recurrentes, hace expresa referencia —en contra de lo que afirma el Ministerio Fiscal— al resultado de las intervenciones telefónicas efectuadas para fundamentar la existencia de indicios racionales de la perpetración de un delito contra la salud pública que justifican la autorización judicial. Por último, en el relato de hechos probados de la Sentencia de la Audiencia Provincial de Valencia se señala expresamente el conocimiento adquirido a través de las escuchas como el primer hecho desencadenante de toda la actuación policial posterior, sin que en ningún momento se citen otras actuaciones policiales distintas de las escuchas telefónicas, de las que el dato se extrae con absoluta claridad.  Y la misma Sentencia sostiene expresamente en su fundamento jurídico segundo que la implicación de los recurrentes “deriva del contenido inequívoco de las conversaciones telefónicas grabadas”, además de la aprehensión de la droga en el registro domiciliario.</w:t>
      </w:r>
    </w:p>
    <w:p w:rsidR="0025129F" w:rsidRDefault="0025129F" w:rsidP="0025129F">
      <w:pPr>
        <w:pStyle w:val="TextoNormal"/>
      </w:pPr>
      <w:r>
        <w:t>Pese a todo lo cual el Tribunal Supremo afirma que no existe conexión causal entre las intervenciones telefónicas y los registros. Un juicio que desde luego le compete, pero cuya razonabilidad está subordinada a la explicitación de las razones que le llevan a esta conclusión y a que tales razones sean suficientes para fundamentarlo. Y esas razones no se han hecho constar en la resolución recurrida, que se limita a referirse a “averiguaciones previas de la policía”, referencia recurrente a lo largo de todo el procedimiento pero respecto de la que en ningún momento se detalla en qué han consistido, lo que implica falta de motivación de la resolución enjuiciada.</w:t>
      </w:r>
    </w:p>
    <w:p w:rsidR="0025129F" w:rsidRDefault="0025129F" w:rsidP="0025129F">
      <w:pPr>
        <w:pStyle w:val="TextoNormal"/>
      </w:pPr>
      <w:r>
        <w:t>A la vista de lo cual cabe concluir que la no exclusión del resto de la prueba sobre la base de una desconexión causal que hemos calificado de inmotivado, vulnera el derecho a un proceso con todas las garantías (art. 24.2 CE). Y en este punto se agotan nuestras posibilidades de control en el presente caso, sin que podamos determinar ahora si se ha vulnerado o no el derecho a la presunción de inocencia, pues, establecido el canon en virtud del cual el Tribunal Supremo ha de determinar la desconexión causal del resto de la prueba con la declarada ilícita o, en su caso, de la presencia o ausencia de la conexión de antijuricidad (SSTC 81/1998, de 2 de abril, FJ 5, y 49/1999, de 5 de abril, FJ 14), le corresponde a la jurisdicción ordinaria la adecuada fundamentación de la desconexión como la valoración de si la prueba que pueda considerarse constitucionalmente legítima es suficiente o no para sustentar la declaración de culpabilidad y la condena de los recurrentes (SSTC 49/1999, de 5 de abril, FJ 14; 149/2001, de 27 de junio, FJ 7; 202/2001, de 15 de octubre, FJ 8).</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De todo ello se desprende que, para restablecer a los recurrentes en su derecho a un proceso con todas las garantías, cuya vulneración hemos afirmado, ha de anularse la Sentencia de la Sala Segunda del Tribunal Supremo de 26 de mayo de 1997, en lo que se refiere a los recurrentes, retrotrayendo las actuaciones al momento anterior al fallo, para que pueda el órgano judicial competente fundamentar suficientemente el juicio de conexión o </w:t>
      </w:r>
      <w:r>
        <w:lastRenderedPageBreak/>
        <w:t>desconexión y valorar las pruebas constitucionalmente lícitas en el sentido que estime oportuno.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Alejandro y don Antonio González de Huelva Valverde y, en consecuencia:</w:t>
      </w:r>
    </w:p>
    <w:p w:rsidR="0025129F" w:rsidRDefault="0025129F" w:rsidP="0025129F">
      <w:pPr>
        <w:pStyle w:val="TextoNormal"/>
      </w:pPr>
      <w:r>
        <w:t>1º Declarar que ha sido vulnerado el derecho de los recurrentes a un proceso con todas las garantías (art. 24.2 CE).</w:t>
      </w:r>
    </w:p>
    <w:p w:rsidR="0025129F" w:rsidRDefault="0025129F" w:rsidP="0025129F">
      <w:pPr>
        <w:pStyle w:val="TextoNormal"/>
      </w:pPr>
      <w:r>
        <w:t>2º Restablecerles en su derecho y, a este fin, anular parcialmente la Sentencia de la Sala Segunda del Tribunal Supremo de 26 de mayo de 1997, en lo que se refiere a la condena de los recurrentes como autores de un delito contra la salud pública.</w:t>
      </w:r>
    </w:p>
    <w:p w:rsidR="0025129F" w:rsidRDefault="0025129F" w:rsidP="0025129F">
      <w:pPr>
        <w:pStyle w:val="TextoNormal"/>
      </w:pPr>
      <w:r>
        <w:t>3º Retrotraer las actuaciones al momento anterior al fallo, a los fines previstos en los fundamentos jurídicos cinco y seis de esta resolución.</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2" w:name="SENTENCIA_2002_29"/>
      <w:r>
        <w:lastRenderedPageBreak/>
        <w:t>SENTENCIA 29/2002, de 11 de febrero de 2002</w:t>
      </w:r>
    </w:p>
    <w:bookmarkEnd w:id="32"/>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ECLI:ES:TC:2002:29</w:t>
      </w:r>
    </w:p>
    <w:p w:rsidR="0025129F" w:rsidRDefault="0025129F" w:rsidP="0025129F">
      <w:pPr>
        <w:pStyle w:val="SntesisDescriptiva"/>
      </w:pPr>
    </w:p>
    <w:p w:rsidR="0025129F" w:rsidRDefault="0025129F" w:rsidP="0025129F">
      <w:pPr>
        <w:pStyle w:val="SntesisDescriptiva"/>
      </w:pPr>
      <w:r>
        <w:t>Recurso de amparo 198/98. Promovido por doña Carmen Abad Asensio frente a la Sentencia de la Sala de lo Social del Tribunal Superior de Justicia de Madrid que, revocando la dictada por un Juzgado de lo Social, desestimó su demanda contra la agencia EFE por despido.</w:t>
      </w:r>
    </w:p>
    <w:p w:rsidR="0025129F" w:rsidRDefault="0025129F" w:rsidP="0025129F">
      <w:pPr>
        <w:pStyle w:val="SntesisDescriptiva"/>
      </w:pPr>
    </w:p>
    <w:p w:rsidR="0025129F" w:rsidRDefault="0025129F" w:rsidP="0025129F">
      <w:pPr>
        <w:pStyle w:val="SntesisAnaltica"/>
      </w:pPr>
      <w:r>
        <w:t>Vulneración del derecho a la libertad sindical: extinción del contrato en prácticas de un miembro del comité de empresa que la discrimina.</w:t>
      </w:r>
    </w:p>
    <w:p w:rsidR="0025129F" w:rsidRDefault="0025129F" w:rsidP="0025129F">
      <w:pPr>
        <w:pStyle w:val="SntesisAnaltica"/>
      </w:pPr>
    </w:p>
    <w:p w:rsidR="0025129F" w:rsidRDefault="0025129F" w:rsidP="0025129F">
      <w:pPr>
        <w:pStyle w:val="Extracto"/>
      </w:pPr>
      <w:r>
        <w:t>1.</w:t>
      </w:r>
      <w:r>
        <w:tab/>
        <w:t>La actora no fue contratada por tiempo indefinido al vencimiento de su contrato formativo de duración temporal como consecuencia de su condición de miembro del comité de empresa y del ejercicio de sus funciones representativas, a diferencia de lo acontecido con otros trabajadores que contaban con idéntica situación contractual, lo que es contrario a su derecho fundamental a la libertad sindical (art. 28.1 CE) [FJ 7]</w:t>
      </w:r>
    </w:p>
    <w:p w:rsidR="0025129F" w:rsidRDefault="0025129F" w:rsidP="0025129F">
      <w:pPr>
        <w:pStyle w:val="Extracto"/>
      </w:pPr>
    </w:p>
    <w:p w:rsidR="0025129F" w:rsidRDefault="0025129F" w:rsidP="0025129F">
      <w:pPr>
        <w:pStyle w:val="Extracto"/>
      </w:pPr>
      <w:r>
        <w:t>2.</w:t>
      </w:r>
      <w:r>
        <w:tab/>
        <w:t>La empresa no ha acreditado ad casum que existiese alguna justificación laboral real y de entidad suficiente en su decisión de postergar a la trabajadora respecto de los demás contratados en prácticas ni excluyó, por tanto, que su decisión fuese ajena a todo propósito discriminatorio [FJ 7].</w:t>
      </w:r>
    </w:p>
    <w:p w:rsidR="0025129F" w:rsidRDefault="0025129F" w:rsidP="0025129F">
      <w:pPr>
        <w:pStyle w:val="Extracto"/>
      </w:pPr>
    </w:p>
    <w:p w:rsidR="0025129F" w:rsidRDefault="0025129F" w:rsidP="0025129F">
      <w:pPr>
        <w:pStyle w:val="Extracto"/>
      </w:pPr>
      <w:r>
        <w:t>3.</w:t>
      </w:r>
      <w:r>
        <w:tab/>
        <w:t>La correlación y proximidad temporal de los diferentes hechos, la conflictividad previa y el diferente trato en la contratación por tiempo indefinido una vez vencido el contrato temporal previo, eran factores que sometían la actuación empresarial a la sospecha vehemente de una posible vulneración de la libertad sindical de la recurrente (SSTC 90/1997, 87/1998, 80/2001) [FJ 6].</w:t>
      </w:r>
    </w:p>
    <w:p w:rsidR="0025129F" w:rsidRDefault="0025129F" w:rsidP="0025129F">
      <w:pPr>
        <w:pStyle w:val="Extracto"/>
      </w:pPr>
    </w:p>
    <w:p w:rsidR="0025129F" w:rsidRDefault="0025129F" w:rsidP="0025129F">
      <w:pPr>
        <w:pStyle w:val="Extracto"/>
      </w:pPr>
      <w:r>
        <w:t>4.</w:t>
      </w:r>
      <w:r>
        <w:tab/>
        <w:t>Doctrina constitucional sobre la distribución de la carga de la prueba relativa a la vulneración de los derechos fundamentales (SSTC 38/1981, 90/1997) [ FFJJ 3 y 5].</w:t>
      </w:r>
    </w:p>
    <w:p w:rsidR="0025129F" w:rsidRDefault="0025129F" w:rsidP="0025129F">
      <w:pPr>
        <w:pStyle w:val="Extracto"/>
      </w:pPr>
    </w:p>
    <w:p w:rsidR="0025129F" w:rsidRDefault="0025129F" w:rsidP="0025129F">
      <w:pPr>
        <w:pStyle w:val="Extracto"/>
      </w:pPr>
      <w:r>
        <w:t>5.</w:t>
      </w:r>
      <w:r>
        <w:tab/>
        <w:t>La libertad de contratación encuentra un límite infranqueable en el derecho fundamental a la libertad sindical [FJ 7].</w:t>
      </w:r>
    </w:p>
    <w:p w:rsidR="0025129F" w:rsidRDefault="0025129F" w:rsidP="0025129F">
      <w:pPr>
        <w:pStyle w:val="Extracto"/>
      </w:pPr>
    </w:p>
    <w:p w:rsidR="0025129F" w:rsidRDefault="0025129F" w:rsidP="0025129F">
      <w:pPr>
        <w:pStyle w:val="Extracto"/>
      </w:pPr>
      <w:r>
        <w:t>6.</w:t>
      </w:r>
      <w:r>
        <w:tab/>
        <w:t>Cuando se enjuicia la presunta vulneración de un derecho sustantivo, como lo es el relativo a la libertad sindical, el test de razonabilidad que este Tribunal aplica a los derechos del art. 24 CE queda absorbido por el canon propio de aquel derecho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w:t>
      </w:r>
      <w:r>
        <w:lastRenderedPageBreak/>
        <w:t>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198/98, promovido por doña Carmen Abad Asensio, representada por la Procuradora de los Tribunales doña María Jesús Ruiz Esteban y asistida por el Abogado don Nicolás Sartorius Álvarez de Bohorques, contra la Sentencia de la Sala de lo Social del Tribunal Superior de Justicia de Madrid, de 24 de abril de 1997, dictada en proceso de despido. Ha sido parte la Agencia EFE, S.A., representada por el Procurador de los Tribunales don Luis de Argüelles González y asistida por el Abogado don José María Cernuda Fernández, y ha intervenido el Ministerio Fiscal. Ha sido Ponente el Magistrado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este Tribunal el 15 de enero de 1998, se interpone recurso de amparo contra la Sentencia de la Sala de lo Social del Tribunal Superior de Justicia de Madrid, de 24 de abril de 1997, dictada en proceso de despido.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que están en la base de la demanda son, sucintamente expuestos, los siguientes: </w:t>
      </w:r>
    </w:p>
    <w:p w:rsidR="0025129F" w:rsidRDefault="0025129F" w:rsidP="0025129F">
      <w:pPr>
        <w:pStyle w:val="TextoNormal"/>
      </w:pPr>
      <w:r>
        <w:t xml:space="preserve">a) La demandante de amparo prestó servicios para la Agencia EFE, S.A., con una beca primero y con un contrato de trabajo en prácticas después. Durante los tres meses de la beca desarrolló la actividad de regidora de televisión, teniendo igual horario y prestando iguales servicios que compañeros de la empresa en plantilla. Ya vigente el contrato de trabajo en prácticas —celebrado para el puesto de regidora de televisión, categoría de Ayudante de redacción— vino desempeñando las mismas tareas que durante la beca, así como otras propias de la categoría. El contrato se fue prorrogando sucesivamente hasta que la empresa, con efectos de 26 de enero de 1996, le comunicó su extinción por cumplimiento del plazo máximo legalmente establecido. </w:t>
      </w:r>
    </w:p>
    <w:p w:rsidR="0025129F" w:rsidRDefault="0025129F" w:rsidP="0025129F">
      <w:pPr>
        <w:pStyle w:val="TextoNormal"/>
      </w:pPr>
      <w:r>
        <w:t xml:space="preserve">b) La actora era miembro del Comité de empresa desde 1995, elegida en la lista de CC OO, y como tal participó en las negociaciones del nuevo convenio. Según los hechos probados, esa negociación fue problemática y sufrió interrupciones “por denuncias sobre prácticas antisindicales, falta de transparencia en gastos de la empresa, desacuerdo sobre plantillas, horas extraordinarias, delitos y faltas de jefe de personal, visados de contratos y otros hechos análogos”. También se declara probado que la Agencia EFE, S.A., “ha hecho fijezas de contratos en prácticas con igual categoría y menos antigüedad que la actora”, así como que “no existen baremos o criterios de selección para dichas fijezas siendo a través de decisiones verbales de los jefes inmediatos y de la Dirección de Personal como se configura tal pase”. </w:t>
      </w:r>
    </w:p>
    <w:p w:rsidR="0025129F" w:rsidRDefault="0025129F" w:rsidP="0025129F">
      <w:pPr>
        <w:pStyle w:val="TextoNormal"/>
      </w:pPr>
      <w:r>
        <w:lastRenderedPageBreak/>
        <w:t xml:space="preserve">c) La recurrente en amparo demandó por despido, siendo estimada su demanda por discriminación sindical, calificándose el despido como nulo en Sentencia del Juzgado de lo Social núm. 10 de Madrid, de 27 de mayo de 1996. El Juzgado entendió que, de acuerdo con la doctrina del Tribunal Constitucional y del Tribunal Supremo en este tipo de asuntos, la trabajadora aportó indicios suficientes de la discriminación padecida en la contratación, que tendría su fuente en su actividad sindical, por lo que la empresa debía acreditar que su decisión de no contratar a la actora por tiempo indefinido, una vez vencido el contrato de trabajo en prácticas, respondió a razones absolutamente ajenas al ejercicio del derecho fundamental a la libertad sindical, teniendo en cuenta que había convertido en fijos a personas con igual categoría y menor antigüedad, sin que le bastara ampararse, como hizo, en su libertad de contratación, que no puede ejercerse con un móvil discriminatorio. </w:t>
      </w:r>
    </w:p>
    <w:p w:rsidR="0025129F" w:rsidRDefault="0025129F" w:rsidP="0025129F">
      <w:pPr>
        <w:pStyle w:val="TextoNormal"/>
      </w:pPr>
      <w:r>
        <w:t xml:space="preserve">d) Contra la referida Sentencia se interpuso recurso de suplicación por la parte demandada, dictándose la resolución recurrida en amparo, de fecha 24 de abril de 1997. La Sala de lo Social del Tribunal Superior de Justicia de Madrid rechaza que la extinción del contrato de trabajo en prácticas pueda calificarse de despido nulo por discriminación sindical, toda vez que la empresa esgrimió un motivo razonable para justificar la finalización del vínculo (cumplimiento del plazo máximo del contrato), entrando la decisión sucesiva de no contratación por tiempo indefinido dentro del ámbito de organización interna de la Agencia EFE, S.A. Literalmente, “estando totalmente acreditada la existencia de un contrato temporal (en prácticas) no fraudulento, el hecho de que la trabajadora durante el último año de vigencia del contrato fuera miembro del Comité de empresa y como tal realizara actividades sindicales no empece para que la empleadora (AGENCIA EFE, S.A.) a pesar de ello pueda dar por finalizada la relación laboral por extinción del contrato (esencialmente temporal) comunicándolo con la debida antelación como ocurre en el caso de autos pues ha quedado acreditado que la baja producida en la empresa se ha debido a un motivo razonable cual es la finalización del plazo máximo pactado. Por otra parte, el hecho de que otros trabajadores de igual categoría y menor antigüedad que la actora hayan pasado a ser fijos de plantilla no es argumento suficiente para considerar que la actora ha sido discriminada porque a ella no se la hizo fija pues tal decisión cae dentro del ámbito de organización interna de la empresa y es libre de decidir cómo se configura tal pase a fijeza”. </w:t>
      </w:r>
    </w:p>
    <w:p w:rsidR="0025129F" w:rsidRDefault="0025129F" w:rsidP="0025129F">
      <w:pPr>
        <w:pStyle w:val="TextoNormal"/>
      </w:pPr>
      <w:r>
        <w:t>e) La vía judicial se cerró con el Auto de 1 de diciembre de 1997, de la Sala de lo Social del Tribunal Supremo, de inadmisión del recurso de casación para la unificación de doctrina por falta de contradicción entre la Sentencia recurrida y la invocada para el contraste.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 de amparo sostiene que se aportaron sólidos indicios de la discriminación sindical denunciada, habida cuenta que la Sra. Abad Asensio fue la única trabajadora en prácticas que no fue contratada por tiempo indefinido al vencimiento del contrato formativo. A la vista de lo anterior, la empresa tenía que haber demostrado que existía una causa objetiva, razonable y proporcionada que justificase que la diferencia de trato no estaba fundada en que la recurrente en amparo desarrolló una intensa actividad sindical, sin que fuera suficiente argumentar —como razonó el Tribunal Superior de Justicia— que entra dentro del ámbito de organización interna de la empresa la decisión de a quién se contrata de forma fija y a quién no cuando expiran los contratos temporales. De ese modo, a su juicio, lo que está aquí en juego no es la facultad empresarial, sino la auténtica razón del cese de la actora cuando a los restantes trabajadores en idéntica situación se les hizo </w:t>
      </w:r>
      <w:r>
        <w:lastRenderedPageBreak/>
        <w:t>fijos. El empresario debía haber ofrecido una explicación solvente de ese trato desigual, cosa que no hizo, vulnerando, como vulneró también la Sentencia del Tribunal Superior de Justicia dando validez a tal decisión empresarial, el art. 14 CE por discriminación sindical.</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Primera de este Tribunal, por providencia de 13 de octubre de 1998, acordó admitir a trámite el presente recurso de amparo. En consecuencia, y conforme a lo dispuesto en el art. 51 LOTC, se requirió a los órganos jurisdiccionales afectados para que remitiesen las actuaciones y emplazasen a quienes fueron parte en el procedimiento.</w:t>
      </w:r>
    </w:p>
    <w:p w:rsidR="0025129F" w:rsidRDefault="0025129F" w:rsidP="0025129F">
      <w:pPr>
        <w:pStyle w:val="TextoNormal"/>
      </w:pPr>
    </w:p>
    <w:p w:rsidR="0025129F" w:rsidRDefault="0025129F" w:rsidP="0025129F">
      <w:pPr>
        <w:pStyle w:val="TextoNormal"/>
      </w:pPr>
      <w:r w:rsidRPr="0025129F">
        <w:rPr>
          <w:rStyle w:val="NumeroAFNegritaCaracter"/>
        </w:rPr>
        <w:t>5</w:t>
      </w:r>
      <w:r>
        <w:t>. La Sala Primera de este Tribunal acordó, en providencia de 10 de mayo de 1999, tener por personado y parte al Procurador de los Tribunales don Luis de Argüelles González, en nombre y representación de la Agencia EFE, S.A., y, a tenor de lo dispuesto en el art. 52 LOTC, dar vista de las actuaciones recibidas a todas las partes personadas y al Ministerio Fiscal para que presentasen las alegaciones que a su derecho convinieran.</w:t>
      </w:r>
    </w:p>
    <w:p w:rsidR="0025129F" w:rsidRDefault="0025129F" w:rsidP="0025129F">
      <w:pPr>
        <w:pStyle w:val="TextoNormal"/>
      </w:pPr>
    </w:p>
    <w:p w:rsidR="0025129F" w:rsidRDefault="0025129F" w:rsidP="0025129F">
      <w:pPr>
        <w:pStyle w:val="TextoNormal"/>
      </w:pPr>
      <w:r w:rsidRPr="0025129F">
        <w:rPr>
          <w:rStyle w:val="NumeroAFNegritaCaracter"/>
        </w:rPr>
        <w:t>6</w:t>
      </w:r>
      <w:r>
        <w:t>. En escrito de 2 de junio de 1999, la Agencia EFE, S.A., solicita la desestimación de la demanda de amparo. Aduce, en primer lugar, que la Sra. Abad Asensio recibió igual trato que otros trabajadores a los que tampoco se les renovó el contrato, careciendo de toda relevancia, por tanto, el dato de la pertenencia al Comité de empresa o el del desarrollo de la actividad sindical. La argumentación de la actora, indica, llevaría a una especie de blindaje, a una garantía de inmunidad laboral que, sin embargo, no encuentra respaldo en el derecho a la participación en actividades sindicales. En consecuencia, concluye, no existe la relación causa-efecto que se pretende trabar de contrario. De otro modo, el “blindaje o coartada” que puede proporcionar la invocación de discriminación sindical no permitiría a la Agencia EFE, S.A., cumplir con una de las cláusulas del contrato, la de temporalidad, al quedar subordinada esa legítima decisión a la utilización por parte de la trabajadora en su provecho de una determinada circunstancia de relevancia social dentro de la empresa, como es el cargo representativo, corrigiendo y aumentando las garantías que ofrece esa condición.</w:t>
      </w:r>
    </w:p>
    <w:p w:rsidR="0025129F" w:rsidRDefault="0025129F" w:rsidP="0025129F">
      <w:pPr>
        <w:pStyle w:val="TextoNormal"/>
      </w:pPr>
    </w:p>
    <w:p w:rsidR="0025129F" w:rsidRDefault="0025129F" w:rsidP="0025129F">
      <w:pPr>
        <w:pStyle w:val="TextoNormal"/>
      </w:pPr>
      <w:r w:rsidRPr="0025129F">
        <w:rPr>
          <w:rStyle w:val="NumeroAFNegritaCaracter"/>
        </w:rPr>
        <w:t>7</w:t>
      </w:r>
      <w:r>
        <w:t>. La recurrente, en su escrito de alegaciones, registrado el día 4 de junio de 1999, se limita a remitirse a la demanda de amparo y a reproducir parte de la STC 90/1997, de 6 de mayo, que considera de aplicación al presente caso.</w:t>
      </w:r>
    </w:p>
    <w:p w:rsidR="0025129F" w:rsidRDefault="0025129F" w:rsidP="0025129F">
      <w:pPr>
        <w:pStyle w:val="TextoNormal"/>
      </w:pPr>
    </w:p>
    <w:p w:rsidR="0025129F" w:rsidRDefault="0025129F" w:rsidP="0025129F">
      <w:pPr>
        <w:pStyle w:val="TextoNormal"/>
      </w:pPr>
      <w:r w:rsidRPr="0025129F">
        <w:rPr>
          <w:rStyle w:val="NumeroAFNegritaCaracter"/>
        </w:rPr>
        <w:t>8</w:t>
      </w:r>
      <w:r>
        <w:t>. El escrito del Ministerio Fiscal fue registrado en este Tribunal el día 9 de junio de 1999, y en él se pide la concesión del amparo. Tras efectuar un examen de los hechos y fundamentos de los que trae causa la demanda de amparo, así como de la jurisprudencia constitucional que estima de aplicación, termina sus alegaciones respaldando la pretensión de la recurrente. En su opinión, la lesión se habría producido porque la Sentencia impugnada olvidó que resultan ilícitas las actuaciones empresariales discriminatorias por razones sindicales también cuando se trata del estadio del acceso al trabajo.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fecha 7 de febrero de 2002 se señaló para votación y fallo de la presente Sentencia el 11 siguiente del mismo mes y año.</w:t>
      </w:r>
    </w:p>
    <w:p w:rsidR="0025129F" w:rsidRDefault="0025129F" w:rsidP="0025129F">
      <w:pPr>
        <w:pStyle w:val="TextoNormal"/>
      </w:pPr>
    </w:p>
    <w:p w:rsidR="0025129F" w:rsidRDefault="0025129F" w:rsidP="0025129F">
      <w:pPr>
        <w:pStyle w:val="TextoNormalNegritaCentrado"/>
        <w:keepNext/>
      </w:pPr>
      <w:r>
        <w:lastRenderedPageBreak/>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la impugnación de la Sentencia de la Sala de lo Social del Tribunal Superior de Justicia de Madrid de 24 de abril de 1997, estimatoria del recurso de suplicación interpuesto contra la Sentencia del Juzgado de lo Social núm. 10 de los de Madrid, de 27 de mayo de 1996, que había declarado nulo el despido de la recurrente por discriminación sindical.</w:t>
      </w:r>
    </w:p>
    <w:p w:rsidR="0025129F" w:rsidRDefault="0025129F" w:rsidP="0025129F">
      <w:pPr>
        <w:pStyle w:val="TextoNormal"/>
      </w:pPr>
      <w:r>
        <w:t>La recurrente en amparo afirma que la precitada Sentencia del Tribunal Superior de Justicia de Madrid ha conculcado el art. 14 CE, en la medida en que revoca la nulidad del despido por discriminación sindical declarada en la instancia. Denuncia que la empresa tenía que haber demostrado que existía una causa objetiva, razonable y proporcionada —ajena a motivos sindicales— que justificara la desigualdad de trato consistente en que la recurrente no fue contratada por tiempo indefinido a la terminación de su contrato en prácticas, a diferencia de lo que aconteció con otros trabajadores en idéntica o peor situación. La Agencia EFE, S.A., en suma, tenía que demostrar que esa opción en materia de contratación no estaba motivada por la actividad sindical de la trabajadora, en tanto que miembro del Comité de empresa, sino fundada en razones diversas, sin que fuera suficiente para neutralizar ese indicio argumentar que la decisión adoptada encontraba cobijo en su libertad de contratación y estaba comprendida dentro del ámbito discrecional de su organización interna.</w:t>
      </w:r>
    </w:p>
    <w:p w:rsidR="0025129F" w:rsidRDefault="0025129F" w:rsidP="0025129F">
      <w:pPr>
        <w:pStyle w:val="TextoNormal"/>
      </w:pPr>
      <w:r>
        <w:t>Se opone a esta argumentación la Agencia EFE, S.A., que solicita la desestimación del recurso de amparo. Aduce que la trabajadora fue tratada de la misma manera que otros trabajadores a los que tampoco se les contrató a la finalización de su contrato de trabajo en prácticas —dato que en la vía judicial ya intentó incorporar a los hechos probados sin éxito—, así como que la argumentación de la Sra. Abad Asensio, de ser atendida, llevaría a una especie de inmunidad laboral, corrigiendo y aumentando sin auxilio normativo alguno las garantías que ofrece la condición de representante de los trabajadores y el derecho a la actividad sindical.</w:t>
      </w:r>
    </w:p>
    <w:p w:rsidR="0025129F" w:rsidRDefault="0025129F" w:rsidP="0025129F">
      <w:pPr>
        <w:pStyle w:val="TextoNormal"/>
      </w:pPr>
      <w:r>
        <w:t>Por su parte, el Ministerio Fiscal interesa de este Tribunal la estimación del recurso de amparo. Entiende que la Sala de lo Social del Tribunal Superior de Justicia de Madrid olvidó que también resultan ilícitas las actuaciones empresariales discriminatorias por razones sindicales cuando se sitúan en los terrenos del acceso al trabajo.</w:t>
      </w:r>
    </w:p>
    <w:p w:rsidR="0025129F" w:rsidRDefault="0025129F" w:rsidP="0025129F">
      <w:pPr>
        <w:pStyle w:val="TextoNormal"/>
      </w:pPr>
    </w:p>
    <w:p w:rsidR="0025129F" w:rsidRDefault="0025129F" w:rsidP="0025129F">
      <w:pPr>
        <w:pStyle w:val="TextoNormal"/>
      </w:pPr>
      <w:r w:rsidRPr="0025129F">
        <w:rPr>
          <w:rStyle w:val="NumeroAFNegritaCaracter"/>
        </w:rPr>
        <w:t>2</w:t>
      </w:r>
      <w:r>
        <w:t>. Dicho lo anterior, en primer lugar, se hace necesario precisar que la alegación de la parte recurrente sobre la vulneración de su derecho a la igualdad y a la no discriminación (art. 14 CE) buscó su fundamento argumental, en todo momento, en una supuesta conducta empresarial antisindical, de modo que, según criterio reiterado de este Tribunal, la discriminación denunciada debe entenderse subsumida en el art. 28.1 CE, visto que la queja no concierne a alguna de las determinaciones explícitamente proscritas por el art. 14 CE sino que se basa en un supuesto perjuicio en el empleo causado por la actividad sindical de la recurrente (por todas, SSTC 38/1981, de 23 de noviembre, FJ 5; 197/1990, de 29 de noviembre, FJ 1; 90/1997, de 6 de mayo, FJ 3; y recientemente, 143/2001, de 12 de febrero, FJ 1; 44/2001, de 12 de febrero, FJ 2; 58/2001, de 26 de febrero, FJ 1; 214/2001, de 29 de octubre, FJ 3, o 14/2002, de 28 de enero, FJ 2).</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Delimitado en esos términos el objeto de la demanda de amparo, nuestro control debe concentrarse en discernir si la actora ha sufrido un trato desigual contrario a su derecho </w:t>
      </w:r>
      <w:r>
        <w:lastRenderedPageBreak/>
        <w:t>fundamental a la libertad sindical (art. 28.1 CE). Esto es, si no fue contratada por tiempo indefinido al vencimiento de su contrato formativo de duración temporal, según sostiene, con base y como consecuencia de su condición de miembro del Comité de empresa y del ejercicio de sus funciones representativas, a diferencia de lo acontecido con otros trabajadores no representantes que contaban con idéntica situación contractual (contratos de trabajo en prácticas), incluso con menor antigüedad.</w:t>
      </w:r>
    </w:p>
    <w:p w:rsidR="0025129F" w:rsidRDefault="0025129F" w:rsidP="0025129F">
      <w:pPr>
        <w:pStyle w:val="TextoNormal"/>
      </w:pPr>
      <w:r>
        <w:t>Y ya en este punto, será de subrayar, como ha puesto de manifiesto invariablemente este Tribunal desde la STC 38/1981, de 23 de noviembre, la importancia que tiene la regla de la distribución de la carga de la prueba para garantizar el derecho a la libertad sindical frente a posibles decisiones empresariales que puedan constituir una discriminación por motivos sindicales.</w:t>
      </w:r>
    </w:p>
    <w:p w:rsidR="0025129F" w:rsidRDefault="0025129F" w:rsidP="0025129F">
      <w:pPr>
        <w:pStyle w:val="TextoNormal"/>
      </w:pPr>
      <w:r>
        <w:t>Para precisar con nitidez los criterios aplicables en materia probatoria cuando están en juego posibles vulneraciones de derechos fundamentales en el ámbito de las relaciones laborales, nos servirá la STC 90/1997, de 6 de mayo. Partíamos allí de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w:t>
      </w:r>
    </w:p>
    <w:p w:rsidR="0025129F" w:rsidRDefault="0025129F" w:rsidP="0025129F">
      <w:pPr>
        <w:pStyle w:val="TextoNormal"/>
      </w:pPr>
      <w:r>
        <w:t xml:space="preserve">Y proseguíamos: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w:t>
      </w:r>
      <w:r>
        <w:lastRenderedPageBreak/>
        <w:t>explican objetiva, razonable y proporcionadamente por sí mismas su decisión, eliminando toda sospecha de que aquélla ocultó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FJ 1; 136/1996, FJ 4, así como SSTC 38/1981, 104/1987, 166/1988, 114/1989, 147/1995 ó 17/1996)”.</w:t>
      </w:r>
    </w:p>
    <w:p w:rsidR="0025129F" w:rsidRDefault="0025129F" w:rsidP="0025129F">
      <w:pPr>
        <w:pStyle w:val="TextoNormal"/>
      </w:pPr>
      <w:r>
        <w:t>Y, en último término, será de añadir (STC 173/1994, de 7 de junio) que “no puede sostenerse en modo alguno que sólo cuando está en curso una relación laboral pueda generarse una conducta” discriminatoria, “y, mucho menos, cuando esa relación laboral podría haber continuado normalmente, a través de la oportuna prórroga o nueva contratación sucesiva”, de suerte que la discriminación puede viciar también actuaciones relativas al acceso al empleo o a su mantenimiento y cuando así ocurre los “efectos pueden ser equiparados a los de aquellas medidas que, en el ordenamiento laboral, impiden la continuidad del vínculo laboral por decisión unilateral del empresario, esto es, a los del despido fundado en la vulneración de un derecho fundamental (STC 166/1988), o sea, la ineficacia absoluta del acto empresarial extintivo, ilícito por discriminatorio” (FJ 4).</w:t>
      </w:r>
    </w:p>
    <w:p w:rsidR="0025129F" w:rsidRDefault="0025129F" w:rsidP="0025129F">
      <w:pPr>
        <w:pStyle w:val="TextoNormal"/>
      </w:pPr>
    </w:p>
    <w:p w:rsidR="0025129F" w:rsidRDefault="0025129F" w:rsidP="0025129F">
      <w:pPr>
        <w:pStyle w:val="TextoNormal"/>
      </w:pPr>
      <w:r w:rsidRPr="0025129F">
        <w:rPr>
          <w:rStyle w:val="NumeroAFNegritaCaracter"/>
        </w:rPr>
        <w:t>4</w:t>
      </w:r>
      <w:r>
        <w:t>. Conforme a lo que antecede, corresponde a este Tribunal analizar si la parte actora ha acreditado suficientemente la existencia de indicios de antisindicalidad, y si, en tal caso, la parte demandada ha probado que su actuación fue por completo ajena al factor sindical reseñado.</w:t>
      </w:r>
    </w:p>
    <w:p w:rsidR="0025129F" w:rsidRDefault="0025129F" w:rsidP="0025129F">
      <w:pPr>
        <w:pStyle w:val="TextoNormal"/>
      </w:pPr>
      <w:r>
        <w:t>Antes de analizar ese punto decisivo, visto que el Juez de instancia y la Sala de lo Social alcanzaron conclusiones diversas sobre el particular, será de recordar, como destacaba la STC 14/2002, de 28 de enero, que para resolver esa cuestión no bastará con la simple evaluación de la razonabilidad de esas decisiones judiciales. Y ello porque es perfectamente posible que se den resoluciones judiciales que contengan una fundamentación que exprese razones —de hecho y de Derecho— por las que el órgano judicial llega a un determinado pronunciamiento, pero que, desde la perspectiva del libre ejercicio de los derechos fundamentales como los aquí en juego, no expresen de modo constitucionalmente adecuado las razones justificativas de la decisión adoptada.  En estos casos, hemos dicho en la mencionada Sentencia,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por el canon propio de aquel derecho. A tal fin se hace necesario interpretar a la luz de los valores constitucionales los indicios que sirven de base al enjuiciamiento, todo ello sin que tal actuación suponga la revisión de la valoración de la prueba efectuada por el juzgador, por ser firme doctrina constitucional que dicha valoración se encuentra atribuida en exclusiva a los órganos judiciales, sin que competa a este Tribunal revisar en vía de amparo las apreciaciones de aquéllos ni la ponderación que lleven a cabo, salvo que unas u otra resulten arbitrarias o irrazonables (SSTC 140/1994, de 9 de mayo, FJ 3, y 136/1996, de 23 de julio, FJ 4)”.</w:t>
      </w:r>
    </w:p>
    <w:p w:rsidR="0025129F" w:rsidRDefault="0025129F" w:rsidP="0025129F">
      <w:pPr>
        <w:pStyle w:val="TextoNormal"/>
      </w:pPr>
    </w:p>
    <w:p w:rsidR="0025129F" w:rsidRDefault="0025129F" w:rsidP="0025129F">
      <w:pPr>
        <w:pStyle w:val="TextoNormal"/>
      </w:pPr>
      <w:r w:rsidRPr="0025129F">
        <w:rPr>
          <w:rStyle w:val="NumeroAFNegritaCaracter"/>
        </w:rPr>
        <w:t>5</w:t>
      </w:r>
      <w:r>
        <w:t>. Abordando el enjuiciamiento que nos corresponde con ese criterio y desde aquel esquema de distribución de cargas probatorias, debemos examinar el primer elemento al que antes nos referíamos en la transcripción de la STC 90/1997. Se trata del factor desencadenante de la propia hipótesis de la lesión, elemento que deviene de cumplimiento inexcusable para quien invoca la vulneración, a saber: la necesidad de aportar una “prueba verosímil” (STC 207/2001, de 22 de octubre, FJ 5) o “principio de prueba” revelador de la existencia de un fondo o panorama discriminatorio general o de hechos de los que surja la sospecha vehemente de una discriminación por razones sindicales o de una quiebra del derecho fundamental de que se trate (por todas, SSTC 87/1998, de 21 de abril, FJ 3; 293/1993, de 18 de octubre, FJ 6; 140/1999, de 22 de julio, FJ 5; 29/2000, de 31 de enero, FJ 3; 214/2001, de 29 de octubre, FJ 4, y 14/2002, de 28 de enero, FJ 4).</w:t>
      </w:r>
    </w:p>
    <w:p w:rsidR="0025129F" w:rsidRDefault="0025129F" w:rsidP="0025129F">
      <w:pPr>
        <w:pStyle w:val="TextoNormal"/>
      </w:pPr>
      <w:r>
        <w:t>En ese sentido, debe subrayarse que en la aportación de una prueba verosímil o principio de prueba de la vulneración denunciada resultará insuficiente la simple afirmación de la discriminación o lesión de un derecho fundamental. Al contrario, en casos como el presente en los que la sospecha o apariencia de la violación del derecho fundamental se pretende hacer descansar en una inferencia derivada de la relación entre diversos hechos (esta vez, condición representativa, ejercicio problemático de la misma y diferente trato en la contratación respecto de otros trabajadores al vencimiento de contratos temporales), será exigible una conexión lógica entre todos ellos que encuentre fundamento en algún nexo causal (o, en otros términos, una relación directa entre las decisiones empresariales y el derecho fundamental, como ya dijimos en la STC 87/1998, FJ 4).</w:t>
      </w:r>
    </w:p>
    <w:p w:rsidR="0025129F" w:rsidRDefault="0025129F" w:rsidP="0025129F">
      <w:pPr>
        <w:pStyle w:val="TextoNormal"/>
      </w:pPr>
    </w:p>
    <w:p w:rsidR="0025129F" w:rsidRDefault="0025129F" w:rsidP="0025129F">
      <w:pPr>
        <w:pStyle w:val="TextoNormal"/>
      </w:pPr>
      <w:r w:rsidRPr="0025129F">
        <w:rPr>
          <w:rStyle w:val="NumeroAFNegritaCaracter"/>
        </w:rPr>
        <w:t>6</w:t>
      </w:r>
      <w:r>
        <w:t>. Buscando la solución en ese primer plano, se observa que las alegaciones de la demandante resultaron convincentes para los órganos judiciales en cuanto a la existencia de indicios de antisindicalidad. A tal fin es necesario recordar que la recurrente en amparo, miembro del Comité de empresa por CC OO, se quejaba de no haber sido contratada por tiempo indefinido, una vez concluido su contrato en prácticas, por razón de su condición de representante de los trabajadores y por el ejercicio conflictivo de tal función representativa. Y conectaba esas circunstancias sindicales con otro hecho que entendía causal y directamente relacionado, a saber, que la empresa que extinguió su contrato temporal, sin nueva contratación posterior, había realizado contratos indefinidos con otros trabajadores, no representantes, en idéntica situación contractual e incluso con menor antigüedad.</w:t>
      </w:r>
    </w:p>
    <w:p w:rsidR="0025129F" w:rsidRDefault="0025129F" w:rsidP="0025129F">
      <w:pPr>
        <w:pStyle w:val="TextoNormal"/>
      </w:pPr>
      <w:r>
        <w:t>La Sentencia del Juzgado de lo Social núm. 10 de Madrid, de 27 de mayo de 1996, recuérdese, declaraba nulo el despido por discriminación sindical. El Juzgado entendía que los hechos expuestos eran indicativos de la lesión, por lo que tenía que haber sido la empresa quien demostrara que la no contratación sucesiva respondía a razones ajenas a la actividad sindical de la actora, teniendo en cuenta que había convertido en fijos a trabajadores con igual categoría y menor antigüedad. La Sentencia dictada en el grado de suplicación, sin embargo, revocó la de instancia considerando que la decisión de la empresa tenía apoyo en dos razones: la extinción, en el cumplimiento del plazo máximo del contrato, y la no contratación por tiempo indefinido, en la libertad propia del ámbito de organización interna de la empresa. O dicho en sus términos, ya reproducidos en los antecedentes, “estando totalmente acreditada la existencia de un contrato temporal (en prácticas) no fraudulento, el hecho de que la trabajadora durante el último año de vigencia del contrato fuera miembro del Comité de empresa y como tal realizara actividades sindicales no empece para que la empleadora (AGENCIA EFE, S.A.)  a pesar de ello pueda dar por finalizada la relación laboral por extinción del contrato (esencialmente temporal) comunicándo</w:t>
      </w:r>
      <w:r>
        <w:lastRenderedPageBreak/>
        <w:t>lo con la debida antelación como ocurre en el caso de autos pues ha quedado acreditado que la baja producida en la empresa se ha debido a un motivo razonable cual es la finalización del plazo máximo pactado. Por otra parte, el hecho de que otros trabajadores de igual categoría y menor antigüedad que la actora hayan pasado a ser fijos de plantilla no es argumento suficiente para considerar que la actora ha sido discriminada porque a ella no se la hizo fija pues tal decisión cae dentro del ámbito de organización interna de la empresa y es libre de decidir cómo se configura tal pase a fijeza”.</w:t>
      </w:r>
    </w:p>
    <w:p w:rsidR="0025129F" w:rsidRDefault="0025129F" w:rsidP="0025129F">
      <w:pPr>
        <w:pStyle w:val="TextoNormal"/>
      </w:pPr>
      <w:r>
        <w:t>En consecuencia, más allá de su discrepante valoración de esos hechos desde la óptica de la libertad sindical, los órganos judiciales entendieron que la demandante había conformado un panorama discriminatorio indicativo de una posible vulneración del art.  28.1 CE. Del relato de hechos probados y de lo actuado se deducía, en suma, que la demandante había desarrollado una actividad alegatoria suficientemente concreta y precisa, en torno a una posible violación de su derecho de libertad sindical, creando con ello una apariencia o sospecha de comportamiento empresarial contrario a este derecho fundamental sobre la base de diversos hechos conectados entre sí, concretamente: a) existencia objetiva de una diferencia de trato con otros trabajadores contratados en prácticas (hecho probado séptimo); b) ejercicio de funciones representativas como miembro del Comité de Empresa durante el último año de vigencia del contrato (hecho probado sexto); c) desarrollo problemático de la función representativa (interrupción en la negociación del convenio colectivo, denuncias de prácticas antisindicales, denuncias por delitos y faltas de Jefe de Personal, etc. —nuevamente hecho probado sexto—); d) proximidad temporal entre el ejercicio de tales funciones y la no contratación sucesiva por tiempo indefinido de la trabajadora; y, finalmente, constatación de que la fijeza dependía de decisiones verbales de los jefes inmediatos y de la Dirección de Personal (hecho probado séptimo).</w:t>
      </w:r>
    </w:p>
    <w:p w:rsidR="0025129F" w:rsidRDefault="0025129F" w:rsidP="0025129F">
      <w:pPr>
        <w:pStyle w:val="TextoNormal"/>
      </w:pPr>
      <w:r>
        <w:t>La correlación y proximidad temporal de los diferentes hechos (SSTC 87/1998, de 21 de abril, FJ 4; 101/2000, de 10 de abril, FJ 5; 214/2001, FJ 6), la conflictividad previa (STC 90/1997, FJ 6), y el diferente trato en la contratación por tiempo indefinido una vez vencido el contrato temporal previo (recientemente, STC 80/2001, de 26 de marzo), eran factores que, en verdad, más aún cuando aparecían unidos todos ellos en el caso de autos, sometían la actuación empresarial a la sospecha vehemente de una posible vulneración de la libertad sindical de la recurrente.</w:t>
      </w:r>
    </w:p>
    <w:p w:rsidR="0025129F" w:rsidRDefault="0025129F" w:rsidP="0025129F">
      <w:pPr>
        <w:pStyle w:val="TextoNormal"/>
      </w:pPr>
    </w:p>
    <w:p w:rsidR="0025129F" w:rsidRDefault="0025129F" w:rsidP="0025129F">
      <w:pPr>
        <w:pStyle w:val="TextoNormal"/>
      </w:pPr>
      <w:r w:rsidRPr="0025129F">
        <w:rPr>
          <w:rStyle w:val="NumeroAFNegritaCaracter"/>
        </w:rPr>
        <w:t>7</w:t>
      </w:r>
      <w:r>
        <w:t>. Alcanzada la anterior conclusión y con arreglo a la doctrina constitucional más arriba reproducida, correspondía a la empresa la carga de probar que sus decisiones se basaban en causas ajenas a la apariencia de discriminación sindical creada por la trabajadora. En efecto, conforme recogíamos en el fundamento jurídico tercero, existente un principio de prueba o apariencia verosímil de la vulneración de derechos fundamentales, aquí de la libertad sindical, esa carga probatoria incumbe al empresario incluso en el supuesto de decisiones discrecionales, o no causales, y que no precisan por tanto ser motivadas, ya que, como hemos declarado, ello no excluye que, desde la perspectiva constitucional, sea igualmente ilícita una decisión de esta naturaleza contraria a los derechos fundamentales del trabajador (por todas, STC 90/1997).</w:t>
      </w:r>
    </w:p>
    <w:p w:rsidR="0025129F" w:rsidRDefault="0025129F" w:rsidP="0025129F">
      <w:pPr>
        <w:pStyle w:val="TextoNormal"/>
      </w:pPr>
      <w:r>
        <w:t>De ahí que no pueda reputarse suficiente el dato, acogido en la Sentencia impugnada, de que en el plano de la legalidad ordinaria la extinción de un contrato de trabajo temporal por la llegada de su término final opera como causa de finalización de la relación laboral [art. 49.1 c) LET] o que su renovación o conversión en otro por tiempo indefinido no resulta en principio obligada, perteneciendo esa medida al ámbito de la libertad de contratación del empleador. Por el contrario, concurrente un panorama como el descrito, era exigi</w:t>
      </w:r>
      <w:r>
        <w:lastRenderedPageBreak/>
        <w:t>ble una justificación causal de la decisión que resultara suficiente en su específica y singular proyección sobre el caso concreto, explicando objetiva, razonable y proporcionadamente tal decisión y eliminando toda sospecha de que ésta ocultara la lesión de un derecho fundamental de la trabajadora, sin que pueda servir para lograrlo la abstracta razón de legalidad invocada, esto es, la genérica capacidad organizativa y la libre determinación de la Agencia EFE, S.A., en el ámbito de la contratación.</w:t>
      </w:r>
    </w:p>
    <w:p w:rsidR="0025129F" w:rsidRDefault="0025129F" w:rsidP="0025129F">
      <w:pPr>
        <w:pStyle w:val="TextoNormal"/>
      </w:pPr>
      <w:r>
        <w:t>La libertad de contratación presenta aquí una clara dimensión constitucional, pues encuentra un límite infranqueable en el derecho fundamental a la libertad sindical: los poderes empresariales, como se recordó anteriormente, se encuentran limitados en su ejercicio no sólo por las normas legales o convencionales que los regulan, sino también por los derechos fundamentales del trabajador, constituyendo un resultado prohibido la utilización lesiva de éstos.</w:t>
      </w:r>
    </w:p>
    <w:p w:rsidR="0025129F" w:rsidRDefault="0025129F" w:rsidP="0025129F">
      <w:pPr>
        <w:pStyle w:val="TextoNormal"/>
      </w:pPr>
      <w:r>
        <w:t>En definitiva, la genérica explicación de la empresa resulta insuficiente, pues no ha acreditado ad casum que existiese alguna justificación laboral real y de entidad suficiente en su decisión de postergar a la trabajadora respecto de los demás contratados en prácticas cuya vinculación contractual también había finalizado, ni excluyó, por tanto, que su decisión fuese ajena a todo propósito discriminatorio.</w:t>
      </w:r>
    </w:p>
    <w:p w:rsidR="0025129F" w:rsidRDefault="0025129F" w:rsidP="0025129F">
      <w:pPr>
        <w:pStyle w:val="TextoNormal"/>
      </w:pPr>
      <w:r>
        <w:t>Así las cosas, “puesto que la referida conducta prohibida ha tenido como consecuencia el crear un obstáculo definitivo al acceso al empleo de la trabajadora afectada, sus efectos pueden ser equiparados a los de aquellas medidas que, en el ordenamiento laboral, impiden la continuidad del vínculo laboral por decisión unilateral del empresario, esto es, a los del despido fundado en la vulneración de un derecho fundamental (STC 166/1988), o sea, la ineficacia absoluta del acto empresarial extintivo, ilícito por discriminatorio” (STC 173/1994, FJ 4).</w:t>
      </w:r>
    </w:p>
    <w:p w:rsidR="0025129F" w:rsidRDefault="0025129F" w:rsidP="0025129F">
      <w:pPr>
        <w:pStyle w:val="TextoNormal"/>
      </w:pPr>
      <w:r>
        <w:t>Las anteriores conclusiones conducen directamente a la estimación del amparo solicitado, así como a la anulación de la Sentencia del Tribunal Superior de Justicia recurrida, por vulnerar el derecho fundamental protegido por el art. 28.1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el recurso de amparo promovido por doña Carmen Abad Asensio y, en su virtud:</w:t>
      </w:r>
    </w:p>
    <w:p w:rsidR="0025129F" w:rsidRDefault="0025129F" w:rsidP="0025129F">
      <w:pPr>
        <w:pStyle w:val="TextoNormal"/>
      </w:pPr>
      <w:r>
        <w:t>1º Reconocer a la recurrente su derecho fundamental a no ser discriminada por ejercer su libertad sindical (art. 28.1 CE).</w:t>
      </w:r>
    </w:p>
    <w:p w:rsidR="0025129F" w:rsidRDefault="0025129F" w:rsidP="0025129F">
      <w:pPr>
        <w:pStyle w:val="TextoNormal"/>
      </w:pPr>
      <w:r>
        <w:t>2º Declarar la nulidad de la Sentencia de la Sala de lo Social del Tribunal Superior de Justicia de Madrid, de 24 de abril de 1997, lo que implica la firmeza de la Sentencia dictada por el Juzgado de lo Social núm. 10 de Madrid, de 27 de mayo de 1996.</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3" w:name="SENTENCIA_2002_30"/>
      <w:r>
        <w:lastRenderedPageBreak/>
        <w:t>SENTENCIA 30/2002, de 11 de febrero de 2002</w:t>
      </w:r>
    </w:p>
    <w:bookmarkEnd w:id="33"/>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ECLI:ES:TC:2002:30</w:t>
      </w:r>
    </w:p>
    <w:p w:rsidR="0025129F" w:rsidRDefault="0025129F" w:rsidP="0025129F">
      <w:pPr>
        <w:pStyle w:val="SntesisDescriptiva"/>
      </w:pPr>
    </w:p>
    <w:p w:rsidR="0025129F" w:rsidRDefault="0025129F" w:rsidP="0025129F">
      <w:pPr>
        <w:pStyle w:val="SntesisDescriptiva"/>
      </w:pPr>
      <w:r>
        <w:t>Recurso de amparo 1481/98. Promovido por doña Remedios Sancho Ávila frente a la Sentencia de la Sala de lo Social del Tribunal Superior de Justicia de Madrid que, revocando la dictada por un Juzgado de lo Social, desestimó su demanda contra la agencia EFE por despido.</w:t>
      </w:r>
    </w:p>
    <w:p w:rsidR="0025129F" w:rsidRDefault="0025129F" w:rsidP="0025129F">
      <w:pPr>
        <w:pStyle w:val="SntesisDescriptiva"/>
      </w:pPr>
    </w:p>
    <w:p w:rsidR="0025129F" w:rsidRDefault="0025129F" w:rsidP="0025129F">
      <w:pPr>
        <w:pStyle w:val="SntesisAnaltica"/>
      </w:pPr>
      <w:r>
        <w:t>Vulneración del derecho a la libertad sindical: STC 29/2002.</w:t>
      </w:r>
    </w:p>
    <w:p w:rsidR="0025129F" w:rsidRDefault="0025129F" w:rsidP="0025129F">
      <w:pPr>
        <w:pStyle w:val="SntesisAnaltica"/>
      </w:pPr>
    </w:p>
    <w:p w:rsidR="0025129F" w:rsidRDefault="0025129F" w:rsidP="0025129F">
      <w:pPr>
        <w:pStyle w:val="Extracto"/>
      </w:pPr>
      <w:r>
        <w:t>1.</w:t>
      </w:r>
      <w:r>
        <w:tab/>
        <w:t xml:space="preserve">Reitera la doctrina de la STC 29/2002. </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1481/98, promovido por doña Remedios Sancho Ávila, representada por la Procuradora de los Tribunales doña María Jesús Ruiz Esteban y asistida por el Abogado don Nicolás Sartorius Álvarez de Bohorques, contra la Sentencia de la Sala de lo Social del Tribunal Superior de Justicia de Madrid, de 16 de mayo de 1997, dictada en proceso de despido. Ha sido parte la Agencia EFE, S.A., representada por el Procurador de los Tribunales don Luis de Argüelles González y asistida por el Abogado don José María Cernuda Fernández, y ha intervenido el Ministerio Fiscal. Ha sido Ponente el Presidente don Manuel Jiménez de Parga y Cabrera,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este Tribunal el 1 de abril de 1998, se interpone recurso de amparo contra la Sentencia de la Sala de lo Social del Tribunal Superior de Justicia de Madrid, de 16 de mayo de 1997, dictada en proceso de despido.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que están en la base de la demanda son, sucintamente expuestos, los siguientes: </w:t>
      </w:r>
    </w:p>
    <w:p w:rsidR="0025129F" w:rsidRDefault="0025129F" w:rsidP="0025129F">
      <w:pPr>
        <w:pStyle w:val="TextoNormal"/>
      </w:pPr>
      <w:r>
        <w:lastRenderedPageBreak/>
        <w:t xml:space="preserve">a) La demandante de amparo prestó servicios para la Agencia EFE, S.A., con una beca primero y con un contrato de trabajo en prácticas después. Durante los seis meses de la beca estuvo destinada en Telemadrid, elaborando noticias en informativos y como operadora en la cabina de intercambios, teniendo igual horario y prestando iguales servicios que compañeros de la Agencia allí destinados, estando sometida a turnos y percibiendo 80.000 pesetas mensuales en concepto de colaboración. Ya vigente el contrato de trabajo en prácticas —celebrado para el puesto de ayudante de redacción— vino desempeñando las mismas tareas que durante la beca. El contrato se fue prorrogando sucesivamente hasta que la empresa le comunicó la extinción por cumplimiento del plazo máximo legalmente establecido, con efectos de enero de 1996. </w:t>
      </w:r>
    </w:p>
    <w:p w:rsidR="0025129F" w:rsidRDefault="0025129F" w:rsidP="0025129F">
      <w:pPr>
        <w:pStyle w:val="TextoNormal"/>
      </w:pPr>
      <w:r>
        <w:t xml:space="preserve">b) La actora, afiliada a las CC OO, denunció durante la vigencia de su contrato ante el Comité de Empresa al Jefe de servicio, Sr. Vílchez, por problemas ligados a su jornada laboral, perdiendo como consecuencia de ello el sistema de turnos y un plus, que luego le fue restituido. Dicho conflicto provocó la paralización de las negociaciones del convenio en octubre de 1995. Igualmente, junto a otros compañeros del sindicato, realizó una investigación sobre una empresa relacionada con el Sr. Vílchez y a través de la cual se realizaban contrataciones con la Agencia EFE, S.A. Dicho estudio motivó la incoación de un expediente disciplinario y desembocó en la destitución de aquel Jefe de Servicio. También se declara probado que la Agencia EFE, S.A., “ha hecho fijezas de contratos en prácticas con igual categoría y menos antigüedad que la actora”, a la que, sin embargo, no se le contrató por tiempo indefinido al vencimiento del contrato temporal de carácter formativo, así como que “no existen baremos ni criterios de selección para dicha fijeza siendo a través de decisiones verbales de los jefes inmediatos y de la Dirección de Personal como se configura tal pase”. </w:t>
      </w:r>
    </w:p>
    <w:p w:rsidR="0025129F" w:rsidRDefault="0025129F" w:rsidP="0025129F">
      <w:pPr>
        <w:pStyle w:val="TextoNormal"/>
      </w:pPr>
      <w:r>
        <w:t xml:space="preserve">c) La recurrente en amparo demandó por despido, siendo estimada su demanda por discriminación sindical, calificándose el despido como nulo en Sentencia del Juzgado de lo Social núm. 10 de Madrid, de 27 de mayo de 1996. El Juzgado entendió que, de acuerdo con la doctrina del Tribunal Constitucional en este tipo de asuntos, la trabajadora aportó indicios suficientes de la discriminación padecida en la contratación —que tendría su fuente en las denuncias contra el Jefe de Servicio—, por lo que la empresa debía acreditar que su decisión de no contratar a la actora por tiempo indefinido, una vez vencido el contrato de trabajo en prácticas, respondió a razones absolutamente ajenas al ejercicio del derecho fundamental a la libertad sindical, teniendo en cuenta que había convertido en fijos a personas con menor antigüedad que la denunciante y que había quedado acreditado el claro enfrentamiento entre ésta y sus jefes, sin que bastara ampararse — como hizo la empleadora— en su libertad de contratación, que no puede actualizarse con un móvil discriminatorio. </w:t>
      </w:r>
    </w:p>
    <w:p w:rsidR="0025129F" w:rsidRDefault="0025129F" w:rsidP="0025129F">
      <w:pPr>
        <w:pStyle w:val="TextoNormal"/>
      </w:pPr>
      <w:r>
        <w:t xml:space="preserve">d) Contra la referida sentencia se interpuso recurso de suplicación por la parte demandada, dictándose la resolución recurrida en amparo, de fecha 16 de mayo de 1997. La Sala de lo Social del Tribunal Superior de Justicia de Madrid rechaza que la extinción del contrato de trabajo en prácticas pueda calificarse de despido nulo por discriminación sindical, toda vez que la empresa esgrimió un motivo razonable para justificar la finalización del vínculo (cumplimiento del plazo máximo del contrato), entrando la decisión sucesiva de no contratación por tiempo indefinido dentro del ámbito de la libre organización interna de la Agencia EFE, S.A. </w:t>
      </w:r>
    </w:p>
    <w:p w:rsidR="0025129F" w:rsidRDefault="0025129F" w:rsidP="0025129F">
      <w:pPr>
        <w:pStyle w:val="TextoNormal"/>
      </w:pPr>
      <w:r>
        <w:t>Literalmente, “estando acreditada la existencia de un contrato en prácticas, en principio temporal, no impugnada la cláusula de la temporalidad durante su vigencia, el hecho de que la trabajadora durante el último año de vigencia del contrato participara más activa</w:t>
      </w:r>
      <w:r>
        <w:lastRenderedPageBreak/>
        <w:t xml:space="preserve">mente en defensa de los derechos de los trabajadores junto con otros compañeros, todos afiliados a C.C.O.O., no empece para que la empleadora (AGENCIA EFE, S.A.) a pesar de ello pudiera dar por finalizada la relación laboral por extinción del contrato (en principio temporal mientras no se impugnara y se demostrara lo contrario) comunicándolo con la debida antelación como ocurre en el caso de autos. Por todo lo dicho ha quedado acreditado que la baja producida en la empresa se ha debido a un motivo razonable cual es la finalización del plazo máximo pactado en el contrato. Cuestión distinta es la nulidad de la cláusula de temporalidad. Pero lo cierto es que cuando se hizo uso de aquélla, dicha cláusula no se había impugnado y en consecuencia al menos en aquel momento era (aparentemente) válida y eficaz y justificativa de la extinción del contrato objeto ahora de esta litis. En consecuencia y en méritos a los razonamientos vertidos y a la vista del relato fáctico no se llega a la convicción de que la actora no adquirió la fijeza por ejercicio de actividad sindical en contraposición con la empresa y en última instancia la empresa es libre de decidir quién pasa a fijeza porque está dentro del ámbito de potestad de su organización interna. Por otra parte, el hecho de que otros trabajadores de igual categoría y menor antigüedad que la actora hayan pasado a ser fijos de plantilla no es argumento suficiente para considerar que la actora ha sido discriminada porque a ella no se la hizo fija pues tal decisión cae dentro del ámbito de organización interna de la empresa y es libre de decidir cómo se configura tal pase a fijeza”. </w:t>
      </w:r>
    </w:p>
    <w:p w:rsidR="0025129F" w:rsidRDefault="0025129F" w:rsidP="0025129F">
      <w:pPr>
        <w:pStyle w:val="TextoNormal"/>
      </w:pPr>
      <w:r>
        <w:t xml:space="preserve">Revocada de ese modo la sentencia de instancia en cuanto a la calificación del despido como nulo, se declaró, sin embargo, su improcedencia, sobre la base de una utilización irregular del tipo de la contratación en prácticas. </w:t>
      </w:r>
    </w:p>
    <w:p w:rsidR="0025129F" w:rsidRDefault="0025129F" w:rsidP="0025129F">
      <w:pPr>
        <w:pStyle w:val="TextoNormal"/>
      </w:pPr>
      <w:r>
        <w:t>e) La vía judicial se cerró con el Auto de 16 de febrero de 1998, de la Sala de lo Social del Tribunal Supremo, de inadmisión del recurso de casación para la unificación de doctrina por falta de contradicción entre la sentencia recurrida y la invocada para el contraste.</w:t>
      </w:r>
    </w:p>
    <w:p w:rsidR="0025129F" w:rsidRDefault="0025129F" w:rsidP="0025129F">
      <w:pPr>
        <w:pStyle w:val="TextoNormal"/>
      </w:pPr>
    </w:p>
    <w:p w:rsidR="0025129F" w:rsidRDefault="0025129F" w:rsidP="0025129F">
      <w:pPr>
        <w:pStyle w:val="TextoNormal"/>
      </w:pPr>
      <w:r w:rsidRPr="0025129F">
        <w:rPr>
          <w:rStyle w:val="NumeroAFNegritaCaracter"/>
        </w:rPr>
        <w:t>3</w:t>
      </w:r>
      <w:r>
        <w:t>. La demanda de amparo sostiene que se aportaron sólidos indicios de la discriminación sindical denunciada, habida cuenta que la Sra. Sancho Ávila, a diferencia de otros trabajadores en prácticas, no fue contratada por tiempo indefinido al vencimiento del contrato formativo. A la vista de lo anterior, la empresa tenía que haber demostrado que existía una causa objetiva, razonable y proporcionada que justificase que la diferencia de trato no estaba fundada en que la recurrente en amparo desarrolló una intensa actividad sindical, como afiliada a las CC OO, sin que fuera suficiente argumentar — como razonó el Tribunal Superior de Justicia— que entraba dentro del ámbito de organización interna de la empresa la decisión de a quién se contrata de forma fija y a quién no cuando expiran los contratos temporales. De ese modo, a su juicio, lo que está aquí en juego no es la facultad empresarial, sino la auténtica razón del cese de la actora cuando a otros trabajadores en idéntica situación se les hizo fijos. El empresario debía haber ofrecido una explicación solvente de ese trato desigual, cosa que no hizo, vulnerando, como vulneró también la Sentencia del Tribunal Superior de Justicia dando validez a tal decisión empresarial, el art. 14 CE por discriminación sindical.</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Primera de este Tribunal, por providencia de 12 de abril de 1999, acordó admitir a trámite el presente recurso de amparo. En consecuencia, y conforme a lo dispuesto en el art. 51 LOTC, se requirió a los órganos jurisdiccionales afectados para que remitiesen las actuaciones y emplazasen a quienes fueron parte en el procedimiento.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5</w:t>
      </w:r>
      <w:r>
        <w:t>. La Sala Primera de este Tribunal acordó, en providencia de 13 de septiembre de 1999, tener por personado y parte al Procurador de los Tribunales don Luis de Argüelles González, en nombre y representación de la Agencia EFE, S.A., y a tenor de lo dispuesto en el art. 52 LOTC dar vista de las actuaciones recibidas a todas las partes personadas y al Ministerio Fiscal para que presentasen las alegaciones que a su derecho convinieran.</w:t>
      </w:r>
    </w:p>
    <w:p w:rsidR="0025129F" w:rsidRDefault="0025129F" w:rsidP="0025129F">
      <w:pPr>
        <w:pStyle w:val="TextoNormal"/>
      </w:pPr>
    </w:p>
    <w:p w:rsidR="0025129F" w:rsidRDefault="0025129F" w:rsidP="0025129F">
      <w:pPr>
        <w:pStyle w:val="TextoNormal"/>
      </w:pPr>
      <w:r w:rsidRPr="0025129F">
        <w:rPr>
          <w:rStyle w:val="NumeroAFNegritaCaracter"/>
        </w:rPr>
        <w:t>6</w:t>
      </w:r>
      <w:r>
        <w:t>. En su escrito, registrado el día 11 de octubre de 1999, la Agencia EFE, S.A., solicita la desestimación de la demanda de amparo. Aduce, en primer lugar, que la Sra. Sancho Ávila recibió igual trato que otros trabajadores a los que tampoco les renovó el contrato, careciendo de toda relevancia, por tanto, el dato de su afiliación o el del desarrollo de la actividad sindical. La argumentación de la actora, indica, llevaría a una especie de blindaje, a una garantía de inmunidad laboral que, sin embargo, no encuentra respaldo en el derecho a la actividad sindical. En consecuencia, concluye, no existe la relación causa-efecto que se pretende trabar de contrario. De otro modo, el “blindaje o coartada” que puede proporcionar la invocación de discriminación sindical no permitiría a la Agencia EFE, S.A., cumplir con una de las cláusulas del contrato, la de temporalidad, al quedar subordinada esa legítima decisión a la utilización por parte de la trabajadora en su provecho y de forma abusiva de una determinada circunstancia de cierta relevancia social dentro de la empresa, como es la de estar afiliada a un sindicato.</w:t>
      </w:r>
    </w:p>
    <w:p w:rsidR="0025129F" w:rsidRDefault="0025129F" w:rsidP="0025129F">
      <w:pPr>
        <w:pStyle w:val="TextoNormal"/>
      </w:pPr>
    </w:p>
    <w:p w:rsidR="0025129F" w:rsidRDefault="0025129F" w:rsidP="0025129F">
      <w:pPr>
        <w:pStyle w:val="TextoNormal"/>
      </w:pPr>
      <w:r w:rsidRPr="0025129F">
        <w:rPr>
          <w:rStyle w:val="NumeroAFNegritaCaracter"/>
        </w:rPr>
        <w:t>7</w:t>
      </w:r>
      <w:r>
        <w:t>. La recurrente, en su escrito de alegaciones registrado el día 9 de octubre de 1999, se limita a remitirse a la demanda de amparo y a reproducir parte de la STC 90/1997, que considera de aplicación al presente caso.</w:t>
      </w:r>
    </w:p>
    <w:p w:rsidR="0025129F" w:rsidRDefault="0025129F" w:rsidP="0025129F">
      <w:pPr>
        <w:pStyle w:val="TextoNormal"/>
      </w:pPr>
    </w:p>
    <w:p w:rsidR="0025129F" w:rsidRDefault="0025129F" w:rsidP="0025129F">
      <w:pPr>
        <w:pStyle w:val="TextoNormal"/>
      </w:pPr>
      <w:r w:rsidRPr="0025129F">
        <w:rPr>
          <w:rStyle w:val="NumeroAFNegritaCaracter"/>
        </w:rPr>
        <w:t>8</w:t>
      </w:r>
      <w:r>
        <w:t>. El escrito del Ministerio Fiscal fue registrado en este Tribunal el día 25 de octubre de 1999, y en él se pide la concesión del amparo. Tras efectuar un recorrido por los hechos y fundamentos de los que trae causa la demanda de amparo, así como por la jurisprudencia constitucional que estima de aplicación, termina sus alegaciones respaldando la pretensión de la recurrente. Según su opinión, del relato de hechos probados se concluye que en los meses inmediatamente precedentes a la finalización de la relación laboral que unía a la trabajadora con la empresa, ésta, en cuanto afiliada a las CC OO, desplegó una actividad sindical tendente a la modificación de los turnos de trabajo que le afectaban, lo que le acarreó como primera consecuencia la pérdida del sistema de turnos y del plus rotatorio que había venido disfrutando, aunque con posterioridad le fuera restituido. A ello se suma que la recurrente siguió llevando a efecto actividades sindicales consistentes en determinados estudios sobre la conducta del Jefe de Servicio, que terminaron en la destitución de éste. Tales circunstancias fácticas constituirían verdaderos indicios, por lo que incumbía a la empresa acreditar que la no renovación y conversión del contrato temporal en indefinido, a diferencia de lo que había hecho con otros compañeros de la recurrente de menor antigüedad, no obedecía a una reacción antisindical sino a causas objetivas y razonables. Sin embargo, la Agencia EFE, S.A., únicamente se limitó a señalar que el plazo del contrato temporal de la actora había concluido y que, por ello, no había renovado su relación laboral con la trabajadora. Con esa alegación y a la vista de las actuaciones, concluye el Ministerio Fiscal, no consiguió la empresa destruir la apariencia discriminatoria creada, demostrando que su actuación fuera ajena a todo propósito atentatorio a la libertad sindical, razón por la que interesa la concesión del amparo.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9</w:t>
      </w:r>
      <w:r>
        <w:t>. Por providencia de 7 de febrero de 2002 se señaló el día 11 del mismo mes y año para deliberación y votación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la impugnación de la Sentencia de la Sala de lo Social del Tribunal Superior de Justicia de Madrid, de 16 de mayo de 1997, dictada en recurso de suplicación contra la sentencia del Juzgado de lo Social núm. 10 de los de Madrid, de 27 de mayo de 1996, en la que se declaró nulo el despido de la recurrente por discriminación sindical.</w:t>
      </w:r>
    </w:p>
    <w:p w:rsidR="0025129F" w:rsidRDefault="0025129F" w:rsidP="0025129F">
      <w:pPr>
        <w:pStyle w:val="TextoNormal"/>
      </w:pPr>
      <w:r>
        <w:t>La recurrente en amparo afirma que la precitada sentencia del Tribunal Superior de Justicia de Madrid ha conculcado el art. 14 CE, en la medida en que revocó la nulidad del despido por discriminación sindical declarada en la instancia. Denuncia que la empresa tenía que haber demostrado que existía una causa objetiva, razonable y proporcionada — ajena a motivos sindicales— que justificara la desigualdad de trato consistente en que la recurrente no fue contratada por tiempo indefinido a la terminación de su contrato en prácticas, a diferencia de lo que aconteció con otros trabajadores en idéntica o menor antigüedad. La Agencia EFE, S.A., en suma, tenía que demostrar que esa opción en materia de contratación no estaba motivada por la actividad sindical y reivindicativa de la trabajadora, en tanto que afiliada a las CC OO y participante activa en denuncias sobre condiciones de trabajo y conductas irregulares de superiores, sin que fuera suficiente para neutralizar tales indicios el argumentar que la decisión adoptada encontraba cobijo en la libertad de contratación de la empresa y estaba comprendida dentro del ámbito discrecional de su organización interna.</w:t>
      </w:r>
    </w:p>
    <w:p w:rsidR="0025129F" w:rsidRDefault="0025129F" w:rsidP="0025129F">
      <w:pPr>
        <w:pStyle w:val="TextoNormal"/>
      </w:pPr>
      <w:r>
        <w:t>Se opone a esta argumentación la Agencia EFE, S.A., que solicita la desestimación del recurso de amparo. Aduce que la trabajadora fue tratada de la misma manera que otros trabajadores a los que tampoco se les contrató a la finalización de su contrato de trabajo en prácticas, así como que la argumentación de la Sra. Sancho Ávila, de ser atendida, llevaría a una especie de inmunidad laboral a favor de los afiliados a un sindicato.</w:t>
      </w:r>
    </w:p>
    <w:p w:rsidR="0025129F" w:rsidRDefault="0025129F" w:rsidP="0025129F">
      <w:pPr>
        <w:pStyle w:val="TextoNormal"/>
      </w:pPr>
      <w:r>
        <w:t>Por su parte, el Ministerio Fiscal interesa de este Tribunal la estimación del recurso de amparo. Entiende que existían indicios suficientes para obligar a la empresa a justificar la medida diferenciadora adoptada, cosa que no consiguió acreditar la sociedad demandada en el proceso.</w:t>
      </w:r>
    </w:p>
    <w:p w:rsidR="0025129F" w:rsidRDefault="0025129F" w:rsidP="0025129F">
      <w:pPr>
        <w:pStyle w:val="TextoNormal"/>
      </w:pPr>
    </w:p>
    <w:p w:rsidR="0025129F" w:rsidRDefault="0025129F" w:rsidP="0025129F">
      <w:pPr>
        <w:pStyle w:val="TextoNormal"/>
      </w:pPr>
      <w:r w:rsidRPr="0025129F">
        <w:rPr>
          <w:rStyle w:val="NumeroAFNegritaCaracter"/>
        </w:rPr>
        <w:t>2</w:t>
      </w:r>
      <w:r>
        <w:t>. Dicho lo anterior, en primer lugar, se hace necesario precisar que la alegación de la parte recurrente sobre la vulneración de su derecho a la igualdad y a la no discriminación (art. 14 CE) buscó su fundamento argumental, en todo momento, en una supuesta conducta empresarial antisindical, de modo que, según criterio reiterado de este Tribunal, la discriminación denunciada debe entenderse subsumida en el art. 28.1 CE, visto que la queja no concierne a alguna de las determinaciones explícitamente proscritas por el art. 14 CE sino que se basa en un supuesto perjuicio en el empleo causado por la actividad sindical de la recurrente (por todas, SSTC 38/1981, de 23 de noviembre, FJ 5; 197/1990, de 29 de noviembre, FJ 1; 90/1997, de 6 de mayo, FJ 3; y recientemente, 143/2001, de 12 de febrero, FJ 1; 44/2001, de 12 de febrero, FJ 2; 58/2001, de 26 de febrero, FJ 1; 214/2001, de 29 de octubre, FJ 3, o 14/2002, de 28 de enero, FJ 2).</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3</w:t>
      </w:r>
      <w:r>
        <w:t>. Delimitando en esos términos el objeto de la presente demanda de amparo, nuestro control debe concentrarse en discernir si la actora ha sufrido un trato desigual contrario a su derecho fundamental a la libertad sindical (art. 28.1 CE). Esto es, si no fue contratada por tiempo indefinido al vencimiento de su contrato formativo de duración temporal, según sostiene, con base y como consecuencia de su condición de afiliada a un sindicato y del ejercicio de su libertad sindical y reivindicativa, a diferencia de lo acontecido con otros trabajadores que contaban con idéntica situación contractual (contratos de trabajo en prácticas), incluso con menor antigüedad.</w:t>
      </w:r>
    </w:p>
    <w:p w:rsidR="0025129F" w:rsidRDefault="0025129F" w:rsidP="0025129F">
      <w:pPr>
        <w:pStyle w:val="TextoNormal"/>
      </w:pPr>
      <w:r>
        <w:t>En tal cometido jurisdiccional es preciso tener presente, como ha puesto de manifiesto invariablemente este Tribunal desde la STC 38/1981, de 23 de noviembre, la importancia que tiene la regla de la distribución de la carga de la prueba para garantizar el derecho a la libertad sindical frente a posibles decisiones empresariales que puedan constituir una discriminación por motivos sindicales.</w:t>
      </w:r>
    </w:p>
    <w:p w:rsidR="0025129F" w:rsidRDefault="0025129F" w:rsidP="0025129F">
      <w:pPr>
        <w:pStyle w:val="TextoNormal"/>
      </w:pPr>
      <w:r>
        <w:t>Para precisar con nitidez los criterios aplicables en materia probatoria cuando están en juego supuestas vulneraciones de derechos fundamentales en el ámbito de las relaciones laborales, nos servirá la STC 90/1997, de 6 de mayo. Partíamos allí de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w:t>
      </w:r>
    </w:p>
    <w:p w:rsidR="0025129F" w:rsidRDefault="0025129F" w:rsidP="0025129F">
      <w:pPr>
        <w:pStyle w:val="TextoNormal"/>
      </w:pPr>
      <w:r>
        <w:t>Y proseguíamos: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w:t>
      </w:r>
      <w:r>
        <w:lastRenderedPageBreak/>
        <w:t>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FJ 1; 136/1996, FJ 4, así como SSTC 38/1981, 104/1987, 166/1988, 114/1989, 147/1995 ó 17/1996)”.</w:t>
      </w:r>
    </w:p>
    <w:p w:rsidR="0025129F" w:rsidRDefault="0025129F" w:rsidP="0025129F">
      <w:pPr>
        <w:pStyle w:val="TextoNormal"/>
      </w:pPr>
    </w:p>
    <w:p w:rsidR="0025129F" w:rsidRDefault="0025129F" w:rsidP="0025129F">
      <w:pPr>
        <w:pStyle w:val="TextoNormal"/>
      </w:pPr>
      <w:r w:rsidRPr="0025129F">
        <w:rPr>
          <w:rStyle w:val="NumeroAFNegritaCaracter"/>
        </w:rPr>
        <w:t>4</w:t>
      </w:r>
      <w:r>
        <w:t>. Conforme a lo que antecede, corresponde a este Tribunal analizar si la parte actora ha acreditado suficientemente la existencia de indicios de antisindicalidad, y si, en tal caso, la parte demandada ante jurisdicción social ha probado que su actuación fue por completo ajena al factor sindical reseñado.</w:t>
      </w:r>
    </w:p>
    <w:p w:rsidR="0025129F" w:rsidRDefault="0025129F" w:rsidP="0025129F">
      <w:pPr>
        <w:pStyle w:val="TextoNormal"/>
      </w:pPr>
      <w:r>
        <w:t>Antes de analizar ese punto decisivo, visto que el Juez de instancia y la Sala de lo Social alcanzaron conclusiones diversas sobre el particular, será de recordar, como destacada la STC 14/2002, de 28 de enero, que para resolver esa cuestión no bastará con la simple evaluación de la razonabilidad de esas decisiones judiciales. Y ello porque es perfectamente posible que se den resoluciones judiciales que contengan una fundamentación que exprese razones —de hecho y de Derecho— por las que el órgano judicial acuerda una determinada medida, pero que, desde la perspectiva del libre ejercicio de los derechos fundamentales como los aquí en juego, no expresen de modo constitucionalmente adecuado las razones justificativas de la decisión adoptada. En estos casos, hemos dicho en esa Sentencia,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por el canon propio de aquel derecho. A tal fin se hace necesario interpretar a la luz de los valores constitucionales los indicios que sirven de base al enjuiciamiento, todo ello sin que tal actuación suponga la revisión de la valoración de la prueba efectuada por el juzgador, por ser firme doctrina constitucional que dicha valoración se encuentra atribuida en exclusiva a los órganos judiciales, sin que competa a este Tribunal revisar en vía de amparo las apreciaciones de aquéllos ni la ponderación que lleven a cabo, salvo que unas u otra resulten arbitrarias o irrazonables (SSTC 140/1994, de 9 de mayo, FJ 3, y 136/1996, de 23 de julio, FJ 4)”.</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Con el indicado criterio y desde el esquema de distribución de cargas probatorias, debemos examinar el primer elemento al que antes nos referíamos en la transcripción de la STC 90/1997. Se trata del factor desencadenante de la propia hipótesis de la lesión, elemento que es de cumplimiento inexcusable para quien invoca la vulneración, a saber: la necesidad de aportar una “prueba verosímil” (STC 207/2001, de 22 de octubre, FJ 5) o “principio de prueba” revelador de la existencia de un fondo o panorama discriminatorio general o de hechos de los que surja la sospecha vehemente de una discriminación por razones sindicales o de una quiebra del derecho fundamental de que se trate (por todas, </w:t>
      </w:r>
      <w:r>
        <w:lastRenderedPageBreak/>
        <w:t>SSTC 87/1998, de 21 de abril, FJ 3; 293/1993, de 18 de octubre, FJ 6; 140/1999, de 22 de julio, FJ 5; 29/2000, de 31 de enero, FJ 3; 214/2001, de 29 de octubre, FJ 4, y 14/2002, de 28 de enero, FJ 4).</w:t>
      </w:r>
    </w:p>
    <w:p w:rsidR="0025129F" w:rsidRDefault="0025129F" w:rsidP="0025129F">
      <w:pPr>
        <w:pStyle w:val="TextoNormal"/>
      </w:pPr>
      <w:r>
        <w:t>En ese sentido, debe subrayarse que en la aportación de una prueba verosímil o principio de prueba de la vulneración denunciada resultará insuficiente la simple afirmación de la discriminación o lesión de un derecho fundamental, lo mismo que reflejar tal afirmación en unos hechos. Al contrario, en casos como el presente en los que la sospecha o apariencia de la violación del derecho fundamental se pretende hacer descansar en una inferencia derivada de la relación entre diversos hechos (esta vez, condición de afiliada a un sindicato, ejercicio de la libertad sindical y diferente trato en la contratación respecto de otros trabajadores al vencimiento de contratos temporales), será exigible una conexión lógica entre todos ellos que encuentre fundamento en algún nexo causal (o en otros términos, un relación directa entre las decisiones empresariales y el derecho fundamental, como ya dijimos en la STC 87/1998, de 21 de abril, FJ 4).</w:t>
      </w:r>
    </w:p>
    <w:p w:rsidR="0025129F" w:rsidRDefault="0025129F" w:rsidP="0025129F">
      <w:pPr>
        <w:pStyle w:val="TextoNormal"/>
      </w:pPr>
    </w:p>
    <w:p w:rsidR="0025129F" w:rsidRDefault="0025129F" w:rsidP="0025129F">
      <w:pPr>
        <w:pStyle w:val="TextoNormal"/>
      </w:pPr>
      <w:r w:rsidRPr="0025129F">
        <w:rPr>
          <w:rStyle w:val="NumeroAFNegritaCaracter"/>
        </w:rPr>
        <w:t>6</w:t>
      </w:r>
      <w:r>
        <w:t>. En el presente caso, se observa que las alegaciones de la demandante resultaron convincentes para los órganos judiciales en cuanto a la existencia de indicios de antisindicalidad. A tal fin es necesario recordar que la recurrente en amparo, afiliada a CC OO, denunció durante la vigencia de su contrato ante el Comité de empresa al Jefe de servicio, Sr. Vílchez, por problemas ligados a su jornada laboral, perdiendo como consecuencia de ello el sistema de turnos y un plus, que luego le fue restituido.  Dicho conflicto provocó la paralización del las negociaciones del convenio en octubre de 1995. Igualmente, junto a otros compañeros del sindicato, realizó una investigación sobre una empresa relacionada con el Sr. Vílchez y a través de la cual se realizaban contrataciones con la Agencia EFE, S.A. Ese estudio motivó la incoación de un expediente disciplinario y desembocó en la destitución de aquel Jefe de servicio. La actora, a mayor abundamiento, conectaba esas circunstancias sindicales con otro hecho que entendía causal y directamente relacionado, a saber, que la empresa que extinguió su contrato temporal, sin nueva contratación, había realizado contratos indefinidos con otros trabajadores en idéntica situación contractual e incluso con menor antigüedad, manifestándose en ello, a su juicio, el tratamiento desigual antisindical que denunciaba.</w:t>
      </w:r>
    </w:p>
    <w:p w:rsidR="0025129F" w:rsidRDefault="0025129F" w:rsidP="0025129F">
      <w:pPr>
        <w:pStyle w:val="TextoNormal"/>
      </w:pPr>
      <w:r>
        <w:t>La Sentencia del Juzgado de lo Social núm. 10 de Madrid, de 27 de mayo de 1996, declaró nulo el despido por discriminación sindical. El Juzgado entendía que los hechos expuestos eran indicativos de la lesión, por lo que tenía que haber sido la empresa quien demostrara que la no contratación sucesiva respondía a razones ajenas a la actividad sindical de la actora, teniendo en cuenta que había convertido en fijos a personas con igual categoría y menor antigüedad. La Sentencia dictada en el grado de suplicación, sin embargo, revocó la de instancia considerando que la decisión de la empresa tenía apoyo en dos razones: la extinción en el cumplimiento del plazo máximo del contrato, y la no contratación por tiempo indefinido en la libertad propia del ámbito de organización interna de la empresa. En los antecedentes de la presente Sentencia se ha reproducido la argumentación de la Sala de lo Social del Tribunal Superior de Justicia.</w:t>
      </w:r>
    </w:p>
    <w:p w:rsidR="0025129F" w:rsidRDefault="0025129F" w:rsidP="0025129F">
      <w:pPr>
        <w:pStyle w:val="TextoNormal"/>
      </w:pPr>
      <w:r>
        <w:t xml:space="preserve">En consecuencia, más allá de su discrepante valoración de esos hechos desde la óptica de la libertad sindical, los órganos judiciales entendieron que la demandante había conformado un panorama discriminatorio indicativo de una posible vulneración del art.  28.1 CE. Del relato de hechos probados y de lo actuado se deducía, en suma, que la demandante había desarrollado una actividad alegatoria suficientemente concreta y precisa, en torno a una posible violación de su derecho de libertad sindical, creando con ello una apariencia </w:t>
      </w:r>
      <w:r>
        <w:lastRenderedPageBreak/>
        <w:t>o sospecha de comportamiento empresarial contrario a este derecho fundamental sobre la base de diversos hechos conectados entre sí, concretamente: existencia objetiva de una diferencia de trato con otros trabajadores contratados en prácticas (hecho probado octavo); proximidad temporal entre el vencimiento del contrato temporal, la no contratación sucesiva por tiempo indefinido de la trabajadora y su actividad sindical reivindicativa y de denuncia a superiores durante el último año de vigencia del contrato (hechos probados sexto y séptimo); y, finalmente, constatación de que la fijeza dependía de decisiones verbales de los jefes inmediatos y de la dirección de personal (hecho probado octavo).</w:t>
      </w:r>
    </w:p>
    <w:p w:rsidR="0025129F" w:rsidRDefault="0025129F" w:rsidP="0025129F">
      <w:pPr>
        <w:pStyle w:val="TextoNormal"/>
      </w:pPr>
      <w:r>
        <w:t>La correlación y proximidad temporal (SSTC 87/1998, de 21 de abril, FJ 4; 101/2000, de 10 de abril, FJ 5; 214/2001, de 29 de octubre, FJ 6), la conflictividad previa (por ejemplo, STC 90/1997, de 6 de mayo, FJ 6), y el diferente trato en la contratación por tiempo indefinido una vez vencido el contrato temporal previo (recientemente, STC 80/2001, de 26 de marzo), eran factores que, en verdad, más aún cuando aparecían unidos todos ellos en el caso de autos, sometían la actuación empresarial a la sospecha vehemente de una posible vulneración de la libertad sindical de la recurrente.</w:t>
      </w:r>
    </w:p>
    <w:p w:rsidR="0025129F" w:rsidRDefault="0025129F" w:rsidP="0025129F">
      <w:pPr>
        <w:pStyle w:val="TextoNormal"/>
      </w:pPr>
    </w:p>
    <w:p w:rsidR="0025129F" w:rsidRDefault="0025129F" w:rsidP="0025129F">
      <w:pPr>
        <w:pStyle w:val="TextoNormal"/>
      </w:pPr>
      <w:r w:rsidRPr="0025129F">
        <w:rPr>
          <w:rStyle w:val="NumeroAFNegritaCaracter"/>
        </w:rPr>
        <w:t>7</w:t>
      </w:r>
      <w:r>
        <w:t>. Alcanzada la anterior conclusión y con arreglo a la doctrina constitucional más arriba reproducida, correspondía a la empresa la carga de probar que sus decisiones se basaban en causas ajenas a la apariencia de discriminación sindical creada por la trabajadora. En efecto, conforme recogíamos en el fundamento jurídico tercero, existente un principio de prueba o prueba verosímil de la vulneración de derechos fundamentales, aquí de la libertad sindical, esa carga probatoria incumbe al empresario incluso en el supuesto de decisiones discrecionales, o no causales, y que no precisan por tanto ser motivadas, ya que, como hemos declarado, ello no excluye que, desde la perspectiva constitucional, sea igualmente ilícita una decisión de esta naturaleza contraria a los derechos fundamentales del trabajador (por todas, STC 90/1997).</w:t>
      </w:r>
    </w:p>
    <w:p w:rsidR="0025129F" w:rsidRDefault="0025129F" w:rsidP="0025129F">
      <w:pPr>
        <w:pStyle w:val="TextoNormal"/>
      </w:pPr>
      <w:r>
        <w:t>De ahí que ninguna relevancia pudiera darse al dato, acogido en la Sentencia impugnada, de que en el plano de la legalidad ordinaria la extinción de un contrato de trabajo temporal por la llegada de su término final pueda operar como causa de finalización de la relación laboral [art. 49.1 c) LET] o que su renovación o conversión en otro por tiempo indefinido no resulta en principio obligada, perteneciendo esa medida al ámbito de la libertad de contratación del empleador. Por el contrario, concurrente un panorama como el descrito, era exigible una justificación causal de la decisión que resultara suficiente en su específica y singular proyección sobre el caso concreto, explicando objetiva, razonable y proporcionadamente la decisión y eliminando toda sospecha de que ésta ocultara la lesión de un derecho fundamental de la trabajadora, sin que pudiera servir para lograrlo la abstracta razón de legalidad invocada, esto es, la genérica capacidad organizativa y la libre determinación de la Agencia EFE, S.A., en el ámbito de la contratación.</w:t>
      </w:r>
    </w:p>
    <w:p w:rsidR="0025129F" w:rsidRDefault="0025129F" w:rsidP="0025129F">
      <w:pPr>
        <w:pStyle w:val="TextoNormal"/>
      </w:pPr>
      <w:r>
        <w:t xml:space="preserve">La Sentencia impugnada, en contra de lo dicho, se ha limitado a considerar, precisamente, que el empresario actuaba en un ámbito de discrecionalidad, prescindiendo de la dimensión constitucional del conflicto.  El razonamiento del órgano judicial no tiene en cuenta que los poderes empresariales, como se recordó anteriormente, se encuentran limitados en su ejercicio no sólo por las normas legales o convencionales que los regulan, sino también por los derechos fundamentales del trabajador, constituyendo un resultado prohibido su utilización lesiva de éstos. Y se menosprecian las circunstancias del caso, en el que la trabajadora había acreditado conexiones temporales, desigualdades de trato y conflictos en el ejercicio de su actividad sindical reivindicativa; factores todos ellos que el </w:t>
      </w:r>
      <w:r>
        <w:lastRenderedPageBreak/>
        <w:t>órgano judicial de instancia había considerado expresivos de que la decisión empresarial controvertida fuese discriminatoria por antisindical.</w:t>
      </w:r>
    </w:p>
    <w:p w:rsidR="0025129F" w:rsidRDefault="0025129F" w:rsidP="0025129F">
      <w:pPr>
        <w:pStyle w:val="TextoNormal"/>
      </w:pPr>
      <w:r>
        <w:t>Esos datos, por lo demás, no fueron neutralizados por la empresa, que no acreditó ad casum que existiese ninguna justificación laboral real y de entidad suficiente en su decisión de postergar a la trabajadora respecto de las demás contratados en prácticas cuya vinculación contractual también había finalizado, ni excluyó, por tanto, que su decisión fuese ajena a todo propósito discriminatorio. Esa desatención de su carga probatoria llevó al juzgador de instancia, precisamente, a estimar la demanda según los principios y finalidad de la doctrina antes descrita.</w:t>
      </w:r>
    </w:p>
    <w:p w:rsidR="0025129F" w:rsidRDefault="0025129F" w:rsidP="0025129F">
      <w:pPr>
        <w:pStyle w:val="TextoNormal"/>
      </w:pPr>
      <w:r>
        <w:t>Por el contrario, la Sala de lo Social del Tribunal Superior de Justicia, ante la ausencia de toda justificación real y adecuada de la medida empresarial y pese a lo resuelto por el juzgador a quo, esgrimió como razón única para mantener aquélla la de la discrecionalidad de la decisión, prescindiendo de los datos obtenidos de los principios de prueba aportados, e impidiendo, en definitiva, aplicar a la discrecionalidad empresarial el límite infranqueable que constituye el derecho fundamental a la libertad sindical, ya que la facultad del empresario no puede servir para perjudicar a los trabajadores por ejercer aquel derecho fundamental en cualquiera de sus vertientes.</w:t>
      </w:r>
    </w:p>
    <w:p w:rsidR="0025129F" w:rsidRDefault="0025129F" w:rsidP="0025129F">
      <w:pPr>
        <w:pStyle w:val="TextoNormal"/>
      </w:pPr>
      <w:r>
        <w:t>Las anteriores conclusiones conducen directamente a la estimación del amparo solicitado, así como a la anulación de la Sentencia del Tribunal Superior de Justicia recurrida, por vulnerar el derecho fundamental protegido por el art. 28.1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el recurso de amparo promovido por doña Remedios Sancho Ávila y, en su virtud:</w:t>
      </w:r>
    </w:p>
    <w:p w:rsidR="0025129F" w:rsidRDefault="0025129F" w:rsidP="0025129F">
      <w:pPr>
        <w:pStyle w:val="TextoNormal"/>
      </w:pPr>
      <w:r>
        <w:t>1º Reconocer a la recurrente su derecho fundamental a no ser discriminada por ejercer su libertad sindical.</w:t>
      </w:r>
    </w:p>
    <w:p w:rsidR="0025129F" w:rsidRDefault="0025129F" w:rsidP="0025129F">
      <w:pPr>
        <w:pStyle w:val="TextoNormal"/>
      </w:pPr>
      <w:r>
        <w:t>2º Declarar la nulidad de la Sentencia de la Sala de lo Social del Tribunal Superior de Justicia de Madrid, de 16 de mayo de 1997, lo que implica la firmeza la Sentencia dictada por el Juzgado de lo Social núm. 10 de Madrid, de 27 de mayo de 1996.</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4" w:name="SENTENCIA_2002_31"/>
      <w:r>
        <w:lastRenderedPageBreak/>
        <w:t>SENTENCIA 31/2002, de 11 de febrero de 2002</w:t>
      </w:r>
    </w:p>
    <w:bookmarkEnd w:id="34"/>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ECLI:ES:TC:2002:31</w:t>
      </w:r>
    </w:p>
    <w:p w:rsidR="0025129F" w:rsidRDefault="0025129F" w:rsidP="0025129F">
      <w:pPr>
        <w:pStyle w:val="SntesisDescriptiva"/>
      </w:pPr>
    </w:p>
    <w:p w:rsidR="0025129F" w:rsidRDefault="0025129F" w:rsidP="0025129F">
      <w:pPr>
        <w:pStyle w:val="SntesisDescriptiva"/>
      </w:pPr>
      <w:r>
        <w:t>Recurso de amparo 1730/98. Promovido por don Agapito Maestre Sánchez frente a la Sentencia de la Sala de lo Contencioso-Administrativo del Tribunal Superior de Justicia de Andalucía que anuló la convocatoria de concursos para tres plazas de Catedrático en la Universidad de Almería.</w:t>
      </w:r>
    </w:p>
    <w:p w:rsidR="0025129F" w:rsidRDefault="0025129F" w:rsidP="0025129F">
      <w:pPr>
        <w:pStyle w:val="SntesisDescriptiva"/>
      </w:pPr>
    </w:p>
    <w:p w:rsidR="0025129F" w:rsidRDefault="0025129F" w:rsidP="0025129F">
      <w:pPr>
        <w:pStyle w:val="SntesisAnaltica"/>
      </w:pPr>
      <w:r>
        <w:t>Supuesta vulneración del derecho a la tutela judicial sin indefensión: emplazamiento efectuado válidamente en el domicilio del interesado, y desconocimiento inverosímil.</w:t>
      </w:r>
    </w:p>
    <w:p w:rsidR="0025129F" w:rsidRDefault="0025129F" w:rsidP="0025129F">
      <w:pPr>
        <w:pStyle w:val="SntesisAnaltica"/>
      </w:pPr>
    </w:p>
    <w:p w:rsidR="0025129F" w:rsidRDefault="0025129F" w:rsidP="0025129F">
      <w:pPr>
        <w:pStyle w:val="Extracto"/>
      </w:pPr>
      <w:r>
        <w:t>1.</w:t>
      </w:r>
      <w:r>
        <w:tab/>
        <w:t>El demandante de amparo fue emplazado personalmente al proceso contencioso-administrativo, de conformidad con lo dispuesto en el art. 64 LJCA, ya que se practicó válidamente en su domicilio una notificación que cumple con los requisitos legales [FJ 6]</w:t>
      </w:r>
    </w:p>
    <w:p w:rsidR="0025129F" w:rsidRDefault="0025129F" w:rsidP="0025129F">
      <w:pPr>
        <w:pStyle w:val="Extracto"/>
      </w:pPr>
    </w:p>
    <w:p w:rsidR="0025129F" w:rsidRDefault="0025129F" w:rsidP="0025129F">
      <w:pPr>
        <w:pStyle w:val="Extracto"/>
      </w:pPr>
      <w:r>
        <w:t>2.</w:t>
      </w:r>
      <w:r>
        <w:tab/>
        <w:t>No es de recibo que mantenga una denuncia constitucional de indefensión quien por su actitud pasiva y negligente coadyuvó a su producción, al no comparecer en el proceso, estando en tiempo de hacerlo, pese a tener conocimiento de su existencia incluso por cauces distintos al del emplazamiento personal (STC 20/2000) [FJ 7].</w:t>
      </w:r>
    </w:p>
    <w:p w:rsidR="0025129F" w:rsidRDefault="0025129F" w:rsidP="0025129F">
      <w:pPr>
        <w:pStyle w:val="Extracto"/>
      </w:pPr>
    </w:p>
    <w:p w:rsidR="0025129F" w:rsidRDefault="0025129F" w:rsidP="0025129F">
      <w:pPr>
        <w:pStyle w:val="Extracto"/>
      </w:pPr>
      <w:r>
        <w:t>3.</w:t>
      </w:r>
      <w:r>
        <w:tab/>
        <w:t>El demandante de amparo, en cuanto aspirante admitido al concurso para la provisión de la plaza convocada, ostentaba un legítimo interés en el proceso contencioso-administrativo (STC 20/2000) [FJ 5].</w:t>
      </w:r>
    </w:p>
    <w:p w:rsidR="0025129F" w:rsidRDefault="0025129F" w:rsidP="0025129F">
      <w:pPr>
        <w:pStyle w:val="Extracto"/>
      </w:pPr>
    </w:p>
    <w:p w:rsidR="0025129F" w:rsidRDefault="0025129F" w:rsidP="0025129F">
      <w:pPr>
        <w:pStyle w:val="Extracto"/>
      </w:pPr>
      <w:r>
        <w:t>4.</w:t>
      </w:r>
      <w:r>
        <w:tab/>
        <w:t>No toda falta de emplazamiento personal puede ser calificada como vulneradora del derecho a la tutela judicial efectiva (STC 20/2000) [FJ 4].</w:t>
      </w:r>
    </w:p>
    <w:p w:rsidR="0025129F" w:rsidRDefault="0025129F" w:rsidP="0025129F">
      <w:pPr>
        <w:pStyle w:val="Extracto"/>
      </w:pPr>
    </w:p>
    <w:p w:rsidR="0025129F" w:rsidRDefault="0025129F" w:rsidP="0025129F">
      <w:pPr>
        <w:pStyle w:val="Extracto"/>
      </w:pPr>
      <w:r>
        <w:t>5.</w:t>
      </w:r>
      <w:r>
        <w:tab/>
        <w:t>Con independencia de la configuración doctrinal con que se quiera revestir la situación de los personados no solicitantes originarios del amparo, es lo cierto que no pueden transformarse en recurrentes (STC 170/1990) [FJ 3].</w:t>
      </w:r>
    </w:p>
    <w:p w:rsidR="0025129F" w:rsidRDefault="0025129F" w:rsidP="0025129F">
      <w:pPr>
        <w:pStyle w:val="Extracto"/>
      </w:pPr>
    </w:p>
    <w:p w:rsidR="0025129F" w:rsidRDefault="0025129F" w:rsidP="0025129F">
      <w:pPr>
        <w:pStyle w:val="Extracto"/>
      </w:pPr>
      <w:r>
        <w:t>6.</w:t>
      </w:r>
      <w:r>
        <w:tab/>
        <w:t>En los escritos posteriores a la demanda no cabe modificar el petitum o la causa petendi, agregando extemporáneamente nuevos fundamentos o nuevas pretensiones (STC 132/1991) [FJ 3].</w:t>
      </w:r>
    </w:p>
    <w:p w:rsidR="0025129F" w:rsidRDefault="0025129F" w:rsidP="0025129F">
      <w:pPr>
        <w:pStyle w:val="Extracto"/>
      </w:pPr>
    </w:p>
    <w:p w:rsidR="0025129F" w:rsidRDefault="0025129F" w:rsidP="0025129F">
      <w:pPr>
        <w:pStyle w:val="Extracto"/>
      </w:pPr>
      <w:r>
        <w:t>7.</w:t>
      </w:r>
      <w:r>
        <w:tab/>
        <w:t>Existiendo pues una duda más que razonable respecto de si al demandante de amparo le era o no exigible, por tener legitimación para ello, la interposición del incidente de nulidad de actuaciones, no cabía exigirle su interposición (STC 178/2000)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1730/98, promovido por don Agapito Maestre Sánchez, representado por el Procurador de los Tribunales don Luciano Rosch Nadal y asistido por el Letrado don Manuel Francisco Clavero Arévalo, contra la Sentencia de la Sala de lo Contencioso-Administrativo del Tribunal Superior de Justicia de Andalucía, con sede en Granada, de 23 de marzo de 1998, recaída en los recursos núms. 3487/95 y 3705/95, por la que se anuló la Resolución dictada con fecha 5 de junio de 1995 por el Rector-Presidente de la Comisión Gestora de la Universidad de Almería convocando concursos para la provisión de tres plazas de Catedrático de Universidad. Han intervenido, además del Ministerio Fiscal y del Abogado del Estado, don Miguel Martínez López, representado por el Procurador de los Tribunales don Miguel Ángel Castillo Sánchez y asistido por el Letrado don Rafael de Porras Arroyo; don Cayetano Aranda Torres, doña María Elisa Prieto Barrero y doña Amalia Mirás Baldó, representados por el Procurador de los Tribunales don José Llorens Valderrama y asistidos por el Letrado don Jesús Alcalde Martos; y la Universidad de Almería, representada por el Procurador de los Tribunales don José Castillo Ruiz y asistida del Letrado don Víctor Manuel López Jiménez.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17 de abril de 1998 el Procurador de los Tribunales don Luciano Rosch Nadal, en nombre y representación de don Agapito Maestre Sánchez, interpuso demanda de amparo contra la Sentencia reseñada en el encabezamiento invocando lesión del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relevantes para el examen de la presente demanda de amparo son los siguientes: </w:t>
      </w:r>
    </w:p>
    <w:p w:rsidR="0025129F" w:rsidRDefault="0025129F" w:rsidP="0025129F">
      <w:pPr>
        <w:pStyle w:val="TextoNormal"/>
      </w:pPr>
      <w:r>
        <w:t xml:space="preserve">a) Por Resolución del Rector-Presidente de la Comisión Gestora de la Universidad de Almería de 5 de junio de 1995 se convocó concurso para la provisión de tres plazas de Catedrático de Universidad, una de ellas en el área de Filosofía (plaza núm. 16/95), adscrita al Departamento de Filosofía, Metodología, Sociología y Pedagogía de dicha Universidad. El demandante de amparo participó en dicho concurso, al que fue admitido por Resolución del Rectorado de 17 de octubre de 1995, y una vez celebradas las pruebas obtuvo la plaza de Catedrático de Universidad del área de conocimiento de Filosofía, llevándose a </w:t>
      </w:r>
      <w:r>
        <w:lastRenderedPageBreak/>
        <w:t xml:space="preserve">cabo su nombramiento por Resolución de 26 de noviembre de 1996 de la Universidad de Almería. </w:t>
      </w:r>
    </w:p>
    <w:p w:rsidR="0025129F" w:rsidRDefault="0025129F" w:rsidP="0025129F">
      <w:pPr>
        <w:pStyle w:val="TextoNormal"/>
      </w:pPr>
      <w:r>
        <w:t xml:space="preserve">b) La convocatoria de la plaza de Catedrático de Filosofía fue recurrida por don Cayetano J. Aranda Torres, y la convocatoria de las otras dos plazas fue recurrida por doña Amalia Miras Baldo y doña María Elisa Prieto Barrero, dando lugar a los recursos contencioso-administrativos núms. 3487/95 y 3705/95, respectivamente, que fueron acumulados por Auto de 11 de diciembre de 1995 de la Sala de lo Contencioso- Administrativo del Tribunal Superior de Justicia de Andalucía, con sede en Granada. </w:t>
      </w:r>
    </w:p>
    <w:p w:rsidR="0025129F" w:rsidRDefault="0025129F" w:rsidP="0025129F">
      <w:pPr>
        <w:pStyle w:val="TextoNormal"/>
      </w:pPr>
      <w:r>
        <w:t xml:space="preserve">Por providencia de 13 de octubre de 1995, la Sala admitió a trámite el primero de los recursos, acordando la publicación de edicto en el “Boletín Oficial de la Provincia de Almería”, la cual se efectuó en el núm. 221, de 20 de noviembre, y requirió a la Universidad demandada para que remitiera el expediente, con emplazamiento de los interesados, y se considerara ella misma emplazada. </w:t>
      </w:r>
    </w:p>
    <w:p w:rsidR="0025129F" w:rsidRDefault="0025129F" w:rsidP="0025129F">
      <w:pPr>
        <w:pStyle w:val="TextoNormal"/>
      </w:pPr>
      <w:r>
        <w:t xml:space="preserve">Por escrito de la Secretaría General de la Universidad de Almería, de 24 de octubre de 1995, se remitió a la Sala el expediente requerido, al cual se acompañaba copia del anuncio de interposición del recurso que, según dice el mismo escrito, fue publicado en los tablones de anuncios del Servicio de Personal de la Universidad, y notificado expresamente al Director del Departamento de Filosofía, Metodología, Sociología y Pedagogía, y a todos los admitidos al concurso. En las actuaciones consta que la Universidad de Almería remitió al aquí recurrente una carta certificada el día 25 de octubre de 1995, cuyo destino era Madrid 28013, incorporándose a las mismas acuse de recibo firmado el día 27 por una persona que se identifica como Dolores García, empleada, con DNI 247.070. </w:t>
      </w:r>
    </w:p>
    <w:p w:rsidR="0025129F" w:rsidRDefault="0025129F" w:rsidP="0025129F">
      <w:pPr>
        <w:pStyle w:val="TextoNormal"/>
      </w:pPr>
      <w:r>
        <w:t xml:space="preserve">c) Por Sentencia de 23 de marzo de 1998 de la Sala de lo Contencioso- Administrativo del Tribunal Superior de Justicia de Andalucía se estimaron los recursos acumulados núms. 3487/95 y 3705/95, anulando la Resolución de 5 de junio de 1995, de convocatoria de las señaladas plazas, por no ser la misma conforme a Derecho al haberse omitido, en el caso de la plaza de Catedrático del área de Filosofía, el preceptivo informe del Departamento correspondiente. En el proceso sólo se personaron los recurrentes y la Administración demandada, siendo parte coadyuvante don Francisco Campos García, quien concursó a la plaza de Catedrático de Filosofía. </w:t>
      </w:r>
    </w:p>
    <w:p w:rsidR="0025129F" w:rsidRDefault="0025129F" w:rsidP="0025129F">
      <w:pPr>
        <w:pStyle w:val="TextoNormal"/>
      </w:pPr>
      <w:r>
        <w:t xml:space="preserve">La Universidad de Almería, mediante escrito de la Secretaría General de 7 de abril de 1998, comunicó al solicitante de amparo que había sido notificada a la Universidad la mencionada Sentencia, remitiéndole una copia de la misma. </w:t>
      </w:r>
    </w:p>
    <w:p w:rsidR="0025129F" w:rsidRDefault="0025129F" w:rsidP="0025129F">
      <w:pPr>
        <w:pStyle w:val="TextoNormal"/>
      </w:pPr>
      <w:r>
        <w:t xml:space="preserve">d) Mediante escrito de fecha 14 de mayo de 1998, dirigido a la Sala de lo Contencioso- Administrativo del Tribunal Superior de Justicia de Andalucía, la representación procesal del demandante de amparo solicitó que se tuviera a éste por codemandado en los recursos acumulados núms. 3487/95 y 3705/95; que se le notificara la Sentencia de 23 de marzo de 1998; y que se le tuviera por parte en cuantos incidentes y actuaciones se produjeran. En este escrito, el hoy recurrente denuncia que la Universidad no le comunicó personalmente que se había interpuesto el recurso contencioso-administrativo, ni le emplazó para que pudiera personarse en los autos, no habiendo realizado la Sala la comprobación que exige el art. 64.2 LJCA. </w:t>
      </w:r>
    </w:p>
    <w:p w:rsidR="0025129F" w:rsidRDefault="0025129F" w:rsidP="0025129F">
      <w:pPr>
        <w:pStyle w:val="TextoNormal"/>
      </w:pPr>
      <w:r>
        <w:t xml:space="preserve">Por providencia de 25 de mayo de 1998 la Sala acordó no haber lugar a la solicitud de notificación de la Sentencia por impedirlo el art. 66 LJCA. Contra la anterior resolución se interpuso recurso de súplica, que fue desestimado por Auto de 24 de junio de 1998. </w:t>
      </w:r>
    </w:p>
    <w:p w:rsidR="0025129F" w:rsidRDefault="0025129F" w:rsidP="0025129F">
      <w:pPr>
        <w:pStyle w:val="TextoNormal"/>
      </w:pPr>
      <w:r>
        <w:t xml:space="preserve">e) Frente a la Sentencia de 23 de marzo de 1998, el Abogado del Estado formuló recurso de casación en interés de Ley. El Tribunal Supremo, en Sentencia de 9 de febrero de 1999, fija como doctrina legal, respetando la situación jurídica particular derivada de </w:t>
      </w:r>
      <w:r>
        <w:lastRenderedPageBreak/>
        <w:t>aquella resolución, que los informes de los Departamentos de las Universidades previstos en los arts. 39.3 de la Ley Orgánica 11/1983, de 25 de agosto, de reforma universitaria, y 2.3 del Real Decreto 1888/1984, de 26 de septiembre, aunque de carácter preceptivo, no tienen carácter vinculante.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recurrente alega en la demanda de amparo que la Sentencia impugnada vulnera su derecho a la tutela judicial efectiva sin indefensión (art. 24 CE), ya que con dicha resolución concluyó un proceso al cual no fue emplazado, dictándose la misma sin su intervención. Señala que tomó parte en el concurso para la provisión de una plaza de Catedrático de Universidad, convocado mediante Resolución de la Universidad de Almería de 5 de junio de 1995, al que fue admitido el 17 de octubre de 1995; y que dicha convocatoria fue recurrida en vía contencioso-administrativa por otros concursantes, siendo emplazada la Universidad, sin que ésta le emplazara a él de conformidad con lo dispuesto en el art. 64 LJCA, el cual obliga a notificar a cuantos aparezcan interesados en el expediente administrativo la Resolución que acuerde su remisión al Tribunal, emplazándoles para que puedan comparecer y personarse en autos. Denuncia el recurrente que, al no producirse la preceptiva notificación, no pudo intervenir en el proceso, vulnerándose su derecho de defensa, con la grave consecuencia que supone haber ganado el concurso, y haber sido nombrado Catedrático, siendo posteriormente anulada la convocatoria por la Sentencia impugnada. Por todo ello, solicita el otorgamiento del amparo y la declaración de nulidad de la Sentencia recurrida, retrotrayendo las actuaciones al momento en que debió ser emplazado, de acuerdo con la LJCA. </w:t>
      </w:r>
    </w:p>
    <w:p w:rsidR="0025129F" w:rsidRDefault="0025129F" w:rsidP="0025129F">
      <w:pPr>
        <w:pStyle w:val="TextoNormal"/>
      </w:pPr>
      <w:r>
        <w:t>En un escrito presentado en el Juzgado de guardia el día 10 de julio de 1998, registrado en este Tribunal el 13 siguiente, el recurrente solicita que, subsidiariamente, se declare su derecho a plantear el incidente de nulidad de actuaciones (art. 240.3 LOPJ) frente a la Sentencia recurrida en amparo.</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la Sección Tercera de este Tribunal, de 20 de julio de 1998, se acordó dirigir atenta comunicación a la Sala de lo Contencioso-Administrativo del Tribunal Superior de Justicia de Andalucía y a la Universidad de Almería a fin de que remitieran, respectivamente, la certificación de las actuaciones correspondientes a los recursos contencioso- administrativos núms. 3487/95 y 3705/95, y el expediente administrativo en el que recayó la Resolución de 5 de junio de 1995 del Presidente de la Comisión Gestora de la Universidad de Almería por la que se convoca concurso para la provisión de las plazas núms. 14/95, 15/95 y 16/95.</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registrado el 28 de septiembre de 1998, la Sala de lo Contencioso- Administrativo del Tribunal Superior de Justicia de Andalucía comunicó a este Tribunal que los autos acumulados de los mencionados recursos contencioso-administrativos fueron remitidos a la Sala Tercera del Tribunal Supremo para la sustanciación del recurso de casación en interés de Ley núm. 6147/98 ante la Sección Séptima de dicha Sala.</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Por providencia de 1 de octubre de 1998, la Sección Tercera acordó unir a las actuaciones el anterior escrito y dirigir atenta comunicación a la Sala de lo Contencioso-Administrativo del Tribunal Supremo a fin de que remitiera certificación de las actuaciones correspondientes a los recursos contencioso- administrativos núms. 3487/95 y </w:t>
      </w:r>
      <w:r>
        <w:lastRenderedPageBreak/>
        <w:t>3705/95, que le fueron remitidas para la sustanciación del señalado recurso de casación en interés de Ley.</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16 de diciembre de 1998, la Sección Tercera de este Tribunal acordó admitir a trámite la demanda de amparo y, en aplicación del art. 51 LOTC, dirigir atenta comunicación a la Sala de lo Contencioso- Administrativo del Tribunal Superior de Justicia de Andalucía para que emplazase en el presente recurso de amparo a quienes hubieran sido parte en los citados recursos contencioso-administrativos, excepto al recurrente en amparo, a fin de que en el plazo de diez días pudieran comparecer en el presente proceso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providencia de la misma fecha, y a la vista de lo alegado en la demanda de amparo, la Sección Tercera del Tribunal acordó formar la oportuna pieza separada para la tramitación del incidente de suspensión, de conformidad con lo dispuesto en el art. 56 LOTC, y otorgar un plazo de tres días a la parte recurrente, al Ministerio Fiscal y al Abogado del Estado para que alegasen lo que estimaran pertinente sobre la suspensión solicitada. </w:t>
      </w:r>
    </w:p>
    <w:p w:rsidR="0025129F" w:rsidRDefault="0025129F" w:rsidP="0025129F">
      <w:pPr>
        <w:pStyle w:val="TextoNormal"/>
      </w:pPr>
      <w:r>
        <w:t>Evacuado el trámite de alegaciones conferido, la Sala Segunda del Tribunal dictó Auto de 8 de febrero de 1999 por el que acordó la suspensión parcial de la ejecución de la Sentencia impugnada, en lo que se refiere sólo a los extremos del fallo anulatorio que hacen referencia a la plaza núm.16/95, de Catedrático de Universidad, área de Filosofía.</w:t>
      </w:r>
    </w:p>
    <w:p w:rsidR="0025129F" w:rsidRDefault="0025129F" w:rsidP="0025129F">
      <w:pPr>
        <w:pStyle w:val="TextoNormal"/>
      </w:pPr>
    </w:p>
    <w:p w:rsidR="0025129F" w:rsidRDefault="0025129F" w:rsidP="0025129F">
      <w:pPr>
        <w:pStyle w:val="TextoNormal"/>
      </w:pPr>
      <w:r w:rsidRPr="0025129F">
        <w:rPr>
          <w:rStyle w:val="NumeroAFNegritaCaracter"/>
        </w:rPr>
        <w:t>9</w:t>
      </w:r>
      <w:r>
        <w:t>. Mediante escrito presentado el 23 de diciembre de 1998, el Abogado del Estado, en la representación que ostenta, se personó en este proceso de amparo, solicitando que se entendieran con él las actuaciones sucesivas.</w:t>
      </w:r>
    </w:p>
    <w:p w:rsidR="0025129F" w:rsidRDefault="0025129F" w:rsidP="0025129F">
      <w:pPr>
        <w:pStyle w:val="TextoNormal"/>
      </w:pPr>
    </w:p>
    <w:p w:rsidR="0025129F" w:rsidRDefault="0025129F" w:rsidP="0025129F">
      <w:pPr>
        <w:pStyle w:val="TextoNormal"/>
      </w:pPr>
      <w:r w:rsidRPr="0025129F">
        <w:rPr>
          <w:rStyle w:val="NumeroAFNegritaCaracter"/>
        </w:rPr>
        <w:t>10</w:t>
      </w:r>
      <w:r>
        <w:t>. Por escrito registrado el 27 de enero de 1999, el Procurador de los Tribunales don José Castillo Ruiz, en nombre y representación de la Universidad de Almería, se personó en el proceso de amparo solicitando que se entendieran con él las actuaciones sucesivas.</w:t>
      </w:r>
    </w:p>
    <w:p w:rsidR="0025129F" w:rsidRDefault="0025129F" w:rsidP="0025129F">
      <w:pPr>
        <w:pStyle w:val="TextoNormal"/>
      </w:pPr>
    </w:p>
    <w:p w:rsidR="0025129F" w:rsidRDefault="0025129F" w:rsidP="0025129F">
      <w:pPr>
        <w:pStyle w:val="TextoNormal"/>
      </w:pPr>
      <w:r w:rsidRPr="0025129F">
        <w:rPr>
          <w:rStyle w:val="NumeroAFNegritaCaracter"/>
        </w:rPr>
        <w:t>11</w:t>
      </w:r>
      <w:r>
        <w:t>. Por escrito registrado en este Tribunal el 27 de enero de 1999, el Procurador de los Tribunales don José Llorens Valderrama, en nombre y representación de don Cayetano Aranda Torres, doña María Elisa Prieto Barrero y doña Amalia Mirás Baldó, se personó en el presente proceso de amparo solicitando que en lo sucesivo se entendieran con él las actuaciones.</w:t>
      </w:r>
    </w:p>
    <w:p w:rsidR="0025129F" w:rsidRDefault="0025129F" w:rsidP="0025129F">
      <w:pPr>
        <w:pStyle w:val="TextoNormal"/>
      </w:pPr>
    </w:p>
    <w:p w:rsidR="0025129F" w:rsidRDefault="0025129F" w:rsidP="0025129F">
      <w:pPr>
        <w:pStyle w:val="TextoNormal"/>
      </w:pPr>
      <w:r w:rsidRPr="0025129F">
        <w:rPr>
          <w:rStyle w:val="NumeroAFNegritaCaracter"/>
        </w:rPr>
        <w:t>12</w:t>
      </w:r>
      <w:r>
        <w:t>. Por escrito presentado el 28 de enero de 1999, el Procurador de los Tribunales don Miguel Ángel Castillo Sánchez, en nombre y representación de don Miguel Martínez López, se personó en el presente proceso de amparo, solicitando que en lo sucesivo se entendieran con él las actuaciones.</w:t>
      </w:r>
    </w:p>
    <w:p w:rsidR="0025129F" w:rsidRDefault="0025129F" w:rsidP="0025129F">
      <w:pPr>
        <w:pStyle w:val="TextoNormal"/>
      </w:pPr>
    </w:p>
    <w:p w:rsidR="0025129F" w:rsidRDefault="0025129F" w:rsidP="0025129F">
      <w:pPr>
        <w:pStyle w:val="TextoNormal"/>
      </w:pPr>
      <w:r w:rsidRPr="0025129F">
        <w:rPr>
          <w:rStyle w:val="NumeroAFNegritaCaracter"/>
        </w:rPr>
        <w:t>13</w:t>
      </w:r>
      <w:r>
        <w:t xml:space="preserve">. Por providencia de 1 de marzo de 1999, la Sección Tercera de este Tribunal acordó tener por personados y parte en el procedimiento a los siguientes Procuradores: a don José Castillo Ruiz, en nombre y representación de la Universidad de Almería; a don José Llorens Valderrama, en nombre y representación de don Cayetano Aranda Torres, doña María Elisa Prieto Barrero y doña Amalia Mirás Baldó; y a don Miguel Ángel Castillo Sánchez, </w:t>
      </w:r>
      <w:r>
        <w:lastRenderedPageBreak/>
        <w:t>en nombre y representación de don Miguel Martínez López. Asimismo, se acordó dar vista de las actuaciones recibidas a todas las partes personadas y al Ministerio Fiscal, por un plazo común de veinte días, para que pudieran realizar las alegaciones que tuvieran por convenientes.</w:t>
      </w:r>
    </w:p>
    <w:p w:rsidR="0025129F" w:rsidRDefault="0025129F" w:rsidP="0025129F">
      <w:pPr>
        <w:pStyle w:val="TextoNormal"/>
      </w:pPr>
    </w:p>
    <w:p w:rsidR="0025129F" w:rsidRDefault="0025129F" w:rsidP="0025129F">
      <w:pPr>
        <w:pStyle w:val="TextoNormal"/>
      </w:pPr>
      <w:r w:rsidRPr="0025129F">
        <w:rPr>
          <w:rStyle w:val="NumeroAFNegritaCaracter"/>
        </w:rPr>
        <w:t>14</w:t>
      </w:r>
      <w:r>
        <w:t>. En escrito de alegaciones presentado el 24 de marzo de 1999, el Procurador de los Tribunales don Miguel Ángel Castillo Sánchez, en nombre y representación de don Miguel Martínez López, afirma que la Sentencia impugnada en este proceso de amparo vulnera el derecho a la tutela judicial efectiva de su mandante, el cual tomó parte y ganó el concurso anulado por dicha Sentencia, sin que fuera emplazado personalmente como parte codemandada en el proceso, infringiendo los principios de audiencia y contradicción. Alega que la Sentencia aquí recurrida vulnera asimismo el derecho a la autonomía universitaria al excederse en el control judicial de una decisión que fue adoptada conforme a la Ley y en el ejercicio de aquel derecho. Por ello, en el escrito se interesa que se otorgue el amparo a don Miguel Martínez López, se declaren vulnerados los mencionados derechos, y se anule la Sentencia recurrida, solicitando mediante otrosí la suspensión cautelar del acto recurrido.</w:t>
      </w:r>
    </w:p>
    <w:p w:rsidR="0025129F" w:rsidRDefault="0025129F" w:rsidP="0025129F">
      <w:pPr>
        <w:pStyle w:val="TextoNormal"/>
      </w:pPr>
    </w:p>
    <w:p w:rsidR="0025129F" w:rsidRDefault="0025129F" w:rsidP="0025129F">
      <w:pPr>
        <w:pStyle w:val="TextoNormal"/>
      </w:pPr>
      <w:r w:rsidRPr="0025129F">
        <w:rPr>
          <w:rStyle w:val="NumeroAFNegritaCaracter"/>
        </w:rPr>
        <w:t>15</w:t>
      </w:r>
      <w:r>
        <w:t>. En las alegaciones presentadas el 26 de marzo de 1999 por el Procurador de los Tribunales don José Llorens Valderrama, en nombre y representación de don Cayetano Aranda Torres, doña María Elisa Prieto Barrero y doña Amalia Mirás Baldó, se rechaza que la Sentencia impugnada haya vulnerado el derecho a la tutela judicial efectiva del recurrente puesto que éste fue emplazado en la forma legalmente prevista, sin que se haya producido indefensión. Así lo acreditarían las actuaciones, en concreto, el anuncio del recurso colgado en el tablón de anuncios del Servicio de Personal de la Universidad y notificado a los admitidos al concurso, la publicación en el “Boletín Oficial de la Provincia de Almería”, y la carta certificada remitida por el Gabinete Jurídico de la Universidad de Almería el 25 de octubre de 1995 al domicilio del recurrente en Madrid, y de la que consta acuse de recibo. A ello se añade que, a la vista de las circunstancias en las que se desarrolló el proceso, el recurrente pudo tener conocimiento del recurso interpuesto contra la convocatoria, habiendo tenido posibilidad de personarse en el mismo y de defender sus intereses. Por todo ello, insta a que se dicte Sentencia denegando el amparo solicitado por el recurrente. Mediante otrosí, se interesa la práctica de una serie de pruebas, al amparo del art. 89 LOTC, así como la reapertura de la pieza de suspensión, a tenor de lo dispuesto en el art. 57 LOTC.</w:t>
      </w:r>
    </w:p>
    <w:p w:rsidR="0025129F" w:rsidRDefault="0025129F" w:rsidP="0025129F">
      <w:pPr>
        <w:pStyle w:val="TextoNormal"/>
      </w:pPr>
    </w:p>
    <w:p w:rsidR="0025129F" w:rsidRDefault="0025129F" w:rsidP="0025129F">
      <w:pPr>
        <w:pStyle w:val="TextoNormal"/>
      </w:pPr>
      <w:r w:rsidRPr="0025129F">
        <w:rPr>
          <w:rStyle w:val="NumeroAFNegritaCaracter"/>
        </w:rPr>
        <w:t>16</w:t>
      </w:r>
      <w:r>
        <w:t>. En el escrito de alegaciones presentado el 26 de marzo de 1999 por el Procurador de los Tribunales don José Castillo Ruiz, en nombre y representación de la Universidad de Almería, se interesa que no se otorgue el amparo solicitado por el demandante por cuanto éste no vio vulnerado su derecho a la tutela judicial efectiva al serle notificada en forma la interposición del recurso contencioso-administrativo, como acreditarían las actuaciones.</w:t>
      </w:r>
    </w:p>
    <w:p w:rsidR="0025129F" w:rsidRDefault="0025129F" w:rsidP="0025129F">
      <w:pPr>
        <w:pStyle w:val="TextoNormal"/>
      </w:pPr>
    </w:p>
    <w:p w:rsidR="0025129F" w:rsidRDefault="0025129F" w:rsidP="0025129F">
      <w:pPr>
        <w:pStyle w:val="TextoNormal"/>
      </w:pPr>
      <w:r w:rsidRPr="0025129F">
        <w:rPr>
          <w:rStyle w:val="NumeroAFNegritaCaracter"/>
        </w:rPr>
        <w:t>17</w:t>
      </w:r>
      <w:r>
        <w:t xml:space="preserve">. En su escrito de alegaciones registrado en este Tribunal el 31 de marzo de 1999 el recurrente reitera su queja por vulneración del derecho a la tutela judicial efectiva al no haber sido parte en el proceso contencioso- administrativo, por no haber sido emplazado personalmente al mismo. Señala que en las actuaciones puede comprobarse cómo el emplazamiento personal intentado por la Universidad de Almería no se llevó a cabo, puesto </w:t>
      </w:r>
      <w:r>
        <w:lastRenderedPageBreak/>
        <w:t xml:space="preserve">que el acuse de recibo carecía de los más elementales requisitos para que una notificación por correo produzca efecto: fue firmada por una persona desconocida por el recurrente, de la que no figura su segundo apellido, ni DNI completo, ni su relación con él. </w:t>
      </w:r>
    </w:p>
    <w:p w:rsidR="0025129F" w:rsidRDefault="0025129F" w:rsidP="0025129F">
      <w:pPr>
        <w:pStyle w:val="TextoNormal"/>
      </w:pPr>
      <w:r>
        <w:t>Por otra parte, el solicitante de amparo se remite a su escrito, presentado en este Tribunal el 10 de julio de 1998, para afirmar que ha agotado todos los recursos utilizables en la vía judicial previa, y ello a pesar de no haber acudido al incidente de nulidad de actuaciones (art. 240.3 LOPJ), que no pudo plantear al no haber sido parte en el proceso.</w:t>
      </w:r>
    </w:p>
    <w:p w:rsidR="0025129F" w:rsidRDefault="0025129F" w:rsidP="0025129F">
      <w:pPr>
        <w:pStyle w:val="TextoNormal"/>
      </w:pPr>
    </w:p>
    <w:p w:rsidR="0025129F" w:rsidRDefault="0025129F" w:rsidP="0025129F">
      <w:pPr>
        <w:pStyle w:val="TextoNormal"/>
      </w:pPr>
      <w:r w:rsidRPr="0025129F">
        <w:rPr>
          <w:rStyle w:val="NumeroAFNegritaCaracter"/>
        </w:rPr>
        <w:t>18</w:t>
      </w:r>
      <w:r>
        <w:t>. El Abogado del Estado evacuó el trámite de alegaciones mediante escrito registrado el 24 de marzo de 1999, en el que solicita la desestimación del recurso de amparo en cuanto a la pretensión anulatoria de la Sentencia impugnada, sin perjuicio del derecho del recurrente a ser notificado en forma de dicha resolución, y de utilizar contra ella los recursos que estime conveniente. A su juicio, el demandante presentó en realidad dos recursos de amparo: uno en el que se impugna directamente la Sentencia por no haber sido emplazado debidamente; y otro, frente a la resolución denegatoria de la notificación de la Sentencia, con la pretensión de plantear el incidente de nulidad de actuaciones. El primero sería inviable por no haberse agotado los recursos utilizables y porque, además, los autos ofrecerían indicios de que el recurrente conoció la tramitación del procedimiento y tuvo la oportunidad de comparecer en él. Por el contrario, el recurrente tendría derecho a plantear el incidente de nulidad de actuaciones (art. 240.3 LOPJ), que no debería entenderse limitado a quienes intervinieron en el proceso; es en dicho incidente en el que debería plantear la existencia y regularidad del emplazamiento y las posibles consecuencias de lo actuado.</w:t>
      </w:r>
    </w:p>
    <w:p w:rsidR="0025129F" w:rsidRDefault="0025129F" w:rsidP="0025129F">
      <w:pPr>
        <w:pStyle w:val="TextoNormal"/>
      </w:pPr>
    </w:p>
    <w:p w:rsidR="0025129F" w:rsidRDefault="0025129F" w:rsidP="0025129F">
      <w:pPr>
        <w:pStyle w:val="TextoNormal"/>
      </w:pPr>
      <w:r w:rsidRPr="0025129F">
        <w:rPr>
          <w:rStyle w:val="NumeroAFNegritaCaracter"/>
        </w:rPr>
        <w:t>19</w:t>
      </w:r>
      <w:r>
        <w:t xml:space="preserve">. El Ministerio Fiscal presentó su escrito de alegaciones el 22 de marzo de 1999, interesando que se dicte Sentencia inadmitiendo el recurso de amparo por falta de agotamiento de los recursos utilizables en vía judicial; subsidiariamente, solicita que se estime la demanda por violación del derecho a la tutela judicial efectiva. </w:t>
      </w:r>
    </w:p>
    <w:p w:rsidR="0025129F" w:rsidRDefault="0025129F" w:rsidP="0025129F">
      <w:pPr>
        <w:pStyle w:val="TextoNormal"/>
      </w:pPr>
      <w:r>
        <w:t xml:space="preserve">Entiende el Fiscal que el demandante de amparo incumplió el requisito del art. 44.1 a) LOTC por no haber acudido al incidente extraordinario de nulidad (art. 240.3 LOPJ), configurado como un proceso judicial de protección del derecho a la tutela judicial efectiva, el cual se encontraba ya vigente en el momento de dictar la Sentencia impugnada, y que se extiende a los defectos formales que hayan causado indefensión, como la falta de emplazamiento del interesado directo. </w:t>
      </w:r>
    </w:p>
    <w:p w:rsidR="0025129F" w:rsidRDefault="0025129F" w:rsidP="0025129F">
      <w:pPr>
        <w:pStyle w:val="TextoNormal"/>
      </w:pPr>
      <w:r>
        <w:t>Para el supuesto de considerar el Tribunal que no concurre esta causa de inadmisión, el Fiscal solicita la estimación del recurso por entender que el recurrente no fue emplazado en la forma exigida por la Ley y la jurisprudencia constitucional, puesto que no se acredita cuándo y dónde fue expuesto el mencionado anuncio de la Universidad, ni puede considerarse que el acuse de recibo del correo certificado acredite que la carta de la Universidad llegó realmente al recurrente, ni que éste tuviera un conocimiento extraprocesal del recurso contencioso-administrativo. Por su carácter de interesado directo, entiende el Fiscal que el recurrente sufrió una indefensión material, solamente atribuible a los órganos administrativo y judicial.</w:t>
      </w:r>
    </w:p>
    <w:p w:rsidR="0025129F" w:rsidRDefault="0025129F" w:rsidP="0025129F">
      <w:pPr>
        <w:pStyle w:val="TextoNormal"/>
      </w:pPr>
    </w:p>
    <w:p w:rsidR="0025129F" w:rsidRDefault="0025129F" w:rsidP="0025129F">
      <w:pPr>
        <w:pStyle w:val="TextoNormal"/>
      </w:pPr>
      <w:r w:rsidRPr="0025129F">
        <w:rPr>
          <w:rStyle w:val="NumeroAFNegritaCaracter"/>
        </w:rPr>
        <w:t>20</w:t>
      </w:r>
      <w:r>
        <w:t>. Por providencia de 7 de febrero de 2002 se acordó señalar para deliberación y votación de la presente Sentencia el día 11 del mismo mes y año.</w:t>
      </w:r>
    </w:p>
    <w:p w:rsidR="0025129F" w:rsidRDefault="0025129F" w:rsidP="0025129F">
      <w:pPr>
        <w:pStyle w:val="TextoNormal"/>
      </w:pPr>
    </w:p>
    <w:p w:rsidR="0025129F" w:rsidRDefault="0025129F" w:rsidP="0025129F">
      <w:pPr>
        <w:pStyle w:val="TextoNormalNegritaCentrado"/>
        <w:keepNext/>
      </w:pPr>
      <w:r>
        <w:lastRenderedPageBreak/>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la Sentencia de 23 de marzo de 1998 de la Sala de lo Contencioso-Administrativo del Tribunal Superior de Justicia de Andalucía, con sede en Granada, que anuló la Resolución dictada el 5 de junio de 1995 por el Rector- Presidente de la Comisión Gestora de la Universidad de Almería convocando concursos para la provisión de tres plazas de Catedrático de Universidad, una de ellas en el área de Filosofía (plaza núm. 16/95), adscrita al Departamento de Filosofía, Metodología, Sociología y Pedagogía de dicha Universidad. El demandante de amparo tomó parte en el concurso para la provisión de esta plaza, al que fue admitido por Resolución del Rectorado de 17 de octubre de 1995 y, una vez celebradas las pruebas, obtuvo la plaza de Catedrático de Universidad del área de conocimiento de Filosofía, llevándose a cabo su nombramiento por Resolución de 26 de noviembre de 1996 de la Universidad de Almería.</w:t>
      </w:r>
    </w:p>
    <w:p w:rsidR="0025129F" w:rsidRDefault="0025129F" w:rsidP="0025129F">
      <w:pPr>
        <w:pStyle w:val="TextoNormal"/>
      </w:pPr>
      <w:r>
        <w:t>Alega el recurrente que la Sentencia impugnada vulneró su derecho a la tutela judicial efectiva sin indefensión (art. 24 CE) al ser dictada sin su intervención, en un proceso al que no fue debidamente emplazado. Y ello porque, una vez recurrida en vía contencioso-administrativa la citada convocatoria por otros concursantes, la Sala emplazó a la Universidad, sin que ésta a su vez le emplazara de conformidad con lo dispuesto en el art. 64 LJCA 1956, con lo cual no pudo intervenir en el proceso, vulnerándose su derecho de defensa. Por ello solicita el otorgamiento del amparo y la declaración de nulidad de la Sentencia recurrida, retrotrayendo las actuaciones al momento en que debió ser emplazado de acuerdo con la LJCA.</w:t>
      </w:r>
    </w:p>
    <w:p w:rsidR="0025129F" w:rsidRDefault="0025129F" w:rsidP="0025129F">
      <w:pPr>
        <w:pStyle w:val="TextoNormal"/>
      </w:pPr>
      <w:r>
        <w:t>Idénticas alegaciones formula don Miguel Martínez López, que tomó parte en el concurso para la provisión de una plaza de Catedrático de Filología Inglesa, convocado por la misma Resolución de la Universidad de Almería, posteriormente anulada, quien se persona en este proceso solicitando que también se le otorgue amparo.</w:t>
      </w:r>
    </w:p>
    <w:p w:rsidR="0025129F" w:rsidRDefault="0025129F" w:rsidP="0025129F">
      <w:pPr>
        <w:pStyle w:val="TextoNormal"/>
      </w:pPr>
      <w:r>
        <w:t>Por su parte, don Cayetano Aranda Torres, doña María Elisa Prieto Barrero y doña Amalia Mirás Baldó, que en su día recurrieron en vía contencioso-administrativa la controvertida Resolución de la Universidad de Almería, niegan en sus alegaciones que la Sentencia aquí impugnada vulnerara el derecho a la tutela judicial efectiva del recurrente, puesto que éste fue emplazado en la forma legalmente prevista, como lo acreditarían el anuncio del recurso contencioso-administrativo colgado en el tablón de anuncios del Servicio de Personal y notificado a los admitidos al concurso, la publicación en el “Boletín Oficial de la Provincia de Almería”, y la carta certificada remitida por el Gabinete Jurídico de la Universidad de Almería el 25 de octubre de 1995 al domicilio del recurrente en Madrid, y de la que consta acuse de recibo. Añaden que a la vista de las circunstancias en las que se desarrolló el proceso, el solicitante de amparo pudo tener conocimiento del recurso contencioso-administrativo interpuesto contra la repetida convocatoria, y por ello habría tenido la posibilidad de personarse en el mismo y defender sus intereses.</w:t>
      </w:r>
    </w:p>
    <w:p w:rsidR="0025129F" w:rsidRDefault="0025129F" w:rsidP="0025129F">
      <w:pPr>
        <w:pStyle w:val="TextoNormal"/>
      </w:pPr>
      <w:r>
        <w:t>En el mismo sentido se pronuncia la Universidad de Almería, que ha intervenido en este proceso de amparo interesando su denegación, por cuanto el demandante no habría visto vulnerado su derecho a la tutela judicial efectiva al serle notificada en forma la interposición del recurso contencioso- administrativo, como acreditarían las actuaciones.</w:t>
      </w:r>
    </w:p>
    <w:p w:rsidR="0025129F" w:rsidRDefault="0025129F" w:rsidP="0025129F">
      <w:pPr>
        <w:pStyle w:val="TextoNormal"/>
      </w:pPr>
      <w:r>
        <w:t>El Abogado del Estado sostiene que el solicitante de amparo presenta en realidad dos recursos: uno, en el que se impugna directamente la Sentencia por no haber sido emplazado debidamente; y otro, frente a la resolución denegatoria de la notificación de aquélla, con la pretensión de plantear el incidente de nulidad de actuaciones. El primero sería inviable por no haberse agotado los recursos utilizables y, además, por ofrecer los autos in</w:t>
      </w:r>
      <w:r>
        <w:lastRenderedPageBreak/>
        <w:t>dicios de que el recurrente conoció la tramitación del procedimiento y tuvo la oportunidad de comparecer en él. El segundo debería estimarse porque el demandante tenía derecho a plantear el incidente de nulidad de actuaciones (art.  240.3 LOPJ), el cual no debería entenderse limitado a quienes intervinieron en el proceso. Por ello, solicita la desestimación de la demanda de amparo en cuanto a la pretensión anulatoria de la Sentencia impugnada, sin perjuicio del derecho del recurrente a ser notificado en forma de dicha resolución y de utilizar contra ella los recursos que estime conveniente.</w:t>
      </w:r>
    </w:p>
    <w:p w:rsidR="0025129F" w:rsidRDefault="0025129F" w:rsidP="0025129F">
      <w:pPr>
        <w:pStyle w:val="TextoNormal"/>
      </w:pPr>
      <w:r>
        <w:t>Finalmente, el Ministerio Fiscal interesa la inadmisión del recurso de amparo por falta de agotamiento de los recursos utilizables en la vía judicial [art. 44.1 a) LOTC], al no haber acudido el demandante de amparo al incidente extraordinario de nulidad (art. 240.3 LOPJ), vigente en el momento de dictar la Sentencia impugnada.  Subsidiariamente, solicita que se estime la demanda por violación del derecho a la tutela judicial efectiva por entender que el recurrente no fue emplazado en la forma exigida por la Ley y la jurisprudencia constitucional puesto que no se acredita cuándo y donde fue expuesto el mencionado anuncio de la Universidad, ni puede considerarse que el acuse de recibo del correo certificado demuestre que la carta de la Universidad llegó realmente al recurrente, ni que éste tuviera un conocimiento extraprocesal del recurso contencioso-administrativo. Ello le habría producido una indefensión material, solamente atribuible a los órganos administrativo y judicial.</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entrar en el fondo del asunto es preciso dar respuesta a la objeción de admisibilidad de la demanda que plantea el Ministerio Fiscal, y comparte el Abogado del Estado, consistente en la falta de agotamiento de la vía judicial previa a la interposición del amparo [art. 44.1 a) LOTC], por no haber promovido el recurrente el incidente de nulidad de actuaciones (art.  240.3 LOPJ) frente a la Sentencia impugnada.  Sostiene el Fiscal que este remedio procesal se encontraba ya vigente en el momento de dictarse la resolución aquí recurrida, y que a través del mismo se podía reparar la pretendida indefensión causada por la falta de emplazamiento. Por su parte, el Abogado del Estado coincide en tal alegación, señalando que el demandante debía plantear en el incidente de nulidad la indefensión ahora invocada, al no estar limitado a quienes intervinieron en el proceso.</w:t>
      </w:r>
    </w:p>
    <w:p w:rsidR="0025129F" w:rsidRDefault="0025129F" w:rsidP="0025129F">
      <w:pPr>
        <w:pStyle w:val="TextoNormal"/>
      </w:pPr>
      <w:r>
        <w:t>En relación al deber de previo agotamiento de la vía judicial, que el art.  44.1 a) LOTC impone a los demandantes de amparo, hemos declarado reiteradamente que el cumplimiento de tal requisito sólo exige la utilización de aquellos recursos cuya procedencia se desprende de modo claro y terminante del tenor de las previsiones legales y que, además, dada su naturaleza y finalidad sean adecuados para reparar la lesión presuntamente sufrida (SSTC 56/1995, de 6 de marzo, FJ 2; 84/1999, de 10 de mayo, FJ 2; 169/1999, de 27 de septiembre, FJ 3; 216/2000, de 18 de septiembre, FJ 2; 168/2001, de 16 de julio, FJ 2; 232/2001, de 10 de diciembre, FJ 2).</w:t>
      </w:r>
    </w:p>
    <w:p w:rsidR="0025129F" w:rsidRDefault="0025129F" w:rsidP="0025129F">
      <w:pPr>
        <w:pStyle w:val="TextoNormal"/>
      </w:pPr>
      <w:r>
        <w:t xml:space="preserve">Pues bien, en el presente caso, las circunstancias concurrentes llevan a considerar que la utilización del incidente de nulidad (art. 240.3 LOPJ) no resultaba manifiestamente procedente. En efecto, en el momento de dictarse la Sentencia impugnada, de fecha 23 de marzo de 1998, conocida por el demandante en el mes de abril siguiente, sólo estaban legitimados para promover el incidente de nulidad, según la redacción dada por la Ley Orgánica 5/1997, de 4 de diciembre, “quienes sean parte legítima”.  Precisamente la Ley Orgánica 13/1999, de 14 de mayo, que por motivos temporales no resultaba aplicable al presente supuesto, amplió la legitimación para presentar el incidente a “quienes hubieran debido serlo”. Es por ello dudoso que entre las dos Leyes de 1997 y 1999, quienes no fueron llamados al proceso, debiendo haberlo sido, estuviesen incluidos en el ámbito de aplicación </w:t>
      </w:r>
      <w:r>
        <w:lastRenderedPageBreak/>
        <w:t>del art.  240.3 LOPJ; consideración que resultaría corroborada por el hecho de que el legislador de 1999 entendiera conveniente modificar la redacción de 1997 para ampliar la legitimación a estas personas. Es asimismo significativo el hecho de que el propio recurrente presentara un escrito, registrado en este Tribunal el 13 de julio de 1998, en el que solicitaba que se declarase su derecho a plantear el incidente de nulidad del art. 240.3 LOPJ por entender que tal precepto, en la redacción de aquel momento, sólo permitía utilizarlo a quienes hubiesen sido parte en el proceso.</w:t>
      </w:r>
    </w:p>
    <w:p w:rsidR="0025129F" w:rsidRDefault="0025129F" w:rsidP="0025129F">
      <w:pPr>
        <w:pStyle w:val="TextoNormal"/>
      </w:pPr>
      <w:r>
        <w:t>Existiendo pues una duda más que razonable respecto de si al demandante de amparo le era o no exigible, por tener legitimación para ello, la interposición del incidente de nulidad de actuaciones regulado en el art. 240.3 LOPJ, debemos concluir, tal como hicimos en un supuesto idéntico al que aquí se examina (STC 178/2000, de 26 de junio, FJ 3) que, en aplicación de la citada doctrina constitucional, no cabía exigirle al demandante la interposición, previa a la vía de amparo, del mencionado incidente de nulidad, por no ser en este caso un recurso procedente de modo claro y terminante.</w:t>
      </w:r>
    </w:p>
    <w:p w:rsidR="0025129F" w:rsidRDefault="0025129F" w:rsidP="0025129F">
      <w:pPr>
        <w:pStyle w:val="TextoNormal"/>
      </w:pPr>
      <w:r>
        <w:t>Por todo ello no puede prosperar el obstáculo procesal alegado por el Ministerio Fiscal y el Abogado del Estado.</w:t>
      </w:r>
    </w:p>
    <w:p w:rsidR="0025129F" w:rsidRDefault="0025129F" w:rsidP="0025129F">
      <w:pPr>
        <w:pStyle w:val="TextoNormal"/>
      </w:pPr>
    </w:p>
    <w:p w:rsidR="0025129F" w:rsidRDefault="0025129F" w:rsidP="0025129F">
      <w:pPr>
        <w:pStyle w:val="TextoNormal"/>
      </w:pPr>
      <w:r w:rsidRPr="0025129F">
        <w:rPr>
          <w:rStyle w:val="NumeroAFNegritaCaracter"/>
        </w:rPr>
        <w:t>3</w:t>
      </w:r>
      <w:r>
        <w:t>. Despejada la objeción de procedibilidad planteada, debemos seguir con el examen de dos cuestiones que han de ser también resueltas con carácter previo: el objeto del presente recurso de amparo y la identificación de los demandantes.</w:t>
      </w:r>
    </w:p>
    <w:p w:rsidR="0025129F" w:rsidRDefault="0025129F" w:rsidP="0025129F">
      <w:pPr>
        <w:pStyle w:val="TextoNormal"/>
      </w:pPr>
      <w:r>
        <w:t>En relación a la primera, alega el Abogado del Estado que el Sr.  Maestre Sánchez presenta en realidad dos recursos de amparo: uno frente a la Sentencia impugnada, por no haber sido debidamente emplazado, y otro frente a la resolución denegatoria de la notificación de la Sentencia, con la pretensión de plantear el incidente de nulidad de actuaciones. Esta segunda pretensión figura en el mencionado escrito que el recurrente presentó con posterioridad a la demanda de amparo (interpuesta el 17 de abril de 1998) y que fue registrado en este Tribunal con fecha 13 de julio de 1998.</w:t>
      </w:r>
    </w:p>
    <w:p w:rsidR="0025129F" w:rsidRDefault="0025129F" w:rsidP="0025129F">
      <w:pPr>
        <w:pStyle w:val="TextoNormal"/>
      </w:pPr>
      <w:r>
        <w:t>Pues bien, las alegaciones y las pretensiones formuladas en este segundo escrito no pueden ser ahora examinadas. A este propósito basta recordar nuestra constante doctrina, según la cual las únicas quejas que pueden ser atendidas en esta vía de amparo constitucional son las que la propia parte actora deduce en su demanda, pues ésta es la rectora del proceso, la que acota, define y delimita la pretensión, en relación con las infracciones que en ella se citan; en los escritos posteriores a la demanda no cabe modificar el petitum o la causa petendi, agregando extemporáneamente nuevos fundamentos o nuevas pretensiones (STC 132/1991, de 17 de julio, FJ 2; ATC 142/2000, de 12 de junio, FJ 2). Por lo tanto, el objeto del presente amparo se circunscribe al examen de la queja por vulneración del art.  24.1 CE, por falta de emplazamiento, que el demandante dirige a la Sentencia del Tribunal Superior de Justicia de Andalucía de 23 de marzo de 1998; siendo su pretensión la anulación de la resolución impugnada y que este Tribunal ordene retrotraer el proceso al momento en que el demandante debió ser debidamente emplazado.</w:t>
      </w:r>
    </w:p>
    <w:p w:rsidR="0025129F" w:rsidRDefault="0025129F" w:rsidP="0025129F">
      <w:pPr>
        <w:pStyle w:val="TextoNormal"/>
      </w:pPr>
      <w:r>
        <w:t xml:space="preserve">En relación a la segunda cuestión, debemos afirmar que el único recurrente en este proceso de amparo es el Sr. Maestre Sánchez, quien interpuso la mencionada demanda en el plazo fijado por nuestra Ley Orgánica.  La pretensión del compareciente don Miguel Martínez López, de que también a él le sea otorgado el amparo, no puede prosperar. Como hemos declarado en nuestra jurisprudencia, una vez formulado recurso de amparo, aceptar que aquéllos que hayan comparecido posteriormente en el proceso constitucional, en virtud del emplazamiento previsto en el art. 51.2 LOTC, puedan impugnar un acto no recurrido en su momento por ellos mismos en esta vía jurisdiccional, entrañaría la vulneración </w:t>
      </w:r>
      <w:r>
        <w:lastRenderedPageBreak/>
        <w:t>del art. 44.2 de dicha Ley, que establece de forma taxativa el plazo de interposición del recurso. Con independencia de la configuración doctrinal con que se quiera revestir la situación de los personados no solicitantes originarios del amparo, es lo cierto que no pueden transformarse en recurrentes ni, por tanto, deducir pretensiones propias, limitándose sus derechos a formular alegaciones y a que se les notifiquen las resoluciones que recaigan en un proceso que sólo versa sobre las pretensiones de los demandantes iniciales (STC 170/1990, de 30 de noviembre, FJ 1).</w:t>
      </w:r>
    </w:p>
    <w:p w:rsidR="0025129F" w:rsidRDefault="0025129F" w:rsidP="0025129F">
      <w:pPr>
        <w:pStyle w:val="TextoNormal"/>
      </w:pPr>
    </w:p>
    <w:p w:rsidR="0025129F" w:rsidRDefault="0025129F" w:rsidP="0025129F">
      <w:pPr>
        <w:pStyle w:val="TextoNormal"/>
      </w:pPr>
      <w:r w:rsidRPr="0025129F">
        <w:rPr>
          <w:rStyle w:val="NumeroAFNegritaCaracter"/>
        </w:rPr>
        <w:t>4</w:t>
      </w:r>
      <w:r>
        <w:t>. Realizadas las anteriores precisiones, procede ahora analizar la queja por vulneración del art. 24.1 CE, que el recurrente dirige a la Sentencia impugnada, por considerar que ésta culminó un proceso contencioso- administrativo al cual debía ser emplazado y que, sin embargo, se desarrolló y concluyó sin su intervención.</w:t>
      </w:r>
    </w:p>
    <w:p w:rsidR="0025129F" w:rsidRDefault="0025129F" w:rsidP="0025129F">
      <w:pPr>
        <w:pStyle w:val="TextoNormal"/>
      </w:pPr>
      <w:r>
        <w:t>Como ha quedado reflejado en los antecedentes, la Sentencia aquí recurrida anuló la Resolución de la Universidad de Almería de 5 de junio de 1995 por la que se convocaron varias plazas de Catedrático de Universidad, una de ellas en el área de Filosofía, a la que el recurrente concursó y, una vez realizadas las pruebas, obtuvo, siendo nombrado para ella mediante Resolución de aquella Universidad de 26 de noviembre de 1996. Alega el demandante que, una vez recurrida por otros concursantes la citada Resolución de convocatoria, la Universidad de Almería fue emplazada por el órgano judicial, pero que aquélla no le emplazó debidamente a él, como interesado directo, de conformidad con lo dispuesto en el art. 64 LJCA, con lo cual no pudo intervenir en el proceso.</w:t>
      </w:r>
    </w:p>
    <w:p w:rsidR="0025129F" w:rsidRDefault="0025129F" w:rsidP="0025129F">
      <w:pPr>
        <w:pStyle w:val="TextoNormal"/>
      </w:pPr>
      <w:r>
        <w:t>La cuestión suscitada consiste pues en determinar, una vez más, si la falta de emplazamiento personal de terceras personas interesadas en el objeto de un proceso contencioso- administrativo ha entrañado una vulneración del derecho a la tutela judicial efectiva que reconoce el art. 24.1 CE. En relación a esta cuestión existe ya una consolidada y detallada doctrina jurisprudencial, que ha sido recogida y sintetizada en diversas resoluciones (concretamente, en las SSTC 1/2000, de 17 de enero, FJ 3; 20/2000, de 31 de enero, FJ 2; 116/2000, de 5 de mayo, FJ 2; 178/2000, de 26 de junio, FJ 4; 228/2000, de 2 de octubre, FJ 2; 300/2000, de 11 de diciembre, FJ 2) a las que forzosamente debemos remitirnos.</w:t>
      </w:r>
    </w:p>
    <w:p w:rsidR="0025129F" w:rsidRDefault="0025129F" w:rsidP="0025129F">
      <w:pPr>
        <w:pStyle w:val="TextoNormal"/>
      </w:pPr>
      <w:r>
        <w:t>En tales pronunciamientos, hemos declarado que, en consonancia con el mandato implícito al legislador y al intérprete que contiene el art. 24.1 CE, consistente en promover la defensa, en la medida de lo posible, mediante la correspondiente contradicción, el emplazamiento por edictos en el recurso contencioso-administrativo no garantiza en medida suficiente la defensa de quienes están legitimados para comparecer como demandados o coadyuvantes en procesos que inciden directamente en sus derechos e intereses, y que es exigible el emplazamiento personal, cuando los legitimados, como parte demandada o coadyuvante, fueran conocidos e identificables a partir de los datos que figuren en el escrito de interposición del recurso contencioso-administrativo, en el expediente administrativo o en la demanda y que, en estos supuestos, la falta de dicho emplazamiento puede suponer una vulneración del art. 24.1 CE (por todas, SSTC 97/1991, de 9 de mayo, FJ 2; 100/1994, de 11 de abril, FJ 2; 105/1994, de 11 de abril, FJ 2; 122/1998, de 15 de junio, FJ 3; 26/1999, de 8 de marzo, FJ 3; 20/2000, de 31 de enero, FJ 2).</w:t>
      </w:r>
    </w:p>
    <w:p w:rsidR="0025129F" w:rsidRDefault="0025129F" w:rsidP="0025129F">
      <w:pPr>
        <w:pStyle w:val="TextoNormal"/>
      </w:pPr>
      <w:r>
        <w:t>A esta doctrina constitucional se acomodaría la redacción que la Ley 10/1992, de 30 de abril, dio al art. 64 LJCA 1956, vigente ya en el momento de efectuar los emplazamientos en el recurso contencioso-administrativo en el que recayó la Sentencia ahora impugnada en amparo. En efecto, el citado artículo impone a la Administración, autora del acto o disposición impugnados, la carga de notificar al Tribunal y a cuantos aparezcan como interesados en el expediente administrativo, así como la de emplazarles, para que puedan com</w:t>
      </w:r>
      <w:r>
        <w:lastRenderedPageBreak/>
        <w:t>parecer y personarse en autos, dejando subsistente el emplazamiento por el mero anuncio de la interposición del recurso, con carácter residual, para aquellos interesados que no hubieran podido ser emplazados personalmente. Además, el mismo precepto requiere del órgano judicial el examen de las actuaciones administrativas, para comprobar que se han efectuado los emplazamientos necesarios y ordenar, en su caso, que se practiquen, si se advirtiera que son incompletos (SSTC 65/1994, de 28 de febrero, FJ 3; 105/1995, de 3 de julio, FJ 3; 1/2000, de 17 de enero, FJ 3).</w:t>
      </w:r>
    </w:p>
    <w:p w:rsidR="0025129F" w:rsidRDefault="0025129F" w:rsidP="0025129F">
      <w:pPr>
        <w:pStyle w:val="TextoNormal"/>
      </w:pPr>
      <w:r>
        <w:t>Ahora bien, esta doctrina constitucional se formula con una serie de matices, que advierten que no toda falta de emplazamiento personal puede ser calificada como vulneradora del derecho a la tutela judicial efectiva, pues la propia condición o personalidad de quien afirma haber sufrido la lesión por habérsele emplazado sólo edictalmente, los medios de los que el órgano judicial haya podido disponer para practicar y hacer efectivo el emplazamiento personal, la diligencia que el presuntamente lesionado haya observado a fin de comparecer en el proceso, el conocimiento extraprocesal que haya podido tener acerca de su existencia, o, en fin, el momento mismo en que llegó a conocer la Sentencia que puso término al proceso, son, todas ellas circunstancias, aunque no exclusivas, determinantes de la valoración y juicio que la infracción procesal pueda y deba merecer desde la perspectiva del derecho fundamental considerado (SSTC 72/1990, de 23 de abril, FJ 2; 65/1994, de 28 de febrero, FJ 3; 20/2000, FJ 2).</w:t>
      </w:r>
    </w:p>
    <w:p w:rsidR="0025129F" w:rsidRDefault="0025129F" w:rsidP="0025129F">
      <w:pPr>
        <w:pStyle w:val="TextoNormal"/>
      </w:pPr>
      <w:r>
        <w:t>Por ello, cuando se denuncia la vulneración del derecho a la tutela judicial efectiva por ausencia del debido emplazamiento, como en el presente supuesto, resulta necesario determinar si efectivamente el demandante de amparo debía de haber sido emplazado personalmente y se encontraba suficientemente identificado para ello; en segundo lugar, si el emplazamiento se llevó o no a cabo en forma personal y suficiente para que llegara a conocimiento del destinatario; y, en el caso de que no se hubiese practicado, si el recurrente en amparo ha tenido conocimiento o pudo haberlo tenido, de actuar con la diligencia que le es exigible, de la existencia del proceso para ejercer su derecho de comparecencia y defensa (SSTC 1/2000, FJ 3; 20/2000, FJ 2; 178/2000, FJ 4; 300/2000, FJ 2).</w:t>
      </w:r>
    </w:p>
    <w:p w:rsidR="0025129F" w:rsidRDefault="0025129F" w:rsidP="0025129F">
      <w:pPr>
        <w:pStyle w:val="TextoNormal"/>
      </w:pPr>
    </w:p>
    <w:p w:rsidR="0025129F" w:rsidRDefault="0025129F" w:rsidP="0025129F">
      <w:pPr>
        <w:pStyle w:val="TextoNormal"/>
      </w:pPr>
      <w:r w:rsidRPr="0025129F">
        <w:rPr>
          <w:rStyle w:val="NumeroAFNegritaCaracter"/>
        </w:rPr>
        <w:t>5</w:t>
      </w:r>
      <w:r>
        <w:t>. Debemos aplicar los anteriores cánones de constitucionalidad al presente caso, empezando por comprobar si el demandante de amparo era titular de un derecho o de un interés legítimo y propio susceptible de afección en el proceso contencioso-administrativo, lo que determinaría su condición material de demandado o coadyuvante en el proceso. En todo caso, la titularidad del derecho o interés legítimo debía darse al tiempo de la iniciación del proceso contencioso (STC 122/1998, de 15 de junio, FJ 3).</w:t>
      </w:r>
    </w:p>
    <w:p w:rsidR="0025129F" w:rsidRDefault="0025129F" w:rsidP="0025129F">
      <w:pPr>
        <w:pStyle w:val="TextoNormal"/>
      </w:pPr>
      <w:r>
        <w:t>El recurrente en amparo sostiene su interés directo en el proceso contencioso- administrativo, coincidiendo con él el Ministerio Fiscal, sin que ninguna de las demás partes intervinientes en este proceso constitucional hayan discutido el cumplimiento de tal requisito.</w:t>
      </w:r>
    </w:p>
    <w:p w:rsidR="0025129F" w:rsidRDefault="0025129F" w:rsidP="0025129F">
      <w:pPr>
        <w:pStyle w:val="TextoNormal"/>
      </w:pPr>
      <w:r>
        <w:t xml:space="preserve">Ciertamente, en el momento de ser admitido a trámite el recurso contencioso- administrativo núm. 3487/95 y requerida la Universidad para que remitiera el expediente al Tribunal (providencia de 13 de octubre de 1995), el solicitante de amparo aún no había sido admitido definitivamente al concurso para la provisión de una plaza de Catedrático de Filosofía (Resolución del Rectorado de 17 de octubre de 1995). Pero sí ostentaba la condición de candidato a dicha plaza cuando la Universidad remitió a la Sala el expediente requerido (escrito de la Secretaría General de la Universidad de 24 de octubre de 1995).  En ese momento, el Sr. Maestre Sánchez no podía gozar aún de la posición procesal de codemandado, pero sí poseía un interés directo en el mantenimiento de la Resolución recurrida, </w:t>
      </w:r>
      <w:r>
        <w:lastRenderedPageBreak/>
        <w:t>que le daba derecho a comparecer en el proceso como parte coadyuvante. En efecto, el demandante de amparo ostentaba un legítimo interés en que se respetara la validez de la convocatoria impugnada, en la medida en que tenía expectativa de ser nombrado para ocupar la plaza convocada pues, como hemos tenido ocasión de declarar, los opositores admitidos tienen un legítimo interés en que no se anule la convocatoria (SSTC 72/1999, de 26 de abril, FJ 3; 152/1999, de 14 de septiembre, FJ 5; 20/2000, de 31 de enero, FJ 3). Así pues, debe concluirse que el demandante de amparo, en cuanto aspirante admitido al concurso para la provisión de la plaza de Catedrático de Filosofía, convocada por la Resolución recurrida, ostentaba un legítimo interés en el proceso contencioso- administrativo, al que debió ser emplazado personalmente, si era factible.</w:t>
      </w:r>
    </w:p>
    <w:p w:rsidR="0025129F" w:rsidRDefault="0025129F" w:rsidP="0025129F">
      <w:pPr>
        <w:pStyle w:val="TextoNormal"/>
      </w:pPr>
    </w:p>
    <w:p w:rsidR="0025129F" w:rsidRDefault="0025129F" w:rsidP="0025129F">
      <w:pPr>
        <w:pStyle w:val="TextoNormal"/>
      </w:pPr>
      <w:r w:rsidRPr="0025129F">
        <w:rPr>
          <w:rStyle w:val="NumeroAFNegritaCaracter"/>
        </w:rPr>
        <w:t>6</w:t>
      </w:r>
      <w:r>
        <w:t>. Sentado que el recurrente en amparo era titular de un interés legítimo y tenía derecho a ser emplazado personalmente en el proceso contencioso- administrativo, hemos de determinar si dicho emplazamiento era factible por ser persona identificable, a partir de los datos obrantes en el expediente.</w:t>
      </w:r>
    </w:p>
    <w:p w:rsidR="0025129F" w:rsidRDefault="0025129F" w:rsidP="0025129F">
      <w:pPr>
        <w:pStyle w:val="TextoNormal"/>
      </w:pPr>
      <w:r>
        <w:t>De las actuaciones remitidas a este Tribunal se desprende que, una vez interpuesto el recurso contencioso-administrativo núm. 3487/95 (al que posteriormente se acumularía el recurso núm. 3705/95), la Sala dictó providencia de 13 de octubre de 1995, en la que se acordó tener por interpuesto el recurso, y se ordenó la publicación del oportuno edicto en el “Boletín Oficial de la Provincia”, así como que se requiriera a la Universidad demandada la remisión del expediente, con emplazamiento de los interesados.  Que el demandante de amparo era perfectamente identificable queda probado en el escrito de remisión del expediente administrativo, de fecha 24 de octubre de 1995, al que se acompaña una copia del anuncio de interposición del recurso que, según dicho escrito, fue publicado en los tablones de anuncios del Servicio de Personal de la Universidad, y notificado expresamente al Director del Departamento de Filosofía, Metodología, Sociología y Pedagogía, y a todos los admitidos al concurso de dicha plaza.</w:t>
      </w:r>
    </w:p>
    <w:p w:rsidR="0025129F" w:rsidRDefault="0025129F" w:rsidP="0025129F">
      <w:pPr>
        <w:pStyle w:val="TextoNormal"/>
      </w:pPr>
      <w:r>
        <w:t>Este último extremo se acredita con la fotocopia de los acuses de recibo del envío del citado anuncio a los cuatro admitidos al concurso, fechados el día 25 de octubre de 1995, entre los que figura el del demandante de amparo, con destino en Madrid, firmado el día 27 siguiente por una persona que se identifica como Dolores García, empleada, con DNI 247.070. El recurrente no niega que el domicilio al que la Universidad envió dicha carta fuera el mismo que fijó en su instancia para presentarse al concurso y, en efecto, puede comprobarse que en este mismo domicilio (calle Mayor, 1, 28013 Madrid) el demandante recibió previamente, con acuse recibo, la lista provisional de admitidos y excluidos al concurso. Posteriormente, se le envió a esa misma dirección la lista definitiva de admitidos y excluidos, y al no haber nadie en el domicilio, el recurrente la retiró personalmente de la oficina de correos.</w:t>
      </w:r>
    </w:p>
    <w:p w:rsidR="0025129F" w:rsidRDefault="0025129F" w:rsidP="0025129F">
      <w:pPr>
        <w:pStyle w:val="TextoNormal"/>
      </w:pPr>
      <w:r>
        <w:t>El solicitante de amparo alega que la firmante del acuse de recibo era una persona desconocida, que no aparece identificada en el aviso de recibo con su segundo apellido y su documento nacional de identidad completo, y que no consta su condición. Sin embargo, nada puede reprocharse a la notificación practicada en el domicilio del recurrente ya que ésta cumplió los requisitos fijados por el art. 59.2 de la Ley 30/1992, el cual permite “a cualquier persona que se encuentre en el domicilio [del interesado] y haga constar su identidad” hacerse cargo de la notificación en caso de que aquél no se hallara presente en el momento de su entrega. En el aviso de recibo aparece como firmante una persona que, a pesar de omitir el segundo apellido, puede ser identificada y que se identifica como empleada del interesado.</w:t>
      </w:r>
    </w:p>
    <w:p w:rsidR="0025129F" w:rsidRDefault="0025129F" w:rsidP="0025129F">
      <w:pPr>
        <w:pStyle w:val="TextoNormal"/>
      </w:pPr>
      <w:r>
        <w:lastRenderedPageBreak/>
        <w:t>Del examen de las actuaciones se desprende, pues, que el demandante de amparo fue emplazado personalmente al proceso contencioso-administrativo, de conformidad con lo dispuesto en el art. 64 LJCA, ya que se practicó válidamente en su domicilio una notificación que cumple con los requisitos legales.</w:t>
      </w:r>
    </w:p>
    <w:p w:rsidR="0025129F" w:rsidRDefault="0025129F" w:rsidP="0025129F">
      <w:pPr>
        <w:pStyle w:val="TextoNormal"/>
      </w:pPr>
    </w:p>
    <w:p w:rsidR="0025129F" w:rsidRDefault="0025129F" w:rsidP="0025129F">
      <w:pPr>
        <w:pStyle w:val="TextoNormal"/>
      </w:pPr>
      <w:r w:rsidRPr="0025129F">
        <w:rPr>
          <w:rStyle w:val="NumeroAFNegritaCaracter"/>
        </w:rPr>
        <w:t>7</w:t>
      </w:r>
      <w:r>
        <w:t>. La anterior conclusión sería suficiente para rechazar la queja por vulneración del art. 24.1 CE, así como las pretensiones formuladas en la demanda de amparo examinada. No obstante, conviene añadir que, en el presente caso, tampoco se ha producido la denunciada lesión constitucional porque el recurrente se haya visto situado en una posición de indefensión real y efectiva, contraria al art. 24.1 CE (STC 197/1997, de 24 de noviembre, FJ 4). En efecto, a la luz de las actuaciones se puede inferir sin mayor dificultad que el recurrente (aunque no hubiera llegado a su poder la notificación a que se requiere el fundamento jurídico anterior) tuvo que conocer extraprocesalmente la existencia del recurso contencioso-administrativo, con la posibilidad consiguiente de personarse en el proceso.</w:t>
      </w:r>
    </w:p>
    <w:p w:rsidR="0025129F" w:rsidRDefault="0025129F" w:rsidP="0025129F">
      <w:pPr>
        <w:pStyle w:val="TextoNormal"/>
      </w:pPr>
      <w:r>
        <w:t>A la anterior conclusión se llega si se considera el cúmulo de circunstancias que rodean el caso. En primer lugar, debe destacarse que el litigio jurídico se desenvolvió en el contexto de una Universidad en proceso de creación y de dimensiones reducidas, en el que un incidente como el examinado tuvo que tener una amplia difusión; en segundo término, hay que tener presente el número limitado de afectados por la específica convocatoria de la plaza de Catedrático de Filosofía y que uno de los cuatro coopositores (el Sr. Campos García) fue parte coadyuvante en el proceso; por último, en este orden de consideraciones, resultan especialmente relevantes las numerosas incidencias académicas que precedieron a la controvertida convocatoria —las cuales quedan perfectamente reflejadas en el expediente administrativo en el que recayó la Resolución de 5 de junio de 1995—, que dibujan un panorama potencialmente conflictivo en el que era fácil percibir la existencia de una litigiosidad latente.</w:t>
      </w:r>
    </w:p>
    <w:p w:rsidR="0025129F" w:rsidRDefault="0025129F" w:rsidP="0025129F">
      <w:pPr>
        <w:pStyle w:val="TextoNormal"/>
      </w:pPr>
      <w:r>
        <w:t>Asimismo debe señalarse que, junto a la publicación edictal en el “Boletín Oficial de la Provincia” (núm. 221, de 20 de noviembre de 1995), el anuncio de interposición del recurso contencioso-administrativo fue publicado en los tablones de anuncios del Servicio de Personal de la Universidad, según afirma el escrito de remisión del expediente administrativo de 24 de octubre de 1995, firmado por el Secretario General de la Universidad de Almería.</w:t>
      </w:r>
    </w:p>
    <w:p w:rsidR="0025129F" w:rsidRDefault="0025129F" w:rsidP="0025129F">
      <w:pPr>
        <w:pStyle w:val="TextoNormal"/>
      </w:pPr>
      <w:r>
        <w:t>Finalmente hay que insistir en que no resulta verosímil que el recurrente desconociera la existencia del proceso contencioso-administrativo durante un lapso de tiempo tan dilatado, que va desde la admisión del recurso (13 de octubre de 1995) hasta la notificación de la Sentencia a la Universidad (que ésta comunicó al recurrente el 7 de abril de 1998), teniendo en cuenta que el concurso se desarrolló durante el año 1996 y que el hoy demandante fue nombrado Catedrático el 26 de noviembre del mismo año, incorporándose al Departamento de Filosofía, Metodología, Sociología y Pedagogía de la Universidad de Almería, directamente afectado por el recurso en cuestión.</w:t>
      </w:r>
    </w:p>
    <w:p w:rsidR="0025129F" w:rsidRDefault="0025129F" w:rsidP="0025129F">
      <w:pPr>
        <w:pStyle w:val="TextoNormal"/>
      </w:pPr>
      <w:r>
        <w:t>A la vista de todo lo anterior, hay que recordar que este Tribunal ha declarado que no es de recibo que mantenga una denuncia constitucional de indefensión quien por su actitud pasiva y negligente coadyuvó a su producción, al no comparecer en el proceso, estando en tiempo de hacerlo, pese a tener (o a haber debido tener, con un mínimo de diligencia) conocimiento de su existencia, incluso por cauces distintos al del emplazamiento personal (por todas, STC 20/2000, FJ 2)</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8</w:t>
      </w:r>
      <w:r>
        <w:t>. Las anteriores consideraciones conducen al rechazo de la queja relativa a la falta de emplazamiento personal en el proceso contencioso-administrativo, y a declarar la inexistencia de la indefensión denunciada, no apreciando por tanto vulneración del derecho a la tutela judicial efectiva (art. 24.1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presente recurso de amparo y levantar la suspensión parcial de la ejecución de la Sentencia de 23 de marzo de 1998 de la Sala de lo Contencioso-Administrativo del Tribunal Superior de Justicia de Andalucía.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5" w:name="SENTENCIA_2002_32"/>
      <w:r>
        <w:lastRenderedPageBreak/>
        <w:t>SENTENCIA 32/2002, de 11 de febrero de 2002</w:t>
      </w:r>
    </w:p>
    <w:bookmarkEnd w:id="35"/>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ECLI:ES:TC:2002:32</w:t>
      </w:r>
    </w:p>
    <w:p w:rsidR="0025129F" w:rsidRDefault="0025129F" w:rsidP="0025129F">
      <w:pPr>
        <w:pStyle w:val="SntesisDescriptiva"/>
      </w:pPr>
    </w:p>
    <w:p w:rsidR="0025129F" w:rsidRDefault="0025129F" w:rsidP="0025129F">
      <w:pPr>
        <w:pStyle w:val="SntesisDescriptiva"/>
      </w:pPr>
      <w:r>
        <w:t>Recurso de amparo 2160/1998. Promovido por Alejandro Lamoga Colkorew frente a la Sentencia de la Audiencia Provincial de Barcelona que anuló un laudo arbitral que había condenado a Filadors de Torredembarra, S.L., a abonar una cantidad de dinero.</w:t>
      </w:r>
    </w:p>
    <w:p w:rsidR="0025129F" w:rsidRDefault="0025129F" w:rsidP="0025129F">
      <w:pPr>
        <w:pStyle w:val="SntesisDescriptiva"/>
      </w:pPr>
    </w:p>
    <w:p w:rsidR="0025129F" w:rsidRDefault="0025129F" w:rsidP="0025129F">
      <w:pPr>
        <w:pStyle w:val="SntesisAnaltica"/>
      </w:pPr>
      <w:r>
        <w:t>Alegada y supuesta vulneración del derecho a la tutela judicial efectiva: queja sobre extemporaneidad que no fue planteada en nulidad de actuaciones; anulación de un laudo que resuelve el fondo del litigio, y que está fundada en Derecho.</w:t>
      </w:r>
    </w:p>
    <w:p w:rsidR="0025129F" w:rsidRDefault="0025129F" w:rsidP="0025129F">
      <w:pPr>
        <w:pStyle w:val="SntesisAnaltica"/>
      </w:pPr>
    </w:p>
    <w:p w:rsidR="0025129F" w:rsidRDefault="0025129F" w:rsidP="0025129F">
      <w:pPr>
        <w:pStyle w:val="Extracto"/>
      </w:pPr>
      <w:r>
        <w:t>1.</w:t>
      </w:r>
      <w:r>
        <w:tab/>
        <w:t>La Sentencia de la Audiencia Provincial anula el laudo arbitral impugnado, que había anulado determinados acuerdos sociales, ofreciendo un razonamiento coherente, hilado y razonable, por lo que respeta el derecho a obtener una resolución fundada en Derecho [FJ 4].</w:t>
      </w:r>
    </w:p>
    <w:p w:rsidR="0025129F" w:rsidRDefault="0025129F" w:rsidP="0025129F">
      <w:pPr>
        <w:pStyle w:val="Extracto"/>
      </w:pPr>
    </w:p>
    <w:p w:rsidR="0025129F" w:rsidRDefault="0025129F" w:rsidP="0025129F">
      <w:pPr>
        <w:pStyle w:val="Extracto"/>
      </w:pPr>
      <w:r>
        <w:t>2.</w:t>
      </w:r>
      <w:r>
        <w:tab/>
        <w:t>La resolución de la Audiencia Provincial, anulando el laudo arbitral, resuelve el fondo de la cuestión debatida [FJ 4].</w:t>
      </w:r>
    </w:p>
    <w:p w:rsidR="0025129F" w:rsidRDefault="0025129F" w:rsidP="0025129F">
      <w:pPr>
        <w:pStyle w:val="Extracto"/>
      </w:pPr>
    </w:p>
    <w:p w:rsidR="0025129F" w:rsidRDefault="0025129F" w:rsidP="0025129F">
      <w:pPr>
        <w:pStyle w:val="Extracto"/>
      </w:pPr>
      <w:r>
        <w:t>3.</w:t>
      </w:r>
      <w:r>
        <w:tab/>
        <w:t>El demandante de amparo ocupaba en el proceso a quo la posición de demandado. Al no ser él quien instaba el proceso judicial, no puede afirmarse que se lesionara su derecho a la tutela judicial efectiva (art. 24.1 CE) en su vertiente de derecho de acceso al proceso [FJ 4].</w:t>
      </w:r>
    </w:p>
    <w:p w:rsidR="0025129F" w:rsidRDefault="0025129F" w:rsidP="0025129F">
      <w:pPr>
        <w:pStyle w:val="Extracto"/>
      </w:pPr>
    </w:p>
    <w:p w:rsidR="0025129F" w:rsidRDefault="0025129F" w:rsidP="0025129F">
      <w:pPr>
        <w:pStyle w:val="Extracto"/>
      </w:pPr>
      <w:r>
        <w:t>4.</w:t>
      </w:r>
      <w:r>
        <w:tab/>
        <w:t>Lo procedente era utilizar el remedio procesal de la nulidad de actuaciones, por incongruencia del fallo, con anterioridad a la interposición de la demanda de amparo (SSTC 169/1999, 78/2000) [FJ 2].</w:t>
      </w:r>
    </w:p>
    <w:p w:rsidR="0025129F" w:rsidRDefault="0025129F" w:rsidP="0025129F">
      <w:pPr>
        <w:pStyle w:val="Extracto"/>
      </w:pPr>
    </w:p>
    <w:p w:rsidR="0025129F" w:rsidRDefault="0025129F" w:rsidP="0025129F">
      <w:pPr>
        <w:pStyle w:val="Extracto"/>
      </w:pPr>
      <w:r>
        <w:t>5.</w:t>
      </w:r>
      <w:r>
        <w:tab/>
        <w:t>La inadmisión de la queja relativa a la incongruencia omisiva lleva consigo la desestimación de la vulneración del derecho a la tutela judicial efectiva sin indefensión por no apreciarse manifiesta extemporaneidad de la demanda de anulación del laudo arbitral. Resulta imposible ponderar un inexistente razonamiento bajo el canon de arbitrariedad, irrazonabilidad y error patente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2160/98 planteado por don Alejandro Lamoga Colkorew, representado por la Procuradora de los Tribunales doña Marta Sanz Amaro y asistido por el Letrado don Antoni Ferré i Mestre, contra la Sentencia de 13 de marzo de 1998, pronunciada por la Sección Decimoquinta de la Audiencia Provincial de Barcelona, que estimó el recurso de anulación deducido contra el laudo de fecha 14 de julio de 1996 dictado por don Luis Vicen Rufas en procedimiento arbitral promovido por don Alejandro Lamoga Colkorew y don Severo Lamoga Balaña. Ha intervenido la compañía Filadors de Torredembarra, S.L., representada por el Procurador de los Tribunales don José Granados Weil y asistida por la Letrada doña María Concepción Ballester Colomer, así como el Ministerio Fiscal.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Con fecha 14 de mayo de 1998 tuvo entrada en el Registro General de este Tribunal demanda de amparo deducida contra la resolución judicial reseñada en el encabezamiento de esta Sentencia. Tal demanda fue formulada en nombre de don Alejandro Lamoga Colkorew y don Severo Lamoga Balaña por la Procuradora de los Tribunales doña Nuria Solé Batet, sustituida con posterioridad por doña Marta Sanz Amparo en la representación del primero de los demandantes, pues el segundo falleció 2 de junio de 1998 sin que sus herederos, debidamente emplazados, hayan comparecido en este procedimiento.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El recurso de amparo trae causa de los siguientes hechos: </w:t>
      </w:r>
    </w:p>
    <w:p w:rsidR="0025129F" w:rsidRDefault="0025129F" w:rsidP="0025129F">
      <w:pPr>
        <w:pStyle w:val="TextoNormal"/>
      </w:pPr>
      <w:r>
        <w:t xml:space="preserve">a) Don Severo Lamoga Balaña y don Alejandro Lamoga Colkorew impugnaron ante el Tribunal Arbitral de Barcelona varios acuerdos sociales aprobados por la junta general ordinaria de Filadors de Torredembarra, S.L., el día 3 de mayo de 1995, dictándose laudo arbitral en fecha 14 de julio de 1996 por el que se declaraban nulos determinados acuerdos de la junta general y se condenaba a Filadors de Torredembarra, S.L., a pagar a los actores ciertas cantidades de dinero. </w:t>
      </w:r>
    </w:p>
    <w:p w:rsidR="0025129F" w:rsidRDefault="0025129F" w:rsidP="0025129F">
      <w:pPr>
        <w:pStyle w:val="TextoNormal"/>
      </w:pPr>
      <w:r>
        <w:t>b) Contra dicho laudo arbitral recurrió en anulación, Filadors de Torredembarra, S.L., expresando su oposición a cada uno de los motivos de la parte instante de la actuación arbitral. Por Sentencia de 13 de marzo de 1998 la Sección Decimoquinta de la Audiencia Provincial de Barcelona estimó el recurso de anulación interpuesto al entender que el laudo había recaído sobre materia que no podía ser objeto de arbitraje, dictándose posteriormente Auto aclaratorio, de fecha 30 de abril de 1998, en que se completaba la parte dispositiva de la anterior Sentencia con la expresa declaración de que el laudo impugnado era nulo de pleno Derecho.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 de amparo reprocha a la Sentencia de la Audiencia Provincial haber vulnerado su derecho a la tutela judicial efectiva, reconocido en el art. 24 CE, por infracción del derecho a la jurisdicción, al no apreciar la extemporaneidad del recurso de apelación y al infringir los límites de la congruencia. </w:t>
      </w:r>
    </w:p>
    <w:p w:rsidR="0025129F" w:rsidRDefault="0025129F" w:rsidP="0025129F">
      <w:pPr>
        <w:pStyle w:val="TextoNormal"/>
      </w:pPr>
      <w:r>
        <w:t xml:space="preserve">La primera vulneración denunciada radicaría en que, al haber entendido la Sentencia recurrida que el laudo recaía sobre materia que no podía ser objeto de arbitraje, se habría </w:t>
      </w:r>
      <w:r>
        <w:lastRenderedPageBreak/>
        <w:t xml:space="preserve">negado a la parte instante de aquel procedimiento el derecho a la jurisdicción, pues resultaría vedado un análisis del fondo de las cuestiones debatidas en el laudo arbitral. </w:t>
      </w:r>
    </w:p>
    <w:p w:rsidR="0025129F" w:rsidRDefault="0025129F" w:rsidP="0025129F">
      <w:pPr>
        <w:pStyle w:val="TextoNormal"/>
      </w:pPr>
      <w:r>
        <w:t xml:space="preserve">La segunda lesión invocada se habría producido por no apreciar la extemporaneidad del recurso de anulación, que sería manifiestamente extemporáneo por cuanto que, habiéndose notificado el laudo el 31 de julio de 1996, y resultando vencido el plazo de impugnación el 10 del mes siguiente, el recurso de nulidad se presentó el 12 de septiembre de 1996. Sostiene el recurrente que tal recurso de anulación no tiene naturaleza procesal, y por ende el plazo se rige por lo dispuesto en el art. 5.2 del Código Civil, que sienta el principio de que en el cómputo civil de los plazos no se excluyen los días inhábiles. Por ello la decisión arbitral era firme y la Sentencia de la Audiencia Provincial ahora recurrida en amparo desconoció el efecto de cosa juzgada que la Ley otorga al laudo, vulnerando así el principio de inmodificabilidad de las decisiones judiciales firmes y desconociendo la tutela judicial del beneficiado por él. </w:t>
      </w:r>
    </w:p>
    <w:p w:rsidR="0025129F" w:rsidRDefault="0025129F" w:rsidP="0025129F">
      <w:pPr>
        <w:pStyle w:val="TextoNormal"/>
      </w:pPr>
      <w:r>
        <w:t>Finalmente la Audiencia Provincial habría incurrido en incongruencia omisiva, pues no se pronunció respecto de la pretensión de inadmisibilidad por extemporaneidad del recurso de anulación, pretensión que se formuló expresamente en el escrito de impugnación del recurso de anulación del laudolaudo arbitral.</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Sección Cuarta de este Tribunal, por providencia de 16 de julio de 1998, acordó admitir a trámite la demanda de amparo contra la resolución judicial indicada en el encabezamiento. Por ello, en aplicación de lo dispuesto en el art. 51 LOTC, acordó dirigir atenta comunicación al Tribunal Arbitral de Barcelona y a la Sección Decimoquinta de la Audiencia Provincial de dicha localidad, para que, en plazo no superior a diez días, remitiesen, respectivamente, certificación o copia adverada de las actuaciones correspondientes al procedimiento arbitral seguido bajo el núm. 317/95 y al rollo de apelación núm. 1154/96. Previamente el órgano judicial debía emplazar a quienes hubieran sido parte en el proceso, excepto a la parte recurrente en amparo, para que, en el plazo de diez días, pudieran comparecer, si así lo deseasen, en el presente recurso de amparo. </w:t>
      </w:r>
    </w:p>
    <w:p w:rsidR="0025129F" w:rsidRDefault="0025129F" w:rsidP="0025129F">
      <w:pPr>
        <w:pStyle w:val="TextoNormal"/>
      </w:pPr>
      <w:r>
        <w:t>En una segunda providencia de la misma fecha se acordó abrir pieza para la tramitación del incidente sobre la suspensión que había sido solicitada en la demanda por medio de otrosí. Una vez tramitada, conforme al art. 57 LOTC, el Auto de 28 de septiembre de 1998 denegó la suspensión interesada.</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Mediante providencia de 19 de octubre de 1998 la Sección acordó tener por personado y parte en el procedimiento, en nombre y representación de Filadors Torredembarra, S.L., al Procurador don José Granados Weil, quien se había personado en tal representación mediante escrito presentado el 11 de septiembre anterior. </w:t>
      </w:r>
    </w:p>
    <w:p w:rsidR="0025129F" w:rsidRDefault="0025129F" w:rsidP="0025129F">
      <w:pPr>
        <w:pStyle w:val="TextoNormal"/>
      </w:pPr>
      <w:r>
        <w:t>En esta misma providencia se acordó dar vista de las actuaciones recibidas a las partes personadas y el Ministerio Fiscal por término común de veinte días, dentro de los cuales podrían presentar las alegaciones que estimasen pertinentes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La representación procesal de Filadors Torredembarra, S.L., formuló alegaciones el día 18 de noviembre de 1998, en las que, tras realizar una breve reseña de los antecedentes de la resolución impugnada en amparo, se sostiene que carece de sentido afirmar que la Sentencia de la Audiencia no entra en el fondo de la cuestión debatida, pues los motivos </w:t>
      </w:r>
      <w:r>
        <w:lastRenderedPageBreak/>
        <w:t xml:space="preserve">de impugnación de los laudos arbitrales están tasados y precisamente se estima uno de dichos motivos. </w:t>
      </w:r>
    </w:p>
    <w:p w:rsidR="0025129F" w:rsidRDefault="0025129F" w:rsidP="0025129F">
      <w:pPr>
        <w:pStyle w:val="TextoNormal"/>
      </w:pPr>
      <w:r>
        <w:t>En segundo término se aduce que no existió incongruencia omisiva sobre lo que el demandante de amparo afirma que fue una pretensión autónoma de que se declarara la extemporaneidad del recurso de anulación, pues la Audiencia Provincial, mediante providencia de 15 de diciembre, requirió al Tribunal Arbitral de Barcelona para que certificase la fecha de notificación del laudo, y sólo cuando se cercioró de que el recurso de anulación se había presentado dentro de plazo lo tuvo por interpuesto mediante providencia de 26 de febrero de 1997. De esta providencia se dio traslado al ahora demandante de amparo, el cual la consintió, por lo que no cabe ahora que aduzca indefensión. La cuestión de si el plazo de diez días para la interposición del recurso de anulación es procesal o civil, con la consecuencia de que se descuenten o no los días inhábiles, no pasa de ser un tema de legalidad ordinaria, ajeno al contenido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El Ministerio Fiscal formuló sus alegaciones mediante escrito que tuvo entrada en el Registro General de este Tribunal el día 2 de diciembre de 1998. Afirma que, contrariamente a lo sostenido en la demanda de amparo, la Sentencia de la Audiencia Provincial entró a conocer del fondo de las pretensiones deducidas, pues el recaer el laudo arbitral sobre materias que no pueden ser objeto de arbitraje constituye, según la normativa aplicable, una de las causas de declaración de nulidad del laudo arbitral en un proceso que legalmente tiene como objeto únicamente la anulación del laudo. En cambio entiende que sí se ha producido incongruencia omisiva, que lesiona el derecho a la tutela judicial efectiva (art. 24.1 CE), pues no se dio respuesta a la pretensión de que se declarase la extemporaneidad del recurso que el demandante de amparo dedujo de forma clara e independiente del resto de pretensiones en su escrito de impugnación del recurso. Tampoco cabe apreciar la existencia de una desestimación tácita, pues de la fundamentación de la Sentencia, que no se refiere a la alegación de extemporaneidad, no cabe deducir las razones o argumentos que supuestamente habrían llevado al órgano judicial a desestimar tal pretensión, la cual, además, si hubiera recibido respuesta afirmativa hubiera condicionado el resultado del proceso al existir una causa legal de inadmisión que impedía al órgano judicial conocer del fondo. Por ello, en opinión del Ministerio Fiscal, sería procedente otorgar el amparo, lo cual impediría entrar a conocer de la vulneración del derecho a la tutela judicial efectiva por no haber apreciado la extemporaneidad del recurso de anulación.</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7 de febrero de 2002 se señaló para la deliberación y votación de la presente Sentencia el día 11 de febrero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acto del poder público al que se reprocha haber vulnerado derechos fundamentales, cuya reparación constituye la razón de ser de este recurso de amparo, está constituido por la Sentencia de 13 de marzo de 1998, dictada por la Sección Decimoquinta de la Audiencia Provincial de Barcelona, que estima el recurso de anulación deducido contra el laudolaudo arbitral, dictado el fecha 14 de julio de 1996, que anulaba determinados acuerdos sociales adoptados en el seno de la junta general de la compañía mercantil Filadors de Torredembarra, S.L.</w:t>
      </w:r>
    </w:p>
    <w:p w:rsidR="0025129F" w:rsidRDefault="0025129F" w:rsidP="0025129F">
      <w:pPr>
        <w:pStyle w:val="TextoNormal"/>
      </w:pPr>
      <w:r>
        <w:lastRenderedPageBreak/>
        <w:t>La totalidad de las quejas encuentra acomodo en el derecho a la tutela judicial efectiva (art. 24.1 CE), pero las consecuencias que de la eventual estimación de la aducida incongruencia omisiva pudieran derivarse exigen que nuestro análisis se inicie precisamente con dicha queja, a tenor de la cual la Audiencia Provincial habría vulnerado el derecho a la tutela judicial efectiva sin indefensión por cuanto que, habiéndose alegado expresamente en el escrito de impugnación del recurso de anulación del laudo arbitral la extemporaneidad de éste por haberse rebasado el plazo de diez días previsto para su interposición, el órgano judicial no habría dado respuesta alguna, ni explícita ni implícita, a tal pretensión autónoma, pretensión que además, añade el Ministerio Fiscal en apoyo de este reproche, condicionaba absolutamente el resultado del proceso en la medida en que impedía todo pronunciamiento de fondo sobre las pretensiones de anulación del laudo arbitral que había aducido Filadors de Torredembarra, S.L.</w:t>
      </w:r>
    </w:p>
    <w:p w:rsidR="0025129F" w:rsidRDefault="0025129F" w:rsidP="0025129F">
      <w:pPr>
        <w:pStyle w:val="TextoNormal"/>
      </w:pPr>
    </w:p>
    <w:p w:rsidR="0025129F" w:rsidRDefault="0025129F" w:rsidP="0025129F">
      <w:pPr>
        <w:pStyle w:val="TextoNormal"/>
      </w:pPr>
      <w:r w:rsidRPr="0025129F">
        <w:rPr>
          <w:rStyle w:val="NumeroAFNegritaCaracter"/>
        </w:rPr>
        <w:t>2</w:t>
      </w:r>
      <w:r>
        <w:t>. Para rebatir esta queja Filadors de Torredembarra, S.L, argumenta que la Audiencia Provincial, previo requerimiento para acreditar la fecha de notificación del laudo recurrido, había ya resuelto sobre la tempestividad del recurso de anulación mediante providencia de 26 de febrero de 1997, que, por haber sido consentida por el demandante de amparo, le impide ahora dolerse de una supuesta indefensión que sólo sería imputable a su inactividad procesal, pues habría podido ponerle remedio mediante la interposición de los recursos oportunos.</w:t>
      </w:r>
    </w:p>
    <w:p w:rsidR="0025129F" w:rsidRDefault="0025129F" w:rsidP="0025129F">
      <w:pPr>
        <w:pStyle w:val="TextoNormal"/>
      </w:pPr>
      <w:r>
        <w:t>Pues bien, siendo prioritario el examen de las cuestiones de admisibilidad sobre las de fondo, y estando fuera de toda duda la viabilidad del análisis de los requisitos para la admisión a trámite en el momento de dictar Sentencia (por todas, SSTC 114/1999, de 14 de junio, FJ 2; 129/2000, de 16 de mayo, FJ 2; 185/2000, de 10 de julio, FJ 2; y 33/2001, de 12 de febrero, FJ 2; y 105/2001 de 23 de abril), se hace necesario estudiar si, respecto de la aducida incongruencia omisiva, se agotaron los recursos disponibles en la vía judicial, pues, de no ser así, concurriría respecto de esta queja la causa de inadmisión recogida en el art. 50.1 a) en relación con el art. 44.1 a), ambos de la LOTC. Pues bien, cuando el 13 de marzo de 1998 se dictó la Sentencia de la Audiencia Provincial, ya se encontraba en vigor la Ley Orgánica 5/1997, de 4 de diciembre (posteriormente reformada por la Ley Orgánica 13/1999, de 14 de mayo), que al reformar el art. 240.3 LOPJ, que dio “un giro diametral al régimen legal de la declaración de nulidad de las Sentencias, de modo que lo que en el marco de la redacción precedente del precepto citado no era legal ni constitucionalmente posible, lo es después de la reforma, teniendo en cuenta que el derecho de tutela judicial efectiva, como derecho de configuración legal, puede tener, y de hecho tiene, un contenido distinto en los diferentes momentos históricos, al compás de los cambios de la legalidad que lo configura” (STC 108/1999, de 14 de junio, FJ 2). De conformidad con la redacción vigente en el momento del art. 240.3 LOPJ, quienes fueron parte legítima podrán pedir por escrito la nulidad de actuaciones fundada en la incongruencia en el fallo ante el Juez o Tribunal que dictó la Sentencia o resolución que hubiere adquirido firmeza, en el plazo de veinte días desde la notificación de la Sentencia o resolución o, en todo caso, desde que se tuvo conocimiento del defecto causante de indefensión, sin que, en este último supuesto, pueda solicitarse la nulidad de actuaciones después de transcurridos cinco años desde la notificación de la Sentencia o resolución.</w:t>
      </w:r>
    </w:p>
    <w:p w:rsidR="0025129F" w:rsidRDefault="0025129F" w:rsidP="0025129F">
      <w:pPr>
        <w:pStyle w:val="TextoNormal"/>
      </w:pPr>
      <w:r>
        <w:t xml:space="preserve">Denunciada la incongruencia por los recurrentes, y apoyada por el Ministerio Fiscal, resulta incuestionable que lo procedente era utilizar el remedio procesal de la nulidad de actuaciones con anterioridad a la interposición de la demanda de amparo, pues en nuestra jurisprudencia tenemos establecido que ese es el remedio procesal para reparar la lesión </w:t>
      </w:r>
      <w:r>
        <w:lastRenderedPageBreak/>
        <w:t>presuntamente sufrida en los casos de Sentencias con incongruencia en sus fallos (SSTC 169/1999, de 27 de septiembre, FJ 3; 82/2000, de 27 de marzo, FJ 2; 178/2000, de 26 de junio, FJ 3, entre otras).</w:t>
      </w:r>
    </w:p>
    <w:p w:rsidR="0025129F" w:rsidRDefault="0025129F" w:rsidP="0025129F">
      <w:pPr>
        <w:pStyle w:val="TextoNormal"/>
      </w:pPr>
    </w:p>
    <w:p w:rsidR="0025129F" w:rsidRDefault="0025129F" w:rsidP="0025129F">
      <w:pPr>
        <w:pStyle w:val="TextoNormal"/>
      </w:pPr>
      <w:r w:rsidRPr="0025129F">
        <w:rPr>
          <w:rStyle w:val="NumeroAFNegritaCaracter"/>
        </w:rPr>
        <w:t>3</w:t>
      </w:r>
      <w:r>
        <w:t>. En una segunda queja se denuncia la vulneración del derecho a la tutela judicial efectiva sin indefensión en la medida en que no se apreció la manifiesta extemporaneidad de la demanda de anulación del laudo arbitral, determinando tal errónea apreciación que no se respetase la inmodificabilidad de las resoluciones judiciales firmes. Para ello se argumenta sobre la naturaleza y la incorrecta forma de computar el plazo de diez días establecido en el art. 46.2 de la Ley 36/1988, de 5 de diciembre, de arbitraje de Derecho privado. Ahora bien, la inadmisión de la queja relativa a la incongruencia omisiva ha de llevar consigo la desestimación de la que ahora se estudia, pues se encuentra en íntima conexión con ella. En efecto, al no existir una decisión expresa sobre la extemporaneidad de la demanda de nulidad del laudo arbitral, y al no haberse tratado de remediar tal ausencia mediante el incidente legalmente previsto para ello, resulta imposible ponderar un inexistente razonamiento bajo el canon de arbitrariedad, irrazonabilidad y error patente con que este Tribunal viene enjuiciando las resoluciones judiciales cuando del derecho a la tutela judicial efectiva se trata. Este es, conviene precisarlo, el canon que sería aplicable a una decisión judicial que, no es que cierre el acceso a la jurisdicción (supuesto en el que operaría el principio pro actione), sino que desestima una pretensión de la parte demandada para que así se haga.</w:t>
      </w:r>
    </w:p>
    <w:p w:rsidR="0025129F" w:rsidRDefault="0025129F" w:rsidP="0025129F">
      <w:pPr>
        <w:pStyle w:val="TextoNormal"/>
      </w:pPr>
    </w:p>
    <w:p w:rsidR="0025129F" w:rsidRDefault="0025129F" w:rsidP="0025129F">
      <w:pPr>
        <w:pStyle w:val="TextoNormal"/>
      </w:pPr>
      <w:r w:rsidRPr="0025129F">
        <w:rPr>
          <w:rStyle w:val="NumeroAFNegritaCaracter"/>
        </w:rPr>
        <w:t>4</w:t>
      </w:r>
      <w:r>
        <w:t>. Resta por analizar la primera de las vulneraciones del derecho a la tutela judicial efectiva, según la cual la Sentencia de la Audiencia Provincial, al anular el laudo arbitral habría impedido el acceso a una resolución de fondo sobre las cuestiones debatidas en el propio laudo. Para abordar tal cuestión ha de precisarse que el demandante de amparo ocupaba en el proceso a quo la posición de demandado, de manera que, al no ser él quien instaba el proceso judicial, tampoco puede afirmarse que, de ser cierto que la Sentencia de la Audiencia Provincial no se hubiese pronunciado sobre el fondo de la cuestión debatida, se lesionara su derecho a la tutela judicial efectiva (art. 24.1 CE) en su vertiente de derecho de acceso al proceso. Pero es que además ha de afirmarse que la resolución de la Audiencia Provincial anulando el laudolaudo arbitral resuelve el fondo de la cuestión debatida en el singular recurso de anulación regulado los arts. 45 y siguientes de Ley 36/1988, de 5 de diciembre, de arbitraje de Derecho privado. Es más, la única pretensión que puede hacerse valer en el recurso de anulación es la declaración de nulidad del laudolaudo, y precisamente por alguno de los motivos enumerados en el propio art. 45 de la norma citada, uno de los cuales es acogido en la Sentencia que se impugna.</w:t>
      </w:r>
    </w:p>
    <w:p w:rsidR="0025129F" w:rsidRDefault="0025129F" w:rsidP="0025129F">
      <w:pPr>
        <w:pStyle w:val="TextoNormal"/>
      </w:pPr>
      <w:r>
        <w:t xml:space="preserve">Las anteriores precisiones sitúan la cuestión debatida en la órbita del derecho a la tutela judicial efectiva en su manifestación primaria de derecho a la obtención de una resolución fundada en Derecho. Conocida es nuestra doctrina al respecto, recordada en nuestra reciente STC 109/2000, de 5 de mayo, según la cual el derecho a recibir una resolución fundada en Derecho respecto de la pretensión ejercitada es una garantía frente a la arbitrariedad y a la irrazonabilidad en la actuación de los poderes públicos (SSTC 131/1990, de 16 de julio, FJ 1, y 112/1996, de 24 de junio, FJ 2), por lo que esta exigencia constitucional no puede entenderse cumplida con cualquier fundamentación. Es preciso, hemos dicho, que en la propia resolución se evidencie de modo incuestionable que su razón de ser es una aplicación razonada de las normas que se consideran aplicables al caso (SSTC 23/1987, de 23 de febrero, FJ 3; 18/1987, de 16 de febrero, FJ 2; 154/1997, de 13 de julio, </w:t>
      </w:r>
      <w:r>
        <w:lastRenderedPageBreak/>
        <w:t>FJ 4; y, más recientemente 147/1999, de 4 de agosto, FJ 3). No obstante, la posibilidad de control de las resoluciones judiciales desde la perspectiva constitucional ha de limitarse a la comprobación de la relación directa y manifiesta existente entre la norma que el juzgador declara aplicable y el fallo de la resolución exteriorizada en su argumentación jurídica (STC 112/1996, ya citada, FJ 2). Dicho de otra forma, el artículo 24.1 de la Constitución no ampara el acierto de las resoluciones judiciales; la selección e interpretación de la norma aplicable corresponde en exclusiva a los órganos judiciales, y el control del Tribunal Constitucional ha de limitarse a aquellos supuestos en los cuales la resolución judicial sea manifiestamente infundada, arbitraria, irrazonada, irrazonable o fruto de un error patente, supuestos éstos que hemos llegado a denominar de simple apariencia del ejercicio de la Justicia (SSTC 148/1994, de 12 de mayo FJ 4 y 2/1997, de 22 de abril, FJ 2).</w:t>
      </w:r>
    </w:p>
    <w:p w:rsidR="0025129F" w:rsidRDefault="0025129F" w:rsidP="0025129F">
      <w:pPr>
        <w:pStyle w:val="TextoNormal"/>
      </w:pPr>
      <w:r>
        <w:t>En el caso sometido a nuestra consideración la Sentencia de la Audiencia Provincial anula el laudolaudo arbitral impugnado ofreciendo un razonamiento coherente, hilado y razonable sobre la eficacia de las cláusulas compromisorias incorporadas a los estatutos sociales en relación con la impugnación de acuerdos sociales, estudiando la incidencia que en el estado de tal cuestión jurídica ha podido tener la Ley 36/1988, de 5 de diciembre, de arbitraje de Derecho privado, llegando a la conclusión de que el laudolaudo había recaído sobre materia que no podía ser objeto de arbitraje, y que por tanto tal laudolaudo era nulo por imperio de los arts. 45.4 y 1 de la referida Ley. De ahí que, no siendo tal argumentación irrazonable, arbitraria o patentemente errónea, supera el canon de control a que nos hemos referido.  Este Tribunal no puede entrar a valorar la corrección jurídica de la interpretación de la legalidad ordinaria efectuada por el órgano judicial, cuestión en la que se extiende la demanda y que trata de cobijar en la aducida vulneración del derecho a la tutela judicial efectiva, pues tal función corresponde a los órganos de la jurisdicción ordinaria en el ejercicio exclusivo de la potestad que les reconoce el art. 117.3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recurso de amparo promovido por Alejandro Lamoga Colkorew.</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6" w:name="SENTENCIA_2002_33"/>
      <w:r>
        <w:lastRenderedPageBreak/>
        <w:t>SENTENCIA 33/2002, de 11 de febrero de 2002</w:t>
      </w:r>
    </w:p>
    <w:bookmarkEnd w:id="36"/>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ECLI:ES:TC:2002:33</w:t>
      </w:r>
    </w:p>
    <w:p w:rsidR="0025129F" w:rsidRDefault="0025129F" w:rsidP="0025129F">
      <w:pPr>
        <w:pStyle w:val="SntesisDescriptiva"/>
      </w:pPr>
    </w:p>
    <w:p w:rsidR="0025129F" w:rsidRDefault="0025129F" w:rsidP="0025129F">
      <w:pPr>
        <w:pStyle w:val="SntesisDescriptiva"/>
      </w:pPr>
      <w:r>
        <w:t>Recurso de amparo 4061/1998. Promovido por doña Rosemary Jane Sinclair Reid frente al Auto de la Sala de lo Social del Tribunal Supremo y las Sentencias de la Sala de lo Social del Tribunal Superior de Justicia de Madrid y de un Juzgado de lo Social, que desestimaron su demanda de despido contra Reuters por no haber probado el Derecho extranjero.</w:t>
      </w:r>
    </w:p>
    <w:p w:rsidR="0025129F" w:rsidRDefault="0025129F" w:rsidP="0025129F">
      <w:pPr>
        <w:pStyle w:val="SntesisDescriptiva"/>
      </w:pPr>
    </w:p>
    <w:p w:rsidR="0025129F" w:rsidRDefault="0025129F" w:rsidP="0025129F">
      <w:pPr>
        <w:pStyle w:val="SntesisAnaltica"/>
      </w:pPr>
      <w:r>
        <w:t>Vulneración parcial del derecho a la tutela judicial efectiva: limitación del número de Sentencias en el recurso de casación (Sentencia 89/1998); falta de resolución sobre el fondo por no haber probado el Derecho inglés. Voto particular.</w:t>
      </w:r>
    </w:p>
    <w:p w:rsidR="0025129F" w:rsidRDefault="0025129F" w:rsidP="0025129F">
      <w:pPr>
        <w:pStyle w:val="SntesisAnaltica"/>
      </w:pPr>
    </w:p>
    <w:p w:rsidR="0025129F" w:rsidRDefault="0025129F" w:rsidP="0025129F">
      <w:pPr>
        <w:pStyle w:val="Extracto"/>
      </w:pPr>
      <w:r>
        <w:t>1.</w:t>
      </w:r>
      <w:r>
        <w:tab/>
        <w:t>Ante la falta de prueba del Derecho extranjero (que era la normativa que ambos órganos judiciales consideraban aplicable al caso) se optó por no resolver sobre la pretensión deducida por la actora (calificación de su despido), lo que vulneró el derecho a la tutela judicial efectiva (art. 24.1 CE) [FJ 6].</w:t>
      </w:r>
    </w:p>
    <w:p w:rsidR="0025129F" w:rsidRDefault="0025129F" w:rsidP="0025129F">
      <w:pPr>
        <w:pStyle w:val="Extracto"/>
      </w:pPr>
    </w:p>
    <w:p w:rsidR="0025129F" w:rsidRDefault="0025129F" w:rsidP="0025129F">
      <w:pPr>
        <w:pStyle w:val="Extracto"/>
      </w:pPr>
      <w:r>
        <w:t>2.</w:t>
      </w:r>
      <w:r>
        <w:tab/>
        <w:t>Doctrina sobre el derecho a la tutela judicial en su vertiente de derecho a obtener una resolución sobre el fondo, que es distinto al vicio de incongruencia omisiva [FFJJ 4 y 5].</w:t>
      </w:r>
    </w:p>
    <w:p w:rsidR="0025129F" w:rsidRDefault="0025129F" w:rsidP="0025129F">
      <w:pPr>
        <w:pStyle w:val="Extracto"/>
      </w:pPr>
    </w:p>
    <w:p w:rsidR="0025129F" w:rsidRDefault="0025129F" w:rsidP="0025129F">
      <w:pPr>
        <w:pStyle w:val="Extracto"/>
      </w:pPr>
      <w:r>
        <w:t>3.</w:t>
      </w:r>
      <w:r>
        <w:tab/>
        <w:t>La limitación impuesta por el Tribunal Supremo respecto al número de Sentencias que podían aportarse como contradictorias en el recurso de casación no vulnera el derecho a la tutela judicial efectiva, en su vertiente de acceso al recurso legal (STC 89/1998) [FJ 2].</w:t>
      </w:r>
    </w:p>
    <w:p w:rsidR="0025129F" w:rsidRDefault="0025129F" w:rsidP="0025129F">
      <w:pPr>
        <w:pStyle w:val="Extracto"/>
      </w:pPr>
    </w:p>
    <w:p w:rsidR="0025129F" w:rsidRDefault="0025129F" w:rsidP="0025129F">
      <w:pPr>
        <w:pStyle w:val="Extracto"/>
      </w:pPr>
      <w:r>
        <w:t>4.</w:t>
      </w:r>
      <w:r>
        <w:tab/>
        <w:t>Resulta inadmisible comparar, de una parte, Sentencias del Tribunal Supremo con resoluciones dictadas por diferentes órganos judiciales, y, de otra, una resolución de inadmisión con Sentencias estimatorias del fondo. La identidad del órgano judicial y la existencia de un término de comparación idóneo son requisitos necesarios para poder apreciar la vulneración del principio de igualdad en aplicación de la ley (art. 14 CE; SSTC 25/1999 y 37/2001)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4061/98, promovido por doña Rosemary Jane Sinclair Reid, representada por la Procuradora de los Tribunales doña Silvia Virto Bermejo y bajo la asistencia del Letrado don Esteban Ceca Magan, contra el Auto de la Sala de lo Social del Tribunal Supremo, de 25 de junio de 1998, que inadmite el recurso de casación para la unificación de doctrina (núm. 74/98) interpuesto contra Sentencia de la Sala de lo Social del Tribunal Superior de Justicia de Madrid, de 30 de octubre de 1997, por la que se desestima el recurso de suplicación (núm. (893/97) contra Sentencia del Juzgado de lo Social núm. 7 de Madrid, de 8 de noviembre de 1996, recaída en proceso sobre despido (autos 578/96). Ha comparecido Reuters Television Limited y Reuters España, S.A., representadas por el Procurador don Juan Ignacio Ávila del Hierro y asistidos por el Abogado don Martín Godino Reyes. Ha intervenido el Ministerio Fiscal.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día 28 de septiembre de 1998 la Procuradora doña Silvia Virto Bermejo, en nombre y representación doña Rosemary Jane Sanclair Reid, interpuso demanda de amparo constitucional contra las resoluciones judiciales de que se hace mérito en el encabezamiento por entender que vulneran los arts. 14 y 24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 amparo tiene su origen en los siguientes hechos: </w:t>
      </w:r>
    </w:p>
    <w:p w:rsidR="0025129F" w:rsidRDefault="0025129F" w:rsidP="0025129F">
      <w:pPr>
        <w:pStyle w:val="TextoNormal"/>
      </w:pPr>
      <w:r>
        <w:t>a) Con fecha 1 de junio de 1988 doña Rosemary Jane Sinclair Reid, recurrente en amparo, comenzó a prestar sus servicios como Directora Adjunta para Latinoamérica en la empresa Visnews Ltd-Reuters Television Limited. Sin solución de continuidad, en el mes de enero de 1992 se suscribió entre ambas partes un nuevo contrato como Directora de Ventas y Relaciones Internacionales de la Península Ibérica, en el que la empresa se reservó el derecho a poner término a la relación establecida previo aviso así como a cambiar la ubicación del puesto de trabajo de la señora Sinclair Reid, y se estipuló (“condición” 23) que el contrato se regiría por las leyes inglesas y estaría sujeto a la jurisdicción no exclusiva de los tribunales ingleses. Finalmente se designó en el mes de mayo de 1994 a doña Rosemary Jane Sinclair Reid Directora de Mercados de Medios de Comunicación en Reuter España, S.A., en el centro de trabajo de esta empresa sito en Madrid. A finales de abril de 1996 Reuter Television Ltd. inició conversaciones con la Sra. Sinclair Reid para negociar su regreso a Londres, ofreciéndosele al efecto un contrato fechado el 15 de abril, que no aceptó fundamentalmente debido al salario en libras que se le propuso. Posteriormente doña Rosemary Jane Sinclair Reid recibió el día 30 de mayo una carta de la empresa por la que se le comunicaba que debía presentarse en su nuevo puesto de trabajo de Londres el día 3 de junio siguiente, decisión respecto a la que manifestó su disconformidad, así como su intención de seguir prestando sus servicios en España. Ante ello la empresa le volvió a reiterar que su traslado temporal en Madrid se daba por finalizado, que debía presentarse en Londres el día 3 de junio, y que, de no hacerlo, su incumplimiento contractual sería constitutivo de causa de despido. Así las cosas, a primeros del mes de junio, doña Rosemary Jane Sinclair Reid envió a Londres tres informes médicos en los que se indicaba el seguimiento que se le había efectuado desde hacía dos años por episodios de mareos y pérdidas de conocimiento, al parecer relacionados con tensión en el tra</w:t>
      </w:r>
      <w:r>
        <w:lastRenderedPageBreak/>
        <w:t xml:space="preserve">bajo, en los cuales se manifestaba que su situación se había agravado en los días siguientes al 30 de mayo, por lo que se le recomendaba descansar. Recibidos los mencionados informes por la empresa, con fecha de 6 de junio se dirigió nuevamente a la Sra. Sinclair Reid al objeto de que aportarse los justificantes médicos relativos a su ausencia en el trabajo, recordándole, una vez más, que su traslado a España había concluido el día 31 de mayo de 1996, y que, en consecuencia, debía prestar sus servicios en el Reino Unido. Doña Rosemary Jane Sinclair Reid no presentó los justificantes médicos requeridos, ni tampoco acudió a trabajar, personándose el día 3 de julio de 1996 en las oficinas de la empresa en Madrid, donde se le informó que no podía incorporarse a su trabajo en ese centro. Finalmente el siguiente día 5 se le entregó carta en la cual se le comunicaba la rescisión de su contrato como Directora de Mercados de Medios de Comunicación para España y Portugal con efectos desde esa misma fecha, por falta de confianza en su trabajo, poniendo a su disposición la indemnización y pagos correspondientes al período de preaviso. </w:t>
      </w:r>
    </w:p>
    <w:p w:rsidR="0025129F" w:rsidRDefault="0025129F" w:rsidP="0025129F">
      <w:pPr>
        <w:pStyle w:val="TextoNormal"/>
      </w:pPr>
      <w:r>
        <w:t xml:space="preserve">b) Con fecha de 13 de agosto de 1996, doña Rosemary Jane Sinclair Reid presentó demanda por despido frente a Reuters Television Limited y Reuter España, S.A., demanda que fue desestimada por Sentencia del Juez de lo Social núm. 7 de Madrid, de 8 de noviembre de 1996, en la que se declaró que, conforme a lo dispuesto en los arts. 1.4 del Estatuto de los Trabajadores de 1995 y 10.6 del Código Civil, el contrato y la relación laboral existente entre la actora y la demandada se encontraban sujetos a la legislación inglesa, y que en virtud de ese contrato (firmado en Londres entre una trabajadora extranjera y una empresa extranjera) la demandante había sido destinada a nuestro país, adquiriendo la condición de “internacional” o “expatriada”, es decir, de trabajadora desplazada, gozando de todos los beneficios inherentes a ella. Por lo tanto el hecho de que durante su permanencia en nuestro país se constituyera una nueva empresa del grupo, Reuter España, S.A., y fuera “designada” a dicha empresa, no implicaba su sometimiento a la legislación española ni la pérdida de su condición de “desplazada”, máxime cuando se había pactado entre las partes que, en el caso de no encontrar un puesto alternativo en la compañía al concluir la mencionada designación, se la repatriaría al Reino Unido, donde serían aplicables las disposiciones locales para la separación de la compañía basadas en el salario nacional de la demandante. De todo cuanto antecede el Juez concluyó que resultaba aplicable a la relación laboral examinada la legislación inglesa y, por consiguiente, que pesaba sobre el actor la carga de acreditar el contenido y la vigencia del Derecho de su país en la impugnación del despido efectuado por la demandada, señalando que la falta del cumplimiento de tal carga probatoria no podía implicar la aplicación de la ley española, pues ello supondría beneficiar a quien incurrió en una omisión probatoria. En consecuencia fue desestimada la demanda por haber omitido la demandante la prueba del contenido y vigencia del Derecho aplicable a la relación laboral considerada. </w:t>
      </w:r>
    </w:p>
    <w:p w:rsidR="0025129F" w:rsidRDefault="0025129F" w:rsidP="0025129F">
      <w:pPr>
        <w:pStyle w:val="TextoNormal"/>
      </w:pPr>
      <w:r>
        <w:t xml:space="preserve">c) Contra la anterior resolución judicial interpuso la parte actora recurso de suplicación (núm. 893/97), en el que además de pretender la revisión fáctica de determinados hechos probados, solicitaba que la Sala declarase la aplicabilidad de la legislación española a su relación laboral, dado que, a su entender, su contrato se extinguió en junio de 1994, momento en el cual comenzó una nueva relación laboral al iniciar su prestación de servicios en España para Reuter España, S.A. En cuanto al sometimiento expreso de ambas partes a la legislación inglesa, sostenía que éste no puede impedir la aplicación de ciertas normas imperativas (leyes de policía o de orden público) que son directamente aplicables a todo trabajo que se desarrolle en España, con independencia de la ley que rija el contrato. Finalmente mantenía que, suponiendo que fuese aplicable la normativa inglesa, la parte demandada nunca acreditó su contenido y vigencia, ni el carácter de más favorable de la </w:t>
      </w:r>
      <w:r>
        <w:lastRenderedPageBreak/>
        <w:t xml:space="preserve">norma extranjera, recayendo sobre dicha parte (que fue quien la alegó) la carga de la prueba; que, en todo caso, al no haberse acreditado tales extremos, debió haber procedido el Juez a averiguar el contenido de la normativa que, supuestamente, hubiera sido de aplicación; y que, no habiéndose hecho así, se había vulnerado el art. 24 CE. Por todo lo cual, concluía solicitando la revocación y declaración de nulidad de la Sentencia de instancia, y que se retrotrajeran las actuaciones al momento anterior a dictarse ésta para que el Juez procediese a aplicar las procedentes normas sustantivas o materiales, fueran españolas o extranjeras, al caso de autos; y, subsidiariamente, respecto al fondo, que se estimara la demanda declarando la improcedencia del despido. </w:t>
      </w:r>
    </w:p>
    <w:p w:rsidR="0025129F" w:rsidRDefault="0025129F" w:rsidP="0025129F">
      <w:pPr>
        <w:pStyle w:val="TextoNormal"/>
      </w:pPr>
      <w:r>
        <w:t xml:space="preserve">d) El recurso fue desestimado por Sentencia de la Sala de lo Social del Tribunal Superior de Justicia de Madrid, de 30 de octubre de 1997, que, tras desestimar las revisiones fácticas solicitadas, declaró que resultaba irrefutable la existencia de un grupo de empresas de implantación internacional, la duración temporal del desplazamiento de la actora a España, la posibilidad de la empresa de repatriarla al Reino Unido una vez concluida la designación, y la vinculación de la actora al grupo empresarial, todo lo cual evidenciaba que la valoración del Juzgador de instancia había sido la correcta. En cuanto a la normativa aplicable al caso de autos la Sala confirmó lo decidido en la instancia al considerar que la legislación aplicable era la inglesa, que había sido la libremente pactada por las partes sin que se pudiesen calificar las normas laborales como, según pretendía la recurrente, normas de “policía”, pues era preciso efectuar una interpretación estricta y restrictiva de ese concepto, que solamente comprendía las disposiciones legales de Derecho necesario. Finalmente, considerando acertada la decisión del Juez a quo de aplicar la legislación inglesa, desestimó el recurso en su integridad, sin entrar a conocer sobre el fondo al haber incumplido la actora la obligación de acreditar el contenido y la vigencia del Derecho aplicable. </w:t>
      </w:r>
    </w:p>
    <w:p w:rsidR="0025129F" w:rsidRDefault="0025129F" w:rsidP="0025129F">
      <w:pPr>
        <w:pStyle w:val="TextoNormal"/>
      </w:pPr>
      <w:r>
        <w:t>e) Contra la anterior Sentencia, la parte actora interpuso recurso de casación para la unificación de doctrina (núm. 74/1998), que fue inadmitido en Auto de la Sala de lo Social del Tribunal Supremo, de 25 de junio de 1998, por falta de contradicción entre las resoluciones judiciales a las que se hacía referencia en el recurso.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Con fundamento en ese itinerario procesal la recurrente alega en su demanda de amparo que la Sentencia del Juzgado de lo Social núm. 7 de Madrid de 8 de noviembre de 1996, la Sentencia de la Sala de lo Social del Tribunal Superior de Justicia de Madrid de 30 de octubre de 1997 y el Auto de la Sala de lo Social del Tribunal Supremo de 25 de junio de 1998 han vulnerado el art. 14 CE y el art. 24 CE. En primer lugar la parte recurrente sostiene la infracción del derecho a la tutela judicial efectiva (art. 24.1 CE), en su manifestación del derecho de acceso al recurso, imputándolo a la providencia de la Sala de lo Social del Tribunal Supremo de 27 de enero de 1998 que le requirió para que escogiera una entre las varias Sentencias de contraste propuestas en su escrito de formalización del recurso de casación para la unificación de doctrina, al entender que se trata de “una decisión no fundada en Derecho, caprichosa, ilegal e injusta”, que interpretó de forma rigorista y contraria al art. 24.1 CE los presupuestos procesales contenidos en los arts. 217 y 222 de la Ley de Procedimiento Laboral, lo que le había generado una manifiesta indefensión. En segundo término denuncia la lesión del principio de igualdad en la aplicación de la ley por parte del Auto de 25 de junio de 1998 del Tribunal Supremo, dado que en anteriores resoluciones dictadas en casos sustancialmente idénticos (SSTS 10 de diciembre de 1990 y 31 de diciembre de 1991) se había declarado aplicable el Derecho español en lugar del Derecho extranjero. Asimismo también considera que las Sentencias dictadas por el Tribunal Superior de Justicia y el Juez de lo Social lesionaron el mencionado principio de igualdad </w:t>
      </w:r>
      <w:r>
        <w:lastRenderedPageBreak/>
        <w:t>al haberse apartado de la jurisprudencia del Tribunal Supremo. Finalmente, y en tercer lugar, sostiene que las tres resoluciones judiciales impugnadas han lesionado su derecho a la tutela judicial efectiva (art. 24.1 CE) al denegarle una resolución sobre el fondo, ya que lo único que hacen es declarar aplicable, de forma errónea, el Derecho inglés, haciéndole soportar (pese a que nunca alegó tal Derecho, sino el español) las consecuencias de la falta de prueba del Ordenamiento jurídico inglés, sin llegar a manifestarse sobre el fondo de la cuestión planteada (nulidad o improcedencia del despido), por lo que generan una situación de indefensión al no haberle dado la oportunidad de probar el Derecho extranjero.</w:t>
      </w:r>
    </w:p>
    <w:p w:rsidR="0025129F" w:rsidRDefault="0025129F" w:rsidP="0025129F">
      <w:pPr>
        <w:pStyle w:val="TextoNormal"/>
      </w:pPr>
    </w:p>
    <w:p w:rsidR="0025129F" w:rsidRDefault="0025129F" w:rsidP="0025129F">
      <w:pPr>
        <w:pStyle w:val="TextoNormal"/>
      </w:pPr>
      <w:r w:rsidRPr="0025129F">
        <w:rPr>
          <w:rStyle w:val="NumeroAFNegritaCaracter"/>
        </w:rPr>
        <w:t>4</w:t>
      </w:r>
      <w:r>
        <w:t>. La Sala Segunda, por providencia de 8 de junio de 1999, admitió a trámite la demanda y, en aplicación del art. 51 LOTC, acordó dirigir comunicación a las Salas de lo Social del Tribunal Supremo y del Tribunal Superior de Justicia de Madrid, así como al Juzgado de lo Social núm. 7 de Madrid, a fin de que en el plazo de diez días remitiesen certificación o fotocopia adverada de las actuaciones correspondientes; y emplazaran a quienes hubiesen sido parte en el procedimiento, excepto la parte recurrente en amparo, a los efectos de que en el plazo de diez días pudieran comparecer en el recurso de amparo y defender sus derechos.</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de 13 de julio de 1999 se personó la representación procesal de Reuters Television Limited y de Reuters España, S.A., y por providencia de la Sala Segunda, de 19 de julio de 1999, se la tuvo por personada y parte en el procedimiento, acordando, conforme al art. 52.1 LOTC, dar vista de las actuaciones recibidas a las partes y al Ministerio Fiscal por plazo común de veinte días.</w:t>
      </w:r>
    </w:p>
    <w:p w:rsidR="0025129F" w:rsidRDefault="0025129F" w:rsidP="0025129F">
      <w:pPr>
        <w:pStyle w:val="TextoNormal"/>
      </w:pPr>
    </w:p>
    <w:p w:rsidR="0025129F" w:rsidRDefault="0025129F" w:rsidP="0025129F">
      <w:pPr>
        <w:pStyle w:val="TextoNormal"/>
      </w:pPr>
      <w:r w:rsidRPr="0025129F">
        <w:rPr>
          <w:rStyle w:val="NumeroAFNegritaCaracter"/>
        </w:rPr>
        <w:t>6</w:t>
      </w:r>
      <w:r>
        <w:t>. Con fecha de 8 de septiembre de 1999 la representación procesal de la parte recurrente presentó su escrito de alegaciones, ratificándose en las mantenidas con anterioridad en su recurso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Por escrito de 17 de septiembre de 1999 la representación procesal de las empresas demandadas presentó su escrito de alegaciones, en el que solicita la denegación del amparo. En cuanto al primer motivo del recurso (la vulneración del derecho a la tutela judicial efectiva, en su vertiente de acceso al recurso, por haberse exigido a la actora que seleccionara una de las Sentencias aportadas como de contraste en el escrito de formalización del recurso de casación para la unificación de doctrina), sostiene que no debe prosperar, en tanto en cuanto lo que se recurre a través de él no es el Auto del Tribunal Supremo contra el que se interpone el recurso de amparo, sino la providencia de 27 de enero de 1998 por la que se obliga a elegir una sola de las Sentencias aportadas, frente a la que la recurrente podía haber interpuesto recurso de súplica. También se insta la desestimación de este motivo del recurso dado que, conforme a la doctrina constitucional (SSTC 89/1998 y 131/1998), las razones esgrimidas por la Sala Cuarta del Tribunal Supremo para limitar el número de Sentencias que pueden aportarse para acreditar la contradicción de la doctrina como requisito legal de acceso al recurso de casación para su unificación no resultan contrarias al art. 24 CE. Por lo que respecta al segundo motivo (la vulneración del principio de igualdad en aplicación de la ley —art. 14 CE—) se afirma que la recurrente tan sólo plantea una cuestión de legalidad ordinaria, pues pretende únicamente justificar la existencia de contradicción entre la Sentencia impugnada y la de contraste, tal y como hizo en el recurso de casación por unificación de doctrina. Además se añade que no se cumplen en el </w:t>
      </w:r>
      <w:r>
        <w:lastRenderedPageBreak/>
        <w:t>caso de autos los requisitos exigidos por la doctrina constitucional para poder apreciar la lesión del principio de igualdad en aplicación de la ley, al tratarse de Sentencias dictadas por distintos Tribunales, al no resolverse en ellas supuestos sustancialmente idénticos, tal y como razona el Auto de inadmisión, y al serle de aplicación sólo a la Sentencia impugnada el Convenio de Roma sobre la ley aplicable a las obligaciones contractuales de 19 de junio de 1980, que entró en vigor en nuestro país el 1 de septiembre de 1993. Finalmente, en cuanto al tercer motivo del recurso (la vulneración del art. 24.1 CE por no resolver las resoluciones impugnadas sobre el fondo del asunto), señala que también en este caso se plantea una cuestión de legalidad ordinaria, dado que lo que realmente combate la parte actora es la argumentación que contienen las mencionadas Sentencias sobre la carga de la prueba, y, en concreto, sobre la obligación de aquélla de probar el contenido de la ley inglesa, que es la que resulta aplicable al caso. Concluye afirmando que, una vez constatada por el órgano judicial cuál era la ley aplicable, le correspondía acreditarla a quien ejercitaba la acción (la trabajadora), y que la parte demandada debía acreditar únicamente (en oposición a la demanda) que la ley aplicable no era la española, sino la inglesa, pero en ningún caso demostrar su contenido.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Con fecha de 8 de octubre de 1999 presenta su escrito de alegaciones el Ministerio Público. </w:t>
      </w:r>
    </w:p>
    <w:p w:rsidR="0025129F" w:rsidRDefault="0025129F" w:rsidP="0025129F">
      <w:pPr>
        <w:pStyle w:val="TextoNormal"/>
      </w:pPr>
      <w:r>
        <w:t xml:space="preserve">En cuanto al primer motivo del recurso (vulneración del derecho a la tutela judicial efectiva en su vertiente de acceso al recurso), si bien comienza planteando la posible falta de agotamiento de la vía judicial al no haber sido recurrida la providencia de la Sala de lo Social del Tribunal Supremo de 27 de enero de 1998, concluye negándola, puesto que la resolución de la que cabe deducir la eventual lesión no es la citada providencia, sino el Auto por el que se acordó la inadmisión del recurso (cita al efecto la STC 89/1998). En cuanto al fondo el Fiscal manifiesta que procede la desestimación de ese primer motivo de amparo, puesto que, conforme a reiterada doctrina constitucional (SSTC 37/1995; 39/1998, 89/1998 y 131/1998), la exigencia de la Sala de que el recurrente seleccione una de las Sentencias de contraste constituye una interpretación razonable de los requisitos legales de acceso al recurso, que en modo alguno provoca su indefensión. </w:t>
      </w:r>
    </w:p>
    <w:p w:rsidR="0025129F" w:rsidRDefault="0025129F" w:rsidP="0025129F">
      <w:pPr>
        <w:pStyle w:val="TextoNormal"/>
      </w:pPr>
      <w:r>
        <w:t xml:space="preserve">Por lo que se refiere al segundo de los motivos del recurso (vulneración del principio de igualdad en aplicación de la ley) se propone también su desestimación, en tanto en cuanto la Sala de lo Social del Tribunal Supremo apreció de forma razonada y razonable la falta de contradicción entre la Sentencia propuesta como de contraste y la impugnada. Asimismo tampoco entiende que se haya producido vulneración alguna del principio por las Sentencias dictadas por los órganos judiciales inferiores, en tanto en cuanto la parte actora sólo estaría denunciando una simple inobservancia de los criterios de la jurisprudencia existentes respecto a la controversia planteada. </w:t>
      </w:r>
    </w:p>
    <w:p w:rsidR="0025129F" w:rsidRDefault="0025129F" w:rsidP="0025129F">
      <w:pPr>
        <w:pStyle w:val="TextoNormal"/>
      </w:pPr>
      <w:r>
        <w:t>Finalmente el Ministerio público se detiene en el análisis del tercer y último motivo del recurso (vulneración del derecho a la tutela judicial efectiva, entendida ésta como el derecho a obtener un pronunciamiento judicial de fondo, motivado y congruente con la pretensión ejercitada), y comienza puntualizando que “la cuestión no reside en determinar si al supuesto de autos le era aplicable el Derecho inglés o el español, o si los Tribunales, en contra del criterio legal sobre la carga de la prueba contenido en el art. 1214 CC, habían invertido el mismo, de tal manera que hicieran recaer sobre la actora la prueba de la aplicabilidad del derecho extranjero que aquélla no postulaba, pues tales circunstancias, en definitiva, no pasarían de constituir una razón de mera legalidad ordinaria, no susceptible de revisión constitucional a menos que el razonamiento judicial expuesto hubiere resulta</w:t>
      </w:r>
      <w:r>
        <w:lastRenderedPageBreak/>
        <w:t>do arbitrario o manifiestamente irrazonable”. Entiende el Fiscal que lo realmente relevante es que en el presente caso el litigio no había quedado resuelto, y que la falta absoluta de pronunciamiento sobre la cuestión jurídica debatida podría suponer la negación del derecho a la tutela judicial efectiva por incongruencia omisiva de la Sentencia. Partiendo de esta premisa básica aprecia que desde el inicio del procedimiento la demandante había venido sosteniendo la aplicabilidad del Derecho español a su relación jurídica, mientras que fueron las empresas demandadas las que, apoyándose en la cláusula expresa de sometimiento al Derecho inglés, sostuvieron la aplicación de este Derecho extranjero. Prosigue el Ministerio público afirmando que, dado que los órganos judiciales intervinientes habían apreciado su propia jurisdicción para atribuirse el conocimiento de la litis, era evidente que únicamente a ellos debía corresponder el enjuiciamiento y la emisión de una resolución de fondo sobre la pretensión ejercitada, es decir, la decisión motivada de si procedía o no la declaración de despido nulo, ya lo fuere conforme a la legislación española (a su entender aplicable al caso, conforme a lo que dispone el art. 10.6 CC, por tener carácter imperativo) o de acuerdo con el Derecho inglés (tal y como lo entendían los citados órganos), pero que en todo caso el eje central de la cuestión residiría en la necesidad de que los órganos judiciales hubieran tomado una decisión sobre aquélla y resuelto sobre la pretensión ejercitada. Sin embargo, prosigue diciendo el Fiscal, se ciñeron a declarar que el Derecho español no era el aplicable y, como tampoco lo era el inglés porque su adecuación al caso concreto no había sido acreditada por la actora, se habían limitado a absolver a las empresas codemandadas, sin entrar en el fondo de la cuestión. En consecuencia el Ministerio público mantiene la existencia de una real y efectiva negación del derecho a la tutela judicial efectiva (art. 24.1 CE), al haber incurrido en el vicio de incongruencia omisiva tanto la Sentencia del Juzgado de lo Social como la del Tribunal Superior de Justicia, solicitando, por tal motivo, el otorgamiento parcial del amparo y el reconocimiento a la recurrente de su derecho fundamental.</w:t>
      </w:r>
    </w:p>
    <w:p w:rsidR="0025129F" w:rsidRDefault="0025129F" w:rsidP="0025129F">
      <w:pPr>
        <w:pStyle w:val="TextoNormal"/>
      </w:pPr>
    </w:p>
    <w:p w:rsidR="0025129F" w:rsidRDefault="0025129F" w:rsidP="0025129F">
      <w:pPr>
        <w:pStyle w:val="TextoNormal"/>
      </w:pPr>
      <w:r w:rsidRPr="0025129F">
        <w:rPr>
          <w:rStyle w:val="NumeroAFNegritaCaracter"/>
        </w:rPr>
        <w:t>9</w:t>
      </w:r>
      <w:r>
        <w:t>. Con fecha de 2 de febrero de 2000, la representación procesal de la parte recurrente presentó escrito solicitando que se incorporase a los autos la Sentencia de 8 de noviembre de 1999 del Tribunal de Trabajo de Stratford, que se adjuntaba, y que, a su juicio, confirmaba la indefensión que las resoluciones judiciales recurridas le habían generado, en la medida en que los tribunales británicos habían negado su competencia para conocer de esta litis y habían declarado que la trabajadora prestaba “de ordinario” sus servicios en España. Y por providencia de 10 de febrero de 2000 de la Sala Segunda se acordó unir a las actuaciones el mencionado escrito y dar traslado del mismo a las partes personadas.</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7 de febrero de 2002 se señaló para deliberación y fallo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demanda de amparo se dirige tanto contra el Auto de la Sala de lo Social del Tribunal Supremo, de 25 de junio de 1998, que inadmitió el recurso de casación para la unificación de doctrina, como contra las Sentencias de la Sala de lo Social del Tribunal Superior de Justicia de Madrid, de 30 de octubre de 1997, y del Juzgado de lo Social núm. 7 de Madrid, de 8 de noviembre de 1996, que desestimaron su pretensión (declaración de nulidad o improcedencia de su despido) por haber omitido la demandante la prueba del conte</w:t>
      </w:r>
      <w:r>
        <w:lastRenderedPageBreak/>
        <w:t>nido y vigencia del Derecho realmente aplicable a su relación laboral (la legislación laboral inglesa).</w:t>
      </w:r>
    </w:p>
    <w:p w:rsidR="0025129F" w:rsidRDefault="0025129F" w:rsidP="0025129F">
      <w:pPr>
        <w:pStyle w:val="TextoNormal"/>
      </w:pPr>
      <w:r>
        <w:t>Siguiendo el orden de vulneraciones expuesto por la parte recurrente, se alega, en primer término, que se ha producido la violación del derecho a la tutela judicial efectiva en su vertiente de derecho de acceso al recurso al habérsele exigido por la Sala de lo Social del Tribunal Supremo (a través de la providencia de 27 de enero de 1998) la elección de sólo una de las Sentencias aportadas como de contraste, lo que, a su juicio, ha supuesto una interpretación de los requisitos de acceso al recurso en exceso rigorista y contraria al art. 24.1 CE. En segundo lugar la actora denuncia la violación del principio de igualdad en la aplicación de la ley (art. 14 CE), tanto por el Auto de la Sala de lo Social del Tribunal Supremo de 25 de junio de 1998, al haber decidido de forma distinta respecto a resoluciones dictadas con anterioridad en supuestos idénticos, como por las dos Sentencias impugnadas, al apartarse de la jurisprudencia del Tribunal Supremo. En tercer y último lugar imputa a las dos Sentencias recurridas (y también al Auto de inadmisión, en la medida en la que declara la firmeza de la Sentencia impugnada) la lesión del derecho a la tutela judicial efectiva (art.  24.1 CE), en concreto del derecho a obtener un pronunciamiento sobre el fondo, en cuanto, dejando imprejuzgada su pretensión (declaración de nulidad o improcedencia del despido), se limitaron a desestimarla porque resultaba aplicable al caso la legislación inglesa y la demandante había omitido la prueba de su contenido y vigencia.</w:t>
      </w:r>
    </w:p>
    <w:p w:rsidR="0025129F" w:rsidRDefault="0025129F" w:rsidP="0025129F">
      <w:pPr>
        <w:pStyle w:val="TextoNormal"/>
      </w:pPr>
      <w:r>
        <w:t>Por el contrario las empresas demandadas niegan la vulneración de los derechos fundamentales invocados: el primero de ellos (derecho de acceso al recurso), tanto por falta de agotamiento de la vía previa (al imputarse la lesión a una providencia, susceptible de recurso) como con base a la doctrina de este Tribunal, según la cual la exigencia de selección de una sola de las Sentencias de contraste impuesta por la Sala de lo Social del Tribunal Supremo no vulnera el art. 24 CE; el segundo (principio de igualdad en aplicación de la ley) por el incumplimiento de los requisitos exigidos por la doctrina constitucional para poder apreciar su lesión; y el tercero (derecho a obtener una resolución sobre el fondo) porque la actora plantea una cuestión de legalidad al mostrar simplemente su disconformidad con las resoluciones impugnadas que declaran que la carga de la prueba del Derecho aplicable al caso recae sobre ella.</w:t>
      </w:r>
    </w:p>
    <w:p w:rsidR="0025129F" w:rsidRDefault="0025129F" w:rsidP="0025129F">
      <w:pPr>
        <w:pStyle w:val="TextoNormal"/>
      </w:pPr>
      <w:r>
        <w:t>Por su parte el Ministerio público, respecto al primer motivo del recurso, sostiene que no puede apreciarse la falta de agotamiento en este caso, en tanto en cuanto la eventual lesión es deducible del Auto de inadmisión y no de la providencia citada, y, refiriéndose posteriormente al fondo, aduce que la decisión de la Sala de exigir la selección de una sólo de las Sentencias aportadas de contraste constituye una interpretación razonable de los requisitos de acceso al recurso. También propone la desestimación del segundo de los motivos por considerar que la Sala, al inadmitir el recurso de casación para la unificación de doctrina, apreció razonada y razonablemente la falta de contradicción, y que, respecto a la presunta lesión del art. 14 CE por las Sentencias impugnadas, la parte actora denuncia simplemente una mera inobservancia de la doctrina jurisprudencial, lo que no produce lesión alguna del derecho invocado.  Finalmente, y en cuanto al último motivo del recurso, el Fiscal propone la estimación de la demanda al mantener que la falta de pronunciamiento sobre la cuestión jurídica debatida lesiona el derecho a la tutela judicial efectiva (art. 24.1 CE) por incongruencia omisiva de las Sentencias, pues ni la dictada por el Juzgado de lo Social, ni la recaída posteriormente en suplicación, se pronunciaron sobre la pretensión ejercitada, es decir, sobre si el despido de la actora era nulo o improcedente, limitándose exclusivamente a declarar que el Derecho aplicable al caso era el inglés, y que a aquélla correspondía haberlo probado.</w:t>
      </w:r>
    </w:p>
    <w:p w:rsidR="0025129F" w:rsidRDefault="0025129F" w:rsidP="0025129F">
      <w:pPr>
        <w:pStyle w:val="TextoNormal"/>
      </w:pPr>
    </w:p>
    <w:p w:rsidR="0025129F" w:rsidRDefault="0025129F" w:rsidP="0025129F">
      <w:pPr>
        <w:pStyle w:val="TextoNormal"/>
      </w:pPr>
      <w:r w:rsidRPr="0025129F">
        <w:rPr>
          <w:rStyle w:val="NumeroAFNegritaCaracter"/>
        </w:rPr>
        <w:t>2</w:t>
      </w:r>
      <w:r>
        <w:t>. En su demanda de amparo la recurrente alega, en primer lugar, la vulneración del derecho a la tutela judicial efectiva (art. 24.1 CE) en su vertiente de acceso al recurso, lesión que, al imputarse a la providencia de la Sala de lo Social del Tribunal Supremo de 27 de enero de 1998, plantea la cuestión de su posible inadmisión por falta de agotamiento de la vía judicial [art. 44.1 a) en relación con el art. 50.1 a) LOTC] al tratarse de una resolución susceptible de recurso que la actora no impugnó.  El análisis de este posible óbice ha de llevarnos a considerar cumplido el mencionado requisito de acceso al amparo en cuanto la denunciada lesión constitucional se ha de entender referida al Auto de la Sala de lo Social del Tribunal Supremo de 25 de junio de 1998, que fue el que, en definitiva, inadmitió el recurso de casación para la unificación de doctrina interpuesto por la parte actora. Ciertamente el requerimiento contenido en la mencionada providencia no produjo, por sí solo, ningún efecto sobre la posición procesal del recurrente, como tampoco pudo vulnerar de modo directo el derecho de acceso al recurso, pues fue la resolución judicial que acordó la inadmisión del recurso, por falta, precisamente, de contradicción entre la Sentencia impugnada y la aportada de contraste, la que produjo la restricción denunciada en amparo al revelarse como susceptible de impedir el acceso a la unificación de doctrina, de modo que sólo con ella se produce un efecto real en la posición procesal del recurrente (por todas, SSTC 30/1986, de 20 de febrero, FJ 3, y 89/1998, de 21 de abril, FJ 2).</w:t>
      </w:r>
    </w:p>
    <w:p w:rsidR="0025129F" w:rsidRDefault="0025129F" w:rsidP="0025129F">
      <w:pPr>
        <w:pStyle w:val="TextoNormal"/>
      </w:pPr>
      <w:r>
        <w:t>En consecuencia debe abordarse el análisis de la lesión denunciada, es decir, si la limitación impuesta por el Tribunal Supremo respecto al número de Sentencias que podían aportarse como contradictorias vulnera el derecho a la tutela judicial efectiva en su vertiente de acceso al recurso.  Pues bien, como ha tenido ocasión de manifestar este Tribunal con anterioridad, el Tribunal Supremo (al cual corresponde la interpretación última de las normas legales, ex art. 123.1 CE) ha sustentado la mencionada limitación en la consideración de otros intereses y derechos con consistencia jurídica propia, como son la necesidad de preservar el principio de celeridad del proceso laboral, el cuidado y la corrección en el cumplimiento del requisito relativo a la relación precisa y circunstanciada de la contradicción alegada y, fundamentalmente, la garantía para la parte recurrida —por la que también debe velar el órgano judicial— de que ni sufrirá dilaciones innecesarias en la tramitación del recurso y, sobre todo, de que no asumirá la carga de impugnar, para la defensa de sus propios derechos, la existencia de contradicción con todas y cada una de las Sentencias que el recurrente desee aportar.</w:t>
      </w:r>
    </w:p>
    <w:p w:rsidR="0025129F" w:rsidRDefault="0025129F" w:rsidP="0025129F">
      <w:pPr>
        <w:pStyle w:val="TextoNormal"/>
      </w:pPr>
      <w:r>
        <w:t>Tales argumentos, que no carecen de razonabilidad ni resultan arbitrarios, canon que rige el control del acceso a los recursos en nuestra jurisdicción (por todas, SSTC 57/2000, de 28 de febrero, FJ 4, y 258/2000, de 30 de octubre, FJ 2), tampoco afectan al derecho de defensa de la parte ya que, como el propio Tribunal Supremo ha mantenido, la limitación a los efectos de acreditar el presupuesto de acceso al recurso no impide la alegación, aportación ni cita de cuantas Sentencias desee el recurrente para fundamentar luego la infracción legal o de jurisprudencia que sustenta este recurso extraordinario y excepcional, como tampoco vulnera aquel derecho la opción subsidiaria por la Sentencia más moderna para el caso de que aquél no realice la selección, ya que el órgano judicial habrá preservado en cualquier caso la prioridad de aquél en la tarea de escoger la resolución contradictoria que considere que sirve más adecuadamente al cumplimiento del presupuesto procesal y, en definitiva, a la defensa de los intereses y derechos legítimos que se ventilan en el recurso. Por todo lo cual, la interpretación del Tribunal Supremo responde a una finalidad legítima acorde con la naturaleza misma del recurso de casación para la unificación de doctrina, de la que no deriva para el recurrente ninguna vulneración constitucional, puesto que, ni im</w:t>
      </w:r>
      <w:r>
        <w:lastRenderedPageBreak/>
        <w:t>pide acreditar la contradicción de doctrina, ni prejuzga la decisión posterior sobre la admisión o estimación del recurso (STC 89/1998, de 21 de abril, FJ 5).  En suma, y conforme a lo expuesto, no puede prosperar este primer motivo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3</w:t>
      </w:r>
      <w:r>
        <w:t>. La parte actora mantiene, como segundo motivo de su recurso, la vulneración del principio de igualdad en aplicación de la ley (art. 14 CE), tanto por el Auto de inadmisión del recurso de casación para la unificación de doctrina, al entender que el Tribunal Supremo dio con anterioridad una solución jurídica distinta a supuestos idénticos (cita SSTS de 10 de diciembre de 1990 y 31 de diciembre de 1991), como por las Sentencias dictadas por el Juzgado de lo Social y por la Sala de lo Social del Tribunal Superior de Justicia, al haberse apartado en sus respectivos pronunciamientos de la doctrina del Tribunal Supremo. Este motivo debe ser también desestimado, al no cumplirse los requisitos exigidos por la doctrina constitucional para apreciar la infracción del principio alegado, puesto que para ello es preciso que un mismo órgano judicial, existiendo una identidad sustancial del supuesto de hecho enjuiciado, se aparte por un mero voluntarismo selectivo del criterio jurisprudencial mantenido en casos anteriores y sin que medie una fundamentación suficiente y razonable que justifique la nueva postura en la interpretación y aplicación de la misma legalidad. Consecuentemente lo que se proscribe es el cambio de criterio irreflexivo o arbitrario, lo cual exige del recurrente la aportación de un término válido de comparación (SSTC 25/1999, de 8 de marzo, FJ 5; 162/2000, de 12 de junio, FJ 3; 176/2000, de 26 de junio, FJ 3; 231/2000, de 2 de octubre, FJ 2; 239/2000, de 16 de octubre, FJ 3; 244/2000, de 16 de octubre, FJ 3; y 37/2001, de 12 de febrero, FJ 3).  Pues bien, en el caso de autos no procede efectuar el juicio de igualdad al no haber aportado la recurrente un término de comparación válido relativo al mismo órgano y a la misma materia de debate, resultando inadmisible comparar, de una parte, como la actora pretende, Sentencias del Tribunal Supremo con resoluciones dictadas por diferentes órganos judiciales (Tribunal Superior de Justicia y Juzgado de lo Social), y, de otra, una resolución de inadmisión (Auto de la Sala de lo Social del Tribunal Supremo, de 25 de junio de 1998, por el que se inadmitió su recurso de casación para la unificación de doctrina por falta de contradicción), con Sentencias de la Sala de lo Social del Tribunal Supremo (SSTS de 10 de diciembre de 1990 y 31 de diciembre de 1991) estimatorias del fondo. En consecuencia se incumple tanto el requisito de la “identidad del órgano judicial” como el de la existencia de un “término de comparación idóneo”, necesarios ambos para poder apreciar el vicio alegado.</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En último lugar la recurrente imputa a todas las resoluciones judiciales impugnadas la vulneración del derecho a la tutela judicial efectiva (art. 24.1 CE) al habérsele negado, errónea e irrazonablemente, un pronunciamiento sobre su pretensión de fondo (la declaración de la nulidad o de la improcedencia de su despido), y al habérsele causado indefensión, ya que, aun cuando nunca invocó la aplicación del Derecho inglés (cosa que hizo únicamente la parte demandada), los órganos judiciales, tras considerar aplicable al caso la legislación extranjera, decidieron desestimar (o más bien inadmitir) su demanda por no haber sido probada dicha legislación por la actora, cuando lo cierto era que ni a ella le incumbía su prueba, ni se le había dado la oportunidad de poder hacerlo. En consecuencia, la recurrente afirma que las resoluciones judiciales impugnadas le han denegado el acceso a una resolución judicial motivada y fundada en Derecho, ya que se limitaron, basándose en un patente y manifiesto error, a declarar aplicable el Ordenamiento jurídico inglés, haciéndole soportar las consecuencias de su falta de prueba, sin llegar nunca a manifestarse sobre el fondo de la cuestión.  Por su parte el Ministerio público entiende que tanto la Sentencia </w:t>
      </w:r>
      <w:r>
        <w:lastRenderedPageBreak/>
        <w:t>dictada por el Juzgado de lo Social como la pronunciada por el Tribunal Superior de Justicia han lesionado el art. 24.1 CE al incurrir en el vicio de incongruencia omisiva dada la falta de pronunciamiento en ambas resoluciones judiciales sobre la cuestión jurídica debatida (la calificación del despido de la actora).</w:t>
      </w:r>
    </w:p>
    <w:p w:rsidR="0025129F" w:rsidRDefault="0025129F" w:rsidP="0025129F">
      <w:pPr>
        <w:pStyle w:val="TextoNormal"/>
      </w:pPr>
      <w:r>
        <w:t>En tal orden de cosas se hace preciso aclarar en este momento, en contra de lo señalado por el Fiscal, que no nos encontramos ante un supuesto vicio de incongruencia omisiva de las resoluciones judiciales cuestionadas, sino, más correctamente, ante una vulneración del derecho a la tutela judicial efectiva de la parte actora en su vertiente de derecho de acceso al proceso en orden a la obtención de una resolución sobre el fondo de la pretensión articulada. En efecto, es nuestra doctrina que, para que exista el vicio de incongruencia omisiva, es preciso que la Sentencia o la resolución que ponga fin al procedimiento guarde silencio o no se pronuncie sobre alguna de las pretensiones de las partes, dejando imprejuzgada o sin respuesta la cuestión planteada a la consideración del órgano judicial aun estando motivada (SSTC 16/1998, de 26 de enero, FJ 4; 215/1999, de 29 de noviembre, FJ 3; 86/2000, de 27 de marzo, FJ 4; 156/2000, de 12 de junio, FJ 4), siendo posible incluso la desestimación tácita (por todas, STC 86/2000, de 27 de marzo, FJ 4). En el caso de autos resulta fácil constatar que, más allá de un desajuste entre el fallo judicial y las pretensiones de las partes, lo que se ha producido, en definitiva, es que, bajo la apariencia de una sentencia desestimatoria, se ha inadmitido la demanda al entender los órganos judiciales que existía un motivo impeditivo para entrar a conocer del fondo del asunto, cual era la falta de prueba del Derecho extranjero. En consecuencia tanto el Juzgado de lo Social como el Tribunal Superior de Justicia se apoyaron en la falta de prueba del Derecho extranjero para evitar entrar a conocer de la pretensión de la actora, evitando así adoptar un pronunciamiento sobre el fondo de la demanda y del recurso planteados.</w:t>
      </w:r>
    </w:p>
    <w:p w:rsidR="0025129F" w:rsidRDefault="0025129F" w:rsidP="0025129F">
      <w:pPr>
        <w:pStyle w:val="TextoNormal"/>
      </w:pPr>
    </w:p>
    <w:p w:rsidR="0025129F" w:rsidRDefault="0025129F" w:rsidP="0025129F">
      <w:pPr>
        <w:pStyle w:val="TextoNormal"/>
      </w:pPr>
      <w:r w:rsidRPr="0025129F">
        <w:rPr>
          <w:rStyle w:val="NumeroAFNegritaCaracter"/>
        </w:rPr>
        <w:t>5</w:t>
      </w:r>
      <w:r>
        <w:t>. A la vista de lo anterior es necesario recordar que este Tribunal viene afirmando de forma constante que la proclamación del derecho a la tutela judicial efectiva llevada a cabo en el art. 24.1 CE no implica el reconocimiento de un derecho a un pronunciamiento sobre el fondo de la cuestión llevada ante los órganos judiciales, pudiendo quedar satisfecho dicho derecho fundamental en el momento del acceso a la jurisdicción con una decisión de inadmisión, siempre y cuando esta respuesta sea consecuencia de la aplicación razonada y proporcionada de una causa legal en la que se prevea tal consecuencia (SSTC 115/1999, de 14 de junio, FJ 2; 157/1999, de 14 de septiembre, FJ 2; 158/2000, de 12 de junio, FJ 5; y 94/2001, de 2 de abril, FJ 2).  Asimismo también venimos manteniendo que, con carácter general, la decisión sobre la admisión o no de una demanda, así como la apreciación de la concurrencia o no de los presupuestos y requisitos materiales y procesales de ella son cuestiones de estricta legalidad ordinaria, cuya resolución compete a los órganos judiciales en el ejercicio de la potestad que privativamente les confiere el art. 117.3 CE, siendo facultad propia de la jurisdicción ordinaria determinar cuál sea la norma aplicable al supuesto controvertido (STC 122/1999, de 28 de junio, FJ 3). Ahora bien, se exceptúan de esta regla aquellos supuestos en los cuales la interpretación efectuada por el órgano judicial de la normativa declarada aplicable sea arbitraria, manifiestamente irrazonable o fruto de un error patente y, cuando del acceso a la jurisdicción se trate, en los casos en los que dicha normativa se interprete de forma rigorista, excesivamente formalista o desproporcionada en relación con los fines que preserva y la relevancia de los intereses que se sacrifican (STC 63/1999, de 26 de abril, FJ 2).</w:t>
      </w:r>
    </w:p>
    <w:p w:rsidR="0025129F" w:rsidRDefault="0025129F" w:rsidP="0025129F">
      <w:pPr>
        <w:pStyle w:val="TextoNormal"/>
      </w:pPr>
      <w:r>
        <w:t xml:space="preserve">Efectivamente este Tribunal puede revisar la eventual irrazonabilidad o arbitrariedad de las resoluciones judiciales, puesto que el derecho a la tutela judicial efectiva (art. 24.1 </w:t>
      </w:r>
      <w:r>
        <w:lastRenderedPageBreak/>
        <w:t>CE), no sólo requiere que éstas se encuentren motivadas, es decir, que contengan los elementos y razones de juicio que permitan conocer cuáles han sido los criterios jurídicos que fundamentan la decisión, sino, también, que tal motivación esté fundada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112/1996, de 24 de junio, FJ 2; 119/1998, de 4 de junio, FJ 2; 25/2000, de 31 de enero, FJ 2; y 82/2001, de 26 de marzo, FJ 2). De este modo la propia resolución debe evidenciar, de forma incuestionable, que su razón de ser es una aplicación razonada de las normas que se consideran aplicables al caso (SSTC 23/1987, de 23 de febrero, FJ 3; 18/1987, de 16 de febrero, FJ 2; 154/1997, de 13 de julio, FJ 4; 147/1999, de 4 de agosto, FJ 3; y 109/2000, de 5 de mayo, FJ 2).  El art. 24.1 CE impone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(por todas, SSTC 116/1986, de 8 de octubre; y 75/1988, de 25 de abril, FJ 3). No basta, pues, con obtener una respuesta motivada, sino que, además, ésta ha tener contenido jurídico y no resultar arbitraria (por todas, SSTC 22/1994, de 27 de enero, FJ 2; 324/1994, de 1 de diciembre, FJ 2; 24/1999, 8 de marzo, FJ 3, y 10/2000 de 31 de enero, FJ 2). Por lo tanto una resolución judicial puede tacharse de arbitraria cuando, aun constatada la existencia formal de una argumentación, no es expresión de la administración de Justicia, sino mera apariencia de ésta por ser fruto de un mero voluntarismo judicial o expresar un proceso deductivo irracional o absurdo (SSTC 148/1994, de 12 de mayo, FJ 4; 244/1994, de 15 de septiembre, FJ 2; 54/1997, de 17 de marzo, FJ 3; y 160/1997, de 2 de octubre, FJ 7).</w:t>
      </w:r>
    </w:p>
    <w:p w:rsidR="0025129F" w:rsidRDefault="0025129F" w:rsidP="0025129F">
      <w:pPr>
        <w:pStyle w:val="TextoNormal"/>
      </w:pPr>
    </w:p>
    <w:p w:rsidR="0025129F" w:rsidRDefault="0025129F" w:rsidP="0025129F">
      <w:pPr>
        <w:pStyle w:val="TextoNormal"/>
      </w:pPr>
      <w:r w:rsidRPr="0025129F">
        <w:rPr>
          <w:rStyle w:val="NumeroAFNegritaCaracter"/>
        </w:rPr>
        <w:t>6</w:t>
      </w:r>
      <w:r>
        <w:t>. Pues bien, trasladando la doctrina expuesta al caso que nos ocupa, procede declarar la vulneración del derecho a la tutela judicial efectiva (art.  24.1 CE), en su vertiente de acceso a la jurisdicción en orden a la obtención de una resolución sobre el fondo, en la medida en que, tanto el Juzgado de lo Social como el Tribunal Superior de Justicia, interpusieron un óbice inexistente que impidió de forma no razonable la adopción de una resolución sobre el fondo de la pretensión. En efecto, ante la falta de prueba del Derecho extranjero (que era la normativa que ambos órganos judiciales consideraban aplicable al caso) se optó por no resolver sobre la pretensión deducida por la actora (calificación de su despido), evitando, además, hacerlo a través de la aplicación subsidiaria de la lex fori, es decir, de la legislación laboral española. Ahora bien, tal óbice (falta de prueba del Derecho extranjero) resultaba inexistente, puesto que al ser la parte demandada la que había invocado el Derecho inglés era a ella (y no a la actora) a quien correspondía acreditar su contenido y vigencia, conforme a lo dispuesto en el entonces vigente art. 12.6 del Código Civil (hoy sustituido por la normativa establecida en el art. 281 de la Ley 1/2000, de 7 de enero, de Enjuiciamiento Civil). A pesar de ello le fue exigida a la parte actora su prueba, sin darle en ningún momento la oportunidad de llevarla a cabo a través de los cauces procesales oportunos, y ligando a la falta de acreditación del contenido y vigencia del Derecho inglés la desestimación de su pretensión (en el caso del Juzgado) y la inadmisión de la demanda, aunque a través de Sentencia (en el caso del Tribunal Superior de Justicia).  Es obvio, pues, que a la parte actora le fue negada de forma no razonable una resolución so</w:t>
      </w:r>
      <w:r>
        <w:lastRenderedPageBreak/>
        <w:t>bre el fondo de su pretensión (en forma semejante al caso enjuiciado en la STC 10/2000, de 31 de enero, FJ 2).</w:t>
      </w:r>
    </w:p>
    <w:p w:rsidR="0025129F" w:rsidRDefault="0025129F" w:rsidP="0025129F">
      <w:pPr>
        <w:pStyle w:val="TextoNormal"/>
      </w:pPr>
      <w:r>
        <w:t>En consecuencia no cabe más que concluir que ambas resoluciones judiciales lesionaron el derecho a la tutela judicial efectiva (art. 24.1 CE) de la recurrente en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parcialmente el amparo solicitado por doña Rosemary Jane Sinclair Reid, y, en consecuencia:</w:t>
      </w:r>
    </w:p>
    <w:p w:rsidR="0025129F" w:rsidRDefault="0025129F" w:rsidP="0025129F">
      <w:pPr>
        <w:pStyle w:val="TextoNormal"/>
      </w:pPr>
      <w:r>
        <w:t>1º Declarar que ha sido vulnerado el derecho de la recurrente a la tutela judicial efectiva (art. 24.1 CE).</w:t>
      </w:r>
    </w:p>
    <w:p w:rsidR="0025129F" w:rsidRDefault="0025129F" w:rsidP="0025129F">
      <w:pPr>
        <w:pStyle w:val="TextoNormal"/>
      </w:pPr>
      <w:r>
        <w:t>2º Reestablecerla en la integridad de su derecho y, a tal fin, anular las Sentencias de la Sala de lo Social del Tribunal Superior de Justicia de Madrid de 30 de octubre de 1997 y del Juez de lo Social núm. 7 de Madrid de 8 de noviembre de 1996, retrotrayendo las actuaciones al momento inmediatamente anterior al de la Sentencia para que el último órgano judicial citado, con respeto a la efectividad del derecho a la tutela judicial efectiva, resuelva finalmente sobre el fondo de la pretensión ejercitada en el proceso.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rsidP="0025129F">
      <w:pPr>
        <w:pStyle w:val="ParrafoNormal"/>
      </w:pPr>
    </w:p>
    <w:p w:rsidR="0025129F" w:rsidRDefault="0025129F" w:rsidP="0025129F">
      <w:pPr>
        <w:pStyle w:val="TextoNormalNegritaCentrado"/>
        <w:keepNext/>
      </w:pPr>
      <w:r>
        <w:t>Voto particular que formula el Magistrado don Vicente Conde Martín de Hijas respecto de la Sentencia dictada en el recurso de amparo núm.  4061/98.</w:t>
      </w:r>
    </w:p>
    <w:p w:rsidR="0025129F" w:rsidRDefault="0025129F" w:rsidP="0025129F">
      <w:pPr>
        <w:pStyle w:val="TextoNormalNegritaCentrado"/>
        <w:keepNext/>
      </w:pPr>
    </w:p>
    <w:p w:rsidR="0025129F" w:rsidRDefault="0025129F" w:rsidP="0025129F">
      <w:pPr>
        <w:pStyle w:val="TextoNormal"/>
      </w:pPr>
      <w:r>
        <w:t>Con el sincero respeto que habitualmente proclamo al parecer mayoritario cuando disiento de él, y en ejercicio de la facultad establecida en el art. 90.2 LOTC, hago pública por este Voto mi discrepancia de la Sentencia, que, en mi criterio, debió haber sido desestimatoria del recurso de amparo.</w:t>
      </w:r>
    </w:p>
    <w:p w:rsidR="0025129F" w:rsidRDefault="0025129F" w:rsidP="0025129F">
      <w:pPr>
        <w:pStyle w:val="TextoNormal"/>
      </w:pPr>
      <w:r>
        <w:t>1. Mi discrepancia comienza a partir del momento en que en la Sentencia se rechazan las violaciones imputadas al Auto de la Sala de lo Social del Tribunal Supremo recurrido.</w:t>
      </w:r>
    </w:p>
    <w:p w:rsidR="0025129F" w:rsidRDefault="0025129F" w:rsidP="0025129F">
      <w:pPr>
        <w:pStyle w:val="TextoNormal"/>
      </w:pPr>
      <w:r>
        <w:t>Ese rechazo, que comparto, a mi juicio debiera tener la consecuencia de que no se debiera entrar a enjuiciar las Sentencias precedentes, dictadas en las fases anteriores del proceso laboral, que concluyeron con el recurso desestimado por dicho Auto.  En mi criterio sólo mediante la previa anulación de este Auto, por estar viciada de inconstitucionalidad la desestimación del recurso que resolvió, puede abrirse la puerta para el enjuiciamiento ulterior, en orden descendente y sucesivo, primero, de la Sentencia del Tribunal Superior de Justicia, y luego de la del Juzgado de lo Social.</w:t>
      </w:r>
    </w:p>
    <w:p w:rsidR="0025129F" w:rsidRDefault="0025129F" w:rsidP="0025129F">
      <w:pPr>
        <w:pStyle w:val="TextoNormal"/>
      </w:pPr>
      <w:r>
        <w:t xml:space="preserve">Si el recurso interpuesto ante la Sala de lo Social del Tribunal Supremo era medio idóneo para obtener la reparación de la violación constitucional producida en la Sentencia recurrida ante él (lo que no puede ponerse en duda en este caso, cuando la parte consideró que lo era) y el recurrente no cumplió con la carga exigible de aportar en ese recurso la Sentencia de contraste precisa para obtener la reparación pretendida, sólo a su deficiente </w:t>
      </w:r>
      <w:r>
        <w:lastRenderedPageBreak/>
        <w:t>planteamiento procesal puede atribuirse la frustración de su intento, y no a la Sala sentenciadora (así lo estima por lo demás la Sentencia que es objeto de este Voto, a mi juicio correctamente), con la consecuencia, a mi juicio, ineludible en el plano de los requisitos del recurso de amparo constitucional [art.  44.1 a) LOTC] de que no se han agotado los recursos utilizables dentro de la vía judicial.</w:t>
      </w:r>
    </w:p>
    <w:p w:rsidR="0025129F" w:rsidRDefault="0025129F" w:rsidP="0025129F">
      <w:pPr>
        <w:pStyle w:val="TextoNormal"/>
      </w:pPr>
      <w:r>
        <w:t>Soy consciente de que la Sentencia de la que discrepo sigue en ese punto el criterio habitual en nuestra jurisprudencia; pero ese criterio es el que cuestiono, pues creo que no se acomoda a la lógica de la subsidiariedad del recurso de amparo, que de modo constante venimos proclamando.</w:t>
      </w:r>
    </w:p>
    <w:p w:rsidR="0025129F" w:rsidRDefault="0025129F" w:rsidP="0025129F">
      <w:pPr>
        <w:pStyle w:val="TextoNormal"/>
      </w:pPr>
      <w:r>
        <w:t>Mi oposición crítica en este punto ya la expresé en otro Voto particular a la Sentencia de 17 de enero de 2000 (STC 4/2000). No me parece acertado que simultáneamente pueda considerarse correcto el Auto que resuelve el recurso con el que se agotan los utilizables en la vía judiciales [art. 44.1 a) LOTC], y afectas de violación constitucional las sentencias de las instancias (o grados) precedentes, cuyos vicios constitucionales no se remediaron en la resolución de aquel recurso.</w:t>
      </w:r>
    </w:p>
    <w:p w:rsidR="0025129F" w:rsidRDefault="0025129F" w:rsidP="0025129F">
      <w:pPr>
        <w:pStyle w:val="TextoNormal"/>
      </w:pPr>
      <w:r>
        <w:t>El sentido de la subsidiariedad del amparo consiste en que deben ser los órganos de la jurisdicción ordinaria los llamados primariamente a resolver las violaciones de los derechos fundamentales, y sólo se puede abrir la vía del amparo ante el Tribunal Constitucional cuando, utilizados los medios procesales ad hoc, con observación estricta de su regulación legal, no se obtiene el remedio a dichas violaciones, pudiendo haberlo dado dichos órganos. Siendo así, si la resolución que pone fin al último tramo del itinerario procesal ante la jurisdicción ordinaria es constitucionalmente correcta, pese a que no remedie la violación constitucional, ese resultado frustrado suscita, a mi juicio, una alternativa de análisis respecto del correcto agotamiento de los recursos en cuanto requisito del de amparo constitucional: o bien el recurso intentado (en el caso que nos ocupa el recurso de casación para la unificación de doctrina ante la Sala de lo Social del Tribunal Supremo) era inidóneo para el fin pretendido, y se demoró con él indebidamente la interposición del recurso de amparo contra las Sentencias recurribles en él, en cuyo caso, cuando se acude al Tribunal Constitucional para impugnar ante él las Sentencias que antes se habían impugnado ante el Tribunal Supremo, el recurso de amparo constitucional es extemporáneo; o bien en el recurso no se cumplieron los requisitos, presupuestos y cargas condicionantes, en función de las cuales el Tribunal que conocía de él podía haber otorgado la tutela pretendida, en cuyo caso no se ha agotado correctamente ese recurso, lo que se erige en óbice para la admisión del ulterior de amparo constitucional.</w:t>
      </w:r>
    </w:p>
    <w:p w:rsidR="0025129F" w:rsidRDefault="0025129F" w:rsidP="0025129F">
      <w:pPr>
        <w:pStyle w:val="TextoNormal"/>
      </w:pPr>
      <w:r>
        <w:t>No me parece que se adecúe a la lógica de la subsidiariedad la exigencia de un recurso previo ante la jurisdicción ordinaria, porque ese recurso es idóneo para remediar la lesión constitucional; y que, sin embargo, no se extraiga ninguna consecuencia respecto de la viabilidad procesal del recurso de amparo procesal en orden a su temporaneidad o al correcto agotamiento de la vía judicial previa del doble hecho de que la resolución del último recurso de esa vía previa constitucionalmente sea correcta, y a la vez, y pese a ello, no se haya otorgado en la misma la tutela que podía haber sido otorgada.</w:t>
      </w:r>
    </w:p>
    <w:p w:rsidR="0025129F" w:rsidRDefault="0025129F" w:rsidP="0025129F">
      <w:pPr>
        <w:pStyle w:val="TextoNormal"/>
      </w:pPr>
      <w:r>
        <w:t xml:space="preserve">Creo que lo lógico en este caso hubiera sido desestimar el recurso en cuanto a la impugnación del Auto del Tribunal Supremo, y declarar su inadmisibilidad en cuanto a la impugnación de las Sentencias del Tribunal Superior de Justicia y del Juzgado de lo Social. El enjuiciamiento de éstas creo que sólo puede producirse a partir de la previa declaración de nulidad de la resolución que puso fin en la jurisdicción ordinaria al recurso interpuesto contra éstas, lo contrario constituye, a mi juicio, una intervención per saltum de </w:t>
      </w:r>
      <w:r>
        <w:lastRenderedPageBreak/>
        <w:t>este Tribunal Constitucional en el proceso judicial, que violenta la estructura lógica de la concatenación de los recursos sucesivos.</w:t>
      </w:r>
    </w:p>
    <w:p w:rsidR="0025129F" w:rsidRDefault="0025129F" w:rsidP="0025129F">
      <w:pPr>
        <w:pStyle w:val="TextoNormal"/>
      </w:pPr>
      <w:r>
        <w:t>Esa violencia lógica se refleja, a mi juicio, en el anómalo resultado de que, por una parte, se mantenga la validez y eficacia del Auto del Tribunal Supremo, y por otra, y simultáneamente, se retrotraigan actuaciones a un momento procesal anterior a él, anulando las Sentencias de los órganos de instancia y de suplicación, lo que ese Auto no hizo, según resulta de los términos del fallo de nuestra Sentencia.</w:t>
      </w:r>
    </w:p>
    <w:p w:rsidR="0025129F" w:rsidRDefault="0025129F" w:rsidP="0025129F">
      <w:pPr>
        <w:pStyle w:val="TextoNormal"/>
      </w:pPr>
      <w:r>
        <w:t>2. Pero al margen de lo expuesto mi discrepancia se refiere también a la solución de fondo sobre la vulneración del art. 24.1 CE, cuya fundamentación se contiene en el fundamento jurídico 4 de la Sentencia.  Frente a ella considero que en este caso no se ha producido ninguna situación de indefensión, sino la aplicación por el Juzgado de lo Social y por el Tribunal Superior de Justicia de una norma de conflicto sobre la legislación aplicable, en el ejercicio de la potestad exclusiva que les es propia según el art. 117.3 CE, mediante un juicio de legalidad, que, en modo alguno, creo que pueda considerarse arbitrario, irracional o producido por error patente, únicos criterios en función de los que (como dice la propia Sentencia, cuyas citas jurisprudenciales doy aquí por reproducidas) este Tribunal acota su potestad de enjuiciar la aplicación de la legalidad por los órganos de la jurisdicción ordinaria, como contenido del art. 24.1 CE. Es más, estimo que las Sentencias de los referidos órganos han recibido el aval de las posteriores sentencias de la Sala de lo Social del Tribunal Supremo de 22 y 25 de mayo de 2001, dictadas en sendos recursos de casación para la unificación de doctrina, que resuelven en sentido en todo coincidente con el de las Sentencias aquí recurridas, las cuestiones relativas a la aplicación de la norma española de conflicto del art. 12.6 del Código Civil (hoy art. 281 LEC, Ley 1/2000), a la imputación de la carga de la prueba del derecho extranjero, cuando es, o debe ser, el fundamento de la pretensión actora, y a las consecuencias de la falta de prueba, cuestiones a mi juicio, de mera legalidad ordinaria, en cuya interpretación y solución el Tribunal Supremo actúa desde la posición constitucional de “órgano jurisdiccional superior en todos los órdenes, salvo lo dispuesto en materia de garantías constitucionales”, que le atribuye el art. 123 CE.</w:t>
      </w:r>
    </w:p>
    <w:p w:rsidR="0025129F" w:rsidRDefault="0025129F" w:rsidP="0025129F">
      <w:pPr>
        <w:pStyle w:val="TextoNormal"/>
      </w:pPr>
      <w:r>
        <w:t>Me resulta difícilmente aceptable que pueda ser descalificada por este Tribunal Constitucional, en los términos en que lo hacemos en nuestra Sentencia, una interpretación de la legalidad ordinaria, proclamada por los órganos de la jurisdicción ordinaria, conducente a la desestimación de la demanda, que coincide con la que el Tribunal Supremo tiene establecida en sendos recursos de casación para la unificación de doctrina. Más bien creo que en el punto en conflicto, que, insisto, creo que es, en principio, un problema de legalidad ordinaria, debiéramos haber partido, como dato, de la interpretación que da a esa legalidad y a sus consecuencias aplicativas el Tribunal Supremo; y ello, por respeto a lo dispuesto en el art. 123 CE. No creo que, en principio, en una cuestión de tal tipo esté implicada la “materia de garantías constitucionales”, que es la salvedad a la superioridad del Tribunal Supremo constitucionalmente establecida.</w:t>
      </w:r>
    </w:p>
    <w:p w:rsidR="0025129F" w:rsidRDefault="0025129F" w:rsidP="0025129F">
      <w:pPr>
        <w:pStyle w:val="TextoNormal"/>
      </w:pPr>
      <w:r>
        <w:t>Esto sentado, no veo cómo la desestimación de una demanda porque la legislación invocada como fundamento de la misma no se considera aplicable al caso, y porque la que lo es, al ser derecho extranjero, no se ha probado por la parte que debiera haberlo hecho, pueda considerarse que vulnera el art. 24.1 CE. Por el contrario, estimo que una Sentencia (Sentencias en este caso, del Juzgado de lo Social y de la Sala de lo Social del Tribunal Superior de Justicia) de tal contenido satisface en términos irreprochables el derecho fundamental de tutela judicial efectiva si indefensión.</w:t>
      </w:r>
    </w:p>
    <w:p w:rsidR="0025129F" w:rsidRDefault="0025129F" w:rsidP="0025129F">
      <w:pPr>
        <w:pStyle w:val="TextoNormal"/>
      </w:pPr>
      <w:r>
        <w:lastRenderedPageBreak/>
        <w:t>3. A mi juicio nuestra Sentencia gravita sobre una base conceptual que me parece errónea, expresada en el fundamento jurídico 4, cuando se dice que “bajo apariencia de una Sentencia desestimatoria, se ha inadmitido la demanda, al entender los órganos jurisdiccionales que existía un motivo impeditivo para entrar a conocer del fondo del asunto, cual era la falta de prueba del Derecho extranjero”, lo que conduce más adelante a la afirmación de que “procede declarar la vulneración del derecho a la tutela judicial efectiva (art. 24.1 CE), en su vertiente de acceso a la jurisdicción en orden a la obtención de una resolución sobre el fondo, en la medida en que tanto el Juzgado de lo Social como el Tribunal Superior de Justicia, interpusieron un óbice inexistente que impidió de forma no razonable la adopción de una resolución sobre el fondo de la pretensión”.</w:t>
      </w:r>
    </w:p>
    <w:p w:rsidR="0025129F" w:rsidRDefault="0025129F" w:rsidP="0025129F">
      <w:pPr>
        <w:pStyle w:val="TextoNormal"/>
      </w:pPr>
      <w:r>
        <w:t>Creo que en esas afirmaciones se imputa a los órganos jurisdiccionales algo que, en mi criterio, no hacen, como es el estimar en sus Sentencias un óbice de inadmisibilidad de la demanda y de cierre del acceso a la jurisdicción. Es nuestra Sentencia la que interpreta que lo hecho en las Sentencias recurridas tiene ese significado procesal. Pero esa traducción de significados no me resulta compartible.</w:t>
      </w:r>
    </w:p>
    <w:p w:rsidR="0025129F" w:rsidRDefault="0025129F" w:rsidP="0025129F">
      <w:pPr>
        <w:pStyle w:val="TextoNormal"/>
      </w:pPr>
      <w:r>
        <w:t>Frente a la tesis transcrita de nuestra Sentencia creo que en el caso actual hay un auténtico juicio de fondo, de desestimación de la pretensión actora, basado en un juicio, asimismo de fondo, sobre la legislación aplicable y sobre la carga que en función de ella incumbía a la demandante, y que, según dichas Sentencias, no cumplió. Negar que en esas circunstancias exista un vicio de fondo, me parece que no se ajusta a los modos comunes de razonar en la doctrina procesalista y en la praxis jurisdiccional sobre qué sea una sentencia de fondo, y más bien constituye una concepción extravagante tanto de la Sentencia de fondo como de los óbices procesales.</w:t>
      </w:r>
    </w:p>
    <w:p w:rsidR="0025129F" w:rsidRDefault="0025129F" w:rsidP="0025129F">
      <w:pPr>
        <w:pStyle w:val="TextoNormal"/>
      </w:pPr>
      <w:r>
        <w:t>Me preocupa que la concepción de la que me distancio, al convertir la que estimo una Sentencia de fondo en una Sentencia de inadmisión por razones procesales, esté abriendo un espacio de penetración de este Tribunal Constitucional en el enjuiciamiento de la aplicación de la legislación ordinaria, que, a mi juicio, amplía en exceso los márgenes de enjuiciamiento que podían considerarse ya consolidados en nuestra doctrina.</w:t>
      </w:r>
    </w:p>
    <w:p w:rsidR="0025129F" w:rsidRDefault="0025129F" w:rsidP="0025129F">
      <w:pPr>
        <w:pStyle w:val="TextoNormal"/>
      </w:pPr>
      <w:r>
        <w:t>4. La explicación mediante la que se produce aquella conversión de lo sustantivo (sentencia de fondo) en procesal (sentencia de inadmisión) me resulta artificiosa, y lastrada al propio tiempo de sugerencias del modo de aplicación de la legislación ordinaria, que no considero propias de nuestra potestad jurisdiccional, sino más bien extralimitaciones de la misma.</w:t>
      </w:r>
    </w:p>
    <w:p w:rsidR="0025129F" w:rsidRDefault="0025129F" w:rsidP="0025129F">
      <w:pPr>
        <w:pStyle w:val="TextoNormal"/>
      </w:pPr>
      <w:r>
        <w:t xml:space="preserve">Se dice sobre el particular que “ante la falta de prueba del Derecho extranjero (que era la normativa que ambos órganos judiciales consideraban aplicable al caso) se optó por no resolver sobre la pretensión deducida por la actora (calificación de su despido), evitando, además, hacerlo a través de la aplicación subsidiaria de la lex fori, es decir, de la legislación laboral española. Ahora bien, tal óbice (falta de prueba del Derecho extranjero) resultaba inexistente, puesto que al ser la parte demandada la que había invocado el Derecho inglés era a ella (y no a la actora) a quien correspondía acreditar su contenido y vigencia, conforme a lo dispuesto en el entonces vigente art. 12.6 del Código Civil (hoy sustituído por la normativa establecida en el art. 281 de la Ley 1/2000, de 7 de enero, de Enjuiciamiento Civil). A pesar de ello le fue exigida a la parte actora su prueba, sin darle en ningún momento la oportunidad de llevarla a cabo a través de los cauces procesales oportunos, y ligando a la falta de acreditación del contenido y vigencia del Derecho inglés la desestimación de la pretensión (en el caso del Juzgado) y la inadmisión de la demanda, aunque a través de la Sentencia (en el caso del Tribunal Superior de Justicia). Es obvio, pues, que a la parte actora le fue negada de forma no razonable una resolución sobre el </w:t>
      </w:r>
      <w:r>
        <w:lastRenderedPageBreak/>
        <w:t>fondo de su pretensión (en forma semejante al caso enjuiciado en la STC 10/2000, de 31 de enero, FJ 2)”.</w:t>
      </w:r>
    </w:p>
    <w:p w:rsidR="0025129F" w:rsidRDefault="0025129F" w:rsidP="0025129F">
      <w:pPr>
        <w:pStyle w:val="TextoNormal"/>
      </w:pPr>
      <w:r>
        <w:t>El párrafo transcrito contiene una serie de elementos conceptuales cada uno de los cuales suscita mi distanciamiento:</w:t>
      </w:r>
    </w:p>
    <w:p w:rsidR="0025129F" w:rsidRDefault="0025129F" w:rsidP="0025129F">
      <w:pPr>
        <w:pStyle w:val="TextoNormal"/>
      </w:pPr>
      <w:r>
        <w:t>a) Comenzando por su final, considero desacertada la equiparación del caso actual al resuelto por la STC 10/2000. A mi juicio, uno y otro casos son muy distintos. En el de la STC 10/2000 no se planteaba ninguna discusión sobre la normativa aplicable, sino que desde el principio se partía por la demandante de la aplicabilidad del Derecho extranjero (se trataba de la separación de un matrimonio en que ambos cónyuges eran de nacionalidad armenia) y de las dificultades de su prueba; y fue la frustración de la práctica de la prueba propuesta, imputable al órgano jurisdiccional, y no a la parte, lo que se apreció como indefensión y como violación del derecho a la prueba. No había, pues, ni problema de selección de la normativa aplicable por la aplicación de la norma española de conflicto, ni de imputación de la carga de la prueba, que son las cuestiones que, a mi juicio, de modo erróneo se abordan en el párrafo transcrito. En todo caso, desde la clave constitucional de la indefensión por falta de prueba de uno u otro Derecho, no me resulta convincente la equiparación de las dificultades de la prueba del Derecho armenio por una ciudadana de esa nacionalidad, residente en España, con la del Derecho inglés por una ciudadana de esta nacionalidad, así mismo residente en España.</w:t>
      </w:r>
    </w:p>
    <w:p w:rsidR="0025129F" w:rsidRDefault="0025129F" w:rsidP="0025129F">
      <w:pPr>
        <w:pStyle w:val="TextoNormal"/>
      </w:pPr>
      <w:r>
        <w:t>b) No veo cómo puede distinguirse entre las Sentencias del Juzgado de lo Social y la del Tribunal Superior de Justicia, diciendo que en la primera se desestima la pretensión y en la segunda se inadmite la demanda, aunque a través de Sentencia.</w:t>
      </w:r>
    </w:p>
    <w:p w:rsidR="0025129F" w:rsidRDefault="0025129F" w:rsidP="0025129F">
      <w:pPr>
        <w:pStyle w:val="TextoNormal"/>
      </w:pPr>
      <w:r>
        <w:t>La lectura de la Sentencia del Tribunal Superior de Justicia, a mi juicio, pone de manifiesto que lo único que hace es desestimar el recurso de suplicación, ratificando la que califica como “correcta y brillante valoración del Juzgado de instancia”, sin cambiar, como sugiere el párrafo transcrito, el signo final de la solución del proceso, de desestimación de la pretensión (fallo del Juzgado), en inadmisión de la demanda. El signo de ambas Sentencias en cuanto a la suerte de la pretensión es idéntico: de desestimación en el caso de la primera, y de ratificación de la desestimación en la segunda. En todo caso, el hecho de que se impute a la Sentencia del Juzgado que desestima la pretensión, se aviene mal con la afirmación precedente de que “se optó por no resolver sobre la pretensión deducida por la actora”.</w:t>
      </w:r>
    </w:p>
    <w:p w:rsidR="0025129F" w:rsidRDefault="0025129F" w:rsidP="0025129F">
      <w:pPr>
        <w:pStyle w:val="TextoNormal"/>
      </w:pPr>
      <w:r>
        <w:t>c) No me resulta compartible la imputación de indefensión por el hecho de que el Juzgado no diera a la recurrente la oportunidad de probar el Derecho inglés. Creo que con tal forma de razonar no se tiene en cuenta la regulación del proceso laboral.</w:t>
      </w:r>
    </w:p>
    <w:p w:rsidR="0025129F" w:rsidRDefault="0025129F" w:rsidP="0025129F">
      <w:pPr>
        <w:pStyle w:val="TextoNormal"/>
      </w:pPr>
      <w:r>
        <w:t>En el marco de la regulación legal de ese proceso es lógico entender que la parte demandante debe ir preparada para salir al paso de las posibles alegaciones de la parte contraria y para aportar los medios de prueba adecuados para desvirtuarlas, o para fundar su pretensión, pese a ellas. Y no parece que en un proceso, en el que la demandante es una ciudadana inglesa, la demandada una empresa de esa misma nacionalidad y la base de sus relaciones un contrato de trabajo, cuyas partes se someten a la legislación inglesa, la posible alegación por la parte demandada de que la normativa aplicable no es la española, alegada por la actora, sino la inglesa, pueda considerarse algo imprevisible, en razón de cuya imprevisibilidad pueda exonerar a la parte del rigor de la necesidad de la prueba de esa normativa, si es que el conflicto de normas que pudiera resultar de dicha alegación hubiera de resolverse a favor de la aplicabilidad al caso de la legislación inglesa.</w:t>
      </w:r>
    </w:p>
    <w:p w:rsidR="0025129F" w:rsidRDefault="0025129F" w:rsidP="0025129F">
      <w:pPr>
        <w:pStyle w:val="TextoNormal"/>
      </w:pPr>
      <w:r>
        <w:t xml:space="preserve">Ni parece tampoco que la prueba de esta legislación por una ciudadana inglesa pueda tener ninguna dificultad especial, hasta el punto de que la práctica de esa prueba pueda </w:t>
      </w:r>
      <w:r>
        <w:lastRenderedPageBreak/>
        <w:t>situarla en una posición de indefensión.  Especialmente significativo a efectos de ésta resulta que no se hiciera proposición alguna de prueba del Derecho inglés en previsión de que el Juzgado de lo Social estimase la alegación de la parte demandada de que ese Derecho era el aplicable.</w:t>
      </w:r>
    </w:p>
    <w:p w:rsidR="0025129F" w:rsidRDefault="0025129F" w:rsidP="0025129F">
      <w:pPr>
        <w:pStyle w:val="TextoNormal"/>
      </w:pPr>
      <w:r>
        <w:t>Y no cabe entender, como parece que subyace en la imputación de indefensión contenida en el párrafo transcrito, que ante la opción del Juez por la aplicación del Derecho inglés debiera dar a la parte demandante una especial oportunidad de prueba, cuya negación le haya situado en indefensión. La decisión del Juez sobre la aplicación al caso del Derecho inglés, a la vista de las tesis contrapuestas de las partes, sólo se produce en la Sentencia, pues es en sí misma la decisión del litigio suscitado o de uno de sus contenidos; y en ese momento no existe ya espacio procesal para que pueda darse a la demandante una oportunidad de prueba. Esa oportunidad la tuvo ésta, y sin grandes dificultades, en el momento del juicio, en el que, incluso rebasándolo, podía haber pedido al Juez la práctica de diligencias para mejor proveer. No creo, así, que sea imputable al Juez ninguna omisión en cuanto a la prueba, cuando la parte que tiene la carga de probar un determinado elemento, en este caso el Derecho extranjero aplicable al caso como fundamento de la pretensión, no asume iniciativa alguna de propuesta al respecto. No creo, pues, en contra del criterio de la Sentencia de la que disiento, que en este caso se haya producido indefensión alguna.</w:t>
      </w:r>
    </w:p>
    <w:p w:rsidR="0025129F" w:rsidRDefault="0025129F" w:rsidP="0025129F">
      <w:pPr>
        <w:pStyle w:val="TextoNormal"/>
      </w:pPr>
      <w:r>
        <w:t>d) Me resulta también desacertado el pronunciamiento contenido en el párrafo transcrito, alusivo a la imputación de la carga de la prueba a la parte demandada, y la interpretación que al respecto se da de lo dispuesto en el art. 12.6 CC. Considero que en este extremo, que es clave en nuestra Sentencia para sustentar en él la imputación de indefensión, este Tribunal se introduce en un espacio de enjuiciamiento que no le es propio, para corregir la interpretación de la legalidad ordinaria, que en ese mismo espacio, que sí les es propio, han dado el Juzgado de lo Social y la Sala de lo Social del Tribunal Superior de Justicia. Y lo hace además, contradiciendo la interpretación que sobre la imputación de la carga de la prueba en ese caso tiene proclamada la Sala de lo Social del Tribunal Supremo en sus Sentencias de 22 y 25 de mayo de 2001, citadas en momento anterior; lo que me resulta especialmente inconveniente.</w:t>
      </w:r>
    </w:p>
    <w:p w:rsidR="0025129F" w:rsidRDefault="0025129F" w:rsidP="0025129F">
      <w:pPr>
        <w:pStyle w:val="TextoNormal"/>
      </w:pPr>
      <w:r>
        <w:t>Por mi parte, y frente al criterio seguido en nuestra Sentencia, me inclino por lo que respecto a la carga de la prueba del Derecho extranjero se dice en el fundamento de Derecho sexto de la Sentencia del Tribunal Supremo de 25 de mayo de 2001, que transcribe el primero de la de 22 de mayo; y ello, no sólo en razón de que, ex art. 123 CE, creo obligado respeto de su superioridad jurisdiccional en ese punto, sino por la fuerza convictiva de su razonamiento, que comparto.</w:t>
      </w:r>
    </w:p>
    <w:p w:rsidR="0025129F" w:rsidRDefault="0025129F" w:rsidP="0025129F">
      <w:pPr>
        <w:pStyle w:val="TextoNormal"/>
      </w:pPr>
      <w:r>
        <w:t>Dando un paso más en ese razonamiento, creo que una cosa es la invocación de la norma española de conflicto, para decidir sobre la legislación aplicable, que es lo que hizo en este caso la empresa demandada; y otra, la invocación de la norma extranjera.</w:t>
      </w:r>
    </w:p>
    <w:p w:rsidR="0025129F" w:rsidRDefault="0025129F" w:rsidP="0025129F">
      <w:pPr>
        <w:pStyle w:val="TextoNormal"/>
      </w:pPr>
      <w:r>
        <w:t>La no invocación de la norma extranjera que, en su caso, pudiera fundar la pretensión actora, no creo que pueda operar a favor del que debiera haberla invocado para hacer valer su pretensión, so pena de defraudar la norma de conflicto. La invocación de ésta, la norma de conflicto, que es lo que hizo la demandada, no puede en ese caso equiparse a la invocación de la norma extranjera.</w:t>
      </w:r>
    </w:p>
    <w:p w:rsidR="0025129F" w:rsidRDefault="0025129F" w:rsidP="0025129F">
      <w:pPr>
        <w:pStyle w:val="TextoNormal"/>
      </w:pPr>
      <w:r>
        <w:t>e) El mismo distanciamiento conceptual, y por razones similares a las que se acaban de exponer, respecto de la imputación de la carga de la prueba, debo manifestarlo respecto de la censura expresada en el párrafo transcrito, de la no “aplicación subsidiaria de lex fori, es decir, de la legislación española”. La no aplicabilidad de ésta está proclamada en las Sen</w:t>
      </w:r>
      <w:r>
        <w:lastRenderedPageBreak/>
        <w:t>tencias citadas del Tribunal Supremo, sin que considere necesario añadir nada a lo dicho en ella.</w:t>
      </w:r>
    </w:p>
    <w:p w:rsidR="0025129F" w:rsidRDefault="0025129F" w:rsidP="0025129F">
      <w:pPr>
        <w:pStyle w:val="TextoNormal"/>
      </w:pPr>
      <w:r>
        <w:t>Por todas las razones expuestas considero errónea la fundamentación de nuestra Sentencia, niego la existencia de indefensión de ningún género y consecuentemente la vulneración del derecho de tutela judicial efectiva, lo que me lleva a la conclusión final de debiera haberse denegado el otorgamiento del amparo. En este sentido evacúo este mi Voto particular.</w:t>
      </w:r>
    </w:p>
    <w:p w:rsidR="0025129F" w:rsidRDefault="0025129F" w:rsidP="0025129F">
      <w:pPr>
        <w:pStyle w:val="TextoNormal"/>
      </w:pPr>
      <w:r>
        <w:t>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7" w:name="SENTENCIA_2002_34"/>
      <w:r>
        <w:lastRenderedPageBreak/>
        <w:t>SENTENCIA 34/2002, de 11 de febrero de 2002</w:t>
      </w:r>
    </w:p>
    <w:bookmarkEnd w:id="37"/>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ECLI:ES:TC:2002:34</w:t>
      </w:r>
    </w:p>
    <w:p w:rsidR="0025129F" w:rsidRDefault="0025129F" w:rsidP="0025129F">
      <w:pPr>
        <w:pStyle w:val="SntesisDescriptiva"/>
      </w:pPr>
    </w:p>
    <w:p w:rsidR="0025129F" w:rsidRDefault="0025129F" w:rsidP="0025129F">
      <w:pPr>
        <w:pStyle w:val="SntesisDescriptiva"/>
      </w:pPr>
      <w:r>
        <w:t>Recurso de amparo 1865/1999. Promovido por doña Pilar Gascueña Pérez frente a la Sentencia de la Sala de lo Contencioso-Administrativo del Tribunal Superior de Justicia de Madrid que desestimó su integración como oficial administrativa en el Instituto Nacional de la Salud.</w:t>
      </w:r>
    </w:p>
    <w:p w:rsidR="0025129F" w:rsidRDefault="0025129F" w:rsidP="0025129F">
      <w:pPr>
        <w:pStyle w:val="SntesisDescriptiva"/>
      </w:pPr>
    </w:p>
    <w:p w:rsidR="0025129F" w:rsidRDefault="0025129F" w:rsidP="0025129F">
      <w:pPr>
        <w:pStyle w:val="SntesisAnaltica"/>
      </w:pPr>
      <w:r>
        <w:t>Vulneración del derecho a la tutela judicial efectiva (Sentencia fundada en Derecho): error patente sobre el título de bachillerato requerido para una categoría de funcionarios.</w:t>
      </w:r>
    </w:p>
    <w:p w:rsidR="0025129F" w:rsidRDefault="0025129F" w:rsidP="0025129F">
      <w:pPr>
        <w:pStyle w:val="SntesisAnaltica"/>
      </w:pPr>
    </w:p>
    <w:p w:rsidR="0025129F" w:rsidRDefault="0025129F" w:rsidP="0025129F">
      <w:pPr>
        <w:pStyle w:val="Extracto"/>
      </w:pPr>
      <w:r>
        <w:t>1.</w:t>
      </w:r>
      <w:r>
        <w:tab/>
        <w:t>La equivocación cometida por la Sala del Tribunal Superior de Justicia, negando al título de bachillerato de la demandante un valor y unos efectos que evidentemente tenía para su integración en la función pública con una determinada categoría, representa un error patente y manifiesto que vulnera su derecho a la tutela judicial efectiva sin indefensión (art. 24.1 CE) [FJ 7].</w:t>
      </w:r>
    </w:p>
    <w:p w:rsidR="0025129F" w:rsidRDefault="0025129F" w:rsidP="0025129F">
      <w:pPr>
        <w:pStyle w:val="Extracto"/>
      </w:pPr>
    </w:p>
    <w:p w:rsidR="0025129F" w:rsidRDefault="0025129F" w:rsidP="0025129F">
      <w:pPr>
        <w:pStyle w:val="Extracto"/>
      </w:pPr>
      <w:r>
        <w:t>2.</w:t>
      </w:r>
      <w:r>
        <w:tab/>
        <w:t>Afirmar que un título de bachiller, expedido conforme a la Ley 14/1970 y al Plan de Estudios de 1975, no es el de BUP es una equivocación evidente [FFJJ 5 y 6].</w:t>
      </w:r>
    </w:p>
    <w:p w:rsidR="0025129F" w:rsidRDefault="0025129F" w:rsidP="0025129F">
      <w:pPr>
        <w:pStyle w:val="Extracto"/>
      </w:pPr>
    </w:p>
    <w:p w:rsidR="0025129F" w:rsidRDefault="0025129F" w:rsidP="0025129F">
      <w:pPr>
        <w:pStyle w:val="Extracto"/>
      </w:pPr>
      <w:r>
        <w:t>3.</w:t>
      </w:r>
      <w:r>
        <w:tab/>
        <w:t>Error patente con resultado de vulneración del art. 24.1 CE [FJ 4].</w:t>
      </w:r>
    </w:p>
    <w:p w:rsidR="0025129F" w:rsidRDefault="0025129F" w:rsidP="0025129F">
      <w:pPr>
        <w:pStyle w:val="Extracto"/>
      </w:pPr>
    </w:p>
    <w:p w:rsidR="0025129F" w:rsidRDefault="0025129F" w:rsidP="0025129F">
      <w:pPr>
        <w:pStyle w:val="Extracto"/>
      </w:pPr>
      <w:r>
        <w:t>4.</w:t>
      </w:r>
      <w:r>
        <w:tab/>
        <w:t>No existe un derecho a la igualdad en la ilegalidad (SSTC 1/1990, 78/1997) [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1865/99, promovido por doña Pilar Gascueña Pérez, representada por la Procuradora doña María Jesús Ruiz Esteban y asistida por la Letrada doña Concepción Begoña Rivero Barroso, contra la Sentencia de la Sección Tercera de la Sala de lo Contencioso-Administrativo del Tribunal Superior de Justicia de Madrid, de 25 de marzo de 1999 (dictada en el recurso núm. 2328/1995), recaída en materia de integra</w:t>
      </w:r>
      <w:r>
        <w:lastRenderedPageBreak/>
        <w:t>ción en la función pública de personal laboral. Han intervenido el Insalud, representado por el Procurador don José Granados Weil y asistido del Letrado don Javier Matoses López, y el Ministerio Fiscal. Ha sido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de fecha 5 de mayo de 1999 doña Pilar Gascueña Pérez interpuso demanda de amparo constitucional contra la resolución mencionada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traía causa la demanda eran los siguientes: </w:t>
      </w:r>
    </w:p>
    <w:p w:rsidR="0025129F" w:rsidRDefault="0025129F" w:rsidP="0025129F">
      <w:pPr>
        <w:pStyle w:val="TextoNormal"/>
      </w:pPr>
      <w:r>
        <w:t xml:space="preserve">a) La Sra. Gascueña era, desde 1981, trabajadora de la Cruz Roja y, tras una serie de vicisitudes que no vienen al caso, el Ministerio de Sanidad y Consumo inició en el año 1994 un procedimiento de integración de ciertos trabajadores laborales de la Cruz Roja en el régimen estatutario de la Seguridad Social, proceso regulado por el Real Decreto 1343/1990. La integración, según disponía la citada norma, se efectuaría respetando las categorías y grupos profesionales de procedencia en función de las titulaciones académicas correspondientes. </w:t>
      </w:r>
    </w:p>
    <w:p w:rsidR="0025129F" w:rsidRDefault="0025129F" w:rsidP="0025129F">
      <w:pPr>
        <w:pStyle w:val="TextoNormal"/>
      </w:pPr>
      <w:r>
        <w:t xml:space="preserve">b) Considerando que estaba en posesión de la titulación requerida (Bachillerato Superior), la recurrente solicitó la integración como Oficial Administrativo, categoría que le había sido reconocida en la Cruz Roja en diciembre de 1988 por Sentencia de la jurisdicción laboral (resolución de 29 de diciembre de 1988 de la Magistratura de Trabajo núm. 1 de Madrid). </w:t>
      </w:r>
    </w:p>
    <w:p w:rsidR="0025129F" w:rsidRDefault="0025129F" w:rsidP="0025129F">
      <w:pPr>
        <w:pStyle w:val="TextoNormal"/>
      </w:pPr>
      <w:r>
        <w:t xml:space="preserve">c) Por Resolución de 29 de agosto de 1994 la Dirección General del Insalud procedió a la integración, pero no con la categoría solicitada (Oficial), sino como Auxiliar. Tras ello, la Sra. Gascueña dirigió un escrito al Insalud en el que manifestó su desacuerdo con la decisión, por no haberse tenido en cuenta, ni la titulación acreditada, ni la categoría previamente adquirida y consolidada en la Cruz Roja. </w:t>
      </w:r>
    </w:p>
    <w:p w:rsidR="0025129F" w:rsidRDefault="0025129F" w:rsidP="0025129F">
      <w:pPr>
        <w:pStyle w:val="TextoNormal"/>
      </w:pPr>
      <w:r>
        <w:t xml:space="preserve">d) Como quiera que el Insalud consideraba correcta la integración como Auxiliar, por estimar que la categoría de origen era la de Auxiliar y no la de Oficial Administrativo, la solicitante de amparo interpuso recurso contencioso- administrativo, al entender que la negativa a integrarla como Oficial era contraria a Derecho. En apoyo de su recurso pretendió acreditar que, conforme a la Sentencia de la jurisdicción laboral del año 1988 arriba citada, había accedido a la categoría de Oficial Administrativo, y de hecho aportaba el título de Bachillerato Superior que era condición para ello. Asimismo afirmó que se había producido una situación discriminatoria en relación con otro trabajador al que sí se integró en la categoría que solicitó careciendo de la titulación adecuada. </w:t>
      </w:r>
    </w:p>
    <w:p w:rsidR="0025129F" w:rsidRDefault="0025129F" w:rsidP="0025129F">
      <w:pPr>
        <w:pStyle w:val="TextoNormal"/>
      </w:pPr>
      <w:r>
        <w:t>e) La Sala de lo Contencioso-Administrativo del Tribunal Superior de Justicia de Madrid desestimó el recurso mediante la Sentencia frente a la que se dirige la demanda de amparo. Las razones para rechazar la pretensión anulatoria fueron que la recurrente no había acreditado la titulación necesaria (Bachillerato Unificado y Polivalente, en adelante BUP, o Formación Profesional de segundo grado, en adelante FP 2) y que la alegación de discriminación no puede realizarse en relación con un supuesto de ilegalidad, no existiendo entonces término de comparación válido.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3</w:t>
      </w:r>
      <w:r>
        <w:t xml:space="preserve">. En la demanda la recurrente sostiene que la Sentencia del Tribunal Superior de Justicia de Madrid vulneró sus derechos a la igualdad (art. 14 CE) y a la tutela judicial efectiva sin indefensión (art. 24.1 CE). </w:t>
      </w:r>
    </w:p>
    <w:p w:rsidR="0025129F" w:rsidRDefault="0025129F" w:rsidP="0025129F">
      <w:pPr>
        <w:pStyle w:val="TextoNormal"/>
      </w:pPr>
      <w:r>
        <w:t>La primera de estas dos vulneraciones constitucionales consistiría en que otro de los trabajadores que se sometieron al proceso de integración, el Sr. Emilio Lama, fue integrado en la categoría que pidió pero sin tener la titulación habilitante para ello. Se trata de una discriminación y de un trato desigual, ya que en unos casos la ausencia de titulación adecuada permitió la integración (para el Sr. Lama) y en otros no (la recurrente). Y en cuanto al art. 24.1 CE la Sra. Gascueña sostiene que la Sala sentenciadora incurrió en un error patente por no tomar en consideración el título de Bachillerato aportado. En efecto, la recurrente aportó un título de Bachillerato expedido en el año 1982, y se le dijo que no era el requerido para la integración como Oficial, por no ser un título de BUP (o Bachiller Superior) o de FP 2 sino un simple título de “Bachiller”, insuficiente para los efectos pretendidos. Se trata a su juicio de un error patente y manifiesto, dado que el título aportado no puede ser otro que, precisamente, el de BUP regulado por la Ley General de Educación (Ley 14/1970, de 4 de agosto). Conforme al art. 29 de dicha Ley, que se reproduce e interpreta en la demanda, cualquier título de Bachillerato expedido bajo su vigencia es el denominado BUP. El error, además de patente y manifiesto, fue grave y fue determinante del fallo (ratio decidendi), por lo que la Sentencia menoscabó el derecho a la obtención de una resolución fundada en Derecho (art. 24.1 CE).</w:t>
      </w:r>
    </w:p>
    <w:p w:rsidR="0025129F" w:rsidRDefault="0025129F" w:rsidP="0025129F">
      <w:pPr>
        <w:pStyle w:val="TextoNormal"/>
      </w:pPr>
    </w:p>
    <w:p w:rsidR="0025129F" w:rsidRDefault="0025129F" w:rsidP="0025129F">
      <w:pPr>
        <w:pStyle w:val="TextoNormal"/>
      </w:pPr>
      <w:r w:rsidRPr="0025129F">
        <w:rPr>
          <w:rStyle w:val="NumeroAFNegritaCaracter"/>
        </w:rPr>
        <w:t>4</w:t>
      </w:r>
      <w:r>
        <w:t>. Una vez cumplimentado por la Sala sentenciadora el requerimiento (providencia de 9 de septiembre de 1999) para que remitiese fotocopia del expediente administrativo, y conforme al art. 50.3 LOTC, la Sección acordó oír a las partes y al Fiscal acerca de la posible concurrencia de la causa de inadmisión del art. 50.1 c) LOTC (carencia manifiesta de contenido).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La recurrente, por escrito de 25 de enero de 2000, solicitó la admisión y la estimación de la demanda, reiterando lo expuesto en el escrito con el que inició el presente proceso constitucional: vulneración de los arts. 14 CE (por discriminación en relación con otro trabajador) y 24.1 CE (por error patente), imputando ambos vicios a la Sentencia del Tribunal Superior de Justicia de Madrid. </w:t>
      </w:r>
    </w:p>
    <w:p w:rsidR="0025129F" w:rsidRDefault="0025129F" w:rsidP="0025129F">
      <w:pPr>
        <w:pStyle w:val="TextoNormal"/>
      </w:pPr>
      <w:r>
        <w:t>Por su parte, y mediante escrito de 31 de enero de 2000, el Fiscal consideró que la demanda tenía contenido para la admisión en lo relativo al art. 24.1 CE (no así respecto de la supuesta discriminación). Acerca de esto último afirmó que no es posible alegar la igualdad en relación con una situación ilegal (porque ilegal hubiese sido la integración del otro trabajador si efectivamente carecía de la titulación debida), que en todo caso las circunstancias eran distintas (categorías laborales distintas, titulaciones distintas) y por ello no eran susceptibles de comparación, y que, en cualquier caso, la alegación de discriminación no rebasaba lo meramente retórico. Por el contrario el Fiscal sí estimó que podía darse la vulneración del art. 24.1 CE, puesto que la Sala negó al título de la recurrente la virtualidad pretendida, y ello sin realizar comprobación alguna, y es posible que se produjese algún tipo de error (que resultó determinante del fallo). Por ello, estimando que esta alegación no carecía de contenido, solicitó la admisión de la demanda.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Mediante providencia de 6 de julio de 2000 la Sala Segunda de este Tribunal admitió la demanda y requirió a la Sala del Tribunal Superior de Justicia de Madrid para que remitiese las actuaciones y para que emplazase a las partes.</w:t>
      </w:r>
    </w:p>
    <w:p w:rsidR="0025129F" w:rsidRDefault="0025129F" w:rsidP="0025129F">
      <w:pPr>
        <w:pStyle w:val="TextoNormal"/>
      </w:pPr>
    </w:p>
    <w:p w:rsidR="0025129F" w:rsidRDefault="0025129F" w:rsidP="0025129F">
      <w:pPr>
        <w:pStyle w:val="TextoNormal"/>
      </w:pPr>
      <w:r w:rsidRPr="0025129F">
        <w:rPr>
          <w:rStyle w:val="NumeroAFNegritaCaracter"/>
        </w:rPr>
        <w:t>7</w:t>
      </w:r>
      <w:r>
        <w:t>. Por diligencia de ordenación de 14 de septiembre de 2000 la Sala tuvo por parte al Insalud (que se había personado por escrito de 9 de agosto del mismo año) y dio vista de las actuaciones para formular alegaciones (art. 52.1 LOTC).</w:t>
      </w:r>
    </w:p>
    <w:p w:rsidR="0025129F" w:rsidRDefault="0025129F" w:rsidP="0025129F">
      <w:pPr>
        <w:pStyle w:val="TextoNormal"/>
      </w:pPr>
    </w:p>
    <w:p w:rsidR="0025129F" w:rsidRDefault="0025129F" w:rsidP="0025129F">
      <w:pPr>
        <w:pStyle w:val="TextoNormal"/>
      </w:pPr>
      <w:r w:rsidRPr="0025129F">
        <w:rPr>
          <w:rStyle w:val="NumeroAFNegritaCaracter"/>
        </w:rPr>
        <w:t>8</w:t>
      </w:r>
      <w:r>
        <w:t>. La demandante de amparo reiteró, en escrito de 11 de octubre de 2000, que el título que había aportado para participar en el proceso de integración (título de Bachiller) no podía ser otro que el BUP (o Bachiller Superior), de modo que la Sala incurrió en un error evidente, pues evidente es que el título reúne a simple vista todos los requisitos exigidos para ser considerado como tal. Dicho ello citó la jurisprudencia constitucional relativa al error patente, para finalizar concluyendo que se daban las circunstancias necesarias a efectos de otorgar el amparo (error inmediatamente verificable a partir de las actuaciones, perjudicial para la parte que pide amparo, y que haya sido el soporte de la decisión o ratio decidendi). En cuanto al art. 14 CE la Sra. Gascueña sostuvo que en relación con otro funcionario se produjo una interpretación distinta y discriminatoria de la misma normativa reguladora de la integración del personal laboral: distinta porque, ante dos casos de ausencia de la titulación adecuada (el suyo y el de esta otra persona), en un caso sí se integró en la categoría pedida y en otro no. Por esta razón existió una desigualdad en la aplicación de la ley.</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En escrito de 2 de octubre de 2000 el Insalud manifestó que determinar si el título de Bachiller aportado por la recurrente era o no un título de Bachiller Superior representa un problema de legalidad ordinaria ajeno a la jurisdicción constitucional. </w:t>
      </w:r>
    </w:p>
    <w:p w:rsidR="0025129F" w:rsidRDefault="0025129F" w:rsidP="0025129F">
      <w:pPr>
        <w:pStyle w:val="TextoNormal"/>
      </w:pPr>
      <w:r>
        <w:t>En todo caso, de haberse producido un error, sería imputable a la Sra. Gascueña por no haber alegado en su defensa las razones por las que consideraba que su título sí era el que decía ser. Así, la Sala, a falta de otras alegaciones, estimó razonablemente que al contener sólo la expresión “de Bachiller”, el título no incluía el Bachiller Superior sino sólo el Elemental. Finalizó solicitando la denegación del amparo.</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Fiscal, en escrito de 13 de octubre de 2000, y en línea con lo anteriormente expresado en el trámite del art. 50.3 LOTC, se mostró favorable al otorgamiento del amparo por vulneración del art. 24.1 CE. No así, en cambio, por vulneración del art. 14 CE. </w:t>
      </w:r>
    </w:p>
    <w:p w:rsidR="0025129F" w:rsidRDefault="0025129F" w:rsidP="0025129F">
      <w:pPr>
        <w:pStyle w:val="TextoNormal"/>
      </w:pPr>
      <w:r>
        <w:t xml:space="preserve">En relación con esto último reiteró lo dicho sobre que la ilegalidad del término de comparación no es apta para realizar el juicio de igualdad, sobre las varias diferencias entre las dos situaciones a comparar (distintas categorías profesionales, distintas titulaciones) —que imposibilita asimismo cualquier comparación— y sobre el carácter retórico de la alegación. Descartada, a juicio del Fiscal, la discriminación supuestamente padecida, en cuanto al error patente y manifiesto, lesivo del art. 24.1 CE, sí apreció la vulneración constitucional. Conforme a jurisprudencia que se cita, el Tribunal Constitucional, sin constituir una tercera instancia revisora de la actuación de los órganos jurisdiccionales, sí puede y debe intervenir cuando aprecie la existencia de un error patente y manifiesto, grave, y determinante del sentido de la resolución del pleito. </w:t>
      </w:r>
    </w:p>
    <w:p w:rsidR="0025129F" w:rsidRDefault="0025129F" w:rsidP="0025129F">
      <w:pPr>
        <w:pStyle w:val="TextoNormal"/>
      </w:pPr>
      <w:r>
        <w:t xml:space="preserve">En el presente caso hubo un error detectable a simple vista y deducible del mero examen del expediente administrativo. El error consiste en que la Sala afirmó que el título no </w:t>
      </w:r>
      <w:r>
        <w:lastRenderedPageBreak/>
        <w:t>era el de BUP o Bachillerato Superior, cuando por el contrario el título presentado por la Sra. Gascueña no podía ser otro que el BUP, dado que en él se especificaba literalmente que otorga los derechos del art. 29 de la Ley 14/1970, precepto que regula el llamado BUP. Bastaba, en opinión del Fiscal, la lectura de dicho precepto legal para constatar que allí sólo se prevé un único título de Bachillerato, llamado “de bachiller”, que es el BUP previsto en la propia Ley 14/1970. La Sala incurrió en ese error evidente, y ello fue la razón de decidir de la resolución (fundamento de Derecho 5 de la Sentencia), causándose por consiguiente una situación de indefensión a la recurrente. Finalizó solicitando la estimación del amparo por vulneración del art. 24.1 CE, con anulación de la Sentencia y retroacción de las actuaciones para que se dicte otra respetuosa con dicho derecho fundamental.</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fecha 7 de febrero de 2002, se señaló para deliberación y fallo de la presente Sentencia, el día 11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demanda de amparo se dirige contra la Sentencia de la Sala de lo Contencioso-Administrativo del Tribunal Superior de Justicia de Madrid, de 25 de marzo de 1999, que desestimó el recurso de la Sra. Gascueña contra una resolución del Insalud que le había integrado en la función pública con la categoría de Auxiliar en lugar de con la categoría de Oficial.  La razón de ello fue la inexistencia de titulación suficiente (Bachillerato Unificado Polivalente o Bachillerato Superior). A juicio de la recurrente, y también del Fiscal, la apreciación que la Sala hizo del título de Bachillerato fue manifiestamente errónea, incurriendo en vulneración del derecho a la tutela judicial efectiva sin indefensión (art. 24.1 CE). En cambio el Fiscal no apreció discriminación alguna en relación con otro trabajador (art. 14 CE).  La Administración (el Insalud), personada en este proceso, defiende la corrección de la Sentencia y niega la vulneración de ambos derechos fundamentales.</w:t>
      </w:r>
    </w:p>
    <w:p w:rsidR="0025129F" w:rsidRDefault="0025129F" w:rsidP="0025129F">
      <w:pPr>
        <w:pStyle w:val="TextoNormal"/>
      </w:pPr>
    </w:p>
    <w:p w:rsidR="0025129F" w:rsidRDefault="0025129F" w:rsidP="0025129F">
      <w:pPr>
        <w:pStyle w:val="TextoNormal"/>
      </w:pPr>
      <w:r w:rsidRPr="0025129F">
        <w:rPr>
          <w:rStyle w:val="NumeroAFNegritaCaracter"/>
        </w:rPr>
        <w:t>2</w:t>
      </w:r>
      <w:r>
        <w:t>. Sin necesidad de gran esfuerzo argumentativo podemos comenzar afirmando que asiste la razón al Ministerio público cuando sostiene que no existió vulneración del art. 14 CE. Lo que pretende la recurrente es denunciar por inconstitucional un trato supuestamente discriminatorio en relación con un trabajador que se sometió al mismo proceso de integración y al cual, careciendo —a juicio de la recurrente— de la titulación necesaria, sí se le concedió la integración en la categoría pretendida. Ello no puede fundar un juicio constitucional de igualdad, puesto que la propia Sra.  Gascueña afirma que la resolución que procedió a la integración de esta persona fue una decisión contraria a Derecho, y es doctrina constitucional constante la de que no existe un derecho a la igualdad en la ilegalidad (por todas, SSTC 1/1990, de 15 de enero, FJ 2; 21/1992, de 14 de febrero, FJ 4; 157/1996, de 15 de octubre, FJ 4; y 78/1997, de 21 de abril, FJ 5). Es decir, el supuesto tratamiento ilegal que la Administración habría otorgado al otro funcionario no habilita a la recurrente a exigir un tratamiento similar, ni a traer con éxito ante este Tribunal una alegación de vulneración de su derecho a la igualdad en la aplicación de la ley (art. 14 CE).</w:t>
      </w:r>
    </w:p>
    <w:p w:rsidR="0025129F" w:rsidRDefault="0025129F" w:rsidP="0025129F">
      <w:pPr>
        <w:pStyle w:val="TextoNormal"/>
      </w:pPr>
      <w:r>
        <w:t>Además las circunstancias no son en absoluto equiparables, pues no se trataba de la misma titulación y de la misma categoría profesional. De manera que por todas estas razones la alegación de vulneración del derecho a la igualdad en la aplicación de la ley (art. 14 CE) no puede prosperar.</w:t>
      </w:r>
    </w:p>
    <w:p w:rsidR="0025129F" w:rsidRDefault="0025129F" w:rsidP="0025129F">
      <w:pPr>
        <w:pStyle w:val="TextoNormal"/>
      </w:pPr>
    </w:p>
    <w:p w:rsidR="0025129F" w:rsidRDefault="0025129F" w:rsidP="0025129F">
      <w:pPr>
        <w:pStyle w:val="TextoNormal"/>
      </w:pPr>
      <w:r w:rsidRPr="0025129F">
        <w:rPr>
          <w:rStyle w:val="NumeroAFNegritaCaracter"/>
        </w:rPr>
        <w:t>3</w:t>
      </w:r>
      <w:r>
        <w:t>. La otra queja de la Sra. Gascueña (el supuesto error patente) merece un análisis más detallado. Lo que se planteaba ante el Tribunal Superior de Justicia de Madrid era, fundamentalmente, si la categoría profesional que tenía en la Cruz Roja era la de Auxiliar, o por el contrario, la de Oficial Administrativo, conforme a una Sentencia de la Magistratura de Trabajo núm. 1 de Madrid. A este respecto, en su recurso contencioso- administrativo quien solicita nuestro amparo sostuvo que desde que se dictó esa resolución (diciembre de 1988, con efectos desde julio de 1987) tenía la categoría de Oficial, y que entonces la integración en la función pública debió haberse producido como Oficial. De hecho desde 1982 tenía la titulación requerida (Bachillerato Superior), con lo que se daban los dos requisitos legales para que el Insalud la integrase como Oficial, a saber: tener la categoría laboral de Oficial, y estar en posesión de la titulación requerida, ambas cosas con anterioridad a 1 de diciembre de 1990.</w:t>
      </w:r>
    </w:p>
    <w:p w:rsidR="0025129F" w:rsidRDefault="0025129F" w:rsidP="0025129F">
      <w:pPr>
        <w:pStyle w:val="TextoNormal"/>
      </w:pPr>
      <w:r>
        <w:t>Sin embargo la Sala no se detuvo en absoluto en analizar los efectos de la Sentencia de la jurisdicción laboral (no mencionándose la cuestión como argumentación sino sólo como hechos: fundamentos de Derecho 2 y 3). Por el contrario en su fundamento de Derecho quinto rechazó la pretensión de la recurrente porque no acreditó estar en posesión de la titulación exigida. Como veremos posteriormente es ésta una circunstancia de relevancia para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4</w:t>
      </w:r>
      <w:r>
        <w:t>. Para determinar si, como se sostiene, existió un error patente con resultado de vulneración del art. 24.1 CE es preciso recordar brevemente lo que este Tribunal tiene establecido al respecto. El error, por regla general, ha de ser un error fáctico, es decir, relativo a los presupuestos de hecho del pleito, y no una cuestión de Derecho o de interpretación jurídica (por todas, STC 177/2001, de 17 de septiembre, FJ 4). Por ello los problemas de interpretación, que por lo común admiten distintas soluciones posibles en Derecho, quedan, en principio, fuera de la aplicación de la doctrina del error patente. Además de esa primera consideración general, en las SSTC 96/2000, de 10 de abril (FJ 5), 217/2000, de 18 de septiembre (FJ 3), 134/2001, de 13 de junio (FJ 6), 172/2001, de 19 de julio (FJ 3), añadimos que para que un error que cometa un órgano judicial en su resolución adquiera relevancia constitucional, han de darse varias circunstancias: que resulte determinante del fallo, que pueda imputarse al Juez o Tribunal (y no a la parte, por negligencia), que produzca consecuencias negativas reales para quien dice haberlo sufrido y, finalmente, que sea patente o manifiesto, en el sentido de inmediatamente detectable a partir de las actuaciones judiciales.</w:t>
      </w:r>
    </w:p>
    <w:p w:rsidR="0025129F" w:rsidRDefault="0025129F" w:rsidP="0025129F">
      <w:pPr>
        <w:pStyle w:val="TextoNormal"/>
      </w:pPr>
    </w:p>
    <w:p w:rsidR="0025129F" w:rsidRDefault="0025129F" w:rsidP="0025129F">
      <w:pPr>
        <w:pStyle w:val="TextoNormal"/>
      </w:pPr>
      <w:r w:rsidRPr="0025129F">
        <w:rPr>
          <w:rStyle w:val="NumeroAFNegritaCaracter"/>
        </w:rPr>
        <w:t>5</w:t>
      </w:r>
      <w:r>
        <w:t>. De lo que se trata es, aplicando tales criterios, de examinar si la negativa de la Sala sentenciadora a considerar el título de la Sra. Gascueña como un título de BUP o de Bachiller Superior es o no un error patente.</w:t>
      </w:r>
    </w:p>
    <w:p w:rsidR="0025129F" w:rsidRDefault="0025129F" w:rsidP="0025129F">
      <w:pPr>
        <w:pStyle w:val="TextoNormal"/>
      </w:pPr>
      <w:r>
        <w:t xml:space="preserve">Para ello debemos comenzar por descartar que se trate de una cuestión de Derecho o interpretativa. En efecto, el título que la recurrente aportaba constituye el material o soporte fáctico del pleito, es decir, es “el hecho objeto del juicio” o también el “material de hecho sobre el que se asienta la decisión” (STC 112/1998, de 1 de junio, FJ 2), y no es susceptible de operación interpretativa o hermenéutica. Lo que la Sala debía hacer era, simplemente, constatar que el documento que se le presentaba era un título de BUP o Bachiller Superior, sin realizar esfuerzo argumentativo ni proceder a mayores indagaciones jurídicas. De manera que, o se trataba, a la vista del documento, de un título de BUP, o, por el contrario, </w:t>
      </w:r>
      <w:r>
        <w:lastRenderedPageBreak/>
        <w:t>no era un título de BUP, sin posibilidad de un tertium genus. Cosa distinta sería sido si lo planteado hubiese sido un problema de homologación o equivalencia de títulos, con aplicación de reglas y criterios previamente establecidos por las autoridades educativas o sanitarias, o con comprobación e interpretación de planes de estudio, por ejemplo. En ese caso posiblemente no fuese de aplicación la doctrina del error patente, pues la Sala hubiese ponderado, por ejemplo, los contenidos de las asignaturas, las condiciones de expedición del título, etc., llevando a cabo una actividad no fáctica o de estricta comprobación sino típica del razonamiento e interpretación normativa.</w:t>
      </w:r>
    </w:p>
    <w:p w:rsidR="0025129F" w:rsidRDefault="0025129F" w:rsidP="0025129F">
      <w:pPr>
        <w:pStyle w:val="TextoNormal"/>
      </w:pPr>
      <w:r>
        <w:t>Ciertamente, en el documento que incorpora el título no se recogen las palabras “Bachillerato Unificado y Polivalente” (BUP) o Bachillerato Superior, que es lo que la Sala aparentemente requería para la estimación del recurso. Dicho documento expresa, entre otras cosas, el nombre de la recurrente, y hace constar que ha superado las materias del Plan de Estudios de 1975. Así, en él figura que se expide el “Título de Bachiller que otorga al interesado los derechos establecidos en el artículo 29 de la Ley 14/1970 de 4 de agosto”. De modo que, en rigor, para que la Sala hubiese dado respuesta a lo pedido hubiese debido acudir a dicho precepto legal y comprobar que efectivamente el citado art. 29 (y el Plan de Estudios del año 1975) se refiere al BUP.  Pero el que fuese conveniente, cuando no necesaria, la consulta de un precepto legal no convierte la cuestión en un problema de interpretación jurídica. El bachillerato se regula en la Ley General de Educación (Ley 14/1970) como uno de los niveles del sistema educativo (art. 12.1) y se define en el art. 21.1. El art. 21.2 establece que será “unificado y polivalente”, pero la ley se refiere en todo momento al “Bachillerato” a secas y no al BUP, seguramente porque parte de que son la misma cosa. De hecho cuando alude a la expedición del título (art. 29) habla del “título de Bachiller”. Por su parte el Decreto 160/1975, de 23 de enero, regulador del plan de estudios del Bachillerato alude igualmente al bachillerato a secas (su art. 9 reitera el art. 29 de la Ley de 1970, e idéntica mención aparece en el art. 8 de la Orden de 22 de marzo de 1975, dictada en desarrollo del anterior Decreto).</w:t>
      </w:r>
    </w:p>
    <w:p w:rsidR="0025129F" w:rsidRDefault="0025129F" w:rsidP="0025129F">
      <w:pPr>
        <w:pStyle w:val="TextoNormal"/>
      </w:pPr>
      <w:r>
        <w:t>De manera que un título, como el que es objeto del presente recurso, que rece “de Bachiller”, en el que conste que se han superado las materias del plan de estudios de 1975 y que otorga al interesado los derechos establecidos en el art. 29 de la Ley 14/1970, es indiscutible e inequívocamente el título conocido como BUP (pues repetimos que bajo la Ley 14/1970 no hay título de Bachillerato que no sea el BUP). Bien es cierto que la terminología acaso se pueda prestar a confusión, pues la locución o acrónimo vulgarmente acuñado era el BUP, acaso para diferenciar el Bachillerato característico de la Ley de 1970 (el BUP) de los anteriores bachilleratos elemental, técnico o general. Pero ante un título con tales especificaciones normativas (como ya ha quedado dicho, se decía expresamente que “otorga al interesado los derechos establecidos en el art.  29 de la Ley 14/1970”, tratándose pues del único bachillerato previsto en dicha Ley, que no era sino el BUP), y en la línea de lo señalado por el Ministerio Fiscal, un mínimo examen o cotejo a simple vista —que no interpretación— de esta legislación hubiese debido conducir derechamente a admitirlo como título de BUP.</w:t>
      </w:r>
    </w:p>
    <w:p w:rsidR="0025129F" w:rsidRDefault="0025129F" w:rsidP="0025129F">
      <w:pPr>
        <w:pStyle w:val="TextoNormal"/>
      </w:pPr>
    </w:p>
    <w:p w:rsidR="0025129F" w:rsidRDefault="0025129F" w:rsidP="0025129F">
      <w:pPr>
        <w:pStyle w:val="TextoNormal"/>
      </w:pPr>
      <w:r w:rsidRPr="0025129F">
        <w:rPr>
          <w:rStyle w:val="NumeroAFNegritaCaracter"/>
        </w:rPr>
        <w:t>6</w:t>
      </w:r>
      <w:r>
        <w:t>. Situados ya en el campo de las cuestiones meramente fácticas, hemos de dar un paso más y plantearnos si se dan los requisitos que la jurisprudencia constitucional tiene establecidos para el error patente lesivo del art. 24.1 CE. En primer lugar, la equivocada apreciación del título académico fue el soporte argumental de la resolución judicial impugnada.  No otra cosa puede concluirse de la siguiente frase:</w:t>
      </w:r>
    </w:p>
    <w:p w:rsidR="0025129F" w:rsidRDefault="0025129F" w:rsidP="0025129F">
      <w:pPr>
        <w:pStyle w:val="TextoNormal"/>
      </w:pPr>
      <w:r>
        <w:lastRenderedPageBreak/>
        <w:t>“En el expediente administrativo sólo figuran un denominado título ‘de Bachiller’, que no consta sea el BUP o el Bachiller Superior, y el título de Bachiller Laboral Elemental, es decir, que no eran aptos para la integración en el Grupo Administrativo, por cuya razón ésta tenía que realizarse —como se realizó— como Auxiliar Administrativo de Función Administrativa, y al entenderlo así la resolución de la Dirección General del Insalud de 29 de agosto de 1994 ha de ser confirmada como acomodada a la normativa de aplicación”</w:t>
      </w:r>
    </w:p>
    <w:p w:rsidR="0025129F" w:rsidRDefault="0025129F" w:rsidP="0025129F">
      <w:pPr>
        <w:pStyle w:val="TextoNormal"/>
      </w:pPr>
      <w:r>
        <w:t>Luego la razón que condujo a la Sala a desestimar el recurso fue la valoración del título. Si además se hubiese manejado el argumento de la falta de adquisición por Sentencia de la condición de Oficial Administrativo, acaso hubiese existido otro fundamento del fallo, pero no fue así: el Tribunal Superior de Justicia de Madrid desestimó el recurso por falta de titulación y no por no tener la recurrente la categoría correspondiente en la Cruz Roja.</w:t>
      </w:r>
    </w:p>
    <w:p w:rsidR="0025129F" w:rsidRDefault="0025129F" w:rsidP="0025129F">
      <w:pPr>
        <w:pStyle w:val="TextoNormal"/>
      </w:pPr>
      <w:r>
        <w:t>En segundo lugar, el error no es imputable a la parte sino a la Sala, habida cuenta de que tanto en el recurso (hecho duodécimo) como en el escrito de conclusiones (párrafo segundo) la Sra. Gascueña afirmó estar en posesión de la titulación requerida, el Bachillerato Superior, oponiéndose expresamente a la alegación en contrario de la Administración demandada.  En tercer lugar resulta evidente que ello causó un perjuicio real y efectivo a la recurrente, pues le privó de ver reconocido su derecho a ser integrada en el Insalud con la categoría de Oficial.</w:t>
      </w:r>
    </w:p>
    <w:p w:rsidR="0025129F" w:rsidRDefault="0025129F" w:rsidP="0025129F">
      <w:pPr>
        <w:pStyle w:val="TextoNormal"/>
      </w:pPr>
      <w:r>
        <w:t>Por último, el error es patente y manifiesto, es decir, inmediatamente o a simple vista verificable a partir de las actuaciones o de la realidad. Ya hemos dicho que afirmar que un título de Bachiller expedido conforme a la Ley 14/1970 y al Plan de Estudios de 1975 no es el de BUP es una equivocación evidente, perceptible incluso sin tener a la vista la norma legal (y probablemente detectable por cualquier persona lega en Derecho pero mínimamente familiarizada con los niveles educativos). El hecho de ser tal vez conveniente o aconsejable acudir a la consulta de la Ley 14/1970 no convierte el error en disculpable ni le resta ese carácter patente y manifiesto: la Sala ignoró por completo las indicaciones relativas al Plan de Estudios y a la Ley de 1970, siendo su resolución absolutamente contraria a la realidad de los hechos.</w:t>
      </w:r>
    </w:p>
    <w:p w:rsidR="0025129F" w:rsidRDefault="0025129F" w:rsidP="0025129F">
      <w:pPr>
        <w:pStyle w:val="TextoNormal"/>
      </w:pPr>
    </w:p>
    <w:p w:rsidR="0025129F" w:rsidRDefault="0025129F" w:rsidP="0025129F">
      <w:pPr>
        <w:pStyle w:val="TextoNormal"/>
      </w:pPr>
      <w:r w:rsidRPr="0025129F">
        <w:rPr>
          <w:rStyle w:val="NumeroAFNegritaCaracter"/>
        </w:rPr>
        <w:t>7</w:t>
      </w:r>
      <w:r>
        <w:t>. Así pues, la equivocación cometida por la Sala negando al título de la Sra. Gascueña un valor y unos efectos que evidentemente tenía representa un error patente y manifiesto que, al ser el sustento argumental de la Sentencia, impide considerarla una resolución fundada en Derecho.  Debemos pues afirmar vulnerado el derecho de la demandante a la tutela judicial efectiva sin indefensión (art. 24.1 CE). En cuanto al alcance de nuestro fallo, no impugnándose la resolución administrativa sino sólo la Sentencia del Tribunal Superior de Justicia de Madrid, anulamos ésta y retrotraemos las actuaciones a fin de que se dicte una nueva resolución respetuosa con el citado derecho fundamental.</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su virtud:</w:t>
      </w:r>
    </w:p>
    <w:p w:rsidR="0025129F" w:rsidRDefault="0025129F" w:rsidP="0025129F">
      <w:pPr>
        <w:pStyle w:val="TextoNormal"/>
      </w:pPr>
      <w:r>
        <w:lastRenderedPageBreak/>
        <w:t>1º Declarar que se ha vulnerado a doña Pilar Gascueña Pérez su derecho a la tutela judicial efectiva sin indefensión.</w:t>
      </w:r>
    </w:p>
    <w:p w:rsidR="0025129F" w:rsidRDefault="0025129F" w:rsidP="0025129F">
      <w:pPr>
        <w:pStyle w:val="TextoNormal"/>
      </w:pPr>
      <w:r>
        <w:t>2º Restablecerla en su derecho y, a tal fin, declarar la nulidad de la Sentencia de la Sección Tercera de la Sala de lo Contencioso-Administrativo del Tribunal Superior de Justicia de Madrid de 25 de marzo de 1999 (recurso núm. 2328/95), retrotrayendo las actuaciones al momento anterior al de dictarse ésta para que se pronuncie otra respetuosa con el antes citado derecho fundamental.</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8" w:name="SENTENCIA_2002_35"/>
      <w:r>
        <w:lastRenderedPageBreak/>
        <w:t>SENTENCIA 35/2002, de 11 de febrero de 2002</w:t>
      </w:r>
    </w:p>
    <w:bookmarkEnd w:id="38"/>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ECLI:ES:TC:2002:35</w:t>
      </w:r>
    </w:p>
    <w:p w:rsidR="0025129F" w:rsidRDefault="0025129F" w:rsidP="0025129F">
      <w:pPr>
        <w:pStyle w:val="SntesisDescriptiva"/>
      </w:pPr>
    </w:p>
    <w:p w:rsidR="0025129F" w:rsidRDefault="0025129F" w:rsidP="0025129F">
      <w:pPr>
        <w:pStyle w:val="SntesisDescriptiva"/>
      </w:pPr>
      <w:r>
        <w:t>Recurso de amparo 243-2000. Promovido por PROCONO, S.A., frente a la Sentencia de un Juzgado de lo Contencioso-Administrativo de Córdoba que desestimó su demanda contra el Ayuntamiento para canalizar el cableado necesario para una televisión local.</w:t>
      </w:r>
    </w:p>
    <w:p w:rsidR="0025129F" w:rsidRDefault="0025129F" w:rsidP="0025129F">
      <w:pPr>
        <w:pStyle w:val="SntesisDescriptiva"/>
      </w:pPr>
    </w:p>
    <w:p w:rsidR="0025129F" w:rsidRDefault="0025129F" w:rsidP="0025129F">
      <w:pPr>
        <w:pStyle w:val="SntesisAnaltica"/>
      </w:pPr>
      <w:r>
        <w:t>Vulneración del derecho a la tutela judicial efectiva (incongruencia y motivación): Sentencia que no da respuesta a la cuestión de si se ha aplicado retroactivamente una legislación restrictiva de derechos, y que no motiva la negativa a plantear cuestión de inconstitucionalidad.</w:t>
      </w:r>
    </w:p>
    <w:p w:rsidR="0025129F" w:rsidRDefault="0025129F" w:rsidP="0025129F">
      <w:pPr>
        <w:pStyle w:val="SntesisAnaltica"/>
      </w:pPr>
    </w:p>
    <w:p w:rsidR="0025129F" w:rsidRDefault="0025129F" w:rsidP="0025129F">
      <w:pPr>
        <w:pStyle w:val="Extracto"/>
      </w:pPr>
      <w:r>
        <w:t>1.</w:t>
      </w:r>
      <w:r>
        <w:tab/>
        <w:t>El razonamiento que, desde la perspectiva tanto fáctica como jurídica, ha llevado al órgano judicial a la decisión de plantear o no la cuestión de inconstitucionalidad solicitada por la sociedad anónima recurrente debe ser exteriorizado de manera suficiente y adecuada [FJ 3].</w:t>
      </w:r>
    </w:p>
    <w:p w:rsidR="0025129F" w:rsidRDefault="0025129F" w:rsidP="0025129F">
      <w:pPr>
        <w:pStyle w:val="Extracto"/>
      </w:pPr>
    </w:p>
    <w:p w:rsidR="0025129F" w:rsidRDefault="0025129F" w:rsidP="0025129F">
      <w:pPr>
        <w:pStyle w:val="Extracto"/>
      </w:pPr>
      <w:r>
        <w:t>2.</w:t>
      </w:r>
      <w:r>
        <w:tab/>
        <w:t>La decisión de un órgano judicial de no elevar ante este Tribunal una cuestión de inconstitucionalidad no viola el derecho a la tutela judicial efectiva (arts. 163 CE y 35 LOTC; SSTC 159/1997 y 119/1998) [FJ 3].</w:t>
      </w:r>
    </w:p>
    <w:p w:rsidR="0025129F" w:rsidRDefault="0025129F" w:rsidP="0025129F">
      <w:pPr>
        <w:pStyle w:val="Extracto"/>
      </w:pPr>
    </w:p>
    <w:p w:rsidR="0025129F" w:rsidRDefault="0025129F" w:rsidP="0025129F">
      <w:pPr>
        <w:pStyle w:val="Extracto"/>
      </w:pPr>
      <w:r>
        <w:t>3.</w:t>
      </w:r>
      <w:r>
        <w:tab/>
        <w:t>La exigencia de motivación de las Sentencias está directamente relacionada con los principios de un Estado de Derecho (STC 24/1990) [FJ 3].</w:t>
      </w:r>
    </w:p>
    <w:p w:rsidR="0025129F" w:rsidRDefault="0025129F" w:rsidP="0025129F">
      <w:pPr>
        <w:pStyle w:val="Extracto"/>
      </w:pPr>
    </w:p>
    <w:p w:rsidR="0025129F" w:rsidRDefault="0025129F" w:rsidP="0025129F">
      <w:pPr>
        <w:pStyle w:val="Extracto"/>
      </w:pPr>
      <w:r>
        <w:t>4.</w:t>
      </w:r>
      <w:r>
        <w:tab/>
        <w:t>La pretensión de anulación del acto administrativo denegatorio de licencia por vulneración del art. 9.3 CE, al aplicar con carácter retroactivo una legislación restrictiva de derechos individuales, no encontró respuesta alguna en la escueta fundamentación de la Sentencia, que incurrió en incongruencia omisiva contraria al art. 24.1 CE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243-2000, promovido por la entidad mercantil PROCONO, S.A., representada por el Procurador de los Tribunales don Luciano Rosch Nadal y asistida por el Letrado don Juan José Clavero Ternero, contra la Sentencia de 9 de septiembre de 1999 del Juzgado de lo Contencioso-Administrativo núm. 1 de Córdoba, recaída en el recurso contencioso-administrativo núm. 390/99, por la que se desestima la pretensión de la demandante de que se declarase la nulidad de la Resolución del Presidente de la Gerencia de Urbanismo de Córdoba de 18 de marzo de 1999, por la que se denegaba autorización para realizar una canalización en la calle Manuel de Falla de dicha ciudad, que permitiera la instalación del cableado necesario para ejercer la actividad de televisión local mediante este medio técnico. Ha intervenido el Ministerio Fiscal.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día 12 de enero de 2000, el Procurador de los Tribunales don Luciano Rosch Nadal, en nombre y representación de la mercantil PROCONO, S.A., interpuso demanda de amparo constitucional contra la Sentencia referida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son, en síntesis, los siguientes: </w:t>
      </w:r>
    </w:p>
    <w:p w:rsidR="0025129F" w:rsidRDefault="0025129F" w:rsidP="0025129F">
      <w:pPr>
        <w:pStyle w:val="TextoNormal"/>
      </w:pPr>
      <w:r>
        <w:t xml:space="preserve">a) La entidad mercantil recurrente viene ejerciendo desde mediados de los años ochenta su actividad en la prestación del servicio de televisión local por cable, al amparo de distintas Sentencias del Tribunal Supremo, así como de nuestra Sentencia 281/1994, de 17 de octubre, que declararon expresamente su derecho a ejercer este tipo de actividad en la ciudad de Córdoba. </w:t>
      </w:r>
    </w:p>
    <w:p w:rsidR="0025129F" w:rsidRDefault="0025129F" w:rsidP="0025129F">
      <w:pPr>
        <w:pStyle w:val="TextoNormal"/>
      </w:pPr>
      <w:r>
        <w:t xml:space="preserve">b) Con fecha 10 de febrero de 1999, PROCONO, S.A., solicitó a la Gerencia de Urbanismo de Córdoba la correspondiente autorización para realizar una canalización en la calle Manuel de Falla de dicha ciudad, para proceder a la instalación de cable que sirviera de soporte técnico para su actividad empresarial. </w:t>
      </w:r>
    </w:p>
    <w:p w:rsidR="0025129F" w:rsidRDefault="0025129F" w:rsidP="0025129F">
      <w:pPr>
        <w:pStyle w:val="TextoNormal"/>
      </w:pPr>
      <w:r>
        <w:t xml:space="preserve">c) El Presidente de la Gerencia de Urbanismo denegó, mediante Resolución de 18 de marzo de 1999, la autorización solicitada, por el motivo, exclusivamente, de que PROCONO, S.A., “no dispone de habilitación estatal” para la prestación del servicio de televisión por cable y “tratarse de una inversión nueva y no de un mero mantenimiento o reposición”. Este acto administrativo fue impugnado mediante recurso contencioso- administrativo, interpuesto ante la Sala de lo Contencioso-Administrativo del Tribunal Superior de Justicia de Andalucía en Sevilla. Este órgano judicial, no obstante, declaró la competencia para conocer del recurso del Juzgado de lo Contencioso-Administrativo núm. 1 de Córdoba, que la asumió. </w:t>
      </w:r>
    </w:p>
    <w:p w:rsidR="0025129F" w:rsidRDefault="0025129F" w:rsidP="0025129F">
      <w:pPr>
        <w:pStyle w:val="TextoNormal"/>
      </w:pPr>
      <w:r>
        <w:t xml:space="preserve">d) Mediante providencia de 21 de mayo de 1999, el citado Juzgado emplazó a la demandante para que compareciese ante el mismo y formulase directamente la demanda, en el supuesto de que la cuantía del recurso fuese inferior a 500.000 pesetas, lo que efectivamente sucedía al ser el valor de las canalizaciones de 264.000 pesetas, continuando la sustanciación del proceso administrativo por los trámites del llamado “procedimiento abreviado” (art. 78 de la Ley 29/1998, de 13 de julio, reguladora de la jurisdicción contencioso-administrativa). </w:t>
      </w:r>
    </w:p>
    <w:p w:rsidR="0025129F" w:rsidRDefault="0025129F" w:rsidP="0025129F">
      <w:pPr>
        <w:pStyle w:val="TextoNormal"/>
      </w:pPr>
      <w:r>
        <w:lastRenderedPageBreak/>
        <w:t xml:space="preserve">e) En su escrito de demanda, la sociedad recurrente formuló pretensión a favor de la declaración de nulidad de la resolución del Presidente de la Gerencia de Urbanismo de Córdoba porque, entre otras cosas, este acto administrativo aplicaría “con carácter retroactivo una legislación restrictiva de derechos individuales”, “incidiendo en derechos consolidados e integrados en el patrimonio jurídico” de PROCONO, S.A., así como del derecho de esta sociedad a obtener efectivamente la autorización para proceder a efectuar la pertinente canalización para el cableado de la calle Manuel de Falla. Solicitaba, también, “en la medida en que fuere necesario”, el planteamiento de cuestión de inconstitucionalidad de distintos preceptos legales destinados a la ordenación del servicio de televisión local por cable en nuestro país, “en cuanto que al declarar a la televisión por cable de ámbito local como servicio público esencial de titularidad estatal” se vulneran los arts. 9.3, 20 y 53.1 de nuestro texto constitucional. </w:t>
      </w:r>
    </w:p>
    <w:p w:rsidR="0025129F" w:rsidRDefault="0025129F" w:rsidP="0025129F">
      <w:pPr>
        <w:pStyle w:val="TextoNormal"/>
      </w:pPr>
      <w:r>
        <w:t xml:space="preserve">Los preceptos cuestionados eran, en concreto, el art. 1.2 de la Ley 4/1980, de 10 de enero, de estatuto de la radio y la televisión; la Disposición adicional primera de la Ley 46/1983, de 26 de diciembre, reguladora del tercer canal de televisión; el art. 25, apartados 1 y 2 de la Ley 37/1987, de 18 de diciembre, de ordenación de las telecomunicaciones; y el art. 1 de la Ley 42/1995, de 22 de diciembre, de las telecomunicaciones por cable. </w:t>
      </w:r>
    </w:p>
    <w:p w:rsidR="0025129F" w:rsidRDefault="0025129F" w:rsidP="0025129F">
      <w:pPr>
        <w:pStyle w:val="TextoNormal"/>
      </w:pPr>
      <w:r>
        <w:t xml:space="preserve">f) Con fecha 9 de septiembre de 1999 tuvo lugar el trámite de vista oral previsto en el art. 78 LJCA de 1998, en el marco del procedimiento contencioso-administrativo abreviado. En el acta de la vista consta que la parte demandante consideró en sus conclusiones que “[e]l acto recurrido se ajusta a la legislación vigente en materia de telecomunicaciones, en concreto a la legislación en materia de televisión por cable, que sería contraria a los arts. 9.3, 20 y 53.1 de la Constitución”. Por su parte, la Administración municipal demandada manifestó que “la resolución es conforme con la legislación local vigente y es esto lo único que puede ser objeto de este procedimiento”. </w:t>
      </w:r>
    </w:p>
    <w:p w:rsidR="0025129F" w:rsidRDefault="0025129F" w:rsidP="0025129F">
      <w:pPr>
        <w:pStyle w:val="TextoNormal"/>
      </w:pPr>
      <w:r>
        <w:t xml:space="preserve">g) El Juzgado dictó Sentencia el 9 de septiembre de 1999, en la que desestimó la demanda de la actora, confirmando la resolución recurrida en todos sus extremos. En el fundamento jurídico primero de esta resolución judicial se dice de manera literal que: “La parte demandante acepta que la resolución recurrida es ajustada a la legislación municipal vigente aplicable al caso, pero que ésta es contraria a los arts. 9.3, 20 y 53.1 de la Constitución. ... [e]n este concreto procedimiento, visto su objeto y demás circunstancias concurrentes, no existe base para, a partir de él, plantear una cuestión de inconstitucionalidad” </w:t>
      </w:r>
    </w:p>
    <w:p w:rsidR="0025129F" w:rsidRDefault="0025129F" w:rsidP="0025129F">
      <w:pPr>
        <w:pStyle w:val="TextoNormal"/>
      </w:pPr>
      <w:r>
        <w:t xml:space="preserve">h) Contra esta Sentencia se promovió, por un lado, el correspondiente incidente de nulidad de actuaciones, y, por otro, se planteó un primer recurso de amparo (núm. de registro 4193/99). En este último escrito se indicaba “mediante otrosí que dicho recurso se interponía ad cautelam y por si no fuese necesario el incidente de nulidad de actuaciones promovido ante el Juzgado de lo Contencioso-administrativo núm. 1 de Córdoba” al amparo del art. 240.3 LOPJ. El citado recurso de amparo fue inadmitido por providencia de 16 de diciembre de 1999 de la Sección Segunda de este Tribunal, de conformidad con lo dispuesto en el art. 50.1 a), en relación con el art. 44.1 a), ambos de la LOTC, por falta de agotamiento de la vía judicial previa. </w:t>
      </w:r>
    </w:p>
    <w:p w:rsidR="0025129F" w:rsidRDefault="0025129F" w:rsidP="0025129F">
      <w:pPr>
        <w:pStyle w:val="TextoNormal"/>
      </w:pPr>
      <w:r>
        <w:t>Paralelamente se había venido tramitando el correspondiente incidente de nulidad de actuaciones promovido por la recurrente, quien, en su escrito presentado el 8 de octubre de 1999, había puesto de manifiesto que la Sentencia impugnada habría violado “los derechos fundamentales a la prohibición de indefensión y tutela judicial efectiva consagrados en el art. 24.1 CE puesto que ha existido una manifiesto error, una incongruencia omisiva y falta de motivación”. El “error evidente” denunciado por la recurrente habría sido provocado, en primer término, por el comportamiento del Juez al indicar que “la parte deman</w:t>
      </w:r>
      <w:r>
        <w:lastRenderedPageBreak/>
        <w:t xml:space="preserve">dada acepta que la resolución recurrida es ajustada a la legislación municipal vigente aplicable al caso”, cuando “esta parte, ni en la demanda ni en el acta del juicio, mencionó ni hizo la más mínima alusión a la ‘legislación municipal vigente aplicable al caso’”. La incongruencia omisiva, en segundo lugar, vendría propiciada por la circunstancia de que “la sentencia no analiza ni se pronuncia sobre la cuestión planteada en el fundamento 5 de la demanda”, relativa a la vulneración por parte de la resolución recurrida del art. 9.3 CE “al aplicar con carácter retroactivo una legislación restrictiva de derechos individuales y vulnerar derechos adquiridos”. La queja de falta de motivación derivaría, finalmente, del hecho de que en la Sentencia “no se explica el porqué el objeto del recurso impide plantear una cuestión de inconstitucionalidad a que se refería la demanda, ni especifica ni aclara cuáles son ‘las demás circunstancias concurrentes’ para llegar a dicha conclusión”. </w:t>
      </w:r>
    </w:p>
    <w:p w:rsidR="0025129F" w:rsidRDefault="0025129F" w:rsidP="0025129F">
      <w:pPr>
        <w:pStyle w:val="TextoNormal"/>
      </w:pPr>
      <w:r>
        <w:t xml:space="preserve">Desatendiendo por completo las alegaciones de la sociedad recurrente, el Juzgado de lo Contencioso-Administrativo núm. 1 de Córdoba dictó el Auto de 14 de diciembre de 1999, mediante el que desestimaba “la pretensión de nulidad de actuaciones planteada”. </w:t>
      </w:r>
    </w:p>
    <w:p w:rsidR="0025129F" w:rsidRDefault="0025129F" w:rsidP="0025129F">
      <w:pPr>
        <w:pStyle w:val="TextoNormal"/>
      </w:pPr>
      <w:r>
        <w:t>i) Así agotada la vía judicial previa, PROCONO, S.A., insta este segundo recurso de amparo constitucional contra la tantas veces citada Sentencia firme de 9 de septiembre de 1999, dictada por el Juzgado de lo Contencioso-Administrativo núm. 1 de Córdoba.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demandante en amparo denuncia ante este Tribunal, como ya lo había hecho previamente ante el citado Juzgado en su escrito de solicitud de nulidad de actuaciones de 8 de octubre 1999, la infracción por parte de la Sentencia impugnada de “los derechos a la prohibición de indefensión y tutela judicial efectiva consagrados en el art. 24.1 de la Constitución”, solicitando que se declare su derecho a que el citado Juzgado proceda a dictar “otra sentencia debidamente motivada”, así como que resuelva la cuestión relativa a la presunta vulneración por parte de la resolución del Presidente de la Gerencia de Urbanismo de Córdoba del art. 9.3 CE “al aplicar con carácter retroactivo una legislación restrictiva de derechos individuales y vulnerar derechos adquiridos”, cuestión esta expresamente planteada originariamente en el fundamento jurídico quinto de la demanda contencioso-administrativa y que no habría sido resuelta en la Sentencia ahora recurrida en amparo. </w:t>
      </w:r>
    </w:p>
    <w:p w:rsidR="0025129F" w:rsidRDefault="0025129F" w:rsidP="0025129F">
      <w:pPr>
        <w:pStyle w:val="TextoNormal"/>
      </w:pPr>
      <w:r>
        <w:t>PROCONO, S.A., apoya sus pretensiones sobre la base de las consideraciones siguientes: a) La Sentencia impugnada, en primer lugar, habría resuelto el recurso contencioso-administrativo partiendo de “unos fundamentos que nada tienen que ver con los planteamientos de la demanda, hasta el punto que se refiere a la ‘legislación municipal aplicable al caso’ que ni tan siquiera ha sido objeto de análisis ni de mención, confundiéndola con la legislación relativa a la actividad de televisión por cable. Ha existido un evidente error que ha motivado que la respuesta judicial carezca de congruencia con los términos en que ha sido planteado el debate”; b) La decisión judicial atacada habría incurrido en una “incongruencia omisiva”, ya que “nada resuelve” sobre la eventual vulneración, denunciada expresamente en la demanda, por parte del acto administrativo impugnado del art. 9.3 CE “por infracción del principio de irretroactividad de las normas restrictivas o no favorables y respecto a los derechos adquiridos”; y, c) La Sentencia no habría motivado la falta de pertinencia del planteamiento de la cuestión de inconstitucionalidad solicitada por la empresa recurrente, y es que “la sentencia resulta tan sumamente escueta que carece de ratio decidendi, ya que ni concreta el porqué el objeto del recurso impide de plano plantear la cuestión de inconstitucionalidad a que se refería la demanda ni especifica ni aclara cuáles son ‘las demás circunstancias concurrentes’ para llegar a dicha conclusión”.</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Por providencia de 13 de noviembre de 2000 la Sección Primera acordó la admisión a trámite de la demanda de amparo presentada por el Procurador de los Tribunales don Luciano Rosch Nadal, en nombre y representación de PROCONO, S.A. Asimismo, y en aplicación de lo dispuesto en el art. 51 LOTC, se acordó también requerir al Juzgado de lo Contencioso-Administrativo núm. 1 de Córdoba para que en el plazo de diez días remitiese testimonio del recurso 390/99 —incluido el incidente de nulidad de actuaciones 6/99—, en el que se dictó la Sentencia de 9 de septiembre de 1999, interesándose al propio tiempo el emplazamiento de quienes fueron parte en el mencionado procedimiento, con excepción del recurrente en amparo, para que en el plazo de diez días pudiesen comparecer en el proceso constitucional en tramitación.</w:t>
      </w:r>
    </w:p>
    <w:p w:rsidR="0025129F" w:rsidRDefault="0025129F" w:rsidP="0025129F">
      <w:pPr>
        <w:pStyle w:val="TextoNormal"/>
      </w:pPr>
    </w:p>
    <w:p w:rsidR="0025129F" w:rsidRDefault="0025129F" w:rsidP="0025129F">
      <w:pPr>
        <w:pStyle w:val="TextoNormal"/>
      </w:pPr>
      <w:r w:rsidRPr="0025129F">
        <w:rPr>
          <w:rStyle w:val="NumeroAFNegritaCaracter"/>
        </w:rPr>
        <w:t>5</w:t>
      </w:r>
      <w:r>
        <w:t>. Mediante providencia de 9 de enero de 2001, la Sección Primera acordó dar vista de todas las actuaciones recibidas a la parte recurrente y al Ministerio Fiscal por plazo común de veinte días para que, conforme determina el art. 52.1 LOTC, presentasen las alegaciones que estimaren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Ministerio Fiscal interesó la estimación del amparo mediante escrito presentado el 23 de enero de 2001. En sus alegaciones, el Ministerio público considera que la Sentencia impugnada es contraria al art. 24.1 CE desde un doble punto de vista: habría incurrido, por un lado, en incongruencia omisiva, y, por otro, la ausencia de motivación de la misma sería prácticamente absoluta. </w:t>
      </w:r>
    </w:p>
    <w:p w:rsidR="0025129F" w:rsidRDefault="0025129F" w:rsidP="0025129F">
      <w:pPr>
        <w:pStyle w:val="TextoNormal"/>
      </w:pPr>
      <w:r>
        <w:t xml:space="preserve">Desde la primera de las perspectivas indicadas, estima, en efecto, el Fiscal, tras aludir a la doctrina sobre la incongruencia omisiva de este Tribunal, que “de la lectura de las actuaciones ha de llegarse, en el entender de este Ministerio, a la conclusión de que la Sentencia dictada en su parca como insuficiente argumentación, no aporta ninguna respuesta a la pretensión así deducida por la recurrente”. Y es que “[N]o dedica, en definitiva, el más mínimo razonamiento a analizar si la actuación administrativa aplicó o no retroactivamente la Ley 42/1995 y en qué medida podría, en su caso, haber afectado dicha aplicación a los eventuales derechos adquiridos por la demandante, así como, en definitiva, si la actuación administrativa se realizó dentro de los cauces exigidos por el Ordenamiento o actuó al margen del mismo. Nada de lo expuesto es posible deducir, ni siquiera recurriendo al último argumento de la respuesta tácita a una pretensión que no ha obtenido contestación alguna por parte del Órgano Judicial. El motivo, pues, debe ser, en el parecer de este Ministerio, estimado y el amparo otorgado”. </w:t>
      </w:r>
    </w:p>
    <w:p w:rsidR="0025129F" w:rsidRDefault="0025129F" w:rsidP="0025129F">
      <w:pPr>
        <w:pStyle w:val="TextoNormal"/>
      </w:pPr>
      <w:r>
        <w:t>Desde la segunda de las dimensiones mencionadas, esto es, la relativa a la falta de motivación de la Sentencia, el Ministerio público comienza recordando la doctrina de este Tribunal referida a la potestad exclusiva atribuida a los órganos judiciales para decidir en última instancia el eventual planteamiento de una cuestión de inconstitucionalidad. Ahora bien, esta prerrogativa de los Jueces y Tribunales no les dispensa de motivar su respuesta. Pues bien, señala el Fiscal que “[E]n el caso presente, la respuesta judicial se limitó a señalar que ‘visto el objeto y demás circunstancias concurrentes’, se denegaba sin ningún otro añadido el planteamiento de la cuestión, términos estos tan vagos e imprecisos como inconsistentes, no aportando, desde luego, razonamiento alguno que le hubiera conducido a dicha decisión ..., la ausencia de motivación es absoluta, pues la Sentencia ni delimita a qué objeto se refiere, ni determina con apoyo en qué circunstancias concurrentes ha podido llegar a la conclusión de que no estima procedente el planteamiento de la cuestión de inconstitucionalidad, cuando su deber de motivar la resolución obligaba al titular del ór</w:t>
      </w:r>
      <w:r>
        <w:lastRenderedPageBreak/>
        <w:t>gano judicial a exteriorizar los argumentos por los que entendía que no era procedente someter la normativa legal aplicable al caso al juicio de constitucionalidad que le había sido propuesto”. Por ello, la conclusión del Ministerio público no puede ser otra distinta a la reafirmación de la existencia de “una real y absoluta negación del derecho a la tutela judicial efectiva de la parte, no pudiendo por menos este Ministerio que apoyar el motivo de amparo y adherirse a la pretensión constitucional de la actora, debiendo concederse el amparo”.</w:t>
      </w:r>
    </w:p>
    <w:p w:rsidR="0025129F" w:rsidRDefault="0025129F" w:rsidP="0025129F">
      <w:pPr>
        <w:pStyle w:val="TextoNormal"/>
      </w:pPr>
    </w:p>
    <w:p w:rsidR="0025129F" w:rsidRDefault="0025129F" w:rsidP="0025129F">
      <w:pPr>
        <w:pStyle w:val="TextoNormal"/>
      </w:pPr>
      <w:r w:rsidRPr="0025129F">
        <w:rPr>
          <w:rStyle w:val="NumeroAFNegritaCaracter"/>
        </w:rPr>
        <w:t>7</w:t>
      </w:r>
      <w:r>
        <w:t>. La recurrente formuló sus alegaciones mediante escrito presentado en el Registro General de este Tribunal el 24 de enero de 2001, en el que da por reproducidos los hechos y fundamentos jurídicos contenidos en su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7 de febrero de 2002 se señaló para la deliberación y votación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problema jurídico central que plantea este proceso constitucional de amparo consiste en determinar si la Sentencia de 9 de septiembre de 1999 del Juzgado de lo Contencioso-Administrativo núm. 1 de Córdoba, confirmatoria de una resolución del Presidente de la Gerencia de Urbanismo de Córdoba, por la que se denegaba la autorización para proceder a una canalización para la instalación de cable con el objetivo de prestar la actividad de televisión a través de este soporte técnico, es contraria al art. 24.1 CE, por lesionar, en palabras de la recurrente, “los derechos a la prohibición de indefensión y tutela judicial efectiva”.</w:t>
      </w:r>
    </w:p>
    <w:p w:rsidR="0025129F" w:rsidRDefault="0025129F" w:rsidP="0025129F">
      <w:pPr>
        <w:pStyle w:val="TextoNormal"/>
      </w:pPr>
      <w:r>
        <w:t>La sociedad demandante así lo estima por un triple motivo: a) La Sentencia impugnada, en primer lugar, habría incurrido en “un evidente error que ha motivado que la respuesta judicial carezca de congruencia con los términos en que ha sido planteado el debate”, hasta el punto de que la parte demandante pone en duda en su recurso contencioso-administrativo la constitucionalidad de distintas normas reguladoras de la televisión, y el Juez basa la escasa fundamentación contenida en la Sentencia en “la ‘legislación municipal vigente aplicable al caso’ que ni tan siquiera ha sido objeto de análisis ni de mención, confundiéndola con la legislación relativa a la actividad de televisión por cable”; b) La citada resolución judicial incurriría también, en segundo lugar, en una incongruencia omisiva, puesto que no habría dado respuesta a una de las pretensiones formuladas en la demanda, en concreto a la relativa a la vulneración, por la resolución administrativa impugnada, del art. 9.3 CE “al aplicar con carácter retroactivo una legislación restrictiva de derechos individuales y vulnerar derechos adquiridos”; y, c) La ausencia de motivación, en tercer lugar, de la Sentencia, ya que no concretaría “el porqué el objeto del recurso impide de plano plantear la cuestión de inconstitucionalidad a que se refería la demanda ni especifica ni aclara cuáles son ‘las demás circunstancias concurrentes’ para llegar a dicha conclusión”.</w:t>
      </w:r>
    </w:p>
    <w:p w:rsidR="0025129F" w:rsidRDefault="0025129F" w:rsidP="0025129F">
      <w:pPr>
        <w:pStyle w:val="TextoNormal"/>
      </w:pPr>
      <w:r>
        <w:t>El Ministerio Fiscal interesa, por su parte, el otorgamiento del amparo al estimar, en los términos que constan en los antecedentes, que la Sentencia objeto de recurso incurriría, en efecto, en dos lesiones del derecho a la tutela judicial efectiva (art.  24.1 CE): una incongruencia omisiva, por un lado; y, la ausencia de motivación que exteriorice las razones que han movido al órgano juzgador a denegar el planteamiento de la cuestión de inconsti</w:t>
      </w:r>
      <w:r>
        <w:lastRenderedPageBreak/>
        <w:t>tucionalidad solicitada, por otro.  El Ministerio público no extiende sus alegaciones, sin embargo, a la primera de las quejas constitucionales denunciadas por la demandante de amparo, tal como la eventual existencia de incongruencia por error, al no existir un ajuste de la respuesta judicial con los términos en los que había sido planteada la demanda.</w:t>
      </w:r>
    </w:p>
    <w:p w:rsidR="0025129F" w:rsidRDefault="0025129F" w:rsidP="0025129F">
      <w:pPr>
        <w:pStyle w:val="TextoNormal"/>
      </w:pPr>
      <w:r>
        <w:t>Pues bien, a este último planteamiento debemos atenernos. En efecto, la queja relativa al error se subsume en la relativa a la insuficiente motivación de la Sentencia impugnada, que ésta refiere a una supuesta legislación municipal, no invocada en el proceso ni fundamentadora del acto denegatorio de la autorización controvertida.</w:t>
      </w:r>
    </w:p>
    <w:p w:rsidR="0025129F" w:rsidRDefault="0025129F" w:rsidP="0025129F">
      <w:pPr>
        <w:pStyle w:val="TextoNormal"/>
      </w:pPr>
      <w:r>
        <w:t>De este modo, las quejas de la sociedad recurrente pueden agruparse para su análisis en torno a dos ejes fundamentales: uno primero, constituido por la relativa a la incongruencia omisiva de la Sentencia impugnada; y otro, conformado por la referente a la ausencia de motivación. Aunque tanto la congruencia como la motivación de las Sentencias vienen impuestas por el art. 24.1 CE, su funcionalidad es ciertamente distinta, y exigen, claro es, examen individualizado.</w:t>
      </w:r>
    </w:p>
    <w:p w:rsidR="0025129F" w:rsidRDefault="0025129F" w:rsidP="0025129F">
      <w:pPr>
        <w:pStyle w:val="TextoNormal"/>
      </w:pPr>
    </w:p>
    <w:p w:rsidR="0025129F" w:rsidRDefault="0025129F" w:rsidP="0025129F">
      <w:pPr>
        <w:pStyle w:val="TextoNormal"/>
      </w:pPr>
      <w:r w:rsidRPr="0025129F">
        <w:rPr>
          <w:rStyle w:val="NumeroAFNegritaCaracter"/>
        </w:rPr>
        <w:t>2</w:t>
      </w:r>
      <w:r>
        <w:t>. Como es sabido, la congruencia viene referida al deber de decidir por parte de los órganos judiciales, resolviendo los litigios que a su consideración se sometan, exigiendo que el órgano judicial emita los pertinentes pronunciamientos en correlación con las distintas pretensiones formuladas por las partes a lo largo del proceso.</w:t>
      </w:r>
    </w:p>
    <w:p w:rsidR="0025129F" w:rsidRDefault="0025129F" w:rsidP="0025129F">
      <w:pPr>
        <w:pStyle w:val="TextoNormal"/>
      </w:pPr>
      <w:r>
        <w:t>En su modalidad de incongruencia omisiva o ex silentio, se produce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(STC 124/2000, de 16 de mayo, FJ 3).</w:t>
      </w:r>
    </w:p>
    <w:p w:rsidR="0025129F" w:rsidRDefault="0025129F" w:rsidP="0025129F">
      <w:pPr>
        <w:pStyle w:val="TextoNormal"/>
      </w:pPr>
      <w:r>
        <w:t>Pues bien, en el caso enjuiciado la sociedad demandante considera que la Sentencia impugnada incurre en incongruencia omisiva, lo que haría de ella una resolución judicial contraria al art. 24.1 CE.</w:t>
      </w:r>
    </w:p>
    <w:p w:rsidR="0025129F" w:rsidRDefault="0025129F" w:rsidP="0025129F">
      <w:pPr>
        <w:pStyle w:val="TextoNormal"/>
      </w:pPr>
      <w:r>
        <w:t>Resulta fácilmente discernible, en efecto, la concurrencia de dicha modalidad de incongruencia en el presente asunto litigioso, como sostienen tanto la entidad recurrente en amparo como el Ministerio Fiscal. Aquélla pretendió, como cuestión concreta que funda su demanda contencioso-administrativa, la anulación del acto administrativo denegatorio por vulneración del art. 9.3 CE, al aplicar con carácter retroactivo una legislación restrictiva de derechos individuales, que no sería otra que la Ley 42/1995, de 22 de diciembre, de las telecomunicaciones por cable, vulnerando así sus derechos adquiridos. Esta pretensión no encontró, sin embargo, respuesta alguna en la escueta fundamentación de la Sentencia; sin que, por otra parte, sea posible apreciar la existencia de una respuesta tácita de naturaleza desestimatoria de dicha pretensión de la parca argumentación que sustenta el fallo desestimatorio (SSTC 91/1995, de 19 de junio, FJ 4; y 206/1998, de 26 de octubre, FJ 2). Y es que en los fundamentos jurídicos de la Sentencia impugnada, el Juez no dedica el más mínimo razonamiento al análisis de la cuestión planteada, que de haber sido considerada por parte del órgano judicial en el proceso conducente a la adopción de la correspondiente decisión judicial, hubiera podido, eventualmente, determinar un fallo distinto al pronunciado (STC 206/1998, FJ 2, y las allí citadas).</w:t>
      </w:r>
    </w:p>
    <w:p w:rsidR="0025129F" w:rsidRDefault="0025129F" w:rsidP="0025129F">
      <w:pPr>
        <w:pStyle w:val="TextoNormal"/>
      </w:pPr>
    </w:p>
    <w:p w:rsidR="0025129F" w:rsidRDefault="0025129F" w:rsidP="0025129F">
      <w:pPr>
        <w:pStyle w:val="TextoNormal"/>
      </w:pPr>
      <w:r w:rsidRPr="0025129F">
        <w:rPr>
          <w:rStyle w:val="NumeroAFNegritaCaracter"/>
        </w:rPr>
        <w:t>3</w:t>
      </w:r>
      <w:r>
        <w:t>. La segunda queja planteada por la sociedad anónima recurrente consiste en la insuficiente motivación de la Sentencia, en concreto en lo que se refiere a la justificación de la falta de planteamiento de la cuestión de inconstitucionalidad solicitada por aquélla en su recurso contencioso-administrativo, y que habría de versar sobre la compatibilidad de diversos preceptos de rango legal dirigidos a ordenar la actividad televisiva con los arts. 9.3, 20 y 53.1 de nuestra norma fundamental.</w:t>
      </w:r>
    </w:p>
    <w:p w:rsidR="0025129F" w:rsidRDefault="0025129F" w:rsidP="0025129F">
      <w:pPr>
        <w:pStyle w:val="TextoNormal"/>
      </w:pPr>
      <w:r>
        <w:t>Al respecto, hemos de recordar que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consecuentemente, mejorar las posibilidades de defensa por parte de los ciudadanos de sus derechos mediante el empleo de los recursos que en cada supuesto litigioso procedan (STC 209/1993, de 28 de junio, FJ 1); y, por otro lado, y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(STC 24/1990, de 15 de febrero, FJ 4).</w:t>
      </w:r>
    </w:p>
    <w:p w:rsidR="0025129F" w:rsidRDefault="0025129F" w:rsidP="0025129F">
      <w:pPr>
        <w:pStyle w:val="TextoNormal"/>
      </w:pPr>
      <w:r>
        <w:t>Es cierto, como recuerda el Ministerio Fiscal, que a la luz de nuestra jurisprudencia emanada a partir de la interpretación de los arts. 163 CE y 35 LOTC, las partes en el proceso carecen de un derecho al planteamiento de las cuestiones de inconstitucionalidad por tratarse de una potestad atribuida en exclusiva a los órganos judiciales para aquellos supuestos en los que puedan albergar alguna duda sobre la constitucionalidad de una norma con rango de ley aplicable al caso, y de cuya validez dependa el fallo. La decisión de un órgano judicial de no elevar ante este Tribunal una cuestión de inconstitucionalidad no viola, por tanto, el derecho a la tutela judicial efectiva (SSTC 159/1997, de 2 de octubre, FJ 5; y 119/1998, de 4 de junio, FJ 6, por todas).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w:t>
      </w:r>
    </w:p>
    <w:p w:rsidR="0025129F" w:rsidRDefault="0025129F" w:rsidP="0025129F">
      <w:pPr>
        <w:pStyle w:val="TextoNormal"/>
      </w:pPr>
      <w:r>
        <w:t xml:space="preserve">Pues bien, en el presente caso, el Juez no exterioriza razonamiento alguno para justificar su decisión de no plantear la cuestión de inconstitucionalidad instada por la parte demandante en el proceso a quo: “Entendemos —dice la Sentencia impugnada— que en este concreto procedimiento, visto su objeto y demás circunstancias concurrentes, no existe base para, a partir de él, plantear una cuestión de inconstitucionalidad”. Con la expresión que se deja transcrita no cabe menos, dado el carácter apodíctico del pronunciamiento, que reputar como realmente inexistente la exigencia constitucional de motivación. Pues, en efecto, la Sentencia ni delimita a qué objeto se refiere, ni precisa cuáles son aquellas circunstancias concurrentes que le han llevado a adoptar su decisión. Es más, aun en el caso extremo de que pudiese ser aceptada la utilización de unos términos tan indeterminados como los utilizados por el Juez para justificar su decisión, la escuetísima motivación (en cuanto exteriorización del razonamiento judicial) mostraría de manera inequívoca que toda ella parte de una equivocación que convertiría a tan insuficiente motivación en irrazonable: la recurrente suscitaba en su recurso contencioso-administrativo la duda sobre la </w:t>
      </w:r>
      <w:r>
        <w:lastRenderedPageBreak/>
        <w:t>compatibilidad de diversos preceptos de la legislación sectorial reguladora de la televisión por cable con el texto constitucional; el Juez parece entender, sin embargo, que la demandante cuestiona la constitucionalidad de la legislación municipal vigente, siendo así que no hay ni siquiera mención en la demanda iniciadora del proceso administrativo, ni a lo largo de éste, de una posible infracción del Ordenamiento local por el acto administrativo impugnado, dado que la Gerencia Municipal de Urbanismo denegó la autorización solicitada con la exclusiva base de la no conformidad a la legislación sectorial de televisión por cable.</w:t>
      </w:r>
    </w:p>
    <w:p w:rsidR="0025129F" w:rsidRDefault="0025129F" w:rsidP="0025129F">
      <w:pPr>
        <w:pStyle w:val="TextoNormal"/>
      </w:pPr>
    </w:p>
    <w:p w:rsidR="0025129F" w:rsidRDefault="0025129F" w:rsidP="0025129F">
      <w:pPr>
        <w:pStyle w:val="TextoNormal"/>
      </w:pPr>
      <w:r w:rsidRPr="0025129F">
        <w:rPr>
          <w:rStyle w:val="NumeroAFNegritaCaracter"/>
        </w:rPr>
        <w:t>4</w:t>
      </w:r>
      <w:r>
        <w:t>. Por todo ello, procede el otorgamiento del amparo solicitado, con la consiguiente nulidad de la referida Sentencia, así como del Auto dictado, el 14 de diciembre de 1999, al resolver el incidente de nulidad de actuaciones, y que no reparó en modo alguno las infracciones constitucionales puestas de relieve por la sociedad promovente del mismo.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PROCONO, S.A., y, en consecuencia:</w:t>
      </w:r>
    </w:p>
    <w:p w:rsidR="0025129F" w:rsidRDefault="0025129F" w:rsidP="0025129F">
      <w:pPr>
        <w:pStyle w:val="TextoNormal"/>
      </w:pPr>
      <w:r>
        <w:t>1º Declarar el derecho de la sociedad demandante a una tutela judicial efectiva sin indefensión (art. 24.1 CE).</w:t>
      </w:r>
    </w:p>
    <w:p w:rsidR="0025129F" w:rsidRDefault="0025129F" w:rsidP="0025129F">
      <w:pPr>
        <w:pStyle w:val="TextoNormal"/>
      </w:pPr>
      <w:r>
        <w:t>2º Anular la Sentencia dictada el 9 de septiembre de 1999 por el Juzgado de lo Contencioso-Administrativo núm. 1 de Córdoba, y el Auto del mismo Juzgado de 14 de diciembre siguiente, resolutorio del incidente de nulidad de actuaciones.</w:t>
      </w:r>
    </w:p>
    <w:p w:rsidR="0025129F" w:rsidRDefault="0025129F" w:rsidP="0025129F">
      <w:pPr>
        <w:pStyle w:val="TextoNormal"/>
      </w:pPr>
      <w:r>
        <w:t>3º Retrotraer las actuaciones procesales al momento inmediato anterior al de dicha Sentencia, a fin de que por el mencionado Juzgado se pronuncie, con plenitud de jurisdicción, nueva Sentencia con respeto del derecho fundamental reconocido.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39" w:name="SENTENCIA_2002_36"/>
      <w:r>
        <w:lastRenderedPageBreak/>
        <w:t>SENTENCIA 36/2002, de 11 de febrero de 2002</w:t>
      </w:r>
    </w:p>
    <w:bookmarkEnd w:id="39"/>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ECLI:ES:TC:2002:36</w:t>
      </w:r>
    </w:p>
    <w:p w:rsidR="0025129F" w:rsidRDefault="0025129F" w:rsidP="0025129F">
      <w:pPr>
        <w:pStyle w:val="SntesisDescriptiva"/>
      </w:pPr>
    </w:p>
    <w:p w:rsidR="0025129F" w:rsidRDefault="0025129F" w:rsidP="0025129F">
      <w:pPr>
        <w:pStyle w:val="SntesisDescriptiva"/>
      </w:pPr>
      <w:r>
        <w:t>Recurso de amparo 2319-2000. Promovido por doña Vicenta Carmen Lloret frente a la Sentencia dictada por la Audiencia Provincial de Barcelona, y al Auto que denegó su nulidad, que desestimó su recurso de apelación en un juicio ejecutivo instado por el Banco Santander Central Hispano.</w:t>
      </w:r>
    </w:p>
    <w:p w:rsidR="0025129F" w:rsidRDefault="0025129F" w:rsidP="0025129F">
      <w:pPr>
        <w:pStyle w:val="SntesisDescriptiva"/>
      </w:pPr>
    </w:p>
    <w:p w:rsidR="0025129F" w:rsidRDefault="0025129F" w:rsidP="0025129F">
      <w:pPr>
        <w:pStyle w:val="SntesisAnaltica"/>
      </w:pPr>
      <w:r>
        <w:t>Vulneración del derecho a la tutela judicial efectiva: Sentencia de apelación que no resuelve sobre la insuficiencia de un poder para afianzar una póliza de negociación, por considerarlo una cuestión nueva con error patente.</w:t>
      </w:r>
    </w:p>
    <w:p w:rsidR="0025129F" w:rsidRDefault="0025129F" w:rsidP="0025129F">
      <w:pPr>
        <w:pStyle w:val="SntesisAnaltica"/>
      </w:pPr>
    </w:p>
    <w:p w:rsidR="0025129F" w:rsidRDefault="0025129F" w:rsidP="0025129F">
      <w:pPr>
        <w:pStyle w:val="Extracto"/>
      </w:pPr>
      <w:r>
        <w:t>1.</w:t>
      </w:r>
      <w:r>
        <w:tab/>
        <w:t>La Audiencia Provincial, al calificar como cuestión nueva, rechazándola por tal motivo, la alegación relativa a la insuficiencia del poder otorgado para afianzar, por estar referido a una mercantil distinta a la avalada, ha incurrido en un error material patente y manifiesto [FJ 7].</w:t>
      </w:r>
    </w:p>
    <w:p w:rsidR="0025129F" w:rsidRDefault="0025129F" w:rsidP="0025129F">
      <w:pPr>
        <w:pStyle w:val="Extracto"/>
      </w:pPr>
    </w:p>
    <w:p w:rsidR="0025129F" w:rsidRDefault="0025129F" w:rsidP="0025129F">
      <w:pPr>
        <w:pStyle w:val="Extracto"/>
      </w:pPr>
      <w:r>
        <w:t>2.</w:t>
      </w:r>
      <w:r>
        <w:tab/>
        <w:t>Error patente con relevancia constitucional que vulnera el derecho fundamental a la tutela judicial efectiva (art. 24.1 CE; SSTC 96/2000, 177/2001) [FJ 6].</w:t>
      </w:r>
    </w:p>
    <w:p w:rsidR="0025129F" w:rsidRDefault="0025129F" w:rsidP="0025129F">
      <w:pPr>
        <w:pStyle w:val="Extracto"/>
      </w:pPr>
    </w:p>
    <w:p w:rsidR="0025129F" w:rsidRDefault="0025129F" w:rsidP="0025129F">
      <w:pPr>
        <w:pStyle w:val="Extracto"/>
      </w:pPr>
      <w:r>
        <w:t>3.</w:t>
      </w:r>
      <w:r>
        <w:tab/>
        <w:t>La Sentencia de la Audiencia Provincial da una respuesta expresa y motivada, aunque no de fondo, a la pretensión, por lo que no cabe estimar que incurra en un defecto de incongruencia omisiva [FJ 5].</w:t>
      </w:r>
    </w:p>
    <w:p w:rsidR="0025129F" w:rsidRDefault="0025129F" w:rsidP="0025129F">
      <w:pPr>
        <w:pStyle w:val="Extracto"/>
      </w:pPr>
    </w:p>
    <w:p w:rsidR="0025129F" w:rsidRDefault="0025129F" w:rsidP="0025129F">
      <w:pPr>
        <w:pStyle w:val="Extracto"/>
      </w:pPr>
      <w:r>
        <w:t>4.</w:t>
      </w:r>
      <w:r>
        <w:tab/>
        <w:t>No encaja en la exigencia del art. 44.1 a) LOTC la imposición al demandante de amparo, una vez extinguido el procedimiento ejecutivo, de la necesidad de acudir a la vía declarativa ordinaria antes de interponer, en su caso, el recurso de amparo constitucional (SSTC 128/2000, 177/2001) [FJ 3].</w:t>
      </w:r>
    </w:p>
    <w:p w:rsidR="0025129F" w:rsidRDefault="0025129F" w:rsidP="0025129F">
      <w:pPr>
        <w:pStyle w:val="Extracto"/>
      </w:pPr>
    </w:p>
    <w:p w:rsidR="0025129F" w:rsidRDefault="0025129F" w:rsidP="0025129F">
      <w:pPr>
        <w:pStyle w:val="Extracto"/>
      </w:pPr>
      <w:r>
        <w:t>5.</w:t>
      </w:r>
      <w:r>
        <w:tab/>
        <w:t>Igual rechazo merece la alegada falta de agotamiento de la vía judicial previa, al no haber acudido la demandante de amparo al recurso de revisión civil (SSTC 242/1991, 268/2000)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Centrado"/>
        <w:keepNext/>
      </w:pPr>
      <w:r>
        <w:t xml:space="preserve">En el recurso de amparo núm. 2319-2000, promovido por doña Vicenta Carmen Lloret Montañana, representada por la Procuradora de los Tribunales doña África Martín Rico y asistida por el Letrado don Felio Vilarrubias Guillamet, contra la Sentencia de 24 de octubre de 1999 y el Auto de 25 de febrero de 2000 de la Sección Decimotercera de la Audiencia Provincial de Barcelona, dictados en el rollo de apelación núm. 600/98 en autos de juicio ejecutivo núm. 578/98 procedentes del Juzgado de Primera Instancia núm. 25 de Barcelona. Han comparecido y formulado alegaciones el Banco Santander Central Hispano, S.A., representado por el Procurador de los Tribunales don Eduardo Codes Feijoo y asistido por el Letrado don Jesús Merino Merchán, y el Ministerio Fiscal. </w:t>
      </w:r>
    </w:p>
    <w:p w:rsidR="0025129F" w:rsidRDefault="0025129F" w:rsidP="0025129F">
      <w:pPr>
        <w:pStyle w:val="TextoNormal"/>
      </w:pPr>
      <w:r>
        <w:t>Ha actuado como Ponente el Magistrado don Vicente Conde Martín de Hijas,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Registro General del Tribunal Constitucional el día 19 de abril de 2000 doña África Martín Rico, Procuradora de los Tribunales, en nombre y representación de doña Vicenta Carmen Lloret Montañana, interpuso recurso de amparo contra las resoluciones judiciales a las que se ha hecho mención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En la demanda de amparo se recoge la relación de antecedentes fácticos que, a continuación, sucintamente se extracta: </w:t>
      </w:r>
    </w:p>
    <w:p w:rsidR="0025129F" w:rsidRDefault="0025129F" w:rsidP="0025129F">
      <w:pPr>
        <w:pStyle w:val="TextoNormal"/>
      </w:pPr>
      <w:r>
        <w:t xml:space="preserve">a) El 26 de noviembre de 1993 la ahora demandante de amparo — doña Vicenta Carmen Lloret Montañana— otorgó ante Notario un poder a favor de don Kurt Wolfgang Harald Füssel, en virtud del cual le confirió, entre otras facultades, las de avalar o afianzar operaciones de terceros, si bien con una cláusula limitativa del siguiente tenor: “Las facultades reseñadas se ejecutarán única y exclusivamente respecto de las fincas propiedad de la poderdante sitas en Barcelona, Calle Álava, 61 y calle Granada, 80 y de sus derechos e intereses que le correspondan en la empresa Señalizaciones y Mandos Eléctricos, S.A.”. </w:t>
      </w:r>
    </w:p>
    <w:p w:rsidR="0025129F" w:rsidRDefault="0025129F" w:rsidP="0025129F">
      <w:pPr>
        <w:pStyle w:val="TextoNormal"/>
      </w:pPr>
      <w:r>
        <w:t xml:space="preserve">b) El 16 de julio de 1996 el Banco Central Hispanoamericano, S.A., suscribió una póliza de negociación de letras de cambio, recibos y otros documentos y efectos mercantiles con la compañía Semel Comercial, S.L., que es una compañía distinta de la sociedad anónima a la que se refería el anterior poder, en la que se hizo constar como fiadora a la demandante de amparo, firmando en su nombre don Kurt Wolfgang Harald Füssel, quien indicó que estaba facultado para ello en virtud del mencionado poder. </w:t>
      </w:r>
    </w:p>
    <w:p w:rsidR="0025129F" w:rsidRDefault="0025129F" w:rsidP="0025129F">
      <w:pPr>
        <w:pStyle w:val="TextoNormal"/>
      </w:pPr>
      <w:r>
        <w:t xml:space="preserve">c) En julio de 1997 el Banco Central Hispanoamericano, S.A., formuló demanda de juicio ejecutivo, en relación con la citada póliza de negociación, contra doña Vicenta Carmen Lloret Montañana, don Kurt Wolfgang Harald Füssel y la mercantil Semel Comercial, S.L., cuyo conocimiento correspondió al Juzgado de Primera Instancia núm. 25 de Barcelona, oponiéndose la demandante de amparo a la ejecución instada. </w:t>
      </w:r>
    </w:p>
    <w:p w:rsidR="0025129F" w:rsidRDefault="0025129F" w:rsidP="0025129F">
      <w:pPr>
        <w:pStyle w:val="TextoNormal"/>
      </w:pPr>
      <w:r>
        <w:t xml:space="preserve">d) El Juzgado de Primera Instancia núm. 25 de Barcelona dictó Sentencia en fecha 19 de febrero de 1999 desestimando la oposición de la demandante de amparo y ordenando seguir adelante la ejecución. </w:t>
      </w:r>
    </w:p>
    <w:p w:rsidR="0025129F" w:rsidRDefault="0025129F" w:rsidP="0025129F">
      <w:pPr>
        <w:pStyle w:val="TextoNormal"/>
      </w:pPr>
      <w:r>
        <w:t xml:space="preserve">En el fundamento de Derecho primero el Juez emplea el razonamiento que a continuación literalmente se transcribe: </w:t>
      </w:r>
    </w:p>
    <w:p w:rsidR="0025129F" w:rsidRDefault="0025129F" w:rsidP="0025129F">
      <w:pPr>
        <w:pStyle w:val="TextoNormal"/>
      </w:pPr>
      <w:r>
        <w:lastRenderedPageBreak/>
        <w:t xml:space="preserve">“La misma [refiriéndose a la póliza] fue firmada por el Sr. Füssel en nombre propio, en nombre de la sociedad Semel Comercial, S.L. y en nombre de la actora. Los dos problemas que se suscitan en relación con esta última firma son: a) si el Sr. Füssel y con el poder otorgado el 26 de noviembre de 1993 podía afianzar a la entidad Semel obligando a la poderdante y la respuesta es positiva. Para ello basta con examinar el poder aportado a las actuaciones en fase de prueba y en el que consta entre otras facultades... k) avalar o afianzar operaciones de o con terceros, incluso en los casos de autogarantía o autocontratación. Si se considera que la operación iba referida a la apertura de una línea de descuento de títulos mercantiles a favor de Semel y que la totalidad de los poderes van referidos (junto a los intereses mobiliarios referidos) a los derechos e intereses que le correspondan a la actora en dicha empresa no cabe otra interpretación...”. </w:t>
      </w:r>
    </w:p>
    <w:p w:rsidR="0025129F" w:rsidRDefault="0025129F" w:rsidP="0025129F">
      <w:pPr>
        <w:pStyle w:val="TextoNormal"/>
      </w:pPr>
      <w:r>
        <w:t xml:space="preserve">e) De la lectura del razonamiento transcrito se deduce que el órgano judicial de instancia incurrió en un flagrante error, determinante del fallo de la resolución judicial, al haber confundido la compañía Semel Comercial, S.L., a cuyo favor se otorgó la póliza que se ejecutaba, con la mercantil Señalizaciones y Mandos Eléctricos, S.A., a la que se refiere la escritura de poder otorgada por la demandante de amparo. </w:t>
      </w:r>
    </w:p>
    <w:p w:rsidR="0025129F" w:rsidRDefault="0025129F" w:rsidP="0025129F">
      <w:pPr>
        <w:pStyle w:val="TextoNormal"/>
      </w:pPr>
      <w:r>
        <w:t xml:space="preserve">f) Dado que el error cometido por el órgano judicial de instancia no se podía subsanar a través del recurso de aclaración, la demandante de amparo interpuso recurso de apelación contra la anterior Sentencia, denunciando en el acto de la vista el error cometido por el órgano judicial a quo al confundir una y otra compañía. </w:t>
      </w:r>
    </w:p>
    <w:p w:rsidR="0025129F" w:rsidRDefault="0025129F" w:rsidP="0025129F">
      <w:pPr>
        <w:pStyle w:val="TextoNormal"/>
      </w:pPr>
      <w:r>
        <w:t xml:space="preserve">La Sección Decimotercera de la Audiencia Provincial de Barcelona dictó Sentencia, de fecha 24 de octubre de 1999, desestimatoria del recurso de apelación, en la que no se pronunció sobre el error denunciado con base en el siguiente razonamiento: </w:t>
      </w:r>
    </w:p>
    <w:p w:rsidR="0025129F" w:rsidRDefault="0025129F" w:rsidP="0025129F">
      <w:pPr>
        <w:pStyle w:val="TextoNormal"/>
      </w:pPr>
      <w:r>
        <w:t xml:space="preserve">“Finalmente, es de rechazar, asimismo, la alegación efectuada en el acto de la vista por la defensa de la apelante sobre que tal poder, en todo caso, era insuficiente por referirse a otra entidad distinta de la avalada, al tratarse de una cuestión nueva no debatida en el pleito, cuya introducción en el recurso está prohibida por violentar los principios de preclusión e igualdad de las partes en el proceso, pues de lo contrario se vulneraría la oportunidad procesal de defensa, privando a la parte contraria de su derecho a alegar y formular la prueba que estime oportuna en relación a dicho extremo”. </w:t>
      </w:r>
    </w:p>
    <w:p w:rsidR="0025129F" w:rsidRDefault="0025129F" w:rsidP="0025129F">
      <w:pPr>
        <w:pStyle w:val="TextoNormal"/>
      </w:pPr>
      <w:r>
        <w:t>g) La demandante de amparo promovió incidente de nulidad de actuaciones (art. 240.3 LOPJ) contra la Sentencia de apelación, por vulnerar el derecho a la tutela judicial efectiva e incurrir en incongruencia citra petita, que fue desestimado por Auto de la Sección Decimotercera de la Audiencia Provincial de Barcelona, de 25 de febrero de 2000.</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cuanto a la fundamentación jurídica de la demanda de amparo, se invoca en ésta, frente a las resoluciones judiciales impugnadas, la vulneración del derecho a la tutela judicial efectiva, sin que, en ningún caso, pueda producirse indefensión (art. 24.1 CE). </w:t>
      </w:r>
    </w:p>
    <w:p w:rsidR="0025129F" w:rsidRDefault="0025129F" w:rsidP="0025129F">
      <w:pPr>
        <w:pStyle w:val="TextoNormal"/>
      </w:pPr>
      <w:r>
        <w:t xml:space="preserve">Tras afirmarse en la demanda de amparo que el Sr. Füssel carecía de poder alguno para, en nombre de la recurrente en amparo, afianzar a la compañía Semel Comercial, S.L., ya que, como figura en la escritura de poder, únicamente estaba facultado para afianzar a la compañía Señalizaciones y Mandos Eléctricos, S.A., se denuncia, en primer término, el error en el que incurrió el Juzgado de Primera Instancia al confundir una y otra compañía, con denominaciones sociales distintas, el cual se podría haber evitado si el órgano judicial hubiera actuado diligentemente y hubiera consignado en los razonamientos de su resolución las denominaciones sociales completas de ambas entidades mercantiles, pues entonces el error no se hubiera producido. </w:t>
      </w:r>
    </w:p>
    <w:p w:rsidR="0025129F" w:rsidRDefault="0025129F" w:rsidP="0025129F">
      <w:pPr>
        <w:pStyle w:val="TextoNormal"/>
      </w:pPr>
      <w:r>
        <w:lastRenderedPageBreak/>
        <w:t xml:space="preserve">En segundo lugar, se reprocha a la Sentencia de la Audiencia Provincial la lesión del derecho a la tutela judicial efectiva (art. 24.1 CE), al calificar de cuestión nueva no debatida en el pleito la denuncia del error cometido por el órgano judicial de primera instancia, argumentación que en la demanda de amparo se califica de subterfugio para evitar el reconocimiento de su existencia. Se razona al respecto que, dado que el error judicial se cometió al dictarse la Sentencia de instancia, no pudo denunciarse en esta primera instancia, ni debatirse en el curso del procedimiento. Su calificación como cuestión nueva podría admitirse siempre que dicha expresión se utilizara en sentido lato, pero resulta inaceptable si se pretende conferirle el sentido técnico-jurídico con el que viene refiriéndose la jurisprudencia a “aquellas cuestiones no aducidas por las partes que alteran el objeto de la controversia” (STS de 27 de abril de 1999). El error judicial denunciado no es, en este caso, una cuestión nueva aducida por una de las partes para alterar el objeto de la controversia, sino que se trata de un evento al que son ajenas las partes, que no ocurre por voluntad de éstas, pero que deben intentar subsanar mediante la correspondiente denuncia para evitar los perjuicios que del mismo puedan derivarse. De modo que en el presente supuesto, si el error sobrevino en la Sentencia de instancia, es evidente que su subsanación debía de hacerse a través del recurso de apelación, que una reiterada jurisprudencia viene considerando que es el recurso ordinario para tales menesteres (SSTC 310/1993, 152/1998; SSTS de 28 de julio de 1998, 10 de julio de 1997, 23 de marzo de 1963). En definitiva, la Audiencia Provincial ha infringido el derecho fundamental invocado al negarse a subsanar un error judicial patente, que determinaría la nulidad de la Sentencia de instancia (SSTC 112/1998, FJ 2; 165/1997, FJ 7). </w:t>
      </w:r>
    </w:p>
    <w:p w:rsidR="0025129F" w:rsidRDefault="0025129F" w:rsidP="0025129F">
      <w:pPr>
        <w:pStyle w:val="TextoNormal"/>
      </w:pPr>
      <w:r>
        <w:t xml:space="preserve">Pero la Audiencia Provincial, no sólo infringió el derecho a la tutela judicial efectiva al negarse a subsanar el error cometido por el órgano judicial de instancia, sino también al tratar cuestiones jurídicas distintas como si fueran iguales. En efecto, el órgano de apelación abordó el error cometido por el Juez de Primera Instancia como si se tratara de una cuestión nueva, sin atender a las diferencias que existen entre una y otra situación jurídica. Tales diferencias entre ambas instituciones jurídicas radican, principalmente, en el poder de disposición que tienen las partes sobre ellas, pues mientras el rechazo de la cuestión nueva se produce porque la parte pudo alegarla en primera instancia y no lo hizo, e intenta con ello sorprender a la parte adversa, en el error judicial, en cambio, la parte es ajena a su producción, y es precisamente ella quien se ve sorprendida por el órgano judicial. Por tanto, también se quiebra en este caso el principio de igualdad, que, en su vertiente positiva, exige tratar a los iguales como iguales, y, en su vertiente negativa, requiere tratar las situaciones jurídicas diferentes como distintas. </w:t>
      </w:r>
    </w:p>
    <w:p w:rsidR="0025129F" w:rsidRDefault="0025129F" w:rsidP="0025129F">
      <w:pPr>
        <w:pStyle w:val="TextoNormal"/>
      </w:pPr>
      <w:r>
        <w:t xml:space="preserve">Tras aludir a la doctrina recogida en la STC 299/1997, de 15 de septiembre, sobre los requisitos que debe de cumplir el error judicial para tener relevancia constitucional, se señala en la demanda que en este caso el error es fácilmente constatable, si se observa la cláusula limitativa existente en el poder conferido y la compañía a favor de la cual se otorga la póliza; que, como consecuencia del mencionado error, se desestimó la oposición a la ejecución, produciéndose la condena de la recurrente en amparo a pagar la suma por la que se despachó aquélla, sin que exista motivo ni causa por la que tenga que soportar tales efectos negativos; y, en fin, que el error ha sido determinante de la decisión judicial adoptada, al ser el único argumento empleado por el Juzgado de Primera Instancia para desestimar la oposición a la ejecución. </w:t>
      </w:r>
    </w:p>
    <w:p w:rsidR="0025129F" w:rsidRDefault="0025129F" w:rsidP="0025129F">
      <w:pPr>
        <w:pStyle w:val="TextoNormal"/>
      </w:pPr>
      <w:r>
        <w:t xml:space="preserve">Finalmente se imputa a la Sentencia de la Audiencia Provincial la vulneración del derecho a la tutela judicial efectiva al no haber resuelto la totalidad de las pretensiones deducidas por las partes. Frente a lo que se mantiene en dicha resolución judicial, al afirmar que </w:t>
      </w:r>
      <w:r>
        <w:lastRenderedPageBreak/>
        <w:t xml:space="preserve">el tema planteado versaba sobre la eficacia frente a terceros de la revocación del mandato otorgado en términos generales, el objeto litigioso era mucho más amplio, ya que no se limitaba a la cuestión de la “inexistencia del mandato por revocación”, sino que iba referido a que jamás existió poder alguno por el que el Sr. Füssel pudiera en nombre de la recurrente en amparo afianzar a Semel Comercial, S.L. Así pues la Audiencia Provincial debió, en primer lugar, examinar si existió o no el supuesto apoderamiento a favor del Sr. Füssel para afianzar a Semel Comercial, S.L., cuestión realmente planteada por la solicitante de amparo al negar la existencia del mismo, y, posteriormente, debió de examinar, en caso de responder afirmativamente a la cuestión apuntada, si el mandato seguía vigente en el momento de otorgarse la póliza cuya ejecución se instaba, así como, por último, qué efectos podía producir ante terceros dicha revocación. </w:t>
      </w:r>
    </w:p>
    <w:p w:rsidR="0025129F" w:rsidRDefault="0025129F" w:rsidP="0025129F">
      <w:pPr>
        <w:pStyle w:val="TextoNormal"/>
      </w:pPr>
      <w:r>
        <w:t xml:space="preserve">Pues bien, la Audiencia Provincial no ha respondido a todas y cada una de las cuestiones suscitadas en el procedimiento y ha orillado la principal, esto es, si existió o no apoderamiento a favor del Sr. Füssel para que en nombre de la demandante de amparo afianzase a Semel Comercial, S.L., respondiendo únicamente a una cuestión accesoria, cual es la de los efectos que produce la revocación del mandato frente a terceros, por lo que, siendo aquélla una pretensión deducida en el escrito de formalización de la demanda de oposición a la ejecución, la Audiencia Provincial ha vulnerado el derecho a la tutela judicial efectiva al no haberle dado respuesta (STC 53/1991). </w:t>
      </w:r>
    </w:p>
    <w:p w:rsidR="0025129F" w:rsidRDefault="0025129F" w:rsidP="0025129F">
      <w:pPr>
        <w:pStyle w:val="TextoNormal"/>
      </w:pPr>
      <w:r>
        <w:t>Concluye el escrito de demanda suplicando del Tribunal Constitucional que, tras los trámites oportunos, dicte Sentencia en la que se otorgue el amparo solicitado y se decrete la nulidad de las resoluciones judiciales impugnadas.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Sección Tercera del Tribunal Constitucional por providencia de 12 de marzo de 2001 acordó, de conformidad con lo previsto en el art. 50.3 LOTC, conceder a la parte demandante y al Ministerio Fiscal un plazo común de diez días para que formulasen, con las aportaciones documentales que procedieran, las alegaciones que estimasen pertinentes en relación con la posible carencia manifiesta de contenido constitucional de la demanda de amparo [art. 50.1 c) LOTC]. </w:t>
      </w:r>
    </w:p>
    <w:p w:rsidR="0025129F" w:rsidRDefault="0025129F" w:rsidP="0025129F">
      <w:pPr>
        <w:pStyle w:val="TextoNormal"/>
      </w:pPr>
      <w:r>
        <w:t>Evacuado el trámite de alegaciones conferido, la Sala Segunda del Tribunal Constitucional por providencia de 24 de mayo de 2001 acordó admitir a trámite la demanda de amparo y, en aplicación de lo dispuesto en el art. 51 LOTC, dirigir sendas comunicaciones a la Sección Decimotercera de la Audiencia Provincial de Barcelona y al Juzgado de Primera Instancia núm. 25 de Barcelona, al objeto de que, en plazo que no excediera de diez días, remitiesen, respectivamente, certificación o fotocopia adverada de las actuaciones correspondientes al rollo de apelación núm. 600/98 y a los autos del juicio ejecutivo núm. 578/97, debiendo emplazar previamente el Juzgado de Primera Instancia a quienes hubieran sido parte en el procedimiento, con excepción de la demandante de amparo, para que pudieran comparecer en el plazo de diez días, si lo deseasen, en el presente proceso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Por diligencia de ordenación de la Secretaría de la Sala Segunda del Tribunal Constitucional de 21 de junio de 2001 se tuvo por personado en el procedimiento al Procurador de los Tribunales don Eduardo Codes Feijoo, en nombre y representación del Banco Santander Central Hispano, S.A., y se acordó, de conformidad con lo previsto en el art. 52.1 LOTC, dar vista de las actuaciones a las partes personadas y al Ministerio Fiscal, por plazo común de veinte días, para que pudieran formular cuantas alegaciones tuvieran por conveniente.</w:t>
      </w:r>
    </w:p>
    <w:p w:rsidR="0025129F" w:rsidRDefault="0025129F" w:rsidP="0025129F">
      <w:pPr>
        <w:pStyle w:val="TextoNormal"/>
      </w:pPr>
    </w:p>
    <w:p w:rsidR="0025129F" w:rsidRDefault="0025129F" w:rsidP="0025129F">
      <w:pPr>
        <w:pStyle w:val="TextoNormal"/>
      </w:pPr>
      <w:r w:rsidRPr="0025129F">
        <w:rPr>
          <w:rStyle w:val="NumeroAFNegritaCaracter"/>
        </w:rPr>
        <w:t>6</w:t>
      </w:r>
      <w:r>
        <w:t>. La representación procesal de la recurrente en amparo evacuó el trámite de alegaciones conferido mediante escrito presentado en el Registro General de este Tribunal el día 18 de julio de 2001, en el que reiteró, sucintamente, las vertidas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La representación procesal del Banco Santander Central Hispano, S.A., evacuó el trámite de alegaciones conferido mediante escrito presentado en el Registro General de este Tribunal el día 18 de julio de 2001, que, en lo sustancial, a continuación se resume: </w:t>
      </w:r>
    </w:p>
    <w:p w:rsidR="0025129F" w:rsidRDefault="0025129F" w:rsidP="0025129F">
      <w:pPr>
        <w:pStyle w:val="TextoNormal"/>
      </w:pPr>
      <w:r>
        <w:t xml:space="preserve">a) En primer lugar, sostiene que la demanda de amparo no ha cumplido el requisito del agotamiento previo de la vía judicial ordinaria, como exige el art. 44.1 a) LOTC, desnaturalizando de este modo el carácter subsidiario del recurso de amparo. Tras referirse a una reiterada y conocida doctrina constitucional sobre el mencionado requisito procesal, considera que en este caso la recurrente no ha utilizado los medios procesales que el ámbito de la legalidad ordinaria le ofrecía para reparar el supuesto error judicial que ha producido la alegada falta de tutela judicial efectiva. </w:t>
      </w:r>
    </w:p>
    <w:p w:rsidR="0025129F" w:rsidRDefault="0025129F" w:rsidP="0025129F">
      <w:pPr>
        <w:pStyle w:val="TextoNormal"/>
      </w:pPr>
      <w:r>
        <w:t xml:space="preserve">La incongruencia omisiva que se denuncia ha tenido lugar en el marco de un juicio ejecutivo, cuyas Sentencias, de acuerdo con el art. 1479 LEC, no producen la excepción de cosa juzgada, quedando a salvo el derecho de las partes para promover el ordinario sobre la misma cuestión. De modo que la recurrente en amparo pudo, y aún puede, plantear en un proceso de plena cognitio todas las cuestiones y probar mediante los documentos que estime más idóneos para sus intereses el carácter del poder con el que actuó el Sr. Füssel y si, en definitiva, ese poder era o no suficiente al referirse a otra entidad distinta de la avalada, como mantuvo extemporáneamente en el acto del juicio oral ante la Sección Decimotercera de la Audiencia Provincial de Barcelona. De no estimar conforme la Sentencia que recayese en el proceso declarativo correspondiente, podría alzarse contra la misma, tanto en grado de apelación como en vía casacional, antes de acudir a la vía del recurso constitucional de amparo. Más aún, pudo acudir, y quizás debió hacerlo, al recurso de revisión. </w:t>
      </w:r>
    </w:p>
    <w:p w:rsidR="0025129F" w:rsidRDefault="0025129F" w:rsidP="0025129F">
      <w:pPr>
        <w:pStyle w:val="TextoNormal"/>
      </w:pPr>
      <w:r>
        <w:t xml:space="preserve">b) Como segundo óbice procesal a la admisión de la demanda de amparo opone la falta de invocación en la vía judicial previa del derecho fundamental presuntamente vulnerado [art. 44.1 c) LOTC]. </w:t>
      </w:r>
    </w:p>
    <w:p w:rsidR="0025129F" w:rsidRDefault="0025129F" w:rsidP="0025129F">
      <w:pPr>
        <w:pStyle w:val="TextoNormal"/>
      </w:pPr>
      <w:r>
        <w:t xml:space="preserve">Como la lectura de las actuaciones judiciales permite apreciar, la recurrente en amparo, antes de interponer el incidente de nulidad de actuaciones, no advirtió ni ante el Juzgado de Primera Instancia ni ante la Audiencia Provincial la infracción de derecho fundamental alguno, lo que impidió que los órganos jurisdiccionales pudieran subsanar la supuesta falta o error judicial que ahora se denuncia con ocasión del recurso de amparo. Y ello aconteció así porque, en realidad, en ninguna de las dos instancias — salvo la alegación efectuada en el acto de la vista del recurso de apelación— se planteó que el poder otorgado por la demandante de amparo al Sr. Füssel se refería a otra entidad distinta de la avalada. Por el contrario, esta cuestión nueva se introdujo en una fase procesal que orillaba cualquier debate o probanza sobre la misma. Si al quedar planteada la litis inicial la recurrente en amparo hubiese alegado que el poder era insuficiente por referirse a otra entidad distinta de la avalada, el curso del proceso hubiese sido otro. Pero, al no hacerlo así, tanto el Juez de instancia como el de apelación tuvieron que atenerse estrictamente a las cuestiones planteadas, entre las que se encontraba la de que el poder del que disponía el Sr. Füssel a favor de su esposa, hoy demandante de amparo, fue revocado en fecha anterior, asunto éste, y no otro, que fue el planteado en la contienda judicial y sobre el que se pronunciaron las Sentencias de instancia y de apelación. </w:t>
      </w:r>
    </w:p>
    <w:p w:rsidR="0025129F" w:rsidRDefault="0025129F" w:rsidP="0025129F">
      <w:pPr>
        <w:pStyle w:val="TextoNormal"/>
      </w:pPr>
      <w:r>
        <w:lastRenderedPageBreak/>
        <w:t xml:space="preserve">Ello así, la demandante de amparo debió de invocar la vulneración del derecho fundamental que ahora denuncia ante el Juzgado de Primera Instancia y, en todo caso, en el recurso de apelación, no debiendo de esperar al incidente de nulidad de actuaciones cuando ya se encontraba cerrada la litis (STC 55/1991). </w:t>
      </w:r>
    </w:p>
    <w:p w:rsidR="0025129F" w:rsidRDefault="0025129F" w:rsidP="0025129F">
      <w:pPr>
        <w:pStyle w:val="TextoNormal"/>
      </w:pPr>
      <w:r>
        <w:t xml:space="preserve">c) En cuanto al fondo de la pretensión de amparo, la representación procesal del Banco Santander Hispano Americano, S.A., considera que el error judicial que se imputa a la Sentencia de la Audiencia Provincial no constituye un vicio procesal con relevancia constitucional, y niega la existencia de error judicial alguno, ya que el debate procesal se atuvo estrictamente a las cuestiones alegadas por las partes en las dos instancias judiciales, y, por ello, las Sentencias recaídas fueron congruentes. </w:t>
      </w:r>
    </w:p>
    <w:p w:rsidR="0025129F" w:rsidRDefault="0025129F" w:rsidP="0025129F">
      <w:pPr>
        <w:pStyle w:val="TextoNormal"/>
      </w:pPr>
      <w:r>
        <w:t xml:space="preserve">Aun admitiendo a efectos dialécticos que la Sentencia de la Audiencia Provincial hubiera incurrido en vicio de incongruencia, lo cierto es que esta última sólo adquiere relevancia constitucional, de acuerdo con una reiterada doctrina de este Tribunal, cuando produce indefensión, y dicha indefensión se da cuando el pronunciamiento versa sobre materias no debatidas, respecto de las cuales, por lo tanto, no ha podido existir la necesaria contradicción (SSTC 20/1982, 120/1984, 77/1986, 86/1986, 29/1987, 142/1987, 211/1988, 609/1990). En concreto, por lo que se refiere al vicio de incongruencia omisiva, es reiterada doctrina constitucional que incurre en falta de tutela judicial efectiva aquella Sentencia que deja sin resolver alguna de las peticiones formuladas por las partes, de modo que la omisión del pronunciamiento sólo tiene relevancia constitucional, y es susceptible de amparo por falta de tutela judicial efectiva, cuando alguna pretensión oportunamente deducida por el actor ha quedado imprejuzgada, esto es, cuando alguna de las alegaciones o pretensiones del demandante no han sido objeto de enjuiciamiento por los órganos judiciales (SSTC 5/1986, 116/1986, 27/1988, 68/1988, 94/1988, 169/1988, 244/1988, 178/1989, 34/1992). </w:t>
      </w:r>
    </w:p>
    <w:p w:rsidR="0025129F" w:rsidRDefault="0025129F" w:rsidP="0025129F">
      <w:pPr>
        <w:pStyle w:val="TextoNormal"/>
      </w:pPr>
      <w:r>
        <w:t xml:space="preserve">No ha sido esto lo que ha ocurrido en el presente supuesto, ya que, con toda la intensidad y extensión que permite el juicio ejecutivo, las partes plantearon sus recíprocas pretensiones y excepciones, disponiendo de los medios probatorios para sustentar y defender la certeza de las mismas, actuando en un plano de igualdad de armas procesales y medios de defensa, dictándose finalmente una Sentencia que recogía estrictamente las cuestiones objeto de debate. La representación procesal de la demandante de amparo en ninguna de las dos instancias judiciales alegó, salvo en la vista del recurso de apelación, que el poder era insuficiente por referirse a otra entidad distinta a la avalada, siendo ésta una cuestión nueva que introdujo extemporáneamente con violación de los principios de preclusión e igualdad de las partes en el proceso. Con su forma de actuación no era exigible a la Audiencia Provincial, y menos aún al Juzgado de Primera Instancia, que recogiese esa petición tardíamente alegada, pues de haberlo hecho se habría privado a esta parte de su derecho a alegar y formular la prueba que estimase oportuna con relación a dicho extremo. </w:t>
      </w:r>
    </w:p>
    <w:p w:rsidR="0025129F" w:rsidRDefault="0025129F" w:rsidP="0025129F">
      <w:pPr>
        <w:pStyle w:val="TextoNormal"/>
      </w:pPr>
      <w:r>
        <w:t xml:space="preserve">Aún más, tampoco puede sostenerse que en este caso, como se desliza en la demanda de amparo, haya incurrido la Sentencia de la Audiencia Provincial en una incongruencia por error, que implica que el órgano judicial no resuelva sobre la pretensión formulada en la demanda o sobre el motivo del recurso, sino que erróneamente razone sobre otra pretensión absolutamente ajena al debate planteado, dejando al mismo tiempo aquélla sin respuesta (STC 136/1998). En este supuesto, tanto la Sentencia de la Audiencia Provincial como su Auto en el que se resuelve el incidente de nulidad de actuaciones se atuvieron estrictamente a las pretensiones y pruebas sostenidas por las partes, rechazando como nueva la cuestión que fue llevada extemporáneamente a los autos por la representación procesal de la demandante de amparo. </w:t>
      </w:r>
    </w:p>
    <w:p w:rsidR="0025129F" w:rsidRDefault="0025129F" w:rsidP="0025129F">
      <w:pPr>
        <w:pStyle w:val="TextoNormal"/>
      </w:pPr>
      <w:r>
        <w:lastRenderedPageBreak/>
        <w:t xml:space="preserve">De otra parte, los principios de buena fe y de lealtad procesal exigen que las partes en un proceso judicial actúen con total diligencia, por lo que es indispensable que quien pretenda la declaración de error no haya contribuido al mismo con una actitud equívoca (art. 295 LOPJ). Si, como afirma la demandante de amparo, el error en el que incurrió el Juzgado de Primera Instancia consistió en no consignar íntegramente las denominaciones sociales de las compañías, sorprende que no se hubiese subsanado ese error mediante el correspondiente recurso de aclaración, previsto para este tipo de supuestos. Sin embargo no se utilizó dicho recurso porque las excepciones opuestas en el juicio ejecutivo por la demandante de amparo sólo se circunscribieron a la revocación del poder, pero no que a éste se refería a otra entidad distinta a la avalada, de modo que ha sido la propia parte la generadora de la confusión que se imputa al órgano judicial. </w:t>
      </w:r>
    </w:p>
    <w:p w:rsidR="0025129F" w:rsidRDefault="0025129F" w:rsidP="0025129F">
      <w:pPr>
        <w:pStyle w:val="TextoNormal"/>
      </w:pPr>
      <w:r>
        <w:t xml:space="preserve">Asimismo es obligado recordar que, para que exista error judicial, es necesario que éste sea palmario o evidente (STS, Sala Primera, de 3 de marzo de 1993), y que la falta de diligencia o la actividad negligente del perjudicado debe ser causa de denegación de sus pretensiones de error judicial (STC 189/1991). </w:t>
      </w:r>
    </w:p>
    <w:p w:rsidR="0025129F" w:rsidRDefault="0025129F" w:rsidP="0025129F">
      <w:pPr>
        <w:pStyle w:val="TextoNormal"/>
      </w:pPr>
      <w:r>
        <w:t>Concluye su escrito solicitando del Tribunal Constitucional que dicte Sentencia denegando la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Ministerio Fiscal mediante escrito de fecha 13 de julio de 2001 solicitó que se interesase de la parte o del Tribunal sentenciador la fecha de notificación del Auto de la Sección Decimotercera de la Audiencia Provincial de Barcelona, de 25 de febrero de 2000, con la consiguiente suspensión del plazo para formular alegaciones previsto en el art. 52.1 LOTC, procediéndose a su apertura cuando se aportase a las actuaciones el documento interesado. </w:t>
      </w:r>
    </w:p>
    <w:p w:rsidR="0025129F" w:rsidRDefault="0025129F" w:rsidP="0025129F">
      <w:pPr>
        <w:pStyle w:val="TextoNormal"/>
      </w:pPr>
      <w:r>
        <w:t xml:space="preserve">Remitidos mediante fax por la sección Decimotercera de la Audiencia Provincial de Barcelona los datos interesados por el Ministerio Fiscal, se acordó, por diligencia de ordenación de la Secretaría de la Sala Segunda del Tribunal Constitucional, de 4 de septiembre de 2001, dar vista de las actuaciones recibidas a las partes personadas y al Ministerio Fiscal, por plazo común de veinte días, al objeto de que pudieran presentar las alegaciones que estimasen pertinentes, de conformidad con lo dispuesto en el art. 52.1 LOTC. </w:t>
      </w:r>
    </w:p>
    <w:p w:rsidR="0025129F" w:rsidRDefault="0025129F" w:rsidP="0025129F">
      <w:pPr>
        <w:pStyle w:val="TextoNormal"/>
      </w:pPr>
      <w:r>
        <w:t>La representación procesal del Banco de Santander Hispano Americano, S.A., mediante escrito de fecha 20 de septiembre de 2001, dio por reproducido su anterior escrito de alegaciones.</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Ministerio Fiscal evacuó el trámite de alegaciones conferido mediante escrito presentado en el Registro General de este Tribunal el día 4 de octubre de 2001, en el que interesó la estimación de la demanda de amparo, retrotrayendo las actuaciones al momento en que se produjo el error que desembocó en el fallo de primera instancia, para que se dicte una nueva Sentencia que considere la discordancia entre el poder otorgado en su día y la compañía obligada en la póliza mercantil suscrita. </w:t>
      </w:r>
    </w:p>
    <w:p w:rsidR="0025129F" w:rsidRDefault="0025129F" w:rsidP="0025129F">
      <w:pPr>
        <w:pStyle w:val="TextoNormal"/>
      </w:pPr>
      <w:r>
        <w:t xml:space="preserve">a) En relación con el error patente denunciado, imputable al órgano judicial de instancia, motivado por la discordancia entre el poder otorgado por la demandante de amparo a su marido, el Sr. Füssel, referido a la empresa Señalizaciones y Mandos Eléctricos, S.A., y la empresa contratante de la póliza objeto del proceso, Semel Comercial, S.L., en relación con la cual no existía poder para contratar concedido a favor de aquél, el Ministerio Fiscal, a partir del examen de los documentos aportados a los autos y del escrito de oposición a la ejecución, entiende que el debate procesal giró sobre una inexistencia de poder, cuestión a la que se contesta en la Sentencia del Juzgado de Primera Instancia, pero en unos términos </w:t>
      </w:r>
      <w:r>
        <w:lastRenderedPageBreak/>
        <w:t xml:space="preserve">que revelan que el órgano judicial no leyó con detenimiento los referidos documentos, toda vez que la afirmación de que el Sr. Füssel estaba autorizado por escritura de poder de 23 de noviembre de 1993 para afianzar operaciones de Semel Comercial, S.L., resulta palmariamente contradicha por la literalidad del citado poder, que se refiere a la empresa Señalizaciones y Mandos Eléctricos, S.A. Como se pone de manifiesto en la demanda de amparo, si el Juez hubiera atendido a esta discordancia no hubiera ordenado seguir la ejecución contra la recurrente en amparo o, lo que es lo mismo, hubiera cambiado el signo del pleito, lo que eleva el error a la categoría de constitucionalmente relevante, como patente y decisorio de la litis. En definitiva, el órgano judicial de instancia da por supuesto que una y otra son la misma empresa, pero sin explicar por qué razón. </w:t>
      </w:r>
    </w:p>
    <w:p w:rsidR="0025129F" w:rsidRDefault="0025129F" w:rsidP="0025129F">
      <w:pPr>
        <w:pStyle w:val="TextoNormal"/>
      </w:pPr>
      <w:r>
        <w:t xml:space="preserve">b) En relación con el error patente e incongruencia que se denuncian en la demanda de amparo respecto a la Sentencia de la Audiencia Provincial, el Ministerio Fiscal entiende que el vicio de inexistencia de poder, que el Juez de instancia trató erróneamente, lo introdujo también la demandante de amparo en la segunda instancia, pues así resulta de las actuaciones judiciales y, de modo específico, del acta de la vista del recurso de apelación, de 17 de febrero de 1998, en la que se puede leer que la apelante alegó la falta de prueba por la ejecutante de la existencia de poder en el momento de otorgarse la póliza de crédito, lo que quiere decir que la temática de la inexistencia del poder, obviada en la primera instancia, fue reintroducida por la apelante en su escrito de apelación. </w:t>
      </w:r>
    </w:p>
    <w:p w:rsidR="0025129F" w:rsidRDefault="0025129F" w:rsidP="0025129F">
      <w:pPr>
        <w:pStyle w:val="TextoNormal"/>
      </w:pPr>
      <w:r>
        <w:t xml:space="preserve">Sin embargo, la Audiencia Provincial no se ocupa en su Sentencia de tal cuestión, la cual el Ministerio Fiscal califica de relevante, por entender que se trataba de una cuestión nueva no debatida en el pleito. Esta afirmación es de todo punto inconsistente, como permite sostener un detenido examen de las actuaciones, pues tanto el escrito de oposición a la demanda inicial como el acto del juicio ponen de manifiesto que se causalizaba la oposición en la inexistencia de poder, lo que debería producir, como efecto reflejo, la desestimación de la demanda en relación con la recurrente en amparo. De otra parte, la entidad demandante en el proceso a quo tenía conocimiento de que la demandada alegaba la inexistencia de poder, de modo que no era tal la posible indefensión de la contraparte a la que se hace referencia en la fundamentación jurídica de la Sentencia de apelación. </w:t>
      </w:r>
    </w:p>
    <w:p w:rsidR="0025129F" w:rsidRDefault="0025129F" w:rsidP="0025129F">
      <w:pPr>
        <w:pStyle w:val="TextoNormal"/>
      </w:pPr>
      <w:r>
        <w:t xml:space="preserve">Por lo tanto, en la segunda instancia se consolida el error patente sufrido en la primera instancia y, además, la Sentencia de la Audiencia Provincial deja de tratar un objeto del proceso que afectaba a la médula de la acción procesal, toda vez que su estimación o desestimación era condicionante de la estimación o desestimación de la demanda inicial, no pudiendo cobijarse la falta de tratamiento que se denuncia en la existencia de una cuestión nueva. </w:t>
      </w:r>
    </w:p>
    <w:p w:rsidR="0025129F" w:rsidRDefault="0025129F" w:rsidP="0025129F">
      <w:pPr>
        <w:pStyle w:val="TextoNormal"/>
      </w:pPr>
      <w:r>
        <w:t xml:space="preserve">Esta situación, en la que se ha visto colocada la demandante de amparo no ha sido remediada en el Auto que resuelve el incidente de nulidad de actuaciones, en el que la Audiencia Provincial vuelve a insistir en que se han debatido todos los objetos procesales y en la consideración como cuestión nueva de la inexistencia de poder, lo que no se compadece con la realidad procesal de los escritos analizados. </w:t>
      </w:r>
    </w:p>
    <w:p w:rsidR="0025129F" w:rsidRDefault="0025129F" w:rsidP="0025129F">
      <w:pPr>
        <w:pStyle w:val="TextoNormal"/>
      </w:pPr>
      <w:r>
        <w:t>En definitiva, se cumplen las premisas básicas establecidas por la jurisprudencia del Tribunal Constitucional para apreciar el vicio de incongruencia, al tratarse, en este caso, de una pretensión, y no de una alegación, que ha sido llevada al pleito por la parte en el momento procesal oportuno y respecto a la que el órgano judicial ha omitido una respuesta.</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7 de febrero de 2002, se señaló para la deliberación y votación de la presente Sentencia el día 11 de febrero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según su encabezamiento, se dirige contra la Sentencia de la Sección Decimotercera de la Audiencia Provincial de Barcelona, de 24 de octubre de 1999, que confirmó en apelación la dictada por el Juzgado de Primera Instancia núm. 25 de Barcelona, de 19 de febrero de 1998, y contra el Auto de la mencionada Sección, de 25 de febrero de 2000, que desestimó el incidente de nulidad de actuaciones interpuesto frente a aquella Sentencia. Resoluciones jurisdiccionales recaídas todas ellas en el proceso ejecutivo en reclamación de cantidad promovido por el Banco Santander Central Hispano, S.A., contra la entidad mercantil Semel Comercial, S.L., don Kurt Wolfgang Harald Füssel y la demandante de amparo en ejecución de la póliza de negociación de letras de cambio, recibos y otros documentos y efectos mercantiles, suscrita a favor de Semel Comercial, S.L., y en la que figuraban como fiadores solidarios don Kurt Wolfgang Harald Füssel y la ahora recurrente en amparo, en cuyo nombre y representación había intervenido en el momento de suscribir la citada póliza don Kurt Wolfgang Harald Füssel, en virtud de escritura notarial de poder que aquélla le había otorgado el día 26 de noviembre de 1993.</w:t>
      </w:r>
    </w:p>
    <w:p w:rsidR="0025129F" w:rsidRDefault="0025129F" w:rsidP="0025129F">
      <w:pPr>
        <w:pStyle w:val="TextoNormal"/>
      </w:pPr>
      <w:r>
        <w:t>Ahora bien, en el suplico de demanda se indican como resoluciones cuya nulidad se reclama, no sólo las citadas, sino también la referida Sentencia del Juzgado, por lo que ésta ha de considerarse asimismo integrada en el objeto del recurso.</w:t>
      </w:r>
    </w:p>
    <w:p w:rsidR="0025129F" w:rsidRDefault="0025129F" w:rsidP="0025129F">
      <w:pPr>
        <w:pStyle w:val="TextoNormal"/>
      </w:pPr>
    </w:p>
    <w:p w:rsidR="0025129F" w:rsidRDefault="0025129F" w:rsidP="0025129F">
      <w:pPr>
        <w:pStyle w:val="TextoNormal"/>
      </w:pPr>
      <w:r w:rsidRPr="0025129F">
        <w:rPr>
          <w:rStyle w:val="NumeroAFNegritaCaracter"/>
        </w:rPr>
        <w:t>2</w:t>
      </w:r>
      <w:r>
        <w:t>. La demandante de amparo imputa a la Sentencia de primera instancia la vulneración del derecho a la tutela judicial efectiva, sin que, en ningún caso, pueda producirse indefensión (art. 24.1 CE), por haber incurrido el órgano jurisdiccional en un flagrante error, determinante, en su opinión, del sentido de la decisión judicial adoptada, al haber confundido la entidad mercantil — Semel Comercial, S.L.—, a favor de la cual se había suscrito la póliza cuya ejecución se instaba con la entidad mercantil — Señalizaciones y Mandos Eléctricos, S.A.—, a la que se limitaban las facultades del poder que mediante escritura notarial había otorgado a don Kurt Wolfgang Harald Füssel.  Esa misma lesión les imputa a la Sentencia de la Audiencia Provincial y al Auto desestimatorio del incidente de nulidad de actuaciones, por negarse a subsanar, y no reparar por lo tanto, el señalado error en el que habría incurrido el órgano judicial de instancia, así como, lo que a su juicio es determinante de un vicio de incongruencia omisiva, por no dar respuesta a una de las pretensiones deducidas por la recurrente en amparo, relativa a la insuficiencia del poder otorgado a don Kurt Wolfgang Harald Füssel para suscribir en su nombre y representación la póliza objeto de ejecución, al estar referido aquél a una entidad mercantil distinta a la avalada, por entender la Sala que se trataba de una cuestión nueva no suscitada en el proceso con anterioridad al acto de la vista del recurso de apelación.</w:t>
      </w:r>
    </w:p>
    <w:p w:rsidR="0025129F" w:rsidRDefault="0025129F" w:rsidP="0025129F">
      <w:pPr>
        <w:pStyle w:val="TextoNormal"/>
      </w:pPr>
      <w:r>
        <w:t xml:space="preserve">La representación procesal del Banco Santander Hispano Americano, S.A., tras oponer como óbices procesales a la viabilidad de la pretensión de amparo el incumplimiento de los requisitos establecidos en el art. 44.1 a) y c) LOTC, niega en este caso la existencia de error judicial alguno, ya que, en su opinión, el debate procesal se atuvo estrictamente a las cuestiones planteadas por las partes en las dos instancias judiciales, sobre las que se pronunciaron congruentemente las Sentencias dictadas.  En este sentido afirma que la demandante de amparo en ninguna de las instancias alegó, salvo en el acto de la vista del recurso de apelación, que el poder exhibido al suscribirse en su nombre y representación la póliza </w:t>
      </w:r>
      <w:r>
        <w:lastRenderedPageBreak/>
        <w:t>objeto de ejecución era insuficiente, por referirse a una entidad mercantil distinta a la avalada, tratándose, pues, de una cuestión nueva, que se introdujo extemporáneamente con vulneración de los principios de preclusión e igualdad de las partes en el proceso, y que, en consecuencia, no podían recoger los órganos judiciales.</w:t>
      </w:r>
    </w:p>
    <w:p w:rsidR="0025129F" w:rsidRDefault="0025129F" w:rsidP="0025129F">
      <w:pPr>
        <w:pStyle w:val="TextoNormal"/>
      </w:pPr>
      <w:r>
        <w:t>Por su parte el Ministerio Fiscal se pronuncia a favor de la estimación de la demanda de amparo. Considera que el Juzgado de Primera Instancia incurrió en un error constitucionalmente relevante y decisorio de la litis, al confundir, o dar por supuesto que eran una misma empresa sin explicar por qué, la entidad mercantil avalada en la póliza y aquella a la que se refería el poder otorgado por la demandante de amparo a don Kurt Wolfgang Harald Füssel, error que, no sólo no subsanó, sino que consolidó la Audiencia Provincial, al no abordar en su Sentencia la cuestión referida a la insuficiencia del poder para suscribir en nombre y representación de la recurrente en amparo dicha póliza, por entender que se trataba de una cuestión nueva no debatida en el pleito, cuando la misma ya había sido suscitada, antes de ser reiterada con ocasión del recurso de apelación, en el escrito de oposición de la demanda de ejecución y en la vista del acto del juicio, y resultaba, además, determinante del sentido de la decisión del proceso.</w:t>
      </w:r>
    </w:p>
    <w:p w:rsidR="0025129F" w:rsidRDefault="0025129F" w:rsidP="0025129F">
      <w:pPr>
        <w:pStyle w:val="TextoNormal"/>
      </w:pPr>
    </w:p>
    <w:p w:rsidR="0025129F" w:rsidRDefault="0025129F" w:rsidP="0025129F">
      <w:pPr>
        <w:pStyle w:val="TextoNormal"/>
      </w:pPr>
      <w:r w:rsidRPr="0025129F">
        <w:rPr>
          <w:rStyle w:val="NumeroAFNegritaCaracter"/>
        </w:rPr>
        <w:t>3</w:t>
      </w:r>
      <w:r>
        <w:t>. Antes de proceder a examinar las cuestiones de fondo suscitadas han de ser analizados los óbices procesales opuestos por la representación procesal del Banco Santander Central Hispano, S.A., a la admisibilidad de la demanda de amparo. Sostiene ésta, en primer lugar, que la recurrente en amparo no ha agotado la vía judicial previa [art. 44.1 a) LOTC], de un lado, al no haber acudido al proceso declarativo ordinario, una vez concluido el procedimiento ejecutivo, y, de otro, al no haber interpuesto recurso de revisión contra las resoluciones judiciales impugnadas.</w:t>
      </w:r>
    </w:p>
    <w:p w:rsidR="0025129F" w:rsidRDefault="0025129F" w:rsidP="0025129F">
      <w:pPr>
        <w:pStyle w:val="TextoNormal"/>
      </w:pPr>
      <w:r>
        <w:t>En relación con el primero de los motivos en los que se funda la falta de cumplimiento del requisito procesal ahora enjuiciado este Tribunal Constitucional tiene declarado que no encaja en la exigencia del art. 44.1 a) LOTC la imposición al demandante de amparo, una vez extinguido el procedimiento ejecutivo, la necesidad de acudir a la vía declarativa ordinaria, al objeto de formular los agravios que estimara oportunos, antes de interponer, en su caso, el recurso de amparo constitucional. Una interpretación del art. 44.1 a) LOTC como la propuesta por la representación del Banco Santander Central Hispano, S.A., que implicaría para el recurrente la obligación de agotar el procedimiento ejecutivo en el cual se ha producido la supuesta lesión de derechos fundamentales y, además, el subsiguiente proceso declarativo, no se acomoda al sentido rectamente entendido del requisito que establece el art. 44.1 c) LOTC, cuya exigencia debe de quedar acotada al agotamiento de los recursos dirigibles contra la resolución o resoluciones judiciales supuestamente causantes de las vulneraciones denunciadas. Es innegable que, con arreglo a esta correcta interpretación del mencionado art.  44.1 a) LOTC, la demandante de amparo ha agotado todos los recursos utilizables en la vía judicial previa (SSTC 128/2000, de 16 de mayo, FJ 1; 145/2000, de 29 de mayo, FJ 4, por todas). En este sentido no resulta ocioso en modo alguno recordar, como se declara en la STC 177/2001, de 17 de septiembre, que “la exigencia de agotamiento de los recursos utilizables, implica, a fin de cuentas, dar todos los pasos que dentro de la correspondiente vía procesal sean aptos para la tutela del derecho correspondiente” (FJ 2).</w:t>
      </w:r>
    </w:p>
    <w:p w:rsidR="0025129F" w:rsidRDefault="0025129F" w:rsidP="0025129F">
      <w:pPr>
        <w:pStyle w:val="TextoNormal"/>
      </w:pPr>
      <w:r>
        <w:t xml:space="preserve">Igual rechazo merece la alegada falta de agotamiento de la vía judicial previa, al no haber acudido la demandante de amparo al recurso de revisión civil, dado el silencio de la representación procesal del Banco Santander Central Hispano, S.A., sobre los precisos motivos o razones por las que considera que en el presente supuesto era posible acudir a tal extraordinario y excepcional remedio rescisorio de resoluciones judiciales firmes, que </w:t>
      </w:r>
      <w:r>
        <w:lastRenderedPageBreak/>
        <w:t>sólo cabe reputar como exigible con carácter previo al subsidiario recurso de amparo, cuando éste hubiera de fundarse exclusivamente, lo que no acontece en el presente caso, ni nada se alega al respecto por aquella representación procesal, en alguno de los tasados motivos en que cabe articular aquél (SSTC 242/1991, de 16 de diciembre, FJ 2; 268/2000, de 13 de noviembre, FJ 2, por todas).</w:t>
      </w:r>
    </w:p>
    <w:p w:rsidR="0025129F" w:rsidRDefault="0025129F" w:rsidP="0025129F">
      <w:pPr>
        <w:pStyle w:val="TextoNormal"/>
      </w:pPr>
    </w:p>
    <w:p w:rsidR="0025129F" w:rsidRDefault="0025129F" w:rsidP="0025129F">
      <w:pPr>
        <w:pStyle w:val="TextoNormal"/>
      </w:pPr>
      <w:r w:rsidRPr="0025129F">
        <w:rPr>
          <w:rStyle w:val="NumeroAFNegritaCaracter"/>
        </w:rPr>
        <w:t>4</w:t>
      </w:r>
      <w:r>
        <w:t>. En segundo lugar, la representación procesal del Banco Santander Central Hispano aduce el incumplimiento por la demandante de amparo del requisito procesal establecido en el art.  44.1 c) LOTC, esto es, la invocación en el proceso judicial del derecho constitucional supuestamente vulnerado, tan pronto como, una vez conocida la violación, hubiere lugar a ello. Argumenta al respecto que la recurrente en amparo no planteó en ninguna de las instancias judiciales, salvo en el acto de la vista del recurso de apelación y, posteriormente, con ocasión del incidente de nulidad de actuaciones, la insuficiencia del poder otorgado a don Kurt Wolfgang Harald Füssel para suscribir en su nombre y representación la póliza cuya ejecución se instaba, al referirse aquél a una entidad mercantil distinta a la avalada, siendo ésta, por el contrario, una cuestión nueva que se introdujo tardíamente en el debate procesal.</w:t>
      </w:r>
    </w:p>
    <w:p w:rsidR="0025129F" w:rsidRDefault="0025129F" w:rsidP="0025129F">
      <w:pPr>
        <w:pStyle w:val="TextoNormal"/>
      </w:pPr>
      <w:r>
        <w:t>Abstracción hecha de que el óbice procesal ahora examinado no sería oponible a la vulneración autónoma que del derecho a la tutela judicial efectiva (art. 24.1 CE) se imputa a la Sentencia de la Audiencia Provincial, al no dar respuesta precisamente a la pretensión deducida por la recurrente en amparo, relativa a la insuficiencia del poder de don Kurt Wolfgang Harald Füssel para suscribir en su nombre y representación la póliza objeto de ejecución, por entender la Sala que se trataba de una cuestión nueva no suscitada en el proceso con anterioridad al acto de la vista del recurso de apelación, lo cierto es que los razonamientos en los que se sustenta en este caso el supuesto incumplimiento del referido requisito procesal que establece el art. 44.1 c) LOTC coinciden sustancialmente, y se confunden, con los temas de fondo planteados en la demanda de amparo, como veremos de inmediato, de modo que, bajo la alegación de aquel incumplimiento, lo que realmente está haciendo quien comparece como parte demandada en este proceso constitucional es reiterar y traer de nuevo a colación la argumentación con base en la cual se opone al éxito de la pretensión de amparo de la recurrente. Así pues, ha de ser rechazado también, atendida su fundamentación y sin necesidad de una más detenida argumentación, el segundo de los óbices procesales opuestos a la admisión de la demanda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Entrando ya en el examen de las cuestiones de fondo suscitadas con ocasión del presente recurso de amparo, nuestro enjuiciamiento ha de comenzar, siguiendo un orden inverso al plasmado en el escrito de demanda, por la denunciada vulneración del derecho a la tutela judicial efectiva que se imputa a la Sentencia de la Audiencia Provincial y, en la medida que confirma la decisión judicial impugnada, al Auto que resuelve el incidente de nulidad de actuaciones, por no dar respuesta a la pretensión deducida por la recurrente en amparo sobre la insuficiencia del poder otorgado a don Kurt Wolfgang Harald Füssel para suscribir en su nombre y representación la póliza objeto de ejecución, al estar referido aquél a una entidad mercantil distinta a la avalada, al entender el órgano judicial que se trataba de una cuestión nueva no suscitada en el proceso con anterioridad, pues, de apreciarse la lesión denunciada, la consecuencia directa sería la retroacción de las actuaciones al momento en que debió de dictarse una resolución judicial respetuosa con el citado derecho fundamental que diera una respuesta a la cuestión planteada.</w:t>
      </w:r>
    </w:p>
    <w:p w:rsidR="0025129F" w:rsidRDefault="0025129F" w:rsidP="0025129F">
      <w:pPr>
        <w:pStyle w:val="TextoNormal"/>
      </w:pPr>
      <w:r>
        <w:lastRenderedPageBreak/>
        <w:t>Mas una doble precisión es necesaria, llegado este momento, a fin de determinar adecuadamente en este extremo el objeto de la queja de la recurrente en amparo. La primera, pese a que en la demanda se plantean como motivos distintos, que este motivo en el que sustenta su pretensión de amparo viene a superponerse y confundirse con la denunciada lesión del derecho a la tutela judicial efectiva que también imputa a la Sentencia de la Audiencia Provincial, por no haber procedido a subsanar el error en el que supuestamente habría incurrido el órgano judicial de instancia, al considerarlo una “cuestión nueva no debatida en el pleito”. La segunda, que, aunque lo que se le reprocha a la Sentencia de la Audiencia Provincial es un vicio de incongruencia omisiva, al no haber dado respuesta a una de las pretensiones deducidas por la recurrente en amparo, lo cierto es que, como permite apreciar la lectura de esta resolución judicial, en la misma se da una respuesta expresa y motivada, aunque no de fondo, a aquella pretensión, por lo que, de acuerdo con una reiterada doctrina constitucional, que por conocida excusa su cita, no cabe estimar que incurra en un defecto de incongruencia omisiva.  En realidad, como permite apreciar un detenido examen de la demanda de amparo y de las citas jurisprudenciales que en ella se hacen, bajo una inadecuada, y a veces confusa, identificación de su queja, lo que denuncia la demandante de amparo, como presupuesto o base sustentadora de aquella alegación, es que la Sentencia de la Audiencia Provincial ha incurrido en un error al desestimar aquella pretensión, por entender que era una cuestión nueva no debatida en el pleito la insuficiencia del poder otorgado a don Kurt Wolfgang Harald Füssel para suscribir, en nombre y representación de la demandante de amparo, la póliza cuya ejecución se instaba, al estar referido aquél a una entidad mercantil distinta a la avalada, puesto que la misma había sido ya planteada por la recurrente en amparo en la primera instancia.  Este supuesto equívoco en el que habría incurrido el Tribunal ad quem ha determinado, en su opinión, la vulneración del derecho a la tutela judicial efectiva (art. 24.1 CE).</w:t>
      </w:r>
    </w:p>
    <w:p w:rsidR="0025129F" w:rsidRDefault="0025129F" w:rsidP="0025129F">
      <w:pPr>
        <w:pStyle w:val="TextoNormal"/>
      </w:pPr>
    </w:p>
    <w:p w:rsidR="0025129F" w:rsidRDefault="0025129F" w:rsidP="0025129F">
      <w:pPr>
        <w:pStyle w:val="TextoNormal"/>
      </w:pPr>
      <w:r w:rsidRPr="0025129F">
        <w:rPr>
          <w:rStyle w:val="NumeroAFNegritaCaracter"/>
        </w:rPr>
        <w:t>6</w:t>
      </w:r>
      <w:r>
        <w:t>. Ha de traerse a colación, pues, la doctrina elaborada por este Tribunal en torno al error patente con relevancia constitucional, recogida recientemente, entre otras resoluciones, en las SSTC 96/2000, de 10 de abril (FJ 5); 150/2000, de 12 de junio (FJ 2); 217/2000, de 18 de septiembre (FJ 3); 55/2001, de 26 de febrero (FJ 4); 134/2001, de 13 de junio (FJ 6); 172/2001, de 19 de julio (FJ 3); 177/2001, de 17 de septiembre (FJ 4), a fin de comprobar si efectivamente la denunciada equivocación sufrida por el Tribunal ad quem puede calificarse como tal y ha supuesto la vulneración del derecho fundamental a la tutela judicial efectiva (art. 24.1 CE).</w:t>
      </w:r>
    </w:p>
    <w:p w:rsidR="0025129F" w:rsidRDefault="0025129F" w:rsidP="0025129F">
      <w:pPr>
        <w:pStyle w:val="TextoNormal"/>
      </w:pPr>
      <w:r>
        <w:t>De acuerdo con la mencionada doctrina constitucional, aunque en alguna ocasión este Tribunal se ha referido a las particularidades de la figura del error patente que recae sobre la argumentación jurídica (STC 214/1999, de 29 de noviembre), esta institución viene relacionada primordialmente con aspectos de carácter fáctico. Así se ha aludido a ella como “indebida apreciación de datos de la realidad condicionantes de la resolución adoptada” (STC 68/1998, de 30 de marzo) o, de modo similar, se ha relacionado “con la determinación de los hechos objeto de juicio o con la determinación y relación del material de hecho sobre el que se asienta la decisión” (STC 112/1998, de 1 de junio), aplicándose también a un “dato fáctico indebidamente declarado como cierto” (STC 110/1999, de 31 de mayo).</w:t>
      </w:r>
    </w:p>
    <w:p w:rsidR="0025129F" w:rsidRDefault="0025129F" w:rsidP="0025129F">
      <w:pPr>
        <w:pStyle w:val="TextoNormal"/>
      </w:pPr>
      <w:r>
        <w:t>Para que el error llegue a determinar la vulneración del derecho a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w:t>
      </w:r>
      <w:r>
        <w:lastRenderedPageBreak/>
        <w:t>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b)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ciudadano, de modo que las meras inexactitudes que no produzcan efectos para las partes carecen, pues, de relevancia constitucional (por todas, SSTC 96/2000, de 10 de abril, FJ 4; 55/2001, de 26 de febrero, FJ 4; 177/2001, de 17 de septiembre, FJ 4).</w:t>
      </w:r>
    </w:p>
    <w:p w:rsidR="0025129F" w:rsidRDefault="0025129F" w:rsidP="0025129F">
      <w:pPr>
        <w:pStyle w:val="TextoNormal"/>
      </w:pPr>
    </w:p>
    <w:p w:rsidR="0025129F" w:rsidRDefault="0025129F" w:rsidP="0025129F">
      <w:pPr>
        <w:pStyle w:val="TextoNormal"/>
      </w:pPr>
      <w:r w:rsidRPr="0025129F">
        <w:rPr>
          <w:rStyle w:val="NumeroAFNegritaCaracter"/>
        </w:rPr>
        <w:t>7</w:t>
      </w:r>
      <w:r>
        <w:t>. En el presente caso la aplicación de la doctrina constitucional expuesta ha de conducir a la estimación de la queja de la recurrente en amparo en este extremo. En efecto, la Audiencia Provincial, según se recoge en su Sentencia, rechazó la alegación de la demandante de amparo relativa a la insuficiencia del poder que había otorgado a don Kurt Wolfgang Harald Füssel para suscribir en su nombre y representación la póliza objeto del proceso de ejecución, al estar referido aquél a una entidad mercantil distinta a la avalada, por “tratarse de una cuestión nueva no debatida en el pleito”, cuya introducción en el acto de la vista del recurso de apelación “está prohibida por violentar los principios de preclusión e igualdad de las partes en el proceso, pues de lo contrario se vulneraría la oportunidad procesal de defensa, privando a la parte contraria de su derecho a alegar y formular la prueba que estimase oportuna con relación a dicho extremo” (fundamento de Derecho primero).</w:t>
      </w:r>
    </w:p>
    <w:p w:rsidR="0025129F" w:rsidRDefault="0025129F" w:rsidP="0025129F">
      <w:pPr>
        <w:pStyle w:val="TextoNormal"/>
      </w:pPr>
      <w:r>
        <w:t>Sin embargo, frente a lo afirmado en la Sentencia de apelación, un detenido examen de las actuaciones judiciales permite apreciar, como advierte el Ministerio Fiscal, que aquella cuestión ya había sido planteada por la demandada en el proceso a quo y ahora demandante de amparo en la primera instancia e, incluso, que fue abordada de forma expresa, aunque la conclusión alcanzada resultase errónea según la recurrente en amparo, por el Juzgado de Primera Instancia en su Sentencia.</w:t>
      </w:r>
    </w:p>
    <w:p w:rsidR="0025129F" w:rsidRDefault="0025129F" w:rsidP="0025129F">
      <w:pPr>
        <w:pStyle w:val="TextoNormal"/>
      </w:pPr>
      <w:r>
        <w:t xml:space="preserve">En este sentido puede constatarse que la demandante de amparo, ya en el escrito de oposición a la ejecución despachada, alegó, entre otras excepciones, con cobertura en el art.  1647.1 y 4 LEC, que no se había aportado documento alguno del que resultase el supuesto poder por ella otorgado a favor del Sr. Harald Füssel para que éste pudiera, en su nombre, suscribir la póliza objeto del proceso, así como que éste jamás había sido autorizado por ella para que, en su nombre, prestara fianza personal en relación con la póliza suscrita a favor de la mercantil Semel Comercial, S.L., por lo que concluía que el Sr. Harald Füssel carecía de representación para avalar en nombre de la recurrente en amparo a la citada mercantil, no pudiéndosele exigir, por tal circunstancia, el cumplimiento de la fianza. Más concretamente puede comprobarse que en el acto de la vista pública del juicio ejecutivo, según la instructa presentada y que figura en las actuaciones, la representación letrada de la recurrente en amparo volvió a insistir, más detenidamente, en la argumentación ya expuesta en el escrito de oposición a la ejecución, aduciendo que la escritura de poder otorgada a favor del Sr. Harald Füssel no facultaba a éste para afianzar, en su nombre, a la compañía Semel Comercial, ya que los poderes conferidos se encontraban restringidos o limitados, en lo que ahora interesa, a los derechos que correspondían a la demandante de amparo en la mercantil Señalizaciones y Mandos Eléctricos, S.A., y que el </w:t>
      </w:r>
      <w:r>
        <w:lastRenderedPageBreak/>
        <w:t>Banco Santander Central Hispano, S.A., conocía perfectamente las limitaciones que figuraban en el poder. Es más, tal argumentación se califica de motivo principal a la oposición de la ejecución.</w:t>
      </w:r>
    </w:p>
    <w:p w:rsidR="0025129F" w:rsidRDefault="0025129F" w:rsidP="0025129F">
      <w:pPr>
        <w:pStyle w:val="TextoNormal"/>
      </w:pPr>
      <w:r>
        <w:t>Por su parte la representación procesal de la parte demandante en el proceso a quo, tanto en el trámite de alegaciones conferido en contestación al escrito de oposición a la ejecución, como en el acto de la vista pública del juicio, razonó sobre la suficiencia del poder otorgado por la demandante de amparo al Sr. Harald Füssel para la formalización, en su nombre y representación, de la póliza objeto de la ejecución. Y, en fin, como permite apreciar la lectura de la Sentencia del Juzgado de Primera Instancia, en la misma se da respuesta a la alegación de la demandante de amparo sobre la suficiencia del poder otorgado por ella al Sr. Harald Füssel, para afianzar, en su nombre y representación, la póliza suscrita a favor de la mercantil Semel Comercial, S.L., respuesta que la recurrente en amparo entiende incursa en un error patente, por confundir el órgano judicial la mercantil a la que se circunscribían los poderes conferidos y la mercantil avalada por la póliza objeto de ejecución.</w:t>
      </w:r>
    </w:p>
    <w:p w:rsidR="0025129F" w:rsidRDefault="0025129F" w:rsidP="0025129F">
      <w:pPr>
        <w:pStyle w:val="TextoNormal"/>
      </w:pPr>
      <w:r>
        <w:t>Así pues, la Audiencia Provincial, al calificar como cuestión nueva, rechazándola por tal motivo, la alegación relativa a la insuficiencia del poder otorgado al Sr. Harald Füssel para afianzar, en nombre y representación de la demandante de amparo, a la mercantil Semel Comercial, S.L., por estar referido aquél a una mercantil distinta a la avalada, ha incurrido en un error material patente y manifiesto, que resulta verificable de forma inconcusa a partir del examen de las actuaciones judiciales, imputable únicamente al órgano judicial, determinante del sentido de la decisión judicial adoptada (pues, de estimarse la insuficiencia denunciada, no cabría continuar con la ejecución despachada), y, en fin, generador, obviamente, de efectos negativos en la esfera de la demandante de amparo, al ver ésta desestimadas sus pretensiones. En definitiva, la Sentencia de la Audiencia Provincial y, en la medida en que la confirma, el Auto dictado en el incidente de nulidad de actuaciones, al incurrir en el error patente puesto de manifiesto, han lesionado el derecho a la tutela judicial efectiva de la demandante de amparo, en su vertiente de derecho a obtener una resolución judicial fundada en Derecho y razonable.</w:t>
      </w:r>
    </w:p>
    <w:p w:rsidR="0025129F" w:rsidRDefault="0025129F" w:rsidP="0025129F">
      <w:pPr>
        <w:pStyle w:val="TextoNormal"/>
      </w:pPr>
    </w:p>
    <w:p w:rsidR="0025129F" w:rsidRDefault="0025129F" w:rsidP="0025129F">
      <w:pPr>
        <w:pStyle w:val="TextoNormal"/>
      </w:pPr>
      <w:r w:rsidRPr="0025129F">
        <w:rPr>
          <w:rStyle w:val="NumeroAFNegritaCaracter"/>
        </w:rPr>
        <w:t>8</w:t>
      </w:r>
      <w:r>
        <w:t>. La estimación del motivo de la demanda de amparo examinado y los efectos que al respecto se derivan de tal pronunciamiento requieren que aquí se detenga nuestro enjuiciamiento, sin que proceda, en consecuencia, analizar, so pena de menoscabar el carácter subsidiario del recurso de amparo, la denunciada lesión del derecho a la tutela judicial efectiva que la recurrente en amparo imputa a la Sentencia del Juzgado de Primera Instancia por incurrir en un flagrante error al haber confundido la entidad mercantil avalada y aquella otra a la que se referían los poderes conferidos al Sr. Harald Füssel, al tratarse de una cuestión sobre la que ha de pronunciarse la Audiencia Provincial.</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la presente demanda de amparo y, en su virtud:</w:t>
      </w:r>
    </w:p>
    <w:p w:rsidR="0025129F" w:rsidRDefault="0025129F" w:rsidP="0025129F">
      <w:pPr>
        <w:pStyle w:val="TextoNormal"/>
      </w:pPr>
      <w:r>
        <w:lastRenderedPageBreak/>
        <w:t>1º Declarar que se ha vulnerado el derecho de la recurrente en amparo a la tutela judicial efectiva (art. 24.1 CE).</w:t>
      </w:r>
    </w:p>
    <w:p w:rsidR="0025129F" w:rsidRDefault="0025129F" w:rsidP="0025129F">
      <w:pPr>
        <w:pStyle w:val="TextoNormal"/>
      </w:pPr>
      <w:r>
        <w:t>2º Restablecerla en su derecho y, a tal fin, declarar la nulidad de la Sentencia, de 24 de octubre de 1999, y del Auto, de 25 de febrero de 2000, de la Sección Decimotercera de la Audiencia Provincial de Barcelona, recaídos en el rollo de apelación núm.</w:t>
      </w:r>
    </w:p>
    <w:p w:rsidR="0025129F" w:rsidRDefault="0025129F" w:rsidP="0025129F">
      <w:pPr>
        <w:pStyle w:val="TextoNormal"/>
      </w:pPr>
      <w:r>
        <w:t>600/98, retrotrayendo las actuaciones al momento inmediatamente anterior al de dictarse la mencionada Sentencia, para que se dicte una nueva Sentencia que respete el derecho fundamental lesionado.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0" w:name="SENTENCIA_2002_37"/>
      <w:r>
        <w:lastRenderedPageBreak/>
        <w:t>SENTENCIA 37/2002, de 14 de febrero de 2002</w:t>
      </w:r>
    </w:p>
    <w:bookmarkEnd w:id="40"/>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ECLI:ES:TC:2002:37</w:t>
      </w:r>
    </w:p>
    <w:p w:rsidR="0025129F" w:rsidRDefault="0025129F" w:rsidP="0025129F">
      <w:pPr>
        <w:pStyle w:val="SntesisDescriptiva"/>
      </w:pPr>
    </w:p>
    <w:p w:rsidR="0025129F" w:rsidRDefault="0025129F" w:rsidP="0025129F">
      <w:pPr>
        <w:pStyle w:val="SntesisDescriptiva"/>
      </w:pPr>
      <w:r>
        <w:t>Cuestión de inconstitucionalidad 71/94 y 243/95. Promovidas por la Sala de lo Contencioso-Administrativo del Tribunal Superior de Justicia de Cataluña en relación con el art. 92.2 de la Ley 7/1985, de 2 de abril, reguladora de las bases del régimen local, y varios artículos de la Ley de Cataluña 17/1985, de 23 de julio, de la función pública de la Administración de la Generalidad.</w:t>
      </w:r>
    </w:p>
    <w:p w:rsidR="0025129F" w:rsidRDefault="0025129F" w:rsidP="0025129F">
      <w:pPr>
        <w:pStyle w:val="SntesisDescriptiva"/>
      </w:pPr>
    </w:p>
    <w:p w:rsidR="0025129F" w:rsidRDefault="0025129F" w:rsidP="0025129F">
      <w:pPr>
        <w:pStyle w:val="SntesisAnaltica"/>
      </w:pPr>
      <w:r>
        <w:t>Reserva de ley y competencias sobre el estatuto de los funcionarios públicos, e igualdad básica de los españoles: validez de los preceptos estatales que delimitan los puestos locales reservados a funcionarios; legislación básica del Estado preconstitucional; validez de los preceptos autonómicos que establecen una falta disciplinaria novedosa, una medida cautelar de traslado, y una sanción de pérdida de grado personal.</w:t>
      </w:r>
    </w:p>
    <w:p w:rsidR="0025129F" w:rsidRDefault="0025129F" w:rsidP="0025129F">
      <w:pPr>
        <w:pStyle w:val="SntesisAnaltica"/>
      </w:pPr>
    </w:p>
    <w:p w:rsidR="0025129F" w:rsidRDefault="0025129F" w:rsidP="0025129F">
      <w:pPr>
        <w:pStyle w:val="Extracto"/>
      </w:pPr>
      <w:r>
        <w:t>1.</w:t>
      </w:r>
      <w:r>
        <w:tab/>
        <w:t>El art. 93 de la Ley de Cataluña 17/1985, de 23 de julio, complementa el catálogo de infracciones muy graves que establece el art. 31.1 de la Ley 30/1984, de 2 de agosto, en el ejercicio de la competencia en materia de función pública autonómica, sin que quepa apreciar incompatibilidad o contradicción alguna entre el precepto legal autonómico y la norma básica estatal, ni con la finalidad que ésta persigue [FJ 13].</w:t>
      </w:r>
    </w:p>
    <w:p w:rsidR="0025129F" w:rsidRDefault="0025129F" w:rsidP="0025129F">
      <w:pPr>
        <w:pStyle w:val="Extracto"/>
      </w:pPr>
    </w:p>
    <w:p w:rsidR="0025129F" w:rsidRDefault="0025129F" w:rsidP="0025129F">
      <w:pPr>
        <w:pStyle w:val="Extracto"/>
      </w:pPr>
      <w:r>
        <w:t>2.</w:t>
      </w:r>
      <w:r>
        <w:tab/>
        <w:t>La tipificación como falta muy grave de la conducta descrita en el art. 93 n) de la Ley de Cataluña 17/1985 no quebranta la igualdad de los españoles [FJ 14].</w:t>
      </w:r>
    </w:p>
    <w:p w:rsidR="0025129F" w:rsidRDefault="0025129F" w:rsidP="0025129F">
      <w:pPr>
        <w:pStyle w:val="Extracto"/>
      </w:pPr>
    </w:p>
    <w:p w:rsidR="0025129F" w:rsidRDefault="0025129F" w:rsidP="0025129F">
      <w:pPr>
        <w:pStyle w:val="Extracto"/>
      </w:pPr>
      <w:r>
        <w:t>3.</w:t>
      </w:r>
      <w:r>
        <w:tab/>
        <w:t>El precepto autonómico que prevé como medida cautelar, al iniciarse un expediente disciplinario, que el funcionario pueda ser trasladado de su puesto de trabajo a otro dentro de la misma localidad, no vulnera ninguna norma básica estatal, ni el art. 149.1 núms. 18 y 11 de la Constitución [FJ 15].</w:t>
      </w:r>
    </w:p>
    <w:p w:rsidR="0025129F" w:rsidRDefault="0025129F" w:rsidP="0025129F">
      <w:pPr>
        <w:pStyle w:val="Extracto"/>
      </w:pPr>
    </w:p>
    <w:p w:rsidR="0025129F" w:rsidRDefault="0025129F" w:rsidP="0025129F">
      <w:pPr>
        <w:pStyle w:val="Extracto"/>
      </w:pPr>
      <w:r>
        <w:t>4.</w:t>
      </w:r>
      <w:r>
        <w:tab/>
        <w:t>El artículo que establece como sanción disciplinaria la pérdida de uno a tres grados personales, no contravendría la legislación básica estatal en materia de función pública, ni la Constitución [FJ 15].</w:t>
      </w:r>
    </w:p>
    <w:p w:rsidR="0025129F" w:rsidRDefault="0025129F" w:rsidP="0025129F">
      <w:pPr>
        <w:pStyle w:val="Extracto"/>
      </w:pPr>
    </w:p>
    <w:p w:rsidR="0025129F" w:rsidRDefault="0025129F" w:rsidP="0025129F">
      <w:pPr>
        <w:pStyle w:val="Extracto"/>
      </w:pPr>
      <w:r>
        <w:t>5.</w:t>
      </w:r>
      <w:r>
        <w:tab/>
        <w:t>Este razonamiento es aplicable también al plazo de prescripción previsto en el art. 99 de la ley catalana pues, frente al carácter genérico del instituto, ha de subrayarse que el plazo sólo es distinto en materia de faltas leves [FJ 15].</w:t>
      </w:r>
    </w:p>
    <w:p w:rsidR="0025129F" w:rsidRDefault="0025129F" w:rsidP="0025129F">
      <w:pPr>
        <w:pStyle w:val="Extracto"/>
      </w:pPr>
    </w:p>
    <w:p w:rsidR="0025129F" w:rsidRDefault="0025129F" w:rsidP="0025129F">
      <w:pPr>
        <w:pStyle w:val="Extracto"/>
      </w:pPr>
      <w:r>
        <w:t>6.</w:t>
      </w:r>
      <w:r>
        <w:tab/>
        <w:t>Corresponde al Estado establecer las bases del régimen disciplinario de los funcionarios públicos y a la Comunidad Autónoma la competencia de desarrollo legislativo y ejecución, de acuerdo con aquella legislación básica, en relación con la función pública autonómica y local [FJ 8].</w:t>
      </w:r>
    </w:p>
    <w:p w:rsidR="0025129F" w:rsidRDefault="0025129F" w:rsidP="0025129F">
      <w:pPr>
        <w:pStyle w:val="Extracto"/>
      </w:pPr>
    </w:p>
    <w:p w:rsidR="0025129F" w:rsidRDefault="0025129F" w:rsidP="0025129F">
      <w:pPr>
        <w:pStyle w:val="Extracto"/>
      </w:pPr>
      <w:r>
        <w:lastRenderedPageBreak/>
        <w:t>7.</w:t>
      </w:r>
      <w:r>
        <w:tab/>
        <w:t>La noción formal de bases elaborada por la doctrina de este Tribunal Constitucional y la finalidad con ella perseguida mal se compadecen con la posibilidad de poder seguir infiriendo bases de las normas legales preconstitucionales cuando el legislador estatal constitucional ha procedido a establecer de manera aparentemente completa e innovadora las bases sobre una determinada materia, a menos que lo declare expresamente o resulte, sin lugar a dudas, de su propia estructura [FJ 9].</w:t>
      </w:r>
    </w:p>
    <w:p w:rsidR="0025129F" w:rsidRDefault="0025129F" w:rsidP="0025129F">
      <w:pPr>
        <w:pStyle w:val="Extracto"/>
      </w:pPr>
    </w:p>
    <w:p w:rsidR="0025129F" w:rsidRDefault="0025129F" w:rsidP="0025129F">
      <w:pPr>
        <w:pStyle w:val="Extracto"/>
      </w:pPr>
      <w:r>
        <w:t>8.</w:t>
      </w:r>
      <w:r>
        <w:tab/>
        <w:t>Habiendo procedido el legislador postconstitucional a establecer de manera aparentemente completa e innovadora las bases del régimen estatutario de los funcionarios de las Administraciones públicas, no cabe atribuir naturaleza básica a los preceptos de la Ley de funcionarios civiles del Estado de 1964 referidos al régimen disciplinario [FJ 9].</w:t>
      </w:r>
    </w:p>
    <w:p w:rsidR="0025129F" w:rsidRDefault="0025129F" w:rsidP="0025129F">
      <w:pPr>
        <w:pStyle w:val="Extracto"/>
      </w:pPr>
    </w:p>
    <w:p w:rsidR="0025129F" w:rsidRDefault="0025129F" w:rsidP="0025129F">
      <w:pPr>
        <w:pStyle w:val="Extracto"/>
      </w:pPr>
      <w:r>
        <w:t>9.</w:t>
      </w:r>
      <w:r>
        <w:tab/>
        <w:t>La competencia atribuida por el Estatuto de Autonomía de Cataluña a la Comunidad Autónoma sobre régimen estatutario de sus funcionarios, no se encuentra limitada por las bases de la función pública local [FJ 11].</w:t>
      </w:r>
    </w:p>
    <w:p w:rsidR="0025129F" w:rsidRDefault="0025129F" w:rsidP="0025129F">
      <w:pPr>
        <w:pStyle w:val="Extracto"/>
      </w:pPr>
    </w:p>
    <w:p w:rsidR="0025129F" w:rsidRDefault="0025129F" w:rsidP="0025129F">
      <w:pPr>
        <w:pStyle w:val="Extracto"/>
      </w:pPr>
      <w:r>
        <w:t>10.</w:t>
      </w:r>
      <w:r>
        <w:tab/>
        <w:t>El título competencial del art. 149.1.1 CE ha sido precisado en la STC 61/1997, reiterada posteriormente en la STC 173/1998 [FJ 12].</w:t>
      </w:r>
    </w:p>
    <w:p w:rsidR="0025129F" w:rsidRDefault="0025129F" w:rsidP="0025129F">
      <w:pPr>
        <w:pStyle w:val="Extracto"/>
      </w:pPr>
    </w:p>
    <w:p w:rsidR="0025129F" w:rsidRDefault="0025129F" w:rsidP="0025129F">
      <w:pPr>
        <w:pStyle w:val="Extracto"/>
      </w:pPr>
      <w:r>
        <w:t>11.</w:t>
      </w:r>
      <w:r>
        <w:tab/>
        <w:t>Las Comunidades Autónomas pueden establecer, con fundamento razonable tipos y sanciones que difieran de los regulados en las normas básicas del ordenamiento sancionador estatal, siempre que no las contradigan (STC 87/1985) [FJ 12].</w:t>
      </w:r>
    </w:p>
    <w:p w:rsidR="0025129F" w:rsidRDefault="0025129F" w:rsidP="0025129F">
      <w:pPr>
        <w:pStyle w:val="Extracto"/>
      </w:pPr>
    </w:p>
    <w:p w:rsidR="0025129F" w:rsidRDefault="0025129F" w:rsidP="0025129F">
      <w:pPr>
        <w:pStyle w:val="Extracto"/>
      </w:pPr>
      <w:r>
        <w:t>12.</w:t>
      </w:r>
      <w:r>
        <w:tab/>
        <w:t>La potestad sancionadora no constituye un título competencial autónomo (STC 156/1985) [FJ 13].</w:t>
      </w:r>
    </w:p>
    <w:p w:rsidR="0025129F" w:rsidRDefault="0025129F" w:rsidP="0025129F">
      <w:pPr>
        <w:pStyle w:val="Extracto"/>
      </w:pPr>
    </w:p>
    <w:p w:rsidR="0025129F" w:rsidRDefault="0025129F" w:rsidP="0025129F">
      <w:pPr>
        <w:pStyle w:val="Extracto"/>
      </w:pPr>
      <w:r>
        <w:t>13.</w:t>
      </w:r>
      <w:r>
        <w:tab/>
        <w:t>El artículo 92.2 de la Ley reguladora de las bases del régimen local, en el inciso que declaa que también son funciones públicas y, por lo tanto, han de ser desempeñadas por personal sujeto al estatuto funcionarial, «en general, aquellas que en desarrollo de la presente Ley, se reserven a los funcionarios para la mejor garantía de la objetividad, imparcialidad o independencia en el ejercicio de la función», no vulnera la reserva de Ley que establece el art. 103.3 CE [FJ 6].</w:t>
      </w:r>
    </w:p>
    <w:p w:rsidR="0025129F" w:rsidRDefault="0025129F" w:rsidP="0025129F">
      <w:pPr>
        <w:pStyle w:val="Extracto"/>
      </w:pPr>
    </w:p>
    <w:p w:rsidR="0025129F" w:rsidRDefault="0025129F" w:rsidP="0025129F">
      <w:pPr>
        <w:pStyle w:val="Extracto"/>
      </w:pPr>
      <w:r>
        <w:t>14.</w:t>
      </w:r>
      <w:r>
        <w:tab/>
        <w:t>El art. 103.3 CE establece una reserva para la regulación por Ley de el estatuto de los funcionarios públicos (STC 99/1987) [FJ 5].</w:t>
      </w:r>
    </w:p>
    <w:p w:rsidR="0025129F" w:rsidRDefault="0025129F" w:rsidP="0025129F">
      <w:pPr>
        <w:pStyle w:val="Extracto"/>
      </w:pPr>
    </w:p>
    <w:p w:rsidR="0025129F" w:rsidRDefault="0025129F" w:rsidP="0025129F">
      <w:pPr>
        <w:pStyle w:val="Extracto"/>
      </w:pPr>
      <w:r>
        <w:t>15.</w:t>
      </w:r>
      <w:r>
        <w:tab/>
        <w:t>El juicio de constitucionalidad no es un juicio de técnica legislativa (SSTC 109/1987, 341/1993) [FJ 6].</w:t>
      </w:r>
    </w:p>
    <w:p w:rsidR="0025129F" w:rsidRDefault="0025129F" w:rsidP="0025129F">
      <w:pPr>
        <w:pStyle w:val="Extracto"/>
      </w:pPr>
    </w:p>
    <w:p w:rsidR="0025129F" w:rsidRDefault="0025129F" w:rsidP="0025129F">
      <w:pPr>
        <w:pStyle w:val="Extracto"/>
      </w:pPr>
      <w:r>
        <w:t>16.</w:t>
      </w:r>
      <w:r>
        <w:tab/>
        <w:t>La Sala razona y justifica que la validez de las normas legales de cuya constitucionalidad duda es determinante de la validez de los preceptos reglamentarios impugnados en el proceso contencioso de origen [FJ 2].</w:t>
      </w:r>
    </w:p>
    <w:p w:rsidR="0025129F" w:rsidRDefault="0025129F" w:rsidP="0025129F">
      <w:pPr>
        <w:pStyle w:val="Extracto"/>
      </w:pPr>
    </w:p>
    <w:p w:rsidR="0025129F" w:rsidRDefault="0025129F" w:rsidP="0025129F">
      <w:pPr>
        <w:pStyle w:val="Extracto"/>
      </w:pPr>
      <w:r>
        <w:lastRenderedPageBreak/>
        <w:t>17.</w:t>
      </w:r>
      <w:r>
        <w:tab/>
        <w:t>La modificación y posterior sustitución los preceptos legales cuestionados no implican la pérdida sobrevenida del objeto de la cuestión de inconstitucionalidad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Presidente, don Tomás S. Vives Antón, don Pablo García Manzano, don Pablo Cachón Villar, don Fernando Garrido Falla, don Vicente Conde Martín de Hijas, don Guillermo Jiménez Sánchez, doña María Emilia Casas Baamonde, don Javier Delgado Barrio, don Roberto García- Calvo y Montiel,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las cuestiones de inconstitucionalidad acumuladas núms. 71/94 y 243/95, promovidas por la Sección Primera de la Sala de lo Contencioso-Administrativo del Tribunal Superior de Justicia de Cataluña en relación con los arts. 92.2 de la Ley 7/1985, de 2 de abril, reguladora de las bases del régimen local, y 74.4, 93 n), 97.1 d) y 99 de la Ley de Cataluña 17/1985, de 23 de julio, de la función pública de la Administración de la Generalidad. Han comparecido y formulado alegaciones el Fiscal General del Estado, el Gobierno de la Nación, representado por el Abogado del Estado, el Consejo Ejecutivo de la Generalidad de Cataluña, representado por el Letrado don Xavier Castrillo i Gutiérrez, y el Parlamento de Cataluña, representado por el Letrado don Pere Sol i Ordis. Ha actuado como Ponente el Magistrado don Tomás S. Vives Antón, quien expresa el parecer del Tribunal.</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día 10 de enero de 1994 tuvo entrada en el Registro General de este Tribunal un escrito del Presidente de la Sección Primera de la Sala de lo Contencioso-Administrativo del Tribunal Superior de Justicia de Cataluña al que se acompañaba, junto al testimonio del correspondiente procedimiento, el Auto de la referida Sección, de 26 de noviembre de 1993, en el que se acordaba plantear cuestión de inconstitucionalidad en relación con los arts. 92.2 de la Ley 7/1985, de 2 de abril, reguladora de las bases del régimen local (LBRL), y 74.4, 93 n), 97.1 d) y 99 de la Ley de Cataluña 17/1985, de 23 de julio, de la función pública de la Administración de la Generalidad. </w:t>
      </w:r>
    </w:p>
    <w:p w:rsidR="0025129F" w:rsidRDefault="0025129F" w:rsidP="0025129F">
      <w:pPr>
        <w:pStyle w:val="TextoNormal"/>
      </w:pPr>
      <w:r>
        <w:t xml:space="preserve">a) La cuestión de inconstitucionalidad trae causa del recurso contencioso- administrativo núm. 752/91 promovido por la Confederación Sindical de la Comissio Obrera Nacional Catalana (CONC-CC OO) contra el Decreto de la Generalidad 214/1990, de 30 de julio, por el que se aprueba el Reglamento del personal al servicio de las entidades locales. </w:t>
      </w:r>
    </w:p>
    <w:p w:rsidR="0025129F" w:rsidRDefault="0025129F" w:rsidP="0025129F">
      <w:pPr>
        <w:pStyle w:val="TextoNormal"/>
      </w:pPr>
      <w:r>
        <w:t xml:space="preserve">b) Concluso el procedimiento, y dentro del plazo para dictar Sentencia, la Sección Primera de la Sala de lo Contencioso-Administrativo del Tribunal Superior de Justicia de </w:t>
      </w:r>
      <w:r>
        <w:lastRenderedPageBreak/>
        <w:t xml:space="preserve">Cataluña, por providencia de 14 de octubre de 1993, acordó oír a las partes y al Ministerio Fiscal, por plazo común e improrrogable de diez días, para que formulasen alegaciones sobre la pertinencia de plantear cuestión de inconstitucionalidad respecto al art. 92.2 LBRL, por supuesta infracción de los arts. 103 y 149.1.18 CE, en relación con la interpretación dada por el Tribunal Constitucional en la STC 99/1987, de 11 de junio, al alcance de la reserva de Ley y régimen estatutario de los funcionarios públicos, así como también respecto a los arts. 74.4, 93 n), 97.1 d) y 99.1 y 2 de la Ley de Cataluña 17/1985, de 23 de julio, de la función pública de la Administración de la Generalidad, por supuesta vulneración del art. 149.1.18 CE. </w:t>
      </w:r>
    </w:p>
    <w:p w:rsidR="0025129F" w:rsidRDefault="0025129F" w:rsidP="0025129F">
      <w:pPr>
        <w:pStyle w:val="TextoNormal"/>
      </w:pPr>
      <w:r>
        <w:t>La representación procesal de la demandante y el Ministerio Fiscal estimaron procedente el planteamiento de la cuestión de inconstitucionalidad, si bien este último únicamente respecto a los arts. 93 n) y 97.1 d) de la Ley de Cataluña 17/1985, de 23 de julio, de la función pública de la Administración de la Generalidad, por vulneración del art. 149.1.1 CE. Por su parte, la Generalidad de Cataluña y la Federación de Municipios de Cataluña, comparecida en el proceso como coadyuvante, se opusieron al planteamiento de la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En el Auto de planteamiento de la cuestión de inconstitucionalidad el órgano proponente realiza, en síntesis, las siguientes consideraciones: </w:t>
      </w:r>
    </w:p>
    <w:p w:rsidR="0025129F" w:rsidRDefault="0025129F" w:rsidP="0025129F">
      <w:pPr>
        <w:pStyle w:val="TextoNormal"/>
      </w:pPr>
      <w:r>
        <w:t xml:space="preserve">a) Comienza por referirse al denominado juicio de aplicabilidad y relevancia, señalando al respecto que determinados preceptos del Decreto de la Generalidad 214/1990, de 30 de julio, por el que se aprueba el Reglamento del personal al servicio de las entidades locales, impugnado en el recurso contencioso-administrativo, son reproducción de los artículos legales cuya constitucionalidad se pone en tela de juicio. En efecto, los arts. 33.1, 240 m), 243 d), 245 b) 267 y 304.1 y 2 del citado Decreto son fiel copia, respectivamente, de los arts. 92.2 LBRL y 74.4, 93 n), 97.1 d) y 99 de la Ley de Cataluña 17/1985, de 23 de julio, de la función pública de la Administración de la Generalidad. </w:t>
      </w:r>
    </w:p>
    <w:p w:rsidR="0025129F" w:rsidRDefault="0025129F" w:rsidP="0025129F">
      <w:pPr>
        <w:pStyle w:val="TextoNormal"/>
      </w:pPr>
      <w:r>
        <w:t xml:space="preserve">La jurisprudencia viene rechazando sistemáticamente la impugnación de aquellos preceptos reglamentarios que son fiel trasunto de un precepto legal, dado que su impugnación conlleva necesariamente la de este último, para cuyo conocimiento no son competentes los Tribunales de la jurisdicción contencioso-administrativa. La única forma de combatir dichos preceptos reglamentarios es cuestionando al propio tiempo la constitucionalidad del precepto legal que los ampara. En este caso la Sala proponente duda de la constitucionalidad de los preceptos legales que han quedado reseñados y de los concordantes preceptos reglamentarios que los reproducen, no pudiendo anular estos últimos porque cuentan con la cobertura de aquéllos. De ahí la evidente trascendencia que para la decisión del proceso a quo presenta la validez o no de tales preceptos legales, respecto a los cuales la única posibilidad que tiene la Sala es la de elevar la cuestión de inconstitucionalidad al Tribunal Constitucional, dado el monopolio del que éste goza en la materia y de que se suscita un problema de validez de normas legales, lo que impide, por otra parte, resolver el problema acudiendo a normas conflictuales como las cláusulas de prevalencia o supletoriedad previstas en la Constitución. </w:t>
      </w:r>
    </w:p>
    <w:p w:rsidR="0025129F" w:rsidRDefault="0025129F" w:rsidP="0025129F">
      <w:pPr>
        <w:pStyle w:val="TextoNormal"/>
      </w:pPr>
      <w:r>
        <w:t xml:space="preserve">b) El art. 92.2 LBRL puede ser contrario al art. 103.3 CE, a la luz de la interpretación que ha hecho el Tribunal Constitucional de tal precepto en la STC 99/1987, de 11 de junio, en la que se declaró la inconstitucionalidad del último inciso del art. 15.1 de la Ley 30/1984, de 2 de agosto, de medidas para la reforma de la función pública, lo que motivó que se le diera nueva redacción por la Ley 23/1988, de 28 de julio. </w:t>
      </w:r>
    </w:p>
    <w:p w:rsidR="0025129F" w:rsidRDefault="0025129F" w:rsidP="0025129F">
      <w:pPr>
        <w:pStyle w:val="TextoNormal"/>
      </w:pPr>
      <w:r>
        <w:lastRenderedPageBreak/>
        <w:t xml:space="preserve">Tras reproducir el fundamento jurídico tercero de la mencionada Sentencia, la Sala destaca que el art. 92.2 LBRL, después de enumerar unas pocas funciones públicas que expresamente reserva a los funcionarios públicos, añade, en su último inciso, “y, en general, aquellas que, en desarrollo de la presente ley, se reserven a los funcionarios para la mejor garantía de la objetividad, imparcialidad e independencia en el ejercicio de la función”. El problema que suscita el inciso transcrito se contrae a determinar si recoge las “condiciones y límites materiales sobre las determinaciones concretas que puedan ser adoptadas por los órganos de la Administración”, o, por el contrario, constituye una “imprecisa referencia que no vincula efectivamente a la decisión administrativa” (en expresiones del Tribunal Constitucional). En su opinión aquel inciso sería inconstitucional por vulnerar el art. 103.3 CE, pues, al actuar el legislador del modo como lo ha hecho, ha incumplido la función que le venía impuesta de forma irrenunciable por la reserva constitucional de Ley, efectuando en la materia un apoderamiento a la potestad reglamentaria que excede de los límites permitidos por aquella reserva, por cuanto los vocablos “objetividad, imparcialidad e independencia en el ejercicio de la función” no pasan de ser conceptos jurídicos indeterminados, cuya abstracción difícilmente puede representar una vinculación efectiva para la Administración. En cualquier caso no cumple la exigencia señalada por el Tribunal Constitucional de “una determinación material suficiente” en el ámbito respectivo, sin que ni siquiera pueda mantenerse que son verdaderas “condiciones y límites materiales” en relación con la decisión administrativa a adoptar en particular, sino todo lo más meras indicaciones formales que no satisfacen las exigencias constitucionales. </w:t>
      </w:r>
    </w:p>
    <w:p w:rsidR="0025129F" w:rsidRDefault="0025129F" w:rsidP="0025129F">
      <w:pPr>
        <w:pStyle w:val="TextoNormal"/>
      </w:pPr>
      <w:r>
        <w:t xml:space="preserve">En apoyo de su argumentación la Sala compara la nueva redacción que al inciso final del art. 15.1 de la Ley 30/1984, de 2 de agosto, le dio la Ley 23/1988, de 28 de julio, con el cuestionado art. 92.2 LBRL. En aquel precepto se establece un sistema justamente inverso al que se recoge en éste, pues mientras que en el art. 92.2 LBRL se tasan unas pocas funciones que quedan reservadas a los funcionarios públicos, abriéndose la posibilidad de cubrir todos los demás puestos de trabajo con personal laboral, en la nueva redacción del art. 15.1 de la Ley 30/1984, de 2 de agosto, se tasan precisamente los puestos que pueden ser ocupados por personal laboral, reservándose expresamente todos los demás a los funcionarios públicos. </w:t>
      </w:r>
    </w:p>
    <w:p w:rsidR="0025129F" w:rsidRDefault="0025129F" w:rsidP="0025129F">
      <w:pPr>
        <w:pStyle w:val="TextoNormal"/>
      </w:pPr>
      <w:r>
        <w:t xml:space="preserve">c) Los arts. 74.4, 93 n), 97.1 d) y 99 de la Ley de Cataluña 17/1985, de 23 de julio, de la función pública de la Administración de la Generalidad, referidos a diferentes aspectos del régimen disciplinario de los funcionarios públicos, vendrían a infringir los arts. 149.1.1 y 18 CE, que atribuye al Estado la competencia para regular las condiciones básicas que garanticen la igualdad de todos los españoles en el ejercicio de los derechos y el cumplimiento de los deberes constitucionales y las bases del régimen estatutario de los funcionarios públicos, de acuerdo con la doctrina constitucional recogida en las SSTC 25/1983, de 7 de junio, 76/1983, de 5 de agosto, 87/1985, de 16 de julio, y 69/1988, de 19 de junio, que la Sala da por reproducida. </w:t>
      </w:r>
    </w:p>
    <w:p w:rsidR="0025129F" w:rsidRDefault="0025129F" w:rsidP="0025129F">
      <w:pPr>
        <w:pStyle w:val="TextoNormal"/>
      </w:pPr>
      <w:r>
        <w:t xml:space="preserve">1) El art. 93 de la Ley de Cataluña 17/1985, de 23 de julio, reproduce el elenco de faltas muy graves que contiene el art. 31.1 de la Ley 30/1984, de 2 de agosto, pero en su apartado n) añade un nuevo tipo no contemplado en la legislación estatal (“causar por negligencia o mala fe daños muy graves en el patrimonio y bienes de la Generalidad”). El art. 31.1 de la Ley 30/1984, de 2 de agosto, aparece definido como básico, siendo aplicable al personal de todas las Administraciones públicas (art. 1.3 Ley 30/1984, de 2 de agosto). Sabido es que en la estructuración de la normación básica la doctrina viene distinguiendo entre un círculo interno o material de interés general, un círculo de encuadramiento y, por último, un círculo de suplencia, diferenciándose, en otro orden de ideas, concretamente en lo </w:t>
      </w:r>
      <w:r>
        <w:lastRenderedPageBreak/>
        <w:t xml:space="preserve">que hace a las bases- desarrollo, entre el efecto de preclusión o cierre, el efecto de desplazamiento y, en fin, el que representa la condición de integración como condición de validez de la norma autonómica. </w:t>
      </w:r>
    </w:p>
    <w:p w:rsidR="0025129F" w:rsidRDefault="0025129F" w:rsidP="0025129F">
      <w:pPr>
        <w:pStyle w:val="TextoNormal"/>
      </w:pPr>
      <w:r>
        <w:t xml:space="preserve">Pues bien, el art. 31.1 de la Ley 30/1984, de 2 de agosto, es básico en cuanto que encarna el círculo interno o material representativo del interés general, y en esta medida su materia está cerrada a la normación autonómica, de forma que el art. 93 de la Ley de Cataluña 17/1985, de 23 de julio, al añadir en su apartado n) un nuevo tipo al catálogo de faltas muy graves ha incurrido en incompetencia, invadiendo la que al Estado reserva el art. 149.1.18 CE. </w:t>
      </w:r>
    </w:p>
    <w:p w:rsidR="0025129F" w:rsidRDefault="0025129F" w:rsidP="0025129F">
      <w:pPr>
        <w:pStyle w:val="TextoNormal"/>
      </w:pPr>
      <w:r>
        <w:t xml:space="preserve">2) El art. 97.1 d) de la Ley de Cataluña 17/1985, de 23 de julio, introduce en el listado de sanciones para las faltas graves la pérdida de uno a tres grados personales, desconocida en la legislación estatal. </w:t>
      </w:r>
    </w:p>
    <w:p w:rsidR="0025129F" w:rsidRDefault="0025129F" w:rsidP="0025129F">
      <w:pPr>
        <w:pStyle w:val="TextoNormal"/>
      </w:pPr>
      <w:r>
        <w:t xml:space="preserve">En el ámbito de la Administración local hay fundamento suficiente [Disposición final séptima b) del Real Decreto Legislativo 781/1986, de 18 de junio, por el que se aprueba el texto refundido de las disposiciones legales vigentes en materia de régimen local —LRL—, en relación con la Disposición transitoria primera y la Disposición final primera LBRL] para considerar preceptos básicos los arts. 147 y 148 LRL. El primero de los citados preceptos distingue entre las faltas muy graves —cuya tipificación remite a la legislación básica de la función pública— y las faltas graves y leves —para cuya tipificación efectúa una remisión diversa—, en tanto que el segundo de los artículos mencionados, al ocuparse de las sanciones, parece contener un catálogo cerrado de las medidas sancionadoras y su aplicación a las faltas según su gravedad, sin prever remisiones a otra legislación o hacer salvedad alguna, por lo que bien puede entenderse que tiene carácter básico. Por su parte el Decreto 315/1964, de 7 de febrero, por el que se aprueba el texto articulado de la Ley de funcionarios civiles del Estado (LFCE), que por evidentes razones de temporalidad no puede cumplir con la exigencia de definir cuáles de sus preceptos tienen carácter básico, regula en su art. 91 las sanciones a los funcionarios públicos, no resultando en modo alguno forzado entender que, al igual que el art. 148 LRL, también tiene carácter básico. Ello así, el art. 97.1 d) de la Ley de Cataluña 17/1985, de 23 de julio, resultaría inconstitucional al haber entrado el legislador autonómico en un ámbito competencial que le era ajeno, vulnerando el art. 149.1.18 CE. </w:t>
      </w:r>
    </w:p>
    <w:p w:rsidR="0025129F" w:rsidRDefault="0025129F" w:rsidP="0025129F">
      <w:pPr>
        <w:pStyle w:val="TextoNormal"/>
      </w:pPr>
      <w:r>
        <w:t xml:space="preserve">Aunque no se estimara que el art. 91 LFCE es un precepto de carácter básico, el art. 97.1 d) de la Ley de Cataluña 17/1985, de 23 de julio, conculcaría también el art. 149.1.1, en relación con el art. 14, ambos de la CE. Es necesario recordar al respecto que el Tribunal Constitucional tiene declarado que las Comunidades Autónomas pueden adoptar normas sancionadoras cuando tengan competencia sobre la materia sustantiva de que se trate, si bien no pueden introducir divergencias irrazonables y desproporcionadas al fin perseguido respecto al régimen jurídico aplicable en otras partes del territorio, debiendo la norma autonómica sancionadora atenerse a lo dispuesto en el art. 149.1.1 CE, de modo que no podrá introducir tipos ni prever sanciones que difieran, sin fundamento razonable, de los ya recogidos en la normación válida para todo el territorio. Dentro de estos límites y condiciones los entes autonómicos pueden, no obstante, desarrollar los principios básicos del ordenamiento sancionador estatal, llegando a modular tipos y sanciones (STC 87/1985, de 16 de agosto). </w:t>
      </w:r>
    </w:p>
    <w:p w:rsidR="0025129F" w:rsidRDefault="0025129F" w:rsidP="0025129F">
      <w:pPr>
        <w:pStyle w:val="TextoNormal"/>
      </w:pPr>
      <w:r>
        <w:t xml:space="preserve">Pues bien, el art. 97.1 d) de la Ley de Cataluña 17/1985, de 23 de julio, representa un salto cualitativo en relación con el régimen sancionador de la legislación estatal o, en otras palabras, una fractura del modelo general aplicable en otras partes del territorio, sin que se trate de la modulación de una determinada sanción, sino de la creación ex novo de una </w:t>
      </w:r>
      <w:r>
        <w:lastRenderedPageBreak/>
        <w:t xml:space="preserve">medida sancionadora absolutamente desconocida en la legislación estatal, de modo que con ella se introduce una divergencia sustancial que viene a afectar al derecho fundamental a la igualdad, no alcanzándose a descubrir la razonabilidad de aquella singularidad sancionatoria en relación con el régimen general o común. </w:t>
      </w:r>
    </w:p>
    <w:p w:rsidR="0025129F" w:rsidRDefault="0025129F" w:rsidP="0025129F">
      <w:pPr>
        <w:pStyle w:val="TextoNormal"/>
      </w:pPr>
      <w:r>
        <w:t xml:space="preserve">3) El art. 74.4 de la Ley de Cataluña 17/1985, de 23 de julio, establece como medida cautelar, al iniciarse contra un funcionario un expediente disciplinario por hechos directamente relacionados con las funciones que tenga encomendadas, el traslado de su puesto de trabajo a otro dentro de la misma localidad, medida que no aparece contemplada expresamente en la legislación estatal. </w:t>
      </w:r>
    </w:p>
    <w:p w:rsidR="0025129F" w:rsidRDefault="0025129F" w:rsidP="0025129F">
      <w:pPr>
        <w:pStyle w:val="TextoNormal"/>
      </w:pPr>
      <w:r>
        <w:t xml:space="preserve">Aunque la Sala proponente de la cuestión de inconstitucionalidad afirma que de los preceptos cuestionados el citado art. 74.4 es el que le parece “menos inconstitucional”, considera que las medidas cautelares forman parte del régimen disciplinario de los funcionarios públicos, el cual constituye, a su vez, uno de los contenidos de su estatuto, correspondiendo al Estado la regulación de sus bases. El problema fundamental que se plantea en relación con el mencionado precepto legal es el de determinar si las medidas cautelares forman parte de ese círculo interior de lo básico que representan los intereses generales. Ni el texto refundido de régimen local de 1986 —art. 150.2)— ni la LFCE — arts. 47, 48 y 49— contemplan explícitamente la medida cautelar cuestionada, limitándose la legislación estatal a prever la suspensión provisional de funciones. Aunque el art. 33.1 del Real Decreto 33/1986, de 10 de enero, por el que se aprueba el Reglamento de régimen disciplinario de los funcionarios de la Administración del Estado parece posibilitar la adopción de medidas provisionales innominadas o atípicas, siempre que las mismas respeten los límites de su apartado 3, lo que podría ser un motivo para abonar la legitimidad constitucional del precepto legal cuestionado, no puede ignorarse, por otra parte, que el art. 33 es un precepto meramente reglamentario. En definitiva, se trata una vez más de la delicada relación entre norma básica y norma de desarrollo, que en el caso de la medida cautelar que recoge el art. 47.1 d) de la Ley de Cataluña 17/1985, de 23 de julio, reviste sutiles matices, que hacen dudar a la Sala de su constitucionalidad. De un lado, entiende que la misma puede entrar dentro de lo razonable y no alterar sustancialmente el modelo general estatal, en tanto que, de otro lado, estima que pudiera tratarse de una materia ajena a la innovación autonómica, viéndose acrecentadas sus dudas de constitucionalidad desde la óptica del derecho a la igualdad que brindan los arts. 14 y 149.1.1 CE. </w:t>
      </w:r>
    </w:p>
    <w:p w:rsidR="0025129F" w:rsidRDefault="0025129F" w:rsidP="0025129F">
      <w:pPr>
        <w:pStyle w:val="TextoNormal"/>
      </w:pPr>
      <w:r>
        <w:t>4) Por último, el art. 99 de la Ley de Cataluña 17/1985, de 23 de julio, devendría inconstitucional en aquellos de sus cuatro apartados que establecen para las faltas leves y sus correspondientes sanciones un plazo de prescripción diverso al previsto en los arts. 146.2 LRL y 87.2 LFCE, preceptos estos últimos de carácter básico. Es obvio que el art. 99 forma parte del estatuto funcionarial, respecto del cual el Estado tiene competencia exclusiva para regular las bases, ofreciendo en este caso pocas dudas que la materia prescriptiva forma parte de las mismas y, en concreto, de su círculo afectante al interés general, estando además implicado otro valor constitucional, cual es el de la seguridad jurídica (art. 9.3 CE), así como también el derecho a la igualdad. En este caso resulta vulnerado el art. 149.1.1 y 18 CE por no apreciarse ningún fundamento razonable capaz de justificar la diferencia que en los plazos de prescripción introduce el cuestionado art. 99.</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Sección Tercera del Tribunal Constitucional, por providencia de 18 de enero de 1994, acordó admitir a trámite la cuestión de inconstitucionalidad turnada con el núm. 71/94; dar traslado de las actuaciones, de acuerdo con lo establecido en el art. 37.2 LOTC, al Congreso de los Diputados y al Senado, por conducto de sus Presidentes, al Gobierno, </w:t>
      </w:r>
      <w:r>
        <w:lastRenderedPageBreak/>
        <w:t xml:space="preserve">por conducto del Ministerio de Justicia, y al Fiscal General del Estado, al objeto de que, en el improrrogable plazo de quince días, pudieran personarse en el procedimiento y formular las alegaciones que estimaren pertinentes; y, finalmente, publicar la incoación de la cuestión en el “Boletín Oficial del Estado”. </w:t>
      </w:r>
    </w:p>
    <w:p w:rsidR="0025129F" w:rsidRDefault="0025129F" w:rsidP="0025129F">
      <w:pPr>
        <w:pStyle w:val="TextoNormal"/>
      </w:pPr>
      <w:r>
        <w:t>El Presidente del Senado, por escrito registrado el día 3 de febrero de 1994, interesó se tuviera por personada a dicha Cámara y por ofrecida su colaboración a los efectos del art. 88.1 LOTC. Mediante escrito registrado el día 4 de febrero de 1994, el Presidente del Congreso comunicó el Acuerdo de la Mesa de la Cámara de no personarse en el procedimiento y de poner a disposición del Tribunal la documentación que pudiera precisar.</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El Abogado del Estado evacuó el trámite de alegaciones conferido mediante escrito registrado el 4 de febrero de 1994, en el que expuso la argumentación que a continuación se resume: </w:t>
      </w:r>
    </w:p>
    <w:p w:rsidR="0025129F" w:rsidRDefault="0025129F" w:rsidP="0025129F">
      <w:pPr>
        <w:pStyle w:val="TextoNormal"/>
      </w:pPr>
      <w:r>
        <w:t xml:space="preserve">En relación con el art. 92.2 de la Ley 7/1985, de 2 de abril, reguladora de las bases del régimen local (LBRL), único precepto al que, siguiendo instrucciones, se contraen sus alegaciones, entiende que no incurre en la genérica imprecisión imputable al art. 15 de la Ley 30/1984, de 2 de agosto, de medidas para la reforma de la función pública y que fue declarado inconstitucional en la STC 99/1987, de 11 de junio. El precepto cuestionado establece que en el desarrollo de la LBRL se reservarán “a los funcionarios, para la mejor garantía de la objetividad, imparcialidad e independencia en el ejercicio de su función, determinadas funciones públicas”. Locución ésta que no cabe considerar como una pura reserva a los funcionarios públicos de funciones residuales, sino de la que, por el contrario, deriva que los parámetros de objetividad, imparcialidad e independencia son los que han de regir las decisiones de la Administración. De alguna manera se viene a recoger como criterio que los contratados laborales que presten sus servicios en la Administración no podrán desarrollar funciones de especial responsabilidad en garantía de la objetividad, imparcialidad e independencia. Es decir, aquéllos sólo podrán ocupar puestos que no requieran la adopción de decisiones de especial trascendencia, los cuales exclusivamente podrán ser cubiertos por quienes tengan la condición de funcionario. </w:t>
      </w:r>
    </w:p>
    <w:p w:rsidR="0025129F" w:rsidRDefault="0025129F" w:rsidP="0025129F">
      <w:pPr>
        <w:pStyle w:val="TextoNormal"/>
      </w:pPr>
      <w:r>
        <w:t xml:space="preserve">Cierto es que el precepto no fija por sí solo las condiciones exigibles para ocupar puestos como funcionario o contratado laboral en el seno de la Administración pública, pero sí establece criterios suficientemente definidos que, junto con otros previstos en la propia Ley, contienen las condiciones y limites materiales sobre las determinaciones concretas que puedan ser adoptadas por la Administración. Así, el propio precepto, en su primera parte, complementa su expresión final con la referencia a una serie de funciones públicas “cuyo cumplimiento queda reservado exclusivamente a personal sujeto al estatuto funcionarial” (“las que impliquen ejercicio de autoridad, de fe pública y asesoramiento legal preceptivo, las de control y fiscalización interna de la gestión económico-financiera y presupuestaria, las de contabilidad y tesorería”). Interpretadas conjuntamente las previsiones de su primera parte con su inciso final, todas ellas expresan claramente que sólo se reserva al personal laboral dentro de la Administración Local el ejercicio de aquellas funciones no decisorias o que no impliquen una especial responsabilidad. Como criterio básico éste resulta suficientemente definido y contiene los límites materiales precisos a la actuación de la Administración. </w:t>
      </w:r>
    </w:p>
    <w:p w:rsidR="0025129F" w:rsidRDefault="0025129F" w:rsidP="0025129F">
      <w:pPr>
        <w:pStyle w:val="TextoNormal"/>
      </w:pPr>
      <w:r>
        <w:t xml:space="preserve">Es posible que en el desarrollo reglamentario del art. 92.2 LBRL se sobrepasen los límites que en él se establecen, pero, desde luego, no sirve para argumentar la “inconstitucionalidad de una norma” el que en su aplicación y desarrollo puedan producirse extralimitaciones. Tal circunstancia puede producirse en la aplicación y desarrollo de cualquier </w:t>
      </w:r>
      <w:r>
        <w:lastRenderedPageBreak/>
        <w:t xml:space="preserve">norma legal, y frente a ello el art. 23.2 CE permite impugnar ante la jurisdicción ordinaria y, en último término, ante este Tribunal Constitucional en vía de amparo, las normas reglamentarias o las aplicaciones de las mismas que quiebren la igualdad (STC 46/1991, de 28 de febrero, FJ 4). </w:t>
      </w:r>
    </w:p>
    <w:p w:rsidR="0025129F" w:rsidRDefault="0025129F" w:rsidP="0025129F">
      <w:pPr>
        <w:pStyle w:val="TextoNormal"/>
      </w:pPr>
      <w:r>
        <w:t xml:space="preserve">En la nueva redacción que al art. 15.1 de la Ley 30/1984, de 2 de agosto, le dio la Ley 23/1988, de 28 de julio, se recogen, a través de cinco apartados, los puestos que podrán ser desempeñados por el personal laboral al servicio de la Administración, siendo el rasgo común de todos ellos su condición instrumental: puestos de carácter no permanente, actividades propias de oficios, puestos que requieran conocimientos técnicos especializados cuando no existan funcionarios con esa preparación, funciones administrativas o de trámite. El contenido de las funciones cuyo ejercicio podrá ser desempeñado por el personal funcionario al servicio de la Administración pública del Estado viene así a ser coincidente con el determinado en el art. 92.2 LBRL respecto a los funcionarios locales. Este último precepto, en contra de lo que se afirma en el Auto de planteamiento de la cuestión de inconstitucionalidad, contiene una determinación material suficiente de las funciones que no pueden ser desempeñadas por el personal laboral y, de esta manera, a contrario sensu, viene a expresarse cuáles son los puestos que sí pueden ser ocupados por dicho personal: los que no entrañen el ejercicio de las responsabilidades que el propio precepto enumera y los que no exijan especiales garantías de objetividad, imparcialidad e independencia en el ejercicio de la función pública. </w:t>
      </w:r>
    </w:p>
    <w:p w:rsidR="0025129F" w:rsidRDefault="0025129F" w:rsidP="0025129F">
      <w:pPr>
        <w:pStyle w:val="TextoNormal"/>
      </w:pPr>
      <w:r>
        <w:t xml:space="preserve">No hay, pues, una remisión incondicionada a disposiciones reglamentarias sin límites ciertos y estrictos. La colaboración reglamentaria, que, en términos de práctica legislativa, habrá que resultar pertinente en muchos casos, deberá producirse desarrollando y completando la previa determinación legislativa. No es por tanto imposible, sino que resulta necesaria, una intervención auxiliar complementaria del Reglamento, respetando siempre que esas remisiones “sean tales que restrinjan efectivamente el ejercicio de la potestad reglamentaria o signifiquen un complemento de la regulación legal que sea indispensable por motivos técnicos o por optimizar el cumplimiento de sus finalidades impuestas por la Constitución o por la propia Ley”, de tal modo que no se llegue a “una total abdicación por parte del legislador de su facultad de establecer reglas limitativas, transfiriendo esta facultad al titular de la potestad reglamentaria sin fijar ni siquiera cuáles son los fines y objetivos que la reglamentación ha de perseguir” (STC 83/1984, de 24 de julio, FJ 4). En este sentido el art. 92.2 LBRL, al determinar el deslinde de las funciones a desempeñar por funcionarios locales y personal laboral, no hace abdicación en beneficio del Reglamento de la determinación de los criterios materiales de deslinde. Al contrario, prevé unos criterios que, si bien permiten su desarrollo reglamentario, son claros, estrictos y definidos. </w:t>
      </w:r>
    </w:p>
    <w:p w:rsidR="0025129F" w:rsidRDefault="0025129F" w:rsidP="0025129F">
      <w:pPr>
        <w:pStyle w:val="TextoNormal"/>
      </w:pPr>
      <w:r>
        <w:t>En consecuencia concluye su escrito de alegaciones interesando del Tribunal Constitucional que dicte Sentencia por la que se desestime la cuestión de inconstitucionalidad respecto del art. 92.2 LBRL.</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El Fiscal General del Estado evacuó el trámite de alegaciones conferido mediante escrito registrado el día 8 de febrero de 1994, en el que expuso la argumentación que a continuación se resume: </w:t>
      </w:r>
    </w:p>
    <w:p w:rsidR="0025129F" w:rsidRDefault="0025129F" w:rsidP="0025129F">
      <w:pPr>
        <w:pStyle w:val="TextoNormal"/>
      </w:pPr>
      <w:r>
        <w:t xml:space="preserve">a) Tras destacar el cumplimiento de los requisitos procesales para el planteamiento de la cuestión de inconstitucionalidad, en concreto, en lo que se refiere al posible óbice que pudiera derivarse de la impugnación directa ante la Sala proponente de un Reglamento y no de una norma con rango de ley, lo que ha sido resuelto en la STC 183/1992 (FJ 2), </w:t>
      </w:r>
      <w:r>
        <w:lastRenderedPageBreak/>
        <w:t xml:space="preserve">examina cada uno de los preceptos cuestionados, comenzando por el art. 92.2 de la Ley 7/1985, de 2 de abril, reguladora de las bases del régimen local (LBRL). </w:t>
      </w:r>
    </w:p>
    <w:p w:rsidR="0025129F" w:rsidRDefault="0025129F" w:rsidP="0025129F">
      <w:pPr>
        <w:pStyle w:val="TextoNormal"/>
      </w:pPr>
      <w:r>
        <w:t xml:space="preserve">De la doctrina recogida en la STC 99/1987, de 11 de junio (FJ 3), en relación con el alcance de la reserva de Ley del art. 103.3 CE, infiere que el modo de provisión de los puestos de trabajo al servicio de las Administraciones públicas forma parte del régimen estatutario de los funcionarios y como tal debe encontrarse regulado en una norma con rango de Ley que contenga la determinación material suficiente de los ámbitos en él incluidos. Si en la Ley no puede reconocerse una concreción bastante de qué puestos de trabajo deben ser servidos por funcionarios de carrera, se habrá producido una “deslegalización” contraria a lo dispuesto en el art. 103.3 CE por una remisión indebida al Reglamento. </w:t>
      </w:r>
    </w:p>
    <w:p w:rsidR="0025129F" w:rsidRDefault="0025129F" w:rsidP="0025129F">
      <w:pPr>
        <w:pStyle w:val="TextoNormal"/>
      </w:pPr>
      <w:r>
        <w:t xml:space="preserve">Pues bien, el Fiscal General del Estado coincide con la Sala proponente en el sentido de que los términos “objetividad, imparcialidad e independencia” del art. 92.2 LBRL no pasan de ser meros conceptos jurídicos indeterminados, insuficientes para determinar qué concretos puestos quedan reservados a los funcionarios de la Administración local y cuáles pueden ser encargados al personal contratado o laboral por disposición reglamentaria. No cabe duda de que las funciones enumeradas en primer lugar en el citado precepto quedan reservadas al personal funcionario, pero quedan fuera de la concreción legal muchos puestos al servicio de la Administración local, cuya adscripción a personal estatutario o no queda a merced del Reglamento y, en lo que en el proceso a quo interesa, del Decreto de la Generalidad 214/1990, de 30 de julio, que desarrolla la Ley de Cataluña 17/1985, de 23 de julio, de la función pública de la Administración de la Generalidad. </w:t>
      </w:r>
    </w:p>
    <w:p w:rsidR="0025129F" w:rsidRDefault="0025129F" w:rsidP="0025129F">
      <w:pPr>
        <w:pStyle w:val="TextoNormal"/>
      </w:pPr>
      <w:r>
        <w:t xml:space="preserve">El art. 15.1 de la Ley 30/1984, de 2 de agosto, de medidas para la reforma de la función pública, encomendaba directamente al Ministerio de la Presidencia la determinación de los requisitos para el desempeño de cada puesto de trabajo, “debiendo especificarse aquellos puestos de trabajo que, en atención a la naturaleza de su contenido, se reservan a funcionarios públicos”. El Tribunal Constitucional reputó inconstitucional tal criterio en la STC 99/1987, de 11 de junio, al entender que la imprecisa referencia a “la naturaleza de su contenido” no vinculaba efectivamente la decisión administrativa. Lo mismo acontece, en opinión del Fiscal General del Estado, con el precepto legal cuya constitucionalidad ahora se cuestiona, pues las referencias a los principios garantizadores de la objetividad, imparcialidad e independencia de la función otorgan un margen excesivamente amplio al desarrollo legal. En consecuencia entiende que el art. 92.2LBRL no respeta suficientemente la reserva legal establecida en el art. 103.3 CE para el estatuto de los funcionarios y debe considerarse inconstitucional. En este sentido estima preferible la nueva redacción dada al art. 15.1 de la Ley 30/1984, de 2 de agosto, por la Ley 23/1988, de 28 de julio, en la que se establece el principio general de la cobertura funcionarial de los puestos de trabajo de la Administración y, excepcionalmente, un numerus clausus de los puestos de trabajo que pueden ser desempeñados por personal no funcionario. </w:t>
      </w:r>
    </w:p>
    <w:p w:rsidR="0025129F" w:rsidRDefault="0025129F" w:rsidP="0025129F">
      <w:pPr>
        <w:pStyle w:val="TextoNormal"/>
      </w:pPr>
      <w:r>
        <w:t xml:space="preserve">b) La innovación que al elenco de infracciones muy graves de la legislación estatal añade el art. 93 n) de la Ley de Cataluña 17/1985, de 23 de julio, es contraria, a su juicio, al art. 149.1.18 CE, que reserva al Estado “las bases del régimen jurídico de las Administraciones Públicas y del régimen estatutario de sus funcionarios”. En virtud del citado título competencial la regulación de las infracciones muy graves, a diferencia de lo que ocurre con las graves o las leves, queda en principio extramuros de la competencia de las Comunidades Autónomas (art. 147.1 Real Decreto Legislativo 781/1996, de 18 de junio, por el que se aprueba el texto refundido de las disposiciones legales vigentes en materia de régimen local —LRL). </w:t>
      </w:r>
    </w:p>
    <w:p w:rsidR="0025129F" w:rsidRDefault="0025129F" w:rsidP="0025129F">
      <w:pPr>
        <w:pStyle w:val="TextoNormal"/>
      </w:pPr>
      <w:r>
        <w:lastRenderedPageBreak/>
        <w:t xml:space="preserve">Sería suficiente la apuntada extralimitación competencial para declarar la inconstitucionalidad del precepto legal cuestionado. Pero es que, además, resulta necesario tener en cuenta que sólo las infracciones muy graves pueden acarrear como sanción la separación del servicio, lo que, unido a la descripción de la conducta tipificada, que permite su comisión culposa, viene a suponer una quiebra del principio de igualdad de los funcionarios sea cual sea la parte del territorio nacional en la que desempeñen sus funciones. </w:t>
      </w:r>
    </w:p>
    <w:p w:rsidR="0025129F" w:rsidRDefault="0025129F" w:rsidP="0025129F">
      <w:pPr>
        <w:pStyle w:val="TextoNormal"/>
      </w:pPr>
      <w:r>
        <w:t xml:space="preserve">c) El art. 97.1 d) de la Ley de Cataluña 17/1985, de 23 de julio, introduce en el catálogo de sanciones que pueden imponerse a los funcionarios la “pérdida de uno a tres grados personales”. También en este caso se innova el sistema general de sanciones, pero, a diferencia de lo que ocurre respecto del artículo anterior, el carácter de norma básica de la previsión estatal no aparece con tanta claridad, dado que la Ley 30/1984, de 2 de agosto, no contiene una enumeración de las sanciones anudables a las infracciones administrativas de los funcionarios. Tal elenco se recoge en el art. 148 LRL, precepto que la Sala proponente considera de carácter básico en aplicación de su Disposición final séptima b). </w:t>
      </w:r>
    </w:p>
    <w:p w:rsidR="0025129F" w:rsidRDefault="0025129F" w:rsidP="0025129F">
      <w:pPr>
        <w:pStyle w:val="TextoNormal"/>
      </w:pPr>
      <w:r>
        <w:t xml:space="preserve">El Tribunal Constitucional tuvo ocasión de examinar en la STC 87/1985, de 16 de julio, un supuesto similar al ahora considerado, al estudiar la impugnación del art. 23.1 de la Ley de Cataluña 15/1983, de 14 de julio, sobre higiene y control alimentario. </w:t>
      </w:r>
    </w:p>
    <w:p w:rsidR="0025129F" w:rsidRDefault="0025129F" w:rsidP="0025129F">
      <w:pPr>
        <w:pStyle w:val="TextoNormal"/>
      </w:pPr>
      <w:r>
        <w:t xml:space="preserve">En la citada Sentencia se declaró que las Comunidades Autónomas pueden adoptar normas administrativas sancionadoras cuando, teniendo competencia sobre la materia sustantiva de que se trate, tales disposiciones se acomoden a las garantías constitucionales (art. 25.1 CE) “y no introduzcan divergencias irrazonables y desproporcionadas al fin perseguido respecto del régimen jurídico aplicable a otras partes del territorio nacional (artículo 149.1.1 de la Constitución)”. La falta de razonabilidad de la sanción de cierre definitivo del establecimiento o industria infractor llevó en aquella ocasión al Tribunal Constitucional a declarar la inconstitucionalidad del mencionado art. 23.1. </w:t>
      </w:r>
    </w:p>
    <w:p w:rsidR="0025129F" w:rsidRDefault="0025129F" w:rsidP="0025129F">
      <w:pPr>
        <w:pStyle w:val="TextoNormal"/>
      </w:pPr>
      <w:r>
        <w:t xml:space="preserve">Al Fiscal General del Estado no se le alcanzan los motivos que pueden llevar a que un funcionario pueda ser sancionado con la pérdida de uno a tres grados exclusivamente por desempeñar funciones en la Comunidad Autónoma de Cataluña, en contra de lo que sucede en el resto del territorio nacional. En consecuencia estima que el art. 97.1 d) debe reputarse contrario a lo dispuesto en el art. 149.1.1 CE, a lo que no empece la doctrina de la STC 136/1991, de 20 de junio, ya que la razón aducida en esta Sentencia por el Tribunal Constitucional fue la inexistencia de un “esquema sancionatorio” estatal en la materia, lo que no ocurre en el presente supuesto. </w:t>
      </w:r>
    </w:p>
    <w:p w:rsidR="0025129F" w:rsidRDefault="0025129F" w:rsidP="0025129F">
      <w:pPr>
        <w:pStyle w:val="TextoNormal"/>
      </w:pPr>
      <w:r>
        <w:t xml:space="preserve">d) El art. 74.4 de la Ley de Cataluña 17/1985, de 23 de julio, contempla la posibilidad de imponer al funcionario como medida cautelar al iniciarse un expediente disciplinario el traslado de su puesto de trabajo a otro dentro de la misma localidad. </w:t>
      </w:r>
    </w:p>
    <w:p w:rsidR="0025129F" w:rsidRDefault="0025129F" w:rsidP="0025129F">
      <w:pPr>
        <w:pStyle w:val="TextoNormal"/>
      </w:pPr>
      <w:r>
        <w:t xml:space="preserve">El Fiscal General del Estado coincide con la Sala proponente en que las medidas cautelares forman parte del régimen disciplinario de los funcionarios públicos. No obstante la legislación estatal, que no prevé esta concreta medida, sí que contempla la posibilidad de suspender cautelarmente al funcionario expedientado, por lo que podría pensarse que “quien puede lo más, puede lo menos” y que, en consecuencia, nos encontramos ante una mera modulación del régimen sancionatorio, que permite la doctrina de las SSTC 87/1985, de 16 de julio, y 136/1991, de 20 de junio. </w:t>
      </w:r>
    </w:p>
    <w:p w:rsidR="0025129F" w:rsidRDefault="0025129F" w:rsidP="0025129F">
      <w:pPr>
        <w:pStyle w:val="TextoNormal"/>
      </w:pPr>
      <w:r>
        <w:t xml:space="preserve">También en este caso la quiebra del principio de igualdad en el régimen funcionarial debe aparecer dotada de un fundamento razonable. Así sucedería si el precepto cuestionado previniera la medida cautelar discutida exclusivamente para aquellos casos en que el tipo de infracción lo hiciera aconsejable. Pero al apoderar a la Administración para imponer el traslado cautelar a otro puesto de trabajo sin explicitar las razones, abriendo de este </w:t>
      </w:r>
      <w:r>
        <w:lastRenderedPageBreak/>
        <w:t xml:space="preserve">modo el cauce para su imposición indiscriminada, ha de reputarse contraria a lo dispuesto en el art. 149.1.1 CE. </w:t>
      </w:r>
    </w:p>
    <w:p w:rsidR="0025129F" w:rsidRDefault="0025129F" w:rsidP="0025129F">
      <w:pPr>
        <w:pStyle w:val="TextoNormal"/>
      </w:pPr>
      <w:r>
        <w:t xml:space="preserve">e) Finalmente, el art. 99 de la Ley de Cataluña 17/1985, de 23 de julio, establece unos plazos de prescripción para las faltas leves y sus sanciones distintos a los previstos en la legislación estatal, esto es, tres meses en lugar de uno. </w:t>
      </w:r>
    </w:p>
    <w:p w:rsidR="0025129F" w:rsidRDefault="0025129F" w:rsidP="0025129F">
      <w:pPr>
        <w:pStyle w:val="TextoNormal"/>
      </w:pPr>
      <w:r>
        <w:t xml:space="preserve">Independientemente de los argumentos que se utilizan en el Auto de planteamiento, pues la seguridad jurídica depende de la previsión legal, que efectivamente existe, lo cierto es que de nuevo se viene a romper el principio de igualdad en el régimen jurídico de los funcionarios públicos rationi loci. Si éstos deben de regirse por idénticas condiciones básicas en el ejercicio de sus derechos y en el cumplimiento de sus deberes constitucionales (art. 149.1.1 CE), tampoco se explicitan, ni llegan a intuirse, por qué razones un funcionario que desempeñe sus servicios en Cataluña debe gozar de un plazo de prescripción para sus faltas leves y para las sanciones a ellas anudadas menos favorable que si trabajara en cualquier otro punto de la geografía nacional. </w:t>
      </w:r>
    </w:p>
    <w:p w:rsidR="0025129F" w:rsidRDefault="0025129F" w:rsidP="0025129F">
      <w:pPr>
        <w:pStyle w:val="TextoNormal"/>
      </w:pPr>
      <w:r>
        <w:t xml:space="preserve">Por tanto el inciso relativo a los plazos de prescripción de tres meses para las faltas leves (art. 99.1), así como el referente a idéntico plazo para la prescripción de las sanciones de igual naturaleza (art. 99.2), debe reputarse contrario al art. 149.1.1 CE. </w:t>
      </w:r>
    </w:p>
    <w:p w:rsidR="0025129F" w:rsidRDefault="0025129F" w:rsidP="0025129F">
      <w:pPr>
        <w:pStyle w:val="TextoNormal"/>
      </w:pPr>
      <w:r>
        <w:t>Concluye su escrito solicitando de este Tribunal Constitucional dicte Sentencia en la que se declare la inconstitucionalidad de todos los preceptos legales cuestionados.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Abogado del Consejo Ejecutivo de la Generalidad de Cataluña evacuó el trámite de alegaciones conferido mediante escrito registrado en fecha 21 de febrero de 1994, en el que expuso la argumentación que a continuación se resume: </w:t>
      </w:r>
    </w:p>
    <w:p w:rsidR="0025129F" w:rsidRDefault="0025129F" w:rsidP="0025129F">
      <w:pPr>
        <w:pStyle w:val="TextoNormal"/>
      </w:pPr>
      <w:r>
        <w:t xml:space="preserve">a) Para enjuiciar debidamente el art. 92.2 de la Ley 7/1985, de 2 de abril, reguladora de las bases del régimen local (LBRL) no puede olvidarse que el precepto está incluido en una norma que, como su propio título indica, pretende establecer las bases del régimen local. Ello así, es plenamente lógico y coherente con este calificativo de norma básica que la regulación en ella establecida no agote la totalidad de la materia y que llame a su desarrollo y complementación a través de otros instrumentos normativos, que puedan ser tanto legales, como reglamentarios, según corresponda. </w:t>
      </w:r>
    </w:p>
    <w:p w:rsidR="0025129F" w:rsidRDefault="0025129F" w:rsidP="0025129F">
      <w:pPr>
        <w:pStyle w:val="TextoNormal"/>
      </w:pPr>
      <w:r>
        <w:t xml:space="preserve">El análisis del contenido del precepto legal cuestionado pone de manifiesto que se limita a una doble afirmación. Por un lado establece que determinadas funciones, que se detallan expresamente y son calificadas de públicas, quedan reservadas al personal funcionario; por otro, que además también habrán de ser realizadas por funcionarios aquellas funciones que les sean reservadas por la normativa que desarrolle la Ley de bases, con vistas a mejor garantizar la objetividad, imparcialidad e independencia con que deben ser ejercidas las funciones públicas. De este modo el precepto preserva y asegura la realización de determinadas funciones públicas en el ámbito de la Administración local por personas sujetas a la relación funcionarial, y añade la previsión de que otras funciones, en ese momento aún no determinadas, también deberán quedar reservadas al personal funcionario en atención a las condiciones en que deben ejercerse. En consecuencia no se puede afirmar que el precepto abra las puertas a que una indeterminada cantidad de funciones públicas puedan ser atendidas por personal laboral, puesto que, precisamente, lo único que asegura es todo lo contrario, esto es, que una serie de funciones expresamente citadas, así como otras varias que se les podrán añadir, sólo cabe que sean realizadas por personal funcionario y, por tanto, ni siquiera por vía de excepción cabe atribuirlas a personal laboral. De cuáles sean las funciones a realizar en los entes locales por personal vinculado con contrato laboral nada se dice. </w:t>
      </w:r>
    </w:p>
    <w:p w:rsidR="0025129F" w:rsidRDefault="0025129F" w:rsidP="0025129F">
      <w:pPr>
        <w:pStyle w:val="TextoNormal"/>
      </w:pPr>
      <w:r>
        <w:lastRenderedPageBreak/>
        <w:t xml:space="preserve">En cuanto al hecho innegable de que no se concretan todas las funciones a realizar por el personal funcionario hay que señalar que ello bien puede responder a la naturaleza de norma básica del precepto contemplado. En la norma se designan expresamente y en términos suficientemente amplios hasta seis tipos de funciones propias del servicio público que realizan los entes locales y que deben ser atendidas, en todo caso, por funcionarios. A éstas hay que añadir otras que podrán ser establecidas posteriormente. Esta remisión a una norma posterior de desarrollo debe entenderse hecha en primer lugar a las Leyes dictadas por las Comunidades Autónomas competentes en materia de régimen local, de manera que no cabe interpretar aquí que exista una remisión directa a normas reglamentarias, ya que entenderlo de otro modo significaría vaciar de contenido tales competencias autonómicas. </w:t>
      </w:r>
    </w:p>
    <w:p w:rsidR="0025129F" w:rsidRDefault="0025129F" w:rsidP="0025129F">
      <w:pPr>
        <w:pStyle w:val="TextoNormal"/>
      </w:pPr>
      <w:r>
        <w:t xml:space="preserve">Por consiguiente el art. 92.2 LBRL no vulnera la reserva legal que establece el art. 103.3 CE en relación con el estatuto de los funcionarios públicos y el acceso a la función pública. No puede pretenderse, ya que resultaría ilógico y desproporcionado, que por Ley se definan todos y cada uno de los puestos de trabajo reservados a funcionarios, siendo suficiente, como declaró el Tribunal Constitucional en la STC 99/1997, de 11 de junio, que “el legislador establezca las condiciones y límites materiales sobre las determinaciones concretas que puedan ser adoptadas por los órganos de la Administración a tal efecto”. Dicho legislador no debe ser necesariamente el estatal, y no tiene forzosamente que hacerlo a través de una norma básica, sino que bien puede actuar el legislador autonómico al que la Constitución reconoce competencias y al que la Ley de bases remite la normativa de desarrollo. No cabe, pues, entender que la norma básica resulta inconstitucional por omisión. </w:t>
      </w:r>
    </w:p>
    <w:p w:rsidR="0025129F" w:rsidRDefault="0025129F" w:rsidP="0025129F">
      <w:pPr>
        <w:pStyle w:val="TextoNormal"/>
      </w:pPr>
      <w:r>
        <w:t xml:space="preserve">Además cabe perfectamente interpretar el art. 92.2 LBRL ajustándose a los criterios favorables a la aplicación del régimen funcionarial como régimen ordinario de las Administraciones públicas, reconocido en la STC 99/1987, de 11 de junio, con carácter general. En la referida Sentencia el Tribunal Constitucional interpretó que la opción contenida en el art. 103 CE es una opción netamente favorable al modelo funcionarial, de forma que, en consecuencia, la mayoría del personal al servicio de la Administración debe estar vinculado a ella por una relación funcionarial, y las funciones que puedan ser desarrolladas con vinculación laboral han de ser de menor transcendencia que las que la Ley enumera. Pero, respetando este criterio, cabe añadir que debe ser cada Administración concreta la que, en su caso, determine el espacio de su plantilla que convenga ser cubierto por personal laboral, el cual no tendrá por qué coincidir necesariamente con el espacio a su vez definido por otras Administraciones públicas. </w:t>
      </w:r>
    </w:p>
    <w:p w:rsidR="0025129F" w:rsidRDefault="0025129F" w:rsidP="0025129F">
      <w:pPr>
        <w:pStyle w:val="TextoNormal"/>
      </w:pPr>
      <w:r>
        <w:t>Asimismo conviene recordar que la nueva redacción que al art. 15 de la Ley 30/1984, de 2 de agosto, de medidas para la reforma de la función pública, dio la Ley 23/1988, de 28 de julio, conduce a resultados fundamentalmente semejantes a los del art. 92.2 LBRL. En éste se definen unos conjuntos de funciones que, en cualquier caso, quedan reservadas al personal funcionario, y se admite, sin concretarlas, que otras funciones puedan ser desarrolladas por el personal bajo el régimen jurídico que la propia Administración interesada haya preestablecido, sea el funcionario, sea el laboral. Tal regulación no puede equipararse, ni de lejos, al tenor del anterior art. 15 de la Ley 30/1984, de 2 de agosto, que no incluía ningún criterio de reserva en el ejercicio de tareas en las Administraciones públicas y remitía para su determinación al Reglamento y a las decisiones ministeriales. Si bien es cierto que las funciones explícitamente reservadas al personal funcionario en el citado art. 92.2 LBRL no son tantas y tan detalladas como las que se contienen en la nueva redacción del art. 15 de la Ley 30/1984, de 2 de agosto, también lo es que aquellas funciones, inter</w:t>
      </w:r>
      <w:r>
        <w:lastRenderedPageBreak/>
        <w:t xml:space="preserve">pretadas en un sentido amplio, de hecho afectan a la mayor parte del personal habitual al servicio de los entes locales, que es el personal afectado por la LBRL. </w:t>
      </w:r>
    </w:p>
    <w:p w:rsidR="0025129F" w:rsidRDefault="0025129F" w:rsidP="0025129F">
      <w:pPr>
        <w:pStyle w:val="TextoNormal"/>
      </w:pPr>
      <w:r>
        <w:t xml:space="preserve">De todo ello se deduce que, en su ajustada redacción, el art. 92.2 LBRL resulta acorde con el orden constitucional, y que no ha lugar a reprocharle una eventual inconstitucionalidad a causa de que no se establezcan aquellos extremos que bien pueden ser establecidos en normas legales posteriores por los legisladores autonómicos competentes, los cuales deberán tener presente a tal efecto la reiterada interpretación que del art. 103.3 CE ha elaborado el Tribunal Constitucional. </w:t>
      </w:r>
    </w:p>
    <w:p w:rsidR="0025129F" w:rsidRDefault="0025129F" w:rsidP="0025129F">
      <w:pPr>
        <w:pStyle w:val="TextoNormal"/>
      </w:pPr>
      <w:r>
        <w:t xml:space="preserve">b) El art. 93 de la Ley de Cataluña 17/1985, de 23 de julio, tipifica en su apartado n) como falta muy grave un hecho que no aparece expresamente recogido en el elenco de faltas muy graves contenido en el art. 31.1 de la Ley 30/1984, de 2 de agosto, precepto que, según dispone el art. 1.3 de la misma Ley, merece la consideración de norma básica en la materia. El problema a resolver queda ceñido, pues, a dirimir si el legislador catalán puede ampliar, razonablemente, dicha lista de faltas muy graves o bien limitarse a repetirla. </w:t>
      </w:r>
    </w:p>
    <w:p w:rsidR="0025129F" w:rsidRDefault="0025129F" w:rsidP="0025129F">
      <w:pPr>
        <w:pStyle w:val="TextoNormal"/>
      </w:pPr>
      <w:r>
        <w:t xml:space="preserve">En el Auto de planteamiento se niega toda posibilidad de desarrollo y complementación de la normativa que haya sido dictada por el Estado como básica por parte del legislador autonómico. Tal entendimiento, en opinión del Letrado del Consejo Ejecutivo de la Generalidad, vacía de contenido la competencia que el art. 10.1.1 EAC atribuye a la Comunidad Autónoma para desarrollar la legislación estatal sobre funcionarios y, en consecuencia, debe resultar inaceptable por contrario a lo dispuesto en el bloque de la constitucionalidad. </w:t>
      </w:r>
    </w:p>
    <w:p w:rsidR="0025129F" w:rsidRDefault="0025129F" w:rsidP="0025129F">
      <w:pPr>
        <w:pStyle w:val="TextoNormal"/>
      </w:pPr>
      <w:r>
        <w:t xml:space="preserve">La Ley de Cataluña 17/1985, de 23 de julio, resulta totalmente respetuosa con la normativa básica estatal, ya que recoge íntegramente los supuestos señalados en el art. 31.1 de la Ley 30/1984, de 2 de agosto, como faltas muy graves, si bien añade a este elenco la que se tipifica en el apartado n) de su art. 93. La legislación básica estatal constituye en este caso un marco normativo que ha de ser seguido en sus principios y respetado en su contenido, pero el referido marco no puede entenderse como el establecimiento de un numerus clausus intocable, pues ello vaciaría de contenido la competencia autonómica de desarrollo legislativo reconocida en el art. 10.1.1 EAC. Es más, en el supuesto del apartado n) el análisis de su contenido y situación en relación con el conjunto del régimen disciplinario de los funcionarios públicos conduce a mostrar, tanto su buena lógica jurídica, como que guarda el debido respeto al principio de proporcionalidad. En efecto, si en el art. 94 e) de la Ley de Cataluña 17/1985, de 23 de julio, se recoge como falta grave “el hecho de causar por negligencia o por mala fe daños graves en la conservación de los locales, del material o de los documentos del servicio”, es lógico que en el art. 93 se incluya un párrafo referido a los daños causados cuando sean más graves. En otras palabras, resulta totalmente coherente y proporcionado que si el causar daños graves es considerado como falta grave, el causar daños muy graves sea considerado como falta muy grave. Esto es lo que establece el precepto legal cuestionado. </w:t>
      </w:r>
    </w:p>
    <w:p w:rsidR="0025129F" w:rsidRDefault="0025129F" w:rsidP="0025129F">
      <w:pPr>
        <w:pStyle w:val="TextoNormal"/>
      </w:pPr>
      <w:r>
        <w:t xml:space="preserve">Finalmente no puede dejar de advertirse que diversas Leyes sobre la función pública autonómica han recogido como falta muy grave el hecho de causar daños muy graves al patrimonio público [art. 86 n) de la Ley de la Región de Murcia 3/1986, de 19 de marzo, de la función pública; art. 83 n) de la Ley de la Comunidad de Madrid 1/1986, de 10 de abril, de la función pública; art. 58 n) de la Ley de Canarias 2/1987, de 30 de marzo, de la función pública; art. 74 de la Ley de Cantabria 4/1993, de 10 de marzo, de la función pública). Lo que pone de manifiesto el entendimiento común por parte de las Asambleas Legislativas de dichas Comunidades Autónomas, al igual que en su día lo fue por parte del </w:t>
      </w:r>
      <w:r>
        <w:lastRenderedPageBreak/>
        <w:t xml:space="preserve">Parlamento catalán, de que la introducción de dicha falta en el elenco de faltas muy graves responde a su competencia propia en la materia, a la vez que resulta respetuosa con la competencia básica estatal. </w:t>
      </w:r>
    </w:p>
    <w:p w:rsidR="0025129F" w:rsidRDefault="0025129F" w:rsidP="0025129F">
      <w:pPr>
        <w:pStyle w:val="TextoNormal"/>
      </w:pPr>
      <w:r>
        <w:t xml:space="preserve">c) En relación con el art. 97.1 d) de la Ley de Cataluña 17/1985, de 23 de julio, y la posible vulneración por este precepto de la normativa básica estatal, es preciso partir del hecho fácilmente constatable, de que la Ley 30/1984, de 2 de agosto, que contiene la normativa legal básica sobre función pública, actualmente nada regula sobre las sanciones disciplinarias. De ello se desprende la voluntad del legislador estatal de vaciar de toda posible connotación básica las sanciones disciplinarias, las cuales, en consecuencia, pueden ser libremente reguladas por las respectivas normas autonómicas al determinar el régimen estatutario de sus propios funcionarios públicos. Por tal razón no cabe entender que haya de acudirse al Decreto 315/1964, de 7 de febrero, por el que se aprueba el texto articulado de la Ley de funcionarios civiles del Estado (LFCE) con la intención de inferir una posible normativa básica al efecto, lo que resultaría, además, paradójico, ya que si el legislador postconstitucional ha regulado la materia sin definir sus normas como básicas, es que ha querido que no lo fueran ni ellas ni las anteriores. Igualmente la búsqueda de normativa básica en materia de sanciones en el Real Decreto Legislativo 781/1996, de 18 de junio, por el que se aprueba el texto refundido de las disposiciones legales vigentes en materia de régimen local (LRL), resulta forzada, a tenor de su Disposición final séptima, apartado b), de la que se infiere que, al no haberse regulado el tema de las sanciones con carácter básico en la legislación estatal, tampoco tienen este carácter los preceptos equivalentes del texto refundido y, más concretamente, su art. 148, precepto que tiene un evidente carácter supletorio respecto de la normativa propia de la Generalidad sobre esta materia. </w:t>
      </w:r>
    </w:p>
    <w:p w:rsidR="0025129F" w:rsidRDefault="0025129F" w:rsidP="0025129F">
      <w:pPr>
        <w:pStyle w:val="TextoNormal"/>
      </w:pPr>
      <w:r>
        <w:t xml:space="preserve">La consecuencia lógica es, en definitiva, que en materia de sanciones el legislador autonómico dispone de un margen de actuación superior al que le es acotado en otros temas funcionariales por la normativa básica estatal sobre la función pública. </w:t>
      </w:r>
    </w:p>
    <w:p w:rsidR="0025129F" w:rsidRDefault="0025129F" w:rsidP="0025129F">
      <w:pPr>
        <w:pStyle w:val="TextoNormal"/>
      </w:pPr>
      <w:r>
        <w:t xml:space="preserve">En cuanto a la consideración del art. 91 LFCE como base del régimen estatutario de los funcionarios públicos, el Letrado del Consejo Ejecutivo de la Generalidad entiende que no le es aplicable el concepto material de norma básica y que resulta forzado considerar que lo que dispone responde al interés general y tiene carácter preclusivo. En efecto, el grado personal, tal y como se incardina y regula en la normativa vigente sobre función pública, es consecuencia del establecimiento de un nuevo sistema de clasificación y de una nueva interpretación y visión de la carrera administrativa y de la retribución de los puestos de trabajo. Por tanto, sólo desde la nueva praxis aplicada a partir de la Ley 30/1984, de 2 de agosto, en todas las Administraciones públicas, por su calificación de básica, cabe entender la sanción de pérdida de uno a tres grados personales contenida en el precepto legal cuestionado. Evidentemente en la LFCE era imposible que se pensase en una sanción de este tipo, y, por lo mismo, tampoco ahora se podrán encontrar en ella parámetros interpretativos al respecto. </w:t>
      </w:r>
    </w:p>
    <w:p w:rsidR="0025129F" w:rsidRDefault="0025129F" w:rsidP="0025129F">
      <w:pPr>
        <w:pStyle w:val="TextoNormal"/>
      </w:pPr>
      <w:r>
        <w:t xml:space="preserve">En relación con el segundo motivo de duda sobre la constitucionalidad de este precepto legal —infracción del art. 149.1.1, en relación con el art. 14, ambos de la CE—, afirma, ante todo, se puede conceptuar como una medida razonable y proporcional en relación con la finalidad que persigue. En efecto, es conocida la gran importancia que tiene el grado personal en la carrera funcionarial, existiendo una amplia normativa básica al respecto. Si bien será habitual que los funcionarios vayan avanzando niveles en el transcurso de su carrera administrativa, no tiene por qué descartarse a priori que puedan perderlos como consecuencia de una sanción por falta grave. Así, la pérdida de uno, dos o tres grados personales, prevista en el precepto legal cuestionado, se podría equiparar a esos efectos a la </w:t>
      </w:r>
      <w:r>
        <w:lastRenderedPageBreak/>
        <w:t xml:space="preserve">sanción de destitución del cargo, pues el contenido en ambos casos afecta al puesto de trabajo que se pasará a ocupar y a las retribuciones que se tendrá derecho a recibir. </w:t>
      </w:r>
    </w:p>
    <w:p w:rsidR="0025129F" w:rsidRDefault="0025129F" w:rsidP="0025129F">
      <w:pPr>
        <w:pStyle w:val="TextoNormal"/>
      </w:pPr>
      <w:r>
        <w:t xml:space="preserve">La lógica de la sanción de degradación debe hallarse en que la carrera administrativa de aquellos funcionarios que cometan faltas graves ha de verse, no sólo frenada, sino incluso retrasada, como consecuencia de su mala actuación y resulta especialmente adecuada en el caso del funcionario sancionado que posee un grado consolidado superior al nivel del puesto de trabajo que ocupa, de manera que su grado personal, pese a estar consolidado, se reduce y equipara al nivel asignado al puesto de trabajo. En este sentido debe recordarse que, en principio, el fundamento de la sanción guarda relación directa con el contenido originario de la Ley 30/1984, de 2 de agosto, donde se consideraba que los funcionarios no podían ser designados para ocupar puestos de trabajo de un nivel superior o inferior, en más de dos, al correspondiente a su grado personal consolidado como funcionario. En esta configuración de la carrera administrativa, la sanción de pérdida de algún grado personal significaba paralizar de modo, cuanto menos temporal, la carrera funcionarial del sancionado. En la actualidad, después de las modificaciones que ha introducido la Ley 23/1988, de 28 de julio, los funcionarios pueden pasar a ocupar cualquier lugar de trabajo atribuido al grupo al que pertenecen, sin que se vean limitados inicialmente por el grado personal que hayan consolidado. En esta situación se observa aún mejor el carácter natural de la sanción referida, la cual puede resultar mucho más equitativa con la falta cometida que la simple suspensión de funciones entre quince días y un año, que es la otra sanción posible. </w:t>
      </w:r>
    </w:p>
    <w:p w:rsidR="0025129F" w:rsidRDefault="0025129F" w:rsidP="0025129F">
      <w:pPr>
        <w:pStyle w:val="TextoNormal"/>
      </w:pPr>
      <w:r>
        <w:t xml:space="preserve">Por otra parte el grado personal consolidado es un dato a tener presente en los procedimientos de provisión de lugares de trabajo, a favor o en contra según se opte a un puesto de nivel superior o inferior, respectivamente, de tal manera que la posibilidad de su modificación por parte de la Administración permita a ésta, en definitiva, modular la carrera administrativa de los funcionarios reflejando aquellos deméritos que hayan podido cometer en el ejercicio de sus funciones. Cabe añadir que la degradación en uno a tres grados personales no inhabilita al funcionario para seguir posteriormente su carrera administrativa, de manera que, si de nuevo pasa a ocupar lugares de mayor responsabilidad, verá, con el paso de los años que fija la normativa básica estatal, nuevamente consolidados los niveles perdidos. </w:t>
      </w:r>
    </w:p>
    <w:p w:rsidR="0025129F" w:rsidRDefault="0025129F" w:rsidP="0025129F">
      <w:pPr>
        <w:pStyle w:val="TextoNormal"/>
      </w:pPr>
      <w:r>
        <w:t xml:space="preserve">Por último, en cuanto a la posible infracción del art. 149.1.1, en relación con el art. 14, ambos de la CE, se remite a la doctrina reiteradamente afirmada por este Tribunal de que la igualdad no significa uniformidad, y que el derecho a la igualdad no comporta la identidad de trato en todas las partes del territorio, sino el que todos los ciudadanos del mismo territorio y unas mismas condiciones se les trate por igual. Entenderlo de otro modo supondría que la igualdad anularía el contenido del derecho a la autonomía política y a dictar una normativa autonómica propia, de acuerdo con el nivel competencial que cada Comunidad Autónoma posee según su Estatuto en los respectivos sectores materiales. </w:t>
      </w:r>
    </w:p>
    <w:p w:rsidR="0025129F" w:rsidRDefault="0025129F" w:rsidP="0025129F">
      <w:pPr>
        <w:pStyle w:val="TextoNormal"/>
      </w:pPr>
      <w:r>
        <w:t xml:space="preserve">En este sentido, de la doctrina recogida en la STC 87/1985, de 16 de julio, se deduce la posibilidad de que existan tipos y sanciones distintos en cada autonomía, siempre que respondan a criterios de razonabilidad y proporcionalidad. Lo que ha reiterado el Tribunal Constitucional en la STC 136/1991, de 20 de junio, en la que se confirmó la constitucionalidad de la sanción prevista en el art. 46.3 de la Ley de Cataluña 20/1985, de 25 de julio, de prevención y asistencia en materia de sustancias que pueden generar dependencia, al considerar que la divergencia entre dicha norma y las sanciones previstas en la normativa estatal al respecto no eran incompatibles con el art. 149.1.1 CE, puesto que se partía de un fundamento razonable y susceptible de eliminar la calificación de desproporcionada al fin perseguido, respecto del régimen jurídico sancionatorio aplicable en el resto del Estado. </w:t>
      </w:r>
      <w:r>
        <w:lastRenderedPageBreak/>
        <w:t xml:space="preserve">La aplicación de dicha doctrina al supuesto que nos ocupa ha de llevarnos a afirmar que la sanción singular de pérdida de uno a tres grados personales prevista en el precepto legal cuestionado no vulnera lo establecido en el art. 149.1.1 CE, pues se limita a sancionar, aunque de diferente manera, que no resulta arbitraria o desproporcionada la sanción establecida para las conductas que también son consideradas faltas graves por el régimen disciplinario de los funcionarios estatales. </w:t>
      </w:r>
    </w:p>
    <w:p w:rsidR="0025129F" w:rsidRDefault="0025129F" w:rsidP="0025129F">
      <w:pPr>
        <w:pStyle w:val="TextoNormal"/>
      </w:pPr>
      <w:r>
        <w:t xml:space="preserve">d) El contenido del art. 74.4 de la Ley de Cataluña 17/1985, de 23 de julio, pone de manifiesto que estamos ante una medida cautelar, consistente en el traslado a otro puesto de trabajo en la misma localidad, que podrá aplicarse al iniciar un expediente disciplinario siempre que lo sea por hechos directamente relacionados con las funciones que el funcionario tenga encomendadas. Es de destacar esta última frase del precepto, pues resulta muy útil para comprender el sentido, razonabilidad y proporcionalidad de la medida cautelar, la cual sólo cuando la falta presuntamente cometida guarde directa relación con el lugar de trabajo podrá ser aplicada. En el resto de las ocasiones la única medida cautelar posible será la misma que tradicionalmente viene recogiendo la normativa estatal, esto es, la suspensión de funciones con carácter provisional. </w:t>
      </w:r>
    </w:p>
    <w:p w:rsidR="0025129F" w:rsidRDefault="0025129F" w:rsidP="0025129F">
      <w:pPr>
        <w:pStyle w:val="TextoNormal"/>
      </w:pPr>
      <w:r>
        <w:t xml:space="preserve">En cuanto a la búsqueda de la normativa básica sobre las medidas cautelares en los expedientes disciplinarios instruidos a funcionarios públicos cabe señalar que en la Ley 30/1984, de 2 de agosto, nada se indica al respecto, y que el art. 33.1 del Real Decreto 33/1986, de 10 de enero, por el que se aprueba el Reglamento del régimen disciplinario de los funcionarios de la Administración del Estado, permite la adopción de medidas con carácter cautelar, pero sin determinarlas suficientemente. Ello lleva a concluir que lo único que, en su caso, podría tener carácter básico es la posibilidad de establecer medidas cautelares, pero no el contenido concreto de éstas. Por consiguiente, si el legislador estatal de la función pública ha permitido que sea el ejecutivo, y, en último extremo, el órgano que acuerda la incoación del expediente disciplinario, el que concrete las medidas cautelares, con mucho mayor fundamento podrán hacerlo los legislativos autonómicos con base en sus competencias de desarrollo legislativo en la materia. </w:t>
      </w:r>
    </w:p>
    <w:p w:rsidR="0025129F" w:rsidRDefault="0025129F" w:rsidP="0025129F">
      <w:pPr>
        <w:pStyle w:val="TextoNormal"/>
      </w:pPr>
      <w:r>
        <w:t xml:space="preserve">El sentido de la adopción de una medida cautelar es asegurar la eficacia de la resolución que pudiera recaer en el expediente disciplinario, y, por tanto, no debe contemplarse como una sanción previa. Tratándose de la presunta comisión de actos directamente relacionados con el lugar del trabajo del funcionario, parece lógico que, en tanto no se resuelve el expediente disciplinario, se provea en orden a que el funcionario no pueda alterar la situación, ni destruir posibles pruebas, adoptando al respecto la medida cautelar de traslado a otro lugar de trabajo. Como el otro puesto de trabajo ha de ser en la misma localidad, la medida no puede considerarse exagerada e incluso cabe entenderla, en muchos casos, como más proporcionada que la también posible suspensión provisional de funciones, puesto que en aquel caso el funcionario sigue prestando sus servicios. </w:t>
      </w:r>
    </w:p>
    <w:p w:rsidR="0025129F" w:rsidRDefault="0025129F" w:rsidP="0025129F">
      <w:pPr>
        <w:pStyle w:val="TextoNormal"/>
      </w:pPr>
      <w:r>
        <w:t xml:space="preserve">Todo ello conduce al Letrado del Consejo Ejecutivo de la Generalidad a afirmar la constitucionalidad del citado art. 74.4, al introducir la posibilidad de adoptar en determinados supuestos una medida cautelar que resulta mucho menos perjudicial para el servicio público, e incluso para el funcionario, que la simple suspensión provisional de funciones. </w:t>
      </w:r>
    </w:p>
    <w:p w:rsidR="0025129F" w:rsidRDefault="0025129F" w:rsidP="0025129F">
      <w:pPr>
        <w:pStyle w:val="TextoNormal"/>
      </w:pPr>
      <w:r>
        <w:t xml:space="preserve">e) En relación con el art. 99 de la Ley de Cataluña 17/1985, de 23 de julio, constata que en la Ley 30/1984, de 2 de agosto, no se regula nada referente al instituto de la prescripción aplicado al régimen disciplinario de los funcionarios públicos. De modo que, en su opinión, no se puede acudir e inferir de la LFCE normas de alcance básico al respecto que vinculen a las Comunidades Autónomas en el ejercicio de sus competencias de índole legislativa, cuando la materia no está regulada en la norma básica sobre la función pública, y </w:t>
      </w:r>
      <w:r>
        <w:lastRenderedPageBreak/>
        <w:t xml:space="preserve">en el propio Reglamento de régimen disciplinario de los funcionarios de la Administración del Estado, aprobado por Real Decreto 33/1986, de 10 de enero, se atribuye a este texto carácter supletorio para el resto del personal funcionario al servicio de las Administraciones públicas. </w:t>
      </w:r>
    </w:p>
    <w:p w:rsidR="0025129F" w:rsidRDefault="0025129F" w:rsidP="0025129F">
      <w:pPr>
        <w:pStyle w:val="TextoNormal"/>
      </w:pPr>
      <w:r>
        <w:t xml:space="preserve">Pero aún puede resultar más definitivo comprobar el tratamiento que al tema de la prescripción de las faltas leves y de sus correspondientes sanciones concede la Ley 30/1992, de 26 de noviembre, de régimen jurídico de las Administraciones públicas y del procedimiento administrativo común. Esta norma contiene la normativa básica dictada por el Estado, en ejercicio de la competencia que le reserva el art. 149.1.18 CE, referente a las actuaciones administrativas, cuyo art. 132 dispone que: “1. Las infracciones prescribirán según dispongan las Leyes que las establezcan. Si éstas no fijan plazos de prescripción, las infracciones muy graves prescribirán a los tres años, las graves a los dos años y las leves a los seis meses; las sanciones impuestas por faltas muy graves prescribirán a los tres años, las impuestas por faltas graves a los dos años y las impuestas por faltas leves al año”. </w:t>
      </w:r>
    </w:p>
    <w:p w:rsidR="0025129F" w:rsidRDefault="0025129F" w:rsidP="0025129F">
      <w:pPr>
        <w:pStyle w:val="TextoNormal"/>
      </w:pPr>
      <w:r>
        <w:t xml:space="preserve">De esta norma cabe destacar, en primer lugar, la remisión que contiene a las respectivas Leyes sectoriales. Es una prueba más de que el legislador estatal no ha entendido preciso establecer una regulación básica al respecto, sino que deja abierta la posibilidad de distintas regulaciones. De otra parte es de señalar que los plazos indicados, con carácter supletorio, son bastante superiores a los que se contemplan en la LFCE y en el texto refundido del régimen local. Incluso es de notar que en el caso de las faltas leves se establece un plazo de prescripción de la sanción que dobla el de prescripción de la falta, lo que manifiesta la necesidad de un plazo mayor para asegurar la posibilidad de computar realmente las faltas anteriores a los efectos de apreciar la reincidencia si procediere. </w:t>
      </w:r>
    </w:p>
    <w:p w:rsidR="0025129F" w:rsidRDefault="0025129F" w:rsidP="0025129F">
      <w:pPr>
        <w:pStyle w:val="TextoNormal"/>
      </w:pPr>
      <w:r>
        <w:t xml:space="preserve">El plazo fijado en tres meses en el citado art. 99 responde a un criterio lógico y perfectamente razonable, pues el señalado con carácter general en la norma estatal supletoria es, como acabamos de ver, de seis meses y un año, respectivamente, para las faltas leves y sus correspondientes sanciones. </w:t>
      </w:r>
    </w:p>
    <w:p w:rsidR="0025129F" w:rsidRDefault="0025129F" w:rsidP="0025129F">
      <w:pPr>
        <w:pStyle w:val="TextoNormal"/>
      </w:pPr>
      <w:r>
        <w:t xml:space="preserve">Finalmente el principio de seguridad jurídica (art. 9.3 CE) exige que exista un plazo determinado de prescripción referido tanto a la comisión de las faltas como a la imposición de las correspondientes sanciones, pero en nada obliga a la duración del mismo, salvo a que se establezcan dentro de unos límites que pueden considerarse como razonables y proporcionales. El precepto legal cuestionado se mantiene en esta línea de razonabilidad y proporcionalidad al precisar un plazo de tres meses, por lo que en nada perjudica a la seguridad jurídica y resulta plenamente constitucional. </w:t>
      </w:r>
    </w:p>
    <w:p w:rsidR="0025129F" w:rsidRDefault="0025129F" w:rsidP="0025129F">
      <w:pPr>
        <w:pStyle w:val="TextoNormal"/>
      </w:pPr>
      <w:r>
        <w:t>Concluye su escrito solicitando de este Tribunal Constitucional que dicte Sentencia en la que se desestime la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Letrado del Parlamento de Cataluña evacuó el trámite de alegaciones conferido mediante escrito registrado en fecha 22 de febrero de 1994, que, en lo sustancial, a continuación se resume: </w:t>
      </w:r>
    </w:p>
    <w:p w:rsidR="0025129F" w:rsidRDefault="0025129F" w:rsidP="0025129F">
      <w:pPr>
        <w:pStyle w:val="TextoNormal"/>
      </w:pPr>
      <w:r>
        <w:t xml:space="preserve">a) Comienza por referirse a la aplicación al caso de las normas legales cuestionadas y que de su validez dependa el fallo a dictar en el proceso a quo, en tanto que requisitos procesales para la admisión a trámite de la cuestión de inconstitucionalidad (SSTC 17/1981, de 1 de junio, FFJJ 1 y 2). En este sentido señala que el Decreto de la Generalidad de Cataluña 214/1990, de 30 de julio, por el que se aprueba el Reglamento del personal al servicio de las entidades locales, impugnado en el proceso contencioso- administrativo, ha sido dictado en desarrollo de la Ley de Cataluña 8/1987, de 15 de abril, municipal y de régimen local (Disposición final segunda), pero en ningún caso desarrolla la Ley de Cataluña </w:t>
      </w:r>
      <w:r>
        <w:lastRenderedPageBreak/>
        <w:t xml:space="preserve">17/1985, de 23 de julio, de la función pública de la Administración de la Generalidad, cuyos arts. 74.4, 93 n), 97.1 d) y 99 son objeto de la presente cuestión de inconstitucionalidad. Ciertamente el tenor de estos preceptos es prácticamente idéntico al de los arts. 240 m), 243 d), 245 b), 267 y 304.1 y 2 del citado Decreto, pero ello no conlleva necesariamente que la validez de estos últimos dependa de la validez de los primeros, ya que ambas normas operan en un ámbito material distinto. </w:t>
      </w:r>
    </w:p>
    <w:p w:rsidR="0025129F" w:rsidRDefault="0025129F" w:rsidP="0025129F">
      <w:pPr>
        <w:pStyle w:val="TextoNormal"/>
      </w:pPr>
      <w:r>
        <w:t xml:space="preserve">En efecto, la Ley de Cataluña 17/1985, de 23 de julio, ha sido dictada en el ejercicio de la competencia que a la Comunidad Autónoma atribuye el art. 10.1.1 EAC (desarrollo legislativo y ejecución en materia de régimen jurídico y sistema de responsabilidad de la Administración de la Generalidad y de los entes públicos que dependan de ella, así como el régimen estatutario de sus funcionarios). Su art. 2.3 b) excluye expresamente de su ámbito de aplicación al personal al servicio de las corporaciones locales situadas en el territorio de Cataluña, lo que significa, en principio, que la coincidencia de lo dispuesto en el Decreto de la Generalidad 214/1990, de 30 de julio, con los preceptos de la Ley cuestionada no implica la aplicabilidad de ésta en el proceso a quo, ya que se trata de normas que operan en ámbitos distintos. En este sentido la Sala proponente, haciendo suyos los argumentos de la parte demandante, afirma la aplicabilidad de la Ley de Cataluña 17/1985, de 23 de julio, en virtud de la expresa remisión que a la misma efectúa el art. 307.1 de la Ley de Cataluña 8/1987, de 15 de abril, a cuyo tenor: “El régimen de los funcionarios locales en cuanto a la adquisición y pérdida de la condición de funcionarios, las situaciones administrativas, los derechos sindicales y de participación, las vacaciones, las licencias y los permisos, los deberes y responsabilidades y el régimen disciplinario serán idénticos a los de los funcionarios de la Administración de la Generalidad. Todo ello sin perjuicio de la aplicación por la autoridad local correspondiente del mencionado régimen o por la Administración del Estado en el caso de separación del servicio de un funcionario con habilitación nacional”. Sin embargo lo único que se desprende del precepto transcrito es una identidad de régimen, es decir, una cláusula de igualdad en las condiciones estatutarias que rigen para los funcionarios públicos de distintas Administraciones, pero en ningún caso implica que dichos funcionarios se rijan por las mismas normas. De no ser así no se entendería que el citado art. 307 se remita en bloque a la Ley 17/1985, de 23 de julio, en relación a las materias de las que trata, y en algunos casos de forma prolija, en el resto de su articulado. </w:t>
      </w:r>
    </w:p>
    <w:p w:rsidR="0025129F" w:rsidRDefault="0025129F" w:rsidP="0025129F">
      <w:pPr>
        <w:pStyle w:val="TextoNormal"/>
      </w:pPr>
      <w:r>
        <w:t xml:space="preserve">Para algunos de los preceptos cuestionados podría defenderse que la aplicabilidad en el proceso a quo de la Ley de Cataluña 17/1985, de 23 de julio, deriva de los arts. 134.2, 140.2, 142, 144 y 147.2 del Real Decreto Legislativo 781/1986, de 18 de abril, por el que se aprueba el texto refundido de las disposiciones legales vigentes en materia de régimen local (LRL), en la medida en que tales preceptos remiten a la legislación sobre función pública de las Comunidades Autónomas. Sin embargo debe reseñarse, de un lado, que dichos artículos no tienen la condición de básicos (Disposición final séptima LRL) y, de otro lado, que la remisión a la legislación autonómica aparece en el texto refundido de 1986 mediante la técnica de la regularización, aclaración y armonización de los textos refundidos, la mayoría de los cuales, por su carácter preconstitucional, no podían contener tal remisión. En todo caso dicha remisión no puede vincular al legislador autonómico, ni substituir su expresa voluntad, que excluye del ámbito de la Ley 17/1985, de 23 de julio, al personal de las corporaciones locales. En otras palabras, la remisión del LRL sólo puede entenderse en relación a la Ley de Cataluña 8/1987, de 15 de abril, y a las normas que la desarrollen, pero no a la Ley 17/1985, de 23 de julio. </w:t>
      </w:r>
    </w:p>
    <w:p w:rsidR="0025129F" w:rsidRDefault="0025129F" w:rsidP="0025129F">
      <w:pPr>
        <w:pStyle w:val="TextoNormal"/>
      </w:pPr>
      <w:r>
        <w:lastRenderedPageBreak/>
        <w:t xml:space="preserve">Si hay una norma que determina la aplicabilidad de la Ley de Cataluña 17/1985, de 23 de julio, es el art. 1.2 del Decreto de la Generalidad 214/1990, de 30 de julio, que reconduce dicha aplicabilidad, mediante la técnica del reenvío, a los términos que establezca la legislación sobre función pública local promulgada por la Generalidad, la cual no contiene más que una cláusula de igualdad entre los funcionarios públicos a través de la identidad de regímenes estatutarios, con lo que, en realidad, lo que en dicho artículo se establece es la no aplicación de las remisiones previstas en el LRL en cuanto no es una norma emanada de la Generalidad, sino una norma estatal que no tiene la condición de básica. </w:t>
      </w:r>
    </w:p>
    <w:p w:rsidR="0025129F" w:rsidRDefault="0025129F" w:rsidP="0025129F">
      <w:pPr>
        <w:pStyle w:val="TextoNormal"/>
      </w:pPr>
      <w:r>
        <w:t xml:space="preserve">b) A continuación el Letrado del Parlamento de Cataluña destaca que el Auto de planteamiento de la cuestión de inconstitucionalidad es anterior a la STC 385/1993, de 23 de diciembre, en la que se declaró la inconstitucionalidad del inciso ““conforme su naturaleza o”“ de la Disposición final séptima LRL, en la que la Sala proponente ampara parte de su concepción sobre los preceptos básicos en la materia. El Tribunal Constitucional manifestó en la citada Sentencia respecto al inciso transcrito que “la frase de la que nos venimos ocupando no se ajusta al modelo formal de bases desde el momento que defiere su determinación a una actividad hermenéutica, la ‘inferencia natural’ desde el propio contenido de la norma, sin mayor orientación, que resulta así incompatible no sólo con el principio de seguridad jurídica (art. 9.3 CE) en su acepción genérica sino también en la más específica de dotar de certeza y nitidez al esquema de las competencias estatales y autonómicas, para lograr un claro deslinde de unas y otras por medio de la reducción de la indeterminación formal de las normas básicas”. </w:t>
      </w:r>
    </w:p>
    <w:p w:rsidR="0025129F" w:rsidRDefault="0025129F" w:rsidP="0025129F">
      <w:pPr>
        <w:pStyle w:val="TextoNormal"/>
      </w:pPr>
      <w:r>
        <w:t>También la Sala proponente considera básicos ciertos preceptos del Decreto 315/1964, de 7 de febrero, por el que se aprueba el texto articulado de la Ley de funcionarios civiles del Estado (LFCE), argumentando que “por evidentes razones de temporalidad, aquel texto normativo [no] pudiera cumplir con la exigencia de definir lo que de él era básico”. Recuerda al respecto que el Tribunal Constitucional ha ido perfilando una doctrina sobre el concepto de norma básica que no se corresponde en todos los casos con la que se refleja en el Auto de planteamiento de la cuestión de inconstitucionalidad. La posición de la Sala manteniendo el carácter básico de la LFCE, argumentando que su condición de norma preconstitucional permite obviar el requisito de la definición formal de la regulación básica, podría defenderse desde la perspectiva estricta del concepto material de bases recogido en algunas Sentencias del Tribunal Constitucional (STC 1/1982, FJ 1), pero tal doctrina no es incompatible con la que establece que corresponde al legislador postconstitucional establecer qué es lo que haya de entenderse por básico (STC 31/1981, FJ 6). En este sentido resalta que la reserva competencial recogida en el art. 149.1.18 CE relativa a las bases del régimen jurídico de las Administraciones públicas y del régimen estatutario de sus funcionarios configura una competencia normativa (STC 23/1983, FJ 1), lo que implica que, si tal competencia ha sido ejercitada de manera aparentemente completa por el legislador postconstitucional, no pueden seguir infiriéndose normas básicas de las normas preconstitucionales, sino que el carácter básico de una norma sólo será “reconocible en principio cuando las Cortes Generales así lo hayan determinado” (SSTC 69/1988, FJ 5; 385/1993, FJ 3). El legislador estatal postconstitucional ha establecido una regulación completa e innovadora, en palabras de la STC 1/1982 (FJ 1), en materia de función pública, entendida genéricamente, a partir de la Ley 30/1984, de 2 de agosto, de medidas para la reforma de la función pública; de la Ley 53/1984, de 26 de diciembre, de incompatibilidades del personal al servicio de las Administración públicas; y de la Ley 9/1987, de 12 de junio, de órganos de representación, determinación de las condiciones de trabajo y participación del personal al servicio de las Administraciones públicas. De modo que si el Estado ha regu</w:t>
      </w:r>
      <w:r>
        <w:lastRenderedPageBreak/>
        <w:t xml:space="preserve">lado completamente y con posterioridad a la Constitución las bases sobre la función pública en sentido genérico no hay lugar para inferir más bases de la legislación preconstitucional, en la medida en que el mismo Estado no la ha declarado básica. </w:t>
      </w:r>
    </w:p>
    <w:p w:rsidR="0025129F" w:rsidRDefault="0025129F" w:rsidP="0025129F">
      <w:pPr>
        <w:pStyle w:val="TextoNormal"/>
      </w:pPr>
      <w:r>
        <w:t xml:space="preserve">A mayor abundamiento la Ley 30/1984, de 2 de agosto, deroga expresamente determinados artículos de la LFCE, entre ellos el art. 91.1, precepto considerado básico en el Auto de planteamiento de la cuestión de inconstitucionalidad. Desde un punto de vista racional puede entenderse que tal derogación deriva de la regulación en el art. 31.2 de la Ley 30/1984, de 2 de agosto, precepto de carácter básico, de la sanción de determinadas faltas leves mediante la deducción proporcional de retribuciones. A pesar de ello esta derivación lógica no coincide con una derivación jurídica, es decir, no existe incompatibilidad entre los citados arts. 31.2 de la Ley 30/1984, de 2 de agosto, y el art. 91.1 d) y e) LFCE. Si tal derivación jurídica no existe, la norma derogatoria del art. 91.1 d) y e) LFCE es una norma autónoma dentro de la Ley 30/1984, de 2 de agosto, y como tal norma autónoma postconstitucional su carácter básico debe ser reconocido por el legislador estatal, el cual, evidentemente, no lo hace. Ciertamente puede considerarse forzado exigir que una norma derogatoria sea declarada formalmente norma básica, porque tal carácter básico puede inferirse directamente del hecho de si la norma derogada era o no básica, pero lo que no puede admitirse, porque es contrario al principio de seguridad jurídica (art. 9.3 CE), es que el Estado pueda modificar o reformar la legislación preconstitucional sin proceder, al mismo tiempo, a determinar de forma completa el alcance que de dicha modificación o reforma comporta en el contenido normativo básico de la norma modificada. En consecuencia el art. 91 LFCE no es una norma básica, porque el legislador estatal no la considera como tal. </w:t>
      </w:r>
    </w:p>
    <w:p w:rsidR="0025129F" w:rsidRDefault="0025129F" w:rsidP="0025129F">
      <w:pPr>
        <w:pStyle w:val="TextoNormal"/>
      </w:pPr>
      <w:r>
        <w:t xml:space="preserve">Además la misma LFCE no permite su consideración como regulación básica, entendida como aplicable al genérico estatuto de la función pública, pues su art. 2.2 c) excluye expresamente de su ámbito a los “funcionarios que no perciban sueldo o asignaciones con cargo a las consignaciones de personal de los Presupuestos Generales del Estado”, y su art. 2.3 declara su carácter supletorio “respecto de todas las disposiciones legales y reglamentarias relativas a los demás funcionarios, cualquiera que sea la clase de éstos y la Entidad administrativa a la que presten sus servicios”. Lo que constituye un argumento más en contra de la calificación de algunos de sus preceptos como básicos, pues los términos “básico” y “supletorio” son ciertamente contradictorios uno del otro, sin que el Estado, que ha modificado ampliamente la LFCE, haya considerado necesario alterar el contenido de su art. 2. Asimismo, cuando la función pública local se ha regulado con posterioridad a la Constitución, como se ha hecho a través de la Ley 7/1985, de 2 de abril, reguladora de las bases del régimen local (LBRL) y del texto refundido de 1986, ya no tiene sentido hablar de inferencia de bases más allá de las que el legislador estatal en el ámbito de su competencia ha establecido. </w:t>
      </w:r>
    </w:p>
    <w:p w:rsidR="0025129F" w:rsidRDefault="0025129F" w:rsidP="0025129F">
      <w:pPr>
        <w:pStyle w:val="TextoNormal"/>
      </w:pPr>
      <w:r>
        <w:t xml:space="preserve">c) El art. 93 n) de la Ley de Cataluña 17/1985, de 23 de julio, tipifica como falta muy grave el hecho de causar por negligencia o por mala fe daños muy graves al patrimonio y a los bienes de la Generalidad, supuesto que no aparece expresamente recogido en el elenco de faltas muy graves del art. 31.1 de la Ley 30/1984, de 2 de agosto, precepto que tiene la condición de básico. </w:t>
      </w:r>
    </w:p>
    <w:p w:rsidR="0025129F" w:rsidRDefault="0025129F" w:rsidP="0025129F">
      <w:pPr>
        <w:pStyle w:val="TextoNormal"/>
      </w:pPr>
      <w:r>
        <w:t xml:space="preserve">Pudiera interpretarse, como se sostiene en el Auto de planteamiento de la cuestión de inconstitucionalidad, que el art. 31.1 de la Ley 30/1984, de 2 de agosto, recoge una lista cerrada, que impide al legislador autonómico incidir en ella, de tal modo que las faltas muy graves en materia de función pública constituyen un ámbito acotado. Sucede, sin embargo, que el art. 31.1 n) de la Ley 30/1984, de 2 de agosto, tipifica como falta muy grave “haber sido sancionado por la comisión de tres faltas graves en un período de un año”, no </w:t>
      </w:r>
      <w:r>
        <w:lastRenderedPageBreak/>
        <w:t xml:space="preserve">siendo reconocida la tipificación de faltas graves por el legislador estatal como normativa básica, no sólo porque falta una determinación formal en tal sentido, sino, además, porque expresamente así lo prevé el art. 147.2 LRL. De modo que la determinación de un elemento esencial del tipo, cual es el determinar qué constituye falta grave, corresponde al legislador autonómico, por lo que el ámbito teóricamente cerrado a éste no es tan impenetrable como en una primera lectura pudiera deducirse. </w:t>
      </w:r>
    </w:p>
    <w:p w:rsidR="0025129F" w:rsidRDefault="0025129F" w:rsidP="0025129F">
      <w:pPr>
        <w:pStyle w:val="TextoNormal"/>
      </w:pPr>
      <w:r>
        <w:t xml:space="preserve">En un sistema sancionador en tres niveles, como el de la función pública, en el que las faltas se tipifican en muy graves, graves y leves, la determinación de los límites entre uno y otro es especialmente difícil, porque existe una interrelación entre ellos, de manera que las fórmulas de determinación de un tipo en muchos casos se establecen mediante la referencia a otros tipos, de forma que un concepto jurídico indeterminado, como es el de “gravedad”, califica al mismo tiempo el contenido de la infracción administrativa y el nivel en el que ésta se tipifica. Así, la determinación de las faltas muy graves enumeradas en el art. 31.1 de la Ley 30/1984, de 2 de agosto, no se completa hasta tanto no se determinen las faltas graves y leves. Por ejemplo, la concreción de lo que significa “incumplimiento de las normas sobre incompatibilidades” (art. 31.1.h Ley 30/1984, de 2 de agosto) se realiza, no sólo con la lectura del precepto, sino también por la tipificación que en relación a la materia de incompatibilidades se establece en las faltas graves y leves (arts. 94.g y 95.g de la Ley de Cataluña 17/1985, de 23 de julio; 7.1.k del Real Decreto 33/1986, de 10 de enero, por el que se aprueba el régimen disciplinario de los funcionarios de la Administración del Estado). Si el art. 31.1 de la Ley 30/1984, de 2 de agosto, constituyese un ámbito cerrado al legislador autonómico, resultaría que cualquier precisión de lo que significa “incumplimiento de las normas sobre incompatibilidades” no le sería posible, y, como la norma básica no distingue entre los diversos grados de incumplimiento y su resultado, cualquier incumplimiento de las normas sobre incompatibilidades se hallaría dentro del tipo muy grave. Ello, evidentemente, conculcaría el principio de proporcionalidad entre la conducta ilícita y la sanción aplicable, puesto que ha de considerarse legítima la acción del legislador autonómico para acotar el contenido del art. 31.1 de la Ley 30/1984, de 2 de agosto. </w:t>
      </w:r>
    </w:p>
    <w:p w:rsidR="0025129F" w:rsidRDefault="0025129F" w:rsidP="0025129F">
      <w:pPr>
        <w:pStyle w:val="TextoNormal"/>
      </w:pPr>
      <w:r>
        <w:t xml:space="preserve">Pues bien, el Parlamento de Cataluña incorporó, con el mismo criterio, dentro de la tipificación de las faltas muy graves el contenido del art. 93 n) de la Ley 17/1985, de 23 de julio. En este sentido es necesario resaltar que el sistema sancionador del que forma parte aquélla se inserta en una relación de sujeción especial entre la Administración pública y sus funcionarios, lo que implica que las faltas tipificadas se enmarcan en ese contexto. Desde este punto de vista debe entenderse que la negligencia o la mala fe que exige el art. 93 n) de la Ley de Cataluña 17/1985, de 23 de julio, se refiere a negligencia o mala fe en el desarrollo de las tareas propias del funcionario público, noción que, además, se halla presente en todas las faltas muy graves tipificadas en la legislación básica del Estado. El hecho de causar daños muy graves al patrimonio y bienes de la Generalidad es exclusivamente el resultado de la negligencia o mala fe que se debe relacionar necesariamente con el resto de los tipos muy graves previstos en la legislación básica, de tal manera que, si dichos tipos de infracción han sido acotados por la legislación de desarrollo mediante la definición de una falta grave o leve que incide en su descripción genérica, tal acotamiento no puede beneficiar al infractor cuando el resultado causa daños muy graves al patrimonio y bienes de la Generalidad. </w:t>
      </w:r>
    </w:p>
    <w:p w:rsidR="0025129F" w:rsidRDefault="0025129F" w:rsidP="0025129F">
      <w:pPr>
        <w:pStyle w:val="TextoNormal"/>
      </w:pPr>
      <w:r>
        <w:t xml:space="preserve">En definitiva, la norma cuestionada reúne los requisitos de constitucionalidad, ya que no infringe la normativa básica, sino que la desarrolla, y lo hace en el ejercicio de las competencias que corresponden a la Comunidad Autónoma ex art. 10.1.1 EAC, sin que, </w:t>
      </w:r>
      <w:r>
        <w:lastRenderedPageBreak/>
        <w:t xml:space="preserve">por otra parte, pueda tacharse la incriminación de la infracción prevista de desproporcionada al fin perseguido por el régimen sancionador de la función pública, pues justamente perfila en términos de gravedad del resultado la gravedad de la falta. </w:t>
      </w:r>
    </w:p>
    <w:p w:rsidR="0025129F" w:rsidRDefault="0025129F" w:rsidP="0025129F">
      <w:pPr>
        <w:pStyle w:val="TextoNormal"/>
      </w:pPr>
      <w:r>
        <w:t xml:space="preserve">d) En relación con el art. 97.1 d) de la Ley de Cataluña 17/1985, de 23 de julio, descartado el carácter básico de la Ley de funcionarios civiles del Estado y del texto refundido del régimen local, la cuestión a resolver consiste en determinar si el precepto autonómico establece un régimen sancionador irrazonablemente distinto. </w:t>
      </w:r>
    </w:p>
    <w:p w:rsidR="0025129F" w:rsidRDefault="0025129F" w:rsidP="0025129F">
      <w:pPr>
        <w:pStyle w:val="TextoNormal"/>
      </w:pPr>
      <w:r>
        <w:t xml:space="preserve">La sanción de pérdida de uno a tres grados personales responde objetivamente al nuevo modelo de función pública diseñado por la Ley 30/1984, de 2 de agosto. Esta Ley ahondó en la imbricación del sistema tradicional de función pública con el llamado sistema de puesto de trabajo, propiciando que este último elemento fuera potenciado dentro de la concepción de la función pública como carrera, constituyendo uno de sus instrumentos la promoción profesional regulada en su art. 21, que establece el sistema de grado personal y su correspondencia con los puestos de trabajo. Si el modelo de función pública ha sido modificado, es lógico y razonable que su régimen sancionador se adecue a la modificación introducida, es decir, que el sistema de sanciones no se relacione exclusivamente con la condición de funcionario (separación del servicio y suspensión de funciones) y que el margen sancionador desde la perspectiva del puesto de trabajo no quede reducido al traslado con cambio de residencia. Por ello el legislador catalán introdujo dos nuevas sanciones relacionadas con el puesto de trabajo [art. 97.1 d) y e) de la Ley de Cataluña 17/1985, de 23 de julio). Además, para atemperar los efectos del sistema de sanciones relacionado exclusivamente con la condición de funcionario, redujo el ámbito de la sanción de suspensión de funciones por período superior al año a las faltas muy graves, a diferencia del régimen estatal, que permite dicha sanción para períodos de hasta tres años en el caso de las faltas graves. </w:t>
      </w:r>
    </w:p>
    <w:p w:rsidR="0025129F" w:rsidRDefault="0025129F" w:rsidP="0025129F">
      <w:pPr>
        <w:pStyle w:val="TextoNormal"/>
      </w:pPr>
      <w:r>
        <w:t xml:space="preserve">Por otro lado la sanción no es extraña al sistema estatal. El art. 20.1 e) de la Ley 30/1984, de 2 de agosto, prevé la remoción de un funcionario de un puesto de trabajo obtenido por el procedimiento de concurso por “falta de capacidad para su desempeño manifestada por rendimiento insuficiente que no comporte inhibición y que impida realizar con eficacia las funciones atribuidas al puesto”. La precisión “que no comporte inhibición” debe relacionarse directamente con la falta muy grave tipificada en el art. 31.1 f), cuyo acotamiento en el nivel inferior se produce por la tipificación como falta muy grave de “la falta de rendimiento que afecte al normal funcionamiento de los servicios y no constituya falta muy grave” (art. 7.1.i Reglamento del régimen disciplinario de los funcionarios de la Administración del Estado). Es decir, la falta de rendimiento que no constituye inhibición constituye una falta grave, que puede comportar, adicionalmente, la remoción del puesto de trabajo obtenido por concurso, que sitúa al funcionario a disposición del Subsecretario o de la autoridad que corresponda de conformidad con el art. 21.2 b) de la Ley 30/1984, de 2 de agosto, sin que tenga el derecho transitorio, regulado en el segundo párrafo de dicho artículo, relativo a las retribuciones complementarias del puesto de trabajo del que ha sido removido. Existe, pues, en el sistema básico estatal un procedimiento, claramente relacionado con el sistema sancionador, que afecta al sistema de promoción profesional por falta de rendimiento en el puesto de trabajo. </w:t>
      </w:r>
    </w:p>
    <w:p w:rsidR="0025129F" w:rsidRDefault="0025129F" w:rsidP="0025129F">
      <w:pPr>
        <w:pStyle w:val="TextoNormal"/>
      </w:pPr>
      <w:r>
        <w:t xml:space="preserve">El problema puede suscitarse cuando el puesto de trabajo obtenido por concurso tenga un nivel inferior al grado personal del funcionario. En tal caso la remoción del puesto de trabajo pierde parte de su sentido y, frente a ello, la opción sancionadora estatal no resuelve el problema de la “falta de capacidad”, con lo que se prima una situación específica del funcionario en perjuicio de uno de los principios constitucionales de la función pública </w:t>
      </w:r>
      <w:r>
        <w:lastRenderedPageBreak/>
        <w:t xml:space="preserve">recogidos en el art. 103 CE. Evidentemente podría sostenerse que la sanción prevista por el legislador catalán es aplicable, en abstracto, a todas las faltas graves cometidas por los funcionarios sometidos al régimen de la Ley 17/1985, de 23 de julio, pero ello conduciría a obviar que su art. 98 somete el sistema de graduación de las faltas y sanciones a aquello que objetivamente se haya cometido u omitido bajo el principio de proporcionalidad. </w:t>
      </w:r>
    </w:p>
    <w:p w:rsidR="0025129F" w:rsidRDefault="0025129F" w:rsidP="0025129F">
      <w:pPr>
        <w:pStyle w:val="TextoNormal"/>
      </w:pPr>
      <w:r>
        <w:t xml:space="preserve">En definitiva, el art. 97.1 d) de la Ley de Cataluña 17/1985, de 23 de julio, es constitucional en relación con el art. 149.1.1 y 18 CE, encontrando su amparo en la competencia que a la Generalidad reserva el art. 10.1.1 EAC, sin que se produzcan diferencias irrazonables que desvirtúen las condiciones de igualdad en el ejercicio de los derechos de los funcionarios públicos. </w:t>
      </w:r>
    </w:p>
    <w:p w:rsidR="0025129F" w:rsidRDefault="0025129F" w:rsidP="0025129F">
      <w:pPr>
        <w:pStyle w:val="TextoNormal"/>
      </w:pPr>
      <w:r>
        <w:t xml:space="preserve">e) También en relación con el art. 74.4 de la Ley de Cataluña 17/1985, de 23 de julio, descartado el carácter básico de la Ley de funcionarios civiles del Estado y del texto refundido del régimen local, la cuestión a resolver estriba en determinar si el precepto autonómico establece un régimen sancionador distinto de forma irrazonable. </w:t>
      </w:r>
    </w:p>
    <w:p w:rsidR="0025129F" w:rsidRDefault="0025129F" w:rsidP="0025129F">
      <w:pPr>
        <w:pStyle w:val="TextoNormal"/>
      </w:pPr>
      <w:r>
        <w:t xml:space="preserve">En primer lugar el Letrado del Parlamento de Cataluña resalta que la medida cautelar prevista en el precepto legal cuestionado se encuentra directamente vinculada a la noción de puesto de trabajo, y por ello se circunscribe a que la presunta infracción se corresponda con los hechos directamente relacionados con las funciones que tenga encomendadas el funcionario en cuestión. Sólo desde esta perspectiva es comprensible dicha medida cautelar, la cual debe relacionarse con la posibilidad de remoción prevista en el art. 20.1 e) de la Ley 30/1984, de 2 de agosto. </w:t>
      </w:r>
    </w:p>
    <w:p w:rsidR="0025129F" w:rsidRDefault="0025129F" w:rsidP="0025129F">
      <w:pPr>
        <w:pStyle w:val="TextoNormal"/>
      </w:pPr>
      <w:r>
        <w:t xml:space="preserve">Además tal medida responde a dos elementos adicionales contemplados en la Ley de Cataluña 17/1985, de 23 de julio: el establecimiento de las faltas graves y leves, por un lado, y la regulación del régimen de sanciones, por otro. La regulación de las faltas graves y leves corresponde a la Comunidad Autónoma, de conformidad con el EAC y la legislación básica del Estado. Lo mismo ocurre con el régimen sustantivo de sanciones, sin perjuicio de lo dispuesto en el art. 31.2 de la Ley 30/1984, de 2 de agosto. Pues bien, en este marco la Generalidad de Cataluña ha optado por restringir la suspensión de funciones por período superior al año a las faltas muy graves y ha introducido una nueva modalidad de sanción, consistente en el traslado de puesto de trabajo dentro de la misma localidad. Evidentemente, si se restringe la posibilidad de suspensión, y el traslado de puesto de trabajo con cambio de residencia sólo puede imponerse como sanción a las faltas muy graves (art. 97.3 Ley de Cataluña 17/1985, de 23 de julio), difícilmente pueden adoptarse medidas cautelares proporcionadas en relación a las faltas graves, incluso cuando dichas medidas sean necesarias. De ahí que deba de tenerse en cuenta la determinación del tipo de falta que en cada caso se imputa, por ejemplo, porque el hecho de que se trate puede ser “originar enfrentamientos en el centro de trabajo o formar parte de ellos” (art. 94.c). En tales casos la suspensión provisional puede adoptarse como medida cautelar, pero en el régimen catalán tal medida puede ser muy superior a la sanción previsible si, de confirmarse los hechos en el correspondiente expediente, tal sanción se hace efectiva. </w:t>
      </w:r>
    </w:p>
    <w:p w:rsidR="0025129F" w:rsidRDefault="0025129F" w:rsidP="0025129F">
      <w:pPr>
        <w:pStyle w:val="TextoNormal"/>
      </w:pPr>
      <w:r>
        <w:t xml:space="preserve">Por ello entiende que el precepto legal cuestionado no vulnera el art. 149.1.1 y 18 CE, encontrando su cobertura competencial en el art. 10.1.1 EAC, sin que se produzcan diferencias irrazonables que desvirtúen las condiciones de igualdad en el ejercicio de los derechos de los funcionarios públicos. </w:t>
      </w:r>
    </w:p>
    <w:p w:rsidR="0025129F" w:rsidRDefault="0025129F" w:rsidP="0025129F">
      <w:pPr>
        <w:pStyle w:val="TextoNormal"/>
      </w:pPr>
      <w:r>
        <w:t xml:space="preserve">f) Finalmente, en relación con el art. 99.1 y 2 de la Ley de Cataluña 17/1985, de 23 de julio, la ampliación de los plazos de prescripción no debe interpretarse como un capricho irrazonable del legislador autonómico, sino como una medida tendente a dar efectividad real al régimen disciplinario en materia de función pública y un tratamiento igualitario al </w:t>
      </w:r>
      <w:r>
        <w:lastRenderedPageBreak/>
        <w:t xml:space="preserve">conjunto de los funcionarios, posibilitando que todas las infracciones puedan ser corregidas. </w:t>
      </w:r>
    </w:p>
    <w:p w:rsidR="0025129F" w:rsidRDefault="0025129F" w:rsidP="0025129F">
      <w:pPr>
        <w:pStyle w:val="TextoNormal"/>
      </w:pPr>
      <w:r>
        <w:t xml:space="preserve">El art. 31.2 de la Ley 30/1984, de 2 de agosto, precepto de carácter básico, establece que “las faltas de puntualidad y las de asistencia, cuando constituyan faltas leves, se sancionarán con la deducción proporcional de retribuciones”. Tanto la Ley de Cataluña 17/1985, de 23 de julio, como el Real Decreto 33/1986, de 10 de enero, por el que se aprueba el Reglamento del régimen disciplinario de los funcionarios de la Administración del Estado, recogen entre las faltas leves el incumplimiento de la jornada de trabajo, las faltas de puntualidad y las de asistencia. Ahora bien, para que tales faltas leves sean sancionables debe habilitarse un sistema que permita a la autoridad administrativa conocerlas antes de su prescripción, y si la falta prescribe al mes de haberse cometido se puede producir una zona de opacidad para este tipo de infracciones. </w:t>
      </w:r>
    </w:p>
    <w:p w:rsidR="0025129F" w:rsidRDefault="0025129F" w:rsidP="0025129F">
      <w:pPr>
        <w:pStyle w:val="TextoNormal"/>
      </w:pPr>
      <w:r>
        <w:t xml:space="preserve">Normalmente —argumenta el Letrado del Parlamento de Cataluña— el sistema de control de puntualidad y asistencia se realiza mediante la introducción de tarjetas o fichas en relojes, que en algunos casos graban la información en un sistema informático, pero que también pueden ser mecánicos, al estampar la hora de entrada directamente en la ficha. En otros casos el sistema de control es manual, mediante libros de registro, en los que el funcionario estampa su firma en el momento que entra en su centro de trabajo. La opción entre uno y otro medio de control depende de distintas variables, por ejemplo, el número de funcionarios adscritos al centro de trabajo en concreto, el carácter urbano o rural del mismo, etc. No parece exigible que la Administración tenga como carga el establecimiento de sistemas de control a tiempo real del cumplimiento de los horarios de su personal. Pues bien, dependiendo del sistema de control empleado, el conocimiento por parte del servicio que en cada caso gestiona al personal del cumplimiento de horarios y de presencia se produce una vez al mes, una vez concluso el mes natural anterior. Si la infracción se produjo en los primeros días del mes anterior, difícilmente podrá apreciarse en el caso que se entienda que tales infracciones prescriben al mes de haberse cometido, pero, además, incluso cuando tal infracción sea conocida con tiempo suficiente, su sanción no podrá producirse al margen de la retribución mensual, ya que justamente se trata de reducción proporcionada de retribuciones, y la preparación de la nómina no se realiza en el mismo día de su ingreso, sino con algunos días de antelación, de modo, que impuesta la sanción y comunicada al servicio correspondiente si éste ya ha efectuado los trabajos de preparación de las nóminas, o bien deberá rehacerlos, o bien esperar al mes siguiente, y en este segundo caso la sanción en el momento de hacerse efectiva habrá prescrito. De modo que los plazos de prescripción previstos en el precepto legal cuestionado no son irrazonables ni desproporcionados al fin perseguido, y, en consecuencia, no son contrarios a la Constitución. </w:t>
      </w:r>
    </w:p>
    <w:p w:rsidR="0025129F" w:rsidRDefault="0025129F" w:rsidP="0025129F">
      <w:pPr>
        <w:pStyle w:val="TextoNormal"/>
      </w:pPr>
      <w:r>
        <w:t>Concluye su escrito solicitando de este Tribunal Constitucional dicte Sentencia en la que se declare la inadmisibilidad de la cuestión de inconstitucionalidad en relación con los arts. 93 n), 97.1 d), 74.4 y 99 de la Ley de Cataluña 17/1985, de 23 de julio, por no ser aplicables dichos preceptos en el proceso a quo o, subsidiariamente, se declare su plena constitucionalidad.</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día 24 de enero de 1995 tuvo entrada en el Registro General de este Tribunal un escrito del Presidente de la Sección Primera de la Sala de lo Contencioso- Administrativo del Tribunal Superior de Justicia de Cataluña al que se acompañaba, junto al testimonio del correspondiente procedimiento, el Auto de la referida Sección, de 15 de noviembre de 1994, en el que se acordaba plantear cuestión de inconstitucionalidad en relación con el </w:t>
      </w:r>
      <w:r>
        <w:lastRenderedPageBreak/>
        <w:t xml:space="preserve">art. 92.2 de la Ley 7/1985, de 2 de abril, reguladora de las bases del régimen local (LBRL). </w:t>
      </w:r>
    </w:p>
    <w:p w:rsidR="0025129F" w:rsidRDefault="0025129F" w:rsidP="0025129F">
      <w:pPr>
        <w:pStyle w:val="TextoNormal"/>
      </w:pPr>
      <w:r>
        <w:t xml:space="preserve">a) La cuestión trae causa del recurso contencioso-administrativo núm. 207/91, interpuesto por don Héctor García Morago contra, entre otros, los arts. 33.1 y 35.1 del Decreto de la Generalidad de Cataluña 214/1990, de 30 de julio, por el que se aprueba el Reglamento del personal al servicio de las entidades locales. </w:t>
      </w:r>
    </w:p>
    <w:p w:rsidR="0025129F" w:rsidRDefault="0025129F" w:rsidP="0025129F">
      <w:pPr>
        <w:pStyle w:val="TextoNormal"/>
      </w:pPr>
      <w:r>
        <w:t xml:space="preserve">b) Concluso el proceso, y dentro del plazo para dictar Sentencia, la Sección Primera de la Sala de lo Contencioso-Administrativo del Tribunal Superior de Justicia de Cataluña, por providencia de 27 de septiembre de 1994, acordó oír a las partes y al Ministerio Fiscal, en el plazo común e improrrogable de diez días, para que formulasen alegaciones sobre la pertinencia de plantear cuestión de inconstitucionalidad en relación con el art. 92.2 LBRL “poder vulnerar la reserva estatutaria de ley del artículo 103.3 de la Constitución”. </w:t>
      </w:r>
    </w:p>
    <w:p w:rsidR="0025129F" w:rsidRDefault="0025129F" w:rsidP="0025129F">
      <w:pPr>
        <w:pStyle w:val="TextoNormal"/>
      </w:pPr>
      <w:r>
        <w:t>La representación procesal de la parte demandante y el Ministerio Fiscal estimaron pertinente el planteamiento de la cuestión, mientras que el Letrado del Consejo Ejecutivo de la Generalidad de Cataluña, personado en el proceso como parte demandada, se opuso al mismo.</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En el Auto de planteamiento la Sala proponente reproduce, en síntesis, las consideraciones efectuadas, y recogidas en el antecedente núm. 2.c.2 de esta Sentencia, en su Auto de 26 de noviembre de 1993, por el que se acordó plantear cuestión de inconstitucionalidad, entre otros, en relación con el ya mencionado art. 92.2 LBRL, la cual fue turnada con el núm. 71/94 y admitida a trámite por providencia de la Sección Tercera de este Tribunal, de 18 de enero de 1994. </w:t>
      </w:r>
    </w:p>
    <w:p w:rsidR="0025129F" w:rsidRDefault="0025129F" w:rsidP="0025129F">
      <w:pPr>
        <w:pStyle w:val="TextoNormal"/>
      </w:pPr>
      <w:r>
        <w:t xml:space="preserve">Se señala al respecto que el art. 33.1 del Decreto de la Generalidad 214/1990, de 30 de julio, por el que se aprueba el Reglamento del personal al servicio de las entidades locales, cuya nulidad, entre otros preceptos, se interesa en el recurso contencioso- administrativo, es fiel copia del art. 92.2 LBRL, así como que el art. 35.1 del mencionado Decreto es consecuencia de aquel art. 33.1. Ello así, la única forma posible de combatir tales normas reglamentarias es cuestionando al propio tiempo la constitucionalidad del precepto legal que las ampara. </w:t>
      </w:r>
    </w:p>
    <w:p w:rsidR="0025129F" w:rsidRDefault="0025129F" w:rsidP="0025129F">
      <w:pPr>
        <w:pStyle w:val="TextoNormal"/>
      </w:pPr>
      <w:r>
        <w:t xml:space="preserve">La duda de constitucionalidad del referido art. 92.2 LBRL la funda la Sala, como ya hiciera en su anterior Auto de 26 de septiembre de 1993, en que el mismo puede ser contrario a la reserva estatutaria de Ley contenida en el art. 103.3 CE, de acuerdo con la doctrina recogida en la STC 99/1987, de 11 de junio, que declaró inconstitucional, entre otros, el art. 15.1, último inciso, de la Ley 30/1984, de 2 de agosto, de medidas para la reforma de la función pública. </w:t>
      </w:r>
    </w:p>
    <w:p w:rsidR="0025129F" w:rsidRDefault="0025129F" w:rsidP="0025129F">
      <w:pPr>
        <w:pStyle w:val="TextoNormal"/>
      </w:pPr>
      <w:r>
        <w:t xml:space="preserve">Tras referirse a los términos del fundamento jurídico 3 de dicha Sentencia, la Sala proponente considera que la cuestión a dilucidar es la de si el inciso final del art. 92.2 LBRL (“y, en general aquellas que, en desarrollo de la presente Ley, se reserven a los funcionarios para la mejor garantía de la objetividad, imparcialidad o independencia en el ejercicio de la función”), después de enumerar unas pocas funciones públicas que expresamente reserva a los funcionarios públicos, contiene “condiciones materiales sobre las determinaciones concretas que puedan ser adoptadas por los órganos de la Administración” (en expresión del aludido FJ 3 de la STC 99/1987), o si, por el contrario, constituye una “imprecisa referencia que no vincula efectivamente a la decisión administrativa” (en expresión, también, del mencionado fundamento jurídico). </w:t>
      </w:r>
    </w:p>
    <w:p w:rsidR="0025129F" w:rsidRDefault="0025129F" w:rsidP="0025129F">
      <w:pPr>
        <w:pStyle w:val="TextoNormal"/>
      </w:pPr>
      <w:r>
        <w:t xml:space="preserve">A su juicio sólo cabe concluir que el último inciso del art. 92.2 LBRL resulta inconstitucional por desconocer la reserva estatutaria del art. 103.3 CE, pues la Ley ha incumplido </w:t>
      </w:r>
      <w:r>
        <w:lastRenderedPageBreak/>
        <w:t>la función que le venía impuesta de forma irrenunciable por tal reserva, efectuando en la materia un apoderamiento a la potestad reglamentaria que excede de los límites permitidos por la misma. Conclusión a la que llega por cuanto los vocablos “objetividad, imparcialidad e independencia en el ejercicio de la función” no pasan de ser conceptos jurídicos indeterminados, cuya abstracción difícilmente puede representar una vinculación efectiva de la Administración y que, en todo caso, no cumple la exigencia aludida por el Tribunal Constitucional de “una determinación material suficiente” en el ámbito respectivo, sin que ni siquiera pueda mantenerse que son verdaderas “condiciones y límites materiales” en relación con la decisión administrativa a adoptar sobre el particular, sino, todo lo más, meras indicaciones formales que no satisfacen las aludidas exigencias constitucionales.</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La Sección Tercera del Tribunal Constitucional, por providencia de 31 de enero de 1995, acordó admitir a trámite la cuestión de inconstitucionalidad, turnada con el núm. 243/95; dar traslado de las actuaciones, de conformidad con lo establecido en el art. 37.3 LOTC, al Congreso de los Diputados y al Senado, por conducto de sus respectivos Presidentes, al Gobierno, por conducto del Ministerio de Justicia, y al Fiscal General del Estado, al objeto de que, en el improrrogable plazo de quince días, pudieran personarse en el procedimiento y formular las alegaciones que estimaren pertinentes; oír a las partes anteriormente indicadas para que, en el mismo plazo del traslado, expusieran lo que consideraren conveniente acerca de la acumulación de la cuestión de inconstitucionalidad a la registrada con el núm. 71/94; y, finalmente, publicar la incoación de la cuestión en el “Boletín Oficial del Estado”. </w:t>
      </w:r>
    </w:p>
    <w:p w:rsidR="0025129F" w:rsidRDefault="0025129F" w:rsidP="0025129F">
      <w:pPr>
        <w:pStyle w:val="TextoNormal"/>
      </w:pPr>
      <w:r>
        <w:t>El Presidente del Congreso de los Diputados, mediante escrito registrado el día 8 de febrero de 1995, comunicó el Acuerdo de la Mesa de la Cámara de no personarse en el procedimiento y de poner a disposición del Tribunal Constitucional la documentación que pudiera precisar. Mediante escrito registrado el día 15 de febrero siguiente el Presidente del Senado interesó se tuviera por personada a dicha Cámara y ofrecida su colaboración a los efectos del art. 88.1 LOTC.</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El Fiscal General del Estado presentó su escrito de alegaciones con fecha 20 de febrero de 1995, en el que reiteró la argumentación ofrecida en igual trámite y respecto al mismo precepto legal con ocasión de la cuestión de inconstitucionalidad núm. 71/94, recogida en el antecedente 5 a) de esta Sentencia. </w:t>
      </w:r>
    </w:p>
    <w:p w:rsidR="0025129F" w:rsidRDefault="0025129F" w:rsidP="0025129F">
      <w:pPr>
        <w:pStyle w:val="TextoNormal"/>
      </w:pPr>
      <w:r>
        <w:t>En otrosí de su escrito de alegaciones solicitó, de acuerdo con el art. 83 LOTC, la acumulación de ambas cuestiones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12</w:t>
      </w:r>
      <w:r>
        <w:t>. El Abogado del Estado evacuó el trámite de alegaciones conferido mediante escrito registrado el 21 de febrero de 1995, en el que reiteró la argumentación ofrecida en igual trámite y respecto al mismo precepto legal en la cuestión de inconstitucionalidad núm. 71/94, recogida en el antecedente 4 de esta Sentencia.</w:t>
      </w:r>
    </w:p>
    <w:p w:rsidR="0025129F" w:rsidRDefault="0025129F" w:rsidP="0025129F">
      <w:pPr>
        <w:pStyle w:val="TextoNormal"/>
      </w:pPr>
    </w:p>
    <w:p w:rsidR="0025129F" w:rsidRDefault="0025129F" w:rsidP="0025129F">
      <w:pPr>
        <w:pStyle w:val="TextoNormal"/>
      </w:pPr>
      <w:r w:rsidRPr="0025129F">
        <w:rPr>
          <w:rStyle w:val="NumeroAFNegritaCaracter"/>
        </w:rPr>
        <w:t>13</w:t>
      </w:r>
      <w:r>
        <w:t xml:space="preserve">. La Sección Tercera de este Tribunal, por nuevo proveído de 14 de marzo de 1995, acordó, por ser partes en la cuestión de inconstitucionalidad núm. 71/94 el Parlamento y el Consejo Ejecutivo de la Generalidad de Cataluña, oír también a sus representaciones procesales para que, en el plazo de diez días, expusieran lo que consideraran conveniente acerca de la acumulación de la cuestión de inconstitucionalidad núm. 243/95 a la cuestión de inconstitucionalidad núm. 71/94. </w:t>
      </w:r>
    </w:p>
    <w:p w:rsidR="0025129F" w:rsidRDefault="0025129F" w:rsidP="0025129F">
      <w:pPr>
        <w:pStyle w:val="TextoNormal"/>
      </w:pPr>
      <w:r>
        <w:lastRenderedPageBreak/>
        <w:t>Evacuado por las representaciones procesales del Parlamento y del Consejo Ejecutivo de la Generalidad de Cataluña el trámite de alegaciones conferido mediante sendos escritos, registrados ambos el día 24 de marzo de 1995, el Pleno del Tribunal Constitucional, por ATC 156/1995, de 23 de mayo, acordó acumular la cuestión de inconstitucionalidad núm. 243/95 a la cuestión de inconstitucionalidad núm. 71/94.</w:t>
      </w:r>
    </w:p>
    <w:p w:rsidR="0025129F" w:rsidRDefault="0025129F" w:rsidP="0025129F">
      <w:pPr>
        <w:pStyle w:val="TextoNormal"/>
      </w:pPr>
    </w:p>
    <w:p w:rsidR="0025129F" w:rsidRDefault="0025129F" w:rsidP="0025129F">
      <w:pPr>
        <w:pStyle w:val="TextoNormal"/>
      </w:pPr>
      <w:r w:rsidRPr="0025129F">
        <w:rPr>
          <w:rStyle w:val="NumeroAFNegritaCaracter"/>
        </w:rPr>
        <w:t>14</w:t>
      </w:r>
      <w:r>
        <w:t>. Por providencia de 12 de febrero de 2002, se señaló para deliberación y votación de la presente Sentencia el día 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Las presentes cuestiones de inconstitucionalidad acumuladas han sido promovidas por la Sección Primera de la Sala de lo Contencioso-Administrativo del Tribunal Superior de Justicia de Cataluña en relación, la primera, con el art. 92.2 de la Ley 7/1985, de 2 de abril, reguladora de las bases del régimen local (LBRL), y con los arts.  74.4, 93 n), 97.1 d) y 99 de la Ley de Cataluña 17/1985, de 23 de julio, de la función pública de la Administración de la Generalidad, y, la segunda, con el ya citado precepto de la LBRL. La Sala proponente considera que el mencionado precepto de la Ley estatal podría infringir la reserva de Ley que instituye el art. 103.3 CE para la regulación de diversos ámbitos de la función pública, entre los que se encuentra el estatuto de los funcionarios públicos, en tanto que los preceptos cuestionados de la Ley autonómica podrían vulnerar las competencias atribuidas al Estado para regular las condiciones básicas que garanticen la igualdad de todos los españoles en el ejercicio de los derechos y en el cumplimiento de los deberes constitucionales (art. 149.1.1 CE) y, por no respetar la normativa básica estatal, en materia de bases del régimen estatutario de los funcionarios de las Administraciones públicas (art. 149.1.18 CE).</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entrar a examinar la constitucionalidad de los preceptos legales cuestionados es necesario analizar el óbice de procedibilidad que ha formulado el Letrado del Parlamento de Cataluña, según se ha relacionado en los antecedentes, en relación a la primera de las cuestiones de inconstitucionalidad y respecto únicamente a los preceptos de la Ley de Cataluña 17/1985, de 23 de julio, no resultando ocioso señalar en este sentido que, según reiterada doctrina constitucional, la falta de las condiciones procesales exigidas por el art. 35 LOTC para la admisión de las cuestiones de inconstitucionalidad puede ser apreciada, no sólo en el trámite de inadmisión que prevé el art. 37.1 LOTC, sino también en la fase de resolución de las mismas (SSTC 163/1995, de 8 de noviembre, FJ 2; 174/1998, de 23 de julio, FJ 1; 109/2001, de 26 de abril, FJ 3, por todas).</w:t>
      </w:r>
    </w:p>
    <w:p w:rsidR="0025129F" w:rsidRDefault="0025129F" w:rsidP="0025129F">
      <w:pPr>
        <w:pStyle w:val="TextoNormal"/>
      </w:pPr>
      <w:r>
        <w:t xml:space="preserve">El Letrado del Parlamento de Cataluña alega la falta de relevancia de los preceptos legales cuestionados de la Ley autonómica para la resolución del proceso en el que se ha suscitado la cuestión de inconstitucionalidad, con el consiguiente incumplimiento, por tanto, del requisito exigido por los arts. 163 CE y 35.1 LOTC de que la norma con rango de Ley cuestionada sea aplicable al caso y que de su validez dependa el fallo que haya de dictarse en el proceso a quo. Argumenta al respecto que el Decreto de la Generalidad de Cataluña 214/1990, de 30 de julio, por el que se aprueba el Reglamento del personal al servicio de las entidades locales, impugnado en el proceso contencioso- administrativo del que dimana la cuestión de inconstitucionalidad, ha sido dictado en desarrollo de la Ley de Cataluña 8/1987, de 15 de abril, municipal y de régimen local, pero en ningún caso en </w:t>
      </w:r>
      <w:r>
        <w:lastRenderedPageBreak/>
        <w:t>desarrollo de la Ley de Cataluña 17/1985, de 23 de julio, de la función pública de la Administración de la Generalidad, algunos de cuyos preceptos constituyen objeto de la cuestión de inconstitucionalidad.</w:t>
      </w:r>
    </w:p>
    <w:p w:rsidR="0025129F" w:rsidRDefault="0025129F" w:rsidP="0025129F">
      <w:pPr>
        <w:pStyle w:val="TextoNormal"/>
      </w:pPr>
      <w:r>
        <w:t>Es cierto, sigue diciendo el Letrado, que el contenido de algunos preceptos del mencionado Decreto impugnados en el proceso a quo es prácticamente idéntico al de los preceptos legales cuestionados, pero ello no conlleva necesariamente que la validez de aquéllos dependa de la validez de éstos, pues son normas que operan en un ámbito material distinto, ya que, en tanto que aquel Decreto desarrolla la legislación sobre régimen local de Cataluña, la Ley de Cataluña 17/1985, de 23 de julio, ha sido aprobada en ejercicio de la competencia que le corresponde a la Comunidad Autónoma en materia de régimen estatutario de sus funcionarios (art. 10.1.1 EAC), excluyendo expresamente de su ámbito de aplicación al personal al servicio de las corporaciones locales situadas en el territorio de Cataluña, lo que significa, en definitiva, que la aludida identidad de contenidos no condiciona ni supone la aplicabilidad de los preceptos legales cuestionados en el proceso a quo. Abundando en esta línea argumental el Letrado del Parlamento de Cataluña, de una parte, considera que la cláusula de identidad del régimen estatutario de los funcionarios locales y de los funcionarios de la Administración de la Generalidad, en cuanto a la adquisición y pérdida de la condición de funcionario, las situaciones administrativas, los derechos sindicales y de participación, las vacaciones, las licencias y los permisos, los deberes y responsabilidades y el régimen disciplinario, que se establece en el art. 307.1 de la Ley de Cataluña 8/1987, de 15 de abril, municipal y de régimen local, en ningún caso implica que unos y otros funcionarios se rijan por las mismas normas; y, de otra parte, entiende que tampoco la aplicación al proceso a quo de algunos de los preceptos legales cuestionados de la Ley de Cataluña 17/1985, de 23 de abril, puede inferirse a partir de algunos artículos del Real Decreto Legislativo 781/1986, de 18 de abril, por el que se aprueba el texto refundido de las disposiciones legales vigentes en materia de régimen local (LRL), en la medida en que remiten a la legislación sobre función pública de las Comunidades Autónomas, pues, además de que ninguno de ellos tiene la condición de básico, aquella remisión no puede vincular a la legislación autonómica dictada en el ámbito de las competencias asumidas, ni sustituir la voluntad del legislador autonómico, de modo que la remisión contenida en el texto refundido de 1986 sólo puede entenderse efectuada a la legislación dictada por la Comunidad Autónoma en materia de régimen local y a las normas que la desarrollan, pero no a la dictada en materia de función pública de la Administración de la Generalidad, la cual no es aplicable al caso.</w:t>
      </w:r>
    </w:p>
    <w:p w:rsidR="0025129F" w:rsidRDefault="0025129F" w:rsidP="0025129F">
      <w:pPr>
        <w:pStyle w:val="TextoNormal"/>
      </w:pPr>
      <w:r>
        <w:t>Por su parte el Fiscal General del Estado destaca, en relación con la primera de las cuestiones de inconstitucionalidad planteadas, el cumplimiento de los requisitos procesales que arbitran los arts. 163 CE y 35 LOTC, invocando la doctrina constitucional recogida en la STC 183/1992, de 16 de noviembre, respecto al posible obstáculo de procedibilidad que pudiera aducirse de la circunstancia de que constituya el objeto del proceso a quo la impugnación directa de un reglamento y no de una norma con rango de Ley.</w:t>
      </w:r>
    </w:p>
    <w:p w:rsidR="0025129F" w:rsidRDefault="0025129F" w:rsidP="0025129F">
      <w:pPr>
        <w:pStyle w:val="TextoNormal"/>
      </w:pPr>
      <w:r>
        <w:t xml:space="preserve">Para dar una respuesta adecuada a la objeción formulada por el Letrado del Parlamento de Cataluña ha de recordarse que, como se ha dejado constancia en los antecedentes de esta Sentencia, el proceso contencioso-administrativo de origen tiene por objeto una impugnación directa de una disposición general, el Decreto de la Generalidad de Cataluña 214/1990, de 30 de julio, por el que se aprueba el Reglamento del personal al servicio de las entidades locales. La Confederació Sindical de la Comissió Obrera Nacional de Catalunya, demandante en el citado proceso contencioso-administrativo, recurrió, a los efectos que aquí interesa y entre otros preceptos del mencionado Decreto, sus arts. 240 m), 243 d), </w:t>
      </w:r>
      <w:r>
        <w:lastRenderedPageBreak/>
        <w:t>245 b), 267 y 304.1 y 2 por considerar que vulneraban la normativa básica en materia de función pública dictada por el Estado en ejercicio de la competencia que le reserva el art. 149.1.18 CE, destacando la coincidencia entre el contenido de aquellos preceptos reglamentarios y los arts. 74.4, 93 n), 97.1 d) y 99 de la Ley de Cataluña 17/1985, de 23 de julio, de la función pública de la Administración de la Generalidad, motivada dicha coincidencia por la cláusula de identidad de régimen estatutario entre los funcionarios locales y los funcionarios de la Administración de la Generalidad establecida en el art. 307.1 de la Ley de Cataluña 8/1987, de 15 de abril, municipal y de régimen local. La parte demandante en el proceso a quo entendía que la impugnación de aquellos preceptos reglamentarios implicaba la de los citados preceptos legales que reproducían, e instó en consecuencia al órgano judicial a que plantease ante este Tribunal Constitucional cuestión de inconstitucionalidad respecto, entre otros, a tales preceptos legales. Por su parte tanto la representación de la Generalidad como la de la Federación de Municipios de Cataluña, quienes comparecieron como parte demandada y coadyuvante, respectivamente, en el proceso contencioso-administrativo, sostenían en sus escritos de alegaciones que los preceptos reglamentarios señalados era reproducción o encontraban cobertura o amparo en los preceptos legales citados en razón de la cláusula de identidad estatutaria recogida en el art. 307.1 de la Ley de Cataluña 8/1987, de 15 de abril.</w:t>
      </w:r>
    </w:p>
    <w:p w:rsidR="0025129F" w:rsidRDefault="0025129F" w:rsidP="0025129F">
      <w:pPr>
        <w:pStyle w:val="TextoNormal"/>
      </w:pPr>
      <w:r>
        <w:t>La Sala proponente se refiere en el Auto de planteamiento de la primera de las cuestiones de inconstitucionalidad a las alegaciones de la parte demandante sobre la coincidencia entre los indicados preceptos reglamentarios y legales, cuya apreciación confirma, así como manifiesta expresamente que aquellos preceptos reglamentarios son fiel trasunto y cuentan con la cobertura de los preceptos legales cuestionados que reproducen, por lo que concluye que para la decisión del proceso contencioso- administrativo resulta transcendente la validez o no de tales preceptos legales, expresando, a continuación, las razones y motivos en los que se basa su duda de constitucionalidad. Así pues, la Sala razona y justifica que la validez de las normas legales de cuya constitucionalidad duda es determinante de la validez de dichos preceptos reglamentarios, sin que constituya obstáculo para considerar suficientemente exteriorizado el juicio de relevancia la circunstancia de que la resolución judicial no cuente con una motivación extensa al respecto, pues ésta puede entenderse integrada con la remisión que realiza a las alegaciones efectuadas en el proceso contencioso-administrativo (STC 183/1982, de 16 de noviembre, FJ 2).</w:t>
      </w:r>
    </w:p>
    <w:p w:rsidR="0025129F" w:rsidRDefault="0025129F" w:rsidP="0025129F">
      <w:pPr>
        <w:pStyle w:val="TextoNormal"/>
      </w:pPr>
      <w:r>
        <w:t>Es cierto que puede discutirse, como propone el Letrado del Parlamento de Cataluña, en qué medida los mencionados preceptos del Decreto de la Generalidad de Cataluña 214/1990, de 30 de julio, tienen cobertura, total o parcial, inmediata o mediata, en los preceptos legales cuestionados de la Ley de Cataluña 17/1985, de 23 de julio, al tratarse de normas que operan en ámbitos materiales diferentes; pero esa discusión ha de quedar relegada al enjuiciamiento de fondo, dado que, al margen de la misma, cabe apreciar la suficiente conexión entre los preceptos cuestionados de la Ley de Cataluña 17/1985, de 23 de julio, y los preceptos del Decreto de la Generalidad, 214/1990, de 30 de julio, que reproducen su contenido, en virtud de la cláusula de identidad de régimen estatutario entre los funcionarios locales y los de la Administración de la Generalidad establecida en el art.  307.1 de la Ley de Cataluña 8/1987, de 15 de abril, de modo que no cabe descartar a limine que la inconstitucionalidad de los preceptos de la Ley haya de determinar, en consecuencia, la de los del Reglamento que, como ha quedado dicho, son idénticos. El óbice de procedibilidad no puede, pues, prosperar, pues en absoluto resulta evidente que la norma cuestionada no sea, siquiera de modo mediato, aplicable al caso (SSTC 76/1990, de 26 de abril, FJ 11; 337/1994, de 23 de diciembre, FJ 4).</w:t>
      </w:r>
    </w:p>
    <w:p w:rsidR="0025129F" w:rsidRDefault="0025129F" w:rsidP="0025129F">
      <w:pPr>
        <w:pStyle w:val="TextoNormal"/>
      </w:pPr>
      <w:r>
        <w:lastRenderedPageBreak/>
        <w:t>En cualquier caso, como hemos declarado en las últimas resoluciones citadas, “no es preciso, ni pertinente que, correspondiendo al órgano judicial en el ejercicio de la función que constitucionalmente le corresponde (art. 117.3 CE) interpretar los requisitos ordenadores de los procesos propios de su jurisdicción, este Tribunal Constitucional, con la excusa de constatar el carácter de norma decidendi de la norma legal cuestionada, se adentre a sustituir o modificar el criterio del órgano judicial proponente que, aun pudiendo ser discutible, no resulta irrazonable o radicalmente infundado. De este modo —se concluye— siendo claro que la negación de la aplicabilidad de los preceptos legales cuestionados sólo sería posible mediando una interpretación de este Tribunal de signo contrario a la mantenida por el órgano judicial proponente y que esta interpretación, que no necesariamente es la única posible y ajustada a Derecho, sólo al órgano judicial compete en principio efectuarla, debe concluirse que no es apreciable la inexistencia de juicio de relevancia en el Auto de planteamiento de la cuestión de inconstitucionalidad, pues, no siendo rechazable a limine la tesis de la aplicabilidad de los preceptos legales cuestionados, la inconstitucionalidad, en su caso, de éstos tendría incidencia en la resolución del recurso” (STC 203/1998, de 2 de diciembre, FJ 2; ATC 143/1993, de 3 de mayo). Por tanto, cabe apreciar en el presente supuesto, de conformidad con la doctrina reseñada, la suficiente conexión entre los preceptos legales cuestionados de la Ley de Cataluña 17/1985, de 23 de julio, y los preceptos del Decreto de la Generalidad 214/1990, de 30 de julio, que reproducen su contenido y, de este modo, justificada la relevancia de las normas legales cuestionadas, lo que por otra parte está de acuerdo, como se ha señalado antes, con una interpretación flexible del art. 35.2 LOTC, pues, a fin de cuentas, “sólo cuando resulte evidente que la norma legal cuestionada no es, en modo alguno, aplicable al caso, cabe declarar inadmisible una cuestión de inconstitucionalidad” (SSTC 76/1990, de 26 de abril, FJ 1; 337/1994, de 23 de diciembre, FJ 4), lo que ciertamente no ocurre en este supuesto por las razones expuestas.</w:t>
      </w:r>
    </w:p>
    <w:p w:rsidR="0025129F" w:rsidRDefault="0025129F" w:rsidP="0025129F">
      <w:pPr>
        <w:pStyle w:val="TextoNormal"/>
      </w:pPr>
    </w:p>
    <w:p w:rsidR="0025129F" w:rsidRDefault="0025129F" w:rsidP="0025129F">
      <w:pPr>
        <w:pStyle w:val="TextoNormal"/>
      </w:pPr>
      <w:r w:rsidRPr="0025129F">
        <w:rPr>
          <w:rStyle w:val="NumeroAFNegritaCaracter"/>
        </w:rPr>
        <w:t>3</w:t>
      </w:r>
      <w:r>
        <w:t>. Asimismo, antes de entrar a examinar los temas de fondo suscitados, conviene considerar, también, la eventual incidencia que sobre el objeto del primero de los procesos constitucionales han podido producir dos circunstancias posteriores a su iniciación, cuales son, de un lado, la modificación de la Ley de Cataluña 17/1985, de 23 de julio, por la Ley 9/1994, de 15 de julio, de reforma de la legislación relativa a la función pública de la Generalidad y, de otro, la sustitución de ambas Leyes, en lo que aquí interesa, por el Decreto Legislativo de Cataluña 1/1997, de 31 de octubre, por el que se aprueba el texto único de la Ley de la función pública de la Administración de la Generalidad de Cataluña.</w:t>
      </w:r>
    </w:p>
    <w:p w:rsidR="0025129F" w:rsidRDefault="0025129F" w:rsidP="0025129F">
      <w:pPr>
        <w:pStyle w:val="TextoNormal"/>
      </w:pPr>
      <w:r>
        <w:t>Aquella modificación afecta, de una parte, al ámbito de aplicación de la Ley de la función pública de la Administración de la Generalidad, incluyendo en el mismo, frente a lo dispuesto en la Ley de Cataluña 17/1985, de 23 de julio (art. 2.3.b), al personal al servicio de las corporaciones locales situadas en el territorio de la Comunidad Autónoma, en los términos que establece la legislación sobre función pública local (art.  2.2.c), previsión que reproduce el Decreto Legislativo de Cataluña 1/1997, de 31 de octubre (art.  2.2.c). De otra parte, al plazo de prescripción para las faltas leves y sus correspondientes sanciones, que la Ley de Cataluña 9/1994, de 15 de julio, reduce de tres a dos meses (art.  99). Este último, con la modificación reseñada, y los demás preceptos cuestionados de la Ley de Cataluña 17/1985, de 23 de julio, son reproducidos, aunque correspondiéndoles distinta numeración, en el Decreto Legislativo de Cataluña 1/1997, de 31 de octubre.</w:t>
      </w:r>
    </w:p>
    <w:p w:rsidR="0025129F" w:rsidRDefault="0025129F" w:rsidP="0025129F">
      <w:pPr>
        <w:pStyle w:val="TextoNormal"/>
      </w:pPr>
      <w:r>
        <w:t xml:space="preserve">Sobre los efectos de la pérdida de vigencia, modificación o sustitución de una determinada Ley o de un determinado precepto legal, ulterior a su cuestionamiento judicial, en relación con los procesos de las cuestiones de inconstitucionalidad, es doctrina reiterada </w:t>
      </w:r>
      <w:r>
        <w:lastRenderedPageBreak/>
        <w:t>de este Tribunal Constitucional que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 derogación, modificación o sustitución resulte o no aplicable al proceso a quo y de su validez dependa la decisión a adoptar en el mismo (SSTC 199/1987, de 16 de diciembre, FJ 3; 174/1998, de 23 de julio, FJ 1; 273/2000, de 15 de noviembre, FJ 3; 108/2001, de 26 de abril, FJ 4; AATC 438/1990, de 18 de diciembre; 43/1995, de 7 de febrero; 57/1999, de 9 de marzo).</w:t>
      </w:r>
    </w:p>
    <w:p w:rsidR="0025129F" w:rsidRDefault="0025129F" w:rsidP="0025129F">
      <w:pPr>
        <w:pStyle w:val="TextoNormal"/>
      </w:pPr>
      <w:r>
        <w:t>Pues bien, la modificación y posterior sustitución de los preceptos legales cuestionados de la Ley de Cataluña 17/1985, de 23 de julio, no implican la pérdida sobrevenida del objeto de la cuestión de inconstitucionalidad ahora considerada, pues, además de que los mismos en nada alteran, atendiendo al contenido de los nuevos preceptos que sustituyan a los cuestionados, los motivos que, en el Auto de planteamiento, condujeron a la Sala proponente a elevar la cuestión de inconstitucionalidad, el juicio de constitucionalidad que sobre éstos hemos de efectuar se conecta con su aplicación a un concreto proceso contencioso-administrativo en el que el órgano judicial proponente ha de resolver sobre la pretensión ejercitada acerca de la validez o invalidez de los preceptos reglamentarios que los reproducen a la luz de la normativa vigente y aplicable en el concreto momento en el que se suscitó el proceso a quo.</w:t>
      </w:r>
    </w:p>
    <w:p w:rsidR="0025129F" w:rsidRDefault="0025129F" w:rsidP="0025129F">
      <w:pPr>
        <w:pStyle w:val="TextoNormal"/>
      </w:pPr>
    </w:p>
    <w:p w:rsidR="0025129F" w:rsidRDefault="0025129F" w:rsidP="0025129F">
      <w:pPr>
        <w:pStyle w:val="TextoNormal"/>
      </w:pPr>
      <w:r w:rsidRPr="0025129F">
        <w:rPr>
          <w:rStyle w:val="NumeroAFNegritaCaracter"/>
        </w:rPr>
        <w:t>4</w:t>
      </w:r>
      <w:r>
        <w:t>. Despejados los temas procesales abordados en los precedentes fundamentos jurídicos, procede examinar, a continuación, la constitucionalidad de los preceptos legales cuestionados, comenzando, siguiendo el orden establecido en el Auto de planteamiento de la primera de las cuestiones de inconstitucionalidad, por el art. 92.2 LBRL, a cuyo tenor:</w:t>
      </w:r>
    </w:p>
    <w:p w:rsidR="0025129F" w:rsidRDefault="0025129F" w:rsidP="0025129F">
      <w:pPr>
        <w:pStyle w:val="TextoNormal"/>
      </w:pPr>
      <w:r>
        <w:t>“Son funciones públicas, cuyo cumplimiento queda reservado exclusivamente al personal sujeto al estatuto funcionarial, las que impliquen ejercicio de autoridad, las de fe pública y asesoramiento legal preceptivo, las de control y fiscalización interna de la gestión económico-financiera y presupuestaria, las de contabilidad y tesorería y, en general, aquéllas que, en desarrollo de la presente Ley, se reserven a los funcionarios para mejor garantía de la objetividad, imparcialidad e independencia en el ejercicio de la función”.</w:t>
      </w:r>
    </w:p>
    <w:p w:rsidR="0025129F" w:rsidRDefault="0025129F" w:rsidP="0025129F">
      <w:pPr>
        <w:pStyle w:val="TextoNormal"/>
      </w:pPr>
      <w:r>
        <w:t xml:space="preserve">La duda de constitucionalidad de la Sala proponente se circunscribe al inciso final del precepto transcrito —“y, en general, aquéllas que, en desarrollo de la presente Ley, se reserven a los funcionarios para la mejor garantía de la objetividad, imparcialidad e independencia en el ejercicio de la función”—, el cual entiende que puede ser contrario a la reserva de Ley que establece el art. 103.3 CE, a la luz de la interpretación que de la misma ha hecho el Tribunal Constitucional en la STC 99/1987, de 11 de junio, en cuanto comprensiva, entre otros aspectos del estatuto funcionarial, de los modos de provisión de los puestos de trabajo al servicio de las Administraciones públicas, ya que, habiendo optado el constituyente por un régimen estatutario para los servidores públicos (art. 103.3, en relación con el art. 149.1.18, ambos de la CE), habrá de ser también la Ley la que determine en qué casos y con qué condiciones puedan reconocerse otras posibles vías de acceso al servicio de las Administraciones públicas.  En aplicación de la doctrina recogida en la citada Sentencia, la Sala considera que el inciso del precepto legal cuestionado infringe la </w:t>
      </w:r>
      <w:r>
        <w:lastRenderedPageBreak/>
        <w:t>reserva de Ley del art.  103.3 CE, pues el legislador, al actuar como lo ha hecho, ha incumplido la función que le venía impuesta de forma irrenunciable por dicha reserva de Ley, al efectuar en la materia un apoderamiento a la facultad reglamentaria que excede de los límites permitidos para aquélla, dado que los conceptos de “objetividad, imparcialidad e independencia en el ejercicio de la función” no pasan de ser conceptos jurídicos indeterminados, cuya abstracción difícilmente puede representar una vinculación efectiva para la Administración y que, en cualquier caso, no cumplen la exigencia de “una determinación material suficiente” en el ámbito respectivo, siendo todo lo más meras indicaciones formales que no satisfacen las exigencias constitucionales de la reserva de Ley del art. 103.3 CE. En apoyo de su argumentación la Sala compara la nueva redacción que al inciso final del art. 15.1 de la Ley 30/1984, de 2 de agosto, de medidas para la reforma de la función pública, declarado inconstitucional en la STC 99/1987, de 11 de junio, le dio la Ley 23/1988, de 28 de julio, con el cuestionado art. 92.2 LBRL, ya que en aquel precepto se establece un sistema justamente inverso al que se recoge en éste, pues mientras que en el art. 92.2 LBRL se tasan unas pocas funciones que quedan reservadas a los funcionarios públicos, abriéndose la posibilidad de cubrir todos los demás puestos de trabajo con personal laboral, en la nueva redacción del art. 15.1 de la Ley 30/1984, de 2 de agosto, se tasan precisamente los puestos que pueden ser ocupados por personal laboral, reservándose todos los demás a los funcionarios públicos.</w:t>
      </w:r>
    </w:p>
    <w:p w:rsidR="0025129F" w:rsidRDefault="0025129F" w:rsidP="0025129F">
      <w:pPr>
        <w:pStyle w:val="TextoNormal"/>
      </w:pPr>
      <w:r>
        <w:t>El Abogado del Estado entiende, en síntesis, que el art. 92.2 in fine LBRL no incurre en la genérica imprecisión que se imputó al art. 15.1 de la Ley 30/1984, de 2 de agosto, en la STC 99/1987, de 11 de junio, pues los parámetros de objetividad, imparcialidad e independencia son los que han de regir las decisiones de la Administración pública, de manera que el precepto viene a recoger como criterio que los contratados laborales que presten servicios en la Administración no podrán desempeñar funciones de especial responsabilidad en garantía de la objetividad, imparcialidad e independencia, es decir, sólo podrán ocupar puestos de trabajo que no requieran la adopción de decisiones de especial transcendencia, los cuales exclusivamente podrán ser cubiertos por quienes tengan la condición de funcionario. De modo que, aun cuando el precepto en su inciso final no fija por sí solo las condiciones exigibles para ocupar puestos como funcionario o contratado laboral en el seno de la Administración pública, sí establece criterios suficientemente definidos que, junto con otros previstos en la propia Ley, contienen las condiciones y límites materiales sobre las determinaciones concretas que pueden ser adoptadas por la Administración.</w:t>
      </w:r>
    </w:p>
    <w:p w:rsidR="0025129F" w:rsidRDefault="0025129F" w:rsidP="0025129F">
      <w:pPr>
        <w:pStyle w:val="TextoNormal"/>
      </w:pPr>
      <w:r>
        <w:t>Por su parte el Fiscal General del Estado coincide con la Sala proponente en el sentido de que los términos “objetividad, imparcialidad e independencia” del art. 92.2 LBRL no pasan de ser meros conceptos jurídicos indeterminados, insuficientes para determinar qué concretos puestos de trabajo quedan reservados a los funcionarios de la Administración local y cuáles pueden ser encargados al personal contratado o laboral por disposición reglamentaria. En su opinión las referencias a los principios garantizadores de la objetividad, imparcialidad e independencia de la función otorgan un margen excesivamente amplio al desarrollo legal, por lo que entiende, en definitiva, que el art. 92.2 LBRL no respeta suficientemente la reserva de Ley establecida en el art.  103.3 CE.</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El art. 103.3 CE establece, efectivamente, una reserva para la regulación por Ley de diversos ámbitos de la función pública, entre los que se encuentra el estatuto de los funcionarios públicos, sobre la cual el Tribunal Constitucional ha tenido ocasión de pronunciarse en la STC 99/1987, de 11 de junio. De conformidad con la doctrina constitucional recogida en la citada Sentencia, el estatuto de los funcionarios públicos, en virtud de la </w:t>
      </w:r>
      <w:r>
        <w:lastRenderedPageBreak/>
        <w:t>reserva de Ley ex art. 103.3 CE, queda sustraído a la normación reglamentaria, “mas no en el sentido de que las disposiciones del Gobierno no puedan, cuando así lo requiera la Ley, colaborar con ésta para complementar o particularizar, en aspectos instrumentales y con la debida sujeción, la ordenación legal de la materia reservada, pues esta colaboración que, en términos de política legislativa habrá de resultar pertinente en muchos casos, no será contradictoria con el dictado de la Constitución cuando la remisión al reglamento lo sea, estrictamente, para desarrollar y complementar una previa determinación legislativa”. Esto es, “en esta materia habrá de ser sólo la Ley la fuente introductora de las normas reclamadas por la Constitución, con la consecuencia de que la potestad reglamentaria no podrá desplegar aquí innovando o sustituyendo a la disciplina legislativa, no siéndole tampoco posible al legislador disponer de la reserva misma a través de remisiones incondicionadas o carentes de límites”. De modo que, como el Tribunal Constitucional tiene declarado en relación a otros ámbitos materiales reservados por la Constitución a la regulación por Ley, no es imposible en esta materia una intervención auxiliar o complementaria del reglamento, siempre que, como ya se señalara en la STC 83/1984, de 24 de julio (FJ 4), “esas remisiones sean tales que restrinjan efectivamente, el ejercicio de esa potestad (reglamentaria) a un complemento de la regulación legal, que sea indispensable por motivos técnicos o para optimizar el cumplimiento de las finalidades propuestas por la Constitución o por la propia Ley, de modo que no se llegue a una total abdicación por parte del legislador de su facultad para establecer reglas limitativas, transfiriendo esa facultad al titular de la potestad reglamentaria, sin fijar ni siquiera cuáles son los fines u objetivos que la reglamentación ha de perseguir” [STC 99/1987, de 11 de junio, FJ 3 a)].</w:t>
      </w:r>
    </w:p>
    <w:p w:rsidR="0025129F" w:rsidRDefault="0025129F" w:rsidP="0025129F">
      <w:pPr>
        <w:pStyle w:val="TextoNormal"/>
      </w:pPr>
      <w:r>
        <w:t>En cuanto al alcance del enunciado constitucional “estatuto de los funcionarios públicos”, el Tribunal Constitucional ha declarado que se trata de una expresión cuyos contornos no pueden definirse en abstracto y a priori, pero en la que ha de entenderse comprendida,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CE) habrá de ser la Ley la que determine en qué casos y con qué condiciones puedan reconocerse otras posibles vías de acceso al servicio de la Administración pública. De manera que “las normas que disciplinen estos ámbitos serán, en el concepto constitucional, ordenadoras del Estatuto de los funcionarios públicos” y dicha normación, en virtud de la reserva constitucional del art. 103.3 CE, “habrá de ser dispuesta por el legislador en términos tales que, de conformidad con lo antes observado, sea reconocible en la Ley misma una determinación material suficiente de los ámbitos incluidos en el estatuto funcionarial, descartándose, de este modo, todo apoderamiento explícito o implícito a la potestad reglamentaria para sustituir a la norma de Ley en la labor que la Constitución le encomienda” [STC 99/1987, de 11 de junio, FJ 3 c); doctrina que reitera la STC 235/2000, de 5 de octubre, FJ 5].</w:t>
      </w:r>
    </w:p>
    <w:p w:rsidR="0025129F" w:rsidRDefault="0025129F" w:rsidP="0025129F">
      <w:pPr>
        <w:pStyle w:val="TextoNormal"/>
      </w:pPr>
      <w:r>
        <w:t xml:space="preserve">En aplicación de la doctrina constitucional expuesta, el Tribunal Constitucional declaró en la mencionada STC 99/1987, de 11 de junio, la inconstitucionalidad del último inciso del art.  15.1 de la Ley 30/1984, de 2 de agosto, que encomendaba al Ministerio de la Presidencia determinar los requisitos para el desempeño de cada puesto de trabajo, “debiendo especificarse aquellos puestos que, en atención a la naturaleza de su contenido, se reservan a funcionarios públicos”, al considerar, en razón del ámbito objetivo de la reserva de Ley </w:t>
      </w:r>
      <w:r>
        <w:lastRenderedPageBreak/>
        <w:t>del art. 103.3 CE, que “corresponde sólo a la Ley la regulación del modo de provisión de puestos de trabajo al servicio de las Administraciones públicas, pues no otra cosa se desprende de la opción genérica de la Constitución (arts. 103.3 y 149.1.18) a favor de un régimen estatutario para los servidores públicos y de la consiguiente exigencia de que las normas que permitan excepcionar tal previsión constitucional sean dispuestas por el legislador, garantizándose, de este modo, una efectiva sujeción de los órganos administrativos, a la hora de decidir qué puestos concretos de trabajo pueden ser cubiertos por quienes no posean la condición de funcionario”. En opinión del Tribunal Constitucional, en la redacción original de aquel precepto se confería un apoderamiento indeterminado al Ministerio de la Presidencia que entrañaba “una patente conculcación de la reserva de Ley establecida en el art. 103.3 de la Constitución y, de este modo, una plena renuncia del legislador a su tarea de establecer en este punto, ciertamente crucial para la estructura de las Administraciones públicas y de la propia función pública, condiciones y límites materiales sobre las determinaciones concretas que puedan ser adoptadas por los órganos de la Administración”, estimando al respecto una imprecisa referencia que no vinculaba efectivamente la decisión administrativa la mención a “la naturaleza del contenido de los puestos de trabajo” [STC 99/1987, de 11 de junio, FJ 3 d)].</w:t>
      </w:r>
    </w:p>
    <w:p w:rsidR="0025129F" w:rsidRDefault="0025129F" w:rsidP="0025129F">
      <w:pPr>
        <w:pStyle w:val="TextoNormal"/>
      </w:pPr>
    </w:p>
    <w:p w:rsidR="0025129F" w:rsidRDefault="0025129F" w:rsidP="0025129F">
      <w:pPr>
        <w:pStyle w:val="TextoNormal"/>
      </w:pPr>
      <w:r w:rsidRPr="0025129F">
        <w:rPr>
          <w:rStyle w:val="NumeroAFNegritaCaracter"/>
        </w:rPr>
        <w:t>6</w:t>
      </w:r>
      <w:r>
        <w:t>. A la luz de la doctrina constitucional expuesta ha de ser examinada la duda de constitucionalidad que al órgano judicial le suscita el art. 92.2 LBRL. El precepto en cuestión, antes transcrito, enumera en su primer inciso una serie de funciones, que expresamente califica como públicas, cuyo cumplimiento queda reservado exclusivamente al personal sujeto al estatuto funcionarial. Tales funciones son las que impliquen ejercicio de autoridad, las de fe pública y asesoramiento legal preceptivo, las de control y fiscalización interna de la gestión económico-financiera y presupuestaria y las de contabilidad y tesorería, las cuales, de conformidad con lo dispuesto en el art.  92.3 LBRL, son funciones públicas necesarias en todas las corporaciones locales, cuya responsabilidad administrativa está reservada a funcionarios con habilitación de carácter nacional. Este elenco inicial se completa en el segundo inciso del precepto, al que se circunscribe la duda de constitucionalidad, con la consideración de que también son funciones públicas y, por lo tanto, han de ser desempeñadas por personal sujeto al estatuto funcionarial, “en general, aquellas que en desarrollo de la presente Ley, se reserven a los funcionarios para la mejor garantía de la objetividad, imparcialidad o independencia en el ejercicio de la función”.</w:t>
      </w:r>
    </w:p>
    <w:p w:rsidR="0025129F" w:rsidRDefault="0025129F" w:rsidP="0025129F">
      <w:pPr>
        <w:pStyle w:val="TextoNormal"/>
      </w:pPr>
      <w:r>
        <w:t>Cierto es que respecto a las funciones no calificadas en la LBRL como necesarias en todas las corporaciones locales el precepto cuestionado no especifica qué concretas funciones han de ser desempeñadas por personal sujeto al estatuto funcionarial, remitiendo su determinación al desarrollo del mismo. Sin embargo, tal remisión, limitada a la clase de funciones referida, no puede estimarse incondicionada o carente de límites pues en el propio precepto se disponen los criterios o parámetros que han de inspirar en su desarrollo la determinación de las funciones que han de ser desempeñadas por funcionarios públicos, cuales son la garantía de la objetividad, imparcialidad e independencia en el ejercicio de la función pública. Criterios que, aunque genéricos en su formulación, poseen un contenido que es susceptible de ser delimitado en cada caso en concreto en atención a las características de la función o puesto de trabajo del que se trata e imponen, por lo tanto, una efectiva sujeción en la determinación de las concretas funciones, no calificadas como necesarias en todas las corporaciones locales, que han de ser desempeñadas por personal sujeto al estatuto funcionarial.</w:t>
      </w:r>
    </w:p>
    <w:p w:rsidR="0025129F" w:rsidRDefault="0025129F" w:rsidP="0025129F">
      <w:pPr>
        <w:pStyle w:val="TextoNormal"/>
      </w:pPr>
      <w:r>
        <w:lastRenderedPageBreak/>
        <w:t>Es más, considerando en su totalidad el art. 92.2 LBRL, y no aislando, como se hace en el Auto de planteamiento de las cuestiones de inconstitucionalidad, su segundo inciso, el precepto contiene, como señala en su escrito de alegaciones el Abogado del Estado, una determinación material que sería, por sí, suficiente de las funciones que han de ser desempeñadas por funcionarios públicos y, a sensu contrario, de las que no pueden ser encomendadas al personal contratado, el cual no podrá ocupar aquellos puestos de trabajo que impliquen el ejercicio de las funciones enumeradas en el primer inciso del art. 92.2 LBRL, esto es, las que impliquen ejercicio de autoridad y las calificadas como necesarias en todas las corporaciones locales, ni las que se exijan para mejor garantía de objetividad, imparcialidad e independencia en el ejercicio de la función pública.</w:t>
      </w:r>
    </w:p>
    <w:p w:rsidR="0025129F" w:rsidRDefault="0025129F" w:rsidP="0025129F">
      <w:pPr>
        <w:pStyle w:val="TextoNormal"/>
      </w:pPr>
      <w:r>
        <w:t>A lo que hay que añadir que para poder afirmar que se ha vulnerado la reserva de ley ex art.  103.3 CE habría que tomar en consideración, no sólo la legislación básica en él contenida, sino también la de desarrollo.</w:t>
      </w:r>
    </w:p>
    <w:p w:rsidR="0025129F" w:rsidRDefault="0025129F" w:rsidP="0025129F">
      <w:pPr>
        <w:pStyle w:val="TextoNormal"/>
      </w:pPr>
      <w:r>
        <w:t>Hay que concluir, pues, que el art. 92.2 LBRL no vulnera la reserva de Ley que establece el art. 103.3 CE, debiendo ser desestimadas en este extremo las presentes cuestiones de inconstitucionalidad, sin que a tal conclusión pueda oponerse la valoración más positiva que por la Sala proponente le merece la técnica utilizada por el legislador al dar en la Ley 23/1988, de 28 de julio, nueva redacción al art. 15.1 de la Ley 30/1984, de 2 de agosto, que la empleada al redactar el art. 92.2 LBRL, pues el juicio de constitucionalidad no es un juicio de técnica legislativa, ni el Tribunal Constitucional es Juez de la corrección técnica (SSTC 109/1987, de 29 de junio, FJ 3; 341/1993, de 18 de noviembre, FJ 2).</w:t>
      </w:r>
    </w:p>
    <w:p w:rsidR="0025129F" w:rsidRDefault="0025129F" w:rsidP="0025129F">
      <w:pPr>
        <w:pStyle w:val="TextoNormal"/>
      </w:pPr>
    </w:p>
    <w:p w:rsidR="0025129F" w:rsidRDefault="0025129F" w:rsidP="0025129F">
      <w:pPr>
        <w:pStyle w:val="TextoNormal"/>
      </w:pPr>
      <w:r w:rsidRPr="0025129F">
        <w:rPr>
          <w:rStyle w:val="NumeroAFNegritaCaracter"/>
        </w:rPr>
        <w:t>7</w:t>
      </w:r>
      <w:r>
        <w:t>. En relación con los arts. 74.4, 93 n), 97.1 y 99 de la Ley de Cataluña 17/1985, de 23 de julio, de la función pública de la Administración de la Generalidad, referidos todos ellos a diversos aspectos del régimen disciplinario de los funcionarios públicos, la duda de constitucionalidad del órgano judicial proponente de la cuestión de inconstitucionalidad radica, con base en un razonamiento sustancialmente idéntico para todos los preceptos, en la posible infracción del orden constitucional de distribución de competencias. Tal infracción, en su opinión, podría producirse desde una doble vertiente. De un lado, los preceptos legales cuestionados podrían invadir la competencia que le corresponde al Estado ex art. 149.1.18 CE sobre las bases del régimen estatutario de los funcionarios públicos, al no respetar la legislación básica sobre la materia aprobada por el Estado, proponiendo el órgano judicial como parámetro desde el que examinar su constitucionalidad el art. 31.1 de la Ley 30/1984, de 2 de agosto, de medidas para la reforma de la función pública, precepto definido como básico por el art. 1.3 de la citada Ley y que enumera los supuestos de faltas muy graves en materia de función pública; los arts. 47, 48 y 49, que regulan la situación de suspensión provisional de funciones durante la tramitación de un procedimiento judicial o disciplinario; 87.2, referido al plazo de prescripción de las faltas; y 91, que contempla, por razón de las faltas, las sanciones que podrán imponerse, todos ellos del Decreto 315/1964, de 7 de febrero, por el que se aprueba el texto articulado de la Ley de funcionarios civiles del Estado (LFCE); y, en fin, los arts.  146.2, 148.2 y 150.2 LRL 1986, preceptos que en relación con la función pública local regulan, respectivamente, el plazo de prescripción de las faltas, las sanciones que por razón de las mismas pueden imponerse y la suspensión provisional del expedientado. De otro lado, la Sala entiende que los preceptos legales cuestionados, a excepción del art. 93 n), podrían invadir también la competencia que al Estado le corresponde ex art. 149.1.1 CE para regular las condiciones básicas que garanticen la igualdad de todos los españoles en el ejercicio de los derechos y el cumplimiento de los deberes constitucionales, al introducir divergencias irrazonables y despro</w:t>
      </w:r>
      <w:r>
        <w:lastRenderedPageBreak/>
        <w:t>porcionadas en relación con el régimen disciplinario aplicable en otras partes del territorio del Estado.</w:t>
      </w:r>
    </w:p>
    <w:p w:rsidR="0025129F" w:rsidRDefault="0025129F" w:rsidP="0025129F">
      <w:pPr>
        <w:pStyle w:val="TextoNormal"/>
      </w:pPr>
      <w:r>
        <w:t>Del planteamiento en el que se sustenta la duda de constitucionalidad del órgano judicial proponente discrepan los Letrados del Consejo Ejecutivo y del Parlamento de Cataluña en cuanto a la atribución del carácter de normas básicas en materia de función pública a los preceptos de la Ley de funcionarios civiles del Estado y del texto refundido del régimen local mencionados en el Auto de planteamiento de la cuestión de inconstitucionalidad. El Letrado del Parlamento de Cataluña, en relación con los preceptos del Real Decreto Legislativo 781/1986 calificados como básicos, destaca que la cuestión de inconstitucionalidad fue elevada a este Tribunal Constitucional antes de que se dictara la STC 385/1993, de 23 de diciembre, en la que se declaró la inconstitucionalidad del inciso “conforme a su naturaleza” de la Disposición final séptima, apartado primero, letra b) LRL, en cuanto criterio utilizado en la citada disposición final para inferir el carácter básico de los preceptos contenidos en sus Títulos VI y VII, siendo precisamente en dicha disposición en la que la Sala ampara parte de su concepción e identificación de las bases en materia de función pública local. Ambas representaciones procesales, respecto a la calificación como básicos de los preceptos mencionados de la Ley de funcionarios civiles del Estado, entienden que no se corresponde con la noción constitucional de bases elaborada por el Tribunal Constitucional el hecho de poder inferir las bases estatales de la legislación preconstitucional cuando, como acontece en el supuesto que nos ocupa, el legislador postconstitucional ha procedido de manera aparentemente completa mediante el ejercicio de su competencia a dictar las bases sobre una determinada materia, en este caso sobre el régimen estatutario de los funcionarios públicos, salvo que el legislador postconstitucional estatal hubiera definido como básicos la legislación preconstitucional o alguno de sus preceptos. Finalmente el Letrado del Parlamento de Cataluña resalta la contradicción que supone la consideración dual del carácter básico de determinados preceptos del LRL y de la LFCE, sin tener en cuenta la diferencia entre sus textos, con regulaciones que no por parecidas dejan de ser distintas, lo que conlleva, en su opinión, a que la opción entre aquello que es básico o no lo es resulte difuso e indeterminado.</w:t>
      </w:r>
    </w:p>
    <w:p w:rsidR="0025129F" w:rsidRDefault="0025129F" w:rsidP="0025129F">
      <w:pPr>
        <w:pStyle w:val="TextoNormal"/>
      </w:pPr>
      <w:r>
        <w:t>A la luz de los razonamientos recogidos en el Auto de planteamiento que se configuran como presupuesto de la duda de constitucionalidad y de las alegaciones de las representaciones procesales del Consejo Ejecutivo y del Parlamento de Cataluña resulta preciso, antes de examinar la constitucionalidad de cada uno de los preceptos legales cuestionados, referirse al alcance de los títulos competenciales del Estado que, a juicio de la Sala, pueden haber menoscabado dichos preceptos, así como a las competencias asumidas por la Comunidad Autónoma de Cataluña en la materia en la que aquéllos se encuadran, y a la calificación o no como básicos de los preceptos de la Ley de funcionarios civiles del Estado de 1964 y del texto refundido del régimen local de 1986 considerados como tales por el órgano promotor de la cuestión de inconstitucionalidad y su posible operatividad en este caso como parámetro de control.</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En materia de función pública al Estado le corresponde, en virtud de lo establecido en el art. 149.1.18 CE, la competencia exclusiva para establecer las bases del régimen estatutario de los funcionarios públicos, expresión que ha de entenderse referida, como ha tenido ocasión de declarar el Tribunal Constitucional,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(SSTC </w:t>
      </w:r>
      <w:r>
        <w:lastRenderedPageBreak/>
        <w:t>57/1982, de 27 de julio, FJ 12; 25/1983, de 7 de abril, FJ 4; 76/1983, de 5 de agosto, FJ 44; 85/1985, de 10 de julio, FJ 1; 235/1991, de 12 de diciembre, FJ 2; 385/1993, de 23 de diciembre, FJ 8). Por su parte la Comunidad Autónoma de Cataluña ha asumido, en el marco de la legislación básica del Estado, competencia de desarrollo legislativo y ejecución en materia de régimen estatutario de sus funcionarios (art. 10.1.1 EAC), título competencial que abarca a los funcionarios al servicio de la Comunidad Autónoma, y competencia exclusiva, sin perjuicio de lo dispuesto en el art.  149.1.18 CE, en materia de régimen local (art. 9.8 EAC), título competencial de carácter globalizador en cuanto comprensivo de la totalidad de los aspectos que se refieren a la Administración local (STC 233/1999, de 16 de diciembre, FJ 4), incluida, por tanto, la función pública local. De una interpretación conjunta de los mencionados preceptos constitucional y estatutario, se deduce, pues, que al Estado le corresponde el establecimiento de las bases del régimen estatutario de los funcionarios de las Administraciones públicas y a la Comunidad Autónoma de Cataluña, pese a la distinta calificación de los títulos competenciales recogidos en los arts. 9.8 y 10.1.1 EAC, el desarrollo legislativo y la ejecución de las bases de dicho régimen estatutario en lo que se refiere a los funcionarios al servicio de la Comunidad Autónoma y al servicio de las corporaciones locales radicadas en su ámbito territorial.</w:t>
      </w:r>
    </w:p>
    <w:p w:rsidR="0025129F" w:rsidRDefault="0025129F" w:rsidP="0025129F">
      <w:pPr>
        <w:pStyle w:val="TextoNormal"/>
      </w:pPr>
      <w:r>
        <w:t>Por otra parte, en relación con el contenido de la expresión “régimen estatutario de los funcionarios públicos”, empleada por los arts. 103.3 y 149.1.18 CE, el Tribunal Constitucional ha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[SSTC 99/1987, de 11 de junio, FJ 3 c); 56/1990, de 29 de marzo, FJ 19]. Desde la estricta perspectiva competencial este Tribunal Constitucional se ha referido a los diversos contenidos de la expresión “régimen estatutario de los funcionarios públicos”, en la que, al margen de otros posibles extremos que no afectan al caso planteado, ha de incluirse el régimen disciplinario en cuanto constituye uno de los aspectos esenciales de la regulación de su régimen estatutario (STC 235/1991, de 12 de diciembre, FJ 4).</w:t>
      </w:r>
    </w:p>
    <w:p w:rsidR="0025129F" w:rsidRDefault="0025129F" w:rsidP="0025129F">
      <w:pPr>
        <w:pStyle w:val="TextoNormal"/>
      </w:pPr>
      <w:r>
        <w:t>De modo que, a tenor de la distribución de competencias entre el Estado y la Comunidad Autónoma de Cataluña en materia de función pública, corresponde al Estado establecer las bases del régimen disciplinario de los funcionarios públicos y a la Comunidad Autónoma la competencia de desarrollo legislativo y ejecución, de acuerdo con aquella legislación básica, en relación con la función pública autonómica y local.</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Definido el marco constitucional y estatutario de distribución de competencias entre el Estado y la Comunidad Autónoma de Cataluña en materia de función pública y, más en concreto, en materia de régimen disciplinario de los funcionarios públicos, la cuestión que seguidamente hemos de afrontar es la relativa a la calificación como básicos de determinados preceptos de la Ley de funcionarios civiles del Estado de 1964 y del texto refundido del régimen local de 1986 en el Auto de planteamiento de la cuestión de inconstitucionalidad, debiendo dar respuesta, en primer lugar, a la problemática suscitada con ocasión del primero de los textos legales citados por las representaciones procesales del Consejo Ejecutivo y del Parlamento de Cataluña, esto es, a la posibilidad de inferir normas básicas de </w:t>
      </w:r>
      <w:r>
        <w:lastRenderedPageBreak/>
        <w:t>la legislación preconstitucional en una materia en la que el legislador estatal postconstitucional ha procedido a establecer de una manera aparentemente completa, en el ejercicio de sus competencias, las bases de la misma, sin que hubiera declarado básicas aquellas normas preconstitucionales.</w:t>
      </w:r>
    </w:p>
    <w:p w:rsidR="0025129F" w:rsidRDefault="0025129F" w:rsidP="0025129F">
      <w:pPr>
        <w:pStyle w:val="TextoNormal"/>
      </w:pPr>
      <w:r>
        <w:t>Dicha posibilidad de inferir o deducir las bases, principios o criterios básicos de una materia de la legislación preconstitucional vigente fue admitida por el Tribunal Constitucional en la STC 32/1981, de 28 de julio, al suscitarse la cuestión relativa a si, además de la relación lógica que existe entre la legislación básica, en cuanto competencia del Estado, y la legislación de desarrollo, en cuanto competencia de las Comunidades Autónomas, habría de darse también una relación cronológica, de modo que, hasta que el Estado no hubiera dictado la legislación básica sobre una materia, las Comunidades Autónomas con competencias de desarrollo legislativo en la misma no podían ejercer dichas competencias. En la citada Sentencia el Tribunal Constitucional declaró que “la noción de bases o normas básicas ha de ser entendida como una noción material y, en consecuencia, esos principios o criterios básicos, estén o no formulados como tales, son los que racionalmente se deducen de la legislación vigente”, sea ésta “anterior o posterior a la Constitución”.</w:t>
      </w:r>
    </w:p>
    <w:p w:rsidR="0025129F" w:rsidRDefault="0025129F" w:rsidP="0025129F">
      <w:pPr>
        <w:pStyle w:val="TextoNormal"/>
      </w:pPr>
      <w:r>
        <w:t>Pero la cuestión suscitada en este proceso constitucional con la invocación por la Sala proponente del carácter básico de determinados preceptos de la LFCE no es la más genérica, relativa a la posibilidad de inferir de la normativa preconstitucional vigente las bases de una materia determinada en ausencia de una legislación postconstitucional sobre la misma, sino la más específica, referida a si es factible tal inferencia de una norma legal preconstitucional cuando el legislador estatal postconstitucional ha procedido a establecer una regulación aparentemente completa e innovadora de las bases de la materia en cuestión. La noción formal de bases elaborada por la doctrina de este Tribunal Constitucional y la finalidad con ella perseguida de dotar de una determinación cierta y estable a los ámbitos respectivos de ordenación de las materias en las que concurren y se articulan las competencias básicas estatales y las legislativas y reglamentarias autonómicas mal se compadecen con la posibilidad de poder seguir infiriendo bases de las normas legales preconstitucionales cuando el legislador estatal constitucional ha procedido en el ejercicio de la competencia constitucionalmente atribuida a establecer de manera aparentemente completa e innovadora las bases sobre una determinada materia, a menos que declare expresamente la pretendida naturaleza básica de esas normas legales preconstitucionales o dicha naturaleza resulte, sin lugar a dudas, de ser éstas un complemento indispensable de las normas básicas postconstitucionales por deducirse de su propia estructura que no han pretendido agotar la regulación de todos los aspectos de la materia.</w:t>
      </w:r>
    </w:p>
    <w:p w:rsidR="0025129F" w:rsidRDefault="0025129F" w:rsidP="0025129F">
      <w:pPr>
        <w:pStyle w:val="TextoNormal"/>
      </w:pPr>
      <w:r>
        <w:t xml:space="preserve">En modo alguno resulta ocioso recordar al respecto que,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al legislador estatal, quien, respetando aquel orden y estas garantías, goza de una completa libertad para establecer con carácter general las bases de una determinada materia, aceptando o no las que pudieran inferirse de las normas legales preconstitucionales o las fijadas anticipadamente por el Gobierno [SSTC 32/1983, de 28 de abril, FJ 12; 42/1983, de 20 de mayo, FJ 3 a); 76/1983, de 5 de agosto, FJ 19],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De otra parte, la función de control que </w:t>
      </w:r>
      <w:r>
        <w:lastRenderedPageBreak/>
        <w:t>sobre la legislación básica corresponde a este Tribunal Constitucional ha de circunscribirse a revisar la calificación hecha por el legislador estatal postconstitucional de una norma como básica y a decidir si la misma puede ser considerada formal y materialmente como tal, estándole vedado ampliar el alcance y contenido de lo definido inicialmente como básico por el legislador (SSTC 69/1988, de 19 de abril, FJ 5; 141/1993, de 22 de abril, FJ 3).</w:t>
      </w:r>
    </w:p>
    <w:p w:rsidR="0025129F" w:rsidRDefault="0025129F" w:rsidP="0025129F">
      <w:pPr>
        <w:pStyle w:val="TextoNormal"/>
      </w:pPr>
      <w:r>
        <w:t>La respuesta al interrogante planteado, circunscrito únicamente a la posibilidad de inferir bases de normas legales preconstitucionales en el supuesto de que el legislador estatal postconstitucional hubiera procedido a establecer con aparente amplitud e innovación las bases de una determinada materia, no excluye, sin embargo, en razón de la distinta naturaleza y característica de uno y otro tipo de fuente y del carácter general de la labor que emprende el legislador estatal postconstitucional al fijar las bases de la materia, que excepcionalmente puedan considerarse básicas concretas regulaciones contenidas en normas preconstitucionales de rango infralegal compatibles con las mencionadas bases que regulen aspectos parciales de la materia en cuestión y resulten complemento necesario de las mismas. Así, este Tribunal Constitucional, aun siendo preconstitucional, consideró como base del régimen jurídico de los funcionarios públicos, ex art. 149.1.18 CE y en tanto estuvo vigente, la vía de acceso directo al cuerpo de Profesores de EGB que contemplaba el Real Decreto 375/1974, de 7 de febrero, en tanto establecía un modo excepcional de acceso a la función pública docente compatible con las previsiones básicas contenidas al respecto en el art. 19 de la Ley 30/1984, de 2 de agosto, de medidas urgentes para la reforma de la función pública (SSTC 75/1990, de 26 de abril; 86/1990, de 20 de junio).</w:t>
      </w:r>
    </w:p>
    <w:p w:rsidR="0025129F" w:rsidRDefault="0025129F" w:rsidP="0025129F">
      <w:pPr>
        <w:pStyle w:val="TextoNormal"/>
      </w:pPr>
      <w:r>
        <w:t>El legislador estatal postconstitucional ha procedido a regular de manera completa, al menos, aparentemente, las bases del régimen estatutario de los funcionarios públicos.  Dichas bases, aplicables, en lo que ahora interesa, a los funcionarios de todas las Administraciones públicas, sin perjuicio, por tanto, de las previsiones específicas, resulten o no básicas, relativas a concretos regímenes funcionariales, están contenidas, principalmente, en la Ley 30/1984, de 2 de agosto, de medidas para la reforma de la función pública, en la Ley 53/1984, de 26 de diciembre, de incompatibilidades del personal al servicio de las Administraciones públicas y en la Ley 9/1987, de 12 de junio, de órganos de representación, determinación de las condiciones de trabajo y participación del personal al servicio de la Administraciones públicas, así como en las disposiciones legales que las modificaron. Por lo que se refiere, en concreto, al régimen disciplinario de los funcionarios públicos, la Ley 30/1984, de 2 de agosto, cuyo objetivo principal, según se señala en la Exposición de Motivos, es el de “suprimir los obstáculos que una legislación vieja, anterior a la Constitución, opone al desarrollo del Estado autonómico”, contiene un único precepto dedicado a dicha materia, su art. 31, cuyo apartado primero enumera un elenco de faltas tipificadas como muy graves, contemplando en el segundo, en su redacción original, la sanción de deducción proporcional de las retribuciones para las faltas de puntualidad y de asistencia cuando constituyan faltas leves. A ese apartado segundo del art. 31 le dio una nueva redacción el art. 36 de la Ley 31/1991, de 30 de diciembre, de Presupuestos Generales del Estado para 1992, al disponer que la diferencia en el cómputo mensual entre la jornada reglamentaria de trabajo y la efectivamente realizada por el funcionario dará lugar, salvo justificación, a la correspondiente deducción de haberes. Por su parte, el art.  1.3 de la citada Ley declara básico el mencionado art. 31.</w:t>
      </w:r>
    </w:p>
    <w:p w:rsidR="0025129F" w:rsidRDefault="0025129F" w:rsidP="0025129F">
      <w:pPr>
        <w:pStyle w:val="TextoNormal"/>
      </w:pPr>
      <w:r>
        <w:t xml:space="preserve">Así pues, habiendo procedido el legislador postconstitucional a establecer de manera aparentemente completa e innovadora las bases del régimen estatutario de los funcionarios de las Administraciones públicas, definiendo en cuanto al régimen disciplinario como norma básica común a todos ellos el art. 31 de la Ley 30/1984, de 2 de agosto, no cabe </w:t>
      </w:r>
      <w:r>
        <w:lastRenderedPageBreak/>
        <w:t>atribuir, de conformidad con la doctrina antes expuesta, naturaleza básica a los preceptos de la Ley de funcionarios civiles del Estado de 1964 referidos al mencionado régimen disciplinario, al no haber sido declarados expresamente como básicos por el legislador estatal postconstitucional, ni poder inferirse dicho carácter de su posible consideración como complemento necesario de las normas básicas postconstitucionales, al no existir dato alguno que permita deducir de manera cierta y clara que el legislador postconstitucional no haya pretendido agotar la regulación de los aspectos que ha estimado básicos de la materia.</w:t>
      </w:r>
    </w:p>
    <w:p w:rsidR="0025129F" w:rsidRDefault="0025129F" w:rsidP="0025129F">
      <w:pPr>
        <w:pStyle w:val="TextoNormal"/>
      </w:pPr>
    </w:p>
    <w:p w:rsidR="0025129F" w:rsidRDefault="0025129F" w:rsidP="0025129F">
      <w:pPr>
        <w:pStyle w:val="TextoNormal"/>
      </w:pPr>
      <w:r w:rsidRPr="0025129F">
        <w:rPr>
          <w:rStyle w:val="NumeroAFNegritaCaracter"/>
        </w:rPr>
        <w:t>10</w:t>
      </w:r>
      <w:r>
        <w:t>. La Sala proponente de la cuestión de inconstitucionalidad también identifica como preceptos que han de operar como parámetros de control de la constitucionalidad de las normas legales cuestionadas los arts. 146.2, 148 y 150.2 LRL 1986, relativos todos ellos a distintos aspectos del régimen disciplinario de los funcionarios de la Administración local, por considerarlos básicos en aplicación de la Disposición final séptima, apartado primero, letra b), LRL.</w:t>
      </w:r>
    </w:p>
    <w:p w:rsidR="0025129F" w:rsidRDefault="0025129F" w:rsidP="0025129F">
      <w:pPr>
        <w:pStyle w:val="TextoNormal"/>
      </w:pPr>
      <w:r>
        <w:t>Ha de comenzar por señalarse al respecto que el Auto de planteamiento de la cuestión de inconstitucionalidad es de fecha anterior a la STC 385/1993, de 23 de diciembre, en la que se resolvieron los recursos de inconstitucionalidad acumulados interpuestos contra diversos preceptos, entre ellos la mencionada Disposición final séptima, párrafo primero, letra b), LRL 1986. En su redacción original, dicha disposición establecía que, de conformidad con la Disposición transitoria primera LBRL, “en las materias reguladas por los Títulos VI y VII se inferirá el carácter básico de sus preceptos conforme a su naturaleza o según disponga la legislación estatal vigente en aquéllos”.</w:t>
      </w:r>
    </w:p>
    <w:p w:rsidR="0025129F" w:rsidRDefault="0025129F" w:rsidP="0025129F">
      <w:pPr>
        <w:pStyle w:val="TextoNormal"/>
      </w:pPr>
      <w:r>
        <w:t>El Tribunal Constitucional entendió en la referida Sentencia que el inciso “conforme a su naturaleza” constituía una fórmula de determinación del carácter básico de la regulación contenida en los Títulos VI y VII LRL “implícita, inherente y casi inmanente, extraíble por inducción o deducción —inferencia— y, por razón de su naturaleza, resulta claramente incompatible con la constelación de requisitos y principios que sirven para configurar y exteriorizar el carácter básico de cualquier norma”, según una reiterada doctrina constitucional que “exige la calificación expresa de tal carácter básico o, excepcionalmente, que la norma correspondiente posea una estructura de la que pueda inferirse esa condición con naturalidad”. “La frase de la que nos venimos ocupando — continúa la Sentencia— no se ajusta al modelo formal de bases desde el momento en que se difiere su determinación a una actividad hermenéutica, la ‘inferencia natural’ desde el propio contenido de la norma, sin mayor orientación, que resulta así incompatible no sólo con el principio de seguridad jurídica (art. 9.3 CE) en su acepción genérica, sino también en la más específica de dotar de certeza y nitidez al esquema de las competencias estatales y autonómicas para lograr un claro deslinde de unas y otras por medio de la reducción de la indeterminación formal de las normas básicas”.</w:t>
      </w:r>
    </w:p>
    <w:p w:rsidR="0025129F" w:rsidRDefault="0025129F" w:rsidP="0025129F">
      <w:pPr>
        <w:pStyle w:val="TextoNormal"/>
      </w:pPr>
      <w:r>
        <w:t xml:space="preserve">En consecuencia, el Tribunal Constitucional declaró la inconstitucionalidad del inciso “conforme a su naturaleza” de la mencionada Disposición final séptima, apartado primero, letra b), LRL 1986. Por el contrario consideró que su inciso final, “según disponga la legislación vigente en aquéllas”, “no es sino una remisión a otros lugares del ordenamiento jurídico mediante la técnica del reenvío, practicada habitual y pacíficamente para una mayor o mejor economía legislativa”, que contiene una calificación expresa pero indirecta en la determinación de lo básico, por lo que concluyó afirmando que, aunque quizás esta fórmula de reenvío no sea la mejor, sin embargo “no adolece de indeterminación en la calificación de lo básico ni en consecuencia provoca inseguridad jurídica alguna más allá </w:t>
      </w:r>
      <w:r>
        <w:lastRenderedPageBreak/>
        <w:t>de la molestia o dificultad material de localizar los textos legales dispersos o extravagantes”, rechazando, por consiguiente, el reproche de inconstitucionalidad dirigido contra el transcrito inciso de la disposición final séptima, apartado primero, letra b), LRL (FJ 6).</w:t>
      </w:r>
    </w:p>
    <w:p w:rsidR="0025129F" w:rsidRDefault="0025129F" w:rsidP="0025129F">
      <w:pPr>
        <w:pStyle w:val="TextoNormal"/>
      </w:pPr>
      <w:r>
        <w:t>Los preceptos del texto refundido del régimen local de 1986 identificados como básicos en el Auto de planteamiento de la cuestión de inconstitucionalidad —arts. 146.2, 148 y 150.2— se encuentran ubicados en el Capítulo II —“Disposiciones comunes a los funcionarios de carrera”— del Título VII —“Personal al servicio de las Corporaciones Locales” — del referido texto legal, por lo que en aplicación de la Disposición final séptima, apartado primero, letra b), LRL 1986, depurada ya del vicio de inconstitucionalidad del que adolecía su redacción original, su calificación como básicos o no vendrá determinada por lo que “disponga la legislación estatal vigente en aquellas” materias que los mismos regulan. Pues bien, dado que en relación con el régimen disciplinario de los funcionarios públicos, en general, y, en particular, de los funcionarios públicos de las corporaciones locales, el legislador estatal únicamente ha calificado como básico el mencionado art. 31 de la Ley 30/1984, de 2 de agosto, a cuyo contenido antes se ha aludido, sin que ninguna previsión al respecto se contenga en la LBRL, hay que concluir, en virtud de la fórmula recogida para la determinación de lo básico en la Disposición final séptima, apartado primero, letra b), LRL, que no cabe predicar tal naturaleza de los citados arts. 146.2, referido al régimen de prescripción de las faltas disciplinarias, 148, que recoge un catálogo de medidas sancionadoras y su aplicación a las faltas en atención a su gravedad, y 150.2, que contempla la posibilidad de que el órgano competente para acordar la incoación del expediente disciplinario decrete o levante la suspensión provisional del interesado, todos ellos del texto refundido del régimen local de 1986.</w:t>
      </w:r>
    </w:p>
    <w:p w:rsidR="0025129F" w:rsidRDefault="0025129F" w:rsidP="0025129F">
      <w:pPr>
        <w:pStyle w:val="TextoNormal"/>
      </w:pPr>
      <w:r>
        <w:t>En cualquier caso, abstracción hecha de la posible calificación como básicos de los indicados preceptos del texto refundido del régimen local de 1986, existe un obstáculo insalvable para que los mismos puedan operar como canon de control de constitucionalidad de los preceptos cuestionados de la Ley de Cataluña 17/1985, de 23 de julio, de la función pública de la Administración de la Generalidad. En efecto, en modo alguno puede obviarse que la citada Ley ha sido aprobada en el ejercicio de la competencia que a la Comunidad Autónoma le corresponde ex art. 10.1.1 del EAC en materia de régimen estatutario de sus funcionarios, no al amparo de la competencia que el art. 9.8 EAC le atribuye en materia de régimen local, título competencial, como hemos dicho, de carácter globalizador, comprensivo de la totalidad de los aspectos que se refieren a la Administración local (STC 233/1999, de 16 de diciembre, FJ 4), incluida, por lo tanto, su función pública. Así lo ponen de manifiesto, como en su escrito de alegaciones sostienen los Letrados del Consejo Ejecutivo y del Parlamento de Cataluña, de un lado, el objeto de la Ley, definido su art. 1, que no es otro que la ordenación y regulación de la función pública de la Administración de la Generalidad y el establecimiento del régimen estatutario de sus funcionarios y del régimen aplicable al personal restante y, de otro lado, la delimitación de su ámbito de aplicación, del que quedan expresamente excluidos, entre otros y en lo que aquí interesa, el personal al servicio de las corporaciones locales radicadas en el territorio de Cataluña [art. 2.3 b)].</w:t>
      </w:r>
    </w:p>
    <w:p w:rsidR="0025129F" w:rsidRDefault="0025129F" w:rsidP="0025129F">
      <w:pPr>
        <w:pStyle w:val="TextoNormal"/>
      </w:pPr>
      <w:r>
        <w:t>El distinto ámbito material de la Ley de Cataluña 17/1985, de 23 de julio, — función pública de la Administración de la Generalidad— y de los ya reiteradamente mencionados preceptos del texto refundido del régimen local de 1986 —función pública local—, aunque no excluye la relevancia de la constitucionalidad o inconstitucionalidad de los preceptos de la Ley catalana para determinar la de los equivalentes del Decreto de la Generalidad 214/1990, de 30 de julio, como pusimos de manifiesto en el fundamento jurídico 2, impi</w:t>
      </w:r>
      <w:r>
        <w:lastRenderedPageBreak/>
        <w:t>de, sin embargo, la consideración de los preceptos del LRL 1986 como parámetro de control de los cuestionados de la Ley catalana 17/1985. Pues es evidente que, en el ejercicio de la competencia que le confiere el art. 10.1.1 EAC en materia de régimen estatutario de sus funcionarios, la Comunidad Autónoma se encuentra sometida a las bases que dicte el Estado en relación con el régimen estatutario de los funcionarios de todas las Administraciones públicas, pero no a las que, en el ejercicio de esa competencia estatal, resulten o puedan resultar específicas respecto a la función pública local, las cuales únicamente podrán delimitar la competencia de desarrollo legislativo que en materia de función pública local corresponde a la Comunidad Autónoma ex art. 9.8 EAC. En otras palabras, el contraste entre los preceptos del texto refundido del régimen local de 1986 propuestos como parámetros de control por el órgano judicial proponente y los preceptos cuestionados de la Ley de Cataluña 17/1985, de 23 de julio, en ningún caso podrá conllevar la declaración de inconstitucionalidad de estos últimos, al encontrar su respaldo en la competencia atribuida por el Estatuto de Autonomía de Cataluña a la Comunidad Autónoma sobre régimen estatutario de sus funcionarios, la cual no se encuentra limitada por las bases de la función pública local.</w:t>
      </w:r>
    </w:p>
    <w:p w:rsidR="0025129F" w:rsidRDefault="0025129F" w:rsidP="0025129F">
      <w:pPr>
        <w:pStyle w:val="TextoNormal"/>
      </w:pPr>
      <w:r>
        <w:t>Dicha inconstitucionalidad, de todas formas, habría de predicarse de la norma que establece una identidad de régimen estatutario, sin necesidad de entrar a determinar su alcance, entre los funcionarios de la Generalidad de Cataluña y los funcionarios de las corporaciones locales situados en el territorio de la Comunidad Autónoma. Pero esta cláusula de identidad de régimen estatutario no resulta, en el caso que nos ocupa, de los preceptos legales cuestionados, sino del art. 307.1 de la Ley de Cataluña 8/1987, de 15 de abril, municipal y de régimen local, aprobada por la Comunidad Autónoma en el ejercicio de la competencia que en materia de régimen local le atribuye el art. 9.8 EAC (Exposición de Motivos), cuyas previsiones sobre el personal al servicio de las entidades locales situadas en la Comunidad Autónoma desarrolló, en virtud de la autorización contenida en la Disposición final segunda de la citada Ley, el Decreto de la Generalidad 214/1990, de 30 de julio. Mas no es el citado art. 307.1 de la Ley de Cataluña 8/1987, de 15 de abril, el cuestionado por el órgano judicial proponente, sino los ya mencionados arts. 74.4, 93 n) 97.1 d) y 99 de la Ley de Cataluña 17/1985, de 23 de abril, respecto a los cuales, en sí mismos considerados, como se ha dejado de manifiesto, no pueden operar como básicos ni, desde esta perspectiva, como canon de constitucionalidad los preceptos del texto refundido del régimen local de 1986 que se aducen en el Auto de planteamiento de la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11</w:t>
      </w:r>
      <w:r>
        <w:t>. Descartado, por las razones expuestas en los fundamentos jurídicos 9 y 10, el carácter de norma básica de los preceptos de la Ley de funcionarios civiles del Estado de 1964 y del texto refundido del régimen local de 1986 que se citan en el Auto de planteamiento de la cuestión de inconstitucionalidad ha de ser, obviamente, desestimada, en consecuencia, la infracción que, por la posible vulneración de estos preceptos, se les imputa a los preceptos legales cuestionados del orden constitucional de distribución de competencias por invadir la que al Estado corresponde ex art. 149.1.18 CE sobre las bases del régimen estatutario de los funcionarios públicos al transgredir o contradecir sus previsiones lo dispuesto en los mencionados preceptos de la Ley de funcionarios civiles del Estado de 1964 y del texto refundido del régimen local de 1986.</w:t>
      </w:r>
    </w:p>
    <w:p w:rsidR="0025129F" w:rsidRDefault="0025129F" w:rsidP="0025129F">
      <w:pPr>
        <w:pStyle w:val="TextoNormal"/>
      </w:pPr>
    </w:p>
    <w:p w:rsidR="0025129F" w:rsidRDefault="0025129F" w:rsidP="0025129F">
      <w:pPr>
        <w:pStyle w:val="TextoNormal"/>
      </w:pPr>
      <w:r w:rsidRPr="0025129F">
        <w:rPr>
          <w:rStyle w:val="NumeroAFNegritaCaracter"/>
        </w:rPr>
        <w:t>12</w:t>
      </w:r>
      <w:r>
        <w:t xml:space="preserve">. El otro título competencial atribuido al Estado por el art. 149.1 CE que la Sala considera que pueden vulnerar los preceptos cuestionados de la Ley de Cataluña 17/1985, de </w:t>
      </w:r>
      <w:r>
        <w:lastRenderedPageBreak/>
        <w:t>23 de julio, es el relativo a “la regulación de las condiciones básicas que garanticen la igualdad de todos los españoles en el ejercicio de los derechos y en el cumplimiento de los deberes constitucionales” (art. 149.1.1 CE). En este caso, la duda de la Sala se fundamenta en consideraciones que atañen a la posible vulneración del principio de igualdad (art. 14 CE), por más que no llegue en ningún momento a afirmar que los preceptos cuestionados infrinjan el correspondiente precepto de la Constitución.</w:t>
      </w:r>
    </w:p>
    <w:p w:rsidR="0025129F" w:rsidRDefault="0025129F" w:rsidP="0025129F">
      <w:pPr>
        <w:pStyle w:val="TextoNormal"/>
      </w:pPr>
      <w:r>
        <w:t>Frente al inicial entendimiento del título competencial que al Estado atribuye el art.  149.1.1 CE, su naturaleza y alcance han sido precisados por el Tribunal Constitucional en la STC 61/1997, de 20 de marzo (FFJJ 7 y 8), por lo que la referencia a la doctrina constitucional establecida al respecto, reiterada posteriormente en la STC 173/1998, de 23 de julio (FJ 9), resulta insoslayable para determinar cómo ha de articularse esta competencia estatal con las asumidas por las Comunidades Autónomas en sus respectivos Estatutos de Autonomía y, más concretamente, en lo que en este caso interesa, con la competencia de la Comunidad Autónoma de Cataluña en materia de función pública autonómica y local.</w:t>
      </w:r>
    </w:p>
    <w:p w:rsidR="0025129F" w:rsidRDefault="0025129F" w:rsidP="0025129F">
      <w:pPr>
        <w:pStyle w:val="TextoNormal"/>
      </w:pPr>
      <w:r>
        <w:t>La expresión “condiciones básicas” no es sinónima de las locuciones “legislación básica”, “bases” o “normas básicas”, por lo que “la competencia ex art. 149.1.1 CE no se mueve en la lógica de las bases estatales-legislación autonómica de desarrollo”, de forma que “el Estado tiene la competencia exclusiva para incidir sobre los derechos y deberes constitucionales desde una concreta perspectiva, la garantía de la igualdad de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[STC 61/1997, de 20 de marzo, FJ 7 a) y, en el mismo sentido, STC 188/2001, de 24 de septiembre, FJ 4].</w:t>
      </w:r>
    </w:p>
    <w:p w:rsidR="0025129F" w:rsidRDefault="0025129F" w:rsidP="0025129F">
      <w:pPr>
        <w:pStyle w:val="TextoNormal"/>
      </w:pPr>
      <w:r>
        <w:t>Por lo tanto, el título competencial del art. 149.1.1 CE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(STC 173/1998, de 23 de julio, FJ 9).</w:t>
      </w:r>
    </w:p>
    <w:p w:rsidR="0025129F" w:rsidRDefault="0025129F" w:rsidP="0025129F">
      <w:pPr>
        <w:pStyle w:val="TextoNormal"/>
      </w:pPr>
      <w:r>
        <w:t>Por su parte, y en cuanto al principio constitucional de igualdad, en el que se halla evidentemente relacionada la competencia estatal antes descrita, la doctrina de este Tribunal puede expresarse en los términos del FJ 10 de la STC 37/1987, de 26 de marzo: “El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CE,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(en el mismo sentido, SSTC 227/1988, de 9 de julio, FJ 4; 150/1990, de 4 de octubre, FJ 7; 186/1993, de 7 de junio, FJ 3; 319/1993, de 27 de octubre, FJ 5; 173/1998, de 23 de julio, FJ 10; 131/2001, de 7 de junio, FJ 4).</w:t>
      </w:r>
    </w:p>
    <w:p w:rsidR="0025129F" w:rsidRDefault="0025129F" w:rsidP="0025129F">
      <w:pPr>
        <w:pStyle w:val="TextoNormal"/>
      </w:pPr>
      <w:r>
        <w:lastRenderedPageBreak/>
        <w:t>Concretando esa doctrina al ámbito del derecho administrativo sancionador afirmamos en la STC 87/1985, de 16 de julio, FJ 8, lo siguiente:</w:t>
      </w:r>
    </w:p>
    <w:p w:rsidR="0025129F" w:rsidRDefault="0025129F" w:rsidP="0025129F">
      <w:pPr>
        <w:pStyle w:val="TextoNormal"/>
      </w:pPr>
      <w:r>
        <w:t>“El derecho administrativo sancionador creado por las Comunidades Autónomas puede implicar, sin duda, una afectación al ámbito de los derechos fundamentales, pues la previsión de ilícitos administrativos supone siempre una delimitación negativa del ámbito de libre ejercicio del derecho. Tal afectación no implica (Sentencia de 16 de noviembre de 1981, FJ 2) que toda regulación en este extremo sea de exclusiva competencia del Estado. Sin duda que la norma sancionadora autonómica habrá de atenerse a lo dispuesto en el art. 149.1.1 CE, de modo que no podrá introducir tipos ni prever sanciones que difieran, sin fundamento razonable, de los ya recogidos en la normación válida para todo el territorio. Y también es cierto que el procedimiento sancionador habrá de atenerse al ‘administrativo común’, cuya configuración es de exclusiva competencia estatal (art. 149.1.18 CE).  Pero, dentro de estos límites y condiciones, las normas autonómicas podrán desarrollar los principios básicos del ordenamiento sancionador estatal, llegando a modular tipos y sanciones —en el marco ya señalado—, porque esta posibilidad es inseparable de las exigencias de prudencia o de oportunidad, que pueden variar en los distintos ámbitos territoriales”.</w:t>
      </w:r>
    </w:p>
    <w:p w:rsidR="0025129F" w:rsidRDefault="0025129F" w:rsidP="0025129F">
      <w:pPr>
        <w:pStyle w:val="TextoNormal"/>
      </w:pPr>
      <w:r>
        <w:t>Con mayor razón, en este caso, que se desenvuelve en el ámbito disciplinario y afecta sólo, por tanto, a los sometidos a una especial sujeción, ha de admitirse que las Comunidades Autónomas puedan establecer, con fundamento razonable tipos que difieran de los regulados en las normas básicas, siempre que no las contradigan.</w:t>
      </w:r>
    </w:p>
    <w:p w:rsidR="0025129F" w:rsidRDefault="0025129F" w:rsidP="0025129F">
      <w:pPr>
        <w:pStyle w:val="TextoNormal"/>
      </w:pPr>
    </w:p>
    <w:p w:rsidR="0025129F" w:rsidRDefault="0025129F" w:rsidP="0025129F">
      <w:pPr>
        <w:pStyle w:val="TextoNormal"/>
      </w:pPr>
      <w:r w:rsidRPr="0025129F">
        <w:rPr>
          <w:rStyle w:val="NumeroAFNegritaCaracter"/>
        </w:rPr>
        <w:t>13</w:t>
      </w:r>
      <w:r>
        <w:t>. A la luz de la doctrina constitucional expuesta hemos de examinar las concretas dudas de constitucionalidad que a la Sala le suscitan los preceptos cuestionados de la Ley de Cataluña 17/1985, de 23 de julio, de la función pública de la Administración de la Generalidad.</w:t>
      </w:r>
    </w:p>
    <w:p w:rsidR="0025129F" w:rsidRDefault="0025129F" w:rsidP="0025129F">
      <w:pPr>
        <w:pStyle w:val="TextoNormal"/>
      </w:pPr>
      <w:r>
        <w:t>El art. 93 n) de la Ley autonómica tipifica como falta muy grave en el ámbito de la función pública de la Generalidad “causar por negligencia o mala fe daños muy graves en el patrimonio y bienes de la Generalidad”, siendo cuestionada su constitucionalidad por no aparecer recogida dicha conducta en el elenco de faltas muy graves que establece el art.  31.1 de la Ley 30/1984, de 2 de agosto, de medidas para la reforma de la función pública, precepto considerado explícitamente integrante de las bases del régimen estatutario de los funcionarios públicos por su art. 1.3. En opinión de la Sala proponente el legislador autonómico, al añadir un nuevo tipo al catálogo de faltas muy graves del art. 31.1 de la Ley 30/1984, de 2 de agosto, ha infringido el orden constitucional de distribución de competencias al invadir la que le corresponde al Estado ex art. 149.1.18 CE en materia de bases del régimen estatutario de los funcionarios de las Administraciones públicas.</w:t>
      </w:r>
    </w:p>
    <w:p w:rsidR="0025129F" w:rsidRDefault="0025129F" w:rsidP="0025129F">
      <w:pPr>
        <w:pStyle w:val="TextoNormal"/>
      </w:pPr>
      <w:r>
        <w:t>Antes de proceder al análisis de la cuestión es preciso subrayar que aquí, dado que, como acabamos de resaltar, no ha sido cuestionada la cláusula de identidad de régimen estatutario entre los funcionarios autonómicos y locales establecida en el art.  307.1 de la Ley de Cataluña 8/1987, de 15 de abril, el problema a resolver se limita a determinar la medida en que la competencia autonómica de desarrollo del régimen estatutario de sus propios funcionarios, que no es sino una manifestación de las potestades de autoorganización inherentes al concepto mismo de autonomía, ha de entenderse limitada por la regulación básica estatal.</w:t>
      </w:r>
    </w:p>
    <w:p w:rsidR="0025129F" w:rsidRDefault="0025129F" w:rsidP="0025129F">
      <w:pPr>
        <w:pStyle w:val="TextoNormal"/>
      </w:pPr>
      <w:r>
        <w:t xml:space="preserve">Las representaciones procesales del Consejo Ejecutivo y del Parlamento de Cataluña estiman que el planteamiento que subyace en la duda de constitucionalidad del órgano judicial sobre la posibilidad de que el legislador autonómico desarrolle y complemente la normativa básica estatal, vacía de contenido la competencia de desarrollo legislativo y </w:t>
      </w:r>
      <w:r>
        <w:lastRenderedPageBreak/>
        <w:t>ejecución asumida por la Comunidad Autónoma ex art. 10.1.1 EAC en materia de función pública autonómica, pues, aunque el art. 31.1 de la Ley 30/1984, de 2 de agosto, constituye en cuanto norma básica un marco que ha de ser seguido en sus principios y respetado en su contenido, dicho marco no puede entenderse, sin embargo, como una lista cerrada o numerus clausus que impida al legislador autonómico su desarrollo. Tras insistir en que el precepto cuestionado no infringe la normativa básica del Estado, sino que la desarrolla en el ejercicio de la competencia que a la Comunidad Autónoma le atribuye el art. 10.1.1 EAC, el Letrado del Consejo Ejecutivo de la Generalidad argumenta sobre su buena lógica jurídica, al calificarse como falta grave en el art. 94 e) de la Ley de Cataluña 17/1985, de 23 de julio, el hecho de causar por negligencia o mala fe daños graves en la conservación de los locales, del material o de los documentos del servicio, así como sobre la circunstancia de que la conducta cuestionada aparece recogida como falta muy grave en la legislación en materia de función pública de distintas Comunidades Autónomas. A lo que añade el Letrado del Parlamento de Cataluña que la negligencia o mala fe que exige el art. 93 n) de la Ley de Cataluña 17/1985, de 23 de abril, se refiere a la negligencia o mala fe en el desarrollo de las tareas propias del funcionario público, que se hayan presentes en todas las faltas muy graves tipificadas en la legislación básica del Estado.</w:t>
      </w:r>
    </w:p>
    <w:p w:rsidR="0025129F" w:rsidRDefault="0025129F" w:rsidP="0025129F">
      <w:pPr>
        <w:pStyle w:val="TextoNormal"/>
      </w:pPr>
      <w:r>
        <w:t>Como punto de partida para resolver la cuestión suscitada ha de señalarse que no cabe negar, como admiten en sus escritos de alegaciones las representaciones procesales del Consejo Ejecutivo y del Parlamento de Cataluña, el carácter de bases del régimen estatutario de los funcionarios de todas las Administraciones públicas al art. 31.1 de la Ley 30/1984, de 2 de agosto, pues el repertorio de comportamientos que califica como faltas muy graves no persigue otro objetivo que el de lograr, en aras de los intereses generales, una mínima y fundamental homogeneidad en un aspecto sustancial de la función pública, cual es el relativo a su régimen disciplinario [STC 235/1991, de 12 de diciembre, FJ 4 c)], mediante la descripción de conductas típicas que no son sino parte de las normas que enuncian deberes y obligaciones cuyo incumplimiento se tipifica como falta (STC 156/1995, de 26 de octubre, FJ 8) y con las que se persigue garantizar, en definitiva, un adecuado y eficaz desempeño de la función pública.</w:t>
      </w:r>
    </w:p>
    <w:p w:rsidR="0025129F" w:rsidRDefault="0025129F" w:rsidP="0025129F">
      <w:pPr>
        <w:pStyle w:val="TextoNormal"/>
      </w:pPr>
      <w:r>
        <w:t>Ahora bien, como reiteradamente ha declarado este Tribunal Constitucional respecto a la articulación de las bases y su desarrollo como esquema de distribución de competencias entre el Estado y las Comunidades Autónomas, esa regulación normativa uniforme, a la que responde la noción material de norma básica, debe permitir, no obstante, que cada Comunidad Autónoma introduzca en persecución de sus propios intereses las peculiaridades que estime pertinentes dentro del marco competencial que en la materia dibuje el bloque de la constitucionalidad (SSTC 1/1982, de 28 de enero, FJ 1; 44/1982, de 8 de julio, FJ 2; 69/1988, de 19 de abril, FJ 5).</w:t>
      </w:r>
    </w:p>
    <w:p w:rsidR="0025129F" w:rsidRDefault="0025129F" w:rsidP="0025129F">
      <w:pPr>
        <w:pStyle w:val="TextoNormal"/>
      </w:pPr>
      <w:r>
        <w:t>En este sentido ha de recordarse que la potestad sancionadora no constituye un título competencial autónomo (STC 156/1985, de 15 de noviembre, FJ 7) y que las Comunidades Autónomas tienen potestad sancionadora en las materias sustantivas sobre las que ostenten competencias, pudiendo establecer o modular tipos y sanciones en el marco de las normas o principios básicos del Estado, pues tal posibilidad es inseparable de las exigencias de prudencia o de oportunidad que pueden variar en los distintos ámbitos territoriales, debiendo además acomodarse sus disposiciones a las garantías dispuestas en este ámbito del derecho administrativo sancionador (STC 227/1988, de 9 de julio, FJ 29).  De modo que el carácter básico del art. 31.1 de la Ley 30/1984, de 2 de agosto, no excluye o impide la tipificación como faltas muy graves de otras conductas por las Comunidades Autóno</w:t>
      </w:r>
      <w:r>
        <w:lastRenderedPageBreak/>
        <w:t>mas mediante su actividad legiferante en desarrollo de la normativa básica estatal siempre que sean compatibles, no contradigan, reduzcan o cercenen dicha normativa básica.</w:t>
      </w:r>
    </w:p>
    <w:p w:rsidR="0025129F" w:rsidRDefault="0025129F" w:rsidP="0025129F">
      <w:pPr>
        <w:pStyle w:val="TextoNormal"/>
      </w:pPr>
      <w:r>
        <w:t>Pues bien, el art. 93 de la Ley de Cataluña 17/1985, de 23 de julio, reproduce en su integridad el elenco de faltas muy graves recogido en el art. 31.1 de la Ley 30/1984, de 2 de agosto, añadiendo al mismo en su letra n) una conducta que no se encuentra prevista en la legislación estatal. La tipificación de dicha conducta como infracción muy grave, que responde a la finalidad de proteger el patrimonio y los bienes de la Generalidad frente a daños muy graves causados por negligencia o mala fe en el desempeño de la función pública, complementa el catálogo de infracciones muy graves que establece el citado art.  31.1 de la Ley 30/1984, de 2 de agosto, en el ejercicio de la competencia atribuida a la Comunidad Autónoma por el art. 10.1.1 EAC, sin que quepa apreciar incompatibilidad o contradicción alguna entre el precepto legal autonómico y la norma básica estatal, ni con la finalidad que ésta persigue, por lo que en este extremo debe ser desestimada la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14</w:t>
      </w:r>
      <w:r>
        <w:t>. Aunque el Auto de planteamiento de la cuestión de inconstitucionalidad se presenta huérfano de toda argumentación respecto a la posible contradicción del art. 93 n) de la Ley de Cataluña 17/1985, de 23 de julio, con el art. 149.1.1 CE, tampoco puede prosperar la conclusión a la que llega el Fiscal General del Estado sobre su inconstitucionalidad por infringir el citado precepto constitucional al suponer una quiebra del principio de igualdad de los funcionarios, sea cual sea la parte del territorio nacional en el que desempeñen sus funciones. Como ya hemos visto, la ausencia de una monolítica uniformidad jurídica no infringe necesariamente el art. 149.1.1 CE, ya que este precepto no exige “un tratamiento jurídico uniforme de los derechos y deberes de los ciudadanos en todo tipo de materias y en todo el territorio del Estado”, lo que, por otra parte, sería incompatible con la opción por un Estado organizado en la forma establecida en el Título VIII de la Constitución, “sino que, a lo sumo, y por lo que al ejercicio de derechos y al cumplimiento de los deberes se refiere, una igualdad de las posiciones jurídicas fundamentales” (STC 120/1998, de 20 de junio, FJ 4), sin que la misma pueda entenderse quebrada en este caso como consecuencia de la tipificación como falta muy grave de la conducta descrita en el art. 93 n) de la Ley de Cataluña 17/1985, de 23 de julio, que, al no establecer una diferencia que afecte a las posiciones jurídicas fundamentales de los ciudadanos, ni implique privilegios económicos o sociales (STC 97/2001, de 5 de abril, FJ 8), ni suponga una infundada o irrazonable diferencia de trato (STC 87/1985, de 16 julio, FJ 8) tampoco vulnera las exigencias del principio de igualdad.</w:t>
      </w:r>
    </w:p>
    <w:p w:rsidR="0025129F" w:rsidRDefault="0025129F" w:rsidP="0025129F">
      <w:pPr>
        <w:pStyle w:val="TextoNormal"/>
      </w:pPr>
    </w:p>
    <w:p w:rsidR="0025129F" w:rsidRDefault="0025129F" w:rsidP="0025129F">
      <w:pPr>
        <w:pStyle w:val="TextoNormal"/>
      </w:pPr>
      <w:r w:rsidRPr="0025129F">
        <w:rPr>
          <w:rStyle w:val="NumeroAFNegritaCaracter"/>
        </w:rPr>
        <w:t>15</w:t>
      </w:r>
      <w:r>
        <w:t>. Objeto de una consideración conjunta pueden ser los arts. 74.4, 97.1 d) y 99 de la Ley de Cataluña 17/1985, de 23 de julio, dado el idéntico planteamiento en que se sustentan las dudas de constitucionalidad que suscitan a la Sala proponente. El primero de los citados preceptos, en cuanto prevé como medida cautelar, al iniciarse un expediente disciplinario por hechos directamente relacionados con las funciones que tengan encomendadas, que el funcionario pueda ser trasladado de su puesto de trabajo a otro dentro de la misma localidad, se estima que puede ser contrario a los arts. 47, 48 y 49 LFCE y 150.2 LRL, al no aparecer contemplada expresamente dicha medida cautelar en los citados preceptos estatales que la Sala considera como básicos.</w:t>
      </w:r>
    </w:p>
    <w:p w:rsidR="0025129F" w:rsidRDefault="0025129F" w:rsidP="0025129F">
      <w:pPr>
        <w:pStyle w:val="TextoNormal"/>
      </w:pPr>
      <w:r>
        <w:t>Por su parte, el art. 97.1 d), al establecer como sanción que puede imponerse por faltas calificadas como graves la pérdida de uno a tres grados personales, contravendría la legislación básica estatal en materia de función pública, constituida en este caso, según se seña</w:t>
      </w:r>
      <w:r>
        <w:lastRenderedPageBreak/>
        <w:t>la en el Auto de planteamiento de la cuestión, por los arts. 91 LFCE y 148 LRL, preceptos en los que no aparece recogida dicha sanción. Y, en fin, el art. 99 devendría inconstitucional en cuanto dispone para las faltas leves y sus correspondientes sanciones un plazo de prescripción diverso al señalado en los arts. 87.2 LFCE y 146.2 LRL, preceptos también calificados como básicos por la Sala proponente.</w:t>
      </w:r>
    </w:p>
    <w:p w:rsidR="0025129F" w:rsidRDefault="0025129F" w:rsidP="0025129F">
      <w:pPr>
        <w:pStyle w:val="TextoNormal"/>
      </w:pPr>
      <w:r>
        <w:t>Los preceptos citados vulnerarían, junto a la competencia estatal ex art. 149.1.18 CE, que ya hemos analizado, la que para el Estado deriva del art. 149.1.1 CE (regulación de las condiciones básicas que garanticen la igualdad de todos los españoles en el ejercicio de los derechos y en el cumplimiento de los deberes constitucionales), al introducir divergencias sustanciales en relación con el régimen sancionatorio previsto en la legislación estatal, sin que existan o se alcance a descubrir las razones que podrían justificar esta singularidad sancionadora en la legislación autonómica, resultando, en consecuencia, afectado el derecho a la igualdad.</w:t>
      </w:r>
    </w:p>
    <w:p w:rsidR="0025129F" w:rsidRDefault="0025129F" w:rsidP="0025129F">
      <w:pPr>
        <w:pStyle w:val="TextoNormal"/>
      </w:pPr>
      <w:r>
        <w:t>La conclusión no puede ser sino desestimatoria, dado que los preceptos invocados por la Sala no son básicos como dijimos en el fundamento jurídico 11. Por otra parte, como hemos señalado en el fundamento jurídico 12, con cita de la STC 61/1997, de 20 de marzo, FJ 7 a), al referirnos al contenido y alcance del art. 149.1.1 CE, este precepto, ni representa una suerte de prohibición para el legislador autonómico de un trato divergente respecto de la legislación estatal, ni, en conexión con los arts. 14 y 138.2 CE, implica más que una exigencia de una igualdad en las posiciones jurídicas fundamentales, resultando evidente que el contenido de los arts. 74.4, 97.1 d) de la Ley de Cataluña 17/1985, de 23 de julio, en los concretos extremos cuestionados, no afecta en sí mismo considerado a las condiciones básicas, entendidas como contenido primario, facultades elementales y límites esenciales, para asegurar una igualdad de los españoles en el ejercicio de los derechos y en el cumplimiento de los deberes constitucionales. Este razonamiento es aplicable también al plazo de prescripción previsto en el art. 99 pues, frente al carácter genérico del instituto, ha de subrayarse que el plazo sólo es distinto en materia de faltas leves.</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las presentes cuestiones de inconstitucionalidad.</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1" w:name="SENTENCIA_2002_38"/>
      <w:r>
        <w:lastRenderedPageBreak/>
        <w:t>SENTENCIA 38/2002, de 14 de febrero de 2002</w:t>
      </w:r>
    </w:p>
    <w:bookmarkEnd w:id="41"/>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ECLI:ES:TC:2002:38</w:t>
      </w:r>
    </w:p>
    <w:p w:rsidR="0025129F" w:rsidRDefault="0025129F" w:rsidP="0025129F">
      <w:pPr>
        <w:pStyle w:val="SntesisDescriptiva"/>
      </w:pPr>
    </w:p>
    <w:p w:rsidR="0025129F" w:rsidRDefault="0025129F" w:rsidP="0025129F">
      <w:pPr>
        <w:pStyle w:val="SntesisDescriptiva"/>
      </w:pPr>
      <w:r>
        <w:t>Conflictos positivos de competencia 1492/1995 y 3744/1995 (acumulados). Planteados por el Gobierno de la Nación y por el Consejo de Gobierno de la Junta de Andalucía, respecto al Decreto andaluz 418/1994, de 25 de octubre, y la Orden del Ministerio de Agricultura, Pesca y Alimentación de 3 de julio de 1995, sobre el parque natural y la reserva marina de Cabo de Gata-Níjar.</w:t>
      </w:r>
    </w:p>
    <w:p w:rsidR="0025129F" w:rsidRDefault="0025129F" w:rsidP="0025129F">
      <w:pPr>
        <w:pStyle w:val="SntesisDescriptiva"/>
      </w:pPr>
    </w:p>
    <w:p w:rsidR="0025129F" w:rsidRDefault="0025129F" w:rsidP="0025129F">
      <w:pPr>
        <w:pStyle w:val="SntesisAnaltica"/>
      </w:pPr>
      <w:r>
        <w:t>Competencias sobre medio ambiente, pesca marítima y el mar territorial. Delimitación del ámbito de vigencia de varios preceptos autonómicos. Voto particular.</w:t>
      </w:r>
    </w:p>
    <w:p w:rsidR="0025129F" w:rsidRDefault="0025129F" w:rsidP="0025129F">
      <w:pPr>
        <w:pStyle w:val="SntesisAnaltica"/>
      </w:pPr>
    </w:p>
    <w:p w:rsidR="0025129F" w:rsidRDefault="0025129F" w:rsidP="0025129F">
      <w:pPr>
        <w:pStyle w:val="Extracto"/>
      </w:pPr>
      <w:r>
        <w:t>1.</w:t>
      </w:r>
      <w:r>
        <w:tab/>
        <w:t>La comptencia estatal sobre pesca marítima, en el presente caso, ha de prevalecer en caso de colisión con la competencia autonómica para la protección de espacios naturales, sin perjuicio de la necesidad de establecer fórmulas de cooperación [FFJJ 6, 7].</w:t>
      </w:r>
    </w:p>
    <w:p w:rsidR="0025129F" w:rsidRDefault="0025129F" w:rsidP="0025129F">
      <w:pPr>
        <w:pStyle w:val="Extracto"/>
      </w:pPr>
    </w:p>
    <w:p w:rsidR="0025129F" w:rsidRDefault="0025129F" w:rsidP="0025129F">
      <w:pPr>
        <w:pStyle w:val="Extracto"/>
      </w:pPr>
      <w:r>
        <w:t>2.</w:t>
      </w:r>
      <w:r>
        <w:tab/>
        <w:t>Las competencias de la Junta de Andalucía en materia de espacios naturales protegidos no alcanzan, por regla general, al mar territorial, aunque las circunstancias y características específicas del espacio a proteger pueden demandar, en ocasiones excepcionales, que el mismo se extienda en alguna medida sobre el mar territorial, singularmente cuando así venga exigido por la continuidad y unidad de dicho espacio físico [FFJJ 6, 7].</w:t>
      </w:r>
    </w:p>
    <w:p w:rsidR="0025129F" w:rsidRDefault="0025129F" w:rsidP="0025129F">
      <w:pPr>
        <w:pStyle w:val="Extracto"/>
      </w:pPr>
    </w:p>
    <w:p w:rsidR="0025129F" w:rsidRDefault="0025129F" w:rsidP="0025129F">
      <w:pPr>
        <w:pStyle w:val="Extracto"/>
      </w:pPr>
      <w:r>
        <w:t>3.</w:t>
      </w:r>
      <w:r>
        <w:tab/>
        <w:t>Los artículos del Decreto andaluz que contienen las orientaciones generales que persigue el plan de ordenación de los recursos naturales del parque natural, en nada vulneran la competencia estatal de «pesca marítima» en la franja marina a que se ciñe el conflicto [FJ 8 a) y e)].</w:t>
      </w:r>
    </w:p>
    <w:p w:rsidR="0025129F" w:rsidRDefault="0025129F" w:rsidP="0025129F">
      <w:pPr>
        <w:pStyle w:val="Extracto"/>
      </w:pPr>
    </w:p>
    <w:p w:rsidR="0025129F" w:rsidRDefault="0025129F" w:rsidP="0025129F">
      <w:pPr>
        <w:pStyle w:val="Extracto"/>
      </w:pPr>
      <w:r>
        <w:t>4.</w:t>
      </w:r>
      <w:r>
        <w:tab/>
        <w:t>Los preceptos autonómicos que se refieren a los arrecifes artificiales, desconoce y vulnera la competencia estatal en materia de pesca marítima [FJ 8.b].</w:t>
      </w:r>
    </w:p>
    <w:p w:rsidR="0025129F" w:rsidRDefault="0025129F" w:rsidP="0025129F">
      <w:pPr>
        <w:pStyle w:val="Extracto"/>
      </w:pPr>
    </w:p>
    <w:p w:rsidR="0025129F" w:rsidRDefault="0025129F" w:rsidP="0025129F">
      <w:pPr>
        <w:pStyle w:val="Extracto"/>
      </w:pPr>
      <w:r>
        <w:t>5.</w:t>
      </w:r>
      <w:r>
        <w:tab/>
        <w:t>El Catalógo de especies amenazadas de interés especial dentro del ámbito del parque natural, no conlleva la vulneración de la competencia estatal de pesca marítima [FJ 8.d].</w:t>
      </w:r>
    </w:p>
    <w:p w:rsidR="0025129F" w:rsidRDefault="0025129F" w:rsidP="0025129F">
      <w:pPr>
        <w:pStyle w:val="Extracto"/>
      </w:pPr>
    </w:p>
    <w:p w:rsidR="0025129F" w:rsidRDefault="0025129F" w:rsidP="0025129F">
      <w:pPr>
        <w:pStyle w:val="Extracto"/>
      </w:pPr>
      <w:r>
        <w:t>6.</w:t>
      </w:r>
      <w:r>
        <w:tab/>
        <w:t>No conculca la competencia estatal el artículo que regula las instalaciones de acuicultura, competencia exclusiva autonómica [FJ 8 e) y f)].</w:t>
      </w:r>
    </w:p>
    <w:p w:rsidR="0025129F" w:rsidRDefault="0025129F" w:rsidP="0025129F">
      <w:pPr>
        <w:pStyle w:val="Extracto"/>
      </w:pPr>
    </w:p>
    <w:p w:rsidR="0025129F" w:rsidRDefault="0025129F" w:rsidP="0025129F">
      <w:pPr>
        <w:pStyle w:val="Extracto"/>
      </w:pPr>
      <w:r>
        <w:t>7.</w:t>
      </w:r>
      <w:r>
        <w:tab/>
        <w:t>Los artículos que inciden directamente en la regulación de la actividad pesquera, estableciendo limitaciones o prohibiciones, regulando las artes o aparejos, o las especies y tallas, vulneran las competencias del Estado [FJ 8 e) y f)].</w:t>
      </w:r>
    </w:p>
    <w:p w:rsidR="0025129F" w:rsidRDefault="0025129F" w:rsidP="0025129F">
      <w:pPr>
        <w:pStyle w:val="Extracto"/>
      </w:pPr>
    </w:p>
    <w:p w:rsidR="0025129F" w:rsidRDefault="0025129F" w:rsidP="0025129F">
      <w:pPr>
        <w:pStyle w:val="Extracto"/>
      </w:pPr>
      <w:r>
        <w:lastRenderedPageBreak/>
        <w:t>8.</w:t>
      </w:r>
      <w:r>
        <w:tab/>
        <w:t>Nada cabe oponer a que la Comunidad Autónoma de Andalucía elabore un censo de embarcaciones con derecho a ejercer la pesca en el ámbito del parque natural que hayan sido autorizadas para pescar por la Administración del Estado (STC 147/1998) [FJ 8.e].</w:t>
      </w:r>
    </w:p>
    <w:p w:rsidR="0025129F" w:rsidRDefault="0025129F" w:rsidP="0025129F">
      <w:pPr>
        <w:pStyle w:val="Extracto"/>
      </w:pPr>
    </w:p>
    <w:p w:rsidR="0025129F" w:rsidRDefault="0025129F" w:rsidP="0025129F">
      <w:pPr>
        <w:pStyle w:val="Extracto"/>
      </w:pPr>
      <w:r>
        <w:t>9.</w:t>
      </w:r>
      <w:r>
        <w:tab/>
        <w:t>Los preceptos que regulan la «pesca económica» vulneran la competencia estatal sobre pesca marítima, salvo el apartado relativo al anclaje de embarcaciones pesquera y lo relativo al marisqueo [FJ 9].</w:t>
      </w:r>
    </w:p>
    <w:p w:rsidR="0025129F" w:rsidRDefault="0025129F" w:rsidP="0025129F">
      <w:pPr>
        <w:pStyle w:val="Extracto"/>
      </w:pPr>
    </w:p>
    <w:p w:rsidR="0025129F" w:rsidRDefault="0025129F" w:rsidP="0025129F">
      <w:pPr>
        <w:pStyle w:val="Extracto"/>
      </w:pPr>
      <w:r>
        <w:t>10.</w:t>
      </w:r>
      <w:r>
        <w:tab/>
        <w:t>La Orden Ministerial que estableció la reserva marina, en razón a las medidas que integra y al ámbito marino al que se ciñe como consecuencia de la modificación introducida por la Orden posterior, que la limitó a las augas exteriores al aceptar parcialemnte el requerimiento de incompentencia, se incardina en la materia «pesca marítima», atribuida al Estado con carácter exclusivo por el art. 149.1.19 CE [FJ 11].</w:t>
      </w:r>
    </w:p>
    <w:p w:rsidR="0025129F" w:rsidRDefault="0025129F" w:rsidP="0025129F">
      <w:pPr>
        <w:pStyle w:val="Extracto"/>
      </w:pPr>
    </w:p>
    <w:p w:rsidR="0025129F" w:rsidRDefault="0025129F" w:rsidP="0025129F">
      <w:pPr>
        <w:pStyle w:val="Extracto"/>
      </w:pPr>
      <w:r>
        <w:t>11.</w:t>
      </w:r>
      <w:r>
        <w:tab/>
        <w:t>La inclusión de una competencia genérica debe ceder ante la competencia específica (SSTC 71/1982, 192/2000) [FJ 5].</w:t>
      </w:r>
    </w:p>
    <w:p w:rsidR="0025129F" w:rsidRDefault="0025129F" w:rsidP="0025129F">
      <w:pPr>
        <w:pStyle w:val="Extracto"/>
      </w:pPr>
    </w:p>
    <w:p w:rsidR="0025129F" w:rsidRDefault="0025129F" w:rsidP="0025129F">
      <w:pPr>
        <w:pStyle w:val="Extracto"/>
      </w:pPr>
      <w:r>
        <w:t>12.</w:t>
      </w:r>
      <w:r>
        <w:tab/>
        <w:t>La materia de medio ambiente tiene un alcance genérico, tanto en su objeto como en el tipo de protección, respecto de la materia de espacios naturales protegidos (STC 195/1998) [FJ 5].</w:t>
      </w:r>
    </w:p>
    <w:p w:rsidR="0025129F" w:rsidRDefault="0025129F" w:rsidP="0025129F">
      <w:pPr>
        <w:pStyle w:val="Extracto"/>
      </w:pPr>
    </w:p>
    <w:p w:rsidR="0025129F" w:rsidRDefault="0025129F" w:rsidP="0025129F">
      <w:pPr>
        <w:pStyle w:val="Extracto"/>
      </w:pPr>
      <w:r>
        <w:t>13.</w:t>
      </w:r>
      <w:r>
        <w:tab/>
        <w:t>Jurisprudencia constitucional sobre la relación existente entre el territorio autonómico y las competencias de las Comunidades Autónomas, así como sobre las competencias de éstas en la zona marítimo-terrestre y en el mar territorial [FJ 6].</w:t>
      </w:r>
    </w:p>
    <w:p w:rsidR="0025129F" w:rsidRDefault="0025129F" w:rsidP="0025129F">
      <w:pPr>
        <w:pStyle w:val="Extracto"/>
      </w:pPr>
    </w:p>
    <w:p w:rsidR="0025129F" w:rsidRDefault="0025129F" w:rsidP="0025129F">
      <w:pPr>
        <w:pStyle w:val="Extracto"/>
      </w:pPr>
      <w:r>
        <w:t>14.</w:t>
      </w:r>
      <w:r>
        <w:tab/>
        <w:t>En el mar territorial excepcionalmente pueden llegar a ejercerse competencias autonómicas [FJ 6].</w:t>
      </w:r>
    </w:p>
    <w:p w:rsidR="0025129F" w:rsidRDefault="0025129F" w:rsidP="0025129F">
      <w:pPr>
        <w:pStyle w:val="Extracto"/>
      </w:pPr>
    </w:p>
    <w:p w:rsidR="0025129F" w:rsidRDefault="0025129F" w:rsidP="0025129F">
      <w:pPr>
        <w:pStyle w:val="Extracto"/>
      </w:pPr>
      <w:r>
        <w:t>15.</w:t>
      </w:r>
      <w:r>
        <w:tab/>
        <w:t>Para proceder al deslinde entre las distintas materias en las que se distribuyen las competencias del Estado y de las Comunidades Autónomas, es necesario en ocasiones acudir, como criterio interpretativo, a la legislación vigente o derogada (SSTC 56/1989, 9/2001) [FJ 11].</w:t>
      </w:r>
    </w:p>
    <w:p w:rsidR="0025129F" w:rsidRDefault="0025129F" w:rsidP="0025129F">
      <w:pPr>
        <w:pStyle w:val="Extracto"/>
      </w:pPr>
    </w:p>
    <w:p w:rsidR="0025129F" w:rsidRDefault="0025129F" w:rsidP="0025129F">
      <w:pPr>
        <w:pStyle w:val="Extracto"/>
      </w:pPr>
      <w:r>
        <w:t>16.</w:t>
      </w:r>
      <w:r>
        <w:tab/>
        <w:t>En este caso, convierne tener como referencia la legislación comunitaria para aplicar correctamente el esquema interno de distribución competencial (SSTC 102/1995, 13/1998) [FJ 11].</w:t>
      </w:r>
    </w:p>
    <w:p w:rsidR="0025129F" w:rsidRDefault="0025129F" w:rsidP="0025129F">
      <w:pPr>
        <w:pStyle w:val="Extracto"/>
      </w:pPr>
    </w:p>
    <w:p w:rsidR="0025129F" w:rsidRDefault="0025129F" w:rsidP="0025129F">
      <w:pPr>
        <w:pStyle w:val="Extracto"/>
      </w:pPr>
      <w:r>
        <w:t>17.</w:t>
      </w:r>
      <w:r>
        <w:tab/>
        <w:t>No existe una desviación entre el requrimiento de incompetencia y el suplico de la demanda deducida por el Estado [FJ 2].</w:t>
      </w:r>
    </w:p>
    <w:p w:rsidR="0025129F" w:rsidRDefault="0025129F" w:rsidP="0025129F">
      <w:pPr>
        <w:pStyle w:val="Extracto"/>
      </w:pPr>
    </w:p>
    <w:p w:rsidR="0025129F" w:rsidRDefault="0025129F" w:rsidP="0025129F">
      <w:pPr>
        <w:pStyle w:val="Extracto"/>
      </w:pPr>
      <w:r>
        <w:t>18.</w:t>
      </w:r>
      <w:r>
        <w:tab/>
        <w:t>Dado el carácter indisponible de las competencias, con o sin impugnación la competencia no se traslada, por mucho que pueda estar indebidamente ejercida por una de las partes por un período más o menos prolongado (STC 153/1989)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don Roberto García-Calvo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los conflictos positivos de competencia acumulados núms. 1492/95 y 3744/95, planteados, respectivamente, por el Gobierno de la Nación, representado por el Abogado del Estado, y por el Consejo de Gobierno de la Junta de Andalucía, representado por su Letrado don Eduardo Hinojosa Martínez. El primero de los mencionados se dirige contra diversos preceptos del Decreto 418/1994, de 25 de octubre (“Boletín Oficial de la Junta de Andalucía” núm. 203, de 22 de diciembre de 1994), por el que se aprueba el plan de ordenación de los recursos naturales y el plan rector de uso y gestión del parque natural de Cabo de Gata-Níjar. El seguido con el núm. 3744/1995 tiene por objeto la Orden del Ministerio de Agricultura, Pesca y Alimentación de 3 de julio de 1995 (“Boletín Oficial del Estado” núm. 165, de 12 de julio de 1995), por la que se establece la reserva marina de Cabo de Gata-Níjar. Han comparecido y formulado alegaciones el Letrado de la Junta de Andalucía don Eduardo Hinojosa Martínez, así como el Abogado del Estado en la representación que legalmente ostenta. Ha sido Ponente el Presidente don Manuel Jiménez de Parga y Cabrera, quien expresa el parecer del Tribunal.</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ante este Tribunal el día 25 de abril de 1995 el Gobierno de la Nación formaliza conflicto positivo de competencia en relación con el Decreto del Consejo de Gobierno de la Junta de Andalucía 418/1994, en lo atinente a los concretos extremos que a continuación se especifican.</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fundamentación del escrito de formalización del conflicto puede exponerse, en síntesis, del modo que sigue. </w:t>
      </w:r>
    </w:p>
    <w:p w:rsidR="0025129F" w:rsidRDefault="0025129F" w:rsidP="0025129F">
      <w:pPr>
        <w:pStyle w:val="TextoNormal"/>
      </w:pPr>
      <w:r>
        <w:t xml:space="preserve">a) La controversia a que el conflicto deducido se contrae en relación con los siguientes artículos del Decreto 418/1994: 4.1 a), b), c), d), e), f) y g); 18.5. 24.2; 60.1; 137; 138; 139; 140; 142; 145; 147; 148; 151; 152; 153; 154; 156; 254.2 e) y g); 255.1 c), e) y h) y 255.2 e) y f) del Anexo 1, que contiene el plan de ordenación de los recursos naturales del parque natural Cabo de Gata-Níjar; y 45.1,2, 3, 5, 6, 8 y 9; 46.2 y 73 a) y c) del Anexo 2, que alberga las prescripciones referentes al plan rector de uso y gestión del mencionado parque. </w:t>
      </w:r>
    </w:p>
    <w:p w:rsidR="0025129F" w:rsidRDefault="0025129F" w:rsidP="0025129F">
      <w:pPr>
        <w:pStyle w:val="TextoNormal"/>
      </w:pPr>
      <w:r>
        <w:lastRenderedPageBreak/>
        <w:t xml:space="preserve">Asimismo, y con expresa invocación del art. 161.2 CE, se solicita la suspensión de la eficacia de la resolución impugnada. </w:t>
      </w:r>
    </w:p>
    <w:p w:rsidR="0025129F" w:rsidRDefault="0025129F" w:rsidP="0025129F">
      <w:pPr>
        <w:pStyle w:val="TextoNormal"/>
      </w:pPr>
      <w:r>
        <w:t xml:space="preserve">b) El planteamiento del conflicto trae causa, según su promotor, de la afección por la disposición impugnada de la competencia estatal en materia de pesca marítima ex art. 149.1.19 CE, afección que dimana de la extralimitación competencial a que aquélla se hace acreedora, en la medida en que la delimitación territorial cumplida por el Decreto impugnado comprende aguas exteriores (Anexo III: límite este y sur del parque, en tanto que incluye “una franja marina de una milla de anchura, paralela a la línea de costa descrita”), que excede, pues, de la zona marítimo-terrestre y de las correspondientes aguas interiores. </w:t>
      </w:r>
    </w:p>
    <w:p w:rsidR="0025129F" w:rsidRDefault="0025129F" w:rsidP="0025129F">
      <w:pPr>
        <w:pStyle w:val="TextoNormal"/>
      </w:pPr>
      <w:r>
        <w:t xml:space="preserve">Argumento que, expuesto por el Gobierno de la Nación en el oportuno requerimiento de incompetencia, mereció de la Junta de Andalucía, en su contestación a éste, el reproche de fundarse en un rígido entendimiento del componente territorial como soporte del lícito ejercicio de las diferentes competencias, de suerte que, en su sentir, nada obsta a la proyección sobre el mar territorial de las atinentes a la protección del medio ambiente (SSTC 158/1986, de 11 de diciembre, 103/1989, de 8 de junio, 44/1992, de 2 de abril), que, junto con las relativas a los espacios naturales protegidos, deben primar sobre las estatales de pesca marítima. </w:t>
      </w:r>
    </w:p>
    <w:p w:rsidR="0025129F" w:rsidRDefault="0025129F" w:rsidP="0025129F">
      <w:pPr>
        <w:pStyle w:val="TextoNormal"/>
      </w:pPr>
      <w:r>
        <w:t xml:space="preserve">De acuerdo con la lógica avanzada, el Abogado del Estado procede a desgranar los diferentes preceptos a que puede anudarse el vicio competencial a que este conflicto se contrae, desglosando los incardinados en el Anexo I (plan de ordenación de los recursos naturales) de los que comprende el Anexo II (plan rector de uso y gestión) del Decreto 418/1994. </w:t>
      </w:r>
    </w:p>
    <w:p w:rsidR="0025129F" w:rsidRDefault="0025129F" w:rsidP="0025129F">
      <w:pPr>
        <w:pStyle w:val="TextoNormal"/>
      </w:pPr>
      <w:r>
        <w:t xml:space="preserve">c) Así, y por lo que se refiere al Anexo I, la impugnación se dirige a los siguientes consideraciones. </w:t>
      </w:r>
    </w:p>
    <w:p w:rsidR="0025129F" w:rsidRDefault="0025129F" w:rsidP="0025129F">
      <w:pPr>
        <w:pStyle w:val="TextoNormal"/>
      </w:pPr>
      <w:r>
        <w:t xml:space="preserve">—Al art. 4 (“Objetivos”), apartado 1, letras a), b), c), d), f) y g), en cuanto se regula la protección, el mantenimiento, la defensa de los “recursos vivos” y las limitaciones al uso pesquero de las aguas y fondos marinos. </w:t>
      </w:r>
    </w:p>
    <w:p w:rsidR="0025129F" w:rsidRDefault="0025129F" w:rsidP="0025129F">
      <w:pPr>
        <w:pStyle w:val="TextoNormal"/>
      </w:pPr>
      <w:r>
        <w:t xml:space="preserve">—Al art. 18, que regula las construcciones e instalaciones relacionadas con la actividad agraria, pesquera e industrial, en la medida en que su número 5 establece que la instalación de arrecifes artificiales de promoción pública o privada en el ámbito marítimo del parque natural sólo podrá hacerse en las zonas de grado B, requiriéndose en todo caso autorización de la Agencia de Medio Ambiente autonómica. </w:t>
      </w:r>
    </w:p>
    <w:p w:rsidR="0025129F" w:rsidRDefault="0025129F" w:rsidP="0025129F">
      <w:pPr>
        <w:pStyle w:val="TextoNormal"/>
      </w:pPr>
      <w:r>
        <w:t xml:space="preserve">—A los arts. 24.2, que alude a la conservación y mantenimiento de los fondos marinos, y 60.1, con su previsión de especies de interés especial, establecen limitaciones sobre el aprovechamiento de los recursos marinos vivos, cuya regulación compete al Estado, y las instalaciones complementarias para la pesca marítima (arrecifes artificiales). </w:t>
      </w:r>
    </w:p>
    <w:p w:rsidR="0025129F" w:rsidRDefault="0025129F" w:rsidP="0025129F">
      <w:pPr>
        <w:pStyle w:val="TextoNormal"/>
      </w:pPr>
      <w:r>
        <w:t xml:space="preserve">—Del Capítulo X (“De los recursos pesqueros”) del Título III del Anexo I se entresacan los arts. 137.2, que consigna como objetivo sectorial el “asegurar el aprovechamiento sostenido de los recursos pesqueros”; 138, con su alusión a que “en la franja marítima del Parque Natural sólo podrán realizarse actividades pesqueras de carácter artesanal, a excepción de las zonas de Grado A en las que se prohíbe cualquier tipo de pesca marítima y extracción de flora y fauna marinas”; 139, a propósito del censo de las embarcaciones “con derecho a ejercer la pesca en el ámbito del Parque Natural”, de suerte que los permisos de pesca sólo podrán ser concedidos a las embarcaciones censadas; 140, con su reglamentación de las zonas donde se permite la pesca profesional con artes menores o artesanales (redes de enmalle, trampas o nasas, rastros y aparejos de anzuelo), así como el empleo del arte denominado “moruna”, y la prohibición en todo el ámbito del parque natural </w:t>
      </w:r>
      <w:r>
        <w:lastRenderedPageBreak/>
        <w:t xml:space="preserve">de la pesca con artes de arrastre, de cerco y con artes de enmalle fijos o de deriva que no se ajusten a lo establecido en la normativa pesquera vigente. </w:t>
      </w:r>
    </w:p>
    <w:p w:rsidR="0025129F" w:rsidRDefault="0025129F" w:rsidP="0025129F">
      <w:pPr>
        <w:pStyle w:val="TextoNormal"/>
      </w:pPr>
      <w:r>
        <w:t xml:space="preserve">Disposiciones que, en su conjunto, entrañan “una política de gestión de recursos pesqueros”, y que van más allá de la competencia autonómica sobre aguas interiores ex art. 13.18 del Estatuto andaluz. </w:t>
      </w:r>
    </w:p>
    <w:p w:rsidR="0025129F" w:rsidRDefault="0025129F" w:rsidP="0025129F">
      <w:pPr>
        <w:pStyle w:val="TextoNormal"/>
      </w:pPr>
      <w:r>
        <w:t xml:space="preserve">Asimismo se predica la tacha de invasión de las competencias estatales sobre pesca marítima, por atribución de las consignadas a un órgano autonómico, la Agencia de Medio Ambiente, en los siguientes preceptos: el 142, en cuanto prevé que, a instancias de la Agencia de Medio Ambiente, pueda acordarse “la exclusión del aprovechamiento pesquero de cuantos espacios considere necesario, temporal o definitivamente, para la protección, conservación y mejora de los recursos”; el 145, que prohíbe la pesca submarina; el 147, que contempla la eventual suspensión de las prohibiciones a que se refieren los arts. 145 y 146 (recolección de determinados organismos marinos); el 148, que supedita la instalación de cultivos de peces a la autorización expresa de la Agencia del Medio Ambiente; el 151, que igualmente condiciona a la referida autorización “la introducción, traslado y suelta de especies pescables vivas”; el 152, que prevé la implantación en las zonas del grado B del ámbito marino de “arrecifes artificiales como estructuras modulares y barcos con cascos de madera lastrados”; el 153, referido a los tipos y características de los arrecifes artificiales y de sus estructuras modulares; el 154, que limita en el ámbito del parque natural el fondeo de embarcaciones a las de menos de setenta y cinco toneladas; o el 156, que describe las características de los arrecifes artificiales a que deberán sujetarse los que pretendan implantarse. </w:t>
      </w:r>
    </w:p>
    <w:p w:rsidR="0025129F" w:rsidRDefault="0025129F" w:rsidP="0025129F">
      <w:pPr>
        <w:pStyle w:val="TextoNormal"/>
      </w:pPr>
      <w:r>
        <w:t xml:space="preserve">—Los preceptos del Capítulo III (“Regulación del Medio Marino”) del Título VI del Anexo I integran, en el criterio del Gobierno de la Nación, “un plan de ordenación de recursos pesqueros cuyo establecimiento y ejecución corresponde al Estado respecto de aguas exteriores”. Aserto que se fundamenta en el tenor de los criterios de ordenación que para las zonas de protección de grado A tipifica el art. 254 [“la instalación de arrecifes artificiales”, “la pesca deportiva, submarina, desde embarcación o desde tierra, y la comercial, incluso la artesanal”, apartados e) y g) del número 2, en cuanto usos y actividades considerados incompatibles con la protección medioambiental], o los que para las zonas de grado B se incluyen en el art. 255, en cuyo número 1 se hace la relación de los usos y actividades que se juzgan compatibles desde la perspectiva medioambiental [entre otros, según la exposición del Abogado del Estado, los de los apartados c), e) y h)], en tanto que en el número 2 se mencionan los no compatibles con la protección medioambiental [así, la pesca con artes de arrastre y de cerco, y la pesca con artes fijos o de deriva que incumplan la normativa vigente, así como la pesca submarina: apartados e) y f)]. </w:t>
      </w:r>
    </w:p>
    <w:p w:rsidR="0025129F" w:rsidRDefault="0025129F" w:rsidP="0025129F">
      <w:pPr>
        <w:pStyle w:val="TextoNormal"/>
      </w:pPr>
      <w:r>
        <w:t xml:space="preserve">d) Las extralimitaciones competenciales que se anudan al Anexo II del Decreto 418/1994 (plan rector de uso y gestión del parque natural Cabo de Gata-Níjar) se hacen descansar en una frase de su Introducción, en la que se alude a “una franja marina de una milla de anchura que discurre paralela a la línea de costa”, a partir de la cual se desglosan los pertinentes vicios de constitucionalidad. </w:t>
      </w:r>
    </w:p>
    <w:p w:rsidR="0025129F" w:rsidRDefault="0025129F" w:rsidP="0025129F">
      <w:pPr>
        <w:pStyle w:val="TextoNormal"/>
      </w:pPr>
      <w:r>
        <w:t>—Así, en relación con el Capítulo IV (“De los recursos pesqueros”) del Título II, se hacen notar las “importantes restricciones” que alberga el art. 45, cuáles la limitación de las actividades pesqueras que pueden realizarse en el parque natural a las artesanales (apartado 1); la permisión de la pesca a las embarcaciones profesionales pesqueras censadas (apartado 2); la prohibición de la pesca con artes de arrastre y de cerco, así como de la pesca con artes fijas o de deriva, que no se ajusten a la normativa vigente (apartado 3); la limitación del anclaje de embarcaciones (apartado 5); la autorización de la pesca profesio</w:t>
      </w:r>
      <w:r>
        <w:lastRenderedPageBreak/>
        <w:t xml:space="preserve">nal con determinadas artes (apartado 6); la exclusión del aprovechamiento pesquero por la Agencia del Medio Ambiente respecto de las especies (sic: debe ser “los espacios”) que se juzgue oportuno (apartado 8); la veda de las áreas de grado A a la pesca industrial, artesanal y deportiva y a la práctica de actividades acuáticas. </w:t>
      </w:r>
    </w:p>
    <w:p w:rsidR="0025129F" w:rsidRDefault="0025129F" w:rsidP="0025129F">
      <w:pPr>
        <w:pStyle w:val="TextoNormal"/>
      </w:pPr>
      <w:r>
        <w:t xml:space="preserve">Por su parte, y sin distinción de aguas, interiores o exteriores, el art. 46.2 prohíbe la pesca submarina. </w:t>
      </w:r>
    </w:p>
    <w:p w:rsidR="0025129F" w:rsidRDefault="0025129F" w:rsidP="0025129F">
      <w:pPr>
        <w:pStyle w:val="TextoNormal"/>
      </w:pPr>
      <w:r>
        <w:t xml:space="preserve">—El art. 73, integrado en el Título IV (“Directrices para la elaboración de programas básicos de actuación”), regula el programa pesquero, al que compete la evaluación de recursos del parque natural y la ordenación de su explotación. En este sentido, y desde la consideración de la pesca artesanal “como actividad tradicional y recurso económico esencial de determinadas poblaciones” del parque, se establece la prioridad de su explotación por las flotas profesionales locales que faenen con habitualidad probada en la zona [apartado a)], declarando, a su vez, la incompatibilidad en la situación actual de la pesca submarina [apartado c)]. </w:t>
      </w:r>
    </w:p>
    <w:p w:rsidR="0025129F" w:rsidRDefault="0025129F" w:rsidP="0025129F">
      <w:pPr>
        <w:pStyle w:val="TextoNormal"/>
      </w:pPr>
      <w:r>
        <w:t xml:space="preserve">e) Finalmente, y en relación con el Anexo III del Decreto 418/1994 (“Modificación de los límites del parque natural Cabo de Gata-Níjar”), se destaca que el último tramo del límite este-sur “comprende una franja marina de una milla de anchura, paralela a la línea de costa descrita, que coincide aproximadamente con la cota batimétrica de 50 metros”. </w:t>
      </w:r>
    </w:p>
    <w:p w:rsidR="0025129F" w:rsidRDefault="0025129F" w:rsidP="0025129F">
      <w:pPr>
        <w:pStyle w:val="TextoNormal"/>
      </w:pPr>
      <w:r>
        <w:t xml:space="preserve">f) La impugnación se fundamenta, según arriba se indicó, en la denunciada extralimitación del ámbito territorial en el que ejerce la Comunidad Autónoma de Andalucía sus competencias en materia de medio ambiente y pesca en aguas interiores. En este sentido entiende el Abogado del Estado, de un lado, que las competencias autonómicas han de ejercerse dentro del ámbito territorial de la Comunidad Autónoma (art. 9 del Estatuto andaluz), que comprende la zona marítimo-terrestre (STC 77/1984, FJ 3), mas no el mar territorial [STC 149/1991, de 4 de julio, FJ 7 A) h)]; y, de otro, que, a tenor de la jurisprudencia constitucional sobre el alcance que reviste el título “pesca marítima” ex art. 149.1.19 CE (SSTC 147/1991, de 4 de julio,. 44/1992, 57/1992, de 9 de abril, 149/1992, de 19 de octubre), no es lícito, como pretenden los preceptos cuestionados, compartimentar el mar territorial español a fin de regular en una parte de él la actividad extractiva desconociendo la doctrina constitucional referenciada. </w:t>
      </w:r>
    </w:p>
    <w:p w:rsidR="0025129F" w:rsidRDefault="0025129F" w:rsidP="0025129F">
      <w:pPr>
        <w:pStyle w:val="TextoNormal"/>
      </w:pPr>
      <w:r>
        <w:t xml:space="preserve">Como desarrollo de su argumentación pasa el Abogado del Estado a refutar las razones dadas por la Junta de Andalucía para no atender el requerimiento de incompetencia en su momento formulado por el Gobierno. Y, así, estima que no cabe extender a la competencia sobre medio ambiente la incidencia que otros títulos competenciales autonómicos, como los de “acuicultura”, “marisqueo” y “ordenación del sector pesquero”, tienen en el mar territorial, como pone de relieve la STC 149/1991 [FJ 7 A) h)] a propósito de una competencia medioambiental como la de vertidos, y respecto de la que, se dice, se rechazó que su ejercicio por las Comunidades Autónomas comprendiera los vertidos desde el propio mar, al tiempo que se limitaban los realizados desde tierra. </w:t>
      </w:r>
    </w:p>
    <w:p w:rsidR="0025129F" w:rsidRDefault="0025129F" w:rsidP="0025129F">
      <w:pPr>
        <w:pStyle w:val="TextoNormal"/>
      </w:pPr>
      <w:r>
        <w:t xml:space="preserve">En esta tesitura, prosigue, no puede admitirse que las competencias autonómicas sobre “medio ambiente” y “espacios naturales protegidos” prevalezcan sobre la exclusiva del Estado acerca de la pesca marítima, menos aún cuando aquéllas pretenden desarrollarse sobre el mar territorial, pues, de acuerdo con la jurisprudencia constitucional que se cita en el escrito de contestación al requerimiento (SSTC 64/1982, de 4 de noviembre, 69/1982, de 23 de noviembre, 71/1982, de 30 de noviembre, 77/1984, de 3 de julio, 56/1989, de 16 de marzo, 170/1989, de 19 de octubre, 147/1991, de 4 de julio), la concurrencia de títulos competenciales estatales y autonómicos ha de efectuarse en términos de armonización, no de prevalencia, y ello siempre que la competencia autonómica, cuando incida sobre un </w:t>
      </w:r>
      <w:r>
        <w:lastRenderedPageBreak/>
        <w:t xml:space="preserve">mismo espacio físico, no interfiera con el ejercicio de la competencia estatal (STC 77/1984, FJ 2). </w:t>
      </w:r>
    </w:p>
    <w:p w:rsidR="0025129F" w:rsidRDefault="0025129F" w:rsidP="0025129F">
      <w:pPr>
        <w:pStyle w:val="TextoNormal"/>
      </w:pPr>
      <w:r>
        <w:t>Más aún, la traída a colación por la Junta de Andalucía de las SSTC 56/1989, sobre la pesca de coral, y 147/1991, sobre la de cerco, pone de relieve que nos hallamos en el genuino ámbito de la “pesca marítima”, y no en el de la “ordenación del sector pesquero” (STC 44/1992, FJ 2), en relación con el que, en puridad, debe hablarse de una competencia compartida (STC 149/1992, FJ 2), de modo que el título que respecto de esta última ostenta la Junta de Andalucía (art. 15.1.6 EAAnd) no autoriza el dictado de una normativa como la aquí discutida, cuya anulación, en consecuencia, es solicitada, junto con la pertinente suspensión, por el Abogado del Estado.</w:t>
      </w:r>
    </w:p>
    <w:p w:rsidR="0025129F" w:rsidRDefault="0025129F" w:rsidP="0025129F">
      <w:pPr>
        <w:pStyle w:val="TextoNormal"/>
      </w:pPr>
    </w:p>
    <w:p w:rsidR="0025129F" w:rsidRDefault="0025129F" w:rsidP="0025129F">
      <w:pPr>
        <w:pStyle w:val="TextoNormal"/>
      </w:pPr>
      <w:r w:rsidRPr="0025129F">
        <w:rPr>
          <w:rStyle w:val="NumeroAFNegritaCaracter"/>
        </w:rPr>
        <w:t>3</w:t>
      </w:r>
      <w:r>
        <w:t>. Por Auto de la Sección Segunda de 9 de mayo de 1995 se acuerda: la admisión a trámite del conflicto positivo de competencia núm. 1492/95; dar traslado de la demanda al Gobierno de la Junta de Andalucía, por conducto de su Presidente, para que, en el plazo de veinte días y bajo la representación procesal que determina el art. 82.2 LOTC, presente cuantas alegaciones y documentos considere convenientes; comunicar la incoación del conflicto a las Salas de lo Contencioso-Administrativo, con sede en Sevilla, Granada y Málaga, del Tribunal Superior de Justicia de Andalucía, por si ante las mismas estuviera impugnado o se impugnare el Decreto objeto del conflicto, a fin de que en su caso se suspenda el curso del proceso hasta la decisión de aquél, según previene el art. 61.2 LOTC; tener por invocado por parte del Gobierno el art. 161.2 CE, circunstancia que, según dispone el art. 64.2 LOTC, produce la suspensión de la vigencia de los preceptos impugnados desde la fecha de interposición del conflicto, el día 25 de abril de 1995, lo que se comunicará al Gobierno de la Junta de Andalucía; publicar la incoación del conflicto y de la suspensión decretada en el “Boletín Oficial del Estado” y en el “Boletín Oficial de la Junta de Andalucía”.</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El día 9 de junio de 1995 tienen entrada en este Tribunal las alegaciones de la Junta de Andalucía, en cuyo suplico se solicita la declaración de improcedencia del conflicto y, subsidiariamente, la de titularidad autonómica de la competencia controvertida, así como el levantamiento de la suspensión acordada. A este escrito se acompañan dos informes de la Consejería del Medio Ambiente de la Junta de Andalucía (el primero, desglosado en una Memoria justificativa y un Resumen), uno acerca de la necesidad de una gestión medioambiental conjunta de los espacios terrestre y marino del parque natural Cabo de Gata-Níjar, y el otro sobre las razones que avalan el levantamiento de la suspensión del Decreto autonómico. </w:t>
      </w:r>
    </w:p>
    <w:p w:rsidR="0025129F" w:rsidRDefault="0025129F" w:rsidP="0025129F">
      <w:pPr>
        <w:pStyle w:val="TextoNormal"/>
      </w:pPr>
      <w:r>
        <w:t xml:space="preserve">a) Constata en primer lugar el Letrado de la Junta de Andalucía la, en su opinión, desviación producida entre el requerimiento de incompetencia y el suplico del escrito que articula la demanda conflictual, en la medida en que aquél instaba el establecimiento de “una nueva delimitación del límite este y sur del Parque Natural”, o, con carácter subsidiario, la derogación de los preceptos del Decreto 418/1994 impugnados, en tanto que la demanda presentada ante el Tribunal Constitucional, amén de recabar la titularidad de la competencia controvertida, sólo alude a la anulación de los citados preceptos, integrantes de los Anexos I y II del referido Decreto, mas sin extender la pretensión anulatoria al extremo, consignado en el Anexo III, relativo a la delimitación del parque natural en el límite este-sur. Desviación a la que, se insiste, no es óbice la mención en el fundamento I (sic: debe ser II) de la argumentación de la demanda conflictual acerca de la “extralimitación </w:t>
      </w:r>
      <w:r>
        <w:lastRenderedPageBreak/>
        <w:t xml:space="preserve">del ámbito territorial en el que ejerce la Comunidad Autónoma sus competencias en materia de medio ambiente y pesca”. </w:t>
      </w:r>
    </w:p>
    <w:p w:rsidR="0025129F" w:rsidRDefault="0025129F" w:rsidP="0025129F">
      <w:pPr>
        <w:pStyle w:val="TextoNormal"/>
      </w:pPr>
      <w:r>
        <w:t xml:space="preserve">Asimismo se cuestiona la idoneidad del objeto del conflicto, que es tildado de meramente preventivo (STC 172/1992, de 29 de octubre, FJ 2), pues, admitida a efectos dialécticos la eventual incidencia en la competencia estatal sobre pesca marítima de los preceptos recurridos, una interpretación de éstos conforme con las exigencias del orden constitucional y estatutario de reparto de competencias debiera conducir en buena lógica a circunscribir el ámbito territorial a que aquéllos se refieren a las “aguas interiores”, en relación con las que la Junta de Andalucía sí ostenta competencias en materia de pesca. Conclusión que el Letrado de la Junta hace derivar de la no impugnación frontal de la delimitación del parque natural por lo que hace a su límite marino, según aquél por razón del no cuestionamiento en su momento de la Ley andaluza 2/1989, que ya contenía la referida delimitación. </w:t>
      </w:r>
    </w:p>
    <w:p w:rsidR="0025129F" w:rsidRDefault="0025129F" w:rsidP="0025129F">
      <w:pPr>
        <w:pStyle w:val="TextoNormal"/>
      </w:pPr>
      <w:r>
        <w:t xml:space="preserve">b) La desviación arriba aludida trae causa, según el escrito que ahora se sintetiza, del implícito reconocimiento por el Estado, que se desprende de la no impugnación de la Ley andaluza 2/1989, del alcance espacial de las competencias autonómicas, tal y como se ha concretado en la delimitación del parque natural Cabo de Gata-Níjar, de modo que, en esta tesitura, y ante la inexistencia de un título estatal sobre espacios naturales protegidos en el mar territorial, no es extraño que el cuestionamiento de los preceptos impugnados se haga descansar en el único título que el Estado puede exhibir, el de pesca marítima ex art. 149.1.19 CE. </w:t>
      </w:r>
    </w:p>
    <w:p w:rsidR="0025129F" w:rsidRDefault="0025129F" w:rsidP="0025129F">
      <w:pPr>
        <w:pStyle w:val="TextoNormal"/>
      </w:pPr>
      <w:r>
        <w:t xml:space="preserve">En este sentido la argumentación desarrollada se endereza a mostrar cómo el principio de territorialidad (art. 9 EAAnd) no es obstáculo a la denominada “proyección exterior” del ejercicio de las competencias, tal y como pone de relieve la propia jurisprudencia constitucional [STC 149/1991, FJ 7 A) h), a propósito de la competencia autonómica sobre vertidos], así como la imbricación del Decreto cuestionado en un haz competencial que va más allá del atinente a la protección medioambiental. </w:t>
      </w:r>
    </w:p>
    <w:p w:rsidR="0025129F" w:rsidRDefault="0025129F" w:rsidP="0025129F">
      <w:pPr>
        <w:pStyle w:val="TextoNormal"/>
      </w:pPr>
      <w:r>
        <w:t xml:space="preserve">Y, así, se aduce que la virtualidad del territorio, como ámbito al que se extiende el ejercicio de las propias competencias, resulta mediatizada o modulada cuando “nos hallamos ante espacios que, incluso, se encuentran excluidos de la soberanía del Estado”, como ocurre con el mar territorial (art. 1 de la Ley 10/1977, que reproduce en lo sustancial el art. 1 de la Convención de Ginebra sobre el mar territorial y la zona contigua de 1958; art. 1 de la Ley de navegación aérea de 1960, que distingue entre territorio español y mar territorial). El mar territorial, de acuerdo con este planteamiento, “simplemente, no es territorio”, de donde “la argumentación del Gobierno del Estado resulta insostenible, en cuanto que se funda en una radical y rígida comprensión del elemento territorial como base espacial del ejercicio de potestades o competencias públicas”. </w:t>
      </w:r>
    </w:p>
    <w:p w:rsidR="0025129F" w:rsidRDefault="0025129F" w:rsidP="0025129F">
      <w:pPr>
        <w:pStyle w:val="TextoNormal"/>
      </w:pPr>
      <w:r>
        <w:t xml:space="preserve">Sentado esto, y sobre la inexcusable base de que la consecución del interés general ha de ser, en todo caso, respetuosa con el sistema de reparto de competencias (SSTC 152/1988, de 20 de julio, 59/1995, de 17 de marzo), se pone de manifiesto “la innecesariedad de explícitas declaraciones de la Constitución o de los Estatutos en relación con la posible extensión espacial de diversos títulos competenciales autonómicos al mar territorial”, cual sucede con la acuicultura (art. 13.18 del Estatuto andaluz, STC 103/1989,de 8 de junio), los salvamentos marítimos (art. 17.11 EAAnd) o la ordenación del sector pesquero (STC 158/1986); y sintetiza de manera paradigmática la STC 44/1992. Proyección exterior del ejercicio de las competencias autonómicas que se pone de relieve en ámbitos como la organización de las instituciones de autogobierno, por lo que hace al establecimiento en el extranjero de oficinas públicas autonómicas (STC 165/1994, de 26 de mayo). </w:t>
      </w:r>
    </w:p>
    <w:p w:rsidR="0025129F" w:rsidRDefault="0025129F" w:rsidP="0025129F">
      <w:pPr>
        <w:pStyle w:val="TextoNormal"/>
      </w:pPr>
      <w:r>
        <w:lastRenderedPageBreak/>
        <w:t xml:space="preserve">Según este planteamiento, la incidencia en el mar adyacente, singularmente por lo que concierne a la ordenación de las especies marinas, es consecuencia obligada de la debida protección medioambiental, tal y como, por otra parte, admite la propia legislación estatal, a tenor de lo prevenido en el art. 10.1 de la Ley 4/1989, al consignar que “aquellos espacios del territorio nacional, incluidas las aguas continentales, y los espacios marítimos sujetos a la jurisdicción nacional, incluidas la zona económica exclusiva y la plataforma continental, que contengan elementos y sistemas naturales de especial interés o valores naturales sobresalientes, podrán ser declarados protegidos de acuerdo con lo regulado en esta Ley”. Protección que, en la economía de la Ley, se articula mediante un severo régimen de limitaciones y prohibiciones (art. 13.2), en aras de la consecución de un amplio abanico de fines (art.10.2), así como en virtud de los correspondientes planes de ordenación de los recursos naturales (art. 4.3). </w:t>
      </w:r>
    </w:p>
    <w:p w:rsidR="0025129F" w:rsidRDefault="0025129F" w:rsidP="0025129F">
      <w:pPr>
        <w:pStyle w:val="TextoNormal"/>
      </w:pPr>
      <w:r>
        <w:t xml:space="preserve">En definitiva, pues, nada obsta a la afección de espacios situados fuera del territorio en sentido estricto, espacios que pueden entenderse incluidos en la delimitación del parque natural efectuada por la Junta de Andalucía, siquiera sea como correlato de la implícita aceptación por el Estado de aquella delimitación, en los términos arriba expuestos. </w:t>
      </w:r>
    </w:p>
    <w:p w:rsidR="0025129F" w:rsidRDefault="0025129F" w:rsidP="0025129F">
      <w:pPr>
        <w:pStyle w:val="TextoNormal"/>
      </w:pPr>
      <w:r>
        <w:t xml:space="preserve">c) A partir de aquí se traen a colación los títulos competenciales en presencia. Títulos que, por lo que al Estado se refiere, son los consignados en el art. 149.1.19 CE, esto es, los de pesca marítima y ordenación del sector pesquero, según la interpretación jurisprudencial al respecto (STC 56/1989). Frente a éstos la Comunidad Autónoma andaluza exhibe una variada gama de títulos, así, el relativo a espacios naturales (art. 13.7 del Estatuto de Andalucía); la competencia de desarrollo legislativo y ejecución en materia de ordenación del sector pesquero (art. 15.1.6 EAAnd); idéntica competencia sobre medio ambiente (art. 15.1.7 EAAnd); competencia exclusiva en marisqueo y acuicultura (art. 13.18 EAAnd). Títulos de entre los que cobran particular relieve, en relación con el caso considerado, los de medio ambiente y espacios naturales protegidos, que, conforme a la jurisprudencia constitucional (SSTC 64/1982, FFJJ 3 y 4, y 69/1982, FJ 1), son títulos que han de diferenciarse, de modo que en virtud del primero [STC 149/1991, FJ 1 D)] la Comunidad Autónoma puede establecer normas adicionales de protección a las previstas en la legislación estatal. </w:t>
      </w:r>
    </w:p>
    <w:p w:rsidR="0025129F" w:rsidRDefault="0025129F" w:rsidP="0025129F">
      <w:pPr>
        <w:pStyle w:val="TextoNormal"/>
      </w:pPr>
      <w:r>
        <w:t xml:space="preserve">Pues bien, en esta tesitura, la tesis que pretende hacerse valer estriba en la legitimidad de la incidencia en la competencia estatal sobre pesca marítima (incidencia que, se arguye, el Estado no ha contrarrestado) del ejercicio de las distintas competencias autonómicas. En este sentido, y sobre la base del carácter complejo y multidisciplinario que tienen las cuestiones relativas al medio ambiente, se afirma que todos los preceptos impugnados se inscriben en la competencia autonómica en materia de espacios naturales protegidos, competencia, a su vez, enmarcada en el más amplio contexto de la conservación de la naturaleza. Afirmación de la que se desprende, según se argumenta, y ante la presencia de una diversidad de títulos competenciales autonómicos, la posibilidad de afectar a los recursos naturales del mar adyacente al territorio colocado bajo especial protección, en cuanto aquella afección se revele como una medida necesaria para lograr la efectividad de la protección pretendida. Conclusión que, entiende la Junta de Andalucía, viene respaldada por la propia jurisprudencia constitucional (STC 149/1991, FJ 1, a propósito de la ordenación del territorio, en que se argumenta acerca de la necesaria toma en consideración por el titular de aquélla, concebida más como una política que como una técnica, de la incidencia territorial de todas las actuaciones de los poderes públicos, a fin de garantizar el mejor uso de los distintos recursos y el debido equilibrio entre las diferentes partes del territorio). </w:t>
      </w:r>
    </w:p>
    <w:p w:rsidR="0025129F" w:rsidRDefault="0025129F" w:rsidP="0025129F">
      <w:pPr>
        <w:pStyle w:val="TextoNormal"/>
      </w:pPr>
      <w:r>
        <w:lastRenderedPageBreak/>
        <w:t xml:space="preserve">De acuerdo con esta lógica, el paso siguiente consiste en mostrar la corrección de la afección a los recursos pesqueros como consecuencia del ejercicio de la protección medioambiental y de la competencia sobre espacios naturales protegidos. Así se entiende que el título “pesca” no puede configurarse como limitador del correspondiente a “espacios naturales protegidos” o, incluso, como limitador del relativo al establecimiento de medidas adicionales de protección en materia de medio ambiente. Más aún, se arguye, la propia legislación estatal básica (Ley 4/1989) avala la procedencia de esta tesis al contemplar la eventual incidencia en la riqueza pesquera de las medidas establecidas por razón del establecimiento de espacios naturales protegidos (arts. 2.3, 4, 10.1, 10.2, 13.2 de la citada Ley 4/1989), de donde se desprende la posibilidad de “adoptar medidas coordinadas que puedan afectar a todos los recursos naturales implicados en el concreto espacio protegido”. Y todo ello sin olvidar que no puede afirmarse que “las competencias autonómicas en materia de protección del medio ambiente sólo se ostentan en relación con los bienes y recursos respecto de los cuales no existe un título competencia sectorial específico”, tal y como, en relación con los vertidos en aguas territoriales, ha puesto de manifiesto la STC 149/1991 [FJ 7 A) i)]. </w:t>
      </w:r>
    </w:p>
    <w:p w:rsidR="0025129F" w:rsidRDefault="0025129F" w:rsidP="0025129F">
      <w:pPr>
        <w:pStyle w:val="TextoNormal"/>
      </w:pPr>
      <w:r>
        <w:t xml:space="preserve">A su vez, y en virtud de la antes aludida presencia de una pluralidad de títulos competenciales autonómicos, se resalta que la discutida afección de los recursos pesqueros, en cuanto medida limitativa tendente a asegurar los objetivos de protección perseguidos con la declaración de parque natural, ha de entenderse a la luz de la competencia autonómica para establecer medidas adicionales de protección a las previstas en la legislación estatal sobre medio ambiente, en los términos de la STC 170/1989, y su ratificación en la Exposición de Motivos de la Ley 4/1989. </w:t>
      </w:r>
    </w:p>
    <w:p w:rsidR="0025129F" w:rsidRDefault="0025129F" w:rsidP="0025129F">
      <w:pPr>
        <w:pStyle w:val="TextoNormal"/>
      </w:pPr>
      <w:r>
        <w:t xml:space="preserve">Sentado lo anterior se pasa a examinar la teleología de los fines cuya consecución se ha propuesto el Decreto impugnado, a partir del criterio de unidad ambiental como inspirador de la protección medioambiental, reconocido en la propia legislación estatal, que impone que las eventuales limitaciones a la competencia autonómica hayan de venir expresamente contempladas (STC 207/1993, de 17 de junio). </w:t>
      </w:r>
    </w:p>
    <w:p w:rsidR="0025129F" w:rsidRDefault="0025129F" w:rsidP="0025129F">
      <w:pPr>
        <w:pStyle w:val="TextoNormal"/>
      </w:pPr>
      <w:r>
        <w:t xml:space="preserve">Examen de la finalidad perseguida, en cuanto exigencia metodológica en aquellos supuestos de concurrencia de títulos competenciales (SSTC 71/1982, de 30 de noviembre, 120/1992, de 21 de septiembre), que, por lo que se refiere a la competencia en materia de espacios naturales protegidos, se traduce en el “mantenimiento o conservación de elementos y sistemas naturales de especial interés o de valores naturales sobresalientes”, así como en el “establecimiento de un conjunto de medidas, limitaciones o prohibiciones de tipo general que aseguren la conservación de la naturaleza en determinados espacios”. Pues bien, en la medida en que la exclusividad de la competencia estatal sobre pesca marítima ex art. 149.1 19 CE (SSTC 56/1989, 147/1991) se justifica, según el Letrado de la Junta de Andalucía, en la “inexistencia, por regla general, de un interés autonómico en la ordenación y protección en la materia”, en el caso presente ha de afirmarse la existencia de “un indudable interés en la Comunidad Autónoma”, de modo que ha de concluirse en “la necesidad de una política o soluciones específicas en materia de pesca distintas de las que con carácter general pudiera establecer el Estado”. </w:t>
      </w:r>
    </w:p>
    <w:p w:rsidR="0025129F" w:rsidRDefault="0025129F" w:rsidP="0025129F">
      <w:pPr>
        <w:pStyle w:val="TextoNormal"/>
      </w:pPr>
      <w:r>
        <w:t xml:space="preserve">Junto al aludido elemento teleológico se impone la consideración del carácter específico de la medida de protección. Trayendo a colación la doctrina establecida a propósito de la concurrencia de los títulos de sanidad y defensa del consumidor (STC 71/1982, FJ 6), se afirme que “una medida general en materia de pesca debe ceder necesariamente ante una medida específica necesaria para la protección del concreto espacio natural” de que se trate. </w:t>
      </w:r>
    </w:p>
    <w:p w:rsidR="0025129F" w:rsidRDefault="0025129F" w:rsidP="0025129F">
      <w:pPr>
        <w:pStyle w:val="TextoNormal"/>
      </w:pPr>
      <w:r>
        <w:lastRenderedPageBreak/>
        <w:t xml:space="preserve">Muy próximo a los anteriores se sitúa el criterio de la ponderación de los intereses ínsitos a cada título competencial en presencia (SSTC 64/1982; 170/1989, FJ 7, por referencia al art. 13.2 de la Ley 4/1989), que impone en el caso considerado la preferencia de la competencia autonómica por varias razones, a saber: la necesaria adaptación a las peculiaridades y especificidades del parque natural; la no afección, en puridad, de la competencia exclusiva del Estado; y, de modo relevante, la presencia de un “indiscutible interés público prioritario”, aquí concretado en la salvaguarda del espacio natural afectado. </w:t>
      </w:r>
    </w:p>
    <w:p w:rsidR="0025129F" w:rsidRDefault="0025129F" w:rsidP="0025129F">
      <w:pPr>
        <w:pStyle w:val="TextoNormal"/>
      </w:pPr>
      <w:r>
        <w:t xml:space="preserve">El referido criterio de ponderación avala la racionalidad de la solución adoptada, a tenor del Informe emitido por el Director Conservador del Parque Natural, que se adjunta con el escrito de alegaciones, y cuya ratio estriba en la necesaria interdependencia de los espacios terrestre y marino del parque natural, exigente de una gestión homogénea en aras del adecuado equilibrio medioambiental y socioeconómico. Por lo demás, se arguye, la escasa o nula incidencia en la competencia estatal sobre pesca se pone de manifiesto en el hecho de que la franja marina del parque natural, cuya extensión es de una milla, no implica afección alguna sobre la pesca industrial de arrastre y el tráfico marítimo, incidiendo sólo y de forma tenue en el ámbito de la pesca artesanal. </w:t>
      </w:r>
    </w:p>
    <w:p w:rsidR="0025129F" w:rsidRDefault="0025129F" w:rsidP="0025129F">
      <w:pPr>
        <w:pStyle w:val="TextoNormal"/>
      </w:pPr>
      <w:r>
        <w:t xml:space="preserve">d) Se pasa a continuación al examen pormenorizado de los preceptos impugnados, cuya adecuación al orden constitucional y estatutario de distribución de competencias es defendida, ya por venir amparados en títulos autonómicos, ya por ser susceptibles de una lectura conforme con aquel orden. </w:t>
      </w:r>
    </w:p>
    <w:p w:rsidR="0025129F" w:rsidRDefault="0025129F" w:rsidP="0025129F">
      <w:pPr>
        <w:pStyle w:val="TextoNormal"/>
      </w:pPr>
      <w:r>
        <w:t xml:space="preserve">—Art. 1 (sic: debe ser 4), apartados 1 a), b), c), d), f) y g) del Anexo I del Decreto 418/1994. </w:t>
      </w:r>
    </w:p>
    <w:p w:rsidR="0025129F" w:rsidRDefault="0025129F" w:rsidP="0025129F">
      <w:pPr>
        <w:pStyle w:val="TextoNormal"/>
      </w:pPr>
      <w:r>
        <w:t xml:space="preserve">Las prescripciones que albergan estos apartados, se dice, contienen meras enunciaciones de objetivos generales del plan de ordenación de recursos naturales, respecto de las que no cabe un pronunciamiento de corte preventivo (STC 172/1992, de 29 de octubre), por lo mismo que no cabe predicar invasión competencial de la fijación de los fines que han de perseguirse (SSTC 225/1993, de 8 de julio, FJ 8, 264/1993, de 22 de julio, FJ 4). </w:t>
      </w:r>
    </w:p>
    <w:p w:rsidR="0025129F" w:rsidRDefault="0025129F" w:rsidP="0025129F">
      <w:pPr>
        <w:pStyle w:val="TextoNormal"/>
      </w:pPr>
      <w:r>
        <w:t xml:space="preserve">Por otro lado, los objetivos señalados en el precepto se refieren a los “recursos marinos”, con carácter general, y no sólo, por tanto, a los recursos pesqueros, amén de dirigirse a todos los espacios del parque natural, esto es, incluidos aquellos a que no se extiende la impugnación del Gobierno de la Nación. </w:t>
      </w:r>
    </w:p>
    <w:p w:rsidR="0025129F" w:rsidRDefault="0025129F" w:rsidP="0025129F">
      <w:pPr>
        <w:pStyle w:val="TextoNormal"/>
      </w:pPr>
      <w:r>
        <w:t xml:space="preserve">En todo caso, sostiene la defensa de la Junta, los preceptos cuestionados pueden interpretarse a la luz de títulos competenciales autonómicos (protección del medio ambiente, espacios naturales protegidos y ordenación del sector pesquero), aun en la hipótesis de que se entienda implicada la competencia estatal sobre pesca marítima. </w:t>
      </w:r>
    </w:p>
    <w:p w:rsidR="0025129F" w:rsidRDefault="0025129F" w:rsidP="0025129F">
      <w:pPr>
        <w:pStyle w:val="TextoNormal"/>
      </w:pPr>
      <w:r>
        <w:t xml:space="preserve">— Art. 18.5 del Anexo I. </w:t>
      </w:r>
    </w:p>
    <w:p w:rsidR="0025129F" w:rsidRDefault="0025129F" w:rsidP="0025129F">
      <w:pPr>
        <w:pStyle w:val="TextoNormal"/>
      </w:pPr>
      <w:r>
        <w:t xml:space="preserve">Las referencias a las “construcciones e instalaciones relacionadas con la actividad pesquera” o a los “arrecifes artificiales de promoción pública o privada” pueden incardinarse en el título “acuicultura”, comprensivo de la maricultura o cultivos marinos (STC 103/1989, de 8 de junio), competencia autonómica ex art. 13.18 EAAnd, apostillándose que las referidas instalaciones encajan sin dificultad en el título autonómico sobre espacios naturales protegidos. </w:t>
      </w:r>
    </w:p>
    <w:p w:rsidR="0025129F" w:rsidRDefault="0025129F" w:rsidP="0025129F">
      <w:pPr>
        <w:pStyle w:val="TextoNormal"/>
      </w:pPr>
      <w:r>
        <w:t xml:space="preserve">—Art. 24.2 del Anexo I. </w:t>
      </w:r>
    </w:p>
    <w:p w:rsidR="0025129F" w:rsidRDefault="0025129F" w:rsidP="0025129F">
      <w:pPr>
        <w:pStyle w:val="TextoNormal"/>
      </w:pPr>
      <w:r>
        <w:t xml:space="preserve">En la medida en que este precepto marca ciertos “objetivos sectoriales” se dan aquí por reproducidas las consideraciones arriba expuestas. </w:t>
      </w:r>
    </w:p>
    <w:p w:rsidR="0025129F" w:rsidRDefault="0025129F" w:rsidP="0025129F">
      <w:pPr>
        <w:pStyle w:val="TextoNormal"/>
      </w:pPr>
      <w:r>
        <w:t xml:space="preserve">—Art. 60.1 del Anexo I. </w:t>
      </w:r>
    </w:p>
    <w:p w:rsidR="0025129F" w:rsidRDefault="0025129F" w:rsidP="0025129F">
      <w:pPr>
        <w:pStyle w:val="TextoNormal"/>
      </w:pPr>
      <w:r>
        <w:t xml:space="preserve">Si, como se dice en el escrito de impugnación, el conflicto se traba por la referencia a “especies de interés pesquero”, tal afirmación, carente de todo apoyo probatorio, ha de </w:t>
      </w:r>
      <w:r>
        <w:lastRenderedPageBreak/>
        <w:t xml:space="preserve">merecer el mismo tratamiento que el antes esbozado a propósito de los pronunciamientos meramente preventivos. </w:t>
      </w:r>
    </w:p>
    <w:p w:rsidR="0025129F" w:rsidRDefault="0025129F" w:rsidP="0025129F">
      <w:pPr>
        <w:pStyle w:val="TextoNormal"/>
      </w:pPr>
      <w:r>
        <w:t xml:space="preserve">—Art. 137 del Anexo I. </w:t>
      </w:r>
    </w:p>
    <w:p w:rsidR="0025129F" w:rsidRDefault="0025129F" w:rsidP="0025129F">
      <w:pPr>
        <w:pStyle w:val="TextoNormal"/>
      </w:pPr>
      <w:r>
        <w:t xml:space="preserve">En cuanto consigna la consecución de determinados “objetivos” vale reiterar lo dicho con anterioridad. </w:t>
      </w:r>
    </w:p>
    <w:p w:rsidR="0025129F" w:rsidRDefault="0025129F" w:rsidP="0025129F">
      <w:pPr>
        <w:pStyle w:val="TextoNormal"/>
      </w:pPr>
      <w:r>
        <w:t xml:space="preserve">—Art. 138 del Anexo I. </w:t>
      </w:r>
    </w:p>
    <w:p w:rsidR="0025129F" w:rsidRDefault="0025129F" w:rsidP="0025129F">
      <w:pPr>
        <w:pStyle w:val="TextoNormal"/>
      </w:pPr>
      <w:r>
        <w:t xml:space="preserve">Se destaca la proporcionalidad de una medida, la limitación de la actividad pesquera en el seno del parque natural a la de índole tradicional, que no tiene sino una mínima incidencia en el caladero nacional. </w:t>
      </w:r>
    </w:p>
    <w:p w:rsidR="0025129F" w:rsidRDefault="0025129F" w:rsidP="0025129F">
      <w:pPr>
        <w:pStyle w:val="TextoNormal"/>
      </w:pPr>
      <w:r>
        <w:t xml:space="preserve">Observación que puede extenderse a los arts. 140, 142 y 147 del Anexo I. </w:t>
      </w:r>
    </w:p>
    <w:p w:rsidR="0025129F" w:rsidRDefault="0025129F" w:rsidP="0025129F">
      <w:pPr>
        <w:pStyle w:val="TextoNormal"/>
      </w:pPr>
      <w:r>
        <w:t xml:space="preserve">—Art. 139 del Anexo I. </w:t>
      </w:r>
    </w:p>
    <w:p w:rsidR="0025129F" w:rsidRDefault="0025129F" w:rsidP="0025129F">
      <w:pPr>
        <w:pStyle w:val="TextoNormal"/>
      </w:pPr>
      <w:r>
        <w:t xml:space="preserve">Para el Letrado de la Junta este precepto ha de inscribirse en el título “ordenación del sector pesquero” y no en el de “pesca”, por cuanto comprende normas referentes a “la organización del sector económico o productivo, determinando las condiciones que deben reunir quienes se propongan realizar la actividad extractiva, aun cuando tales condiciones se concreten con referencia a las embarcaciones de las que sean titulares”. </w:t>
      </w:r>
    </w:p>
    <w:p w:rsidR="0025129F" w:rsidRDefault="0025129F" w:rsidP="0025129F">
      <w:pPr>
        <w:pStyle w:val="TextoNormal"/>
      </w:pPr>
      <w:r>
        <w:t xml:space="preserve">—Art. 145 del Anexo I. </w:t>
      </w:r>
    </w:p>
    <w:p w:rsidR="0025129F" w:rsidRDefault="0025129F" w:rsidP="0025129F">
      <w:pPr>
        <w:pStyle w:val="TextoNormal"/>
      </w:pPr>
      <w:r>
        <w:t xml:space="preserve">La alusión a la “pesca deportiva” atrae su regulación a la competencia autonómica ex art. 13.31 EAAnd. </w:t>
      </w:r>
    </w:p>
    <w:p w:rsidR="0025129F" w:rsidRDefault="0025129F" w:rsidP="0025129F">
      <w:pPr>
        <w:pStyle w:val="TextoNormal"/>
      </w:pPr>
      <w:r>
        <w:t xml:space="preserve">—Art. 148 del Anexo I. </w:t>
      </w:r>
    </w:p>
    <w:p w:rsidR="0025129F" w:rsidRDefault="0025129F" w:rsidP="0025129F">
      <w:pPr>
        <w:pStyle w:val="TextoNormal"/>
      </w:pPr>
      <w:r>
        <w:t xml:space="preserve">La competencia autonómica sobre “acuicultura” y “marisqueo” ampara sin dificultad la regulación relativa a las instalaciones dedicadas al cultivo de peces, crustáceos o moluscos. </w:t>
      </w:r>
    </w:p>
    <w:p w:rsidR="0025129F" w:rsidRDefault="0025129F" w:rsidP="0025129F">
      <w:pPr>
        <w:pStyle w:val="TextoNormal"/>
      </w:pPr>
      <w:r>
        <w:t xml:space="preserve">—Art. 151 del Anexo I. </w:t>
      </w:r>
    </w:p>
    <w:p w:rsidR="0025129F" w:rsidRDefault="0025129F" w:rsidP="0025129F">
      <w:pPr>
        <w:pStyle w:val="TextoNormal"/>
      </w:pPr>
      <w:r>
        <w:t xml:space="preserve">En tanto que este precepto no engloba normación alguna sobre la actividad extractiva no se hace acreedor a reproche alguno de invasión competencial. </w:t>
      </w:r>
    </w:p>
    <w:p w:rsidR="0025129F" w:rsidRDefault="0025129F" w:rsidP="0025129F">
      <w:pPr>
        <w:pStyle w:val="TextoNormal"/>
      </w:pPr>
      <w:r>
        <w:t xml:space="preserve">—Arts. 152 y 153 del Anexo I. </w:t>
      </w:r>
    </w:p>
    <w:p w:rsidR="0025129F" w:rsidRDefault="0025129F" w:rsidP="0025129F">
      <w:pPr>
        <w:pStyle w:val="TextoNormal"/>
      </w:pPr>
      <w:r>
        <w:t xml:space="preserve">La referencia a la instalación de arrecifes artificiales contenida en los citados artículos exime al Letrado de Andalucía de profundizar en una cuestión ya abordada a propósito del art. 18.5 del Anexo I. </w:t>
      </w:r>
    </w:p>
    <w:p w:rsidR="0025129F" w:rsidRDefault="0025129F" w:rsidP="0025129F">
      <w:pPr>
        <w:pStyle w:val="TextoNormal"/>
      </w:pPr>
      <w:r>
        <w:t xml:space="preserve">—Art. 154 del Anexo I. </w:t>
      </w:r>
    </w:p>
    <w:p w:rsidR="0025129F" w:rsidRDefault="0025129F" w:rsidP="0025129F">
      <w:pPr>
        <w:pStyle w:val="TextoNormal"/>
      </w:pPr>
      <w:r>
        <w:t xml:space="preserve">La regulación del “fondo” de embarcaciones es cuestión ajena a la propia de la pesca. </w:t>
      </w:r>
    </w:p>
    <w:p w:rsidR="0025129F" w:rsidRDefault="0025129F" w:rsidP="0025129F">
      <w:pPr>
        <w:pStyle w:val="TextoNormal"/>
      </w:pPr>
      <w:r>
        <w:t xml:space="preserve">—Art. 156 del Anexo I. </w:t>
      </w:r>
    </w:p>
    <w:p w:rsidR="0025129F" w:rsidRDefault="0025129F" w:rsidP="0025129F">
      <w:pPr>
        <w:pStyle w:val="TextoNormal"/>
      </w:pPr>
      <w:r>
        <w:t xml:space="preserve">De nuevo la referencia a los arrecifes artificiales permite una remisión a lo dicho en relación con los arts. 18.5, 152 y 153. </w:t>
      </w:r>
    </w:p>
    <w:p w:rsidR="0025129F" w:rsidRDefault="0025129F" w:rsidP="0025129F">
      <w:pPr>
        <w:pStyle w:val="TextoNormal"/>
      </w:pPr>
      <w:r>
        <w:t xml:space="preserve">—Arts. 254 y 255 del Anexo I. </w:t>
      </w:r>
    </w:p>
    <w:p w:rsidR="0025129F" w:rsidRDefault="0025129F" w:rsidP="0025129F">
      <w:pPr>
        <w:pStyle w:val="TextoNormal"/>
      </w:pPr>
      <w:r>
        <w:t xml:space="preserve">En tanto que estos preceptos especifican para las distintas áreas del parque natural la regulación comprendida en los preceptos antes reseñados, la conclusión alcanzada respecto de éstos ha de hacerse extensiva a los que aquí nos ocupan. </w:t>
      </w:r>
    </w:p>
    <w:p w:rsidR="0025129F" w:rsidRDefault="0025129F" w:rsidP="0025129F">
      <w:pPr>
        <w:pStyle w:val="TextoNormal"/>
      </w:pPr>
      <w:r>
        <w:t xml:space="preserve">—Art. 45 del Anexo II. </w:t>
      </w:r>
    </w:p>
    <w:p w:rsidR="0025129F" w:rsidRDefault="0025129F" w:rsidP="0025129F">
      <w:pPr>
        <w:pStyle w:val="TextoNormal"/>
      </w:pPr>
      <w:r>
        <w:t xml:space="preserve">Los apartados 1, 2, 3, 6, 8 y 9 se justifican en la medida en que la incidencia en la explotación de los recursos pesqueros viene exigida por razón de protección del espacio natural. </w:t>
      </w:r>
    </w:p>
    <w:p w:rsidR="0025129F" w:rsidRDefault="0025129F" w:rsidP="0025129F">
      <w:pPr>
        <w:pStyle w:val="TextoNormal"/>
      </w:pPr>
      <w:r>
        <w:t xml:space="preserve">Por su parte, el anclaje de embarcaciones del apartado 5 ninguna relación guarda con la materia “pesca”. </w:t>
      </w:r>
    </w:p>
    <w:p w:rsidR="0025129F" w:rsidRDefault="0025129F" w:rsidP="0025129F">
      <w:pPr>
        <w:pStyle w:val="TextoNormal"/>
      </w:pPr>
      <w:r>
        <w:t xml:space="preserve">—Art. 46 del Anexo II. </w:t>
      </w:r>
    </w:p>
    <w:p w:rsidR="0025129F" w:rsidRDefault="0025129F" w:rsidP="0025129F">
      <w:pPr>
        <w:pStyle w:val="TextoNormal"/>
      </w:pPr>
      <w:r>
        <w:t xml:space="preserve">Lo dicho en relación con el art. 145 del Anexo I vale igualmente para este precepto, por cuanto la pesca submarina no es sino una especialidad de la pesca deportiva. </w:t>
      </w:r>
    </w:p>
    <w:p w:rsidR="0025129F" w:rsidRDefault="0025129F" w:rsidP="0025129F">
      <w:pPr>
        <w:pStyle w:val="TextoNormal"/>
      </w:pPr>
      <w:r>
        <w:lastRenderedPageBreak/>
        <w:t xml:space="preserve">—Art. 73 a) y c) del Anexo II. </w:t>
      </w:r>
    </w:p>
    <w:p w:rsidR="0025129F" w:rsidRDefault="0025129F" w:rsidP="0025129F">
      <w:pPr>
        <w:pStyle w:val="TextoNormal"/>
      </w:pPr>
      <w:r>
        <w:t xml:space="preserve">El apartado a) se imbrica en el título “ordenación del sector pesquero”, en tanto que el c) ha de enmarcarse en los de pesca deportiva y marisqueo. </w:t>
      </w:r>
    </w:p>
    <w:p w:rsidR="0025129F" w:rsidRDefault="0025129F" w:rsidP="0025129F">
      <w:pPr>
        <w:pStyle w:val="TextoNormal"/>
      </w:pPr>
      <w:r>
        <w:t xml:space="preserve">En conclusión, el Letrado de la Junta de Andalucía reitera que la pretensión del Gobierno de la Nación estriba en la obtención de un pronunciamiento meramente preventivo, dada su renuncia a impugnar la concreta delimitación del parque natural. Por lo demás, entiende aquél, un correcto entendimiento de la concurrencia competencial presente en el caso ampara la concreta legitimidad de los preceptos cuestionados. </w:t>
      </w:r>
    </w:p>
    <w:p w:rsidR="0025129F" w:rsidRDefault="0025129F" w:rsidP="0025129F">
      <w:pPr>
        <w:pStyle w:val="TextoNormal"/>
      </w:pPr>
      <w:r>
        <w:t>e) Asimismo se solicita el levantamiento de la suspensión en su momento acordada sobre la base de los perjuicios derivados de aquélla, perjuicios que se documentan con la aportación de los pertinentes informes; en la irreversibilidad de los daños que se seguiría del mantenimiento de la suspensión y, finalmente, a partir del criterio de la necesaria ponderación de los intereses que subyacen a los títulos en concurrencia, en los términos ya expuestos.</w:t>
      </w:r>
    </w:p>
    <w:p w:rsidR="0025129F" w:rsidRDefault="0025129F" w:rsidP="0025129F">
      <w:pPr>
        <w:pStyle w:val="TextoNormal"/>
      </w:pPr>
    </w:p>
    <w:p w:rsidR="0025129F" w:rsidRDefault="0025129F" w:rsidP="0025129F">
      <w:pPr>
        <w:pStyle w:val="TextoNormal"/>
      </w:pPr>
      <w:r w:rsidRPr="0025129F">
        <w:rPr>
          <w:rStyle w:val="NumeroAFNegritaCaracter"/>
        </w:rPr>
        <w:t>5</w:t>
      </w:r>
      <w:r>
        <w:t>. Por Auto del Pleno de 18 de julio de 1995 se acuerda el levantamiento de la suspensión. Luego de recordar los criterios rectores del mantenimiento o levantamiento de la suspensión ex art. 161.2 CE, y de sintetizar las posturas del Letrado de la Junta de Andalucía y del Abogado del Estado (cuyas alegaciones, en cumplimiento de la providencia de la Sección Segunda de 15 de junio de 1995, tuvieron entrada en el Tribunal el siguiente 21), el Tribunal concluye en la prevalencia del interés “encaminado a la protección de los ecosistemas marítimo y terrestre y los recursos naturales del Parque Natural Cabo de Gata-Níjar”, a cuyo efecto los preceptos impugnados “responden a la finalidad de compatibilizar la conservación del ecosistema y de sus recursos naturales con el aprovechamiento sostenido de los recursos pesqueros”. En este sentido, no se aprecian “limitaciones irracionales” o “desproporcionadas”, ni “perjuicios irreparables a la política pesquera del Estado o a los intereses de los pescadores”; perjuicios estos últimos, en todo caso, de menor intensidad a los irrogados de producirse “la ruptura del delicado equilibrio ecológico de la zona o la desaparición de especies en peligro de extinción” (FJ 4).</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escrito que tuvo entrada en este Tribunal el día 7 de noviembre de 1995 el Letrado de la Junta de Andalucía formula conflicto positivo de competencia en relación con la Orden del Ministerio de Agricultura, Pesca y Alimentación de 3 de julio de 1995, por la que se establece la reserva marina de Cabo de Gata-Níjar (“Boletín Oficial del Estado” núm. 165, de 12 de julio), por vulneración de las competencias autonómicas en materia de marisqueo y acuicultura (art. 13.18 del Estatuto andaluz), deporte y ocio (art. 13.31 EAAnd), desarrollo legislativo y ejecución sobre medio ambiente (art. 15.1 EAAnd) y espacios naturales protegidos (art. 13.7 EAAnd). Una reserva que se extiende, según el art. 1 de la Orden cuestionada, sobre “la franja costera adyacente al parque natural Cabo de Gata-Níjar”, a una distancia de una milla desde la línea de costa. Extensión que, precisamente, viene a coincidir con el límite este-sur establecido en la delimitación del parque natural realizada por el Anexo III del Decreto 418/1994.</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planteamiento del conflicto se hace descansar en los argumentos que a continuación se sintetizan: </w:t>
      </w:r>
    </w:p>
    <w:p w:rsidR="0025129F" w:rsidRDefault="0025129F" w:rsidP="0025129F">
      <w:pPr>
        <w:pStyle w:val="TextoNormal"/>
      </w:pPr>
      <w:r>
        <w:t xml:space="preserve">a) Admitido por el Gobierno de la Nación el requerimiento de incompetencia en lo que se refiere a las “aguas interiores” de Andalucía, recuerda el Letrado de ésta la pendencia </w:t>
      </w:r>
      <w:r>
        <w:lastRenderedPageBreak/>
        <w:t xml:space="preserve">del conflicto núm. 1492/95, con el que el presente guarda una estrecha relación, hasta el punto de tildarse la emanación de la Orden aquí controvertida de “una oblicua vía de elusión, claramente fraudulenta, del conjunto de normas que disciplinan el sistema de reparto competencial”. A este propósito la impugnación toma como punto de partida la llamada extensión espacial de las competencias autonómicas, cuya idea nuclear es la de que, cuando aquéllas se refieren al medio ambiente o a los espacios naturales protegidos, pueden abarcar espacios comprendidos en el mar territorial, que, en puridad, se dice, no es territorio stricto sensu del Estado, sino mera zona sobre la que se proyecta la soberanía de aquél. Argumento ya desarrollado con ocasión del conflicto núm. 1492/95 [apartado 4 b) y c) de estos antecedentes], y que ahora pretende ratificarse a la luz de la STC 102/1995, de 26 de junio, que apreció la inconstitucionalidad del art. 21.3 de la Ley 4/1989, precepto que atribuía al Estado la competencia para la declaración y gestión de los espacios naturales cuando afectaren a los bienes señalados en el art. 3 de la Ley 22/1988, de costas, entre los que se encuentran “el mar territorial y las aguas interiores” (FJ 20). </w:t>
      </w:r>
    </w:p>
    <w:p w:rsidR="0025129F" w:rsidRDefault="0025129F" w:rsidP="0025129F">
      <w:pPr>
        <w:pStyle w:val="TextoNormal"/>
      </w:pPr>
      <w:r>
        <w:t xml:space="preserve">b) Analiza seguidamente el escrito de impugnación el fundamento competencial aducido por el Gobierno de la Nación, fundamento que, localizado en el título “pesca marítima” ex art. 149.1.19 CE, es discutido por la Junta de Andalucía, al sostener que ni aquél ni la competencia estatal sobre bases del medio ambiente amparan el dictado de la Orden objeto del conflicto, que, por el contrario, entiende, ha vulnerado las competencias de que aquélla es titular. </w:t>
      </w:r>
    </w:p>
    <w:p w:rsidR="0025129F" w:rsidRDefault="0025129F" w:rsidP="0025129F">
      <w:pPr>
        <w:pStyle w:val="TextoNormal"/>
      </w:pPr>
      <w:r>
        <w:t xml:space="preserve">En este análisis constata que la extensión de la reserva marina coincide con los confines del parque natural en su límite este-sur, identidad admitida por el propio Consejo de Ministros; que las por el art. 2 de la Orden definidas como “reservas integrales” coinciden con cinco de las seis “zonas de protección de grado A del medio marino” descritas en el art. 238 del Anexo I del Decreto andaluz 418/1994; que el art. 3 de dicha Orden establece las “limitaciones de uso en las reservas integrales” (prohibición de cualquier tipo de pesca marítima, extracción de fauna y flora y de actividades subacuáticas; sujeción a previa autorización de las actividades de carácter científico realizadas en estas zonas); que su art. 4 fija las limitaciones de uso dentro de la reserva marina y fuera de las zonas de reserva integral (posibilidad de ejercitar la pesca marítima profesional con los artes y aparejos tradicionalmente utilizados en la zona: muestreos de flora y fauna marinas siempre que hayan sido previamente autorizados); que el art. 5 ordena la formación del censo de las embarcaciones con derecho para ejercer la pesca en el ámbito de la reserva marina; y que el art. 6 permite las actividades de buceo en la reserva marina, pero fuera de las zonas de reserva integral. En definitiva, amén de la coincidencia espacial entre la reserva marina y el ámbito marino del parque natural, coincidencia que se hace extensiva a las zonas de reserva integral respecto de las zonas de protección de grado A del parque, los preceptos citados incorporan un régimen de protección que se solapa con el establecido en el Decreto autonómico. </w:t>
      </w:r>
    </w:p>
    <w:p w:rsidR="0025129F" w:rsidRDefault="0025129F" w:rsidP="0025129F">
      <w:pPr>
        <w:pStyle w:val="TextoNormal"/>
      </w:pPr>
      <w:r>
        <w:t>c) En esta tesitura, entiende el Letrado de la Junta de Andalucía, el contenido de la Orden Ministerial no se compadece con el que es inherente a la competencial estatal sobre pesca marítima (SSTC 56/1989, 147/1991). En efecto, no puede predicarse aquella cualidad de una reglamentación que se constriñe a una genérica invocación a las actividades de extracción de flora y fauna, a las actividades subacuáticas o a la necesidad de autorización para la realización de actividades de carácter científico o para el muestreo de flora y fauna marinas, como igualmente tampoco ofrece la necesaria conexión con aquel título el conjunto de limitaciones, absolutas o relativas, establecidas respecto de los usos que se mencionan. No hay, según se dice, en la Orden cuestionada regulación de la actividad extracti</w:t>
      </w:r>
      <w:r>
        <w:lastRenderedPageBreak/>
        <w:t xml:space="preserve">va en sí misma considerada, de los fondos o caladeros, de los períodos aptos para la pesca o de los concretos artes o medios de pesca. Más aún, de acuerdo con el tenor de la exposición de motivos de la Orden Ministerial, resulta meridianamente clara la finalidad determinante de su emanación, la protección medioambiental, circunstancia que permite a la Junta de Andalucía tachar de “torticera” la actuación de la Administración del Estado, que, de este modo, no se ajusta a la atribución a las Comunidades Autónomas de la función protectora de los ecosistemas en que se desarrollan las actividades de pesca marítima (STC 102/1995, FJ 25), y, en su consecuencia, de la fijación de los terrenos y aguas en que aquéllas pueden realizarse (art. 33.2 de la Ley 4/1989), sin que, en este sentido, la presencia de una normativa comunitaria, como la que se cita en la Orden controvertida, pueda alterar el régimen constitucional y estatutario de distribución de competencias (STC 117/1992, de 16 de septiembre). </w:t>
      </w:r>
    </w:p>
    <w:p w:rsidR="0025129F" w:rsidRDefault="0025129F" w:rsidP="0025129F">
      <w:pPr>
        <w:pStyle w:val="TextoNormal"/>
      </w:pPr>
      <w:r>
        <w:t xml:space="preserve">d) Avanzando en su hilo argumental considera la Comunidad promotora del conflicto que la materia a que se refiere la Orden impugnada queda englobada en la que es propia de los espacios naturales protegidos, pues no en balde la reserva marina establecida en aquélla coincide con los espacios marinos del parque natural Cabo de Gata-Níjar. Así se arguye que esta materia de espacios naturales, aunque se erige en “soporte topográfico” de la de medio ambiente, adquiere sustantividad propia respecto de ésta, pudiendo ser asumida por la Comunidades Autónomas ex art. 149.3 CE en la medida en que no aparece en el listado de los arts. 148.1 y 149.1 CE (SSTC 69/1982, 82/1982, 102/1995; art. 13.7 EAAnd, sin perjuicio de lo dispuesto en el art. 149.1.23 CE), con una amplitud, además, que confiere a aquéllas “un mayor protagonismo y refuerza su posición sirviendo de freno para la penetración de las competencias estatales sobre protección del medio ambiente” (STC 102/1995). </w:t>
      </w:r>
    </w:p>
    <w:p w:rsidR="0025129F" w:rsidRDefault="0025129F" w:rsidP="0025129F">
      <w:pPr>
        <w:pStyle w:val="TextoNormal"/>
      </w:pPr>
      <w:r>
        <w:t xml:space="preserve">Precisamente en aplicación de sus competencias estatutarias, de la propia legislación básica estatal (arts. 15, 19 y 21 de la Ley 4/1989), y de la Ley andaluza 2/1989, por la que se aprueba el inventario de espacios naturales protegidos y se establecen medidas adicionales de protección (arts. 13 y 18), la Junta aprobó los planes de ordenación y de uso y gestión del parque natural Cabo de Gata-Níjar, objeto del conflicto núm. 1492/95, cuyos fines de protección aparecen igualmente en la Orden del Estado, siendo asimismo de destacar, como reiteración de un argumento expuesto con anterioridad, la coincidencia territorial y funcional entre las reservas integrales establecidas en aquélla y cinco de las seis zonas de protección de grado A fijadas en el Decreto andaluz. De este modo, y el discurso ya fue avanzado antes, la normativa estatal “ha conculcado de forma fraudulenta y oblicua la competencia autonómica sobre protección de espacios”, con desconocimiento incluso de la propia normativa estatal (arts. 10.1 y 21.1 de la Ley 4/1989). Conclusión que para la Junta ha venido a ratificar la STC 102/1995 (FJ 20, in fine), al afirmar la posibilidad de la extensión de las competencias autonómicas en este ámbito al mar territorial, sin que, en este sentido, el empleo de la nomenclatura “reserva marina”, que no figura ni en la Ley 4/1989 (arts. 12 y 21.2) ni en la andaluza 2/1989 (art. 2), revele otra cosa que la denunciada invasión competencial. </w:t>
      </w:r>
    </w:p>
    <w:p w:rsidR="0025129F" w:rsidRDefault="0025129F" w:rsidP="0025129F">
      <w:pPr>
        <w:pStyle w:val="TextoNormal"/>
      </w:pPr>
      <w:r>
        <w:t xml:space="preserve">e) Un eslabón más en la cadena argumental viene representado por la refutación de la cobertura en la competencia estatal sobre medio ambiente de la Orden aquí cuestionada. Una refutación que se construye a partir de la caracterización de aquel ámbito de poder, según el cual lo básico ex art. 149.1.23 CE cumple “una función de ordenación mediante mínimos” (STC 102/1995, FJ 9), más allá de la cual ha de darse entrada a las normas autonómicas de desarrollo legislativo y, aun, a las propias medidas de ejecución. </w:t>
      </w:r>
    </w:p>
    <w:p w:rsidR="0025129F" w:rsidRDefault="0025129F" w:rsidP="0025129F">
      <w:pPr>
        <w:pStyle w:val="TextoNormal"/>
      </w:pPr>
      <w:r>
        <w:lastRenderedPageBreak/>
        <w:t xml:space="preserve">Pues bien, se argumenta, no puede atribuirse formalmente el carácter de básicas a las normas incluidas en la referida Orden por las siguientes razones: por su no declaración explícita como tales normas básicas (SSTC 203/1993, de 17 de junio, 385/1993, de 23 de diciembre); por su no inclusión en una Ley (por todas, STC 102/1995, FJ 8), sin que se aprecie, salvo, quizá, en lo relativo a la fijación de las coordenadas de las reservas integrales, en dichas normas un marcado carácter técnico o coyuntural que justifique el recurso al reglamento; por emanar la disposición cuestionada de un Ministro y no del titular originario ex art. 97 CE de la potestad reglamentaria, el Gobierno; y, finalmente, por la conculcación de la exigencia de una Ley de las Cortes de efectuarse por el Estado una declaración protectora, como ocurre con la de parque nacional (art. 22.1 de la Ley 4/1989, STC 102/1995, FJ 22). </w:t>
      </w:r>
    </w:p>
    <w:p w:rsidR="0025129F" w:rsidRDefault="0025129F" w:rsidP="0025129F">
      <w:pPr>
        <w:pStyle w:val="TextoNormal"/>
      </w:pPr>
      <w:r>
        <w:t xml:space="preserve">Por otro lado se combate el carácter materialmente básico de los preceptos impugnados, cuyo carácter nuclear es negado (STC 102/1995, FJ 9), por no implicar una regulación normativa uniforme de vigencia en toda la Nación (SSTC 1/1982, de 28 de enero, FJ 1, 71/1982, FJ 7, 76/1983, de 5 de agosto, FJ 3), al circunscribirse a una “actuación administrativa sobre una sola reserva marina concreta”. Más aún, no nos hallamos, se dice, ante “el encuadramiento de una política global del medio ambiente” (STC 64/1982), ni ante “la manifestación de los objetivos, fines u orientaciones generales en materia de medio ambiente para todo el Estado, exigidos por la unidad del mismo y por la igualdad de todos sus miembros” (STC 25/1983, de 7 de abril, FJ 4), sino frente a “una concreta intervención estatal en un espacio ínfimo del territorio del Estado”. </w:t>
      </w:r>
    </w:p>
    <w:p w:rsidR="0025129F" w:rsidRDefault="0025129F" w:rsidP="0025129F">
      <w:pPr>
        <w:pStyle w:val="TextoNormal"/>
      </w:pPr>
      <w:r>
        <w:t xml:space="preserve">Finalmente se descarta la existencia de un interés supraautonómico en el dictado de la Orden controvertida, dada la escasa extensión marina del parque natural, la no afección a otras Comunidades Autónomas y la atribución del disfrute conferido a los solos habitantes del litoral que sirve de referencia a la franja marina del parque natural. </w:t>
      </w:r>
    </w:p>
    <w:p w:rsidR="0025129F" w:rsidRDefault="0025129F" w:rsidP="0025129F">
      <w:pPr>
        <w:pStyle w:val="TextoNormal"/>
      </w:pPr>
      <w:r>
        <w:t xml:space="preserve">f) Por último se afirma que la Orden cuestionada vulnera las competencias autonómicas sobre marisqueo y acuicultura, así como las relativas a deporte y ocio, por lo que se refiere, en este último caso, a las determinaciones en aquélla contenidas sobre buceo y actividades subacuáticas (arts. 13.18 y 13.31 EAAnd). </w:t>
      </w:r>
    </w:p>
    <w:p w:rsidR="0025129F" w:rsidRDefault="0025129F" w:rsidP="0025129F">
      <w:pPr>
        <w:pStyle w:val="TextoNormal"/>
      </w:pPr>
      <w:r>
        <w:t xml:space="preserve">g) El escrito de la Junta de Andalucía concluye con la petición de que, con estimación del conflicto planteado, sea anulada, por vulneración de los preceptos estatutarios que engloban las competencias hechas valer, la disposición impugnada, así como la acumulación del presente al conflicto núm. 1492/95. </w:t>
      </w:r>
    </w:p>
    <w:p w:rsidR="0025129F" w:rsidRDefault="0025129F" w:rsidP="0025129F">
      <w:pPr>
        <w:pStyle w:val="TextoNormal"/>
      </w:pPr>
      <w:r>
        <w:t xml:space="preserve">h) Frente al planteamiento que queda sintetizado, el Gobierno de la Nación, en su contestación al requerimiento de incompetencia, sostiene que el conflicto núm. 1492/95 fue promovido por la afección de una porción del mar territorial, más allá de su propio territorio y de la zona marítimo-terrestre, que se desprendía del ejercicio por la Junta de Andalucía de sus competencias en materia medioambiental y de espacios naturales protegidos con ocasión del Decreto 418/1994 [SSTC 77/1984, FJ 3, 147/1991, FJ 7 A) h), 102/1995, FJ 20]; competencias que, en consecuencia, han de circunscribirse a la zona marítimo-terrestre, mas sin que puedan extenderse al “mar adyacente”. </w:t>
      </w:r>
    </w:p>
    <w:p w:rsidR="0025129F" w:rsidRDefault="0025129F" w:rsidP="0025129F">
      <w:pPr>
        <w:pStyle w:val="TextoNormal"/>
      </w:pPr>
      <w:r>
        <w:t xml:space="preserve">Por otro lado, se dice que la Orden de 3 de julio de 1995, dictada en aplicación y cumplimiento del Reglamento (CE) 1626/94, del Consejo, “persigue establecer unas medidas de protección y conservación de los recursos pesqueros más vulnerables en una zona que constituye punto generador de los mismos, lo que garantizará la realización y continuidad de la actividad extractiva”. Objetivo que puede incardinarse en la competencia estatal sobre pesca marítima ex art. 149.1.19 CE [SSTC 56/1989, FJ 5, 147/1991, FJ 4 b)], si bien, y en este punto es atendido el requerimiento, procede modificar la delimitación geográfica </w:t>
      </w:r>
      <w:r>
        <w:lastRenderedPageBreak/>
        <w:t xml:space="preserve">de las reservas integrales diseñadas a fin de no afectar a la competencia autonómica sobre “aguas interiores”. </w:t>
      </w:r>
    </w:p>
    <w:p w:rsidR="0025129F" w:rsidRDefault="0025129F" w:rsidP="0025129F">
      <w:pPr>
        <w:pStyle w:val="TextoNormal"/>
      </w:pPr>
      <w:r>
        <w:t xml:space="preserve">Asimismo se entiende que las limitaciones y prohibiciones establecidas en la Orden de referencia no invaden las competencias autonómicas sobre marisqueo y acuicultura, siendo aquéllas consustanciales con la preservación del recurso pesquero, de donde la mención a la flora marina, sustento y hábitat de las especies marinas que han de protegerse. </w:t>
      </w:r>
    </w:p>
    <w:p w:rsidR="0025129F" w:rsidRDefault="0025129F" w:rsidP="0025129F">
      <w:pPr>
        <w:pStyle w:val="TextoNormal"/>
      </w:pPr>
      <w:r>
        <w:t xml:space="preserve">Reconocimiento que puede extenderse a las limitaciones recogidas en relación con la práctica del buceo, en cuanto medidas protectoras del medio marino y de sus especies. </w:t>
      </w:r>
    </w:p>
    <w:p w:rsidR="0025129F" w:rsidRDefault="0025129F" w:rsidP="0025129F">
      <w:pPr>
        <w:pStyle w:val="TextoNormal"/>
      </w:pPr>
      <w:r>
        <w:t>En conclusión, y como basamento de la desestimación del requerimiento, salvo en el extremo antes señalado, se aduce que con la Orden en cuestión “no se pretende atribuir al Estado competencias de la Junta de Andalucía en materia de marisqueo o acuicultura, puesto que no se regulan dichas actividades, ni la concesión de autorizaciones para su ejercicio con carácter general, sino que lo que se regula es una reserva marina en una zona concreta, en la que se establecen ciertas limitaciones con la finalidad de la protección y conservación de los recursos como defensa y garantía de ejercicio de la pesca marítima”.</w:t>
      </w:r>
    </w:p>
    <w:p w:rsidR="0025129F" w:rsidRDefault="0025129F" w:rsidP="0025129F">
      <w:pPr>
        <w:pStyle w:val="TextoNormal"/>
      </w:pPr>
    </w:p>
    <w:p w:rsidR="0025129F" w:rsidRDefault="0025129F" w:rsidP="0025129F">
      <w:pPr>
        <w:pStyle w:val="TextoNormal"/>
      </w:pPr>
      <w:r w:rsidRPr="0025129F">
        <w:rPr>
          <w:rStyle w:val="NumeroAFNegritaCaracter"/>
        </w:rPr>
        <w:t>8</w:t>
      </w:r>
      <w:r>
        <w:t>. Mediante providencia de la Sección Tercera de 21 de noviembre de 1995 se acuerda: admitir a trámite el conflicto positivo de competencia registrado con el núm. 3744/95; dar traslado de la demanda y de los documentos presentados al Gobierno, por conducto de su Presidente, al objeto de que, en el plazo de veinte días y por medio de la representación procesal que determina el art. 82.2 LOTC, aporte cuantas alegaciones y documentos considere conveniente; comunicar la incoación del conflicto a la Sala de lo Contencioso-Administrativo de la Audiencia Nacional, por si ante la misma estuviera impugnada o se impugnare la Orden objeto de aquél, en cuyo caso se suspenderá el curso del procedimiento hasta la resolución del conflicto, según dispone el art. 61.2 LOTC; oír al Abogado del Estado para que en el plazo conferido para el traslado exponga lo que considere oportuno acerca de la acumulación de este conflicto al núm. 1492/95; publicar la incoación del conflicto en el “Boletín Oficial del Estado” y en el “Boletín de la Junta de Andalucía”.</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Las alegaciones del Abogado del Estado tuvieron entrada en este Tribunal el día 11 de diciembre de 1995. Tras recordar los términos de la Exposición de Motivos de la Orden impugnada, y habida cuenta de que el título en que se ampara su dictado es el de pesca marítima ex art. 149.1.19 CE, pone de manifiesto que “cualquier acción estatal protectora de la pesca y de los recursos pesqueros en aguas exteriores va a redundar en beneficio de la preservación del medio ambiente”, amén de expresar su extrañeza por el relieve que la Junta de Andalucía otorga al conflicto núm. 1492/95, la razón de cuya promoción estribaba en la regulación de la pesca en el mar adyacente al parque natural Cabo de Gata-Níjar, mas sin que, en su criterio, ninguna otra conexión entre ambos conflictos pueda ser detectada, más allá de la eventualidad de su acumulación. Por otro lado se discute la afirmación vertida por la Junta con ocasión del conflicto núm. 1492/95 en el sentido de que el Gobierno de la Nación no había cuestionado la delimitación del parque efectuada por la Junta, afirmación que el Abogado del Estado refuta mediante el recordatorio del tenor del escrito de impugnación del Decreto andaluz 418/1994. </w:t>
      </w:r>
    </w:p>
    <w:p w:rsidR="0025129F" w:rsidRDefault="0025129F" w:rsidP="0025129F">
      <w:pPr>
        <w:pStyle w:val="TextoNormal"/>
      </w:pPr>
      <w:r>
        <w:t xml:space="preserve">Dicho esto sostiene que, de acuerdo con la jurisprudencia constitucional (SSTC 147/1991, 44/1992, 149/1992), los preceptos de la Orden impugnada respetan los criterios establecidos por aquélla como delimitadores de la competencia estatal sobre pesca marítima. </w:t>
      </w:r>
    </w:p>
    <w:p w:rsidR="0025129F" w:rsidRDefault="0025129F" w:rsidP="0025129F">
      <w:pPr>
        <w:pStyle w:val="TextoNormal"/>
      </w:pPr>
      <w:r>
        <w:lastRenderedPageBreak/>
        <w:t xml:space="preserve">Por otro lado, y a la hora de precisar el alcance de las competencias autonómicas sobre medio ambiente y pesca, recuerda el Abogado del Estado que, si bien las competencias autonómicas pueden extenderse a la zona marítimo-terrestre, no cabe, sin embargo, la afección por aquéllas del mar territorial (SSTC 77/1984, 149/1991, 102/1995), y que, aun cuando la protección medioambiental dimanante de la declaración de un espacio natural protegido pueda conllevar que se afecte tangencialmente la actividad de pesca, ello no autoriza la desnaturalización de ésta como título competencial autónomo, imponiéndose, por el contrario, en los supuestos de concurrencia sobre un mismo espacio físico de actividades derivadas de títulos distintos, la determinación, en virtud del principio de especificidad, del título prevalente. Tesis que, en su opinión, refrenda la propia STC 102/1995 (FJ 26, a propósito de la determinación por el Estado, como norma básica, de las especies objeto de caza y pesca interior, desde la perspectiva de su protección). </w:t>
      </w:r>
    </w:p>
    <w:p w:rsidR="0025129F" w:rsidRDefault="0025129F" w:rsidP="0025129F">
      <w:pPr>
        <w:pStyle w:val="TextoNormal"/>
      </w:pPr>
      <w:r>
        <w:t xml:space="preserve">Pues bien, viene a decirse, la Orden cuestionada regula la pesca en aguas exteriores ex art. 149.1.19 CE con el objetivo de salvaguardar su preservación y la del medio en que se desenvuelve, objetivo cifrado de trascendente para todo el caladero nacional. En este sentido, ninguna afección de las competencias autonómicas sobre marisqueo, acuicultura o buceo deportivo puede descubrirse, competencias que, en todo caso, habrán de ejercitarse con respeto a la consecución del objetivo antes mencionado. </w:t>
      </w:r>
    </w:p>
    <w:p w:rsidR="0025129F" w:rsidRDefault="0025129F" w:rsidP="0025129F">
      <w:pPr>
        <w:pStyle w:val="TextoNormal"/>
      </w:pPr>
      <w:r>
        <w:t xml:space="preserve">Por tanto, sólo en el caso del ejercicio de aquellas competencias que, como la acuicultura, el marisqueo o la ordenación del sector pesquero, por definición han de realizarse en el mar territorial o, aun, fuera de éste, tendrá sentido la llamada proyección exterior del ejercicio de las competencias, mas sin que sea sostenible que en el mar territorial se produzca la preconizada prevalencia de las competencias autonómicas en materia de medio ambiente o espacios naturales protegidos sobre la estatal de pesca marítima, pues ello no es posible ni siquiera en caso de concurrencia de títulos competenciales, ya que entonces, más que de predominio de uno sobre otro, ha de hablarse de la necesidad de armonizar y compaginar los que se hallen en presencia (SSTC 64/1982, 77/1984). </w:t>
      </w:r>
    </w:p>
    <w:p w:rsidR="0025129F" w:rsidRDefault="0025129F" w:rsidP="0025129F">
      <w:pPr>
        <w:pStyle w:val="TextoNormal"/>
      </w:pPr>
      <w:r>
        <w:t>La imbricación, por tanto, de la Orden en cuestión en el título pesca, más allá de la competencia autonómica sobre ordenación del sector pesquero, que, en todo caso, es competencia compartida (STC 149/1992, FJ 2), según pone de relieve el análisis de los concretos preceptos que la integran, permite al Abogado del Estado instar la desestimación del conflicto planteado, así como la declaración de titularidad estatal de la competencia controvertida, amén de la acumulación del presente al conflicto núm. 1492/95.</w:t>
      </w:r>
    </w:p>
    <w:p w:rsidR="0025129F" w:rsidRDefault="0025129F" w:rsidP="0025129F">
      <w:pPr>
        <w:pStyle w:val="TextoNormal"/>
      </w:pPr>
    </w:p>
    <w:p w:rsidR="0025129F" w:rsidRDefault="0025129F" w:rsidP="0025129F">
      <w:pPr>
        <w:pStyle w:val="TextoNormal"/>
      </w:pPr>
      <w:r w:rsidRPr="0025129F">
        <w:rPr>
          <w:rStyle w:val="NumeroAFNegritaCaracter"/>
        </w:rPr>
        <w:t>10</w:t>
      </w:r>
      <w:r>
        <w:t>. Por Auto del Pleno de 16 de enero de 1996 se acordó la acumulación del conflicto positivo de competencia núm. 3744/95 al registrado con el núm. 1492/95.</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12 de febrero de 2002 se señaló el día 14 del mismo mes para deliberación y votación de la presente Sentencia, quedando conclusa con esta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Los dos conflictos acumulados en este proceso tienen por objeto, de un lado, el Decreto de la Junta de Andalucía 418/1994, por el que se aprueban el plan de ordenación de los recursos naturales y el plan de uso y gestión del parque natural Cabo de Gata-Níjar, y, de otro, la Orden del Ministerio de Agricultura, Pesca y Alimentación de 3 de julio de 1995, por la que se establece la reserva marina de Cabo de Gata-Níjar.</w:t>
      </w:r>
    </w:p>
    <w:p w:rsidR="0025129F" w:rsidRDefault="0025129F" w:rsidP="0025129F">
      <w:pPr>
        <w:pStyle w:val="TextoNormal"/>
      </w:pPr>
      <w:r>
        <w:lastRenderedPageBreak/>
        <w:t>En el primero de dichos conflictos, suscitado por el Gobierno de la Nación, se impugna el Decreto autonómico 418/1994, en razón a un doble argumento: de un lado, porque vulnera las competencias estatales en materia de “pesca marítima” y, de otro, porque proyecta la regulación del espacio protegido sobre el mar territorial, extralimitándose del ámbito físico que constituye el territorio autonómico, al que debería haberse ceñido la Junta de Andalucía al realizar dicha regulación.</w:t>
      </w:r>
    </w:p>
    <w:p w:rsidR="0025129F" w:rsidRDefault="0025129F" w:rsidP="0025129F">
      <w:pPr>
        <w:pStyle w:val="TextoNormal"/>
      </w:pPr>
      <w:r>
        <w:t>En cuanto a la Orden del Ministerio de Agricultura, Pesca y Alimentación de 3 de julio de 1995, sobre la que se traba el segundo conflicto positivo de competencia, es impugnada por la Junta de Andalucía por entender que la reserva marina que se establece coincide físicamente con una franja de una milla de extensión que se encuentra incluida en la delimitación del parque natural Cabo de Gata-Níjar, concretamente en su límite este-sur, y no tiene cobertura en el título competencial de “pesca marítima”, sino que, por el contrario, vulnera las competencias autonómicas en materia de medio ambiente, espacios naturales protegidos, marisqueo y acuicultura, deporte y ocio.</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entrar a examinar con mayor detalle los títulos competenciales aducidos por las partes en defensa de sus respectivas posiciones, debemos valorar dos objeciones procesales planteadas por la Junta de Andalucía.</w:t>
      </w:r>
    </w:p>
    <w:p w:rsidR="0025129F" w:rsidRDefault="0025129F" w:rsidP="0025129F">
      <w:pPr>
        <w:pStyle w:val="TextoNormal"/>
      </w:pPr>
      <w:r>
        <w:t>La representación procesal autonómica manifiesta, en primer lugar, que existe una desviación entre el requerimiento de incompetencia y el suplico de la demanda en lo relativo a la pretensión deducida por el Estado frente al Decreto impugnado. Así, mientras en el requerimiento de incompetencia se solicitó una nueva delimitación del límite este y sur del parque natural o, subsidiariamente, la derogación de los artículos impugnados, en el suplico de la demanda no existe referencia a una nueva delimitación del parque, delimitación que ya estaba incluida en la Ley del Parlamento de Andalucía 2/1989, de 18 de julio, por la que se aprueba el inventario de espacios naturales protegidos de Andalucía y se establecen medidas adicionales de protección, sin que dicha delimitación se hubiera objetado por el Gobierno del Estado.</w:t>
      </w:r>
    </w:p>
    <w:p w:rsidR="0025129F" w:rsidRDefault="0025129F" w:rsidP="0025129F">
      <w:pPr>
        <w:pStyle w:val="TextoNormal"/>
      </w:pPr>
      <w:r>
        <w:t xml:space="preserve">Puntualizando con carácter previo que la delimitación del parque natural se regula en el Decreto 314/1987 (art. 2 y Anexo) y no en la Ley 2/1989 que, simplemente, remite a aquél (apartado 60 del Anexo I), se constata que este planteamiento no puede ser admitido. En el requerimiento de incompetencia formulado por el Gobierno de la Nación, éste solicita que se modifique la delimitación del límite este y sur del parque natural, de modo que aquélla no exceda de la zona marítimo-terrestre y de las aguas interiores o, subsidiariamente, se deroguen o queden sin efecto los artículos que por proyectarse sobre las aguas exteriores vulnerarían sus competencias en materia de “pesca marítima” (art. 149.1.19 CE). De otro lado, el Abogado del Estado sostiene en el apartado II de sus fundamentos jurídicos dos tipos de argumentos en defensa de la posición del Estado: la invasión de la competencia estatal en materia de “pesca marítima” y la extralimitación del ámbito territorial en el que la Junta de Andalucía debe ejercer sus competencias. De modo que en el suplico de la demanda se solicita que se declare que la competencia controvertida corresponde al Estado y que se anulen los preceptos objeto del conflicto. Es claro que de admitirse cualquiera de ambas líneas de razonamiento, que se acomodan a lo argumentado y solicitado en el escrito de requerimiento previo, se podría obtener un pronunciamiento de este Tribunal que atendiera, a su vez, a lo solicitado en la demanda. De otro lado, en nada afecta a la pretensión del Estado mantenida en este conflicto el hecho de que no se haya objetado antes la delimitación territorial del parque, habida cuenta de que, “dado el carácter indisponible de las competencias, con o sin impugnación la competencia no se traslada, por mucho que </w:t>
      </w:r>
      <w:r>
        <w:lastRenderedPageBreak/>
        <w:t>pueda estar indebidamente ejercida por una de las partes por un período más o menos prolongado, como en definitiva es ya doctrina reiterada por este Tribunal” (STC 153/1989, de 5 de octubre, FJ 10).</w:t>
      </w:r>
    </w:p>
    <w:p w:rsidR="0025129F" w:rsidRDefault="0025129F" w:rsidP="0025129F">
      <w:pPr>
        <w:pStyle w:val="TextoNormal"/>
      </w:pPr>
      <w:r>
        <w:t>También manifiesta la representación procesal andaluza que el conflicto es meramente preventivo, pues habiendo abandonado el Estado su inicial pretensión contraria a la delimitación del espacio natural, siempre será posible interpretar los preceptos del reglamento andaluz objeto de conflicto como referidos a las aguas interiores, habida cuenta de la competencia autonómica en esta materia (art. 13.18 EAAnd).</w:t>
      </w:r>
    </w:p>
    <w:p w:rsidR="0025129F" w:rsidRDefault="0025129F" w:rsidP="0025129F">
      <w:pPr>
        <w:pStyle w:val="TextoNormal"/>
      </w:pPr>
      <w:r>
        <w:t>Este criterio tampoco puede ser admitido, puesto que lo desmiente la demanda, que en buena medida se sustenta en que el Decreto impugnado regula cuestiones propias de la “pesca marítima” en las aguas exteriores, y también hace lo propio el planteamiento de la representación autonómica que, expresamente, aduce en la alegación segunda, 2, como ya hiciera el Gobierno autónomo en la contestación al requerimiento, que las competencias de la Junta de Andalucía en materia de medio ambiente y espacios naturales protegidos pueden extenderse al mar territorial y, en tal sentido, no cuestiona que una franja marítima del parque se encuentra, efectivamente, en las aguas exteriores o mar territorial. Siendo este ámbito espacial el propio de la competencia de “pesca marítima”, y al ceñirse la reivindicación estatal exclusivamente a las aguas de parque natural, que “excede de las aguas interiores, comprendiendo aguas exteriores” (antecedente I), es clara a la colisión normativa que puede producirse en dicho ámbito.</w:t>
      </w:r>
    </w:p>
    <w:p w:rsidR="0025129F" w:rsidRDefault="0025129F" w:rsidP="0025129F">
      <w:pPr>
        <w:pStyle w:val="TextoNormal"/>
      </w:pPr>
    </w:p>
    <w:p w:rsidR="0025129F" w:rsidRDefault="0025129F" w:rsidP="0025129F">
      <w:pPr>
        <w:pStyle w:val="TextoNormal"/>
      </w:pPr>
      <w:r w:rsidRPr="0025129F">
        <w:rPr>
          <w:rStyle w:val="NumeroAFNegritaCaracter"/>
        </w:rPr>
        <w:t>3</w:t>
      </w:r>
      <w:r>
        <w:t>. Según hemos avanzado ya, en ambos conflictos positivos de competencia el Gobierno de la Nación y el de la Junta de Andalucía discuten acerca de las disposiciones normativas adoptadas de contrario en cada disposición litigiosa, en cuanto que ambas se proyectan en el mismo espacio físico: el último tramo del “límite Este y Sur” del parque natural Cabo de Gata-Níjar, que “comprende una franja marina de una milla de anchura, paralela a la línea de costa descrita, que coincide aproximadamente con la cota batimétrica de 50 metros” (Anexo III del Decreto 418/1994).</w:t>
      </w:r>
    </w:p>
    <w:p w:rsidR="0025129F" w:rsidRDefault="0025129F" w:rsidP="0025129F">
      <w:pPr>
        <w:pStyle w:val="TextoNormal"/>
      </w:pPr>
      <w:r>
        <w:t>El Decreto de la Junta de Andalucía 418/1994 aprueba el plan de ordenación de los recursos naturales del parque natural de Cabo de Gata- Níjar, declarado como tal por Decreto 314/1987, de 23 de diciembre e incluido en la Ley 2/1989, de 18 de julio, que establece el inventario de los espacios naturales de Andalucía y medidas adicionales para su protección.  Dicho plan de ordenación, en cumplimiento de lo previsto en la Ley 4/1989, de 27 de marzo, de conservación de los espacios naturales y de la flora y fauna silvestres (en adelante, LCEN), y en la citada Ley autonómica, tiene por finalidad la ordenación general de los recursos del parque natural, estableciendo una pluralidad de objetivos a alcanzar.</w:t>
      </w:r>
    </w:p>
    <w:p w:rsidR="0025129F" w:rsidRDefault="0025129F" w:rsidP="0025129F">
      <w:pPr>
        <w:pStyle w:val="TextoNormal"/>
      </w:pPr>
      <w:r>
        <w:t>El plan de ordenación de los recursos naturales regula las medidas a adoptar para la ordenación de los recursos naturales del parque, previendo medidas específicas en las siguientes esferas: recursos edáficos y geológicos, hídricos, atmosféricos, de la fauna y flora silvestre, recursos forestales, ganaderos, agrícolas, cinegéticos, pesqueros y paisajísticos.  Entre las medidas relativas a los recursos pesqueros (arts. 137 a 156 del Anexo I) se incluyen la limitación de la actividad pesquera profesional, la regulación de las artes y aparejos de la misma y la posible exclusión de toda actividad pesquera, entre otras medidas.</w:t>
      </w:r>
    </w:p>
    <w:p w:rsidR="0025129F" w:rsidRDefault="0025129F" w:rsidP="0025129F">
      <w:pPr>
        <w:pStyle w:val="TextoNormal"/>
      </w:pPr>
      <w:r>
        <w:t>El Anexo 2 contiene el plan rector de uso y gestión del parque natural, regulando los recursos pesqueros en sus arts. 45 a 47. Dicha regulación afecta a la “pesca económica”, incidiendo, entre otros aspectos, en la actividad pesquera profesional y sus límites, las artes permitidas y el aprovechamiento pesquero, las vedas, etc.</w:t>
      </w:r>
    </w:p>
    <w:p w:rsidR="0025129F" w:rsidRDefault="0025129F" w:rsidP="0025129F">
      <w:pPr>
        <w:pStyle w:val="TextoNormal"/>
      </w:pPr>
      <w:r>
        <w:lastRenderedPageBreak/>
        <w:t>En cuanto a la Orden del Ministerio de Agricultura, Pesca y Alimentación de 3 de julio de 1995, establece la reserva marina de Cabo de Gata-Níjar, que se extiende a “la franja costera adyacente al Parque Natural Cabo de Gata-Níjar, constituida por la porción de aguas exteriores comprendida entre las líneas de base rectas y la franja que dista una milla de la costa y delimitada al oeste del Cabo de Gata por la desembocadura de la rambla del agua, en el término municipal de Almería y al este por la desembocadura de El Barranco del Hondo, en el término municipal de Carboneras” (art. 1).  En el seno de la “reserva marina” se incluyen “reservas integrales” con las correspondientes limitaciones de uso en las mismas (arts. 3 y 4), entre los que se incluyen los censos de embarcaciones autorizadas a ejercer la actividad pesquera (art. 5).</w:t>
      </w:r>
    </w:p>
    <w:p w:rsidR="0025129F" w:rsidRDefault="0025129F" w:rsidP="0025129F">
      <w:pPr>
        <w:pStyle w:val="TextoNormal"/>
      </w:pPr>
      <w:r>
        <w:t>En conclusión, la confluencia espacial de ambas normas es el elemento determinante de ambos conflictos positivos de competencia, pues cada parte otorga legitimidad constitucional a la norma propia a tenor de los títulos competenciales que cada una de ellas tiene atribuidos.</w:t>
      </w:r>
    </w:p>
    <w:p w:rsidR="0025129F" w:rsidRDefault="0025129F" w:rsidP="0025129F">
      <w:pPr>
        <w:pStyle w:val="TextoNormal"/>
      </w:pPr>
    </w:p>
    <w:p w:rsidR="0025129F" w:rsidRDefault="0025129F" w:rsidP="0025129F">
      <w:pPr>
        <w:pStyle w:val="TextoNormal"/>
      </w:pPr>
      <w:r w:rsidRPr="0025129F">
        <w:rPr>
          <w:rStyle w:val="NumeroAFNegritaCaracter"/>
        </w:rPr>
        <w:t>4</w:t>
      </w:r>
      <w:r>
        <w:t>. Procede ya examinar el primero de los conflictos positivos de competencia, esto es, el promovido por el Estado respecto del Decreto de la Junta de Andalucía 418/1994, de 25 de octubre, por el que se aprueba el plan de ordenación de los recursos naturales y el plan rector de uso y gestión del parque natural de Cabo de Gata-Níjar.</w:t>
      </w:r>
    </w:p>
    <w:p w:rsidR="0025129F" w:rsidRDefault="0025129F" w:rsidP="0025129F">
      <w:pPr>
        <w:pStyle w:val="TextoNormal"/>
      </w:pPr>
      <w:r>
        <w:t>Los preceptos que constituyen el objeto de este conflicto positivo de competencia se refieren, todos ellos, a la regulación de diversos aspectos relativos a la protección de los recursos pesqueros en el parque natural, aspectos que incluyen desde los objetivos a conseguir hasta las medidas concretas a poner en práctica, y que se refieren a las propias especies pesqueras a proteger, a determinadas instalaciones, como son los arrecifes artificiales, y a la regulación de diversas cuestiones relativas al régimen de extracción de recursos.</w:t>
      </w:r>
    </w:p>
    <w:p w:rsidR="0025129F" w:rsidRDefault="0025129F" w:rsidP="0025129F">
      <w:pPr>
        <w:pStyle w:val="TextoNormal"/>
      </w:pPr>
      <w:r>
        <w:t>El Abogado del Estado achaca al mismo, en cuanto que se proyecta sobre la franja marina antedicha, la vulneración de la competencia exclusiva estatal en materia de “pesca marítima” (art. 149.1.19 CE), así como la falta de competencia de la Junta de Andalucía para dictarlo, toda vez que aquella franja se sitúa en el mar territorial, fuera, por tanto, de las aguas interiores sobre las que la Junta de Andalucía puede ejercitar sus competencias pesqueras, y fuera también del límite de su territorio, único ámbito en que aquélla puede desplegar sus competencias en materia de medio ambiente y de espacios naturales protegidos, el cual incluye la zona marítimo-terrestre.</w:t>
      </w:r>
    </w:p>
    <w:p w:rsidR="0025129F" w:rsidRDefault="0025129F" w:rsidP="0025129F">
      <w:pPr>
        <w:pStyle w:val="TextoNormal"/>
      </w:pPr>
      <w:r>
        <w:t>Por el contrario, para el Letrado de la Junta de Andalucía el Decreto controvertido ha sido dictado en ejercicio de las siguientes competencias: de carácter exclusivo en materia de espacios naturales protegidos y de marisqueo y acuicultura y de desarrollo legislativo y ejecución en materia de medio ambiente y ordenación del sector pesquero (arts. 13.7 y 18 y 15.1.6 y 7 EAAnd).</w:t>
      </w:r>
    </w:p>
    <w:p w:rsidR="0025129F" w:rsidRDefault="0025129F" w:rsidP="0025129F">
      <w:pPr>
        <w:pStyle w:val="TextoNormal"/>
      </w:pPr>
      <w:r>
        <w:t>Debemos determinar, de entre los títulos competenciales citados por las partes, aquéllos en que pueden incardinarse las medidas que resultan objeto de conflicto, para lo cual deberemos partir de nuestra propia doctrina acerca del alcance y naturaleza de los títulos aducidos.</w:t>
      </w:r>
    </w:p>
    <w:p w:rsidR="0025129F" w:rsidRDefault="0025129F" w:rsidP="0025129F">
      <w:pPr>
        <w:pStyle w:val="TextoNormal"/>
      </w:pPr>
    </w:p>
    <w:p w:rsidR="0025129F" w:rsidRDefault="0025129F" w:rsidP="0025129F">
      <w:pPr>
        <w:pStyle w:val="TextoNormal"/>
      </w:pPr>
      <w:r w:rsidRPr="0025129F">
        <w:rPr>
          <w:rStyle w:val="NumeroAFNegritaCaracter"/>
        </w:rPr>
        <w:t>5</w:t>
      </w:r>
      <w:r>
        <w:t>. Por parte del Abogado del Estado, se sostiene que los preceptos impugnados del Decreto 418/1994 vulneran el orden constitucional de competencias por dos motivos: por proyectar su regulación en el mar territorial, que no es territorio autonómico, y por invadir las competencias del Estado en materia de “pesca marítima” (art. 149.1.19 CE).</w:t>
      </w:r>
    </w:p>
    <w:p w:rsidR="0025129F" w:rsidRDefault="0025129F" w:rsidP="0025129F">
      <w:pPr>
        <w:pStyle w:val="TextoNormal"/>
      </w:pPr>
      <w:r>
        <w:lastRenderedPageBreak/>
        <w:t>Ambos motivos deben ser, efectivamente, examinados. El primero, porque, según hemos adelantado, los preceptos impugnados habrán de aplicarse en el mar territorial y, habida cuenta de que el art. 9 EAAnd determina “que las leyes y normas emanadas de las instituciones de autogobierno de Andalucía tendrán eficacia en su territorio”, es necesario dilucidar si la franja de mar territorial controvertida forma parte o no del territorio andaluz.  El segundo motivo debe ser también analizado, pues, sintéticamente, hemos declarado que “por pesca marítima hay que entender la regulación de la actividad extractiva y, como presupuesto de ella, el régimen de protección, conservación y mejora de los recursos pesqueros” (STC 147/1998, de 2 de julio, FJ 7, con cita de las SSTC 147/1991, de 4 de julio, 44/1992, de 2 de abril, 57/1992, de 9 de abril, 68/1992, de 30 de abril, 149/1992, de 19 de octubre, y 148/1996, de 25 de septiembre) y los preceptos impugnados pueden incidir, en razón a lo expuesto en el fundamento jurídico 3 a las dos dimensiones aludidas de la “pesca marítima”.</w:t>
      </w:r>
    </w:p>
    <w:p w:rsidR="0025129F" w:rsidRDefault="0025129F" w:rsidP="0025129F">
      <w:pPr>
        <w:pStyle w:val="TextoNormal"/>
      </w:pPr>
      <w:r>
        <w:t>En cuanto a los títulos competenciales alegados por la Comunidad Autónoma, debemos determinar su incidencia partiendo de “la doctrina de que la inclusión de una competencia genérica debe ceder ante la competencia específica (SSTC 71/1982, FJ 2 y 87/1989, FJ 3, entre otras)” (STC 190/2000, de 13 de julio, FJ 4). De acuerdo con ello ha de descartarse que el Decreto autonómico pueda incardinarse en las materias de “marisqueo” y “acuicultura”, pues, aunque alguna incidencia pudieran tener las mismas, sería, sin duda, colateral e indirecta, ya que los preceptos impugnados no regulan sustancialmente aspectos atinentes a las mismas.</w:t>
      </w:r>
    </w:p>
    <w:p w:rsidR="0025129F" w:rsidRDefault="0025129F" w:rsidP="0025129F">
      <w:pPr>
        <w:pStyle w:val="TextoNormal"/>
      </w:pPr>
      <w:r>
        <w:t>La conexión se produce, en cambio, con las materias de “medio ambiente” y “espacios naturales protegidos” y, a tal efecto, “debe recordarse que, desde las SSTC 64/1982, 69/1982 y 82/1982 (FFJJ 3, 1 y 2, respectivamente) hasta la más reciente STC 102/1995 (FJ 16), este Tribunal ha venido advirtiendo que, a pesar de la íntima relación entre las materias relativas al medio ambiente y a los espacios naturales protegidos, en nuestro Ordenamiento las actividades publicas relativas a estos dos objetos constituyen ámbitos materiales distintos, dotados de diferente distribución de funciones.  Concretamente, se ha dicho que la materia de medio ambiente tiene un alcance genérico, tanto en su objeto como en el tipo de protección, respecto de la materia de espacios naturales protegidos, que se refiere únicamente a un elemento u objeto de aquélla —el soporte topográfico del medio ambiente, en palabras de la STC 102/1986— y a una determinada forma de actuación —basada sobre todo en la conservación de la naturaleza en determinados espacios por medio de una lista de prohibiciones y/o limitaciones, como se dice en la STC 64/1982”, aclarando tras ello que “este Tribunal ha precisado que la declaración de espacios naturales protegidos y la consiguiente delimitación de su ámbito territorial se encuadra con toda naturalidad en la materia de espacios naturales protegidos (por todas, STC 69/1982, FJ 1)” (STC 195/1998, de 1 de octubre, FJ 3).</w:t>
      </w:r>
    </w:p>
    <w:p w:rsidR="0025129F" w:rsidRDefault="0025129F" w:rsidP="0025129F">
      <w:pPr>
        <w:pStyle w:val="TextoNormal"/>
      </w:pPr>
    </w:p>
    <w:p w:rsidR="0025129F" w:rsidRDefault="0025129F" w:rsidP="0025129F">
      <w:pPr>
        <w:pStyle w:val="TextoNormal"/>
      </w:pPr>
      <w:r w:rsidRPr="0025129F">
        <w:rPr>
          <w:rStyle w:val="NumeroAFNegritaCaracter"/>
        </w:rPr>
        <w:t>6</w:t>
      </w:r>
      <w:r>
        <w:t>. Alcanzando ya un criterio sobre los títulos competenciales esgrimidos por las partes que coliden en este proceso que han de ser tenidos en cuenta, debemos recordar una vez más que la discrepancia competencial se centra exclusivamente en una determinada porción del ámbito físico del parque natural de Cabo de Gata-Níjar: la franja marítima de una milla de anchura situada en el límite este y sur de dicho parque, respecto de la cual ambas partes admiten que se sitúa fuera de las aguas interiores y de la zona marítimo-terrestre, es decir, en el mar territorial.</w:t>
      </w:r>
    </w:p>
    <w:p w:rsidR="0025129F" w:rsidRDefault="0025129F" w:rsidP="0025129F">
      <w:pPr>
        <w:pStyle w:val="TextoNormal"/>
      </w:pPr>
      <w:r>
        <w:t>Antes de seguir avanzando, es llegado el momento de determinar si, como aduce el Abogado del Estado, las competencias autonómicas carecen de virtualidad en dicho espa</w:t>
      </w:r>
      <w:r>
        <w:lastRenderedPageBreak/>
        <w:t>cio por razón de extraterritorialidad, es decir, por proyectarse en unos límites físicos que no forman parte del territorio autonómico.</w:t>
      </w:r>
    </w:p>
    <w:p w:rsidR="0025129F" w:rsidRDefault="0025129F" w:rsidP="0025129F">
      <w:pPr>
        <w:pStyle w:val="TextoNormal"/>
      </w:pPr>
      <w:r>
        <w:t>Pues bien, en relación con este planteamiento debe recordarse que el territorio, y de ahí su funcionalidad general en el entramado de distribución de competencias operado por la Constitución, los Estatutos de Autonomía y demás leyes integradas en el bloque de la constitucionalidad, se configura como elemento definidor de las competencias de los poderes públicos territoriales (así, significativamente, art. 9 del Estatuto andaluz), y, en concreto, como definidor de las de cada Comunidad Autónoma en su relación con las demás Comunidades y con el Estado (STC 99/1986, de 10 de julio).  Funcionalidad que, reconocida expresamente en los propios Estatutos, dimana de “la necesidad de hacer compatible el ejercicio simultáneo de las competencias asumidas por las distintas Comunidades” (STC 44/1984, de 27 de marzo, FJ 2), y que sirve directamente, en ocasiones, al objetivo de atribuir, localizándola en atención al ámbito en que se desarrollan las oportunas actividades materiales, la titularidad de la correspondiente competencia (ferrocarriles y carreteras, art. 148.1.5 CE: SSTC 132/1996, de 22 de julio, 65/1998, de 18 de marzo, 132/1998, de 18 de junio; aprovechamientos hidráulicos e instalaciones eléctricas, art. 149.1.22), como de modo indubitado ha reconocido con carácter general la jurisprudencia de este Tribunal (STC 86/1988, de 3 de mayo) y, específicamente, en relación con las actividades de transporte (SSTC 97/1983, de 15 de noviembre, 180/1992, de 16 de noviembre, 118/1996, de 27 de junio).</w:t>
      </w:r>
    </w:p>
    <w:p w:rsidR="0025129F" w:rsidRDefault="0025129F" w:rsidP="0025129F">
      <w:pPr>
        <w:pStyle w:val="TextoNormal"/>
      </w:pPr>
      <w:r>
        <w:t>Partiendo de estos principios, también nos hemos pronunciado sobre la relación existente entre el territorio autonómico y las competencias de las Comunidades Autónomas, así como, más específicamente, sobre las competencias de éstas en la zona marítimo-terrestre y en el mar territorial.</w:t>
      </w:r>
    </w:p>
    <w:p w:rsidR="0025129F" w:rsidRDefault="0025129F" w:rsidP="0025129F">
      <w:pPr>
        <w:pStyle w:val="TextoNormal"/>
      </w:pPr>
      <w:r>
        <w:t>Así, “que las competencias de las Comunidades se circunscriben a su ámbito territorial” ha sido afirmado por este Tribunal repetidas veces y también en la STC 37/1981, de 16 de noviembre, aunque con la salvedad de que ello no impide que el ejercicio de las competencias de una Comunidad pueda tener repercusiones de hecho fuera de la misma; lo que no es aquí el caso, pues no se trata de repercusiones indirectas sino del ejercicio directo de competencias (STC 49/1988, de 22 de marzo, FJ 30), pues “en el reparto competencial configurado por la Constitución y los respectivos Estatutos de las Comunidades Autónomas, el ejercicio de una competencia atribuida a una de ellas debe tener como soporte y presupuesto el territorio en el cual esa Comunidad ejerce sus potestades, de suerte que éste opera como límite para aquél, ya que si no se respetara tal ámbito competencial podría invadirse indebidamente el de otra Comunidad con olvido de lo que hemos dado en llamar la territorialidad de las competencias autonómicas” (STC 195/2001, de 4 de octubre, FJ 3). En suma, se trata de un criterio reiterado, pues en igual sentido nos pronunciamos en la STC 101/1995, 20 de junio, FJ 7, que trae a colación también el pronunciamiento de la STC 33/1982, de 8 de junio.</w:t>
      </w:r>
    </w:p>
    <w:p w:rsidR="0025129F" w:rsidRDefault="0025129F" w:rsidP="0025129F">
      <w:pPr>
        <w:pStyle w:val="TextoNormal"/>
      </w:pPr>
      <w:r>
        <w:t>En cuanto a lo que deba entenderse por territorio autonómico, hemos afirmado que “tanto la jurisprudencia del Tribunal Supremo, como la doctrina del Consejo de Estado, han sostenido en forma inequívoca y, concretamente, respecto a los puertos y a la zona marítimo-terrestre que uno y otra forman parte del territorio municipal en que están enclavados, basándose en que legalmente todo el territorio nacional se divide en términos municipales, de forma que no pueden quedar espacios territoriales excluidos de ellos (Sentencias de 2 de octubre de 1967, 24 de enero de 1974, 16 de diciembre de 1977, 17 de marzo de 1980, dictámenes del Consejo de Estado de 10 de mayo de 1952 y 14 de febrero de 1957). Parece claro que la misma doctrina hay que aplicar a la división del territorio na</w:t>
      </w:r>
      <w:r>
        <w:lastRenderedPageBreak/>
        <w:t>cional en Comunidades Autónomas (art. 137 de la Constitución), máxime cuando esa división del territorio nacional es ahora total” (STC 77/1984, de 3 de julio, FJ 3).</w:t>
      </w:r>
    </w:p>
    <w:p w:rsidR="0025129F" w:rsidRDefault="0025129F" w:rsidP="0025129F">
      <w:pPr>
        <w:pStyle w:val="TextoNormal"/>
      </w:pPr>
      <w:r>
        <w:t>Distinto es el caso del mar territorial. En el mar territorial excepcionalmente pueden llegar a ejercerse competencias autonómicas, eventualidad ésta que dependerá, bien de un explícito reconocimiento estatutario (vertidos industriales o contaminantes en aguas territoriales, salvamento marítimo: arts. 17.6 y 11 EAAnd) bien de la naturaleza de la competencia tal como resulta de la interpretación del bloque de la constitucionalidad (acuicultura: STC 103/1989, de 8 de junio; ordenación del sector pesquero: STC 158/1986, de 11 de diciembre; marisqueo: STC 9/2001, de 18 de enero).</w:t>
      </w:r>
    </w:p>
    <w:p w:rsidR="0025129F" w:rsidRDefault="0025129F" w:rsidP="0025129F">
      <w:pPr>
        <w:pStyle w:val="TextoNormal"/>
      </w:pPr>
      <w:r>
        <w:t>Pero la naturaleza de la que aquí se esgrime, esto es, la competencia autonómica para la protección de espacios naturales, hace problemática su extensión al mar territorial.</w:t>
      </w:r>
    </w:p>
    <w:p w:rsidR="0025129F" w:rsidRDefault="0025129F" w:rsidP="0025129F">
      <w:pPr>
        <w:pStyle w:val="TextoNormal"/>
      </w:pPr>
      <w:r>
        <w:t>En efecto, de una parte, el mar territorial, como soporte topográfico del medio ambiente se integra en primer término por un elemento móvil — las aguas— que, por obvias razones físicas no pueden adscribirse de modo permanente a un lugar determinado y, de otra, en ellas se ejerce la competencia exclusiva del Estado sobre pesca marítima que recae sobre uno de los elementos del espacio natural —gran parte de la vida marina— que se halla más necesitado de protección.</w:t>
      </w:r>
    </w:p>
    <w:p w:rsidR="0025129F" w:rsidRDefault="0025129F" w:rsidP="0025129F">
      <w:pPr>
        <w:pStyle w:val="TextoNormal"/>
      </w:pPr>
      <w:r>
        <w:t>De ahí se deducen dos consecuencias: la primera que la competencia autonómica para la protección de espacios naturales sólo se extenderá al mar territorial cuando, excepcionalmente, así lo exijan las características del espacio protegido; y, la segunda, que dicha competencia se halla limitada, en el presente caso, por la competencia estatal sobre pesca marítima que, al recaer sobre uno solo de los elementos que constituyen el objeto de protección resulta más específica y, por ello, ha de prevalecer en caso de colisión. Prevalencia que cabe afirmar desde ahora sin perjuicio de la necesidad de colaboración a la que más adelante habremos de referirnos.</w:t>
      </w:r>
    </w:p>
    <w:p w:rsidR="0025129F" w:rsidRDefault="0025129F" w:rsidP="0025129F">
      <w:pPr>
        <w:pStyle w:val="TextoNormal"/>
      </w:pPr>
    </w:p>
    <w:p w:rsidR="0025129F" w:rsidRDefault="0025129F" w:rsidP="0025129F">
      <w:pPr>
        <w:pStyle w:val="TextoNormal"/>
      </w:pPr>
      <w:r w:rsidRPr="0025129F">
        <w:rPr>
          <w:rStyle w:val="NumeroAFNegritaCaracter"/>
        </w:rPr>
        <w:t>7</w:t>
      </w:r>
      <w:r>
        <w:t>. En la presente situación la parte demandada sostiene que la norma autonómica tiene como finalidad la protección de un espacio físico cuyas características naturales especiales determinan su proyección en un ámbito marino que incluye una zona del mar territorial. La Junta de Andalucía pretende mostrar la unidad del ecosistema del parque natural de Cabo de Gata-Níjar, justificando las medidas establecidas en su franja marina en virtud de la interrelación de los elementos o espacios terrestre y marítimo que lo conforman. En tal sentido, aporta un informe sobre las necesidades de gestión ambiental conjunta de las superficies marítima y terrestre, emitido por el Director Conservador del Parque. En la memoria justificativa de dicho informe se dice que el parque natural de Cabo de Gata-Níjar “es una unidad geológica de origen volcánico y arrecifal, bañada y parcialmente sumergida bajo las aguas del Mediterráneo”, y que los procesos ecológicos que se dan en su medio natural “ponen de manifiesto la absoluta interdependencia de sus ambientes marítimos y terrestres”. En este sentido se resalta “la excepcional diversidad de hábitats y formas de vida” representadas; la singularidad de su tapiz vegetal, único en el continente europeo, resultado de “las diarias aportaciones hídricas derivadas del hálito marino o maresia”; “el sobresaliente mosaico de comunidades vegetales presentes en el medio terrestre y las propias del medio marino”, así como la existencia de una “excepcional comunidad de vertebrados e invertebrados en la que sobresalen elementos ‘en peligro’”; la localización en el medio marino del soporte alimenticio de los recursos ornitológicos que se hallan en el litoral acantilado; la “sobresaliente, por diversa y singular” (unas ciento veintiséis especies de aves) respuesta biótica que conforma la zona húmeda de Las Salinas; la catalogación de este parque marítimo-terrestre como zona de especial protección para las aves y la vincu</w:t>
      </w:r>
      <w:r>
        <w:lastRenderedPageBreak/>
        <w:t>lación de sus humedales al Convenio Ramsar; la extensión de sus praderas de fanerógamas marinas, que se hallan en un excelente estado de conservación, determinado por la protección que les proporciona el correspondiente soporte geológico, y la mínima trascendencia que, por su caracterización geológica y escasas batimetrías, poseen estos caladeros para las flotas industriales (pesca de arrastre, etc.)  de los puertos de Almería, Garrucha y Carboneras; “la excepcional importancia que posee a nivel continental, por su extensión, grado de conservación y situación geográfica, este hábitat marino del Parque Natural”; la esencialidad de la “periódica continuidad de los aportes de sedimentos que realizan los cauces fluviales del Parque (ramblas) al medio marino con el que contactan” para lograr la “regeneración de los fondos (bancos) arenosos en los que habita un excepcional número de formas de vida”; la continua evolución de las formaciones geológicas de tipo duna y de los recursos bióticos y paisajísticos.</w:t>
      </w:r>
    </w:p>
    <w:p w:rsidR="0025129F" w:rsidRDefault="0025129F" w:rsidP="0025129F">
      <w:pPr>
        <w:pStyle w:val="TextoNormal"/>
      </w:pPr>
      <w:r>
        <w:t>Como corolario de lo anterior se resalta “la interdependencia de ambos medios [que] ha garantizado y garantiza tanto la rentabilidad socioeconómica de las actividades como los mecanismos de recuperación y reequilibrio ambiental del frágil sistema marítimo-terrestre que las soporta”.  En todo caso se afirma a modo de conclusión que el parque ha cubierto las previsiones de planificación ambiental de la Ley 4/1989, habiendo salido al paso de los distintos factores de perturbación que amenazaban su conservación, entre ellos la pesca.</w:t>
      </w:r>
    </w:p>
    <w:p w:rsidR="0025129F" w:rsidRDefault="0025129F" w:rsidP="0025129F">
      <w:pPr>
        <w:pStyle w:val="TextoNormal"/>
      </w:pPr>
      <w:r>
        <w:t>El planteamiento autonómico sólo puede ser parcialmente compartido.  Aunque las competencias de la Junta de Andalucía en materia de espacios naturales protegidos no alcanzan, por regla general, al mar territorial, las circunstancias y características específicas del espacio a proteger pueden demandar, en ocasiones excepcionales, que el mismo se extienda en alguna medida sobre el mar territorial, singularmente cuando así venga exigido por la continuidad y unidad de dicho espacio físico.</w:t>
      </w:r>
    </w:p>
    <w:p w:rsidR="0025129F" w:rsidRDefault="0025129F" w:rsidP="0025129F">
      <w:pPr>
        <w:pStyle w:val="TextoNormal"/>
      </w:pPr>
      <w:r>
        <w:t>Sin embargo, la posibilidad de que excepcionalmente un espacio natural de competencia autonómica en cuanto a su declaración y gestión, como es el caso que nos ocupa, pueda incluir algún ámbito del mar territorial, por reducido que sea éste, como aquí ocurre, no se compadece con el desconocimiento de las competencias estatales que puedan legítimamente desarrollarse en el mismo espacio físico, pues, en el fundamento jurídico 3 de la STC 15/1998, de 22 de enero se declaró, “en consonancia con reiterada jurisprudencia anterior, que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(STC 110/1998, de 21 de mayo, FJ 2).</w:t>
      </w:r>
    </w:p>
    <w:p w:rsidR="0025129F" w:rsidRDefault="0025129F" w:rsidP="0025129F">
      <w:pPr>
        <w:pStyle w:val="TextoNormal"/>
      </w:pPr>
      <w:r>
        <w:t xml:space="preserve">La consecuencia de ello no fue sino que “es necesario insistir, una vez más, en orden a una adecuada articulación de las competencias autonómicas sobre la ordenación del territorio y de las competencias estatales sectoriales que afectan al uso del territorio, en el establecimiento de fórmulas de cooperación, que resultan especialmente necesarias en estos supuestos de concurrencia de títulos competenciales en los que deben buscarse aquellas soluciones con las que se consiga optimizar el ejercicio de ambas competencias (SSTC 32/1983, 77/1984, 227/1988 y 36/1994) pudiendo elegirse, en cada caso, las técnicas que resulten más adecuadas: el mutuo intercambio de información, la emisión de informes previos en el ámbito de la propia competencia, la creación de órganos de composición mixta, etc. (STC 40/1988, FJ 30). Sin embargo es posible que esos cauces o fórmulas de cooperación resulten en algún caso concreto insuficientes para resolver los conflictos que </w:t>
      </w:r>
      <w:r>
        <w:lastRenderedPageBreak/>
        <w:t>puedan surgir, habiendo declarado este Tribunal Constitucional que en tales supuestos el Estado no puede verse privado del ejercicio de sus competencias exclusivas por la existencia de una competencia, aunque también sea exclusiva, de una Comunidad Autónoma (STC 56/1986, FJ 3)” (STC 149/1998, de 2 de julio, FJ 4).</w:t>
      </w:r>
    </w:p>
    <w:p w:rsidR="0025129F" w:rsidRDefault="0025129F" w:rsidP="0025129F">
      <w:pPr>
        <w:pStyle w:val="TextoNormal"/>
      </w:pPr>
    </w:p>
    <w:p w:rsidR="0025129F" w:rsidRDefault="0025129F" w:rsidP="0025129F">
      <w:pPr>
        <w:pStyle w:val="TextoNormal"/>
      </w:pPr>
      <w:r w:rsidRPr="0025129F">
        <w:rPr>
          <w:rStyle w:val="NumeroAFNegritaCaracter"/>
        </w:rPr>
        <w:t>8</w:t>
      </w:r>
      <w:r>
        <w:t>. Tras todo lo expuesto, podemos entrar ya a examinar si los artículos impugnados del Anexo 1 del Decreto 418/1994 vulneran, en su proyección sobre la franja marítima litigiosa, las competencias del Estado en materia de “pesca marítima” (art.  149.1.19 CE).</w:t>
      </w:r>
    </w:p>
    <w:p w:rsidR="0025129F" w:rsidRDefault="0025129F" w:rsidP="0025129F">
      <w:pPr>
        <w:pStyle w:val="TextoNormal"/>
      </w:pPr>
      <w:r>
        <w:t>Para apreciar si la vulneración se produce hay que partir de que en relación con la materia de pesca marítima disponemos ya de una doctrina consolidada, pues “la STC 56/1989, de 16 de marzo (FJ 5), estableció también los criterios para diferenciar el alcance de cada una de estas materias, que constituyen desde entonces doctrina constante de este Tribunal (SSTC 47/1991, de 4 de julio, 44/1992, de 2 de abril, 57/1992, de 9 de abril, 68/1992, de 30 de abril, 149/1992, de 19 de octubre, y 184/1996, de 14 de noviembre, ...). Sintéticamente, por pesca marítima hay que entender la regulación de la actividad extractiva y, como presupuesto de ella, el régimen de protección, conservación y mejora de los recursos pesqueros ... De manera más detallada, la pesca marítima incluye la normativa referente a los recursos y las zonas donde puede pescarse (fondos, caladeros, distancias, cupos), a los periodos en que puede pescarse (vedas, horas) y a la forma y medios de realización de la actividad extractiva en el mar (artes, medios de pesca)” (STC 9/2001, de 18 de enero, FJ 5).</w:t>
      </w:r>
    </w:p>
    <w:p w:rsidR="0025129F" w:rsidRDefault="0025129F" w:rsidP="0025129F">
      <w:pPr>
        <w:pStyle w:val="TextoNormal"/>
      </w:pPr>
      <w:r>
        <w:t>Asimismo, debemos tener en cuenta, en particular, que cuando nos pronunciamos sobre el art. 9.2 de la Ley del Parlamento de Cataluña 1/1986, declaramos que dicho precepto “concede al Consejo Ejecutivo de la Generalidad la facultad de determinar masas de agua en las que no podrá autorizarse la instalación de artes, industrias o aprovechamientos piscícolas, habida cuenta de la importancia de la riqueza piscícola ... Esta regulación autonómica, encaminada a preservar el recurso natural en ciertas zonas frente a actividades industriales o extractivas, se adentra en la competencia exclusiva del Estado para regular la cuestión en todo el caladero nacional, entre otras razones, dada la misma movilidad del recurso. Como hemos dicho en la STC 147/1991 (FJ 5) sólo desde una ordenación unitaria del caladero nacional pueden fijarse criterios efectivos de protección de un recurso natural necesariamente móvil y, por ello, difícilmente separable entre Comunidades Autónomas y limítrofes” (STC 44/1992, de 2 de abril, FJ 3).</w:t>
      </w:r>
    </w:p>
    <w:p w:rsidR="0025129F" w:rsidRDefault="0025129F" w:rsidP="0025129F">
      <w:pPr>
        <w:pStyle w:val="TextoNormal"/>
      </w:pPr>
      <w:r>
        <w:t>Expuesto lo anterior, podemos realizar ya el análisis de los preceptos impugnados:</w:t>
      </w:r>
    </w:p>
    <w:p w:rsidR="0025129F" w:rsidRDefault="0025129F" w:rsidP="0025129F">
      <w:pPr>
        <w:pStyle w:val="TextoNormal"/>
      </w:pPr>
      <w:r>
        <w:t>a) El art. 4 regula los objetivos del plan de ordenación de los recursos naturales (PORN)”. Se impugnan sus apartados 1 a), b), c), d), e), f y g)), que disponen lo siguiente:</w:t>
      </w:r>
    </w:p>
    <w:p w:rsidR="0025129F" w:rsidRDefault="0025129F" w:rsidP="0025129F">
      <w:pPr>
        <w:pStyle w:val="TextoNormal"/>
      </w:pPr>
      <w:r>
        <w:t>“1. Siendo el PORN el instrumento que enmarca y encabeza la planificación ambiental se establecen los siguientes objetivos generales:</w:t>
      </w:r>
    </w:p>
    <w:p w:rsidR="0025129F" w:rsidRDefault="0025129F" w:rsidP="0025129F">
      <w:pPr>
        <w:pStyle w:val="TextoNormal"/>
      </w:pPr>
      <w:r>
        <w:t>a) Proteger preferentemente los ecosistemas terrestres y marinos de especial interés ecológico y las especies en peligro de extinción o vulnerables.</w:t>
      </w:r>
    </w:p>
    <w:p w:rsidR="0025129F" w:rsidRDefault="0025129F" w:rsidP="0025129F">
      <w:pPr>
        <w:pStyle w:val="TextoNormal"/>
      </w:pPr>
      <w:r>
        <w:t>b) Mantener los ecosistemas terrestres y marinos para garantizar su diversidad biológica.</w:t>
      </w:r>
    </w:p>
    <w:p w:rsidR="0025129F" w:rsidRDefault="0025129F" w:rsidP="0025129F">
      <w:pPr>
        <w:pStyle w:val="TextoNormal"/>
      </w:pPr>
      <w:r>
        <w:t>c) Proteger los suelos, las aguas y fondos de su degradación por efecto de los procesos erosivos de origen natural o antrópico y la contaminación.</w:t>
      </w:r>
    </w:p>
    <w:p w:rsidR="0025129F" w:rsidRDefault="0025129F" w:rsidP="0025129F">
      <w:pPr>
        <w:pStyle w:val="TextoNormal"/>
      </w:pPr>
      <w:r>
        <w:t>d) Restaurar y regenerar los ecosistemas naturales terrestres y marinos degradados.</w:t>
      </w:r>
    </w:p>
    <w:p w:rsidR="0025129F" w:rsidRDefault="0025129F" w:rsidP="0025129F">
      <w:pPr>
        <w:pStyle w:val="TextoNormal"/>
      </w:pPr>
      <w:r>
        <w:t>e) Defender los espacios naturales terrestres y marinos y los recursos vivos que albergan contra incendios, plagas, enfermedades, fuentes y episodios puntuales de contaminación, mediante intervenciones que minimicen sus efectos negativos.</w:t>
      </w:r>
    </w:p>
    <w:p w:rsidR="0025129F" w:rsidRDefault="0025129F" w:rsidP="0025129F">
      <w:pPr>
        <w:pStyle w:val="TextoNormal"/>
      </w:pPr>
      <w:r>
        <w:lastRenderedPageBreak/>
        <w:t>f) Establecer limitaciones a los usos del suelo —ganaderos, pesqueros, turísticos...—, de las aguas y fondos marinos, que contemplen, en cada caso, su potencial biológico y capacidad productiva.</w:t>
      </w:r>
    </w:p>
    <w:p w:rsidR="0025129F" w:rsidRDefault="0025129F" w:rsidP="0025129F">
      <w:pPr>
        <w:pStyle w:val="TextoNormal"/>
      </w:pPr>
      <w:r>
        <w:t>g) Compatibilizar el uso social del medio terrestre y marino del Parque Natural con la conservación de los recursos físico-bióticos que albergan”.</w:t>
      </w:r>
    </w:p>
    <w:p w:rsidR="0025129F" w:rsidRDefault="0025129F" w:rsidP="0025129F">
      <w:pPr>
        <w:pStyle w:val="TextoNormal"/>
      </w:pPr>
      <w:r>
        <w:t>Estos apartados sólo contienen las orientaciones generales que persigue el plan de ordenación de los recursos naturales. Se trata de objetivos de indudable naturaleza conservacionista, que en la medida en que, simplemente, han de informar y orientar prescripciones normativas más concretas y no desconocen la dimensión extractiva [apartado 1 g)], en nada vulneran la competencia estatal de “pesca marítima” en la franja marina a que se ciñe el conflicto.</w:t>
      </w:r>
    </w:p>
    <w:p w:rsidR="0025129F" w:rsidRDefault="0025129F" w:rsidP="0025129F">
      <w:pPr>
        <w:pStyle w:val="TextoNormal"/>
      </w:pPr>
      <w:r>
        <w:t>b) Los arts. 18.5, 152, 153 y 156 se refieren a los arrecifes artificiales. El art. 18.5 dispone que “los arrecifes artificiales de promoción pública o privada, que pretendan implantarse en el ámbito marítimo del Parque Natural sólo podrán hacerlo en las Zonas de Grado B. En cualquier caso dicha instalación precisará autorización de la AMA”.</w:t>
      </w:r>
    </w:p>
    <w:p w:rsidR="0025129F" w:rsidRDefault="0025129F" w:rsidP="0025129F">
      <w:pPr>
        <w:pStyle w:val="TextoNormal"/>
      </w:pPr>
      <w:r>
        <w:t>Los arrecifes artificiales tienen como objeto “permitir la protección, regeneración y desarrollo de recursos pesqueros de zonas marinas litorales”, correspondiendo su autorización al Ministerio de Agricultura, Pesca y Alimentación cuando se sitúen en las aguas exteriores (arts. 37 y 38 del Real Decreto 798/1995, de 19 de mayo, por el que se definen los criterios y condiciones de las intervenciones con finalidad estructural en el sector de la pesca, de la acuicultura y de la comercialización, la transformación y la promoción de sus productos).</w:t>
      </w:r>
    </w:p>
    <w:p w:rsidR="0025129F" w:rsidRDefault="0025129F" w:rsidP="0025129F">
      <w:pPr>
        <w:pStyle w:val="TextoNormal"/>
      </w:pPr>
      <w:r>
        <w:t>Pues bien, en la STC 9/2001 hemos examinado el encuadramiento competencial de diversas medidas de conservación y mejora de los recursos pesqueros, entre los que se encuentran, junto a las zonas y épocas de veda, la fijación de fondos y la reglamentación de artes y aparejos, la regulación de los arrecifes artificiales, considerando que todos estos aspectos “se incardinan ... en la materia pesca marítima, competencia exclusiva del Estado (art. 149.1.19 CE) cuando su regulación se proyecta sobre el mar territorial, la zona económica y las aguas internacionales” (STC 9/2001, FJ 6).</w:t>
      </w:r>
    </w:p>
    <w:p w:rsidR="0025129F" w:rsidRDefault="0025129F" w:rsidP="0025129F">
      <w:pPr>
        <w:pStyle w:val="TextoNormal"/>
      </w:pPr>
      <w:r>
        <w:t>El precepto autonómico desconoce y vulnera, por tanto, la competencia estatal en materia de pesca marítima en la medida en que se aplica a la franja marina controvertida, disponiendo la intervención unilateral de la Junta de Andalucía.</w:t>
      </w:r>
    </w:p>
    <w:p w:rsidR="0025129F" w:rsidRDefault="0025129F" w:rsidP="0025129F">
      <w:pPr>
        <w:pStyle w:val="TextoNormal"/>
      </w:pPr>
      <w:r>
        <w:t>Lo propio ocurre, por conexión, con los arts. 152, 153 y 156.</w:t>
      </w:r>
    </w:p>
    <w:p w:rsidR="0025129F" w:rsidRDefault="0025129F" w:rsidP="0025129F">
      <w:pPr>
        <w:pStyle w:val="TextoNormal"/>
      </w:pPr>
      <w:r>
        <w:t>c) El art. 24.2 configura como objetivo sectorial de los recursos edáficos y geológicos la conservación y mantenimiento de los suelos y fondos marinos.</w:t>
      </w:r>
    </w:p>
    <w:p w:rsidR="0025129F" w:rsidRDefault="0025129F" w:rsidP="0025129F">
      <w:pPr>
        <w:pStyle w:val="TextoNormal"/>
      </w:pPr>
      <w:r>
        <w:t>En cuanto tal objetivo, que no incorpora mandato normativo alguno que obstaculice la competencia estatal sobre pesca marítima, resulta respetuoso con el orden constitucional de competencias.</w:t>
      </w:r>
    </w:p>
    <w:p w:rsidR="0025129F" w:rsidRDefault="0025129F" w:rsidP="0025129F">
      <w:pPr>
        <w:pStyle w:val="TextoNormal"/>
      </w:pPr>
      <w:r>
        <w:t>d) El art. 60.1 establece el Catálogo de especies amenazadas de interés especial dentro del ámbito del parque natural, incluyendo en el mismo una relación de especies pesqueras. Los restantes apartados del precepto, que establecen prescripciones al respecto, no han sido impugnados.</w:t>
      </w:r>
    </w:p>
    <w:p w:rsidR="0025129F" w:rsidRDefault="0025129F" w:rsidP="0025129F">
      <w:pPr>
        <w:pStyle w:val="TextoNormal"/>
      </w:pPr>
      <w:r>
        <w:t>El art. 29 LCEN dispone que “la determinación de los animales o plantas cuya protección exija medidas específicas por parte de las Administraciones Públicas, se realizará mediante su inclusión en los correspondientes Catálogos, estatal y autonómicos, a que se refiere el art.  30” de la misma Ley. El propio art. 29 LCEN configura entre las especies, subespecies o poblaciones catalogables, a las de interés especial, caracterizándolas como “merecedoras de una atención particular en función de su valor científico, ecológico, cul</w:t>
      </w:r>
      <w:r>
        <w:lastRenderedPageBreak/>
        <w:t>tural o por su singularidad”. En cuanto a las medidas concretas de protección de estas especies, el art. 31.5 prevé “la redacción de un Plan de Manejo que determine las medidas necesarias para mantener las poblaciones en un nivel adecuado”.</w:t>
      </w:r>
    </w:p>
    <w:p w:rsidR="0025129F" w:rsidRDefault="0025129F" w:rsidP="0025129F">
      <w:pPr>
        <w:pStyle w:val="TextoNormal"/>
      </w:pPr>
      <w:r>
        <w:t>La mera inclusión de las especies relacionadas en el precepto en el Catálogo autonómico no conlleva la vulneración de la competencia estatal de pesca marítima, máxime cuando no se anuda a dicha inclusión la prohibición de captura de las especies ni el Estado impugna regulación alguna que sea consecuencia de la catalogación.</w:t>
      </w:r>
    </w:p>
    <w:p w:rsidR="0025129F" w:rsidRDefault="0025129F" w:rsidP="0025129F">
      <w:pPr>
        <w:pStyle w:val="TextoNormal"/>
      </w:pPr>
      <w:r>
        <w:t>e) Los arts. 137; 138; 139; 140; 142; 145; 147; 148; 151; y 154 regulan “los recursos pesqueros”.</w:t>
      </w:r>
    </w:p>
    <w:p w:rsidR="0025129F" w:rsidRDefault="0025129F" w:rsidP="0025129F">
      <w:pPr>
        <w:pStyle w:val="TextoNormal"/>
      </w:pPr>
      <w:r>
        <w:t>El art. 137 establece los objetivos sectoriales correspondientes.  Ninguno de ellos, por su propio enunciado (compatibilización del aprovechamiento con el mantenimiento de los recursos; aseguramiento de su aprovechamiento sostenido; y vigilancia y control de los recursos), vulnera las competencias estatales sobre la pesca marítima, siendo susceptibles de ulteriores medidas de colaboración y coordinación con el Estado para su eficaz aplicación.</w:t>
      </w:r>
    </w:p>
    <w:p w:rsidR="0025129F" w:rsidRDefault="0025129F" w:rsidP="0025129F">
      <w:pPr>
        <w:pStyle w:val="TextoNormal"/>
      </w:pPr>
      <w:r>
        <w:t>No conculca la competencia estatal el art. 148, que regula las instalaciones de acuicultura, competencia exclusiva autonómica, salvando expresamente “las concesiones y autorizaciones que sean exigibles en virtud de la normativa vigente”, por lo que ninguna perturbación de aquélla se deriva directamente del tenor literal del artículo.</w:t>
      </w:r>
    </w:p>
    <w:p w:rsidR="0025129F" w:rsidRDefault="0025129F" w:rsidP="0025129F">
      <w:pPr>
        <w:pStyle w:val="TextoNormal"/>
      </w:pPr>
      <w:r>
        <w:t>Tampoco el art. 154 vulnera las competencia estatales sobre la pesca marítima, pues regula las zonas de fondeo de embarcaciones y ello se incardina en las competencias andaluzas sobre ordenación de espacios naturales.</w:t>
      </w:r>
    </w:p>
    <w:p w:rsidR="0025129F" w:rsidRDefault="0025129F" w:rsidP="0025129F">
      <w:pPr>
        <w:pStyle w:val="TextoNormal"/>
      </w:pPr>
      <w:r>
        <w:t>En cuanto a los arts. 138, 140, 142, 145 y 147, todos ellos inciden directamente en la regulación de la actividad pesquera, estableciendo limitaciones o prohibiciones de la misma (arts. 138, 140, 142, 145 y 147), regulando las artes o aparejos (art.  140), o las especies y tallas (art. 145 y 151). Todos ellos, pues, vulneran las competencias del Estado en materia de “pesca marítima”.</w:t>
      </w:r>
    </w:p>
    <w:p w:rsidR="0025129F" w:rsidRDefault="0025129F" w:rsidP="0025129F">
      <w:pPr>
        <w:pStyle w:val="TextoNormal"/>
      </w:pPr>
      <w:r>
        <w:t>Por lo que se refiere al art. 139, debemos distinguir entre sus apartados 1 y 2, de un lado, y su apartado 3, de otro. Los apartados 1 y 2 prevén la elaboración de un censo de embarcaciones con derecho a ejercer la pesca en el ámbito del parque natural.</w:t>
      </w:r>
    </w:p>
    <w:p w:rsidR="0025129F" w:rsidRDefault="0025129F" w:rsidP="0025129F">
      <w:pPr>
        <w:pStyle w:val="TextoNormal"/>
      </w:pPr>
      <w:r>
        <w:t>Nada cabe oponer a que la Comunidad Autónoma de Andalucía elabore el expresado censo, si bien debe advertirse que en dicho censo, por lo que se refiere al ejercicio de la actividad pesquera en la franja controvertida, sólo podrán figurar las embarcaciones que hayan sido autorizadas para pescar por la Administración del Estado, puesto que, según reiterada doctrina constitucional (por todas, STC 147/1998, de 7 de julio), la determinación del esfuerzo pesquero en las aguas exteriores corresponde al Estado.  Por tanto, según lo expuesto, los apartados 1 y 2 del art. 139 no vulneran la competencia estatal. Por el contrario, el apartado 3, que prevé el establecimiento de un sistema de concesión de permisos de pesca a los que solamente podrán acceder las embarcaciones censadas, transgrede la competencia estatal de pesca marítima, pues la concesión efectiva del permiso de pesca en la franja marítima aludida sólo puede otorgarla el Estado de acuerdo con nuestra doctrina.</w:t>
      </w:r>
    </w:p>
    <w:p w:rsidR="0025129F" w:rsidRDefault="0025129F" w:rsidP="0025129F">
      <w:pPr>
        <w:pStyle w:val="TextoNormal"/>
      </w:pPr>
      <w:r>
        <w:t>f) Los arts. 254.2, e) y g), y 255 apartado 1, c), e) y h), y apartado 2, e) y f), establecen criterios de ordenación para las zonas de protección de grado A y B.</w:t>
      </w:r>
    </w:p>
    <w:p w:rsidR="0025129F" w:rsidRDefault="0025129F" w:rsidP="0025129F">
      <w:pPr>
        <w:pStyle w:val="TextoNormal"/>
      </w:pPr>
      <w:r>
        <w:t>En cuanto al art. 254.2, e) y g), tales criterios de ordenación se concretan en la consideración de los siguientes usos y actividades como incompatibles: la instalación de arrecifes artificiales y la realización de diversos tipos de actividades pesqueras, incluida la artesanal.</w:t>
      </w:r>
    </w:p>
    <w:p w:rsidR="0025129F" w:rsidRDefault="0025129F" w:rsidP="0025129F">
      <w:pPr>
        <w:pStyle w:val="TextoNormal"/>
      </w:pPr>
      <w:r>
        <w:lastRenderedPageBreak/>
        <w:t>Es claro que el precepto perturba la competencia pesquera estatal al no someter a condicionamiento alguno tales prescripciones, por lo que vulnera el art. 149.1.19 CE.</w:t>
      </w:r>
    </w:p>
    <w:p w:rsidR="0025129F" w:rsidRDefault="0025129F" w:rsidP="0025129F">
      <w:pPr>
        <w:pStyle w:val="TextoNormal"/>
      </w:pPr>
      <w:r>
        <w:t>El art. 255.1 c) también vulnera la competencia estatal sobre la pesca marítima, al contener una declaración de compatibilidad de la actividad pesquera que corresponde realizar al Estado al amparo del art. 149.1.19 CE.  Sin embargo, la declaración de compatibilidad del marisqueo contenida en el precepto no vulnera la competencia estatal.</w:t>
      </w:r>
    </w:p>
    <w:p w:rsidR="0025129F" w:rsidRDefault="0025129F" w:rsidP="0025129F">
      <w:pPr>
        <w:pStyle w:val="TextoNormal"/>
      </w:pPr>
      <w:r>
        <w:t>Por el contrario, el art. 255.1 e), que considera compatibles los arrecifes artificiales, resulta contrario al orden constitucional de competencias por su conexión con los arts. 18.5, 152, 153 y 156, que han merecido la misma calificación.</w:t>
      </w:r>
    </w:p>
    <w:p w:rsidR="0025129F" w:rsidRDefault="0025129F" w:rsidP="0025129F">
      <w:pPr>
        <w:pStyle w:val="TextoNormal"/>
      </w:pPr>
      <w:r>
        <w:t>En cuanto al art. 255.1 h), relativo a la compatibilidad del fondeo de embarcaciones, tampoco perturba la competencia estatal y resulta acorde con las competencias de la Junta de Andalucía.</w:t>
      </w:r>
    </w:p>
    <w:p w:rsidR="0025129F" w:rsidRDefault="0025129F" w:rsidP="0025129F">
      <w:pPr>
        <w:pStyle w:val="TextoNormal"/>
      </w:pPr>
      <w:r>
        <w:t>El art. 255.2 e) y f), que considera incompatibles determinadas modalidades de actividad pesquera, perturba y condiciona la competencia estatal sobre pesca marítima, vulnerando por ello el art. 149.1.19 CE.</w:t>
      </w:r>
    </w:p>
    <w:p w:rsidR="0025129F" w:rsidRDefault="0025129F" w:rsidP="0025129F">
      <w:pPr>
        <w:pStyle w:val="TextoNormal"/>
      </w:pPr>
    </w:p>
    <w:p w:rsidR="0025129F" w:rsidRDefault="0025129F" w:rsidP="0025129F">
      <w:pPr>
        <w:pStyle w:val="TextoNormal"/>
      </w:pPr>
      <w:r w:rsidRPr="0025129F">
        <w:rPr>
          <w:rStyle w:val="NumeroAFNegritaCaracter"/>
        </w:rPr>
        <w:t>9</w:t>
      </w:r>
      <w:r>
        <w:t>. A continuación cumple analizar los artículos del Anexo 2 del Decreto 418/1994 que han sido objeto de impugnación:</w:t>
      </w:r>
    </w:p>
    <w:p w:rsidR="0025129F" w:rsidRDefault="0025129F" w:rsidP="0025129F">
      <w:pPr>
        <w:pStyle w:val="TextoNormal"/>
      </w:pPr>
      <w:r>
        <w:t>a) Los arts. 45.1, 2, 3, 5, 6, 8 y 9 y 46.2 regulan la “pesca económica”, incidiendo en aspectos tales como la autorización y prohibición de determinadas actividades pesqueras, la regulación de ciertas artes, el anclaje de embarcaciones y el establecimiento de espacios vedados para la pesca y actividades náuticas y pesca submarina. Estos aspectos, salvo el apartado 5 del art. 45, relativo al anclaje de embarcaciones pesqueras, inciden directamente en la competencia estatal sobre la pesca marítima, vulnerando dicha competencia.</w:t>
      </w:r>
    </w:p>
    <w:p w:rsidR="0025129F" w:rsidRDefault="0025129F" w:rsidP="0025129F">
      <w:pPr>
        <w:pStyle w:val="TextoNormal"/>
      </w:pPr>
      <w:r>
        <w:t>Por el contrario, el apartado 5 (anclaje de embarcaciones) se compadece con las competencias autonómicas de espacios naturales protegidos, siendo por tanto conforme con el orden constitucional de distribución de competencias.</w:t>
      </w:r>
    </w:p>
    <w:p w:rsidR="0025129F" w:rsidRDefault="0025129F" w:rsidP="0025129F">
      <w:pPr>
        <w:pStyle w:val="TextoNormal"/>
      </w:pPr>
      <w:r>
        <w:t>b) El art. 73 contiene las “directrices” del programa pesquero. Se impugnan sus apartados a) y c) que, respectivamente, consideran a la pesca artesanal como prioritaria y como incompatibles la pesca submarina, el marisqueo deportivo y la extracción de especies expresamente protegidas en el plan de ordenación de los recursos naturales del parque natural.</w:t>
      </w:r>
    </w:p>
    <w:p w:rsidR="0025129F" w:rsidRDefault="0025129F" w:rsidP="0025129F">
      <w:pPr>
        <w:pStyle w:val="TextoNormal"/>
      </w:pPr>
      <w:r>
        <w:t>Ambos apartados regulan aspectos que inciden en la pesca marítima, salvo en lo relativo al marisqueo, por lo que infringen el art. 149.1.19 CE al no disponer ningún mecanismo de colaboración con el Estado que permita no entorpecer la tan citada competencia estatal.</w:t>
      </w:r>
    </w:p>
    <w:p w:rsidR="0025129F" w:rsidRDefault="0025129F" w:rsidP="0025129F">
      <w:pPr>
        <w:pStyle w:val="TextoNormal"/>
      </w:pPr>
    </w:p>
    <w:p w:rsidR="0025129F" w:rsidRDefault="0025129F" w:rsidP="0025129F">
      <w:pPr>
        <w:pStyle w:val="TextoNormal"/>
      </w:pPr>
      <w:r w:rsidRPr="0025129F">
        <w:rPr>
          <w:rStyle w:val="NumeroAFNegritaCaracter"/>
        </w:rPr>
        <w:t>10</w:t>
      </w:r>
      <w:r>
        <w:t>. Procede ahora examinar el segundo de los conflictos positivos de competencia que constituyen el objeto de este proceso y, que se traba en relación con la Orden del Ministerio de Agricultura, Pesca y Alimentación de 3 de junio de 1995, por la que se establece la reserva marina de Cabo de Gata- Níjar.</w:t>
      </w:r>
    </w:p>
    <w:p w:rsidR="0025129F" w:rsidRDefault="0025129F" w:rsidP="0025129F">
      <w:pPr>
        <w:pStyle w:val="TextoNormal"/>
      </w:pPr>
      <w:r>
        <w:t>Según se ha expuesto en los antecedentes, el Gobierno de la Nación aceptó parcialmente el requerimiento de incompetencia que le fue dirigido por la Junta de Andalucía, aceptación que se produjo en el sentido de limitar la reserva marina a las aguas exteriores. Ello determinó la aprobación de la Orden de 31 de julio de 1996, por la que se modifica la Orden de 3 de junio de 1995. La expresada modificación afecta, exclusivamente, al art. 2 de dicha Orden, que regula los límites de la reserva marina en consonancia con la aceptación parcial del requerimiento.</w:t>
      </w:r>
    </w:p>
    <w:p w:rsidR="0025129F" w:rsidRDefault="0025129F" w:rsidP="0025129F">
      <w:pPr>
        <w:pStyle w:val="TextoNormal"/>
      </w:pPr>
      <w:r>
        <w:lastRenderedPageBreak/>
        <w:t>La Junta de Andalucía aduce que dicha reserva coincide espacialmente con la franja marina del límite este-sur del parque natural del Cabo de Gata- Níjar, lo que conllevaría que el régimen jurídico implantado por la Orden impugnada vulneraría determinadas competencias autonómicas, sustancialmente las mismas que se han esgrimido en defensa del Decreto 418/1994. Por parte del Abogado del Estado, se emplean argumentos prácticamente idénticos a los ya expuestos respecto de dicho Decreto, siendo por ello innecesario proceder de nuevo a su reproducción.</w:t>
      </w:r>
    </w:p>
    <w:p w:rsidR="0025129F" w:rsidRDefault="0025129F" w:rsidP="0025129F">
      <w:pPr>
        <w:pStyle w:val="TextoNormal"/>
      </w:pPr>
    </w:p>
    <w:p w:rsidR="0025129F" w:rsidRDefault="0025129F" w:rsidP="0025129F">
      <w:pPr>
        <w:pStyle w:val="TextoNormal"/>
      </w:pPr>
      <w:r w:rsidRPr="0025129F">
        <w:rPr>
          <w:rStyle w:val="NumeroAFNegritaCaracter"/>
        </w:rPr>
        <w:t>11</w:t>
      </w:r>
      <w:r>
        <w:t>. Cumple ahora proceder al enjuiciamiento de la Orden de 3 de julio de 1995, objeto del segundo conflicto positivo de competencia que se sustancia en este proceso. Dicha Orden delimita una zona marítima en la franja costera adyacente al parque natural de Cabo de Gata-Níjar, configurándola como reserva marina (art. 1), dentro de la cual se establecen, a su vez, cinco zonas de reserva integral (art. 2). En las reservas integrales se prohíbe cualquier tipo de actividad pesquera, la extracción de flora y fauna y las actividades subacuáticas, permitiéndose tan solo, con autorización de la Secretaría General de Pesca Marítima, la toma de muestras de carácter científico (art. 3).  Fuera de estas zonas de reserva integral, pero dentro de la reserva marina, se establece un régimen de conservación menos riguroso, consistente en la autorización de la pesca profesional con las artes y aparejos empleados tradicionalmente en la zona y el muestreo de flora y fauna específicamente autorizados por la Secretaría General de Pesca Marítima (art.  4). Se permite el buceo en las zonas de la reserva marina no calificadas de reserva integral, pero no en estas últimas (art. 6). Por último, con el fin de limitar la actividad pesquera profesional, se anuncia la elaboración de un censo de embarcaciones con derecho a ejercer la actividad pesquera a que se ha hecho referencia, autorizando el ejercicio de la actividad a las embarcaciones que viniesen haciéndolo hasta que se elabore dicho censo (art.  5 y Disposición transitoria única).</w:t>
      </w:r>
    </w:p>
    <w:p w:rsidR="0025129F" w:rsidRDefault="0025129F" w:rsidP="0025129F">
      <w:pPr>
        <w:pStyle w:val="TextoNormal"/>
      </w:pPr>
      <w:r>
        <w:t>El planteamiento de la Junta de Andalucía consiste en mantener que la Orden impugnada se incardina, por su contenido, no en la materia “pesca marítima”, sino en las de “espacios naturales protegidos” y “medio ambiente”. Por el contrario, para el Abogado del Estado la Orden impugnada se incardina en la materia “pesca marítima”, la cual incluye tanto la conservación como la explotación de los recursos pesqueros.</w:t>
      </w:r>
    </w:p>
    <w:p w:rsidR="0025129F" w:rsidRDefault="0025129F" w:rsidP="0025129F">
      <w:pPr>
        <w:pStyle w:val="TextoNormal"/>
      </w:pPr>
      <w:r>
        <w:t>De acuerdo con nuestra doctrina, para proceder al deslinde entre las distintas materias en las que se distribuyen las competencias del Estado y de las Comunidades Autónomas, es necesario en ocasiones acudir, como criterio interpretativo, a la legislación vigente o derogada. Así hemos operado, entre otras, en las SSTC 56/1989, de 16 de marzo, y 9/2001, de 18 de enero.</w:t>
      </w:r>
    </w:p>
    <w:p w:rsidR="0025129F" w:rsidRDefault="0025129F" w:rsidP="0025129F">
      <w:pPr>
        <w:pStyle w:val="TextoNormal"/>
      </w:pPr>
      <w:r>
        <w:t xml:space="preserve">En este caso, conviene tener como referencia no sólo la legislación española, sino también la comunitaria, pues aunque hemos afirmado que “el Derecho comunitario no es, per se, canon o parámetro directo de contraste y examen de los actos y disposiciones de los poderes públicos. Y más específicamente, que en los procesos constitucionales a que dan lugar los conflictos positivos de competencia no pueden hacerse valer otros motivos de inconstitucionalidad de los actos o disposiciones que los que atañen a la vulneración de las reglas constitucionales y estatutarias de distribución de competencias (STC 122/1989, FJ 5)” (STC 45/2001, de 15 de febrero, FJ 7), no es menos cierto que “no cabe ignorar que la propia interpretación del sistema de distribución competencial entre el Estado y las Comunidades Autónomas tampoco se produce en el vacío” (STC 102/1995, de 26 de junio, FJ 5). Por ello, prestar atención a cómo se ha configurado una institución por la Directiva </w:t>
      </w:r>
      <w:r>
        <w:lastRenderedPageBreak/>
        <w:t>comunitaria puede ser no sólo útil, sino incluso obligado para aplicar correctamente sobre ella el esquema interno de distribución competencial (STC 13/1998, de 28 de junio, FJ 3).</w:t>
      </w:r>
    </w:p>
    <w:p w:rsidR="0025129F" w:rsidRDefault="0025129F" w:rsidP="0025129F">
      <w:pPr>
        <w:pStyle w:val="TextoNormal"/>
      </w:pPr>
      <w:r>
        <w:t>Pues bien, en este sentido se aprecia que el Reglamento (CEE) núm.  3760/1992, por el que se establece un régimen comunitario de la pesca y la acuicultura, configura un régimen de gestión de las actividades de explotación “que deberá posibilitar un equilibrio permanente entre los recursos y la explotación dentro de las distintas zonas pesqueras”, de modo que entre las medidas a adoptar para conseguir tal finalidad figuran las de “establecimiento de zonas en las que las actividades pesqueras estén prohibidas o restringidas” y también “la fijación del número y del tipo de buques pesqueros autorizados a pescar”, junto con el establecimiento de “medidas técnicas relativas a las artes de pesca y su modo de empleo” (arts. 1 y 4). De otro lado, el Reglamento (CE) núm. 1626/1994, por el que se establecen determinadas medidas técnicas de conservación de los recursos pesqueros en el Mediterráneo, citado en el preámbulo de la Orden impugnada, dispone en su art. 4.1 que “los Estados miembros establecerán la lista de las zonas de protección en las que la actividad pesquera estará restringida por motivos biológicos específicos de las mismas”. Por último el preámbulo de dicha Orden también alude al Reglamento (CEE) 3699/1993, por el que se definen los criterios y condiciones de las intervenciones comunitarias estructurales en el sector de la pesca, la acuicultura, la transformación y comercialización de productos de la pesca. Por tanto, de esta aproximación a la legislación comunitaria se desprende que las medidas de conservación de los productos pesqueros, que puede extenderse hasta la prohibición de la actividad pesquera por motivos biológicos, forma parte de la política comunitaria de pesca.</w:t>
      </w:r>
    </w:p>
    <w:p w:rsidR="0025129F" w:rsidRDefault="0025129F" w:rsidP="0025129F">
      <w:pPr>
        <w:pStyle w:val="TextoNormal"/>
      </w:pPr>
      <w:r>
        <w:t>En cuanto a la legislación española, se aprecia que las medidas adoptadas por la Orden impugnada han venido formando parte tradicionalmente de la legislación pesquera. Así, el Real Decreto 681/1980, de 28 de marzo, de ordenación de la actividad pesquera nacional ya disponía que la Subsecretaría de Pesca y Marina Mercante podría “reducir el esfuerzo de pesca de aquellas pesquerías nacionales que se encuentren sobreexplotadas, al objeto de recuperar el rendimiento máximo sostenible” (art. 2), y a tal efecto, entre otras medidas, contemplaba el “establecimiento de vedas estacionales o zonales”, así como la “fijación de áreas exclusivas para ciertas modalidades o clases de pesca” [art. 3 g)]. La Orden de 11 de mayo de 1982, por la que se regula la actividad de repoblación marítima, tenía como finalidad el incremento de la población natural de la flora y fauna (arts. 1 y 2). Su art.  18 dispone expresamente que “en virtud del art. 3 g) del Real Decreto 681/1980, la Dirección General de Ordenación Pesquera ... podrá establecer zonas de reserva, en las que quedará prohibida la extracción de alguna o de todas las especies de fauna y flora marina que se determinen por el tiempo que se establezca”, previendo también la prohibición de la pesca submarina en dichas zonas, salvo autorización para fines de investigación (arts. 19 y 20).</w:t>
      </w:r>
    </w:p>
    <w:p w:rsidR="0025129F" w:rsidRDefault="0025129F" w:rsidP="0025129F">
      <w:pPr>
        <w:pStyle w:val="TextoNormal"/>
      </w:pPr>
      <w:r>
        <w:t>En aplicación de dicha normativa de carácter general, se adoptaron medidas declarando “reservas pesqueras” a determinadas zonas marinas. Así, la Orden de 4 de abril de 1986, por la que se establece una reserva marina en la Isla de Tabarca, o la Orden de 19 de abril de 1990, por la que se establece una reserva marina en el entorno de las Islas Columbretes. En ambos casos se establecen prescripciones similares a las incluidas en la Orden ahora controvertida.</w:t>
      </w:r>
    </w:p>
    <w:p w:rsidR="0025129F" w:rsidRDefault="0025129F" w:rsidP="0025129F">
      <w:pPr>
        <w:pStyle w:val="TextoNormal"/>
      </w:pPr>
      <w:r>
        <w:t xml:space="preserve">Por último, debe hacerse mención de lo regulado en la Ley 3/2001, de 26 de marzo, de pesca marítima del Estado, que no ha sido impugnada ante este Tribunal. Dicha Ley regula en el Capítulo III del Título I las medidas de protección y regeneración de los recursos pesqueros, dedicando su Sección 1 a “las zonas de protección pesquera” entre las que se encuentran las “reservas marinas” y las “zonas de acondicionamiento marino” (arts.  13 y </w:t>
      </w:r>
      <w:r>
        <w:lastRenderedPageBreak/>
        <w:t>14), configurando, así, un régimen jurídico de estas zonas de protección que concuerda con lo regulado en la Orden impugnada. En conclusión, la legislación nacional también configura a las medidas de protección que se controvierten en este conflicto de competencias como propias de la materia “pesca marítima” (Disposición adicional segunda, apartado 1, de la Ley 3/2001).</w:t>
      </w:r>
    </w:p>
    <w:p w:rsidR="0025129F" w:rsidRDefault="0025129F" w:rsidP="0025129F">
      <w:pPr>
        <w:pStyle w:val="TextoNormal"/>
      </w:pPr>
      <w:r>
        <w:t>Por nuestra parte, debemos confirmar esta incardinación competencial.  Partiendo de que la regulación contenida en dicha Orden se proyecta sobre el mar territorial (arts. 1 y 2 de la Orden impugnada), es claro que las limitaciones de uso en las reservas integrales y en la reserva marina contenidas en los arts. 3, 4 y 6 responden a la dimensión conservacionista de la materia “pesca marítima”, prerrequisito de la propia actividad extractiva. En cuanto al art. 5, que atribuye a la Secretaría General de Pesca Marítima la elaboración del “censo de embarcaciones con derecho para ejercer la pesca en el ámbito de la reserva marina”, es conforme con el orden constitucional de competencias, pues corresponde al Estado otorgar las autorizaciones para que las embarcaciones puedan ejercer la actividad pesquera, sin perjuicio de lo ya indicado respecto de los apartados 1 y 2 del citado art. 39 en el fundamento jurídico 8. Lo propio debe predicarse de la Disposición transitoria única, siendo los restantes preceptos de la Orden mera consecuencia de los anteriores. Se trata, en suma, de prescripciones que hemos encuadrado de modo reiterado en la materia “pesca marítima”, según el canon enunciado en el fundamento jurídico 8.</w:t>
      </w:r>
    </w:p>
    <w:p w:rsidR="0025129F" w:rsidRDefault="0025129F" w:rsidP="0025129F">
      <w:pPr>
        <w:pStyle w:val="TextoNormal"/>
      </w:pPr>
      <w:r>
        <w:t>De acuerdo con todo lo expuesto, hemos de confirmar que la Orden de 3 de julio de 1995, en razón a las medidas que integra y al ámbito marino al que se ciñe como consecuencia de la modificación introducida por la Orden de 31 de julio de 1996, se incardina en la materia “pesca marítima”, atribuida al Estado con carácter exclusivo por el art.  149.1.19 CE.</w:t>
      </w:r>
    </w:p>
    <w:p w:rsidR="0025129F" w:rsidRDefault="0025129F" w:rsidP="0025129F">
      <w:pPr>
        <w:pStyle w:val="TextoNormal"/>
      </w:pPr>
      <w:r>
        <w:t>Por tanto, ninguno de sus preceptos vulnera las competencias de la Junta de Andalucía.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1º Estimar parcialmente el conflicto positivo de competencia núm.  1492/95, promovido por el Gobierno de la Nación y, en consecuencia:</w:t>
      </w:r>
    </w:p>
    <w:p w:rsidR="0025129F" w:rsidRDefault="0025129F" w:rsidP="0025129F">
      <w:pPr>
        <w:pStyle w:val="TextoNormal"/>
      </w:pPr>
      <w:r>
        <w:t>a) Declarar que corresponden al Estado las competencias contenidas en los arts. 18.5; 138; 139.3; 140; 142; 145; 147; 151; 152; 153; 156; 254.2, e) y g); 255.1, c), salvo el inciso “y el marisqueo”, y e); y 255.2, e), y f) del Anexo 1; y en los arts.  45.1, 2, 3, 6, 8 y 9; 46.2 y 73 a) y c), salvo el inciso “el marisqueo deportivo”, del Anexo 2 del Decreto del Consejo de Gobierno de la Junta de Andalucía 418/1994,de 25 de octubre, por el que se aprueba el plan de ordenación de los recursos naturales y el plan rector de uso y gestión del parque natural de Cabo de Gata-Níja.</w:t>
      </w:r>
    </w:p>
    <w:p w:rsidR="0025129F" w:rsidRDefault="0025129F" w:rsidP="0025129F">
      <w:pPr>
        <w:pStyle w:val="TextoNormal"/>
      </w:pPr>
      <w:r>
        <w:t>b) Declarar que dichos preceptos no son de aplicación en el tramo del límite este y sur del parque natural Cabo de Gata-Níjar, que comprende una franja marina de una milla de anchura, paralela a la línea de costa descrita, que coincide aproximadamente con la cota batimétrica de 50 metros (Anexo III del Decreto 418/1994) y que se extiende al mar territorial.</w:t>
      </w:r>
    </w:p>
    <w:p w:rsidR="0025129F" w:rsidRDefault="0025129F" w:rsidP="0025129F">
      <w:pPr>
        <w:pStyle w:val="TextoNormal"/>
      </w:pPr>
      <w:r>
        <w:lastRenderedPageBreak/>
        <w:t>c) Desestimar el conflicto en todo lo demás.</w:t>
      </w:r>
    </w:p>
    <w:p w:rsidR="0025129F" w:rsidRDefault="0025129F" w:rsidP="0025129F">
      <w:pPr>
        <w:pStyle w:val="TextoNormal"/>
      </w:pPr>
      <w:r>
        <w:t>2º Desestimar el conflicto positivo de competencia núm. 3744/95, promovido por la Junta de Andalucía en relación con la Orden del Ministerio de Agricultura, Pesca y Alimentación de 3 de julio de 1995, por la que se establece la reserva marina de Cabo de Gata-Níjar.</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febrero de dos mil dos.</w:t>
      </w:r>
    </w:p>
    <w:p w:rsidR="0025129F" w:rsidRDefault="0025129F" w:rsidP="0025129F">
      <w:pPr>
        <w:pStyle w:val="ParrafoNormal"/>
      </w:pPr>
    </w:p>
    <w:p w:rsidR="0025129F" w:rsidRDefault="0025129F" w:rsidP="0025129F">
      <w:pPr>
        <w:pStyle w:val="TextoNormalNegritaCentrado"/>
        <w:keepNext/>
      </w:pPr>
      <w:r>
        <w:t>Voto particular que formula el Magistrado don Pablo García Manzano a la Sentencia dictada en los conflictos positivos de competencia acumulados núms. 1492/95 y 3744/95.</w:t>
      </w:r>
    </w:p>
    <w:p w:rsidR="0025129F" w:rsidRDefault="0025129F" w:rsidP="0025129F">
      <w:pPr>
        <w:pStyle w:val="TextoNormalNegritaCentrado"/>
        <w:keepNext/>
      </w:pPr>
    </w:p>
    <w:p w:rsidR="0025129F" w:rsidRDefault="0025129F" w:rsidP="0025129F">
      <w:pPr>
        <w:pStyle w:val="TextoNormal"/>
      </w:pPr>
      <w:r>
        <w:t>1. Disiento, con todo respeto, del parecer mayoritario que ha conducido a una doble decisión en los procesos constitucionales acumulados que aquélla viene a resolver: la estimación parcial del conflicto positivo de competencia suscitado por el Gobierno de la Nación contra el Decreto de la Junta de Andalucía 418/1994, de 25 de octubre, por el que se aprueba el plan de ordenación de los recursos naturales y el plan rector de uso y gestión del parque natural Cabo de Gata-Níjar, conforme a los Anexos 1 y 2, respectivamente, de dicho Decreto, por invasión competencial del título estatal de pesca marítima (art. 149.1.19 CE), y la desestimación sustancial del promovido, con el mismo signo positivo, por la Comunidad Autónoma de Andalucía frente a la Orden del Ministro de Agricultura, Pesca y Alimentación, de 3 de julio de 1995, por la que se establece una reserva marina en la franja costera adyacente a dicho parque natural, por entender que el Estado ejerce, mediante dicha Orden, su competencia exclusiva en materia de pesca marítima.</w:t>
      </w:r>
    </w:p>
    <w:p w:rsidR="0025129F" w:rsidRDefault="0025129F" w:rsidP="0025129F">
      <w:pPr>
        <w:pStyle w:val="TextoNormal"/>
      </w:pPr>
      <w:r>
        <w:t>Pues bien, mi conclusión en uno y otro conflicto es cabalmente la inversa: debió desestimarse el promovido por el Gobierno, por entender ajustado al orden constitucional de competencias el Decreto andaluz protegiendo el referido espacio natural y, en cambio, procedía haber estimado el suscitado por la Comunidad Autónoma frente a la mencionada Orden Ministerial, porque su emanación no tiene el soporte de la competencia exclusiva del Estado en materia de pesca marítima, aunque formalmente se invoque dicho título competencial. Paso a razonar los motivos de mi disconformidad, que expuse en la deliberación ante el Pleno.</w:t>
      </w:r>
    </w:p>
    <w:p w:rsidR="0025129F" w:rsidRDefault="0025129F" w:rsidP="0025129F">
      <w:pPr>
        <w:pStyle w:val="TextoNormal"/>
      </w:pPr>
      <w:r>
        <w:t>2. En relación con el conflicto competencial promovido frente al Decreto de Andalucía que regula el parque natural de Cabo de Gata-Níjar, he de precisar lo siguiente:</w:t>
      </w:r>
    </w:p>
    <w:p w:rsidR="0025129F" w:rsidRDefault="0025129F" w:rsidP="0025129F">
      <w:pPr>
        <w:pStyle w:val="TextoNormal"/>
      </w:pPr>
      <w:r>
        <w:t>a) La configuración del territorio en esta materia.</w:t>
      </w:r>
    </w:p>
    <w:p w:rsidR="0025129F" w:rsidRDefault="0025129F" w:rsidP="0025129F">
      <w:pPr>
        <w:pStyle w:val="TextoNormal"/>
      </w:pPr>
      <w:r>
        <w:t>Se pone en tela de juicio, por el Abogado del Estado, que la Comunidad Autónoma pueda ejercer su competencia sobre espacios naturales protegidos (éste es el único encuadramiento competencial en juego, y no los de ordenación del territorio ni el de medio ambiente, aunque con éste guarde relación de proximidad), en lo relativo a la franja marítima de una milla, por constituir esa Zona marina del Parque un espacio del mar territorial, que no constituye, se aduce, territorio autonómico sino del Estado.</w:t>
      </w:r>
    </w:p>
    <w:p w:rsidR="0025129F" w:rsidRDefault="0025129F" w:rsidP="0025129F">
      <w:pPr>
        <w:pStyle w:val="TextoNormal"/>
      </w:pPr>
      <w:r>
        <w:t>Esta premisa debió ser rechazada como inexacta, pues confunde, siendo ello el arrastre de una vieja polémica que llegó hasta el Tribunal Supremo y el Consejo de Estado, lo que es dominio público estatal (pertenencias demaniales) con las funciones ejercidas sobre tales espacios. Se incurre así en la identificación, inexacta, entre dominium e imperium. La Sentencia de la que discrepo admite que sólo excepcionalmente la competencia auto</w:t>
      </w:r>
      <w:r>
        <w:lastRenderedPageBreak/>
        <w:t>nómica sobre protección de espacios naturales puede extenderse al mar territorial: cuando así lo exijan las características del espacio protegido. Se subraya demasiado la excepcionalidad y se olvida que tal posibilidad se contempla en el art. 10.1 LCEN, al que después aludiré, sin atribuirle carácter excepcional, y, cuando concurran circunstancias para su protección.</w:t>
      </w:r>
    </w:p>
    <w:p w:rsidR="0025129F" w:rsidRDefault="0025129F" w:rsidP="0025129F">
      <w:pPr>
        <w:pStyle w:val="TextoNormal"/>
      </w:pPr>
      <w:r>
        <w:t>Pues bien, el art. 132.2 CE deja bien claro que integran el dominio público del Estado aquellos bienes que una Ley determine, y en cualquier caso: “la zona marítimo-terrestre, las playas, el mar territorial, y los recursos naturales de la zona económica y la plataforma continental”. Nadie pone en cuestión, pues, que el mar territorial pertenece al Estado en cuanto bien demanial, pero ello no significa que en dicho espacio marítimo no puedan ejercerse competencias como la actuada por la Junta de Andalucía (protección de espacios naturales mediante la declaración y gestión de Parque Natural), siempre que el espacio a proteger constituya una unidad, un ecosistema, y justifique un tratamiento conjunto de sus zonas terrestre y marítima para que tal protección sea coherente y efectiva.</w:t>
      </w:r>
    </w:p>
    <w:p w:rsidR="0025129F" w:rsidRDefault="0025129F" w:rsidP="0025129F">
      <w:pPr>
        <w:pStyle w:val="TextoNormal"/>
      </w:pPr>
      <w:r>
        <w:t>No es ésta una conclusión que se obtenga por inferencias, mas o menos razonables, sino que viene avalada por las Cortes Generales que, al promulgar la Ley 4/1989, de 27 de marzo, de conservación de los espacios naturales y de la flora y fauna silvestres, incluyó en ella el art. 10.1, calificado de norma básica (Disposición adicional quinta), a cuyo tenor: “Aquellos espacios del territorio nacional, incluidas las aguas continentales, y los espacios marítimos sujetos a la jurisdicción nacional, incluidas la zona económica exclusiva y la plataforma continental, que contengan elementos y sistemas naturales de especial interés o valores naturales sobresalientes, podrán ser declarados protegidos de acuerdo con lo regulado en esta Ley”. En consecuencia, la declaración de un espacio natural protegido, en este caso de un Parque Natural, por quien ostenta exclusiva competencia para ello (en este caso, la Comunidad Autónoma de Andalucía, ex art. 13.7 de su Estatuto de Autonomía) puede comprender, sin constituir extralimitación territorial reprochable, ni excepcionalidad alguna, espacios de mar territorial en tanto en cuanto los mismos se integren en la unidad biológica o ecosistema objeto de preservación y tutela. Y es que territorio no se identifica aquí ni es coextenso con “espacio natural”, pues no es tanto límite físico del ejercicio de competencias (más bien, delimitación) cuanto objeto de sus potestades o ámbito de ejercicio de sus funciones.</w:t>
      </w:r>
    </w:p>
    <w:p w:rsidR="0025129F" w:rsidRDefault="0025129F" w:rsidP="0025129F">
      <w:pPr>
        <w:pStyle w:val="TextoNormal"/>
      </w:pPr>
      <w:r>
        <w:t>Así, pues, ha de partirse de la inexistencia de extralimitación territorial por parte del Decreto autonómico, al regular mediante los planes de ordenación y rector de uso y gestión (articulados de manera conjunta en un único instrumento) el parque natural Cabo de Gata-Níjar, e incluir en él la franja marina de una milla en el límite este y sur del mencionado parque, dado que, según se razona en el informe sobre las necesidades de gestión ambiental conjunta, la zona terrestre y la marina forman, a efectos de protección del ecosistema, una unidad inescindible.</w:t>
      </w:r>
    </w:p>
    <w:p w:rsidR="0025129F" w:rsidRDefault="0025129F" w:rsidP="0025129F">
      <w:pPr>
        <w:pStyle w:val="TextoNormal"/>
      </w:pPr>
      <w:r>
        <w:t>b) La no invasión, por el Decreto andaluz, de la competencia estatal exclusiva sobre pesca marítima.</w:t>
      </w:r>
    </w:p>
    <w:p w:rsidR="0025129F" w:rsidRDefault="0025129F" w:rsidP="0025129F">
      <w:pPr>
        <w:pStyle w:val="TextoNormal"/>
      </w:pPr>
      <w:r>
        <w:t xml:space="preserve">A pesar de no ser contrario al orden constitucional de competencias el ejercicio, en una pequeña franja del mar territorial (una milla náutica), de la competencia exclusiva sobre ordenación de espacios naturales protegidos por la Comunidad Autónoma de Andalucía (art. 13.7 de su Estatuto), el problema requiere dar un paso más, e indagar si, aun siendo lícito, desde el punto de vista constitucional y competencial, el ejercicio por Andalucía de tal competencia sobre dicho espacio marino, tal ejercicio pugna o colisiona con alguna competencia estatal a la que venga a menoscabar o cuyo adecuado ejercicio, de algún modo, se obstaculice o impida. Pues bien, a este respecto, la única competencia estatal que se </w:t>
      </w:r>
      <w:r>
        <w:lastRenderedPageBreak/>
        <w:t>aduce, por el representante del Gobierno de la Nación, como invadida y, por ende, vulnerada, es la competencia exclusiva sobre “pesca marítima”, al amparo del art. 149.1.19 CE.</w:t>
      </w:r>
    </w:p>
    <w:p w:rsidR="0025129F" w:rsidRDefault="0025129F" w:rsidP="0025129F">
      <w:pPr>
        <w:pStyle w:val="TextoNormal"/>
      </w:pPr>
      <w:r>
        <w:t>Pues bien, para que ello fuera así, es decir, para que la gestión del parque natural de Cabo de Gata-Níjar, en la franja marina controvertida, menoscabara o impidiera al Estado ejercer tal competencia exclusiva, sería menester que las determinaciones protectoras comprendidas en el Decreto impugnado pudieran ser calificadas como una actividad de pesca marítima y, por ende, mediante tal competencia autonómica de espacios naturales protegidos se arrogase Andalucía una competencia que no le viene atribuida por la Constitución ni por su propio Estatuto, que se limita, con la cobertura del art.  148.1.11 CE, a otorgarle tan solo la “pesca en aguas interiores” (art.  13.18 del Estatuto de Autonomía para Andalucía). Pero como razonaré seguidamente, ello no es así, en modo alguno.</w:t>
      </w:r>
    </w:p>
    <w:p w:rsidR="0025129F" w:rsidRDefault="0025129F" w:rsidP="0025129F">
      <w:pPr>
        <w:pStyle w:val="TextoNormal"/>
      </w:pPr>
      <w:r>
        <w:t>3. La declaración, como parte integrante del parque, de una zona marina, y su régimen jurídico protector, no suponen ejercicio de competencia sobre pesca marítima.</w:t>
      </w:r>
    </w:p>
    <w:p w:rsidR="0025129F" w:rsidRDefault="0025129F" w:rsidP="0025129F">
      <w:pPr>
        <w:pStyle w:val="TextoNormal"/>
      </w:pPr>
      <w:r>
        <w:t>En primer término, si por tal se entendiesen las determinaciones de preservación de los recursos naturales sitos en la franja marina, al menos en la zona más interior o próxima a la costa, sería pesca en aguas interiores de la Comunidad Autónoma y, al menos en tal espacio, no habría invasión de la competencia estatal.</w:t>
      </w:r>
    </w:p>
    <w:p w:rsidR="0025129F" w:rsidRDefault="0025129F" w:rsidP="0025129F">
      <w:pPr>
        <w:pStyle w:val="TextoNormal"/>
      </w:pPr>
      <w:r>
        <w:t>Pero lo decisivo no es esto, sino el discernir entre la “pesca marítima”, que comprende, como este Tribunal ha declarado con reiteración de un lado, la actividad extractiva en sí misma (como actividad productiva) y la necesaria y complementaria para que esa actividad pueda llevarse a cabo en condiciones de no agotar los recursos pesqueros (zonas y épocas de veda, localización de caladeros, artes o aparejos según la modalidad o la clase de pesca, etc.), ámbito éste de regulación que pertenece en exclusiva al Estado, y de otra parte, la protección de los recursos naturales, entre ellos, los piscícolas, pero no en el contexto extractivo o de actividad industrial antes referido, sino en el propio o intrínseco de su preservación, no ligada a su explotación industrial. La perspectiva finalista es, en mi criterio, decisiva: no se regula la pesca en el mar, sino que se preserva un espacio marino (una pequeña franja del mar territorial vinculada a la costa y a los usos tradicionales en el litoral de dicha zona almeriense) para tutelar el entero y único ecosistema objeto de protección, por quien tiene a su cargo ejercerla.  No hay aquí, por tanto, pesca marítima, sino protección única y exclusivamente de la fauna piscícola próxima al litoral.</w:t>
      </w:r>
    </w:p>
    <w:p w:rsidR="0025129F" w:rsidRDefault="0025129F" w:rsidP="0025129F">
      <w:pPr>
        <w:pStyle w:val="TextoNormal"/>
      </w:pPr>
      <w:r>
        <w:t>Este entendimiento de lo que constituye pesca marítima ha recibido, en fecha reciente, la sanción del propio legislador estatal. Así, la Ley 3/2001, de 26 de marzo, de pesca marítima del Estado, expone en su Preámbulo que: “lo que genéricamente conocemos como sector económico pesquero es un conglomerado de actividades íntimamente relacionadas que, basadas en la explotación y aprovechamiento de los recursos marinos vivos, abarca actividades como la pesca extractiva, la comercialización, la transformación, la construcción naval, la industria auxiliar y los servicios relacionados, que configuran un conjunto económico y social inseparable.”</w:t>
      </w:r>
    </w:p>
    <w:p w:rsidR="0025129F" w:rsidRDefault="0025129F" w:rsidP="0025129F">
      <w:pPr>
        <w:pStyle w:val="TextoNormal"/>
      </w:pPr>
      <w:r>
        <w:t>Y añade, además: “El hecho de que la actividad pesquera se base en la explotación de recursos vivos renovables, confiere a la correcta gestión de los mismos una importancia preponderante sobre el resto de los aspectos de la política pesquera”.</w:t>
      </w:r>
    </w:p>
    <w:p w:rsidR="0025129F" w:rsidRDefault="0025129F" w:rsidP="0025129F">
      <w:pPr>
        <w:pStyle w:val="TextoNormal"/>
      </w:pPr>
      <w:r>
        <w:t>En consecuencia, no cabe hablar aquí de vulneración de la competencia estatal exclusiva ex art. 149.1.19 CE, y por ello el primero de los procesos constitucionales, es decir, el promovido por el Gobierno frente al Decreto de la Junta de Andalucía debió ser desestimado, manteniendo íntegra la competencia autonómica para tutelar el espacio natural protegido de constante cita, sin disgregarlo o fragmentarlo en dos zonas, terrestre y marina.</w:t>
      </w:r>
    </w:p>
    <w:p w:rsidR="0025129F" w:rsidRDefault="0025129F" w:rsidP="0025129F">
      <w:pPr>
        <w:pStyle w:val="TextoNormal"/>
      </w:pPr>
      <w:r>
        <w:lastRenderedPageBreak/>
        <w:t>4. En relación con el conflicto competencial promovido por la Comunidad Autónoma andaluza frente a la Orden Ministerial de 3 de julio de 1995, cabe precisar, disintiendo de la mayoría que ha aprobado la Sentencia:</w:t>
      </w:r>
    </w:p>
    <w:p w:rsidR="0025129F" w:rsidRDefault="0025129F" w:rsidP="0025129F">
      <w:pPr>
        <w:pStyle w:val="TextoNormal"/>
      </w:pPr>
      <w:r>
        <w:t>a) La inserción de la Orden Ministerial en el ámbito medioambiental.</w:t>
      </w:r>
    </w:p>
    <w:p w:rsidR="0025129F" w:rsidRDefault="0025129F" w:rsidP="0025129F">
      <w:pPr>
        <w:pStyle w:val="TextoNormal"/>
      </w:pPr>
      <w:r>
        <w:t>Es el preámbulo de la propia Orden el que, paladinamente, confiesa el designio perseguido por este instrumento normativo, emanado una vez que la Junta de Andalucía había declarado formalmente el parque natural, con inclusión de la pequeña franja marina, y lo había regulado mediante el plan de ordenación de los recursos naturales y el plan rector de uso y gestión.</w:t>
      </w:r>
    </w:p>
    <w:p w:rsidR="0025129F" w:rsidRDefault="0025129F" w:rsidP="0025129F">
      <w:pPr>
        <w:pStyle w:val="TextoNormal"/>
      </w:pPr>
      <w:r>
        <w:t>En dicho preámbulo comienza por reconocerse expresamente que: “La declaración de Parque Natural ha permitido mantener en buen estado de conservación las comunidades biológicas marinas al estar localizadas en un territorio escasamente poblado desprovisto de núcleos industriales o turísticos de importancia significativa”.</w:t>
      </w:r>
    </w:p>
    <w:p w:rsidR="0025129F" w:rsidRDefault="0025129F" w:rsidP="0025129F">
      <w:pPr>
        <w:pStyle w:val="TextoNormal"/>
      </w:pPr>
      <w:r>
        <w:t>Y más adelante: “La creación de esta reserva marina responde a lo establecido en el artículo 130R del Tratado de la Unión Europea, en el que se precisa que las exigencias de la protección del medio ambiente deberán integrarse en la definición y en la realización de las demás políticas comunitarias, así como a las conclusiones emanadas del Convenio sobre la Diversidad Biológica de la Declaración de la Conferencia de las Naciones Unidas sobre el Medio Ambiente y el Desarrollo, hecho en Río de Janeiro el 5 de junio de 1992, que se produjeron en el mismo sentido que el Tratado, es decir, de integrar los aspectos medioambientales en las políticas sectoriales”.</w:t>
      </w:r>
    </w:p>
    <w:p w:rsidR="0025129F" w:rsidRDefault="0025129F" w:rsidP="0025129F">
      <w:pPr>
        <w:pStyle w:val="TextoNormal"/>
      </w:pPr>
      <w:r>
        <w:t>Habida cuenta de ello, el acudir al título competencial del art. 149.1.19 CE, para atribuir al Estado la competencia exclusiva en materia de pesca marítima no es más que una calificación formal, desprovista de verdadera acomodación al real contenido normativo de la Orden Ministerial, es decir, un mero flatus vocis.</w:t>
      </w:r>
    </w:p>
    <w:p w:rsidR="0025129F" w:rsidRDefault="0025129F" w:rsidP="0025129F">
      <w:pPr>
        <w:pStyle w:val="TextoNormal"/>
      </w:pPr>
      <w:r>
        <w:t>La declaración de reserva marina, efectuada sin la audiencia previa de la Comunidad Autónoma de Andalucía, hoy exigible conforme a la Ley 3/2001, de pesca marítima del Estado (art. 13.2), no se hace con la finalidad de regenerar recursos pesqueros, a efectos de su ulterior extracción y utilización industrial en el sector productivo de la pesca, sino como mero ejercicio redundante (pues ya había sido ejercido por quien, como la Comunidad Autónoma, tenía competencia para efectuar la protección de dicho espacio marino), de una competencia medioambiental y protectora, superponiéndose así, e invadiéndola, a la competencia exclusiva de Andalucía sobre espacios naturales protegidos, amparada en su título competencial estatutario (art. 13.7 EAAnd).</w:t>
      </w:r>
    </w:p>
    <w:p w:rsidR="0025129F" w:rsidRDefault="0025129F" w:rsidP="0025129F">
      <w:pPr>
        <w:pStyle w:val="TextoNormal"/>
      </w:pPr>
      <w:r>
        <w:t>b) La Orden Ministerial no regula la pesca marítima.</w:t>
      </w:r>
    </w:p>
    <w:p w:rsidR="0025129F" w:rsidRDefault="0025129F" w:rsidP="0025129F">
      <w:pPr>
        <w:pStyle w:val="TextoNormal"/>
      </w:pPr>
      <w:r>
        <w:t xml:space="preserve">No puede apoyarse, competencialmente hablando, en el título de “pesca marítima”, un instrumento normativo dirigido única y exclusivamente, en su núcleo central, a prohibir la pesca marítima. La perspectiva de la regulación por la que se viene a establecer la llamada “reserva marina” no es potenciar la pesca como actividad económica, sino cabalmente la de prohibirla e impedir su ejercicio, bien en su totalidad o de modo absoluto (lo que acontece en las “reservas integrales” delimitadas en el art. 2 de la Orden, que vienen a coincidir sustancialmente con las del Decreto autonómico del Parque Natural), bien a limitarla a lo que tiene de actividad artesanal y usualmente practicada en la zona (se preservan usos tradicionales, no se regula en modo alguno la “pesca marítima”). Así, correlativamente, el art. 3 de dicha Orden señala que “Con carácter general, en las zonas de reserva integral indicadas, queda prohibido cualquier tipo de pesca marítima, extracción de fauna y flora y las actividades subacuáticas”, y el art. 4 dispone que: “Dentro de la reserva marina y fuera de las zonas de reserva integral, queda prohibida toda clase de pesca marítima y extracción </w:t>
      </w:r>
      <w:r>
        <w:lastRenderedPageBreak/>
        <w:t>de flora y fauna marinas”, con dos excepciones: los muestreos de éstas cuya autorización se reserva la Secretaría General de Pesca Marítima, y “el ejercicio de la pesca marítima profesional, con los artes y aparejos tradicionalmente utilizados en la zona”, a cuyo efecto se arroga la competencia de elaborar el censo de las embarcaciones para ejercer esta forma tradicional de pesca, muy vinculada al litoral y a los usos tradicionales en torno al mismo.</w:t>
      </w:r>
    </w:p>
    <w:p w:rsidR="0025129F" w:rsidRDefault="0025129F" w:rsidP="0025129F">
      <w:pPr>
        <w:pStyle w:val="TextoNormal"/>
      </w:pPr>
      <w:r>
        <w:t>No insistiré más en algo que, en mi modesto criterio, es evidente: la Orden Ministerial impugnada no tiene cabida, desde el punto de vista de la competencia controvertida, ni puede acogerse al título estatal de competencia exclusiva sobre la pesca marítima del art. 149.1.19 CE.</w:t>
      </w:r>
    </w:p>
    <w:p w:rsidR="0025129F" w:rsidRDefault="0025129F" w:rsidP="0025129F">
      <w:pPr>
        <w:pStyle w:val="TextoNormal"/>
      </w:pPr>
      <w:r>
        <w:t>Lo procedente, pues, hubiera sido que la Sentencia recondujera esta mera calificación formal del título habilitante a su verdadero contenido material: la protección y tutela de un espacio marino a preservar por sus recursos naturales, lo que encaja en la competencia sobre “espacios naturales protegidos”, de titularidad exclusiva de la Comunidad Autónoma de Andalucía en virtud de lo dispuesto en el art. 13.7 de su Estatuto de Autonomía, en relación con el medio ambiente (art. 15.1.7, inciso primero, del Estatuto).  Competencia ésta que, al ser ejercitada por la Administración estatal, no se ajusta al orden constitucional de distribución de competencias, procediendo declararlo así, con estimación del conflicto promovido por el Consejo de Gobierno de la Junta de Andalucía.</w:t>
      </w:r>
    </w:p>
    <w:p w:rsidR="0025129F" w:rsidRDefault="0025129F" w:rsidP="0025129F">
      <w:pPr>
        <w:pStyle w:val="TextoNormal"/>
      </w:pPr>
      <w:r>
        <w:t>Y para que conste mi discrepancia, y al amparo de lo prevenido en el art. 90.2 LOTC, suscribo el presente Voto particular en Madrid, a catorce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2" w:name="SENTENCIA_2002_39"/>
      <w:r>
        <w:lastRenderedPageBreak/>
        <w:t>SENTENCIA 39/2002, de 14 de febrero de 2002</w:t>
      </w:r>
    </w:p>
    <w:bookmarkEnd w:id="42"/>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ECLI:ES:TC:2002:39</w:t>
      </w:r>
    </w:p>
    <w:p w:rsidR="0025129F" w:rsidRDefault="0025129F" w:rsidP="0025129F">
      <w:pPr>
        <w:pStyle w:val="SntesisDescriptiva"/>
      </w:pPr>
    </w:p>
    <w:p w:rsidR="0025129F" w:rsidRDefault="0025129F" w:rsidP="0025129F">
      <w:pPr>
        <w:pStyle w:val="SntesisDescriptiva"/>
      </w:pPr>
      <w:r>
        <w:t>Cuestión de inconstitucionalidad 1724/1995. Planteada por un Juzgado de Primera Instancia de Reus respecto del art. 9.2 del Código Civil, redactado por el Decreto 1836/1974, de 31 de mayo.</w:t>
      </w:r>
    </w:p>
    <w:p w:rsidR="0025129F" w:rsidRDefault="0025129F" w:rsidP="0025129F">
      <w:pPr>
        <w:pStyle w:val="SntesisDescriptiva"/>
      </w:pPr>
    </w:p>
    <w:p w:rsidR="0025129F" w:rsidRDefault="0025129F" w:rsidP="0025129F">
      <w:pPr>
        <w:pStyle w:val="SntesisAnaltica"/>
      </w:pPr>
      <w:r>
        <w:t>Vulneración del derecho a la igualdad conyugal: designación de la ley nacional del marido para regir supletoriamente el régimen económico del matrimonio. Derogación del precepto legal.</w:t>
      </w:r>
    </w:p>
    <w:p w:rsidR="0025129F" w:rsidRDefault="0025129F" w:rsidP="0025129F">
      <w:pPr>
        <w:pStyle w:val="SntesisAnaltica"/>
      </w:pPr>
    </w:p>
    <w:p w:rsidR="0025129F" w:rsidRDefault="0025129F" w:rsidP="0025129F">
      <w:pPr>
        <w:pStyle w:val="Extracto"/>
      </w:pPr>
      <w:r>
        <w:t>1.</w:t>
      </w:r>
      <w:r>
        <w:tab/>
        <w:t>El art. 9.2 CC, al establecer la nacionalidad del marido al tiempo de contraer el matrimonio como punto de conexión para la determinación de la ley aplicable a las relaciones personales del matrimonio y, en defecto o por insuficiencia de capitulaciones matrimoniales, también a las relaciones patrimoniales entre los cónyuges, es o no contrario al art. 14 CE así como al art. 32 CE [FJ 5].</w:t>
      </w:r>
    </w:p>
    <w:p w:rsidR="0025129F" w:rsidRDefault="0025129F" w:rsidP="0025129F">
      <w:pPr>
        <w:pStyle w:val="Extracto"/>
      </w:pPr>
    </w:p>
    <w:p w:rsidR="0025129F" w:rsidRDefault="0025129F" w:rsidP="0025129F">
      <w:pPr>
        <w:pStyle w:val="Extracto"/>
      </w:pPr>
      <w:r>
        <w:t>2.</w:t>
      </w:r>
      <w:r>
        <w:tab/>
        <w:t>El precepto cuestionado introduce una diferencia de trato entre el varón y la mujer pese a que ambos se encuentran, en relación al matrimonio, en la misma situación jurídica. Se opone, por tanto, no sólo al art. 14 CE, sino también al más específico art. 32 CE [FJ 5].</w:t>
      </w:r>
    </w:p>
    <w:p w:rsidR="0025129F" w:rsidRDefault="0025129F" w:rsidP="0025129F">
      <w:pPr>
        <w:pStyle w:val="Extracto"/>
      </w:pPr>
    </w:p>
    <w:p w:rsidR="0025129F" w:rsidRDefault="0025129F" w:rsidP="0025129F">
      <w:pPr>
        <w:pStyle w:val="Extracto"/>
      </w:pPr>
      <w:r>
        <w:t>3.</w:t>
      </w:r>
      <w:r>
        <w:tab/>
        <w:t>El desajuste de la norma cuestionada con la Constitución tiene lugar con independencia de si el resultado de su aplicación en cada caso concreto es más o menos favorable a la mujer [FJ 5].</w:t>
      </w:r>
    </w:p>
    <w:p w:rsidR="0025129F" w:rsidRDefault="0025129F" w:rsidP="0025129F">
      <w:pPr>
        <w:pStyle w:val="Extracto"/>
      </w:pPr>
    </w:p>
    <w:p w:rsidR="0025129F" w:rsidRDefault="0025129F" w:rsidP="0025129F">
      <w:pPr>
        <w:pStyle w:val="Extracto"/>
      </w:pPr>
      <w:r>
        <w:t>4.</w:t>
      </w:r>
      <w:r>
        <w:tab/>
        <w:t>Doctrina de este Tribunal sobre el derecho a la igualdad y las prohibiciones de discriminación, recogida de forma extensa y precisa en la reciente STC 200/2001 [FJ 4].</w:t>
      </w:r>
    </w:p>
    <w:p w:rsidR="0025129F" w:rsidRDefault="0025129F" w:rsidP="0025129F">
      <w:pPr>
        <w:pStyle w:val="Extracto"/>
      </w:pPr>
    </w:p>
    <w:p w:rsidR="0025129F" w:rsidRDefault="0025129F" w:rsidP="0025129F">
      <w:pPr>
        <w:pStyle w:val="Extracto"/>
      </w:pPr>
      <w:r>
        <w:t>5.</w:t>
      </w:r>
      <w:r>
        <w:tab/>
        <w:t>Este Tribunal, partiendo de la Constitución y de los textos comunitarios e internacionales sobre la igualdad, ha reaccionado siempre frente a toda norma o acto aplicativo que supusiese la discriminación de la mujer, alineándose así tanto con la doctrina del Tribunal Europeo de Derechos Humanos como con la del Tribunal de Justicia de las Comunidades Europeas y otros Tribunales Constitucionales [FJ 5].</w:t>
      </w:r>
    </w:p>
    <w:p w:rsidR="0025129F" w:rsidRDefault="0025129F" w:rsidP="0025129F">
      <w:pPr>
        <w:pStyle w:val="Extracto"/>
      </w:pPr>
    </w:p>
    <w:p w:rsidR="0025129F" w:rsidRDefault="0025129F" w:rsidP="0025129F">
      <w:pPr>
        <w:pStyle w:val="Extracto"/>
      </w:pPr>
      <w:r>
        <w:t>6.</w:t>
      </w:r>
      <w:r>
        <w:tab/>
        <w:t>El órgano judicial puede examinar y resolver por sí mismo la eventual contradicción con el ordenamiento constitucional de una norma anterior a la Constitución, también puede optar por deferir la cuestión a esta jurisdicción constitucional (SSTC 17/1981, 83/1984, 126/1997) [FJ 2.a].</w:t>
      </w:r>
    </w:p>
    <w:p w:rsidR="0025129F" w:rsidRDefault="0025129F" w:rsidP="0025129F">
      <w:pPr>
        <w:pStyle w:val="Extracto"/>
      </w:pPr>
    </w:p>
    <w:p w:rsidR="0025129F" w:rsidRDefault="0025129F" w:rsidP="0025129F">
      <w:pPr>
        <w:pStyle w:val="Extracto"/>
      </w:pPr>
      <w:r>
        <w:lastRenderedPageBreak/>
        <w:t>7.</w:t>
      </w:r>
      <w:r>
        <w:tab/>
        <w:t>Nuestra función no es la de resolver controversias interpretativas o dudas sobre la interpretación de la legalidad que subyace a la cuestión de inconstitucionalidad (STC 109/2001) [FJ 2.b].</w:t>
      </w:r>
    </w:p>
    <w:p w:rsidR="0025129F" w:rsidRDefault="0025129F" w:rsidP="0025129F">
      <w:pPr>
        <w:pStyle w:val="Extracto"/>
      </w:pPr>
    </w:p>
    <w:p w:rsidR="0025129F" w:rsidRDefault="0025129F" w:rsidP="0025129F">
      <w:pPr>
        <w:pStyle w:val="Extracto"/>
      </w:pPr>
      <w:r>
        <w:t>8.</w:t>
      </w:r>
      <w:r>
        <w:tab/>
        <w:t>La exigencia de que el fallo judicial dependa de la adecuación de la ley a la Constitución no diferencia según que la norma cuestionada tenga carácter dispositivo o imperativo [FJ 3].</w:t>
      </w:r>
    </w:p>
    <w:p w:rsidR="0025129F" w:rsidRDefault="0025129F" w:rsidP="0025129F">
      <w:pPr>
        <w:pStyle w:val="Extracto"/>
      </w:pPr>
    </w:p>
    <w:p w:rsidR="0025129F" w:rsidRDefault="0025129F" w:rsidP="0025129F">
      <w:pPr>
        <w:pStyle w:val="Extracto"/>
      </w:pPr>
      <w:r>
        <w:t>9.</w:t>
      </w:r>
      <w:r>
        <w:tab/>
        <w:t>No es a este Tribunal, sino a los órganos judiciales, a quienes les corresponde integrar, por los medios que el Ordenamiento jurídico pone a su disposición, la eventual laguna que la anulación pudiera producir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la cuestión de inconstitucionalidad núm. 1724/95, planteada por el Juzgado de Primera Instancia núm. 1 de Reus respecto del art. 9.2 del Código Civil. Han comparecido el Ministerio Fiscal y el Abogado del Estado, en la representación que legalmente ostenta. Ha sido Ponente el Magistrado don Guillermo Jiménez Sánchez, quien expresa el parecer del Tribunal.</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día 12 de mayo de 1995 tuvo entrada en el Registro General de este Tribunal oficio remisorio del Magistrado-Juez del Juzgado de Primera Instancia núm. 1 de Reus, de fecha 2 de mayo de 1995, al que se acompaña, junto al testimonio del juicio ordinario de menor cuantía núm. 171/94, el Auto de 11 de abril de 1995, por el que se acuerda plantear cuestión de inconstitucionalidad respecto al art. 9.2 del Código Civil, en su redacción anterior a la de la Ley 11/1990, de 15 de octubre, por su posible contradicción con los arts. 1.1, 9 y 14 de la Constitución.</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El juicio de menor cuantía del que la presente cuestión de inconstitucionalidad trae causa fue promovido por don José Antonio Getino Fernández contra doña María del Pilar Domingo Calleja, en solicitud de formación de inventario de los bienes integrantes de la </w:t>
      </w:r>
      <w:r>
        <w:lastRenderedPageBreak/>
        <w:t xml:space="preserve">sociedad conyugal, a fin de que se proceda al avalúo de los bienes inventariados, nombrándose contador-partidor, y a su adjudicación. </w:t>
      </w:r>
    </w:p>
    <w:p w:rsidR="0025129F" w:rsidRDefault="0025129F" w:rsidP="0025129F">
      <w:pPr>
        <w:pStyle w:val="TextoNormal"/>
      </w:pPr>
      <w:r>
        <w:t xml:space="preserve">Concluso el procedimiento el órgano judicial acordó, por providencia de 13 de febrero de 1995, oír a las partes y al Ministerio Fiscal sobre la pertinencia o no de plantear cuestión de inconstitucionalidad respecto al art. 9.2 del Código Civil, en su redacción anterior a la de la Ley 11/1990, de 15 de octubre, “vigente el día 3 de febrero de 1984 en que contrajeron matrimonio don José Antonio Getino Fernández y doña María Pilar Domingo Palleja, y, por tanto, aplicable, pese a su posterior derogación por la Ley 11/1990, de 15 de febrero, al presente caso por la expresa remisión que al mismo hacían los artículos 9.3 y 16.1 del propio C.c.”, por si pudiera ser o no “contrario a los artículos 1, 9, 14 y concordantes del texto constitucional que reconocen los principios constitucionales de igualdad y no discriminación por razón de sexo como derechos fundamentales, o si, por el contrario, siendo clara la inconstitucionalidad sobrevenida de dicha norma no es siquiera preciso un pronunciamiento explícito del Tribunal Constitucional sobre su nulidad...”. </w:t>
      </w:r>
    </w:p>
    <w:p w:rsidR="0025129F" w:rsidRDefault="0025129F" w:rsidP="0025129F">
      <w:pPr>
        <w:pStyle w:val="TextoNormal"/>
      </w:pPr>
      <w:r>
        <w:t>Evacuado el trámite de alegaciones conferido no estimaron pertinente el planteamiento de la cuestión de inconstitucionalidad las representaciones procesales de ambas partes, mientras que el Ministerio Fiscal sí consideró procedente hacerlo.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fundamentación del Auto de 11 de abril de 1995, de planteamiento de la cuestión de inconstitucionalidad, el órgano judicial proponente realiza, en síntesis, las siguientes consideraciones: </w:t>
      </w:r>
    </w:p>
    <w:p w:rsidR="0025129F" w:rsidRDefault="0025129F" w:rsidP="0025129F">
      <w:pPr>
        <w:pStyle w:val="TextoNormal"/>
      </w:pPr>
      <w:r>
        <w:t xml:space="preserve">a) Comienza por referirse a las razones que, en su opinión, hacen conveniente en este supuesto, pese a ser anterior a la Constitución la norma cuestionada y, en consecuencia, poder aplicar directamente el apartado 3 de la Disposición derogatoria CE, un pronunciamiento del Tribunal Constitucional. En primer lugar, que los doce años transcurridos desde la entrada en vigor de la Constitución y la Ley 11/1990, de 15 de octubre, la cual modifica varios artículos del Código Civil en aplicación del principio de no discriminación por razón de sexo (entre ellos el que es objeto de la presente cuestión), han dado lugar a muchos “matrimonios mixtos” tanto en Cataluña como en las demás Comunidades Autónomas con su propio Derecho civil, por lo que el problema exige una solución global. En segundo término, que, dada la vaguedad de los términos del Preámbulo y la insuficiencia de las normas transitorias de la Ley 11/1990, la cuestión suscitada en el caso sometido a su enjuiciamiento es la de determinar el régimen económico al que han estado sometidos los cónyuges desde la celebración de su matrimonio el día 3 de febrero de 1984. Y, finalmente, que cabe la posibilidad, aun cuando ésta sea remota, de que el Tribunal Constitucional declare la norma cuestionada conforme a la CE. </w:t>
      </w:r>
    </w:p>
    <w:p w:rsidR="0025129F" w:rsidRDefault="0025129F" w:rsidP="0025129F">
      <w:pPr>
        <w:pStyle w:val="TextoNormal"/>
      </w:pPr>
      <w:r>
        <w:t xml:space="preserve">A continuación señala que de los hechos admitidos por ambas partes litigantes y de los medios de prueba practicados resultan suficientemente acreditadas las siguientes premisas: 1) Que don José Antonio Getino Fernández, de vecindad civil común, y doña María Pilar Domingo Calleja, de vecindad catalana, contrajeron matrimonio en Cambrils (Tarragona) el día 3 de febrero de 1984 sin otorgar capitulaciones matrimoniales. 2) Y que desde entonces hasta el momento de su separación de hecho (18 de abril de 1989) residieron habitualmente en la mencionada localidad de este partido judicial de Reus. </w:t>
      </w:r>
    </w:p>
    <w:p w:rsidR="0025129F" w:rsidRDefault="0025129F" w:rsidP="0025129F">
      <w:pPr>
        <w:pStyle w:val="TextoNormal"/>
      </w:pPr>
      <w:r>
        <w:t xml:space="preserve">b) Por último considera que el art. 9.2 del Código Civil, aplicable al presente caso pese a su posterior modificación por la Ley 11/1990, podría ser contrario a los arts. 1, 9 y 14 CE al discriminar “injustificadamente a la mujer (doña María Pilar Domingo Calleja, en el presente caso) al someterla al régimen económico matrimonial (sociedad de gananciales, </w:t>
      </w:r>
      <w:r>
        <w:lastRenderedPageBreak/>
        <w:t xml:space="preserve">en el presente caso) de la Ley personal (Derecho Civil común, en el presente caso) del marido (don José Antonio Getino Fernández, en el presente caso)”. </w:t>
      </w:r>
    </w:p>
    <w:p w:rsidR="0025129F" w:rsidRDefault="0025129F" w:rsidP="0025129F">
      <w:pPr>
        <w:pStyle w:val="TextoNormal"/>
      </w:pPr>
      <w:r>
        <w:t>Siendo clara la inconstitucionalidad de la norma cuestionada (afirma el órgano proponente) es preciso un pronunciamiento explícito del Tribunal Constitucional sobre su nulidad, ya que el fallo de este litigio depende de su validez. En efecto, de declararse ésta, el régimen económico matrimonial que existió entre las partes hubiera sido la sociedad de gananciales prevista en el Código Civil común, como alega la parte demandante, y, en consecuencia, debería, en principio, estimarse la demanda. Por el contrario, si se estima inconstitucional la norma cuestionada, deberían desestimarse íntegramente las pretensiones de la parte actora, dado que el régimen económico matrimonial hubiera sido, dado que considera que la laguna legal que entonces se ocasionaría debería integrarse con la noción residual de residencia habitual, el de separación de bienes determinado en la Compilación Civil catalana.</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Segunda de este Tribunal, por providencia de 18 de julio de 1995, acordó tener por recibidas las actuaciones remitidas por el Juez de Primera Instancia núm. 1 de Reus y oír al Fiscal General del Estado para que, en el plazo de diez días y a los efectos que determina el art. 37.1 LOTC, alegase lo que estimara oportuno acerca de la admisibilidad de la presente cuestión de inconstitucionalidad ante la posible falta de condiciones procesales constitucional y legalmente exigibles y, en concreto, si la norma cuestionada es aplicable al caso y de su validez depende la decisión del proceso.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El Fiscal General del Estado evacuó el trámite de alegaciones conferido mediante escrito registrado el día 6 de septiembre siguiente, en el que manifiesta, en síntesis, que la norma cuestionada parece que no es aplicable al caso y que de su validez no depende la decisión del proceso, ya que la cuestión se suscita en un proceso que “tiene por objeto única y exclusivamente la formación del inventario de una sociedad de gananciales como ejecución de una Sentencia de separación en la que se ordenaba la disolución de dicha sociedad”. De modo que la norma cuestionada debió ser impugnada en el proceso de separación, en el que la parte que plantea su posible inconstitucionalidad reconoció que el régimen económico que regulaba dicho matrimonio era el de gananciales. </w:t>
      </w:r>
    </w:p>
    <w:p w:rsidR="0025129F" w:rsidRDefault="0025129F" w:rsidP="0025129F">
      <w:pPr>
        <w:pStyle w:val="TextoNormal"/>
      </w:pPr>
      <w:r>
        <w:t>Asimismo añade que el art. 9.3 CC., tanto en su antigua como en su nueva redacción, establece la posibilidad de que los cónyuges pacten los efectos económicos del matrimonio, siempre que los convenios celebrados al efecto estén de acuerdo, en cuanto a su contenido y forma, con las normas que el mismo precepto señala, y solamente cuando falten o sean insuficientes los indicados acuerdos determina el mencionado artículo el régimen normativo que subsidiariamente será de aplicación. De este precepto se infiere, pues, que las partes pueden, mediante el correspondiente pacto, establecer el régimen económico matrimonial que va a regir entre ellas, de forma que si eligieron tácitamente, al no otorgar capitulaciones matrimoniales, el régimen ganancial como propio de su matrimonio, éste es el que ha regido sus relaciones económicas, sin que tenga aplicación la norma cuestionada, porque la voluntad de los cónyuges en cuanto al régimen económico se ha manifestado durante el matrimonio y en los procedimientos de separación y de jurisdicción voluntaria. No es admisible ni lógico que en toda la trayectoria procesal no haya alegado la mujer la debatida norma y la alegue ahora únicamente por razones de conveniencia.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Por providencia de 16 de enero de 1996 la Sección Segunda de este Tribunal acordó admitir a trámite la cuestión de inconstitucionalidad planteada por el Juez de Primera Instancia núm. 1 de Reus relativa a la supuesta inconstitucionalidad del art. 9.2 del Código Civil, en la redacción anterior a la Ley 11/1990, de 15 de octubre, en cuanto podría vulnerar los arts. 1.1, 9.2 y 14 CE. Asimismo ordenó dar traslado de las actuaciones recibidas, conforme establece el art. 37.2 LOTC, al Congreso de los Diputados y al Senado, por conducto de sus Presidentes, al Gobierno, por conducto del Ministerio de Justicia e Interior, y al Fiscal General del Estado, al objeto de que, en el improrrogable plazo de quince días, pudieran personarse en el proceso y formular las alegaciones que estimasen procedentes. Finalmente resolvió publicar la incoación de la presente cuestión de inconstitucionalidad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7</w:t>
      </w:r>
      <w:r>
        <w:t>. El Presidente del Senado, a través de escrito fechado el 23 de enero de 1996, registrado en este Tribunal el día 25 de enero siguiente, solicitó se tuviera por personada a dicha Cámara, ofreciendo su colaboración a los efectos del art. 88.1 LOTC</w:t>
      </w:r>
    </w:p>
    <w:p w:rsidR="0025129F" w:rsidRDefault="0025129F" w:rsidP="0025129F">
      <w:pPr>
        <w:pStyle w:val="TextoNormal"/>
      </w:pPr>
    </w:p>
    <w:p w:rsidR="0025129F" w:rsidRDefault="0025129F" w:rsidP="0025129F">
      <w:pPr>
        <w:pStyle w:val="TextoNormal"/>
      </w:pPr>
      <w:r w:rsidRPr="0025129F">
        <w:rPr>
          <w:rStyle w:val="NumeroAFNegritaCaracter"/>
        </w:rPr>
        <w:t>8</w:t>
      </w:r>
      <w:r>
        <w:t>. Mediante escrito fechado el 29 de enero de 1996, que tuvo entrada en este Tribunal el 31 de enero siguiente, el Presidente del Congreso de los Diputados puso en conocimiento de este Tribunal que la Mesa de la Cámara había acordado no personarse en el procedimiento ni formular alegaciones, poniendo a disposición del Tribunal las actuaciones de la Cámara que pudiera precisar.</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Abogado del Estado, en representación del Gobierno de la Nación, se personó mediante escrito registrado el 2 de febrero de 1996 solicitando que se declare mal planteada la cuestión por falta de objeto; subsidiariamente, que se declare inconstitucional el inciso segundo del art. 9.2 del Código Civil, en su redacción anterior a la Ley 11/1990, de 15 de octubre, que reza: “y, en su defecto, por la ley nacional del marido al tiempo de la celebración”. </w:t>
      </w:r>
    </w:p>
    <w:p w:rsidR="0025129F" w:rsidRDefault="0025129F" w:rsidP="0025129F">
      <w:pPr>
        <w:pStyle w:val="TextoNormal"/>
      </w:pPr>
      <w:r>
        <w:t xml:space="preserve">Comienza su razonamiento recordando que el texto cuestionado es tan sólo el último inciso del art. 9.2 del Código Civil, en el cual se establece que las relaciones personales entre los cónyuges se regirán, en defecto de los criterios anteriormente sentados, “por la ley nacional del marido al tiempo de su celebración” (se entiende que del matrimonio). Tal redacción fue introducida en la reforma del Título Preliminar del Código Civil operada por la Ley de Bases de 17 de marzo de 1973, texto articulado de 31 de mayo de 1974, por lo que, al tratarse de un precepto preconstitucional, habría perdido ya su vigencia en virtud de su incompatibilidad con los arts. 14 y 32 CE, y de ahí que la cuestión se desplazaría a cómo integrar la laguna producida por la pérdida de vigencia de la norma que establece el punto de conexión que ahora se cuestiona de inconstitucionalidad, cuestión que, según reiteradamente ha afirmado este Tribunal, es ajena a la jurisdicción constitucional, pero que en cambio sí ha sido abordada por el Tribunal Supremo, el cual ha entendido que debe acudirse a la ley de la residencia habitual común inmediatamente posterior a la celebración del matrimonio, lo cual llevaría a entender que el régimen económico del matrimonio habría sido el de separación de bienes y, por tanto, procedería la desestimación de la demanda. </w:t>
      </w:r>
    </w:p>
    <w:p w:rsidR="0025129F" w:rsidRDefault="0025129F" w:rsidP="0025129F">
      <w:pPr>
        <w:pStyle w:val="TextoNormal"/>
      </w:pPr>
      <w:r>
        <w:t>Continúa el Abogado del Estado su razonamiento recogiendo el precedente constituido por el ATC 438/1990, de 18 de diciembre, que declaró terminada una cuestión de inconstitucionalidad como consecuencia de la desaparición sobrevenida de su objeto al haber reci</w:t>
      </w:r>
      <w:r>
        <w:lastRenderedPageBreak/>
        <w:t xml:space="preserve">bido el precepto cuestionado una nueva redacción acomodada a la Constitución en la Ley 11/1990, de 15 de octubre, que entró en vigor después de admitida la cuestión. Con mayor motivo habría de ser aplicada la nueva norma en un proceso que se inicia una vez que había entrado ya en vigor la nueva redacción del precepto del Código Civil adoptada por la tan reiterada Ley 11/1990. Ahora bien, como no deja de ser sostenible la aplicación al caso de la norma cuestionada de inconstitucionalidad, atendido que el matrimonio se celebró, y se decretó la separación, con anterioridad a la vigencia de la Ley 11/1990, examina la constitucionalidad del precepto cuestionado a la luz de los arts. 14 y 32 CE. </w:t>
      </w:r>
    </w:p>
    <w:p w:rsidR="0025129F" w:rsidRDefault="0025129F" w:rsidP="0025129F">
      <w:pPr>
        <w:pStyle w:val="TextoNormal"/>
      </w:pPr>
      <w:r>
        <w:t>Entiende el Abogado del Estado que, de los preceptos constitucionales citados en el Auto de planteamiento, el más adecuado sería el art. 14 CE, el cual prohíbe expresamente que prevalezca cualquier discriminación por razón de sexo u otra circunstancia personal, como podría ser el estado civil, prohibición que alcanza también al legislador. Añade que debería haberse citado también el art. 32.1 CE que garantiza al hombre y a la mujer la plena igualdad jurídica en el matrimonio, pero que dicha omisión no impide que, de conformidad con lo establecido en el art. 39.2 LOTC, pueda producirse una declaración de inconstitucionalidad fundada en este precepto. Concluye que la inconstitucionalidad del punto de conexión subsidiario, consistente en la ley personal del marido al tiempo de la celebración del matrimonio, es manifiesta y ha sido señalada por la doctrina más autorizada, pues, establecida por el art. 14 CE la prohibición de discriminar por razón de sexo o de estado civil, resulta imposible hacer compatible el inciso cuestionado de la norma con los preceptos constitucionales citados, sin que, por otra parte, quepa acudir a la supuesta neutralidad material de las normas de conflicto, toda vez que, tratándose de un supuesto de derecho interregional determinante de la aplicabilidad de alguno de los Derechos civiles coexistentes dentro de un Ordenamiento único, todos ellos están sujetos por igual a la Constitución.</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Fiscal General del Estado formuló alegaciones mediante escrito presentado en el Registro General de este Tribunal el día 9 de febrero de 1996, solicitando la desestimación de la cuestión de inconstitucionalidad. Tras centrar la cuestión suscitada en el marco del proceso judicial en el que se plantea, razona que la interpretación efectuada por el Juez proponente de los párrafos 2 y 3 del art. 9 del Código Civil llevaría a la declaración de inconstitucionalidad del art. 9.2 de dicho cuerpo legal, pues supone que en los casos en que los cónyuges tienen distinta vecindad civil uno de los efectos del matrimonio (el económico) ha de regirse por la ley personal del marido, suponiendo ello una discriminación por razón de sexo sin causa razonable que lo justifique. Ahora bien, esta conclusión, que, según el Fiscal se deduce de una primera lectura de los preceptos indicados, ha de examinarse detenidamente para dilucidar si tal inconstitucionalidad es tan solo aparente, es decir, si se trata de una conclusión meramente formal sin contenido contradictorio con el derecho fundamental, o, por el contrario, estamos ante una inconstitucionalidad material que vulnera el art. 14 CE. </w:t>
      </w:r>
    </w:p>
    <w:p w:rsidR="0025129F" w:rsidRDefault="0025129F" w:rsidP="0025129F">
      <w:pPr>
        <w:pStyle w:val="TextoNormal"/>
      </w:pPr>
      <w:r>
        <w:t xml:space="preserve">El Ministerio público llama la atención sobre el hecho de que en el proceso a quo se dilucidaban los efectos económicos del matrimonio, de suerte que la norma del art. 9.2 del Código Civil, que se refiere a los efectos personales del matrimonio, no es de aplicación directa, sino que entra en juego únicamente en virtud de la remisión que a ella efectúa el art. 9.3, y sólo como consecuencia de no haberse pactado el régimen económico matrimonial aplicable en capitulaciones matrimoniales, permitidas tanto por el Derecho civil común como por el Derecho foral catalán. Pues bien, la previsión de que mediante capitulaciones matrimoniales pueda determinarse el régimen económico del matrimonio hace que </w:t>
      </w:r>
      <w:r>
        <w:lastRenderedPageBreak/>
        <w:t>el régimen resultante de la aplicación de la norma de cuya constitucionalidad se duda resulte un régimen querido y determinado libremente por los cónyuges a través de una opción tácita por el régimen legal subsidiario determinado por la normativa civil o foral que resulte aplicable. En suma, en la medida en que se está ante una norma dispositiva, no existe imposición de un régimen económico determinado por la preferencia de la ley personal del marido, lo cual permite concluir que la norma enjuiciada no resulta contraria al principio de no discriminación por razón de sexo consagrado en el art. 14 CE. Otra cosa sería, concluye el Fiscal, que la cuestión de inconstitucionalidad, aun sobre el mismo precepto legal, se hubiese suscitado en un litigio relativo a los efectos personales del matrimonio, en el que se plantearía en su más profunda y radical dimensión la conexión íntima entre la norma cuestionada y las pretensiones deducidas en el proceso.</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fecha de 12 de febrero de 2002, se señaló para deliberación y votación de la presente Sentencia el día 14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Auto del Juez de Primera Instancia núm. 1 de Reus, de 11 de abril de 1995, cuestiona la constitucionalidad del art. 9.2 del Código Civil en la redacción anterior a la Ley 11/1990, de 15 de octubre, por estimarlo contrario a los arts. 1.1, 9.2 y 14 CE. De la fundamentación de tal Auto puede desprenderse, sin esfuerzo interpretativo alguno, que tan sólo se cuestiona el último inciso del párrafo aludido, en cuanto que, en defecto de los puntos de conexión principalmente establecidos para la determinación de la ley aplicable a las relaciones personales entre cónyuges, impone la aplicación de la “ley nacional del marido al tiempo de la celebración” del matrimonio. Tal preferencia del varón sobre la mujer discrimina a ésta injustificadamente, siendo preciso, entiende el Juez proponente de la cuestión, un pronunciamiento expreso de este Tribunal dada la existencia de un elevado número de “matrimonios mixtos” (expresión con la que alude a la circunstancia de que los cónyuges tengan distinta vecindad civil), lo que aconseja que se resuelva con carácter general el problema que éstos suscitan, consideración que en el caso que da lugar al planteamiento de la presente cuestión de inconstitucionalidad resulta reforzada por la insuficiencia de las disposiciones transitorias de la Ley 11/1990 para determinar el régimen económico en el que estuvieron casadas las partes del proceso a quo.</w:t>
      </w:r>
    </w:p>
    <w:p w:rsidR="0025129F" w:rsidRDefault="0025129F" w:rsidP="0025129F">
      <w:pPr>
        <w:pStyle w:val="TextoNormal"/>
      </w:pPr>
    </w:p>
    <w:p w:rsidR="0025129F" w:rsidRDefault="0025129F" w:rsidP="0025129F">
      <w:pPr>
        <w:pStyle w:val="TextoNormal"/>
      </w:pPr>
      <w:r w:rsidRPr="0025129F">
        <w:rPr>
          <w:rStyle w:val="NumeroAFNegritaCaracter"/>
        </w:rPr>
        <w:t>2</w:t>
      </w:r>
      <w:r>
        <w:t>. Un análisis consecuente con la naturaleza de las peticiones de quienes han intervenido en este proceso constitucional exige iniciar nuestro enjuiciamiento con el estudio de la petición principal del Abogado del Estado, el cual entiende que la cuestión de inconstitucionalidad carece de objeto y que, por ello, debe declararse mal planteada. Se basa para sustentar tal afirmación en un doble argumento:</w:t>
      </w:r>
    </w:p>
    <w:p w:rsidR="0025129F" w:rsidRDefault="0025129F" w:rsidP="0025129F">
      <w:pPr>
        <w:pStyle w:val="TextoNormal"/>
      </w:pPr>
      <w:r>
        <w:t>a) De una parte, en que el carácter preconstitucional de la norma cuestionada habría determinado la pérdida de vigencia de ésta por incompatibilidad con los arts. 14 y 32 CE, de suerte que la Ley 11/1990, de 15 de octubre, no habría producido propiamente la derogación de la norma anterior, sino la introducción de un nuevo régimen jurídico plenamente acomodado a los preceptos constitucionales, desplazándose así la cuestión al entendimiento de cómo habría de llenarse la laguna legal existente en el lapso temporal que media entre la pérdida de vigencia del inciso cuestionado, producida por la entrada en vigor de la Constitución, y la publicación de la Ley 11/1990, que adopta nuevos criterios de determi</w:t>
      </w:r>
      <w:r>
        <w:lastRenderedPageBreak/>
        <w:t>nación de la normativa aplicable, cuestión que, como reiteradamente se ha afirmado, no corresponde resolver al Tribunal Constitucional en el ejercicio de sus competencias propias y específicas.</w:t>
      </w:r>
    </w:p>
    <w:p w:rsidR="0025129F" w:rsidRDefault="0025129F" w:rsidP="0025129F">
      <w:pPr>
        <w:pStyle w:val="TextoNormal"/>
      </w:pPr>
      <w:r>
        <w:t>Ahora bien, esta argumentación no puede ser compartida dado que hace supuesto de la cuestión. En efecto, la pérdida de vigencia del inciso cuestionado se habría producido por aplicación de la Disposición derogatoria tercera de la Constitución a causa de su incompatibilidad con los preceptos constitucionales, que es precisamente lo que el órgano judicial plantea como duda de constitucionalidad. Pues bien, cuando la duda de constitucionalidad se plantea en relación con normas preconstitucionales este Tribunal ha declarado con reiteración que esta circunstancia no impone, por sí misma y de modo absoluto, que el órgano judicial deba abstenerse de plantear la cuestión de inconstitucionalidad, ya que, si bien puede examinar y resolver por sí mismo la eventual contradicción con el ordenamiento constitucional de una norma anterior a la Constitución, también puede optar por deferir la cuestión a esta jurisdicción constitucional (SSTC 17/1981, de 1 de junio; 83/1984, de 24 de julio; 155/1987, de 14 de octubre; 105/1988, de 8 de junio; y 126/1997, de 3 de julio, entre otras).</w:t>
      </w:r>
    </w:p>
    <w:p w:rsidR="0025129F" w:rsidRDefault="0025129F" w:rsidP="0025129F">
      <w:pPr>
        <w:pStyle w:val="TextoNormal"/>
      </w:pPr>
      <w:r>
        <w:t>b) Una segunda línea argumental viene a sostener que el art. 9.2 CC podía ser ya aplicado en el proceso a quo en la nueva redacción dada por la Ley 11/1990, por lo que la cuestión carecía ab initio de objeto. Este razonamiento vendría avalado, en opinión del Abogado del Estado, por el criterio seguido en el ATC 438/1990, de 18 de diciembre, que declaró terminada una cuestión de inconstitucionalidad por desaparición sobrevenida del objeto dado que el precepto cuestionado había recibido nueva redacción acomodada a la Constitución por la Ley 11/1990, de 15 de octubre, que entró en vigor después de admitida la cuestión de inconstitucionalidad.</w:t>
      </w:r>
    </w:p>
    <w:p w:rsidR="0025129F" w:rsidRDefault="0025129F" w:rsidP="0025129F">
      <w:pPr>
        <w:pStyle w:val="TextoNormal"/>
      </w:pPr>
      <w:r>
        <w:t>Frente a lo expuesto cabe oponer, como más adelante apunta incluso el propio Abogado del Estado, que la aplicabilidad al caso de la norma cuya constitucionalidad se cuestiona puede sustentarse en varios argumentos, entre los cuales alude a que el matrimonio (cuyo régimen económico habrá de determinarse en función de la constitucionalidad del precepto cuestionado) se celebró (y su separación se decretó) bajo la vigencia de la norma cuestionada. A ello podría añadirse que la determinación del régimen económico del matrimonio se produjo al tiempo de su celebración, según la ley aplicable, en función de la vecindad civil de los contrayentes, por lo que el efecto jurídico de la aplicación de la norma cuestionada, consistente en el señalamiento o fijación de qué legislación civil, común o foral, determinaría tal régimen atendida la inexistencia de capitulaciones matrimoniales, habría agotado sus efectos en su aplicación instantánea, sin que el cambio normativo posterior haya de llevar consigo una alteración del régimen económico del matrimonio así establecido.</w:t>
      </w:r>
    </w:p>
    <w:p w:rsidR="0025129F" w:rsidRDefault="0025129F" w:rsidP="0025129F">
      <w:pPr>
        <w:pStyle w:val="TextoNormal"/>
      </w:pPr>
      <w:r>
        <w:t xml:space="preserve">En esta circunstancia (haberse producido ya el efecto jurídico derivado de la aplicación de la norma cuestionada) reside, además, la nota distintiva con el precedente citado por el Abogado del Estado, y otros que podrían citarse, como el estudiado en el ATC 43/1995, de 7 de febrero. En efecto, en el caso del ATC 438/1990, de 18 de diciembre, a que hace referencia el Abogado del Estado se cuestionaba el art. 159 CC, que daba preferencia a la madre para hacerse cargo del cuidado de los hijos cuando los padres vivían separados y no había acuerdo o decisión judicial motivada en la excepcionalidad, pero tal artículo había sido reformado, de suerte que se eliminaban las objeciones de constitucionalidad propuestas por el Juez. La norma por su propia naturaleza y la de la materia regulada, había de ser aplicada en su nueva redacción al dictar sentencia, por lo que la regla de derecho de cuya constitucionalidad se dudaba había dejado de ser aplicable al caso. En el supuesto resuelto </w:t>
      </w:r>
      <w:r>
        <w:lastRenderedPageBreak/>
        <w:t>en el ATC 43/1995, de 7 de febrero, se dudaba de la constitucionalidad del art. 54 de la Ley del Registro Civil, en la redacción dada a este texto por la Ley 17/1977, de 4 de enero, que no autorizaba la imposición de nombres extranjeros a los ciudadanos españoles. La publicación de la Ley 20/1994, de 6 de junio, que hizo desaparecer tal prohibición, eliminó de raíz la eventual contradicción de la norma contemplada con la Constitución, pues el Juez debía adoptar su decisión de acuerdo con el texto de la disposición vigente en el momento de resolver, es decir, conforme a un precepto de cuya constitucionalidad no se dudaba ya.  En cambio, en el proceso en el que esta cuestión de inconstitucionalidad se plantea, de lo que se trata es de determinar cuál fue el régimen económico-matrimonial que quedó establecido por la aplicación de la regulación vigente al tiempo de la celebración del matrimonio. La norma cuestionada produjo su efecto, consistente en la determinación de conforme a qué ordenamiento, común o foral, quedaría establecido el régimen económico-matrimonial, y, fijado así el régimen económico del matrimonio por aplicación de la norma de conflicto vigente al tiempo de su celebración, la modificación de tal norma no produce la alteración del régimen económico-matrimonial que resulta aplicable. Y es que, a diferencia de los otros dos supuestos estudiados, en los cuales las normas cuestionadas de inconstitucionalidad proporcionaban al Juez una regla de Derecho en que sustentar la resolución del caso sometido a su enjuiciamiento, en la cuestión de inconstitucionalidad que ahora se resuelve el Juez no ha de tomar una decisión conforme a la ley vigente al tiempo de adoptarla, sino que ha de aplicar una norma que produjo un efecto jurídico instantáneo en el pasado y que prolonga sus efectos en el tiempo presente.</w:t>
      </w:r>
    </w:p>
    <w:p w:rsidR="0025129F" w:rsidRDefault="0025129F" w:rsidP="0025129F">
      <w:pPr>
        <w:pStyle w:val="TextoNormal"/>
      </w:pPr>
      <w:r>
        <w:t>En todo caso, y esta consideración resulta definitiva a los efectos de rechazar las objeciones procesales opuestas, en la reciente STC 109/2001, de 26 de abril (FJ 3, con cita de las SSTC 157/1990, de 18 de octubre, FJ 2; 222/1992, de 11 de diciembre, FJ 2; 238/1992, de 17 de diciembre, FJ 1; 114/1994, de 14 de mayo, FJ 2; 126/1997, de 3 de julio, FJ 4), recordábamos que nuestra función no es la de resolver controversias interpretativas o dudas sobre el alcance de los preceptos legales o, dicho de otra manera, la interpretación de la legalidad que subyace a la cuestión, sino enjuiciar la conformidad con la Constitución de una norma con rango de ley que sea aplicable al caso y de cuya validez dependa el fallo, conforme disponen los arts. 163 CE y 35.1 LOTC. En ese planteamiento los órganos jurisdiccionales que formularon la cuestión parten de una determinada interpretación del precepto cuestionado, debiendo precisarse que dicha interpretación debe ser el presupuesto de partida para el ejercicio de la función que nos viene atribuida cuando, como ocurre aquí, dicha interpretación no puede tacharse de irrazonable o de inconsistente en sí misma.</w:t>
      </w:r>
    </w:p>
    <w:p w:rsidR="0025129F" w:rsidRDefault="0025129F" w:rsidP="0025129F">
      <w:pPr>
        <w:pStyle w:val="TextoNormal"/>
      </w:pPr>
    </w:p>
    <w:p w:rsidR="0025129F" w:rsidRDefault="0025129F" w:rsidP="0025129F">
      <w:pPr>
        <w:pStyle w:val="TextoNormal"/>
      </w:pPr>
      <w:r w:rsidRPr="0025129F">
        <w:rPr>
          <w:rStyle w:val="NumeroAFNegritaCaracter"/>
        </w:rPr>
        <w:t>3</w:t>
      </w:r>
      <w:r>
        <w:t>. Las alegaciones del Fiscal General del Estado nos llevan a anteponer su estudio a la argumentación de fondo sobre la constitucionalidad del inciso del art. 9.2 CC que formuló el Abogado del Estado, con cuyas alegaciones aconseja la lógica expositiva que concluyamos.</w:t>
      </w:r>
    </w:p>
    <w:p w:rsidR="0025129F" w:rsidRDefault="0025129F" w:rsidP="0025129F">
      <w:pPr>
        <w:pStyle w:val="TextoNormal"/>
      </w:pPr>
      <w:r>
        <w:t xml:space="preserve">El Fiscal General del Estado aduce que a la aplicación del cuestionado inciso final del art. 9.2 CC (regulador de la ley aplicable a las relaciones personales entre cónyuges), se llega en el proceso a quo por la remisión que a él hace el art. 9.3 CC (sobre ley aplicable a las relaciones patrimoniales entre cónyuges). Como tal remisión sólo entra en juego en defecto o por insuficiencia de capitulaciones matrimoniales, permitidas tanto por el régimen civil común como por el foral catalán, el régimen económico matrimonial resultante de la aplicación de la norma de cuya constitucionalidad se duda es un régimen querido y determinado libremente por los cónyuges a través de una opción tácita por el régimen legal subsidiario civil común o foral que resulte aplicable. Consecuentemente, en la medida </w:t>
      </w:r>
      <w:r>
        <w:lastRenderedPageBreak/>
        <w:t>en que se está ante una norma dispositiva, no existe imposición de un régimen económico determinado por la preferencia de la ley personal del marido, por lo que la norma no sería contraria al principio de no discriminación en virtud del sexo, consagrado en el art. 14 CE. Otra cosa sería, concluye el Ministerio público, que la cuestión de inconstitucionalidad, aun en relación con el mismo precepto legal, se hubiese planteado en un litigio sobre los efectos personales del matrimonio [en cuyo caso, añadimos nosotros, la regla legal, si llegara a ser de aplicación, sí sería imperativa], guardando por consiguiente la conexión íntima entre la norma cuestionada y las pretensiones deducidas en el proceso que se exige legal y constitucionalmente.</w:t>
      </w:r>
    </w:p>
    <w:p w:rsidR="0025129F" w:rsidRDefault="0025129F" w:rsidP="0025129F">
      <w:pPr>
        <w:pStyle w:val="TextoNormal"/>
      </w:pPr>
      <w:r>
        <w:t>Pues bien, este Tribunal no puede sino admitir la necesidad, reiteradamente afirmada, de que entre la norma de cuya constitucionalidad se duda y las pretensiones de las partes exista una íntima conexión, dado que uno de los requisitos legal y constitucionalmente exigibles para poder plantear una cuestión de inconstitucionalidad es, precisamente, que el fallo de la Sentencia, en el que se resuelve sobre las pretensiones de las partes, dependa de la adecuación de la ley a la Constitución.  Ahora bien, de ello no se derivan diferentes exigencias de adecuación constitucional según que la norma cuestionada tenga carácter dispositivo o imperativo. Al margen de que la posibilidad de que los particulares puedan desplazar la aplicación de la regulación dispositiva encuentra siempre determinados límites, en unas ocasiones generales y en otras acotados por la propia norma que establece tal posibilidad, no parece adecuado afirmar que no hacer uso del margen de autonomía reconocido en la norma implique una opción voluntaria de sometimiento a la regulación dispositivamente introducida en la norma, sino que la aplicación de la misma deriva del carácter vinculante del Derecho, por lo que las mismas exigencias de adecuación a la Constitución deberán entrar en juego. Dicho de otro modo, y ciñéndonos al caso concreto, una vez que los contrayentes decidieron no hacer uso de la posibilidad de otorgar capitulaciones matrimoniales para determinar así el régimen económico de su matrimonio, la norma de conflicto que establece conforme a qué ley personal habrá de determinarse el régimen económico del matrimonio deberá ajustarse a los preceptos constitucionales. La circunstancia de si se utilizó o no la posibilidad de otorgar capitulaciones matrimoniales determinará si la previsión subsidiaria de la ley es aplicable al caso o no, lo que tendrá incidencia a la hora de efectuar el juicio de relevancia, pero, efectuado éste, la constitucionalidad de la norma se somete a los comunes u ordinarios parámetros de control.  De lo que se duda no es de la constitucionalidad del régimen económico que haya de regir entre las partes del proceso a quo, sino de la utilización de la ley personal del marido como punto de conexión, resultando indiferente para exigir su adecuación a la Constitución que tal punto de conexión sea el primero establecido en la norma de conflicto o que, por el contrario, existan otros de preferente aplicación en los que se reconozca a las partes cierto margen dispositivo. Todos los puntos de conexión, con independencia de si son establecidos en primer término o con carácter subsidiario, han de ajustarse a la Constitución.</w:t>
      </w:r>
    </w:p>
    <w:p w:rsidR="0025129F" w:rsidRDefault="0025129F" w:rsidP="0025129F">
      <w:pPr>
        <w:pStyle w:val="TextoNormal"/>
      </w:pPr>
    </w:p>
    <w:p w:rsidR="0025129F" w:rsidRDefault="0025129F" w:rsidP="0025129F">
      <w:pPr>
        <w:pStyle w:val="TextoNormal"/>
      </w:pPr>
      <w:r w:rsidRPr="0025129F">
        <w:rPr>
          <w:rStyle w:val="NumeroAFNegritaCaracter"/>
        </w:rPr>
        <w:t>4</w:t>
      </w:r>
      <w:r>
        <w:t>. Lo anteriormente razonado nos coloca ya en situación de afrontar si el art. 9.2 CC, al establecer la nacionalidad del marido al tiempo de contraer el matrimonio como punto de conexión para la determinación de la ley aplicable a las relaciones personales del matrimonio y, en defecto o por insuficiencia de capitulaciones matrimoniales, como consecuencia del reenvío efectuado en el núm. 3 del mismo precepto, también a las relaciones patrimoniales entre los cónyuges, es o no contrario al art.  14 CE así como al art. 32 CE, al que se refiere el Abogado del Estado en sus alegaciones como posible fundamento, en aplicación del art. 39.2 LOTC, de una Sentencia estimatoria de la presente cuestión.</w:t>
      </w:r>
    </w:p>
    <w:p w:rsidR="0025129F" w:rsidRDefault="0025129F" w:rsidP="0025129F">
      <w:pPr>
        <w:pStyle w:val="TextoNormal"/>
      </w:pPr>
      <w:r>
        <w:lastRenderedPageBreak/>
        <w:t>Para efectuar el enjuiciamiento apuntado bueno será recordar la doctrina de este Tribunal sobre el derecho a la igualdad y las prohibiciones de discriminación, recogida de forma extensa y precisa en la reciente STC 200/2001, de 4 de octubre, en cuyo fundamento jurídico 4 se puntualizan los siguientes extremos:</w:t>
      </w:r>
    </w:p>
    <w:p w:rsidR="0025129F" w:rsidRDefault="0025129F" w:rsidP="0025129F">
      <w:pPr>
        <w:pStyle w:val="TextoNormal"/>
      </w:pPr>
      <w:r>
        <w:t>“a)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25129F" w:rsidRDefault="0025129F" w:rsidP="0025129F">
      <w:pPr>
        <w:pStyle w:val="TextoNormal"/>
      </w:pPr>
      <w:r>
        <w:t>Como tiene declarado este Tribunal desde la STC 22/1981, de 2 de julio, recogiendo al respecto la doctrina del Tribunal Europeo de Derechos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25129F" w:rsidRDefault="0025129F" w:rsidP="0025129F">
      <w:pPr>
        <w:pStyle w:val="TextoNormal"/>
      </w:pPr>
      <w:r>
        <w:t>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0025129F" w:rsidRDefault="0025129F" w:rsidP="0025129F">
      <w:pPr>
        <w:pStyle w:val="TextoNormal"/>
      </w:pPr>
      <w:r>
        <w:lastRenderedPageBreak/>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0025129F" w:rsidRDefault="0025129F" w:rsidP="0025129F">
      <w:pPr>
        <w:pStyle w:val="TextoNormal"/>
      </w:pPr>
      <w:r>
        <w:t>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 JJ 2 a 4; 90/1995, de 8 de julio, FJ 4; en relación con la edad, STC 75/1983, de 3 de agosto, FF 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0025129F" w:rsidRDefault="0025129F" w:rsidP="0025129F">
      <w:pPr>
        <w:pStyle w:val="TextoNormal"/>
      </w:pPr>
      <w:r>
        <w:t>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0025129F" w:rsidRDefault="0025129F" w:rsidP="0025129F">
      <w:pPr>
        <w:pStyle w:val="TextoNormal"/>
      </w:pPr>
    </w:p>
    <w:p w:rsidR="0025129F" w:rsidRDefault="0025129F" w:rsidP="0025129F">
      <w:pPr>
        <w:pStyle w:val="TextoNormal"/>
      </w:pPr>
      <w:r w:rsidRPr="0025129F">
        <w:rPr>
          <w:rStyle w:val="NumeroAFNegritaCaracter"/>
        </w:rPr>
        <w:t>5</w:t>
      </w:r>
      <w:r>
        <w:t>. Pues bien, de acuerdo a los anteriores parámetros ha de coincidirse con el criterio sustentado tanto por el Ministerio Fiscal como por el Abogado del Estado para el caso en que, como así hemos razonado con anterioridad, puedan y deban superarse los obstáculos procedimentales para la admisión de la presente cuestión de inconstitucionalidad que cada uno opuso y que han sido ya estudiados.</w:t>
      </w:r>
    </w:p>
    <w:p w:rsidR="0025129F" w:rsidRDefault="0025129F" w:rsidP="0025129F">
      <w:pPr>
        <w:pStyle w:val="TextoNormal"/>
      </w:pPr>
      <w:r>
        <w:t>Para realizar el juicio sobre la vulneración del principio de igualdad venimos exigiendo, de un lado que, como consecuencia de la medida normativa cuestionada, se haya introdu</w:t>
      </w:r>
      <w:r>
        <w:lastRenderedPageBreak/>
        <w:t>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Y, una vez verificado que tanto uno como otro presupuesto se cumplen, habremos de entrar a determinar la licitud constitucional o no de la diferencia contenida en la norma. Pues bien, no cabe duda de que el art. 9.2 CC, al establecer la ley nacional del marido al tiempo de la celebración del matrimonio como punto de conexión, aun cuando sea residual, para la determinación de la ley aplicable, introduce una diferencia de trato entre el varón y la mujer pese a que ambos se encuentran, en relación al matrimonio, en la misma situación jurídica. El precepto cuestionado se opone, por tanto, no sólo al art. 14 CE, sino también al más específico art. 32 CE, que proclama que el hombre y la mujer tienen derecho a contraer matrimonio con plena igualdad jurídica, pues no existe ninguna justificación constitucionalmente aceptable para la preferencia por la normativa relacionada con el varón. Este Tribunal, partiendo de la Constitución y de los textos comunitarios e internacionales sobre la igualdad, ha reaccionado siempre frente a toda norma o acto aplicativo que supusiese la discriminación de la mujer, alineándose así tanto con la doctrina del Tribunal Europeo de Derechos Humanos (Sentencia de 22 de febrero de 1994, caso Burghartz, en relación con la determinación del apellido familiar) como con la del Tribunal de Justicia de las Comunidades Europeas y otros Tribunales Constitucionales. En este mismo sentido, la Sentencia de 22 de febrero de 1983 del Tribunal Constitucional Federal Alemán, con relación a un supuesto que guarda esencial identidad al que es objeto de nuestro estudio, declaró inconstitucional el art. 15, apartados 1 y 2, primer párrafo, de la Ley de Introducción del Código Civil Federal en cuanto establecía la ley personal del marido como punto de conexión para la determinación de la ley aplicable a los efectos económicos del matrimonio, afirmando que tal preferencia resulta contraria al principio  de igualdad, con independencia de que el resultado de la aplicación de la norma sea o no más beneficioso para la mujer, pues basta con la preterición de ésta para que haya de entenderse lesionado el art. 3.2 de la Ley Fundamental, y sin que pueda considerarse que constituya una justificación constitucionalmente legítima del otorgamiento de preferencia a la ley personal del marido a los indicados efectos que el establecimiento de tal punto de conexión confiera una mayor certeza a la determinación de la ley aplicable a los efectos económicos del matrimonio.</w:t>
      </w:r>
    </w:p>
    <w:p w:rsidR="0025129F" w:rsidRDefault="0025129F" w:rsidP="0025129F">
      <w:pPr>
        <w:pStyle w:val="TextoNormal"/>
      </w:pPr>
      <w:r>
        <w:t>Con idéntica orientación sentido la Corte Constitucional italiana sostuvo en su Sentencia de 26 de febrero de 1987 que la preferencia por la ley nacional del marido como punto de conexión en una norma de Derecho internacional privado semejante a la aquí estudiada es contraria al principio de no discriminación por razón de sexo y, con carácter específico, al derecho del hombre y la mujer a contraer matrimonio con plena igualdad jurídica.</w:t>
      </w:r>
    </w:p>
    <w:p w:rsidR="0025129F" w:rsidRDefault="0025129F" w:rsidP="0025129F">
      <w:pPr>
        <w:pStyle w:val="TextoNormal"/>
      </w:pPr>
      <w:r>
        <w:t>Como ya se ha anticipado el desajuste de la norma cuestionada con la Constitución tiene lugar con independencia de si el resultado de su aplicación en cada caso concreto es más o menos favorable a la mujer. Ello dependerá de la ordenación sustantiva del régimen económico del matrimonio que resulte aplicable, pero, antes de ello, la discriminación constitucionalmente proscrita reside en la utilización en la norma de conflicto de un punto de conexión que no sea formalmente neutro. La mera utilización de un punto de conexión que da preferencia al varón supone en sí, superada la llamada neutralidad formal de las normas de conflicto, una vulneración del derecho a la igualdad.</w:t>
      </w:r>
    </w:p>
    <w:p w:rsidR="0025129F" w:rsidRDefault="0025129F" w:rsidP="0025129F">
      <w:pPr>
        <w:pStyle w:val="TextoNormal"/>
      </w:pPr>
      <w:r>
        <w:t xml:space="preserve">Todo ello conduce derechamente a la estimación de la presente cuestión, restando únicamente por precisar que no es a este Tribunal, sino a los órganos judiciales, a quienes les </w:t>
      </w:r>
      <w:r>
        <w:lastRenderedPageBreak/>
        <w:t>corresponde integrar, por los medios que el Ordenamiento jurídico pone a su disposición, la eventual laguna que la anulación del inciso del precepto cuestionado pudiera producir en orden a la fijación de un punto de conexión subsidiario.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la presente cuestión de inconstitucionalidad y, en virtud de ello, declarar inconstitucional y derogado por la Constitución el art. 9.2 del Código Civil, según la redacción dada por el texto articulado aprobado por el Decreto 1836/1974, de 31 de mayo, en el inciso “por la ley nacional del marido al tiempo de la celebración”.</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3" w:name="SENTENCIA_2002_40"/>
      <w:r>
        <w:lastRenderedPageBreak/>
        <w:t>SENTENCIA 40/2002, de 14 de febrero de 2002</w:t>
      </w:r>
    </w:p>
    <w:bookmarkEnd w:id="43"/>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63, de 14 de marzo de 2002)</w:t>
      </w:r>
    </w:p>
    <w:p w:rsidR="0025129F" w:rsidRDefault="0025129F" w:rsidP="0025129F">
      <w:pPr>
        <w:pStyle w:val="TtuloBOE"/>
      </w:pPr>
    </w:p>
    <w:p w:rsidR="0025129F" w:rsidRDefault="0025129F" w:rsidP="0025129F">
      <w:pPr>
        <w:pStyle w:val="SntesisDescriptiva"/>
      </w:pPr>
      <w:r>
        <w:t>ECLI:ES:TC:2002:40</w:t>
      </w:r>
    </w:p>
    <w:p w:rsidR="0025129F" w:rsidRDefault="0025129F" w:rsidP="0025129F">
      <w:pPr>
        <w:pStyle w:val="SntesisDescriptiva"/>
      </w:pPr>
    </w:p>
    <w:p w:rsidR="0025129F" w:rsidRDefault="0025129F" w:rsidP="0025129F">
      <w:pPr>
        <w:pStyle w:val="SntesisDescriptiva"/>
      </w:pPr>
      <w:r>
        <w:t>Recurso de amparo 4312/1998. Promovido por Comercial Garoe, S.L., frente a los Autos de la Audiencia Provincial de Las Palmas que declararon desierto su recurso de apelación, en un juicio de menor cuantía.</w:t>
      </w:r>
    </w:p>
    <w:p w:rsidR="0025129F" w:rsidRDefault="0025129F" w:rsidP="0025129F">
      <w:pPr>
        <w:pStyle w:val="SntesisDescriptiva"/>
      </w:pPr>
    </w:p>
    <w:p w:rsidR="0025129F" w:rsidRDefault="0025129F" w:rsidP="0025129F">
      <w:pPr>
        <w:pStyle w:val="SntesisAnaltica"/>
      </w:pPr>
      <w:r>
        <w:t>Vulneración del derecho a la tutela judicial efectiva (acceso al recurso legal): personación en el Tribunal de apelación ignorada, anterior a un segundo emplazamiento por el Juzgado (STC 77/1993).</w:t>
      </w:r>
    </w:p>
    <w:p w:rsidR="0025129F" w:rsidRDefault="0025129F" w:rsidP="0025129F">
      <w:pPr>
        <w:pStyle w:val="SntesisAnaltica"/>
      </w:pPr>
    </w:p>
    <w:p w:rsidR="0025129F" w:rsidRDefault="0025129F" w:rsidP="0025129F">
      <w:pPr>
        <w:pStyle w:val="Extracto"/>
      </w:pPr>
      <w:r>
        <w:t>1.</w:t>
      </w:r>
      <w:r>
        <w:tab/>
        <w:t>La Audiencia Provincial decidió no tener por personado en tiempo y forma al apelante, aplicando literalmente los plazos de personación y el principio de improrrogabilidad, sin tener en cuenta el hecho de que al adoptar su decisión le constaba -o debía constarle- que el demandado había comparecido para sostener el recurso de apelación ya interpuesto ante el Juzgado de Primera Instancia, lo cual infringe el artículo 24.1 CE [FJ 9].</w:t>
      </w:r>
    </w:p>
    <w:p w:rsidR="0025129F" w:rsidRDefault="0025129F" w:rsidP="0025129F">
      <w:pPr>
        <w:pStyle w:val="Extracto"/>
      </w:pPr>
    </w:p>
    <w:p w:rsidR="0025129F" w:rsidRDefault="0025129F" w:rsidP="0025129F">
      <w:pPr>
        <w:pStyle w:val="Extracto"/>
      </w:pPr>
      <w:r>
        <w:t>2.</w:t>
      </w:r>
      <w:r>
        <w:tab/>
        <w:t>La inactividad de la parte al no recurrir la segunda providencia acordando el emplazamiento de las parte, ni volver a personarse, no puede considerarse el elemento decisivo en la decisión posterior de rechazar el recurso de súplica [FJ 9].</w:t>
      </w:r>
    </w:p>
    <w:p w:rsidR="0025129F" w:rsidRDefault="0025129F" w:rsidP="0025129F">
      <w:pPr>
        <w:pStyle w:val="Extracto"/>
      </w:pPr>
    </w:p>
    <w:p w:rsidR="0025129F" w:rsidRDefault="0025129F" w:rsidP="0025129F">
      <w:pPr>
        <w:pStyle w:val="Extracto"/>
      </w:pPr>
      <w:r>
        <w:t>3.</w:t>
      </w:r>
      <w:r>
        <w:tab/>
        <w:t>El silencio de los órganos judiciales respecto del escrito presentado por la recurrente en amparo personándose ante la Audiencia, que duró casi seis meses, pudo generar en aquélla la confianza legítima de su admisión [FJ 9].</w:t>
      </w:r>
    </w:p>
    <w:p w:rsidR="0025129F" w:rsidRDefault="0025129F" w:rsidP="0025129F">
      <w:pPr>
        <w:pStyle w:val="Extracto"/>
      </w:pPr>
    </w:p>
    <w:p w:rsidR="0025129F" w:rsidRDefault="0025129F" w:rsidP="0025129F">
      <w:pPr>
        <w:pStyle w:val="Extracto"/>
      </w:pPr>
      <w:r>
        <w:t>4.</w:t>
      </w:r>
      <w:r>
        <w:tab/>
        <w:t>Aunque el recurso de apelación había quedado desierto al no encontrarse unido a los autos el escrito de personación, la Audiencia Provincial tuvo constancia plena de la presentación de dicho escrito, con aportación de certificación del Secretario de Gobierno [FJ 9].</w:t>
      </w:r>
    </w:p>
    <w:p w:rsidR="0025129F" w:rsidRDefault="0025129F" w:rsidP="0025129F">
      <w:pPr>
        <w:pStyle w:val="Extracto"/>
      </w:pPr>
    </w:p>
    <w:p w:rsidR="0025129F" w:rsidRDefault="0025129F" w:rsidP="0025129F">
      <w:pPr>
        <w:pStyle w:val="Extracto"/>
      </w:pPr>
      <w:r>
        <w:t>5.</w:t>
      </w:r>
      <w:r>
        <w:tab/>
        <w:t>Doctrina sobre el derecho a la tutela judicial efectiva, en su vertiente de derecho de acceso a los recursos legales [FJ 8].</w:t>
      </w:r>
    </w:p>
    <w:p w:rsidR="0025129F" w:rsidRDefault="0025129F" w:rsidP="0025129F">
      <w:pPr>
        <w:pStyle w:val="Extracto"/>
      </w:pPr>
    </w:p>
    <w:p w:rsidR="0025129F" w:rsidRDefault="0025129F" w:rsidP="0025129F">
      <w:pPr>
        <w:pStyle w:val="Extracto"/>
      </w:pPr>
      <w:r>
        <w:t>6.</w:t>
      </w:r>
      <w:r>
        <w:tab/>
        <w:t>La sociedad tuvo conocimiento del Auto declarando desierto el recurso y lo impugnó en tiempo, por lo que carece de trascendencia constitucional el hecho de que le fuera formalmente notificado o no, al no haberse producido privación o limitación alguna en el derecho de defensa [FJ 4].</w:t>
      </w:r>
    </w:p>
    <w:p w:rsidR="0025129F" w:rsidRDefault="0025129F" w:rsidP="0025129F">
      <w:pPr>
        <w:pStyle w:val="Extracto"/>
      </w:pPr>
    </w:p>
    <w:p w:rsidR="0025129F" w:rsidRDefault="0025129F" w:rsidP="0025129F">
      <w:pPr>
        <w:pStyle w:val="Extracto"/>
      </w:pPr>
      <w:r>
        <w:t>7.</w:t>
      </w:r>
      <w:r>
        <w:tab/>
        <w:t>Aun revistiendo forma de providencia, la resolución desestimando el recurso de súplica contra la inadmisión fue una resolución motivada [FJ 5].</w:t>
      </w:r>
    </w:p>
    <w:p w:rsidR="0025129F" w:rsidRDefault="0025129F" w:rsidP="0025129F">
      <w:pPr>
        <w:pStyle w:val="Extracto"/>
      </w:pPr>
    </w:p>
    <w:p w:rsidR="0025129F" w:rsidRDefault="0025129F" w:rsidP="0025129F">
      <w:pPr>
        <w:pStyle w:val="Extracto"/>
      </w:pPr>
      <w:r>
        <w:lastRenderedPageBreak/>
        <w:t>8.</w:t>
      </w:r>
      <w:r>
        <w:tab/>
        <w:t>Respecto a la alegación de indefensión basada en que el Abogado carecía de la habilitación precisa para actuar, es carga del recurrente proporcionar las alegaciones de hecho, su justificación documental y la fundamentación jurídica ( SSTC 45/1984, 138/2001) [FJ 6].</w:t>
      </w:r>
    </w:p>
    <w:p w:rsidR="0025129F" w:rsidRDefault="0025129F" w:rsidP="0025129F">
      <w:pPr>
        <w:pStyle w:val="Extracto"/>
      </w:pPr>
    </w:p>
    <w:p w:rsidR="0025129F" w:rsidRDefault="0025129F" w:rsidP="0025129F">
      <w:pPr>
        <w:pStyle w:val="Extracto"/>
      </w:pPr>
      <w:r>
        <w:t>9.</w:t>
      </w:r>
      <w:r>
        <w:tab/>
        <w:t>En el contexto del art. 24.1 CE, la indefensión es una noción material (SSTC 109/1985, 237/2001)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4312/98, promovido por Comercial Garoe, S.L., representada por la Procuradora de los Tribunales doña Matilde Marín Pérez y asistida por la Letrada doña C. Nirva Macías Acosta, contra el Auto de 18 de septiembre de 1998, dictado por la Sección Primera de la Audiencia Provincial de Las Palmas en el rollo de apelación civil núm. 335/95. Ha intervenido el Ministerio Fiscal. Ha sido Ponente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presentado en el Juzgado de guardia de Madrid el 15 de octubre de 1998, registrado en este Tribunal al siguiente día, se interpuso el recurso de amparo expresado en el encabezamiento por la Procuradora doña Matilde Marín Pérez en representación de la sociedad Comercial Garoe, S.L., contra el Auto de la Sección Primera de la Audiencia Provincial de Las Palmas de 18 de septiembre de 1998, que desestimó el incidente de nulidad de actuaciones promovido por la recurrente en relación con la admisión de un recurso de apelación.</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relevantes de que trae causa la presente demanda de amparo son, en síntesis y según el relato de la demandante, los siguientes: </w:t>
      </w:r>
    </w:p>
    <w:p w:rsidR="0025129F" w:rsidRDefault="0025129F" w:rsidP="0025129F">
      <w:pPr>
        <w:pStyle w:val="TextoNormal"/>
      </w:pPr>
      <w:r>
        <w:t xml:space="preserve">a) Ante el Juzgado de Primera Instancia núm. 1 de los de Telde se siguió el procedimiento de menor cuantía núm. 332/95 que finalizó por Sentencia desfavorable para los intereses de la demandante. Contra dicha Sentencia la demandante de amparo formuló recurso de apelación para ante la Audiencia Provincial de Las Palmas. El Juzgado de Primera Instancia dictó el 15 de diciembre de 1997 providencia en la que acordó “remitirse los autos originales a la Audiencia Provincial con atento oficio, previo emplazamiento de </w:t>
      </w:r>
      <w:r>
        <w:lastRenderedPageBreak/>
        <w:t xml:space="preserve">las partes para ante la misma en el plazo de diez días y nota en el libro de conocimientos”. Dentro del plazo señalado en el emplazamiento, la recurrente se personó en tiempo y forma ante la Audiencia Provincial. </w:t>
      </w:r>
    </w:p>
    <w:p w:rsidR="0025129F" w:rsidRDefault="0025129F" w:rsidP="0025129F">
      <w:pPr>
        <w:pStyle w:val="TextoNormal"/>
      </w:pPr>
      <w:r>
        <w:t xml:space="preserve">b) No obstante lo anterior, el Juzgado de Primera Instancia, lejos de remitir inmediatamente los autos principales a la Audiencia, los retuvo hasta finalizar la pieza incidental de ejecución provisional instada de contrario. Este retraso en la remisión de los autos al órgano judicial competente para la apelación ocasionó que con posterioridad (incluso después de la personación del apelante ante la Audiencia) el mismo Juzgado dictara una nueva providencia volviendo a requerir a las partes para emplazarlas ante la Audiencia, emplazamiento que la demandante de amparo consideró nulo, en primer lugar porque ya se había hecho con anterioridad y, en segundo término, por entender que después del emplazamiento originario se producía una total falta de competencia del Juzgado de Primera Instancia, cuya competencia había perdido a partir de la primera providencia ordenando el emplazamiento. </w:t>
      </w:r>
    </w:p>
    <w:p w:rsidR="0025129F" w:rsidRDefault="0025129F" w:rsidP="0025129F">
      <w:pPr>
        <w:pStyle w:val="TextoNormal"/>
      </w:pPr>
      <w:r>
        <w:t xml:space="preserve">c) Remitidos los autos a la Audiencia Provincial, ésta, dado el prolongado espacio de tiempo habido entre la personación y su unión a los autos principales, extravió la personación, razón por la cual dictó, el 16 de junio de 1998, Auto por el que se declaraba desierto el recurso de apelación. A dicha conclusión hay que llegar porque el órgano judicial declaró el recurso desierto no por una personación irregular, sino porque la recurrente no se había personado, lo que indica que el primer escrito de personación se había extraviado. Contra dicho Auto que, según el recurrente, la Sala se negó a notificar, ésta formuló recurso de súplica en el que se acreditaba, mediante certificación del Secretario Judicial de la Sala, la personación de la demandante en tiempo y forma. </w:t>
      </w:r>
    </w:p>
    <w:p w:rsidR="0025129F" w:rsidRDefault="0025129F" w:rsidP="0025129F">
      <w:pPr>
        <w:pStyle w:val="TextoNormal"/>
      </w:pPr>
      <w:r>
        <w:t>d) La Sala resolvió el recurso de súplica mediante una providencia contra la que se interpuso incidente de nulidad de actuaciones fundamentado en que la resolución desestimando la súplica debió revestir forma de Auto, y no de providencia, y, en el fondo, porque se debía haber entendido que la recurrente se personó en tiempo y forma. La nulidad fue resuelta por el Auto que se combate en el recurso de amparo.</w:t>
      </w:r>
    </w:p>
    <w:p w:rsidR="0025129F" w:rsidRDefault="0025129F" w:rsidP="0025129F">
      <w:pPr>
        <w:pStyle w:val="TextoNormal"/>
      </w:pPr>
    </w:p>
    <w:p w:rsidR="0025129F" w:rsidRDefault="0025129F" w:rsidP="0025129F">
      <w:pPr>
        <w:pStyle w:val="TextoNormal"/>
      </w:pPr>
      <w:r w:rsidRPr="0025129F">
        <w:rPr>
          <w:rStyle w:val="NumeroAFNegritaCaracter"/>
        </w:rPr>
        <w:t>3</w:t>
      </w:r>
      <w:r>
        <w:t>. El recurso de amparo que se interpone contra el Auto antes mencionado se basa en la vulneración del derecho de la recurrente a la tutela judicial efectiva sin indefensión proclamado en el art. 24.1 CE. La sociedad recurrente considera que esta vulneración, y por lo tanto la indefensión material, se le ha producido, en primer lugar, porque la Audiencia Provincial, constándole que se habían personado dentro del plazo señalado por el Juzgado de Primera Instancia, debió tenerles por personados y también porque la segunda de las providencias de aquél fue dictada cuando ya carecía de competencia. En segundo lugar, considera la recurrente que la Audiencia Provincial de Las Palmas debió notificarle el Auto teniendo por desierto el recurso, y al no haberlo hecho así le causó una indefensión irreparable. Seguidamente, la demandante sitúa la lesión a su derecho a la tutela judicial efectiva en el hecho acreditado de que la resolución de su recurso de súplica se realizó mediante providencia, cuando debería haber revestido forma de Auto. Finalmente, la recurrente en amparo considera que la decisión del órgano judicial de apelación teniendo por personada a la contraparte en el incidente de nulidad de actuaciones, cuando actuaba asistida por un Abogado no habilitado para litigar en los órganos judiciales de Las Palmas, lesiona su derecho a la tutela judicial efectiva por cuanto el Auto que se impugna recoge los argumentos de la parte apelada que no se encontraba correctamente defendida.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Por providencia de 28 de junio de 1999, la Sección Primera del Tribunal acordó admitir a trámite la demanda de amparo, sin perjuicio de lo que resultara de los antecedentes, y tener por personada a la Procuradora doña Matilde Marín Pérez y, a tenor de lo dispuesto en el art. 51 LOTC, requerir atentamente al Juzgado de Primera Instancia núm. 1 de Telde y a la Sección Primera de la Audiencia Provincial de Las Palmas para que en el plazo de diez días remitieran testimonio de las actuaciones judiciales, así como que se procediera al emplazamiento de los que fueron parte en el procedimiento, salvo al demandante de amparo, a fin de que comparecieran en plazo de diez días ante este Tribunal, si les conviniera.</w:t>
      </w:r>
    </w:p>
    <w:p w:rsidR="0025129F" w:rsidRDefault="0025129F" w:rsidP="0025129F">
      <w:pPr>
        <w:pStyle w:val="TextoNormal"/>
      </w:pPr>
    </w:p>
    <w:p w:rsidR="0025129F" w:rsidRDefault="0025129F" w:rsidP="0025129F">
      <w:pPr>
        <w:pStyle w:val="TextoNormal"/>
      </w:pPr>
      <w:r w:rsidRPr="0025129F">
        <w:rPr>
          <w:rStyle w:val="NumeroAFNegritaCaracter"/>
        </w:rPr>
        <w:t>5</w:t>
      </w:r>
      <w:r>
        <w:t>. Por diligencia de ordenación de 11 de mayo de 2000 se tuvieron por recibidos los testimonios de las actuaciones judiciales interesadas y, de acuerdo con lo dispuesto en el art. 52 LOTC, se acordó conceder a la recurrente de amparo y al Ministerio Fiscal el plazo común de viente días para presentación de alegaciones.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31 de mayo de 2000, el Ministerio Fiscal presentó sus alegaciones. Tras resaltar los hechos fundamentales, el Fiscal considera que las tres últimas alegaciones del demandante carecen manifiestamente de contenido constitucional, ya que en las tres, a pesar de que hayan podido existir hipotéticos o reales incumplimientos de las previsiones legales, no se ha producido una indefensión material, que es lo que prohibe el art. 24.1 CE. </w:t>
      </w:r>
    </w:p>
    <w:p w:rsidR="0025129F" w:rsidRDefault="0025129F" w:rsidP="0025129F">
      <w:pPr>
        <w:pStyle w:val="TextoNormal"/>
      </w:pPr>
      <w:r>
        <w:t xml:space="preserve">Por lo que se refiere a la falta de notificación del Auto declarando desierto el recurso de apelación, lo cierto es que la recurrente tuvo conocimiento de su contenido, lo que le permitió interponer recurso de súplica en defensa de sus derechos y, posteriormente, frente a la providencia que lo inadmitió, el incidente de nulidad de actuaciones. </w:t>
      </w:r>
    </w:p>
    <w:p w:rsidR="0025129F" w:rsidRDefault="0025129F" w:rsidP="0025129F">
      <w:pPr>
        <w:pStyle w:val="TextoNormal"/>
      </w:pPr>
      <w:r>
        <w:t xml:space="preserve">En cuanto a la providencia que inadmitió el recurso de súplica, lo cierto es que la misma explicita los fundamentos de la decisión, no sólo desde una perspectiva formal, sino incluso de fondo, de modo que la recurrente tuvo cabal conocimiento de tales razones, las cuales le permitieron formular el incidente de nulidad. </w:t>
      </w:r>
    </w:p>
    <w:p w:rsidR="0025129F" w:rsidRDefault="0025129F" w:rsidP="0025129F">
      <w:pPr>
        <w:pStyle w:val="TextoNormal"/>
      </w:pPr>
      <w:r>
        <w:t xml:space="preserve">Finalmente, la falta de habilitación del Abogado de la parte apelada —que, por cierto no se ha acreditado— puede constituir una infracción de las normas de colegiación, e incluso tener alguna incidencia en el ámbito procesal de estricta legalidad ordinaria, pero, en ningún caso, puede servir de fundamento para alegar la lesión al derecho a la tutela judicial efectiva. Además, observa el Fiscal, los argumentos del Auto que desestima el incidente de nulidad de actuaciones se fundan esencialmente en los que sirvieron para declarar desierto el recurso de apelación y la providencia que inadmitió el recurso de súplica contra aquél, de modo que eran conocidos por el recurrente. </w:t>
      </w:r>
    </w:p>
    <w:p w:rsidR="0025129F" w:rsidRDefault="0025129F" w:rsidP="0025129F">
      <w:pPr>
        <w:pStyle w:val="TextoNormal"/>
      </w:pPr>
      <w:r>
        <w:t xml:space="preserve">La cuarta y última de las alegaciones del demandante en el recurso de amparo no carece, sin embargo, para el Ministerio Fiscal de contenido constitucional. Aunque no se identifique correctamente por la recurrente, debe entenderse, según el Fiscal, que la vulneración del derecho a la tutela judicial efectiva se refiere al derecho de acceso a los recursos, por lo que, con carácter previo, es preciso determinar cuál es la resolución realmente recurrida y si se han cumplido los requisitos exigidos por la Ley Orgánica del Tribunal Constitucional, esencialmente, la invocación del derecho y el agotamiento de los recursos, así como si no ha habido uso de algún recurso manifiestamente improcedente que determine la extemporaneidad del recurso de amparo. </w:t>
      </w:r>
    </w:p>
    <w:p w:rsidR="0025129F" w:rsidRDefault="0025129F" w:rsidP="0025129F">
      <w:pPr>
        <w:pStyle w:val="TextoNormal"/>
      </w:pPr>
      <w:r>
        <w:t xml:space="preserve">Considera el Fiscal que la resolución realmente recurrida —pese a las manifestaciones de la demandante— no es el Auto de 18 de septiembre de 1998, ni la providencia de 25 de </w:t>
      </w:r>
      <w:r>
        <w:lastRenderedPageBreak/>
        <w:t xml:space="preserve">junio del mismo año, sino el Auto de 16 de junio anterior, que declaró desierto el recurso, ya que es la que impidió el acceso al mismo. De este modo, las dos resoluciones posteriores no constituirían sino el agotamiento de la vía judicial. En segundo lugar, el Fiscal considera que ha existido invocación del derecho fundamental, puesto que en el recurso de súplica se alude cuando menos a la producción de indefensión, así como en el escrito interponiendo el incidente de nulidad de actuaciones. Finalmente, el recurso interponiendo la nulidad de actuaciones no se considera por el Fiscal manifiestamente improcedente, como lo acredita el hecho de que el órgano judicial resolviera sobre el fondo de la cuestión, incluyendo el problema sustancial de la forma adecuada de personarse ante la Audiencia. </w:t>
      </w:r>
    </w:p>
    <w:p w:rsidR="0025129F" w:rsidRDefault="0025129F" w:rsidP="0025129F">
      <w:pPr>
        <w:pStyle w:val="TextoNormal"/>
      </w:pPr>
      <w:r>
        <w:t xml:space="preserve">Aclarado lo anterior, el Fiscal analiza la doctrina del Tribunal en materia del derecho al acceso a los recursos. Con cita de la STC 58/1995, parte el Fiscal de que la tutela judicial efectiva opera con diferente intensidad cuando se trata del acceso a los recursos que cuando se trata del acceso inicial al proceso. Esta jurisprudencia viene fundada en varios factores, según el Fiscal. En primer lugar, porque en estos casos ya ha existido al menos un pronunciamiento judicial sobre el objeto del proceso; en segundo lugar, porque —salvo en el proceso penal— el legislador es libre de configurar el sistema de recursos, de manera que si puede determinar que contra determinadas sentencias no quepa recurso alguno, con mayor razón puede someter la inadmisibilidad de un recurso al cumplimiento de determinados requisitos formales —e incluso de contenido— del escrito de preparación o interposición o del tiempo y forma hábiles para personarse. </w:t>
      </w:r>
    </w:p>
    <w:p w:rsidR="0025129F" w:rsidRDefault="0025129F" w:rsidP="0025129F">
      <w:pPr>
        <w:pStyle w:val="TextoNormal"/>
      </w:pPr>
      <w:r>
        <w:t xml:space="preserve">Al tratarse, por lo tanto, de la configuración legal del sistema de recursos, la interpretación de sus requisitos es materia de legalidad ordinaria, en el que no rige necesariamente el principio de interpretación más favorable, que, en consecuencia, corresponde a Jueces y Tribunales. Por ello el Tribunal Constitucional ha declarado que su única competencia en esta materia se limita a comprobar que no se ha inadmitido un recurso mediante una resolución radicalmente formalista; en definitiva, sin una auténtica base legal. </w:t>
      </w:r>
    </w:p>
    <w:p w:rsidR="0025129F" w:rsidRDefault="0025129F" w:rsidP="0025129F">
      <w:pPr>
        <w:pStyle w:val="TextoNormal"/>
      </w:pPr>
      <w:r>
        <w:t>Teniendo en cuenta esta constante doctrina y el contenido de los Autos recurridos, considera el Fiscal —que reproduce parcialmente el contenido de los arts. 704, 705 y 301 LEC vigente en aquella fecha— que se produjo una personación anterior incluso a la fecha en que se produjo el emplazamiento, pero la decisión de la Audiencia Provincial supone una interpretación excesivamente rigorista de la normativa vigente: si hubo personación efectuada con perfecta identificación del procedimiento de primera instancia y esta personación se realizó sobre la base de la notificación de la providencia admitiendo a trámite el recurso, ello no debió dar lugar, sin más, a declarar desierto el recurso por el hecho de no haberse presentado un segundo escrito dentro del término de emplazamiento. Por todo ello, el Fiscal interesa la estimación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El 8 de junio de 2000 se registró en el Tribunal el escrito de alegaciones de la sociedad demandante de amparo. Tras reproducir los hechos sustanciales ya relatados en la demanda de amparo, la demandante considera vulnerado su derecho a la tutela judicial efectiva en la vertiente de acceso a los recursos interesando la estimación del amparo y, en consecuencia, se declare expresamente que el término para la personación de la recurrente ante la Audiencia Provincial de Las Palmas se inició por la providencia dictada el 15 de diciembre de 1997 y, por tanto, se ordene a la Audiencia Provincial de las Palmas la continuación del recurso de apelación.</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8</w:t>
      </w:r>
      <w:r>
        <w:t>. Por providencia de 7 de febrero de 2002 se señaló para la deliberación, votación y fallo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sociedad Comercial Garoe, S.L., promueve este recurso de amparo contra el Auto dictado por la Sección Primera de la Audiencia Provincial de Las Palmas el 18 de septiembre de 1998, que desestimó la nulidad de actuaciones promovida por la demandante en relación con la inadmisión de un recurso de apelación que el órgano judicial declaró previamente desierto. No obstante lo anterior, como mantiene el Ministerio Fiscal, ha de considerarse que la resolución verdaderamente impugnada por la demandante de amparo es el Auto de 16 de junio de 1998 que declaró desierto el recurso de apelación interpuesto contra la Sentencia dictada por el Juzgado de Primera Instancia núm. 1 de Telde.  En parecidas ocasiones hemos sostenido que cuando se impugna en amparo una resolución judicial confirmatoria de otras, que han sido lógica y cronológicamente presupuesto de aquélla, han de tenerse también por recurridas las precedentes resoluciones confirmadas, aunque las mismas no lo hayan sido de forma expresa (SSTC 97/1999, de 31 de mayo, FJ 2, 209/2001, de 22 de octubre, FJ 1, y 13/2002, de 28 de enero, FJ 2).</w:t>
      </w:r>
    </w:p>
    <w:p w:rsidR="0025129F" w:rsidRDefault="0025129F" w:rsidP="0025129F">
      <w:pPr>
        <w:pStyle w:val="TextoNormal"/>
      </w:pPr>
    </w:p>
    <w:p w:rsidR="0025129F" w:rsidRDefault="0025129F" w:rsidP="0025129F">
      <w:pPr>
        <w:pStyle w:val="TextoNormal"/>
      </w:pPr>
      <w:r w:rsidRPr="0025129F">
        <w:rPr>
          <w:rStyle w:val="NumeroAFNegritaCaracter"/>
        </w:rPr>
        <w:t>2</w:t>
      </w:r>
      <w:r>
        <w:t>. Considera la demandante que estas resoluciones han vulnerado su derecho a la tutela judicial efectiva sin indefensión, proclamado en el art. 24.1 CE, por varias razones. La primera de ellas porque la Audiencia Provincial, constándole como le constaba que se había personado en el recurso cumpliendo el primero de los emplazamientos realizados por el Juzgado de Primera Instancia de Telde, debió tener a la sociedad por comparecida en el recurso de apelación. Además, atribuye la infracción de este derecho fundamental al hecho de que, por un lado, el Auto declarando desierto el recurso debió serle notificado en su momento, y sin embargo no lo fue y, por otro, a que la resolución desestimando el recurso de súplica contra la decisión de inadmisión revistió la forma de providencia, cuando procedía resolver por Auto. Finalmente, alega que la vulneración de su derecho fundamental a la tutela judicial efectiva se produjo también al permitir la Audiencia Provincial a la contraparte personarse en el incidente de nulidad de actuaciones asistida por un Abogado no habilitado para litigar ante los órganos judiciales de Las Palmas, con la consecuencia de que los argumentos esgrimidos por la apelada accedieron a los que la Sala utilizó para desestimar su recurso.</w:t>
      </w:r>
    </w:p>
    <w:p w:rsidR="0025129F" w:rsidRDefault="0025129F" w:rsidP="0025129F">
      <w:pPr>
        <w:pStyle w:val="TextoNormal"/>
      </w:pPr>
    </w:p>
    <w:p w:rsidR="0025129F" w:rsidRDefault="0025129F" w:rsidP="0025129F">
      <w:pPr>
        <w:pStyle w:val="TextoNormal"/>
      </w:pPr>
      <w:r w:rsidRPr="0025129F">
        <w:rPr>
          <w:rStyle w:val="NumeroAFNegritaCaracter"/>
        </w:rPr>
        <w:t>3</w:t>
      </w:r>
      <w:r>
        <w:t>. Tal como propone el Ministerio Fiscal, la ordenación lógica de las cuestiones planteadas exige que comencemos nuestro examen por el de las tres últimas causas por las que la demandante de amparo considera vulnerado su derecho a la tutela judicial efectiva sin indefensión, dejando por su relevancia el análisis de la queja correspondiente al acceso a los recursos para el último lugar.</w:t>
      </w:r>
    </w:p>
    <w:p w:rsidR="0025129F" w:rsidRDefault="0025129F" w:rsidP="0025129F">
      <w:pPr>
        <w:pStyle w:val="TextoNormal"/>
      </w:pPr>
      <w:r>
        <w:t xml:space="preserve">Este Tribunal viene declarando reiteradamente que, en el contexto del art. 24.1 CE,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w:t>
      </w:r>
      <w:r>
        <w:lastRenderedPageBreak/>
        <w:t>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no siendo tal la que se debe principalmente a la inactividad de la parte que alega haberla sufrido (SSTC</w:t>
      </w:r>
    </w:p>
    <w:p w:rsidR="0025129F" w:rsidRDefault="0025129F" w:rsidP="0025129F">
      <w:pPr>
        <w:pStyle w:val="TextoNormal"/>
      </w:pPr>
      <w:r>
        <w:t>109/1985, de 8 de octubre, FJ 3; STC 116/1995, de 17 de julio, FJ 3; 107/1999, de 14 de junio, FJ 5; 114/2000, de 5 de mayo, FJ 2, 237/2001, de 18 de diciembre, FJ 5, entre otras muchas).</w:t>
      </w:r>
    </w:p>
    <w:p w:rsidR="0025129F" w:rsidRDefault="0025129F" w:rsidP="0025129F">
      <w:pPr>
        <w:pStyle w:val="TextoNormal"/>
      </w:pPr>
      <w:r>
        <w:t>Además, hemos sostenido que el concepto constitucional de indefensión es más estricto y “no tiene por qué coincidir enteramente con figura jurídico-procesal de la indefensión”, de suerte que “no toda infracción de las normas procesales se convierte por sí sola en indefensión jurídico-constitucional”. En definitiva, para que ésta exista es preciso, efectivamente, que la infracción de las normas procesales haya supuesto “una privación o una limitación del derecho de defensa” que el art. 24 CE reconoce (SSTC 48/1984, de 4 de abril, FJ 1; y 211/2001, de 29 de octubre, FJ 3).</w:t>
      </w:r>
    </w:p>
    <w:p w:rsidR="0025129F" w:rsidRDefault="0025129F" w:rsidP="0025129F">
      <w:pPr>
        <w:pStyle w:val="TextoNormal"/>
      </w:pPr>
    </w:p>
    <w:p w:rsidR="0025129F" w:rsidRDefault="0025129F" w:rsidP="0025129F">
      <w:pPr>
        <w:pStyle w:val="TextoNormal"/>
      </w:pPr>
      <w:r w:rsidRPr="0025129F">
        <w:rPr>
          <w:rStyle w:val="NumeroAFNegritaCaracter"/>
        </w:rPr>
        <w:t>4</w:t>
      </w:r>
      <w:r>
        <w:t>. La sociedad demandante de amparo considera que le han causado indefensión las tres actuaciones de la Audiencia Provincial que han quedado expuestas. Pues bien, la primera alegación debe ser rechazada con sólo acudir al examen de los hitos procesales acaecidos tras el dictado del Auto declarando desierto el recurso de apelación por ella interpuesto. Conforme consta en las actuaciones judiciales remitidas, es cierto que no se produjo la notificación de dicho Auto, pero con independencia incluso de la relevancia de esta cuestión desde la perspectiva de la legalidad ordinaria, la realidad es que la demandante de amparo tuvo conocimiento preciso de dicho Auto como lo demuestra el hecho de que contra él interpusiera recurso de súplica en tiempo y forma.</w:t>
      </w:r>
    </w:p>
    <w:p w:rsidR="0025129F" w:rsidRDefault="0025129F" w:rsidP="0025129F">
      <w:pPr>
        <w:pStyle w:val="TextoNormal"/>
      </w:pPr>
      <w:r>
        <w:t>Como hemos afirmado en numerosas ocasiones, “lo que importa a los efectos del derecho a la tutela judicial efectiva sin padecer indefensión (art. 24.1 CE) es que el acto de comunicación procesal surta sus efectos y cumpla con su fin, que es poner en conocimiento de su destinatario la decisión o la actuación judicial correspondiente” (por todas, STC 113/2001, de 7 de mayo, FJ 3). Comprobado que, en el caso enjuiciado, la sociedad tuvo conocimiento del acto procesal y lo impugnó en tiempo, carece de trascendencia constitucional el hecho de que le fuera formalmente notificado o no, pues no se ha producido privación o limitación alguna en el derecho de defensa de la sociedad Comercial Garoe, S.L.</w:t>
      </w:r>
    </w:p>
    <w:p w:rsidR="0025129F" w:rsidRDefault="0025129F" w:rsidP="0025129F">
      <w:pPr>
        <w:pStyle w:val="TextoNormal"/>
      </w:pPr>
    </w:p>
    <w:p w:rsidR="0025129F" w:rsidRDefault="0025129F" w:rsidP="0025129F">
      <w:pPr>
        <w:pStyle w:val="TextoNormal"/>
      </w:pPr>
      <w:r w:rsidRPr="0025129F">
        <w:rPr>
          <w:rStyle w:val="NumeroAFNegritaCaracter"/>
        </w:rPr>
        <w:t>5</w:t>
      </w:r>
      <w:r>
        <w:t>. Sostiene seguidamente la recurrente en amparo que la respuesta del órgano judicial al recurso de súplica le produjo indefensión en la medida en que revistió la forma de providencia y no de Auto, como, a su juicio, correspondía. Sin necesidad de entrar en su examen, desde la perspectiva de la legalidad ordinaria que, en todo caso, no nos compete, resulta obligado rechazar la queja de la recurrente tras la comprobación de que, como sostiene el Ministerio Fiscal, aun revistiendo forma de providencia, se trató de una resolución motivada, que expresó los argumentos por los que se inadmitía el recurso de súplica y que permitió rebatirlos en el incidente de nulidad posteriormente tramitado y resuelto. Así pues, no es posible hallar merma, limitación o privación real o material del derecho de defensa de la demandante de amparo, único supuesto en el que resultaría relevante a estos efectos la forma de la resolución (STC 113/1988, de 9 de junio, FJ 5), por lo que, también por esta causa, el amparo ha de ser denegado.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Por lo que toca a la alegación de indefensión basada en que el Abogado que asistió técnicamente a la sociedad apelada en el incidente de nulidad de actuaciones carecía de la habilitación precisa para actuar ante los Tribunales de Las Palmas de Gran Canaria, la denegación del amparo por esta causa se basa en la absoluta falta de acreditación de dicha circunstancia en la demanda de amparo y en las actuaciones judiciales que han sido remitidas a este Tribunal. Nuestra constante doctrina ha sostenido que, en aplicación de lo dispuesto en el art. 49 LOTC, cuando se acusa una violación constitucional es carga del recurrente no sólamente abrir la vía para que el Tribunal pueda pronunciarse, sino proporcionar también las alegaciones de hecho, su justificación documental y la fundamentación jurídica.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y 138/2001, de 18 de junio, FJ 9). Pues bien, la demandante de amparo no ha acreditado el punto de partida necesario para poder siquiera entrar a considerar la vulneración que alega, pues para ello hubiera sido preciso acreditar la realidad de su afirmación, lo que no ha hecho.  Pero es que, además, ni siquiera acreditada tal falta de habilitación podríamos apreciar la indefensión que aduce la demandante, pues, en primer lugar, se trataría de una cuestión atinente a la estricta legalidad ordinaria en la que nos está vedado entrar y, en segundo término, carece de consistencia la alegación de la demandante de que, precisamente, fueron los argumentos del apelado en aquella instancia los fundamentales para rechazar su pretensión, habida cuenta de que tal efecto, además de resultar contradicho por la reproducción in extenso de los argumentos ya utilizados en la providencia que contestó al recurso de súplica, no ha mermado en modo alguno su capacidad de alegar en el incidente de nulidad de actuaciones, limitación o privación real y efectiva del derecho a la tutela judicial efectiva que es la que, en definitiva, permitiría acoger la denunciada indefensión.</w:t>
      </w:r>
    </w:p>
    <w:p w:rsidR="0025129F" w:rsidRDefault="0025129F" w:rsidP="0025129F">
      <w:pPr>
        <w:pStyle w:val="TextoNormal"/>
      </w:pPr>
    </w:p>
    <w:p w:rsidR="0025129F" w:rsidRDefault="0025129F" w:rsidP="0025129F">
      <w:pPr>
        <w:pStyle w:val="TextoNormal"/>
      </w:pPr>
      <w:r w:rsidRPr="0025129F">
        <w:rPr>
          <w:rStyle w:val="NumeroAFNegritaCaracter"/>
        </w:rPr>
        <w:t>7</w:t>
      </w:r>
      <w:r>
        <w:t>. Como resulta del escrito de alegaciones de la sociedad Comercial Garoe, S.L., demandante de amparo, en realidad su queja central se refiere a la vulneración de su derecho a la tutela judicial efectiva en la vertiente de acceso a los recursos, última de las cuestiones que es preciso abordar en esta Sentencia. Para resolverla hemos de dejar testimonio, en primer término, de los principales hitos procesales, pues la recurrente los aborda sólo de modo parcial e incompleto en los hechos relatados en su demanda de amparo, tal como han sido expuestos en los antecedentes.</w:t>
      </w:r>
    </w:p>
    <w:p w:rsidR="0025129F" w:rsidRDefault="0025129F" w:rsidP="0025129F">
      <w:pPr>
        <w:pStyle w:val="TextoNormal"/>
      </w:pPr>
      <w:r>
        <w:t>Del contenido de las actuaciones se desprende, a estos efectos, lo siguiente:</w:t>
      </w:r>
    </w:p>
    <w:p w:rsidR="0025129F" w:rsidRDefault="0025129F" w:rsidP="0025129F">
      <w:pPr>
        <w:pStyle w:val="TextoNormal"/>
      </w:pPr>
      <w:r>
        <w:t>a) El 17 de junio de 1997 se dictó Sentencia por el Juzgado de Primera Instancia e Instrucción de Telde por la que, estimando la demanda interpuesta por la compañía Bayernland, EG, se condenaba a la recurrente en amparo, Comercial Garoe, S.L., al pago de la cantidad de 42.845,36 marcos alemanes, más intereses legales y costas. Dicha Sentencia fue notificada a la demandante de amparo el 30 de junio del mismo año.</w:t>
      </w:r>
    </w:p>
    <w:p w:rsidR="0025129F" w:rsidRDefault="0025129F" w:rsidP="0025129F">
      <w:pPr>
        <w:pStyle w:val="TextoNormal"/>
      </w:pPr>
      <w:r>
        <w:t>b) El 5 de julio de 1997, la sociedad Comercial Garoe, S.L., interpuso recurso de apelación para ante la Audiencia Provincial de Las Palmas, recayendo providencia el 1 de septiembre siguiente por virtud de la cual se tuvo por interpuesto el recurso de apelación, admitiéndose en ambos efectos. Además, en cumplimiento de lo dispuesto en el art. 385 LEC entonces vigente, se acordó esperar a que transcurriera el plazo en él establecido antes de proceder a la remisión de los autos a la Audiencia Provincial, previo emplazamiento de las partes.</w:t>
      </w:r>
    </w:p>
    <w:p w:rsidR="0025129F" w:rsidRDefault="0025129F" w:rsidP="0025129F">
      <w:pPr>
        <w:pStyle w:val="TextoNormal"/>
      </w:pPr>
      <w:r>
        <w:lastRenderedPageBreak/>
        <w:t>c) El 8 de septiembre del mismo año, la demandante en el procedimiento civil, Bayernland, EG, interesó la ejecución provisional de la Sentencia de instancia, por lo que el 6 de octubre siguiente se acordó por el Juzgado tener por solicitada la ejecución, fijar la fianza correspondiente a prestar por la ejecutante en plazo de tres días. Prestada la fianza por medio de aval bancario, el 15 de septiembre de 1997 el Juzgado de Primera Instancia de Telde dictó providencia del tenor literal siguiente, en lo que ahora interesa: “Se declara bastante la fianza constituida y, en consecuencia, procédase a la ejecución provisional de la sentencia recaída expidiéndose por el Sr. Secretario testimonio del escrito de demanda y de la sentencia recaída que encabezará la pieza separada que quedará en este Juzgado. Remítanse los autos originales a la Audiencia Provincial, con atento oficio, previo emplazamiento de las partes para ante la misma por término de diez días...”. Dicha providencia fue notificada a las partes el día 17 de diciembre de 1997.</w:t>
      </w:r>
    </w:p>
    <w:p w:rsidR="0025129F" w:rsidRDefault="0025129F" w:rsidP="0025129F">
      <w:pPr>
        <w:pStyle w:val="TextoNormal"/>
      </w:pPr>
      <w:r>
        <w:t>d) Como consecuencia de un escrito presentado por la ejecutante provisional, Bayernland, EG, el 29 de diciembre de 1997, el mismo día recayó otra providencia en la que el órgano judicial, tras acordar la unión del escrito y el desglose de los documentos que se solicitaba, ordenó emplazar a las partes conforme venía acordado. Y, en efecto, consta la notificación –que reconoce la parte haberle sido practicada— de dicho proveído y, al menos, la entrega de cédula de emplazamiento a la ejecutante provisional y apelada.</w:t>
      </w:r>
    </w:p>
    <w:p w:rsidR="0025129F" w:rsidRDefault="0025129F" w:rsidP="0025129F">
      <w:pPr>
        <w:pStyle w:val="TextoNormal"/>
      </w:pPr>
      <w:r>
        <w:t>e) El día 30 de diciembre de 1997, la demandante de amparo presentó, por medio del buzón habilitado al efecto en el Tribunal Superior de Justicia de Canarias, escrito ante la Audiencia Provincial de Las Palmas del tenor literal siguiente: “Que a medio de este escrito me persono y muestro parte en la apelación de la Sentencia de fecha ... dictada por el titular del Juzgado de 1ª Instancia num. UNO de Telde en los autos de juicio menor cuantía núm. 332/1995 en concepto de apelante”, suplicando se le tuviera por personada en el recurso de apelación. Consta la presentación del mencionado escrito por certificación del Secretario de Gobierno del Tribunal Superior mencionado, haciendo constar que el escrito tuvo entrada a través del buzón el 30 de diciembre y salida el 31 de diciembre, ambos de 1997.</w:t>
      </w:r>
    </w:p>
    <w:p w:rsidR="0025129F" w:rsidRDefault="0025129F" w:rsidP="0025129F">
      <w:pPr>
        <w:pStyle w:val="TextoNormal"/>
      </w:pPr>
      <w:r>
        <w:t>f) La remisión de los autos originales desde el Juzgado de Primera Instancia a la Audiencia Provincial, no tuvo lugar hasta el 29 de mayo de 1998. Se recibieron el 10 de junio siguiente en la Audiencia Provincial de Las Palmas y, por reparto, le correspondió el conocimiento del recurso a la Sección Primera, que tuvo por recibidas las actuaciones el 16 de junio de 1998. Tras darse cuenta de la llegada de los autos y de que no se había producido la personación de la apelante y hoy recurrente en amparo, la Sala decidió, por Auto del mismo día, declarar desierto el recurso al no haberse personado en la apelación ni apelante ni apelado, conforme a lo dispuesto en el art. 840 LEC.</w:t>
      </w:r>
    </w:p>
    <w:p w:rsidR="0025129F" w:rsidRDefault="0025129F" w:rsidP="0025129F">
      <w:pPr>
        <w:pStyle w:val="TextoNormal"/>
      </w:pPr>
      <w:r>
        <w:t>g) El 19 de junio siguiente, la representación de Comercial Garoe, S.L., presentó escrito dirigido a la Sección Primera de la Audiencia Provincial de Las Palmas, en el que interponía recurso de súplica contra el Auto declarando desierto el recurso.  Sostenía en él la recurrente en amparo que se había personado en su momento cumpliendo lo ordenado en providencia de 15 de diciembre de 1997, que le fue notificada el día 17 del mismo mes y año. Habiéndose personado en tiempo y forma, entendía que la decisión del órgano judicial de declarar desierto el recurso le colocaba en situación de indefensión, por lo que suplicaba se declarara la nulidad del Auto y se le tuviera por personada y parte, continuando el procedimiento de apelación en todos sus trámites.</w:t>
      </w:r>
    </w:p>
    <w:p w:rsidR="0025129F" w:rsidRDefault="0025129F" w:rsidP="0025129F">
      <w:pPr>
        <w:pStyle w:val="TextoNormal"/>
      </w:pPr>
      <w:r>
        <w:t>h) El 25 de junio de 1998 la Sección Primera de la Audiencia Provincial de Las Palmas dictó providencia por virtud de la cual declaraba no haber lugar a la admisión a trámite del recurso de súplica.  Dicha providencia inadmitía el recurso “habida cuenta de que, justa</w:t>
      </w:r>
      <w:r>
        <w:lastRenderedPageBreak/>
        <w:t>mente por virtud de esta última resolución, la citada entidad ... no ostenta la condición de parte en esta alzada. Pero es que, además, y aunque ello suponga inevitablemente entrar en el examen de las consideraciones que vierte en su recurso de súplica, el detenido examen de las actuaciones remitidas contradice abiertamente el punto de vista mantenido por aquélla. En primer lugar, no es cierto que por providencia de 15 de diciembre de 1997 el órgano de instancia emplazase a esta parte para que en término de 10 días se personase en esta Audiencia, de conformidad con lo establecido en el art. 704 LEC. Antes al contrario, por esta providencia se declaró bastante la fianza constituida y se acordó la ejecución provisional de la Sentencia dictada, ordenándose la remisión de los autos a la Audiencia Provincial, previo emplazamiento de las partes. Y, en segundo lugar, este emplazamiento sólo tuvo lugar el 15 de enero de 1998, en cumplimiento de lo dispuesto en la providencia de 29 de diciembre del pasado año (véase el folio núm. 284 del procedimiento).  Sorprendentemente, y por motivos que la Sala ignora, el representante procesal de la sociedad Comercial Garoe, S.L., presentó escrito de personación en el buzón del Tribunal Superior de Justicia, tal y como acredita la certificación que acompañó con su escrito de súplica...Es decir que trató de mostrarse parte y personarse en esta alzada mucho antes de que fuera emplazada. Y emplazada que fue el día...reiteramos, la mercantil...dejó transcurrir el plazo de 10 días que prevé el aludido art. 704 LEC (finalizó el 27 de enero siguiente) para comparecer en la Audiencia para usar de su derecho”.</w:t>
      </w:r>
    </w:p>
    <w:p w:rsidR="0025129F" w:rsidRDefault="0025129F" w:rsidP="0025129F">
      <w:pPr>
        <w:pStyle w:val="TextoNormal"/>
      </w:pPr>
      <w:r>
        <w:t>i) El 27 de julio de 1998 se personó en las actuaciones la compañía Bayernland, EG, mediante escrito, fechado el 3 de diciembre de 1997. Antes —aunque este escrito aparezca unido a las actuaciones inmediatamente después de la personación de la apelada— el 11 de julio de 1998 la demandante de amparo había promovido incidente de nulidad de actuaciones por entender que las resoluciones dictadas habían prescindido total y absolutamente de las normas del procedimiento, habían infringido los principios de audiencia, asistencia y defensa, originándole indefensión y vulnerando su derecho a la tutela judicial efectiva. Alegaba, además de los defectos formales ya mencionados anteriormente, que la Sala había partido de un defectuoso enfoque causado por la anómala actuación del Juzgado de instancia, puesto que al tiempo de acordar procedente la ejecución provisional ordenó ya en ese momento remitir los autos a la Audiencia, previo emplazamiento de las partes. Por ello, no debió realizar ningún pronunciamiento, ya que desde que decidió la remisión de los autos había perdido su competencia, por lo que la siguiente providencia (de 29 de diciembre) fue dictada por el Juzgado vulnerando las normas de competencia objetiva y funcional. Entendía la recurrente que el único emplazamiento válido fue el realizado el 15 de diciembre y que, por ello, sólo a partir de la notificación de dicha providencia era cuando se había iniciado el cómputo del plazo de diez días. Otra interpretación, a su juicio, implicaría que las partes tuvieran que estar personándose cada vez que el Juzgador de instancia realizara emplazamientos. En definitiva, interesó se declarara la nulidad de actuaciones y la validez de su personación en el recurso de apelación.</w:t>
      </w:r>
    </w:p>
    <w:p w:rsidR="0025129F" w:rsidRDefault="0025129F" w:rsidP="0025129F">
      <w:pPr>
        <w:pStyle w:val="TextoNormal"/>
      </w:pPr>
      <w:r>
        <w:t xml:space="preserve">j) El 29 de julio se acordó tener por promovido el incidente y dar traslado por copia a la parte apelada para que en cinco días formulara alegaciones. El 9 de septiembre se presentó el escrito de alegaciones de la apelada Bayernland, EG. La representación de esta compañía, además de rebatir los defectos formales denunciados por la demandante de amparo, adujo, en primer lugar, que la apelante había consentido el contenido de la Sentencia de instancia al haber dejado transcurrir los diez días del plazo para personarse, por lo que el recurso se declaró desierto. En segundo lugar, destacó que la providencia de 15 de diciembre no produjo el emplazamiento con su mera alusión al previo emplazamiento de las partes, pues es ésta una expresión meramente explicativa del proceder futuro, además de </w:t>
      </w:r>
      <w:r>
        <w:lastRenderedPageBreak/>
        <w:t>constituir la manera usual de actuar de los órganos judiciales.  Seguidamente, alegó que el art. 303 LEC obligaba a computar los plazos desde que se realizaba el emplazamiento, no antes, pues de otro modo se llegaría al absurdo de que las partes podían cumplir los plazos en los momentos que quisieran.</w:t>
      </w:r>
    </w:p>
    <w:p w:rsidR="0025129F" w:rsidRDefault="0025129F" w:rsidP="0025129F">
      <w:pPr>
        <w:pStyle w:val="TextoNormal"/>
      </w:pPr>
      <w:r>
        <w:t>k) Finalmente, el 18 de septiembre de 1998 se resolvió el incidente de nulidad de actuaciones mediante el Auto que directamente se combate en este recurso. La Sala, además de rebatir también los defectos formales de sus resoluciones, analiza los argumentos del escrito promoviendo el incidente para rechazarlos uno por uno.  Tras resaltar que la indefensión, según la doctrina de este Tribunal, no ha de ser debida a la parte que la alega, máxime cuando actúa en el proceso a través de profesionales, se plantea, en primer lugar, que la alegación de la nulidad de la providencia del Juzgado ordenando el emplazamiento que se considera válido es traída por primera vez a este escrito, sin que nada se hiciera constar en el recurso de súplica. En segundo lugar, sostiene que, de haber considerado que la providencia de 29 de diciembre emplazando a las partes se había dictado vulnerando los preceptos relativos a su propia competencia, había tenido la recurrente ocasión de impugnarla y no lo hizo, pues no se alcanza a comprender cómo habiendo sido emplazada el 29 de diciembre por medio de providencia notificada el 15 de enero siguiente mostró una notoria pasividad frente a una resolución que estimaba perjudicial. Analizando el contenido de la providencia de 15 de diciembre, la Sala de apelación considera que el Juzgado de Primera Instancia hizo simplemente uso de una cláusula de estilo que se limitaba a anunciar la necesidad de un previo emplazamiento de las partes, emplazamiento que no tuvo lugar hasta el 15 de enero de 1998. Finalmente, la Sala considera que los plazos son improrrogables y que, por ello, se limitaba a aplicar lo dispuesto en el art. 306 de la LEC, puesto que lo contrario implicaría que las partes pudieran cumplir los plazos con actuaciones anteriores a su cómputo. En definitiva, se desestimó el incidente con imposición de costas a la recurrente.</w:t>
      </w:r>
    </w:p>
    <w:p w:rsidR="0025129F" w:rsidRDefault="0025129F" w:rsidP="0025129F">
      <w:pPr>
        <w:pStyle w:val="TextoNormal"/>
      </w:pPr>
    </w:p>
    <w:p w:rsidR="0025129F" w:rsidRDefault="0025129F" w:rsidP="0025129F">
      <w:pPr>
        <w:pStyle w:val="TextoNormal"/>
      </w:pPr>
      <w:r w:rsidRPr="0025129F">
        <w:rPr>
          <w:rStyle w:val="NumeroAFNegritaCaracter"/>
        </w:rPr>
        <w:t>8</w:t>
      </w:r>
      <w:r>
        <w:t>. Sentados los datos de hecho básicos para nuestro enjuiciamiento, hemos de recordar nuestra doctrina sobre el derecho a la tutela judicial efectiva, en su vertiente de derecho de acceso a los recursos.</w:t>
      </w:r>
    </w:p>
    <w:p w:rsidR="0025129F" w:rsidRDefault="0025129F" w:rsidP="0025129F">
      <w:pPr>
        <w:pStyle w:val="TextoNormal"/>
      </w:pPr>
      <w:r>
        <w:t xml:space="preserve">Partiendo de la STC 37/1995, de 7 de febrero (FJ 5),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De tal suerte que, mientras que el principio pro actione despliega toda su efectividad cuando se trata del acceso a la jurisdicción, cuando del acceso a los recursos se trata, con la excepción del derecho al doble grado de jurisdicción en la vía penal, el control constitucional de las decisiones judiciales que declaran la inadmisibilidad de los recursos ha de ceñirse en el resto de los órdenes jurisdiccionales al análisis de si la resolución judicial de inadmisión ha incurrido en error de hecho patente, arbitrariedad o manifiesta irrazonabilidad, teniendo en cuenta, tanto la naturaleza del cauce procesal, como las especiales circunstancias concurrentes en cada caso (SSTC 162/1998, de 14 de julio, FJ 2; 192/1998, de 29 de septiembre, FJ 2; 216/1998, de, FJ 2, 10/1999, de 8 de febrero, FJ, 23/1999, de 8 de marzo, FJ 2; 121/1999, de 28 de junio, FJ 3, 94/2000, de 10 de abril, FJ 5, 116/2000, de 5 de mayo, FJ </w:t>
      </w:r>
      <w:r>
        <w:lastRenderedPageBreak/>
        <w:t>3; 251/2000, de 30 de octubre, FJ 3; y 218/2001, de 31 de octubre, FJ 3 in fine, por citar solamente algunas de las más recientes).</w:t>
      </w:r>
    </w:p>
    <w:p w:rsidR="0025129F" w:rsidRDefault="0025129F" w:rsidP="0025129F">
      <w:pPr>
        <w:pStyle w:val="TextoNormal"/>
      </w:pPr>
      <w:r>
        <w:t>En segundo lugar, es preciso recordar también que la interpretación finalista de los presupuestos procesales no puede entenderse de manera tan automática que conduzca al desconocimiento e ineficacia total de tales presupuestos establecidos en las leyes procesales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Precisamente por ello, corresponde a las partes cumplir en cada caso las exigencias del recurso que interponen (STC 16/1992, de 10 de febrero, FJ 3).</w:t>
      </w:r>
    </w:p>
    <w:p w:rsidR="0025129F" w:rsidRDefault="0025129F" w:rsidP="0025129F">
      <w:pPr>
        <w:pStyle w:val="TextoNormal"/>
      </w:pPr>
      <w:r>
        <w:t>En el caso de la personación ante el órgano judicial que ha de conocer el recurso, después del emplazamiento, hemos sostenido que no es difícil encontrar razones de seguridad jurídica o de agilidad procesal que justifiquen la limitación temporal para la personación, en aras de evitar la incertidumbre de la parte contraria o la eventual paralización de las actuaciones; efectos ambos que pueden producirse de no resultar establecido un término preciso para manifestar la voluntad de sostener el recurso (STC 23/1992, de 14 de febrero, FJ 4). Esta necesidad de dotar de certeza al plazo para comparecer ante el órgano que ha de conocer el recurso de apelación está reforzada, además, porque el cumplimiento de la personación afecta también a la contraparte en el procedimiento, y es evidente que las garantías que establece el art. 24 CE alcanzan a ambas partes y este Tribunal ha de salvaguardarlas (STC 79/1996, de 21 de abril, FJ 4).</w:t>
      </w:r>
    </w:p>
    <w:p w:rsidR="0025129F" w:rsidRDefault="0025129F" w:rsidP="0025129F">
      <w:pPr>
        <w:pStyle w:val="TextoNormal"/>
      </w:pPr>
      <w:r>
        <w:t>Finalmente, también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FJ 3; 82/1999, de 10 de mayo, FJ 2; 243/2000, de 16 de octubre, FJ 4; 224/2001, de 26 de noviembre, FJ 3; AATC 233/2000, de 9 de octubre, FJ 4; y 309/2000, de 18 de diciembre FJ 1),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0025129F" w:rsidRDefault="0025129F" w:rsidP="0025129F">
      <w:pPr>
        <w:pStyle w:val="TextoNormal"/>
      </w:pPr>
    </w:p>
    <w:p w:rsidR="0025129F" w:rsidRDefault="0025129F" w:rsidP="0025129F">
      <w:pPr>
        <w:pStyle w:val="TextoNormal"/>
      </w:pPr>
      <w:r w:rsidRPr="0025129F">
        <w:rPr>
          <w:rStyle w:val="NumeroAFNegritaCaracter"/>
        </w:rPr>
        <w:t>9</w:t>
      </w:r>
      <w:r>
        <w:t>. Teniendo en cuenta la doctrina anteriormente expuesta, es obligado concluir que la decisión de la Audiencia Provincial de Las Palmas ha vulnerado el derecho a la tutela judicial efectiva de la sociedad demandante de amparo, en la vertiente del acceso a los recursos establecidos por la Ley. Tal conclusión resulta, en primer lugar, de un dato de hecho incontestable: la sociedad recurrente en amparo, Comercial Garoe, S.L., se personó ante la Audiencia Provincial de Las Palmas, sin que tal hecho fuera abordado por la Audiencia Provincial en el Auto por el que declaró desierto el recurso de apelación. En efecto, aunque, como hemos mantenido recientemente (STC 172/2000, de 26 de junio, FJ 3), el órgano judicial de apelación apreciara razonablemente que el recurso de apelación había quedado desierto al no encontrarse unido a los autos el escrito de personación, una vez que el demandante puso de relieve la presentación de dicho escrito, con aportación de certificación del Secretario de Gobierno del Tribunal Superior de Justicia de Canarias y copia del escrito, la Audiencia Provincial tuvo constancia plena de que en el momento de decidir la admisión a trámite, la parte apelante había manifestado la voluntad de impugnar la reso</w:t>
      </w:r>
      <w:r>
        <w:lastRenderedPageBreak/>
        <w:t>lución dictada por el Juzgado de Primera Instancia de Telde. Así se reconoce en la providencia que inadmitió el recurso de súplica.</w:t>
      </w:r>
    </w:p>
    <w:p w:rsidR="0025129F" w:rsidRDefault="0025129F" w:rsidP="0025129F">
      <w:pPr>
        <w:pStyle w:val="TextoNormal"/>
      </w:pPr>
      <w:r>
        <w:t>Sin embargo, tal circunstancia, apreciada sólo cuando la sociedad recurrente acreditó su comparecencia ante el órgano judicial que debía resolver el recurso de apelación, no fue tenida por demostrativa de su voluntad impugnativa, dado que la Audiencia Provincial decidió no tener por personado en tiempo y forma al apelante por considerar que el incumplimiento por su parte de la personación a partir del día inicial señalado le impedía tenerla por personada, en estricta aplicación del principio de improrrogabilidad de los plazos.</w:t>
      </w:r>
    </w:p>
    <w:p w:rsidR="0025129F" w:rsidRDefault="0025129F" w:rsidP="0025129F">
      <w:pPr>
        <w:pStyle w:val="TextoNormal"/>
      </w:pPr>
      <w:r>
        <w:t>Pues bien, como ya se avanzó, tal interpretación del órgano judicial, aplicando literalmente los plazos de personación y el principio de improrrogabilidad, sin tener en cuenta el hecho de que al adoptar su decisión le constaba —o debía constarle— que el demandado había comparecido para sostener el recurso de apelación ya interpuesto ante el Juzgado de Primera Instancia, infringe el artículo 24.1 CE en la vertiente del acceso a los recursos. En primer lugar, porque, tal como hemos mantenido en otras ocasiones (SSTC 23/1992, de 14 de febrero, FJ 4; y 73/1993, de 1 de marzo, FJ 3) la finalidad de los preceptos de las leyes procesales respecto del plazo de la personación es la de evitar que la voluntad de mantener la apelación pueda expresarse por la parte en cualquier momento, dejando indefinidamente abierto el periodo en que el Juzgador ad quem deba considerarla como válida. De modo que si es fácil concluir que la personación tardía incumple dicha finalidad, no puede afirmarse lo mismo respecto de la personación anterior, puesto que en este caso, en el momento de decidir sobre el recurso de súplica y, más tarde, la nulidad de actuaciones, el órgano judicial contaba ya con la expresa manifestación de la voluntad impugnativa por parte del apelante.</w:t>
      </w:r>
    </w:p>
    <w:p w:rsidR="0025129F" w:rsidRDefault="0025129F" w:rsidP="0025129F">
      <w:pPr>
        <w:pStyle w:val="TextoNormal"/>
      </w:pPr>
      <w:r>
        <w:t>En segundo lugar, resulta relevante en este caso el silencio de los órganos judiciales respecto del escrito presentado por la recurrente en amparo personándose ante la Audiencia. Este silencio, que duró casi seis meses, pudo generar en aquélla la confianza legítima de su admisión; más aún cuando en ninguna de las resoluciones judiciales que ahora se combaten, el órgano de apelación ha realizado ni la más mínima mención a las vicisitudes que pudieron determinar que, aun a la fecha de hoy, ni siquiera figure unido a las actuaciones. Finalmente, es preciso resaltar que esta confianza legítima pudo verse incrementada por el hecho de que el órgano de instancia ordenara en la primera de las providencias a que se ha hecho referencia la remisión de los autos originales a la Audiencia, previo emplazamiento de las partes. Ello dió lugar a que la recurrente se considerara emplazada (art. 279 LEC entonces aplicable) compareciendo ante la Audiencia.</w:t>
      </w:r>
    </w:p>
    <w:p w:rsidR="0025129F" w:rsidRDefault="0025129F" w:rsidP="0025129F">
      <w:pPr>
        <w:pStyle w:val="TextoNormal"/>
      </w:pPr>
      <w:r>
        <w:t>Ciertamente, como resalta la Audiencia Provincial de Las Palmas, una vez se dictó la segunda providencia acordando el emplazamiento de las partes, la demandante de amparo no la recurrió, ni volvió a personarse, pero en ese momento la demandante ya había mostrado su voluntad de personarse ante la Audiencia Provincial, incluso lo hizo el 30 de diciembre de 1997, un día después de la fecha en que se dictó la segunda providencia ordenando el emplazamiento, de modo que tal inactividad de la parte no puede considerarse el elemento decisivo en la decisión posterior de rechazar el recurso de súplica.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lastRenderedPageBreak/>
        <w:t>Ha decidido</w:t>
      </w:r>
    </w:p>
    <w:p w:rsidR="0025129F" w:rsidRDefault="0025129F" w:rsidP="0025129F">
      <w:pPr>
        <w:pStyle w:val="TextoNormalCentrado"/>
        <w:keepNext/>
      </w:pPr>
    </w:p>
    <w:p w:rsidR="0025129F" w:rsidRDefault="0025129F" w:rsidP="0025129F">
      <w:pPr>
        <w:pStyle w:val="TextoNormal"/>
      </w:pPr>
      <w:r>
        <w:t>Otorgar el amparo solicitado por Comercial Garoe, S.L., y en consecuencia:</w:t>
      </w:r>
    </w:p>
    <w:p w:rsidR="0025129F" w:rsidRDefault="0025129F" w:rsidP="0025129F">
      <w:pPr>
        <w:pStyle w:val="TextoNormal"/>
      </w:pPr>
      <w:r>
        <w:t>1º Reconocer a la recurrente su derecho a la tutela judicial efectiva (art. 24.1 CE).</w:t>
      </w:r>
    </w:p>
    <w:p w:rsidR="0025129F" w:rsidRDefault="0025129F" w:rsidP="0025129F">
      <w:pPr>
        <w:pStyle w:val="TextoNormal"/>
      </w:pPr>
      <w:r>
        <w:t>2º Anular los Autos de 16 de junio y de 18 de septiembre de 1998 y la providencia de 25 de junio de 1998 dictados por la Sección Primera de la Audiencia Provincial de Las Palmas.</w:t>
      </w:r>
    </w:p>
    <w:p w:rsidR="0025129F" w:rsidRDefault="0025129F" w:rsidP="0025129F">
      <w:pPr>
        <w:pStyle w:val="TextoNormal"/>
      </w:pPr>
      <w:r>
        <w:t>3º Reponer las actuaciones al momento procesal oportuno a fin de que la Audiencia Provincial dicte nueva resolución en la que no aprecie la falta de personación de la entidad mercantil en el recurso de apelación.</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catorce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4" w:name="SENTENCIA_2002_41"/>
      <w:r>
        <w:lastRenderedPageBreak/>
        <w:t>SENTENCIA 41/2002, de 25 de febrero de 2002</w:t>
      </w:r>
    </w:p>
    <w:bookmarkEnd w:id="44"/>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ECLI:ES:TC:2002:41</w:t>
      </w:r>
    </w:p>
    <w:p w:rsidR="0025129F" w:rsidRDefault="0025129F" w:rsidP="0025129F">
      <w:pPr>
        <w:pStyle w:val="SntesisDescriptiva"/>
      </w:pPr>
    </w:p>
    <w:p w:rsidR="0025129F" w:rsidRDefault="0025129F" w:rsidP="0025129F">
      <w:pPr>
        <w:pStyle w:val="SntesisDescriptiva"/>
      </w:pPr>
      <w:r>
        <w:t>Recurso de amparo 1203/1997. Promovido por doña Ana Hernández Belmonte frente a las Sentencias de la Sala de lo Social del Tribunal Superior de Justicia de Andalucía y de un Juzgado de lo Social de Almería que declararon improcedente su despido de la compañía Fels Werker, S.A.</w:t>
      </w:r>
    </w:p>
    <w:p w:rsidR="0025129F" w:rsidRDefault="0025129F" w:rsidP="0025129F">
      <w:pPr>
        <w:pStyle w:val="SntesisDescriptiva"/>
      </w:pPr>
    </w:p>
    <w:p w:rsidR="0025129F" w:rsidRDefault="0025129F" w:rsidP="0025129F">
      <w:pPr>
        <w:pStyle w:val="SntesisAnaltica"/>
      </w:pPr>
      <w:r>
        <w:t>Supuesta vulneración del derecho a no ser discriminada por razón del sexo: despido de una trabajadora embarazada, cuando la empresa lo ignoraba.</w:t>
      </w:r>
    </w:p>
    <w:p w:rsidR="0025129F" w:rsidRDefault="0025129F" w:rsidP="0025129F">
      <w:pPr>
        <w:pStyle w:val="SntesisAnaltica"/>
      </w:pPr>
    </w:p>
    <w:p w:rsidR="0025129F" w:rsidRDefault="0025129F" w:rsidP="0025129F">
      <w:pPr>
        <w:pStyle w:val="Extracto"/>
      </w:pPr>
      <w:r>
        <w:t>1.</w:t>
      </w:r>
      <w:r>
        <w:tab/>
        <w:t>Constando expresamente en los hechos probados que la empresa demandada no conocía el embarazo, resulta difícil imputar vulneración del principio de discriminación por razón del sexo a la decisión extintiva empresarial, y entender que la empresa ha basado su decisión en dicha circunstancia [FJ 4].</w:t>
      </w:r>
    </w:p>
    <w:p w:rsidR="0025129F" w:rsidRDefault="0025129F" w:rsidP="0025129F">
      <w:pPr>
        <w:pStyle w:val="Extracto"/>
      </w:pPr>
    </w:p>
    <w:p w:rsidR="0025129F" w:rsidRDefault="0025129F" w:rsidP="0025129F">
      <w:pPr>
        <w:pStyle w:val="Extracto"/>
      </w:pPr>
      <w:r>
        <w:t>2.</w:t>
      </w:r>
      <w:r>
        <w:tab/>
        <w:t>Doctrina sobre la carga de la prueba de vulneraciones de derechos fundamentales [FJ 3].</w:t>
      </w:r>
    </w:p>
    <w:p w:rsidR="0025129F" w:rsidRDefault="0025129F" w:rsidP="0025129F">
      <w:pPr>
        <w:pStyle w:val="Extracto"/>
      </w:pPr>
    </w:p>
    <w:p w:rsidR="0025129F" w:rsidRDefault="0025129F" w:rsidP="0025129F">
      <w:pPr>
        <w:pStyle w:val="Extracto"/>
      </w:pPr>
      <w:r>
        <w:t>3.</w:t>
      </w:r>
      <w:r>
        <w:tab/>
        <w:t>El canon afectado no es el del art. 24 CE, sino el de un derecho fundamental sustantivo (STC 94/1995) [FJ 4].</w:t>
      </w:r>
    </w:p>
    <w:p w:rsidR="0025129F" w:rsidRDefault="0025129F" w:rsidP="0025129F">
      <w:pPr>
        <w:pStyle w:val="Extracto"/>
      </w:pPr>
    </w:p>
    <w:p w:rsidR="0025129F" w:rsidRDefault="0025129F" w:rsidP="0025129F">
      <w:pPr>
        <w:pStyle w:val="Extracto"/>
      </w:pPr>
      <w:r>
        <w:t>4.</w:t>
      </w:r>
      <w:r>
        <w:tab/>
        <w:t>Aunque los textos y acuerdos internaciones del art. 10.2 CE constituyen una fuente interpretativa, ello no los convierte en canon autónomo de constitucionalidad (SSTC 64/1991, 373/1993) [FJ 2].</w:t>
      </w:r>
    </w:p>
    <w:p w:rsidR="0025129F" w:rsidRDefault="0025129F" w:rsidP="0025129F">
      <w:pPr>
        <w:pStyle w:val="Extracto"/>
      </w:pPr>
    </w:p>
    <w:p w:rsidR="0025129F" w:rsidRDefault="0025129F" w:rsidP="0025129F">
      <w:pPr>
        <w:pStyle w:val="Extracto"/>
      </w:pPr>
      <w:r>
        <w:t>5.</w:t>
      </w:r>
      <w:r>
        <w:tab/>
        <w:t>No nos corresponde controlar la adecuación de la actividad de los poderes públicos nacionales al Derecho comunitario europeo (SSTC 28/1991 y 64/1991)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1203/97, promovido por doña Ana Hernández Belmonte, representada por la Procuradora de los Tribunales doña Isabel Cañedo Vega y asistida por el Abogado don Enrique Lillo, contra la empresa Fels Werker, S.A. Han intervenido el Ministerio Fiscal y la Compañía Fels Werker, S.A., representada por el Procurador de los Tribunales don Ignacio Aguilar Fernández, asistida por el Abogado don Juan Miguel Milán Criado. Ha sido Ponente el Magistrado don Eugeni Gay Montalvo,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21 de marzo de 1997 doña Isabel Cañedo Vega, Procuradora de los Tribunales, en nombre y representación de doña Ana Hernández Belmonte, interpuso recurso de amparo contra la Sentencia de la Sala de lo Social del Tribunal Superior de Justicia de Andalucía con sede en Granada de 11 de febrero de 1997, por la que se desestima el recurso de suplicación interpuesto contra la Sentencia del Juzgado de lo Social núm. 3 de Almería de 25 de julio de 1996, en autos núm. 531/96, y que confirma la calificación de improcedencia del despido y no así la nulidad solicitada.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más relevantes de los que trae causa la demanda son los siguientes: </w:t>
      </w:r>
    </w:p>
    <w:p w:rsidR="0025129F" w:rsidRDefault="0025129F" w:rsidP="0025129F">
      <w:pPr>
        <w:pStyle w:val="TextoNormal"/>
      </w:pPr>
      <w:r>
        <w:t xml:space="preserve">a) La recurrente ha venido prestando sus servicios para la empresa Fels Werker, S.A., desde el 2 de septiembre de 1992 con la categoría profesional de oficial administrativo de 2ª. </w:t>
      </w:r>
    </w:p>
    <w:p w:rsidR="0025129F" w:rsidRDefault="0025129F" w:rsidP="0025129F">
      <w:pPr>
        <w:pStyle w:val="TextoNormal"/>
      </w:pPr>
      <w:r>
        <w:t xml:space="preserve">b) La relación laboral entre las partes se inició con un contrato de naturaleza indefinida, y poco después de reincorporarse al trabajo, tras disfrutar un permiso de maternidad por nacimiento de un hijo, la empresa procedió a la extinción del contrato de trabajo el 6 de marzo de 1995, alegando razones objetivas de tipo organizativo. </w:t>
      </w:r>
    </w:p>
    <w:p w:rsidR="0025129F" w:rsidRDefault="0025129F" w:rsidP="0025129F">
      <w:pPr>
        <w:pStyle w:val="TextoNormal"/>
      </w:pPr>
      <w:r>
        <w:t xml:space="preserve">c) Planteada demanda por despido, la empresa decidió readmitir a la trabajadora antes de la celebración del juicio, tras negociaciones mantenidas con el sindicato Comisiones Obreras, pero lo hizo, no en su puesto de trabajo, sino en uno distinto de nueva creación, como coordinadora del centro técnico de información y cuyas tareas residen, básicamente, en la realización de cursillos para clientes de la empresa así como en el envío de publicidad de los productos de la empresa a posibles clientes. </w:t>
      </w:r>
    </w:p>
    <w:p w:rsidR="0025129F" w:rsidRDefault="0025129F" w:rsidP="0025129F">
      <w:pPr>
        <w:pStyle w:val="TextoNormal"/>
      </w:pPr>
      <w:r>
        <w:t xml:space="preserve">d) El 7 de junio de 1996 la empresa intentó entregarle una carta en la que se le comunicaba que, por razones de carácter objetivo (amortización de puesto de trabajo), se extinguía su contrato de trabajo. En particular, se le hacía saber que no se habían cumplido las expectativas de ventas previstas por la empresa ni el volumen de visitas y cursillos esperados y que motivaron la creación de su puesto de trabajo, y que, en consecuencia, la gestión de esta parcela se llevaría directamente por los servicios centrales ubicados en Madrid y Alemania. En esta misma carta se ponía a disposición de la trabajadora una indemnización por despido y por incumplimiento del plazo de preaviso. La trabajadora se negó a recibir esta carta, por lo que le fue remitida mediante correo certificado con acuse de recibo. </w:t>
      </w:r>
    </w:p>
    <w:p w:rsidR="0025129F" w:rsidRDefault="0025129F" w:rsidP="0025129F">
      <w:pPr>
        <w:pStyle w:val="TextoNormal"/>
      </w:pPr>
      <w:r>
        <w:t xml:space="preserve">e) En la fecha de este segundo despido la trabajadora estaba embarazada de 8 semanas, sin que la empresa conociera esta circunstancia. </w:t>
      </w:r>
    </w:p>
    <w:p w:rsidR="0025129F" w:rsidRDefault="0025129F" w:rsidP="0025129F">
      <w:pPr>
        <w:pStyle w:val="TextoNormal"/>
      </w:pPr>
      <w:r>
        <w:t>f) La recurrente interpuso demanda, solicitando exclusivamente la nulidad del despido alegando que la empresa había utilizado el despido objetivo para encubrir un despido dis</w:t>
      </w:r>
      <w:r>
        <w:lastRenderedPageBreak/>
        <w:t xml:space="preserve">criminatorio por razón de sexo y cuya verdadera razón es el hecho de estar de nuevo embarazada; hecho éste que había comunicado a varios compañeros y al Director financiero. En la demanda se alegaba que la actitud discriminatoria no era nueva pues ya la había intentado despedir tras una baja maternal alegando despido objetivo pese a contratar a otra persona en su puesto de trabajo, y que ahora la empresa lo intentaba de nuevo, pues, al comunicar su estado y con el fin de evitar asumir una nueva licencia materna, la empresa había decidido amortizar el puesto de trabajo con carácter de urgencia sin facilitarle siquiera el preaviso legal de treinta días. La Sentencia del Juzgado de lo Social núm. 3 de Almería de 25 de julio de 1996 estimó parcialmente la demanda y declaró el despido improcedente. Tras admitir que existe un indicio racional fáctico de discriminación como consecuencia de que los despidos se han producido en momentos conectados con la condición de mujer de la trabajadora (el primero tras una baja maternal y el segundo estando embarazada), precisa, no obstante, que el hecho de que la empresa desconociera que la trabajadora estaba embarazada al no habérselo comunicado por temor a ser despedida y que el tiempo de embarazo impidiera apreciarlo a simple vista al ser de ocho semanas impiden afirmar que la empresa haya basado su decisión de extinguir la relación laboral con la demandante por razón de sexo, aunque la empresa no haya demostrado la realidad de las causas alegadas. </w:t>
      </w:r>
    </w:p>
    <w:p w:rsidR="0025129F" w:rsidRDefault="0025129F" w:rsidP="0025129F">
      <w:pPr>
        <w:pStyle w:val="TextoNormal"/>
      </w:pPr>
      <w:r>
        <w:t>g) Recurrida en suplicación, la Sala de lo Social del Tribunal Superior de Justicia de Andalucía, con sede en Granada, dictó Sentencia de 11 de febrero de 1997 por la que se desestimó el mismo. La Sala no aprecia indicios de carácter discriminatorio y concluye que “si la empresa desconocía el estado de embarazo de la actora difícilmente, por no decir imposible, resulta que haya basado su decisión de extinguir la relación laboral con la recurrente en dicha circunstancia”.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Contra estas resoluciones interpone la recurrente demanda de amparo por vulneración del principio de no discriminación por razón de sexo reconocido en el art. 14 CE. </w:t>
      </w:r>
    </w:p>
    <w:p w:rsidR="0025129F" w:rsidRDefault="0025129F" w:rsidP="0025129F">
      <w:pPr>
        <w:pStyle w:val="TextoNormal"/>
      </w:pPr>
      <w:r>
        <w:t xml:space="preserve">Alega la recurrente que, aunque las Sentencias recurridas consideran insuficiente el indicio de despido objetivo tras situación de maternidad y con posterior readmisión cuando intervienen los sindicatos, éste no puede quedar neutralizado por el hecho de que la empresa no conociera la situación de embarazo, sino por una prueba empresarial sobre la existencia de una causa real suficiente y seria de extinción que acredite que el despido es ajeno a un motivo discriminatorio. Aduce en su favor las SSTC 38/1986, 166/1988, 104/1987 y 21/1992, al entender que no se ha llevado a cabo una correcta distribución de la carga de la prueba por parte del órgano judicial cuando le era exigible para obtener una convicción de que el despido era absolutamente extraño a la utilización del mecanismo disciplinario, de modo que, aun puesta entre paréntesis la conducta discriminatoria, el despido hubiera tenido lugar verosímilmente, en todo caso, por existir causas reales suficientes y serias. Lo que no ocurre en las resoluciones impugnadas, donde no se acredita ningún tipo de causa real acreditativa del despido y se llega a la conclusión de inexistencia de móvil discriminatorio, no en virtud de una correcta interpretación constitucional sobre la distribución de la carga de la prueba, sino en virtud de que la confesión de la demandante al manifestar su silencio en publicar su embarazo por miedo al despido destruye la suficiencia de indicios y, por lo tanto, la empresa queda exonerada de aportar la prueba procesal descrita que excluya el propósito discriminatorio. </w:t>
      </w:r>
    </w:p>
    <w:p w:rsidR="0025129F" w:rsidRDefault="0025129F" w:rsidP="0025129F">
      <w:pPr>
        <w:pStyle w:val="TextoNormal"/>
      </w:pPr>
      <w:r>
        <w:t xml:space="preserve">Asimismo la recurrente aduce que se vulnera el art. 14 CE porque las resoluciones judiciales impugnadas no protegen la situación de embarazo y maternidad propias del sexo femenino. En particular alega la exigencia de una discriminación positiva favorable a las </w:t>
      </w:r>
      <w:r>
        <w:lastRenderedPageBreak/>
        <w:t xml:space="preserve">mujeres en materia de despido y que, según la recurrente, se desprende de las Directivas comunitarias 76/207 y 92/85, que prohíben el despido durante el periodo comprendido entre el inicio del embarazo hasta el término del permiso de maternidad, salvo en casos excepcionales no inherentes al embarazo. Aduce la Sentencia del Tribunal de Justicia de las Comunidades Europeas dictada en el asunto 177/1988, por la que entiende que un despido por embarazo difícilmente puede ser justificado objetivamente por el empresario. </w:t>
      </w:r>
    </w:p>
    <w:p w:rsidR="0025129F" w:rsidRDefault="0025129F" w:rsidP="0025129F">
      <w:pPr>
        <w:pStyle w:val="TextoNormal"/>
      </w:pPr>
      <w:r>
        <w:t>Concluye la recurrente solicitando que se otorgue el amparo y se anulen las resoluciones impugnadas reponiéndola a la situación que tenía con anterioridad al despido discriminatorio.</w:t>
      </w:r>
    </w:p>
    <w:p w:rsidR="0025129F" w:rsidRDefault="0025129F" w:rsidP="0025129F">
      <w:pPr>
        <w:pStyle w:val="TextoNormal"/>
      </w:pPr>
    </w:p>
    <w:p w:rsidR="0025129F" w:rsidRDefault="0025129F" w:rsidP="0025129F">
      <w:pPr>
        <w:pStyle w:val="TextoNormal"/>
      </w:pPr>
      <w:r w:rsidRPr="0025129F">
        <w:rPr>
          <w:rStyle w:val="NumeroAFNegritaCaracter"/>
        </w:rPr>
        <w:t>4</w:t>
      </w:r>
      <w:r>
        <w:t>. El 19 de diciembre de 1997 la Sección Cuarta del Tribunal Constitucional dictó providencia por la que acordó admitir a trámite la demanda presentada y, en aplicación de lo dispuesto en el art. 51 LOTC, dirigir atenta comunicación al Juzgado de lo Social núm. 3 de Almería y a la Sala de lo Social del Tribunal Superior de Justicia de Andalucía con sede en Granada a fin de que, en el plazo de diez días, remitieran testimonio de los autos núm. 531/96 y del recurso de suplicación núm. 2036/96, respectivamente. Al propio tiempo se interesó que se emplazara a quienes hubiesen sido parte en el procedimiento, a excepción de la parte recurrente en amparo, para que pudieran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El 8 de enero de 1998 compareció ante este Tribunal don Ignacio Aguilar Fernández, Procurador de los Tribunales y de la empresa Fels-Werke, S.A., asistida por el Letrado don Juan Miguel Milán Criado, solicitando que se le tuviera personado como parte recurrida.</w:t>
      </w:r>
    </w:p>
    <w:p w:rsidR="0025129F" w:rsidRDefault="0025129F" w:rsidP="0025129F">
      <w:pPr>
        <w:pStyle w:val="TextoNormal"/>
      </w:pPr>
    </w:p>
    <w:p w:rsidR="0025129F" w:rsidRDefault="0025129F" w:rsidP="0025129F">
      <w:pPr>
        <w:pStyle w:val="TextoNormal"/>
      </w:pPr>
      <w:r w:rsidRPr="0025129F">
        <w:rPr>
          <w:rStyle w:val="NumeroAFNegritaCaracter"/>
        </w:rPr>
        <w:t>6</w:t>
      </w:r>
      <w:r>
        <w:t>. Por diligencia de ordenación de 9 de febrero de 1998 la Sala Segunda del Tribunal Constitucional tuvo por personado y parte al Procurador de los Tribunales don Ignacio Aguilar Fernández, en nombre y representación de Fels Werke, S.A., y, no habiéndose recibido el testimonio del recurso de suplicación núm. 2036, se acordó igualmente dirigir nueva atenta comunicación a la Sala de lo Social del Tribunal Superior de Justicia de Andalucía, con sede en Granada, a fin de que se remitiera a esta Sala a la mayor brevedad.</w:t>
      </w:r>
    </w:p>
    <w:p w:rsidR="0025129F" w:rsidRDefault="0025129F" w:rsidP="0025129F">
      <w:pPr>
        <w:pStyle w:val="TextoNormal"/>
      </w:pPr>
    </w:p>
    <w:p w:rsidR="0025129F" w:rsidRDefault="0025129F" w:rsidP="0025129F">
      <w:pPr>
        <w:pStyle w:val="TextoNormal"/>
      </w:pPr>
      <w:r w:rsidRPr="0025129F">
        <w:rPr>
          <w:rStyle w:val="NumeroAFNegritaCaracter"/>
        </w:rPr>
        <w:t>7</w:t>
      </w:r>
      <w:r>
        <w:t>. El 23 de marzo de 1998 la Sección Cuarta de este Tribunal, en cumplimiento del art. 52.1 LOTC, acordó dar vista de las actuaciones recibidas a todas las partes personadas y al Ministerio Fiscal por plazo común de veinte días, a fin de que pudieran presentar las alegaciones que, en su caso, estimasen pertinentes.</w:t>
      </w:r>
    </w:p>
    <w:p w:rsidR="0025129F" w:rsidRDefault="0025129F" w:rsidP="0025129F">
      <w:pPr>
        <w:pStyle w:val="TextoNormal"/>
      </w:pPr>
    </w:p>
    <w:p w:rsidR="0025129F" w:rsidRDefault="0025129F" w:rsidP="0025129F">
      <w:pPr>
        <w:pStyle w:val="TextoNormal"/>
      </w:pPr>
      <w:r w:rsidRPr="0025129F">
        <w:rPr>
          <w:rStyle w:val="NumeroAFNegritaCaracter"/>
        </w:rPr>
        <w:t>8</w:t>
      </w:r>
      <w:r>
        <w:t>. El 22 de abril de 1998 doña Isabel Cañedo Vega, Procuradora de los Tribunales y de doña Ana Hernández Belmonte, asistida del Letrado don Enrique Lillo, se ratificó en su demanda de amparo y dio por reproducidas todas las alegaciones y fundamentos de derecho.</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Por escrito registrado el 21 de abril de 1998, don Ignacio Aguilar Fernández, Procurador de los Tribunales, presentó alegaciones en este Tribunal en representación de la compañía Fels Werke, S.A., y asistida del Letrado don Juan Miguel Milán Criado, oponiéndose al otorgamiento del amparo solicitado por el recurrente. En su escrito aduce que </w:t>
      </w:r>
      <w:r>
        <w:lastRenderedPageBreak/>
        <w:t>resulta imprescindible que quien discrimina conozca las circunstancias personales que conducen a tratar de diferente manera a un individuo por razón de su sexo, ya que, en caso contrario, no puede existir acción de discriminar, y que el único indicio que hubiera llevado a la inversión de la carga de la prueba era el conocimiento del embarazo por la empresa, por lo que, al no constar, no había lugar a demostrar que el móvil era totalmente ajeno a una vulneración de un derecho fundamental. Alega que el art. 4.1 de la Recomendación núm. 95 de la Organización Internacional del Trabajo señala que la protección del empleo de la mujer embarazada debe contarse a partir del día en que el empleador hay sido notificado por medio de un certificado médico de dicho embarazo. Exigencia de comunicación que se contiene igualmente en las Directivas comunitarias al respecto. Finaliza el escrito señalando que no es de aplicación la doctrina sobre la discriminación positiva, pues no existe norma alguna que establezca el derecho de las mujeres embarazadas a permanecer en el empleo aunque concurran causas objetivas de extinción de su contrato.</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Ministerio Fiscal, en escrito registrado el 23 de abril de 1998, interesa que se desestime el amparo solicitado. </w:t>
      </w:r>
    </w:p>
    <w:p w:rsidR="0025129F" w:rsidRDefault="0025129F" w:rsidP="0025129F">
      <w:pPr>
        <w:pStyle w:val="TextoNormal"/>
      </w:pPr>
      <w:r>
        <w:t xml:space="preserve">Entiende que es tan sólo uno el derecho que se estima vulnerado, que consiste en el derecho de la demandante de amparo de no ser discriminada por razón de sexo, concretando su invocada vulneración en la existencia de una situación de despido acordada por la empresa para la que prestaba servicio motivada por el embarazo de aquélla, fundamentando toda su argumentación en la constatación de una previa decisión de despido en un momento anterior, en el que también se había quedado encinta, aunque finalmente fue en aquella ocasión admitida como consecuencia de la intervención de las centrales sindicales. Sobre esta base comienza analizando el segundo motivo esgrimido en la demanda de amparo, si es posible apreciar la existencia de una situación discriminatoria por razón de sexo de la trabajadora encinta por no haber tomado en consideración el Derecho comunitario sobre la materia, y examina si ante una situación de hecho de embarazo acreditado por la trabajadora el órgano jurisdiccional competente debiera haber declarado nulo el despido con independencia de que la empresa hubiera o no tenido conocimiento de dicha situación, pues la empresa no ha probado la causa aducida para acordar dicho despido y a esa conclusión debieron llegar los órganos judiciales porque así se lo imponía el Derecho comunitario. A este respecto recuerda el Ministerio Fiscal que existe una reiterada doctrina constitucional señalando que al Tribunal Constitucional no le corresponde controlar la adecuación de la actividad de los poderes públicos nacionales al Derecho comunitario, pues dicho control corresponde a los órganos de la jurisdicción, en cuanto aplicadores que son del mismo, y, en su caso, también al propio Tribunal de Justicia de las Comunidades Europeas en cuanto órgano jurisdiccional garantizador de su observancia por todos los Estados miembros a través de la cuestión prejudicial regulada en el art. 177 Tratado constitutivo (SSTC 28/1992, 64/1991, 180/1983 y 372/93). Se trata, así pues, de una cuestión de legalidad ordinaria que queda extramuros del ámbito competencial del Tribunal Constitucional y que, además, al haberse planteado ex novo en la demanda de amparo ignora el carácter subsidiario del recurso de amparo e impide que sea atendida por este Tribunal. </w:t>
      </w:r>
    </w:p>
    <w:p w:rsidR="0025129F" w:rsidRDefault="0025129F" w:rsidP="0025129F">
      <w:pPr>
        <w:pStyle w:val="TextoNormal"/>
      </w:pPr>
      <w:r>
        <w:t xml:space="preserve">Ya en relación con la discriminación por razón de sexo alegada en la demanda, el Ministerio Fiscal recuerda la doctrina constitucional por la que, dentro de la misma, se comprenden los tratamientos peyorativos que se fundan, no sólo en la pura y simple constatación del sexo de la víctima, sino en la concurrencia de razones y circunstancias que tengan con el sexo de la persona una conexión directa e inequívoca, como ocurre con el embarazo que, por razones obvias, incide de manera exclusiva sobre las mujeres. Asimismo recuerda </w:t>
      </w:r>
      <w:r>
        <w:lastRenderedPageBreak/>
        <w:t>la doctrina constitucional sobre la distribución de la carga de la prueba cuando se alega que un despido obedece en el fondo a una causa atentatoria de un derecho fundamental. Sobre estas bases examina el supuesto de autos en el que el Juzgado de lo Social reconoce que existió un indicio racional de trato discriminatorio al haber procedido al despido de la trabajadora tras su reintegración a la empresa después de un permiso por maternidad bajo la apariencia de un despido objetivo si bien, en este caso, la empresa tenía conocimiento previo del embarazo y del permiso maternal de la trabajadora a la que al final readmitió en un puesto distinto creado especialmente para ella. Precisa, no obstante, que en el segundo de los despidos, que es el relevante a los efectos del amparo, el hecho de que la empresa adoptara una nueva decisión de despido por causas objetivas apenas transcurrido un año desde el reingreso de la trabajadora, y que no tuviera conocimiento de la situación de embarazo de la trabajadora resultan datos relevantes que ponen de manifiesto que este segundo despido no puede equipararse al primero, pues el dato objetivo del embarazo no podía ser tenido en cuenta por los órganos jurisdiccionales a la hora de verificar si el indicio discriminatorio aportado había tomado entidad suficiente como para generar una presunción o sospecha de que la empresa había adoptado una decisión discriminatoria. Pese a esta realidad el Ministerio Fiscal se plantea, no obstante, si la segunda decisión de despido perseguía en definitiva el deseo de la empresa de extinguir toda relación laboral y este deseo permanecía inalterable. Desde esta perspectiva entiende que, aunque la empresa no pudo acreditar los motivos señalados en la carta de despido, también lo es que no existe ningún dato o hecho en las actuaciones que permita sostener que la intención de la empresa de despedir a la trabajadora se había apoyado exclusivamente en dicha situación de embarazo. Además alega que no tendría sentido lógico que, si el motivo de los despidos era el embarazo, tras el primer despido hubiera reintegrado a la trabajadora creando un puesto específico, y, posteriormente, cuando su actividad no afectaba a la productividad empresarial, adoptara la misma decisión apoyada en semejante causa discriminatoria cuando ahora ni siquiera tenía conocimiento de que se hubiera producido. Finalmente resalta que las resoluciones judiciales han realizado una ponderación adecuada de los elementos fácticos que concurrían en el supuesto de hecho de acuerdo con la doctrina de este Tribunal y han aplicado razonablemente la declaración del despido como improcedente.</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21 de febrero 2002, se acordó para deliberación y votación de esta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demandante de amparo imputa a las decisiones impugnadas que declararon su despido improcedente la vulneración del principio de igualdad y no discriminación por razón de sexo reconocido en el art. 14 CE así como del principio de inversión de la carga de la prueba a la que debió dar lugar la alegada discriminación.</w:t>
      </w:r>
    </w:p>
    <w:p w:rsidR="0025129F" w:rsidRDefault="0025129F" w:rsidP="0025129F">
      <w:pPr>
        <w:pStyle w:val="TextoNormal"/>
      </w:pPr>
      <w:r>
        <w:t>En síntesis aduce que las resoluciones judiciales impugnadas, pese a que reconocen expresamente la existencia de indicios de discriminación por razón de sexo, consideran insuficiente el despido objetivo del que fue objeto la recurrente tras disfrutar un permiso de maternidad (y cuya readmisión se produjo sólo tras una dura presión de los sindicatos), por entender que dicho indicio se neutraliza por el desconocimiento del estado de gestación por parte de la empresa cuando realiza el segundo despido, en vez de comprobar si la empresa se basaba en una causa real y suficiente que acreditara que el móvil de la extin</w:t>
      </w:r>
      <w:r>
        <w:lastRenderedPageBreak/>
        <w:t>ción no era discriminatorio, solución ésta a la que obligaban el Derecho interno y el Derecho comunitario.</w:t>
      </w:r>
    </w:p>
    <w:p w:rsidR="0025129F" w:rsidRDefault="0025129F" w:rsidP="0025129F">
      <w:pPr>
        <w:pStyle w:val="TextoNormal"/>
      </w:pPr>
    </w:p>
    <w:p w:rsidR="0025129F" w:rsidRDefault="0025129F" w:rsidP="0025129F">
      <w:pPr>
        <w:pStyle w:val="TextoNormal"/>
      </w:pPr>
      <w:r w:rsidRPr="0025129F">
        <w:rPr>
          <w:rStyle w:val="NumeroAFNegritaCaracter"/>
        </w:rPr>
        <w:t>2</w:t>
      </w:r>
      <w:r>
        <w:t>. Para resolver la cuestión debe, en primer lugar, recordarse que este Tribunal ha declarado que no nos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las Comunidades Europeas a través del recurso por incumplimiento (antiguo art. 170 del Tratado de la Comunidad Europea, en la actualidad art.  227 del Tratado; SSTC 28/1991, de 14 de febrero, FJ 7; 64/1991, de 22 de marzo, FJ 4; 120/1998, de 17 de julio, FJ 4).</w:t>
      </w:r>
    </w:p>
    <w:p w:rsidR="0025129F" w:rsidRDefault="0025129F" w:rsidP="0025129F">
      <w:pPr>
        <w:pStyle w:val="TextoNormal"/>
      </w:pPr>
      <w:r>
        <w:t>La tarea de garantizar la recta aplicación del Derecho comunitario europeo por los poderes públicos nacionales es, así pues, una cuestión de carácter infraconstitucional, y por ello excluida tanto del ámbito del proceso de amparo como de los demás procesos constitucionales.  Como ya hemos tenido ocasión de señalar, la integración de España en la Comunidad Económica Europea “no significa que por mor del art. 93 se haya dotado a las normas del Derecho comunitario europeo de rango y fuerza constitucionales, ni quiere en modo alguno decir que la eventual infracción de aquellas normas por una disposición española entraña necesariamente a la vez una conculcación del citado art. 93 CE” (STC 28/1991, de 14 de febrero, FJ 4).</w:t>
      </w:r>
    </w:p>
    <w:p w:rsidR="0025129F" w:rsidRDefault="0025129F" w:rsidP="0025129F">
      <w:pPr>
        <w:pStyle w:val="TextoNormal"/>
      </w:pPr>
      <w:r>
        <w:t>El recurso de amparo se ha establecido por el constituyente y configurado por el legislador como un medio procesal para recabar la tutela de las libertades y derechos proclamados en los arts. 14 al 30 CE [arts. 53.2 y 161.1 b) CE, y 41 LOTC], y sólo con la finalidad de restablecer o preservar los mismos (art. 41.3 LOTC). De modo que la única medida de enjuiciamiento aplicable, tanto en este proceso constitucional de amparo como en el proceso preferente y sumario seguido ante los Tribunales ordinarios ex art. 53.2 CE, es la integrada por los preceptos de la Constitución española que reconocen aquellos derechos fundamentales y libertades públicas, cuyo contenido y alcance, no obstante, habrá de interpretarse de conformidad con los tratados y acuerdos internacionales a que hace referencia el art. 10.2 CE.</w:t>
      </w:r>
    </w:p>
    <w:p w:rsidR="0025129F" w:rsidRDefault="0025129F" w:rsidP="0025129F">
      <w:pPr>
        <w:pStyle w:val="TextoNormal"/>
      </w:pPr>
      <w:r>
        <w:t>De este modo, aunque los textos y acuerdos internacionales del art. 10.2 CE constituyen una fuente interpretativa que contribuye a la mejor identificación del contenido de los derechos cuya tutela se pide a este Tribunal Constitucional, la interpretación a que alude el citado art.  10.2 del texto constitucional no los convierte en canon autónomo de validez de las normas y actos de los poderes públicos desde la perspectiva de los derechos fundamentales, es decir, no los convierte en canon autónomo de constitucionalidad (SSTC 64/1991, de 22 de marzo, FJ 4, 372/1993, de 13 de diciembre, FJ 7). Consecuentemente, el único canon admisible para resolver las demandas de amparo es el del precepto constitucional que proclama el derecho o libertad cuya infracción se denuncia, siendo las normas internacionales relativas a las materias sobre las que incide la disposición o el acto recurrido en amparo un elemento más para verificar la consistencia o inconsistencia de aquella infracción.</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segundo lugar debe también recordarse que este Tribunal ha reiterado que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Tal sucede con el embarazo, elemento o factor diferencial que, por razones </w:t>
      </w:r>
      <w:r>
        <w:lastRenderedPageBreak/>
        <w:t>obvias, incide de forma exclusiva sobre las mujeres (STC 173/1994, de 7 de junio, FJ 2). Las decisiones extintivas basadas en el embarazo, al afectar exclusivamente a la mujer, constituyen, por tanto, una discriminación por razón de sexo proscrita por el art. 14 CE.</w:t>
      </w:r>
    </w:p>
    <w:p w:rsidR="0025129F" w:rsidRDefault="0025129F" w:rsidP="0025129F">
      <w:pPr>
        <w:pStyle w:val="TextoNormal"/>
      </w:pPr>
      <w:r>
        <w:t>El examen de la normativa que ex art. 10.2 CE sirve de fuente interpretativa así lo corrobora.  En efecto, prescribe el art. 5 d) del Convenio núm. 158 de la Organización Internacional del Trabajo que el embarazo no constituirá causa justificada para la terminación de la relación de trabajo. De otra parte, según el art. 4.1 de la Recomendación núm. 95, también de la OIT, el período durante el cual será ilegal para el empleador despedir a una mujer debe comenzar a contarse a partir del día en que le haya sido notificado el embarazo por medio de un certificado médico. Y al respecto la Declaración de 1975 sobre la igualdad de oportunidades y de trato para las trabajadoras, insiste en que la mujer encinta estará protegida contra todo despido por razón de su condición durante todo el período de embarazo (art. 8.1).</w:t>
      </w:r>
    </w:p>
    <w:p w:rsidR="0025129F" w:rsidRDefault="0025129F" w:rsidP="0025129F">
      <w:pPr>
        <w:pStyle w:val="TextoNormal"/>
      </w:pPr>
      <w:r>
        <w:t>Aunque fuera de este marco interpretativo, el análisis del Ordenamiento comunitario depara una solución análoga. De los arts. 1.1, 2, apartados 1 y 3, y 5.1 de la Directiva 76/207/CEE se desprende que el despido de una trabajadora por razón de su embarazo constituye una discriminación directa basada en el sexo (STJCE de 8 de noviembre de 1990, asunto Hertz), como también lo es la negativa a contratar a una mujer embarazada (Sentencia de la misma fecha recaída en el asunto Dekker, y cuyo parágrafo 21 declara que la discriminación por embarazo o maternidad es una discriminación directa en la que se excluye la posibilidad de justificar la razonabilidad y proporcionalidad de la medida), y la ruptura del contrato ni siquiera puede justificarse por el hecho de que una prohibición legal, impuesta por causa del embarazo, impida temporalmente a la trabajadora desempeñar un trabajo nocturno (STJCE de 5 de mayo de 1994, asunto Habermann-Beltermann). Posteriormente el art. 10.1 de la Directiva 92/85/CEE estableció la prohibición de despedir a la trabajadora embarazada, que haya comunicado su estado al empresario, durante el período comprendido entre el comienzo del embarazo y el final del permiso de maternidad (espacio temporal sobre el que en su totalidad se extiende la protección: STJCE de 30 de junio de 1998, asunto Brown). Precepto éste que, como ha destacado la STJCE de 14 de julio de 1994 —asunto Webb—, “no ha previsto ninguna excepción a la prohibición de despido de la mujer encinta durante dicho período, salvo en los casos excepcionales no inherentes al estado de la interesada”.</w:t>
      </w:r>
    </w:p>
    <w:p w:rsidR="0025129F" w:rsidRDefault="0025129F" w:rsidP="0025129F">
      <w:pPr>
        <w:pStyle w:val="TextoNormal"/>
      </w:pPr>
      <w:r>
        <w:t>Cuando se alega que un despido encubre en realidad una extinción del nexo contractual lesiva de los derechos fundamentales del trabajador, este Tribunal ha reiterado, desde la STC 38/1981, de 23 de noviembre, que incumbe al empresario probar que tal despido obedece a motivos razonables y ajenos a todo propósito atentatorio a un derecho constitucional (STC 90/1997, de 6 de mayo, FJ 5). Pero para que opere este desplazamiento al empresario del onus probandi no basta simplemente con que el trabajador afirme su carácter discriminatorio (STC 266/1993, de 20 de septiembre, FJ 2), sino que ha de acreditar la existencia de indicios que generen una razonable sospecha, apariencia o presunción en favor de semejante afirmación; es necesario que por parte del actor se aporte una “prueba verosímil” (STC 207/2001, de 22 de octubre, FJ 5) o “principio de prueba” revelador de la existencia de un panorama discriminatorio general o de hechos de los que surja la sospecha vehemente de una discriminación por razón de sexo, sin que sea suficiente la mera afirmación de la discriminación (por todas, STC 308/2000, de 18 de diciembre, FJ 3). A partir de ahí, al empresario corresponde probar que los hechos motivadores de la decisión extintiva constituyen causa legítima de despido y se presentan razonablemente como ajenos a todo móvil atentatorio de los derechos fundamentales. No se trata de situar al de</w:t>
      </w:r>
      <w:r>
        <w:lastRenderedPageBreak/>
        <w:t>mandado ante la prueba diabólica de un hecho negativo, como es la inexistencia de un móvil lesivo de derechos fundamentales (STC 266/1993, de 20 de septiembre, FJ 2), sino de que a éste corresponde probar, sin que le baste el intentarlo (STC 114/1989, de 22 de junio, FJ 4), que su actuación tiene causas reales absolutamente extrañas a la pretendida vulneración de derechos fundamentales, y que las mismas tuvieron entidad suficiente para adoptar la decisión, único medio de destruir la apariencia lesiva creada por los indicios (SSTC 74/1998, de 31 de marzo, FJ 2; 29/2000, de 31 de enero, FJ 3).</w:t>
      </w:r>
    </w:p>
    <w:p w:rsidR="0025129F" w:rsidRDefault="0025129F" w:rsidP="0025129F">
      <w:pPr>
        <w:pStyle w:val="TextoNormal"/>
      </w:pPr>
      <w:r>
        <w:t>En consecuencia, cuando se ventile una vulneración del art. 14 CE, “los órganos de la jurisdicción social han de alcanzar y expresar la convicción, no tanto de que el despido no fue absolutamente extraño a la utilización del mecanismo extintivo, sino más bien la de que la extinción fue enteramente extraña a una conducta discriminatoria por razón de sexo, de modo que pueda estimarse que en todo caso la extinción habría tenido lugar verosímilmente por existir causas suficientes para entender como razonable la decisión empresarial desde la mera perspectiva organizativa o disciplinaria. El órgano judicial debe considerar probado que los hechos imputados al trabajador fueron en verdad los únicos causantes de la extinción en la intención del empleador y calificar tales hechos como ajenos a todo propósito discriminatorio (SSTC 55/1983, 104/1987, 166/1988, 114/1989, 135/1990, 197/1990, 21/1992, 7/1993, 266/1993 y 180/1994)” (STC 136/1996, de 23 de julio, FJ 6).</w:t>
      </w:r>
    </w:p>
    <w:p w:rsidR="0025129F" w:rsidRDefault="0025129F" w:rsidP="0025129F">
      <w:pPr>
        <w:pStyle w:val="TextoNormal"/>
      </w:pPr>
    </w:p>
    <w:p w:rsidR="0025129F" w:rsidRDefault="0025129F" w:rsidP="0025129F">
      <w:pPr>
        <w:pStyle w:val="TextoNormal"/>
      </w:pPr>
      <w:r w:rsidRPr="0025129F">
        <w:rPr>
          <w:rStyle w:val="NumeroAFNegritaCaracter"/>
        </w:rPr>
        <w:t>4</w:t>
      </w:r>
      <w:r>
        <w:t>. En el marco de esta doctrina se ha de decidir si las resoluciones judiciales impugnadas vulneran el principio de discriminación por razón de sexo e interpretar, a la vista de las circunstancias del caso concreto, los indicios que sirven de base al presente enjuiciamiento, y todo ello sin que tal actuación suponga revisión de la valoración de la prueba efectuada por el juzgador, por encontrarse tal valoración atribuida en exclusiva a los órganos judiciales, por no ser competencia de este Tribunal su revisión salvo cuando resulte arbitraria o irrazonable (STC 136/1996, de 23 de julio, FJ 4).</w:t>
      </w:r>
    </w:p>
    <w:p w:rsidR="0025129F" w:rsidRDefault="0025129F" w:rsidP="0025129F">
      <w:pPr>
        <w:pStyle w:val="TextoNormal"/>
      </w:pPr>
      <w:r>
        <w:t>Pues bien, teniendo en cuenta que nuestro enjuiciamiento no puede limitarse a comprobar que el órgano judicial efectuó una interpretación de los derechos en juego que no fue irrazonable ni arbitraria ni manifiestamente errónea, ya que aquí el canon afectado no es el del art. 24 CE, sino el de un derecho fundamental sustantivo (STC 94/1995, de 19 de junio, FJ 4), en el caso enjuiciado cabe decir que las alegaciones de la demandante no resultan convincentes en cuanto a la existencia de indicios de discriminación que prueben la existencia de un fondo o panorama discriminatorio general o, al menos, de hechos de los que surja la sospecha vehemente de una discriminación por razón de embarazo.</w:t>
      </w:r>
    </w:p>
    <w:p w:rsidR="0025129F" w:rsidRDefault="0025129F" w:rsidP="0025129F">
      <w:pPr>
        <w:pStyle w:val="TextoNormal"/>
      </w:pPr>
      <w:r>
        <w:t>Por lo que se refiere a la existencia de un despido anterior tras su reincorporación de la baja maternal y posterior readmisión en un nuevo puesto de trabajo creado ad hoc como consecuencia de la presión sindical, no puede aducirse como indicio del carácter discriminatorio del segundo despido, que es el que ahora se discute. Desde esta perspectiva pudiera interpretarse que, cuando la Sentencia de instancia reconoce que tales circunstancias parecen en principio constitutivas de un “indicio racional de que pudiera existir discriminación en el despido de la actora”, lo hace respecto al primer despido acaecido en el que la empresa tenía conocimiento previo del embarazo de la trabajadora y del permiso maternal de la trabajadora, pero no así respecto del segundo. Este indicio, que de por sí no parece suficiente para entender justificada la prueba de un “panorama indiciario suficiente”, se desvirtúa, tal y como precisan las resoluciones recurridas, cuando lo que se pretende es que el segundo despido, ahora relevante para el amparo, se declare nulo por razón de embarazo pese a que la empresa no conoce tal estado de gestación.</w:t>
      </w:r>
    </w:p>
    <w:p w:rsidR="0025129F" w:rsidRDefault="0025129F" w:rsidP="0025129F">
      <w:pPr>
        <w:pStyle w:val="TextoNormal"/>
      </w:pPr>
      <w:r>
        <w:lastRenderedPageBreak/>
        <w:t>Como resaltan las resoluciones impugnadas, si se afirma que la causa del despido es el embarazo habrá de consignarse la existencia de tal embarazo y el conocimiento o desconocimiento de la empresa demandada, por lo que, constando expresamente en los hechos probados que la empresa demandada no conocía el embarazo, resulta difícil imputar tal vulneración a la decisión extintiva empresarial y entender que la empresa ha basado su decisión en dicha circunstancia.</w:t>
      </w:r>
    </w:p>
    <w:p w:rsidR="0025129F" w:rsidRDefault="0025129F" w:rsidP="0025129F">
      <w:pPr>
        <w:pStyle w:val="TextoNormal"/>
      </w:pPr>
      <w:r>
        <w:t>Por otro lado, por lo que se refiere a la vulneración de la distribución de la carga de la prueba alegada, se ha de recordar que, para que se produzca la inversión pretendida por la recurrente,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 Del conjunto de hechos probados no es posible deducir la existencia del hecho a probar: la existencia de un indicio o principio en el que basar la presunción de vulneración del derecho a la no discriminación por embarazo alegado por la recurrente en el recurso de amparo. El resultado es, pues, que, no habiéndose aportado indicios suficientes de la vulneración constitucional, el órgano judicial no tiene obligación de proceder a la inversión de la carga de la prueba de modo que la empresa demandada venga obligada a probar la inexistencia del propósito lesivo del derecho fundamental.</w:t>
      </w:r>
    </w:p>
    <w:p w:rsidR="0025129F" w:rsidRDefault="0025129F" w:rsidP="0025129F">
      <w:pPr>
        <w:pStyle w:val="TextoNormal"/>
      </w:pPr>
    </w:p>
    <w:p w:rsidR="0025129F" w:rsidRDefault="0025129F" w:rsidP="0025129F">
      <w:pPr>
        <w:pStyle w:val="TextoNormal"/>
      </w:pPr>
      <w:r w:rsidRPr="0025129F">
        <w:rPr>
          <w:rStyle w:val="NumeroAFNegritaCaracter"/>
        </w:rPr>
        <w:t>5</w:t>
      </w:r>
      <w:r>
        <w:t>. Finalmente tampoco el carácter inmotivado del despido objetivo, tal y como demuestra la declaración de su improcedencia al no apreciarse motivo objetivo alguno que justifique la amortización pretendida, resulta relevante en términos constitucionales.</w:t>
      </w:r>
    </w:p>
    <w:p w:rsidR="0025129F" w:rsidRDefault="0025129F" w:rsidP="0025129F">
      <w:pPr>
        <w:pStyle w:val="TextoNormal"/>
      </w:pPr>
      <w:r>
        <w:t>A tal efecto es preciso recordar que este Tribunal, tanto en la STC 21/1992, de 14 de febrero (FJ 5), como en la STC 135/1990, de 19 de julio (FJ 4), ha declarado que el hecho de que “el acto extintivo fuera improcedente no implica que, además, fuera discriminatorio”, es decir, de su improcedencia no se deriva automáticamente la vulneración de derechos fundamentales. Por tanto, cuando, como ocurre en el caso que aquí enjuiciamos, los hechos a tomar en consideración resultan desconectados del derecho fundamental alegado como vulnerado, el que constituyan o no causa legal de justificación del despido debe considerarse irrelevante a efectos constitucionales. La necesidad invocada por la empresa de amortizar el puesto de trabajo por causas organizativas, si bien no justificó el despido desde la perspectiva de la legalidad ordinaria por las circunstancias concurrentes, sí es suficiente para excluir, visto cuanto antecede, que el despido se realizara con vulneración del art. 14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doña Ana Hernández Belmonte.</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5" w:name="SENTENCIA_2002_42"/>
      <w:r>
        <w:lastRenderedPageBreak/>
        <w:t>SENTENCIA 42/2002, de 25 de febrero de 2002</w:t>
      </w:r>
    </w:p>
    <w:bookmarkEnd w:id="45"/>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ECLI:ES:TC:2002:42</w:t>
      </w:r>
    </w:p>
    <w:p w:rsidR="0025129F" w:rsidRDefault="0025129F" w:rsidP="0025129F">
      <w:pPr>
        <w:pStyle w:val="SntesisDescriptiva"/>
      </w:pPr>
    </w:p>
    <w:p w:rsidR="0025129F" w:rsidRDefault="0025129F" w:rsidP="0025129F">
      <w:pPr>
        <w:pStyle w:val="SntesisDescriptiva"/>
      </w:pPr>
      <w:r>
        <w:t>Recurso de amparo 2311/1997. Promovido por el Club de Tir al Vol de Barcelona respecto de los Autos de un Juzgado de lo Social de Barcelona que denegaron la notificación de la Sentencia que había estimado una demanda por despido.</w:t>
      </w:r>
    </w:p>
    <w:p w:rsidR="0025129F" w:rsidRDefault="0025129F" w:rsidP="0025129F">
      <w:pPr>
        <w:pStyle w:val="SntesisDescriptiva"/>
      </w:pPr>
    </w:p>
    <w:p w:rsidR="0025129F" w:rsidRDefault="0025129F" w:rsidP="0025129F">
      <w:pPr>
        <w:pStyle w:val="SntesisAnaltica"/>
      </w:pPr>
      <w:r>
        <w:t>Vulneración del derecho a la tutela judicial sin indefensión: notificación de Sentencia a una persona jurídica a través del cónyuge del trabajador que la demanda.</w:t>
      </w:r>
    </w:p>
    <w:p w:rsidR="0025129F" w:rsidRDefault="0025129F" w:rsidP="0025129F">
      <w:pPr>
        <w:pStyle w:val="SntesisAnaltica"/>
      </w:pPr>
    </w:p>
    <w:p w:rsidR="0025129F" w:rsidRDefault="0025129F" w:rsidP="0025129F">
      <w:pPr>
        <w:pStyle w:val="Extracto"/>
      </w:pPr>
      <w:r>
        <w:t>1.</w:t>
      </w:r>
      <w:r>
        <w:tab/>
        <w:t>Siendo cierto que figura perfectamente identificada en el acuse de recibo de Correos la persona receptora de la notificación de la Sentencia del Juzgado de lo Social, ésta era el cónyuge de la parte demandante y, por lo tanto, podía no haber hecho entrega de las resoluciones, impidiendo interponer recurso de suplicación [FJ 3].</w:t>
      </w:r>
    </w:p>
    <w:p w:rsidR="0025129F" w:rsidRDefault="0025129F" w:rsidP="0025129F">
      <w:pPr>
        <w:pStyle w:val="Extracto"/>
      </w:pPr>
    </w:p>
    <w:p w:rsidR="0025129F" w:rsidRDefault="0025129F" w:rsidP="0025129F">
      <w:pPr>
        <w:pStyle w:val="Extracto"/>
      </w:pPr>
      <w:r>
        <w:t>2.</w:t>
      </w:r>
      <w:r>
        <w:tab/>
        <w:t>Los órganos judiciales no pueden otorgar mecánicamente un valor absoluto al simple contenido formal de la diligencia de notificación, prescindiendo de cualquier enjuiciamiento sobre los motivos alegados por la parte acerca de la no recepción en plazo de la notificación (SSTC 275/1993 y 39/1996) [FJ 2].</w:t>
      </w:r>
    </w:p>
    <w:p w:rsidR="0025129F" w:rsidRDefault="0025129F" w:rsidP="0025129F">
      <w:pPr>
        <w:pStyle w:val="Extracto"/>
      </w:pPr>
    </w:p>
    <w:p w:rsidR="0025129F" w:rsidRDefault="0025129F" w:rsidP="0025129F">
      <w:pPr>
        <w:pStyle w:val="Extracto"/>
      </w:pPr>
      <w:r>
        <w:t>3.</w:t>
      </w:r>
      <w:r>
        <w:tab/>
        <w:t>Las notificaciones realizadas por correo certificado resultan irreprochables desde el punto de vista constitucional, siempre y cuando se efectúen con las garantías suficientes para asegurar su efectividad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2311/97, promovido por el Club de Tir al Vol de Barcelona, representado por el Procurador de los Tribunales don Argimiro Vázquez Guillén y bajo la asistencia del Letrado don David Milá Eche, contra los Autos del Juzgado de lo Social núm. 20 de Barcelona de 27 de febrero y 28 de abril de 1997, dictados en procedi</w:t>
      </w:r>
      <w:r>
        <w:lastRenderedPageBreak/>
        <w:t>miento por despido (núm. 1092/96). Ha intervenido el Ministerio Fiscal. Ha sido Ponente el Magistrado don Eugeni Gay Montalvo,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día 30 de mayo de 1997 el Procurador don Argimiro Vázquez Guillén, en nombre y representación de Club de Tir al Vol de Barcelona, interpuso demanda de amparo constitucional contra las resoluciones judiciales que se hace mérito en el encabezamiento por entender que vulneran el art. 24.1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 amparo tiene su origen en los siguientes hechos: </w:t>
      </w:r>
    </w:p>
    <w:p w:rsidR="0025129F" w:rsidRDefault="0025129F" w:rsidP="0025129F">
      <w:pPr>
        <w:pStyle w:val="TextoNormal"/>
      </w:pPr>
      <w:r>
        <w:t xml:space="preserve">a) Don Cristóbal Cara Fernández venía prestando sus servicios como conserje para la empresa Club de Tir al Vol de Barcelona, dentro de cuyas instalaciones disfrutaba de una vivienda, sita en la carretera de Montjuich, núm.1, planta baja, de Barcelona. Con fecha de 30 de agosto de 1996 le fue comunicada la decisión de la empresa de extinguir su contrato de trabajo conforme al art. 52 c) del Estatuto de los Trabajadores, de 1995 (LET), por la necesidad de amortizar su puesto de trabajo debido al desahucio administrativo practicado por el Ayuntamiento de Barcelona sobre el terreno que ocupaban las instalaciones de la empresa. Disconforme con la extinción de su relación laboral, presentó demanda por despido, que fue estimada por Sentencia del Juzgado de lo Social núm. 20 de Barcelona, de 15 de enero de 1996, que declaró el despido improcedente. </w:t>
      </w:r>
    </w:p>
    <w:p w:rsidR="0025129F" w:rsidRDefault="0025129F" w:rsidP="0025129F">
      <w:pPr>
        <w:pStyle w:val="TextoNormal"/>
      </w:pPr>
      <w:r>
        <w:t xml:space="preserve">b) La anterior resolución judicial no llegó a ponerse en conocimiento de la entidad demandada al serle notificada únicamente al trabajador en la persona de su esposa —doña Carmen Vera Martín—, por correo certificado con acuse de recibo en el domicilio que constaba en la demanda de despido, a saber, el de la carretera de Montjuich núm. 1 de Barcelona, que era donde originariamente estaban las instalaciones del complejo deportivo Club de Tir al Vol y donde únicamente se mantenía la vivienda que, como conserje de la citada entidad, disfrutaba el trabajador. No obstante, la esposa del trabajador recogió tanto la notificación dirigida a su esposo como la correspondiente a la empresa demandada, como así consta en los correspondientes acuses de recibo. </w:t>
      </w:r>
    </w:p>
    <w:p w:rsidR="0025129F" w:rsidRDefault="0025129F" w:rsidP="0025129F">
      <w:pPr>
        <w:pStyle w:val="TextoNormal"/>
      </w:pPr>
      <w:r>
        <w:t xml:space="preserve">c) Habiéndose solicitado por el mencionado trabajador la ejecución de la anterior resolución judicial, el Juzgado dictó providencia el 30 de enero de 1997 citando a ambas partes a comparecencia para el día 26 de febrero siguiente a los efectos prevenidos en el art. 278 LPL (valoración de la no readmisión o readmisión irregular del trabajador en su puesto de trabajo). Nuevamente esta providencia se entregó con fecha de 4 de febrero de 1997 únicamente en el domicilio del trabajador —siendo firmado también el acuse de recibo de las comunicaciones dirigidas tanto a la empresa como al trabajador por la esposa de éste. </w:t>
      </w:r>
    </w:p>
    <w:p w:rsidR="0025129F" w:rsidRDefault="0025129F" w:rsidP="0025129F">
      <w:pPr>
        <w:pStyle w:val="TextoNormal"/>
      </w:pPr>
      <w:r>
        <w:t xml:space="preserve">d) Con fecha del día 10 de febrero siguiente el Juzgado dirigió nueva comunicación a la empresa demandada de la providencia del 30 de enero anterior, pero esta vez al domicilio que su representante legal había designado a efectos de notificaciones y que, como tal, constaba en el acta del juicio oral (Paseo de Gracia, 97, ático 10, de Barcelona). </w:t>
      </w:r>
    </w:p>
    <w:p w:rsidR="0025129F" w:rsidRDefault="0025129F" w:rsidP="0025129F">
      <w:pPr>
        <w:pStyle w:val="TextoNormal"/>
      </w:pPr>
      <w:r>
        <w:t xml:space="preserve">e) En la comparecencia, celebrada en fecha de 26 de febrero de 1997, la empresa demandada solicitó la nulidad de actuaciones al no haber tenido conocimiento de la Sentencia que se pretendía ejecutar por no haberle sido notificada en ningún momento. La petición fue desestimada por el Juzgado mediante Auto de 27 de febrero de 1997 al negar la comisión de infracción procesal alguna en el acto de comunicación, pues, según argumenta, constaba debidamente identificada la persona que había firmado su acuse de recibo. </w:t>
      </w:r>
      <w:r>
        <w:lastRenderedPageBreak/>
        <w:t xml:space="preserve">Además la providencia de 30 de enero de 1997 —en virtud de la cual se proveyó la ejecución y se citó a las partes a comparecencia— devino firme y consentida al no haberse recurrido en reposición por la empresa demandada. </w:t>
      </w:r>
    </w:p>
    <w:p w:rsidR="0025129F" w:rsidRDefault="0025129F" w:rsidP="0025129F">
      <w:pPr>
        <w:pStyle w:val="TextoNormal"/>
      </w:pPr>
      <w:r>
        <w:t xml:space="preserve">f) Antes de que se le hubiese notificado el anterior Auto denegatorio de la petición de nulidad de actuaciones, con fecha de 28 de febrero de 1997 la empresa demandada —y hoy recurrente en amparo— presentó escrito en el Juzgado reiterando su petición de nulidad de actuaciones y solicitando la notificación de la Sentencia recaída en el procedimiento —y que sólo había sido remitida al domicilio del trabajador— en el domicilio de su representante legal. En contestación a este escrito, por providencia de 28 de febrero de 1997 se tuvo por designado el domicilio del representante a efectos de notificaciones y se declaró no haber lugar a lo solicitado, remitiéndose a lo ya acordado. </w:t>
      </w:r>
    </w:p>
    <w:p w:rsidR="0025129F" w:rsidRDefault="0025129F" w:rsidP="0025129F">
      <w:pPr>
        <w:pStyle w:val="TextoNormal"/>
      </w:pPr>
      <w:r>
        <w:t xml:space="preserve">g) Habiendo resultado infructuosa la notificación a las partes, nuevamente en el domicilio del trabajador, del Auto de 27 de febrero de 1997 —por el que desestimó la nulidad de actuaciones solicitada en el acto de comparecencia— se acordó, por providencia de 18 de marzo de 1997, que se practicara de nuevo, pero esta vez, y por lo que respecta a la empresa demandada, en el domicilio de su representante legal, lo que se llevaría a efecto con fecha de 20 de marzo siguiente. </w:t>
      </w:r>
    </w:p>
    <w:p w:rsidR="0025129F" w:rsidRDefault="0025129F" w:rsidP="0025129F">
      <w:pPr>
        <w:pStyle w:val="TextoNormal"/>
      </w:pPr>
      <w:r>
        <w:t>h) Contra el anterior Auto la parte demandada interpuso, con fecha de 30 de abril de 1997, recurso de reposición, que fue desestimado por Auto de 28 de abril de 1997, que confirmó el Auto impugnado en todos sus extremos.</w:t>
      </w:r>
    </w:p>
    <w:p w:rsidR="0025129F" w:rsidRDefault="0025129F" w:rsidP="0025129F">
      <w:pPr>
        <w:pStyle w:val="TextoNormal"/>
      </w:pPr>
    </w:p>
    <w:p w:rsidR="0025129F" w:rsidRDefault="0025129F" w:rsidP="0025129F">
      <w:pPr>
        <w:pStyle w:val="TextoNormal"/>
      </w:pPr>
      <w:r w:rsidRPr="0025129F">
        <w:rPr>
          <w:rStyle w:val="NumeroAFNegritaCaracter"/>
        </w:rPr>
        <w:t>3</w:t>
      </w:r>
      <w:r>
        <w:t>. Basándose en ese itinerario procesal la parte recurrente alega la vulneración del derecho a la tutela judicial efectiva (art. 24.1 CE) por estimar que el órgano judicial la ha colocado en una situación de indefensión, en la medida en que no llegó a su conocimiento el contenido de la Sentencia recaída en el procedimiento por despido (autos núm. 1092/96), en el que había sido parte demandada, toda vez que la copia de la resolución había sido recibida por quien ejercitaba la posición procesal de contraparte y no se la hizo llegar, impidiéndole, de este modo, su impugnación.</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Cuarta, mediante providencia de 20 de octubre de 1997, admitió a trámite la demanda y, en aplicación del art. 51 LOTC, acordó dirigir comunicación al Juzgado de lo Social núm. 20 de Barcelona a fin de que, en el plazo de diez días, remitiese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8 de enero de 1998 la Sección Cuarta acordó dar vista de las actuaciones recibidas a la parte recurrente y al Ministerio Fiscal, por plazo común de veinte días para que pudiesen presentar alegaciones de conformidad con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t>6</w:t>
      </w:r>
      <w:r>
        <w:t>. Por escrito de 9 de febrero de 1998 la recurrente en amparo presentó su escrito de alegaciones ratificándose en las efectuadas en su escrito de demanda.</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Con fecha de 10 de febrero de 1998 el Ministerio Fiscal presentó su escrito de alegaciones. En primer término plantea la posible extemporaneidad de la demanda de amparo </w:t>
      </w:r>
      <w:r>
        <w:lastRenderedPageBreak/>
        <w:t xml:space="preserve">ante la posibilidad de considerar que las sucesivas resoluciones y actos procesales posteriores a la providencia de 30 de enero de 1997 —por la que se citaba a las partes a la comparecencia prevista en el art. 278 LPL— resultaban notoriamente improcedentes a los efectos del agotamiento de la vía judicial previa al amparo, al no haberla recurrido y haber esperado hasta el acto de la comparecencia del día 26 de febrero de 1997 para alegar la falta de notificación de la Sentencia a pesar de ser éste un trámite concebido legalmente para otras finalidades. </w:t>
      </w:r>
    </w:p>
    <w:p w:rsidR="0025129F" w:rsidRDefault="0025129F" w:rsidP="0025129F">
      <w:pPr>
        <w:pStyle w:val="TextoNormal"/>
      </w:pPr>
      <w:r>
        <w:t xml:space="preserve">A este respecto afirma el Fiscal que, puesto que conforme a la doctrina constitucional cualquier momento procesal ha de reputarse procedente para invocar la vulneración de un derecho fundamental, aunque la citada comparecencia está prevista legalmente para otros fines procesales resultaba un cauce idóneo para alegar la indefensión padecida por la falta de notificación de la Sentencia. Y, en este sentido, sostiene que, desde el momento en el que el propio Juzgado así lo entendió, entrando a resolver sobre la nulidad de actuaciones planteada en tal acto, el cauce procesal dejó de ser notoriamente improcedente, y, en consecuencia, se debía dar por cumplido en el presente caso el requisito de agotamiento de la vía previa. </w:t>
      </w:r>
    </w:p>
    <w:p w:rsidR="0025129F" w:rsidRDefault="0025129F" w:rsidP="0025129F">
      <w:pPr>
        <w:pStyle w:val="TextoNormal"/>
      </w:pPr>
      <w:r>
        <w:t>Posteriormente el Fiscal pasa a analizar la posible vulneración del derecho fundamental invocado, interesando la estimación del recurso de amparo al considerar que la actuación judicial no garantizó plenamente la efectividad del derecho a la tutela judicial efectiva del recurrente al no haber realizado todo lo posible para que la Sentencia le fuera efectivamente notificada. Ciertamente considera que el Juzgado presumió que la notificación realizada a través de tercera persona —esposa del demandante— había llegado al conocimiento de la parte interesada —entidad demandada—, sin reparar en la existencia de indicios fundados de la falta de recepción de la comunicación. Además sostiene que el órgano judicial generó una grave situación de riesgo de que la resolución no llegase a su último destinatario al no haberla remitido al domicilio del representante legal de la parte demandada, que era el legalmente procedente (art. 53.3 LPL).</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21 de febrero de 2002, se señaló para la deliberación y votación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Tal y como ha quedado expuesto en los antecedentes, a través del presente recurso de amparo se impugnan los Autos del Juzgado de lo Social núm. 20 de Barcelona, de 27 de febrero y 28 de abril de 1997 (recaídos en procedimiento sobre despido núm.1092/96), que denegaron a la entidad recurrente en amparo —Club de Tir al Vol de Barcelona— la nulidad de actuaciones instada por la falta de notificación de la Sentencia dictada por el mencionado Juzgado, de fecha de 15 de enero de 1996, por la que se había estimado la demanda por despido presentada en su contra por uno de sus trabajadores —don Cristóbal Cara Fernández— que prestaba sus servicios como conserje de esa entidad. En la demanda de amparo se alega por la recurrente la vulneración de su derecho a la tutela judicial efectiva (art. 24.1 CE) al no haber tenido conocimiento de la Sentencia dictada por el Juzgado de lo Social, puesto que fue notificada en el domicilio del trabajador y no se le dio traslado de la misma, impidiéndole así recurrirla.</w:t>
      </w:r>
    </w:p>
    <w:p w:rsidR="0025129F" w:rsidRDefault="0025129F" w:rsidP="0025129F">
      <w:pPr>
        <w:pStyle w:val="TextoNormal"/>
      </w:pPr>
      <w:r>
        <w:t xml:space="preserve">El Ministerio Fiscal interesa el otorgamiento del amparo, al entender que el órgano judicial no garantizó plenamente la efectividad del derecho a la tutela judicial efectiva del </w:t>
      </w:r>
      <w:r>
        <w:lastRenderedPageBreak/>
        <w:t>recurrente al no haber realizado todo lo posible para que la Sentencia le fuera efectivamente notificada en el domicilio que legalmente correspondía, según lo dispuesto en el art. 53.3 LPL, a saber, el de su representante legal.</w:t>
      </w:r>
    </w:p>
    <w:p w:rsidR="0025129F" w:rsidRDefault="0025129F" w:rsidP="0025129F">
      <w:pPr>
        <w:pStyle w:val="TextoNormal"/>
      </w:pPr>
    </w:p>
    <w:p w:rsidR="0025129F" w:rsidRDefault="0025129F" w:rsidP="0025129F">
      <w:pPr>
        <w:pStyle w:val="TextoNormal"/>
      </w:pPr>
      <w:r w:rsidRPr="0025129F">
        <w:rPr>
          <w:rStyle w:val="NumeroAFNegritaCaracter"/>
        </w:rPr>
        <w:t>2</w:t>
      </w:r>
      <w:r>
        <w:t>. Como ha quedado dicho, la parte actora invoca la lesión del derecho a la tutela judicial efectiva (art. 24.1 CE) por la indefensión que le ha generado el desconocimiento del contenido de la Sentencia del Juzgado de lo Social núm. 20 de Barcelona, de 15 de enero de 1996, al haberle sido notificada en el domicilio de la contraparte y no haberle ésta dado traslado de la misma, impidiéndole interponer contra ella recurso de suplicación.</w:t>
      </w:r>
    </w:p>
    <w:p w:rsidR="0025129F" w:rsidRDefault="0025129F" w:rsidP="0025129F">
      <w:pPr>
        <w:pStyle w:val="TextoNormal"/>
      </w:pPr>
      <w:r>
        <w:t>A efectos de resolver la cuestión suscitada en este recurso de amparo conviene recordar la doctrina de este Tribunal, según la cual, para entablar y proseguir los procesos judiciales con la plena observancia del derecho a la tutela judicial efectiva sin indefensión (art. 24.1 CE), es exigible una correcta y escrupulosa constitución de la relación jurídico-procesal y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26/1999, de 8 de marzo, FJ 6; 65/2000, de 13 de marzo, FJ 3; 145/2000, de 29 de mayo, FJ 2; y 268/2000, de 13 de noviembre, FJ 4).</w:t>
      </w:r>
    </w:p>
    <w:p w:rsidR="0025129F" w:rsidRDefault="0025129F" w:rsidP="0025129F">
      <w:pPr>
        <w:pStyle w:val="TextoNormal"/>
      </w:pPr>
      <w:r>
        <w:t>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(entre otras, STC 64/1996, de 16 de abril, FJ 2).</w:t>
      </w:r>
    </w:p>
    <w:p w:rsidR="0025129F" w:rsidRDefault="0025129F" w:rsidP="0025129F">
      <w:pPr>
        <w:pStyle w:val="TextoNormal"/>
      </w:pPr>
      <w:r>
        <w:t>Por otro lado no cabe duda de que las notificaciones realizadas por correo certificado — autorizadas expresamente por los arts. 261 LEC 1881, 152 y 160 LEC 2000, 271 LOPJ, y 56 LPL— resultan irreprochables desde el punto de vista constitucional siempre y cuando se efectúen con las garantías suficientes para asegurar su efectividad, siendo preciso, para ello, que los órganos judiciales no otorguen mecánicamente un valor absoluto al simple contenido formal de la diligencia de notificación, prescindiendo de cualquier enjuiciamiento sobre los motivos alegados por la parte acerca de la no recepción en plazo de la notificación. En efecto, los órganos judiciales no pueden presumir, sin lesionar el derecho a la tutela judicial efectiva (art. 24.1 CE), que las notificaciones realizadas a través de terceras personas hayan llegado al conocimiento de la parte interesada cuando ésta cuestiona su entrega misma, pues, a la vista de las circunstancias del caso, de las alegaciones formuladas y de la prueba que pueda ser aportada, se encuentran obligados a emitir un pronunciamiento expreso sobre la posibilidad de que haya existido o no una falta de entrega que haya impedido al interesado utilizar los medios de defensa para cuyo ejercicio efectivo establece el Ordenamiento un determinado plazo (por todas, SSTC 275/1993, de 20 de septiembre, FJ 4; y 39/1996, de 11 de marzo, FJ 2).</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Aplicando la anterior doctrina al caso de autos se puede comprobar que el Juzgado de lo Social incurrió —como dice el Ministerio Fiscal— en una falta de diligencia al realizar una valoración absolutamente mecánica del acto formal de notificación, al entender que se había efectuado de forma totalmente correcta, por constar debidamente identificada la persona receptora de la notificación. Ahora bien, no reparó el órgano judicial en que, </w:t>
      </w:r>
      <w:r>
        <w:lastRenderedPageBreak/>
        <w:t>siendo cierto que figura perfectamente identificada en el acuse de recibo de Correos la persona receptora de la misma, ésta era el cónyuge de la parte demandante y, por lo tanto, podía no haberle hecho entrega de las resoluciones a la entidad demandada.</w:t>
      </w:r>
    </w:p>
    <w:p w:rsidR="0025129F" w:rsidRDefault="0025129F" w:rsidP="0025129F">
      <w:pPr>
        <w:pStyle w:val="TextoNormal"/>
      </w:pPr>
      <w:r>
        <w:t>Asimismo el Juzgado de lo Social, conocedor, como era, de que el domicilio de la empresa, designado a estos efectos, era el de Paseo de Gracia, 97, ático 10 de Barcelona, debía haber efectuado en éste la notificación de la Sentencia, que fue precisamente donde finalmente se le notificó la providencia de 30 de enero de 1997, tras persistentes intentos de continuar comunicando las resoluciones recaídas en el procedimiento en el domicilio de quien entonces era el demandante (el trabajador).  Consecuentemente el Juzgado no adoptó las medidas necesarias para asegurar el debido conocimiento por el recurrente en amparo de la resolución que le había sido adversa, a los efectos de su eventual impugnación, frustrando la expectativa razonable de esa parte y su confianza legítima en una actuación judicial ajustada a Derecho.</w:t>
      </w:r>
    </w:p>
    <w:p w:rsidR="0025129F" w:rsidRDefault="0025129F" w:rsidP="0025129F">
      <w:pPr>
        <w:pStyle w:val="TextoNormal"/>
      </w:pPr>
      <w:r>
        <w:t>Finalmente, es preciso señalar que la situación de indefensión en la que se colocó a la parte recurrente en amparo no resulta imputable a su propia pasividad o negligencia, o a la de su representante legal, lo que conforme a la doctrina constitucional podría haber vaciado de contenido constitucional su queja (por todas, SSTC 98/1996, de 12 de febrero, FJ 3; 78/1999, de 26 de abril, FJ 2; 65/1999, de 13 de marzo, FJ 3; 145/2000, de 29 de mayo, FJ 2; y 34/2001, de 12 de febrero, FJ 2), pues hizo todo lo posible por instar del órgano judicial la nulidad de lo actuado, solicitando reiteradamente que se le notificase la Sentencia.</w:t>
      </w:r>
    </w:p>
    <w:p w:rsidR="0025129F" w:rsidRDefault="0025129F" w:rsidP="0025129F">
      <w:pPr>
        <w:pStyle w:val="TextoNormal"/>
      </w:pPr>
      <w:r>
        <w:t>En virtud de todo lo expuesto, procede la estimación del presente recurso de amparo por vulneración del derecho a la tutela judicial efectiva, consagrado en el art. 24.1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consecuencia:</w:t>
      </w:r>
    </w:p>
    <w:p w:rsidR="0025129F" w:rsidRDefault="0025129F" w:rsidP="0025129F">
      <w:pPr>
        <w:pStyle w:val="TextoNormal"/>
      </w:pPr>
      <w:r>
        <w:t>1º Declarar que ha sido vulnerado el derecho de la recurrente a la tutela judicial efectiva (art.  24.1 CE).</w:t>
      </w:r>
    </w:p>
    <w:p w:rsidR="0025129F" w:rsidRDefault="0025129F" w:rsidP="0025129F">
      <w:pPr>
        <w:pStyle w:val="TextoNormal"/>
      </w:pPr>
      <w:r>
        <w:t>2º Restablecerla en la integridad de su derecho y, a tal fin, anular los Autos del Juzgado de lo Social núm. 20 de Barcelona, de 27 de febrero y 28 de abril de 1997, recaídos en el procedimiento núm. 1092/96, retrotrayéndose las actuaciones hasta el momento procesal inmediatamente posterior al de la Sentencia de 15 de enero de 1997 recaída en el citado procedimiento, para que por parte del citado órgano jurisdiccional se proceda a la notificación en forma de dicha Sentencia a la representación procesal del Club Tir al Vol de Barcelona.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6" w:name="SENTENCIA_2002_43"/>
      <w:r>
        <w:lastRenderedPageBreak/>
        <w:t>SENTENCIA 43/2002, de 25 de febrero de 2002</w:t>
      </w:r>
    </w:p>
    <w:bookmarkEnd w:id="46"/>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ECLI:ES:TC:2002:43</w:t>
      </w:r>
    </w:p>
    <w:p w:rsidR="0025129F" w:rsidRDefault="0025129F" w:rsidP="0025129F">
      <w:pPr>
        <w:pStyle w:val="SntesisDescriptiva"/>
      </w:pPr>
    </w:p>
    <w:p w:rsidR="0025129F" w:rsidRDefault="0025129F" w:rsidP="0025129F">
      <w:pPr>
        <w:pStyle w:val="SntesisDescriptiva"/>
      </w:pPr>
      <w:r>
        <w:t>Recurso de amparo 4304/1997. Promovido por doña Agustina de la Fuente Tapia y otros frente a la Sentencia de la Sala de lo Social del Tribunal Superior de Justicia de Madrid que estimó un recurso del Fondo de Garantía Salarial, en litigio por reclamación de cantidad.</w:t>
      </w:r>
    </w:p>
    <w:p w:rsidR="0025129F" w:rsidRDefault="0025129F" w:rsidP="0025129F">
      <w:pPr>
        <w:pStyle w:val="SntesisDescriptiva"/>
      </w:pPr>
    </w:p>
    <w:p w:rsidR="0025129F" w:rsidRDefault="0025129F" w:rsidP="0025129F">
      <w:pPr>
        <w:pStyle w:val="SntesisAnaltica"/>
      </w:pPr>
      <w:r>
        <w:t>Vulneración del derecho a la tutela judicial efectiva: apreciación de la excepción de cosa juzgada por error patente en los hechos probados de la Sentencia de instancia.</w:t>
      </w:r>
    </w:p>
    <w:p w:rsidR="0025129F" w:rsidRDefault="0025129F" w:rsidP="0025129F">
      <w:pPr>
        <w:pStyle w:val="SntesisAnaltica"/>
      </w:pPr>
    </w:p>
    <w:p w:rsidR="0025129F" w:rsidRDefault="0025129F" w:rsidP="0025129F">
      <w:pPr>
        <w:pStyle w:val="Extracto"/>
      </w:pPr>
      <w:r>
        <w:t>1.</w:t>
      </w:r>
      <w:r>
        <w:tab/>
        <w:t>La Sentencia del Tribunal Superior de Justicia, partiendo de los hechos probados declarados en la Sentencia de instancia, incurrió en un error patente y relevante al afirmar que en 1994 los actores plantearon idéntica pretensión a la del caso de autos -reclamación de salarios-, por lo que la pretensión planteada por ellos ha quedado sin respuesta [FJ 4].</w:t>
      </w:r>
    </w:p>
    <w:p w:rsidR="0025129F" w:rsidRDefault="0025129F" w:rsidP="0025129F">
      <w:pPr>
        <w:pStyle w:val="Extracto"/>
      </w:pPr>
    </w:p>
    <w:p w:rsidR="0025129F" w:rsidRDefault="0025129F" w:rsidP="0025129F">
      <w:pPr>
        <w:pStyle w:val="Extracto"/>
      </w:pPr>
      <w:r>
        <w:t>2.</w:t>
      </w:r>
      <w:r>
        <w:tab/>
        <w:t>Doctrina sobre el error patente que vulnera el derecho a la tutela judicial efectiva [FJ 3].</w:t>
      </w:r>
    </w:p>
    <w:p w:rsidR="0025129F" w:rsidRDefault="0025129F" w:rsidP="0025129F">
      <w:pPr>
        <w:pStyle w:val="Extracto"/>
      </w:pPr>
    </w:p>
    <w:p w:rsidR="0025129F" w:rsidRDefault="0025129F" w:rsidP="0025129F">
      <w:pPr>
        <w:pStyle w:val="Extracto"/>
      </w:pPr>
      <w:r>
        <w:t>3.</w:t>
      </w:r>
      <w:r>
        <w:tab/>
        <w:t>Los recurrentes en amparo utilizaron las vías previsiblemente practicables para la rectificación de los hechos probados de la Sentencia de instancia, lo que conduce a la conclusión de la admisibilidad del amparo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4304/97, promovido por doña Agustina de la Fuente Tapia, doña María del Carmen Sánchez Zamora y don Teodoro Platas Orea, representados por la Procuradora de los Tribunales doña Olga Romojaro Casado y asistidos por la Letrada doña Rosario Martín Narrillos, contra la Sentencia de la Sala de lo Social del Tribunal Superior de Justicia de Madrid de 24 de enero de 1997, que estimó el recurso de suplicación núm. 6187/95 interpuesto por el Fondo de Garantía Salarial contra la Sentencia de 18 </w:t>
      </w:r>
      <w:r>
        <w:lastRenderedPageBreak/>
        <w:t>de mayo de 1995 del Juzgado de lo Social núm. 35 de Madrid recaída en los autos núm. 45/95, sobre reclamación de cantidad. Ha comparecido el Abogado del Estado en representación del Fondo de Garantía Salarial y ha intervenido el Ministerio Fiscal. Ha sido Ponente el Magistrado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Por escrito registrado en este Tribunal el 27 de octubre de 1997, doña Olga Romojaro Casado, Procuradora de los Tribunales, en nombre y representación de doña Agustina de la Fuente Tapia, doña María del Carmen Sánchez Zamora y don Teodoro Platas Orea, interpuso el recurso de amparo del que se ha hecho mención en el encabezamiento. Los hechos en los que se basa la demanda son los siguientes: </w:t>
      </w:r>
    </w:p>
    <w:p w:rsidR="0025129F" w:rsidRDefault="0025129F" w:rsidP="0025129F">
      <w:pPr>
        <w:pStyle w:val="TextoNormal"/>
      </w:pPr>
      <w:r>
        <w:t xml:space="preserve">a) Los recurrentes en amparo venían prestando sus servicios como oficiales administrativos para la empresa Impredir, S.A.L., hasta que el 30 de septiembre de 1992 fue resuelta su relación laboral tras la tramitación de expediente de regulación de empleo núm. 466/92. En la citada empresa, cada uno de los actores tenía una participación del 25 por 100 de su capital social, ocupando los correspondientes cargos dentro de su Consejo de Administración. </w:t>
      </w:r>
    </w:p>
    <w:p w:rsidR="0025129F" w:rsidRDefault="0025129F" w:rsidP="0025129F">
      <w:pPr>
        <w:pStyle w:val="TextoNormal"/>
      </w:pPr>
      <w:r>
        <w:t xml:space="preserve">b) Con fecha de 23 de diciembre de 1992, los recurrentes en amparo presentaron demanda contra la empresa Impredir, S.A.L., en reclamación de 450.000 pesetas cada uno de ellos, en concepto de salarios adeudados, que fue estimada por Sentencia del Juzgado de lo Social núm. 1 de Madrid de 27 de mayo de 1993 (autos 967/92). </w:t>
      </w:r>
    </w:p>
    <w:p w:rsidR="0025129F" w:rsidRDefault="0025129F" w:rsidP="0025129F">
      <w:pPr>
        <w:pStyle w:val="TextoNormal"/>
      </w:pPr>
      <w:r>
        <w:t xml:space="preserve">c) Posteriormente, el 11 de marzo de 1993, los recurrentes demandaron nuevamente a la empresa en reclamación de la indemnización por la extinción de sus contratos de trabajo, conforme a lo dispuesto en el art. 51.10 de la Ley 8/1980, de 10 de marzo, del Estatuto de los Trabajadores (en adelante, LET), que fue estimada por Sentencia del Juzgado de lo Social núm. 1 de Madrid de 29 de junio de 1993 (autos 206/93). </w:t>
      </w:r>
    </w:p>
    <w:p w:rsidR="0025129F" w:rsidRDefault="0025129F" w:rsidP="0025129F">
      <w:pPr>
        <w:pStyle w:val="TextoNormal"/>
      </w:pPr>
      <w:r>
        <w:t xml:space="preserve">d) Con fecha de 13 de abril de 1994, los recurrentes en amparo presentan demanda en reclamación de cantidad contra el Fondo de Garantía Salarial (FOGASA), solicitando que se les abonase —a tenor de lo dispuesto en el art. 33.8 LET— el 40 por 100 de la indemnización legal por la extinción de sus contratos. La demanda fue desestimada por Sentencia del Juzgado de lo Social núm. 24 de Madrid de 1 de julio de 1994 (autos núm. 352/94), al entender que no les correspondía ninguna prestación del FOGASA por considerar probado en los autos 206/93 que los actores tenían la condición de altos cargos en la empresa, conclusión ésta que no había sido desvirtuada por la parte actora. </w:t>
      </w:r>
    </w:p>
    <w:p w:rsidR="0025129F" w:rsidRDefault="0025129F" w:rsidP="0025129F">
      <w:pPr>
        <w:pStyle w:val="TextoNormal"/>
      </w:pPr>
      <w:r>
        <w:t xml:space="preserve">e) Ante la insolvencia de la empresa Impredir, S.A.L., y su imposibilidad de hacer frente al pago de las cantidades que les adeudaba, los recurrentes en amparo presentaron una doble demanda contra el FOGASA en su calidad de responsable legal subsidiario (art. 33 LET), por un lado, para reclamarle el 60 por 100 de la indemnización derivada del expediente de regulación de empleo, que fue estimada por Sentencia del Juzgado de lo Social núm. 26 de Madrid de 14 de marzo de 1995 (autos 17/95) y, por otro, para obtener el pago de los salarios debidos, que fue estimada por Sentencia del Juzgado de lo Social núm. 35 de Madrid de 18 de mayo de 1995 (autos núm. 45/95). </w:t>
      </w:r>
    </w:p>
    <w:p w:rsidR="0025129F" w:rsidRDefault="0025129F" w:rsidP="0025129F">
      <w:pPr>
        <w:pStyle w:val="TextoNormal"/>
      </w:pPr>
      <w:r>
        <w:t xml:space="preserve">f) Frente a la última Sentencia, el FOGASA interpuso recurso de suplicación, en el que partiendo del relato de hechos probados de la Sentencia de instancia, alegó la excepción de cosa juzgada, sosteniendo que los actores habían presentado anteriormente idéntica reclamación contra ese organismo, que había sido desestimada por Sentencia del Juzgado de lo </w:t>
      </w:r>
      <w:r>
        <w:lastRenderedPageBreak/>
        <w:t xml:space="preserve">Social núm. 24 de 1 de julio de 1994 (autos 352/94). Este recurso fue impugnado por la actora alegando la inexistencia de cosa juzgada, al no concurrir las identidades exigidas en el entonces vigente art. 1252 CC. En este sentido, comienzan señalando que la Sentencia de la que traían causa esos autos era la dictada con fecha de 27 de mayo de 1993 (autos 967/92) por el Juzgado de lo Social núm. 1 de Madrid, en la que se condenó a la empresa Impredir, S.A.L., a abonar a cada uno de los actores la cantidad de 450.000 pesetas en concepto de salarios devengados y no abonados. Prosiguen diciendo que, por lo tanto, no existía entre la Sentencia recurrida en suplicación (Sentencia del Juzgado de lo Social núm. 35 de 18 de mayo de 1995) y las que habían sido dictadas anteriormente por los Juzgados de lo Social núm. 1 y 24 de Madrid, las identidades requeridas en el art. 1252 CC para poder apreciar la mencionada excepción, toda vez que respecto a la Sentencia del Juzgado núm. 1 de Madrid de 29 de junio de 1993 (autos 206/93) no existía identidad de partes —o, al menos de la calidad en que lo fueron— pues el FOGASA sólo había sido emplazado a los efectos del art. 33 LET; y respecto a la dictada por el Juzgado de lo Social núm. 24 de Madrid de 1 de julio de 1994 (autos 352/94), faltaba la requerida identidad entre las cosas y causas de pedir, ya que mientras en tal proceso el objeto de la pretensión había sido sólo la reclamación —al amparo del art. 33.8 LET— del 40 por 100 de la indemnización prevista en el art. 51.10 LET, en el caso de autos se estaban reclamando los salarios devengados y no abonados por la insolvencia del condenado principal, con base en el art. 33.2 LET. </w:t>
      </w:r>
    </w:p>
    <w:p w:rsidR="0025129F" w:rsidRDefault="0025129F" w:rsidP="0025129F">
      <w:pPr>
        <w:pStyle w:val="TextoNormal"/>
      </w:pPr>
      <w:r>
        <w:t xml:space="preserve">g) El recurso de suplicación presentado por el FOGASA fue estimado por Sentencia de la Sala de lo Social del Tribunal Superior de Justicia de Madrid de 24 de enero de 1997, que revocó la resolución impugnada al apreciar de oficio la excepción de cosa juzgada. En tal sentido, declara la Sala que del incombatido relato fáctico de la Sentencia de instancia, y a tenor de cuanto precisaban los hechos probados quinto y sexto, se desprendía que los demandantes habían planteado con fecha de 13 de abril de 1994 idéntica reclamación a la que en esa causa se cuestionaba, que había sido denegada por el Juzgado de lo Social núm. 24 de Madrid en Sentencia de 1 de julio de 1994. En efecto, en los mencionados fundamentos jurídicos, constaba literalmente lo siguiente: “Quinto: Con fecha 13.4.94 los actores interpusieron demanda reclamando las deudas salariales incobradas, que fue resuelta por Sentencia del Juzgado de lo Social núm. 24 de esta capital de 1.7.94, denegándose lo instado al considerar que los demandantes son altos cargos con poderes y facultades inherentes a la titularidad de la empresa, en virtud de lo dispuesto en el Real Decreto 505/85; Sexto: En 28.8.94 los demandantes volvieron a reclamar a FOGASA las citadas deudas salariales que fueron desestimadas por considerar que los solicitantes de las prestaciones son los mismos actores que del procedimiento 352/94 y la empresa demandada la misma, siendo la causa de pedir la misma y porque, además, resulta patente la existencia de vínculos particulares e intereses comunes con la empresa, por lo que según lo dispuesto en el art. 10 de la Directiva del Consejo de 20.10.80 no se justifica la obligación de pago por este Organismo”. </w:t>
      </w:r>
    </w:p>
    <w:p w:rsidR="0025129F" w:rsidRDefault="0025129F" w:rsidP="0025129F">
      <w:pPr>
        <w:pStyle w:val="TextoNormal"/>
      </w:pPr>
      <w:r>
        <w:t>h) Contra la anterior resolución judicial, los recurrentes en amparo interpusieron recurso de casación para la unificación de doctrina, que fue inadmitido por Auto de la Sala de lo Social del Tribunal Supremo de 16 de septiembre de 1997, por carecer el recurso de contenido casacional.</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Con fundamento en este itinerario procesal, los recurrentes alegan en su demanda de amparo que la Sentencia de la Sala de lo Social del Tribunal Superior de Justicia de 24 de enero de 1997 ha vulnerado el derecho a la tutela judicial efectiva (art. 24.1 CE), al haber </w:t>
      </w:r>
      <w:r>
        <w:lastRenderedPageBreak/>
        <w:t>apreciado la excepción de cosa juzgada sobre la base de un error judicial notorio en la confección de los hechos probados de la Sentencia de instancia, que provocó la desestimación de su pretensión. En este sentido, afirman que la Sentencia del Juzgado de lo Social núm. 24 de Madrid de 1 de julio de 1994 —de la que derivaría la cosa juzgada—, no resolvió una reclamación sobre deudas salariales incobradas, como declara el hecho probado quinto de la Sentencia de instancia, sino sobre la indemnización por despido (art. 51.10 LET) a cargo del FOGASA, conforme a lo dispuesto en el art. 33.8 LET. Ello integra, se afirma, un error notorio y de suma relevancia para la apreciación de cosa juzgada, que en definitiva, ha provocado la desestimación de su pretensión, con la consiguiente lesión del derecho fundamental a la tutela judicial efectiva (art. 24.1 CE).</w:t>
      </w:r>
    </w:p>
    <w:p w:rsidR="0025129F" w:rsidRDefault="0025129F" w:rsidP="0025129F">
      <w:pPr>
        <w:pStyle w:val="TextoNormal"/>
      </w:pPr>
    </w:p>
    <w:p w:rsidR="0025129F" w:rsidRDefault="0025129F" w:rsidP="0025129F">
      <w:pPr>
        <w:pStyle w:val="TextoNormal"/>
      </w:pPr>
      <w:r w:rsidRPr="0025129F">
        <w:rPr>
          <w:rStyle w:val="NumeroAFNegritaCaracter"/>
        </w:rPr>
        <w:t>3</w:t>
      </w:r>
      <w:r>
        <w:t>. Mediante providencia de fecha de 5 de octubre de 1998 la Sección Primera admitió a trámite la demanda y, en aplicación del art. 51 LOTC, acordó requerir a la Sala de lo Social del Tribunal Supremo, Sala de lo Social del Tribunal Superior de Justicia de Madrid y Juzgado de lo Social núm. 35 de Madrid, para que remitiesen testimonio de los autos, interesando al propio tiempo el emplazamiento de cuantos fueron parte en el proceso, con excepción de los recurrentes en amparo, para que en el plazo de diez días pudiesen comparecer en estos autos.</w:t>
      </w:r>
    </w:p>
    <w:p w:rsidR="0025129F" w:rsidRDefault="0025129F" w:rsidP="0025129F">
      <w:pPr>
        <w:pStyle w:val="TextoNormal"/>
      </w:pPr>
    </w:p>
    <w:p w:rsidR="0025129F" w:rsidRDefault="0025129F" w:rsidP="0025129F">
      <w:pPr>
        <w:pStyle w:val="TextoNormal"/>
      </w:pPr>
      <w:r w:rsidRPr="0025129F">
        <w:rPr>
          <w:rStyle w:val="NumeroAFNegritaCaracter"/>
        </w:rPr>
        <w:t>4</w:t>
      </w:r>
      <w:r>
        <w:t>. Por escrito de fecha de 13 de octubre de 1998, el Abogado del Estado se personó en el recurso de amparo en representación del FOGASA, teniéndose por personado y parte por providencia de la Sección Segunda de 4 de diciembre de 1998, en la que, asimismo, se acordaba dar vista de todas las actuaciones al Ministerio Fiscal y a las partes, para que, conforme a lo dispuesto en el art. 52 LOTC, pudieran formular las alegaciones que estimaren pertinentes.</w:t>
      </w:r>
    </w:p>
    <w:p w:rsidR="0025129F" w:rsidRDefault="0025129F" w:rsidP="0025129F">
      <w:pPr>
        <w:pStyle w:val="TextoNormal"/>
      </w:pPr>
    </w:p>
    <w:p w:rsidR="0025129F" w:rsidRDefault="0025129F" w:rsidP="0025129F">
      <w:pPr>
        <w:pStyle w:val="TextoNormal"/>
      </w:pPr>
      <w:r w:rsidRPr="0025129F">
        <w:rPr>
          <w:rStyle w:val="NumeroAFNegritaCaracter"/>
        </w:rPr>
        <w:t>5</w:t>
      </w:r>
      <w:r>
        <w:t>. Con fecha de 28 de diciembre de 1998 se recibió el escrito de alegaciones del Abogado del Estado, en el que se interesaba la denegación del amparo, alegando que la firmeza de los hechos declarados en la Sentencia de instancia resultaba de la actuación de la parte demandante que, por un lado, no impugnó la Sentencia errónea, dejándola firme y consentida para ella, y por otro, tampoco intentó, a través de su escrito de impugnación del recurso de suplicación que había interpuesto el FOGASA contra la Sentencia de instancia, la rectificación de los hechos declarados probados.</w:t>
      </w:r>
    </w:p>
    <w:p w:rsidR="0025129F" w:rsidRDefault="0025129F" w:rsidP="0025129F">
      <w:pPr>
        <w:pStyle w:val="TextoNormal"/>
      </w:pPr>
    </w:p>
    <w:p w:rsidR="0025129F" w:rsidRDefault="0025129F" w:rsidP="0025129F">
      <w:pPr>
        <w:pStyle w:val="TextoNormal"/>
      </w:pPr>
      <w:r w:rsidRPr="0025129F">
        <w:rPr>
          <w:rStyle w:val="NumeroAFNegritaCaracter"/>
        </w:rPr>
        <w:t>6</w:t>
      </w:r>
      <w:r>
        <w:t>. La parte recurrente en amparo presenta su escrito de alegaciones con fecha de 8 de enero de 1999, ratificándose en las realizadas en su escrito de demanda.</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Con fecha de 12 de enero de 1999 el Ministerio Fiscal presenta su escrito de alegaciones, en el que interesa, en primer lugar, la inadmisión del recurso de amparo por falta de agotamiento de la vía judicial (art. 44.1.a LOTC), al no haber recurrido la parte actora la Sentencia del Juzgado de lo Social núm. 35 de Madrid de 18 de mayo de 1995, entendiendo que, a pesar de haber sido favorecida por ella, se encontraba legitimada para recabar mediante el recurso de suplicación modificaciones fácticas y efectuar la censura jurídica pertinente, ante la previsión de que —como realmente sucedería después— la Sentencia de instancia fuese recurrida por el Fondo de Garantía Salarial. Por ese motivo, el Fiscal considera que los recurrentes en amparo no agotaron la vía judicial al no haber utilizado todos los medios procedentes dentro de dicho cauce para impugnar el error que en vía de </w:t>
      </w:r>
      <w:r>
        <w:lastRenderedPageBreak/>
        <w:t>amparo se denuncia. En segundo término, y tras recordar la doctrina constitucional sobre el error patente con relevancia constitucional (cita, entre otras, las SSTC 55/1993, 124/1993; 107/1994; 5/1995, 160/1996 y 58/1997), interesa con carácter subsidiario, la estimación del recurso de amparo por vulneración del derecho a la tutela judicial efectiva (art. 24.1 CE), al constar que la resolución cuestionada basa su decisión en los hechos probados quinto y sexto de la Sentencia de instancia en los que erróneamente se recogía que las deudas salariales que se reclamaban en el procedimiento, habían sido solicitadas mediante una demanda anterior, sobre la que recayó Sentencia desestimatoria del Juzgado de lo Social núm. 24 de los de Madrid el 1 de julio de 1994, fundada en que los ahora demandantes de amparo ostentaban la condición de altos cargos, siéndoles de aplicación el Real Decreto 1382/85, en relación con lo previsto en el Real Decreto 505/1985. Sobre esta base entiende el Ministerio Fiscal que la Sentencia de la Sala de lo Social, al estimar la excepción de cosa juzgada y revocar la del Juzgado, dejó sin examinar la cuestión de la aplicabilidad de la Ley 11/1994, de 19 de mayo, a la relación jurídica litigiosa, lo que justifica la estimación del amparo.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21 de febrero de 2002 se señaló para deliberación y fallo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demandantes piden amparo frente a la Sentencia de la Sala de lo Social del Tribunal Superior de Justicia de Madrid de 24 de enero de 1997 que, apreciando la excepción de cosa juzgada, revocó la Sentencia del Juzgado de lo Social núm. 35 de Madrid de 18 de mayo de 1995, que había estimado su demanda sobre reclamación de salarios planteada frente al Fondo de Garantía Salarial. Los recurrentes sostienen la vulneración de su derecho a la tutela judicial efectiva (art. 24.1 CE), al haber apreciado la Sala aquella excepción sobre la base de un error judicial notorio en la confección de los hechos probados de la Sentencia de instancia, a saber, que la Sentencia del Juzgado de lo Social núm. 24 de Madrid de 1 de julio de 1994 (autos 352/94) había resuelto ya sobre idéntica pretensión —reclamación de salarios—, cuando lo cierto era que había tenido por objeto una reclamación de indemnización por extinción de la relación laboral de conformidad con el art. 33.8, en relación con el art. 51, ambos del Estatuto de los Trabajadores.</w:t>
      </w:r>
    </w:p>
    <w:p w:rsidR="0025129F" w:rsidRDefault="0025129F" w:rsidP="0025129F">
      <w:pPr>
        <w:pStyle w:val="TextoNormal"/>
      </w:pPr>
      <w:r>
        <w:t>En opinión del Abogado del Estado, la revocación de la Sentencia de instancia se ha debido a la propia pasividad de la parte actora al no haber intentado la rectificación de los errores en el relato de hechos probados a través de la interposición del recurso de suplicación, ni tampoco mediante su escrito de impugnación del presentado por el FOGASA.</w:t>
      </w:r>
    </w:p>
    <w:p w:rsidR="0025129F" w:rsidRDefault="0025129F" w:rsidP="0025129F">
      <w:pPr>
        <w:pStyle w:val="TextoNormal"/>
      </w:pPr>
      <w:r>
        <w:t>Por su parte, el Ministerio Fiscal propone la inadmisión del recurso de amparo por falta de agotamiento de todos los recursos utilizables dentro de la vía judicial (art. 44.1.a LOTC), al no haber denunciado los actores a través del recurso de suplicación el error en la redacción de los hechos probados de la Sentencia de instancia. Al propio tiempo y con carácter subsidiario solicita el Fiscal la estimación del recurso por vulneración del derecho a la tutela judicial efectiva (art. 24.1 CE), ante la existencia de un error patente con relevancia constitucional en la apreciación judicial de la cosa juzgada.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Ante todo, será preciso dar respuesta a la objeción de admisibilidad suscitada por el Ministerio Fiscal, basada en una eventual falta de agotamiento de la vía judicial previa, al </w:t>
      </w:r>
      <w:r>
        <w:lastRenderedPageBreak/>
        <w:t>no haber impugnado los recurrentes en amparo la Sentencia de instancia recabando la corrección de los errores existentes en la redacción de los hechos probados.</w:t>
      </w:r>
    </w:p>
    <w:p w:rsidR="0025129F" w:rsidRDefault="0025129F" w:rsidP="0025129F">
      <w:pPr>
        <w:pStyle w:val="TextoNormal"/>
      </w:pPr>
      <w:r>
        <w:t>Ciertamente, los ahora demandantes de amparo no interpusieron recurso de suplicación contra la Sentencia del Juzgado de lo Social para obtener la rectificación del error sufrido en los hechos probados, quizá por conocer un frecuente entendimiento judicial de la legitimación en ese tipo de recursos que la niega a quienes han visto estimada su demanda como aquí ocurría, pero ha de tenerse en cuenta: a) Que la Sentencia de instancia, pese a su error, no impidió al Juzgado entrar en el fondo del asunto —incluso con estimación de la demanda—, de suerte que en ese momento tal error carecía de relevancia desde el punto de vista del art. 24.1 CE; b) Que, interpuesto por el FOGASA recurso de suplicación interesando la aplicación de la excepción de cosa juzgada, los ahora demandantes, en su escrito de impugnación, destacaban expresamente las diferencias del asunto resuelto por el Juzgado núm. 24 y el aquí debatido pues, mientras que aquél se refería a la indemnización de los arts. 33.8 y 51.10 LET, éste tenía por objeto la reclamación de salarios devengados y no abonados por razón de insolvencia al amparo del art. 33.1 LET, siendo de añadir que figuraba en los autos la Sentencia del Juzgado núm. 24; c) Y que, finalmente, en el recurso de casación para la unificación de doctrina, los ahora demandantes volvían a indicar el mencionado error, ya con invocación del art. 24.1 CE.</w:t>
      </w:r>
    </w:p>
    <w:p w:rsidR="0025129F" w:rsidRDefault="0025129F" w:rsidP="0025129F">
      <w:pPr>
        <w:pStyle w:val="TextoNormal"/>
      </w:pPr>
      <w:r>
        <w:t>No hubo, pues, aquietamiento ante los hechos probados de la Sentencia de instancia, en cuanto que los recurrentes en amparo utilizaron las vías previsiblemente practicables para su rectificación, lo que conduce a la conclusión de la admisibilidad del amparo.</w:t>
      </w:r>
    </w:p>
    <w:p w:rsidR="0025129F" w:rsidRDefault="0025129F" w:rsidP="0025129F">
      <w:pPr>
        <w:pStyle w:val="TextoNormal"/>
      </w:pPr>
    </w:p>
    <w:p w:rsidR="0025129F" w:rsidRDefault="0025129F" w:rsidP="0025129F">
      <w:pPr>
        <w:pStyle w:val="TextoNormal"/>
      </w:pPr>
      <w:r w:rsidRPr="0025129F">
        <w:rPr>
          <w:rStyle w:val="NumeroAFNegritaCaracter"/>
        </w:rPr>
        <w:t>3</w:t>
      </w:r>
      <w:r>
        <w:t>. Entrando ya en el fondo del asunto, los recurrentes en amparo invocan la lesión del derecho a la tutela judicial efectiva (art.  24.1 CE) por entender que la Sentencia de la Sala de lo Social del Tribunal Superior de Justicia de Madrid de 24 de enero de 1997 ha apreciado la excepción de cosa juzgada basándose en un error judicial notorio en la confección de los hechos probados de la Sentencia de instancia, lo que provocó la revocación de ésta y la consiguiente desestimación de su pretensión.</w:t>
      </w:r>
    </w:p>
    <w:p w:rsidR="0025129F" w:rsidRDefault="0025129F" w:rsidP="0025129F">
      <w:pPr>
        <w:pStyle w:val="TextoNormal"/>
      </w:pPr>
      <w:r>
        <w:t>En este sentido, será de recordar la doctrina constitucional elaborada en torno al error patente (recogida recientemente, entre otras resoluciones, en las SSTC 165/1999, de 27 de septiembre, FJ 7; 206/1999, de 8 de noviembre, FJ 4; 96/2000, de 10 de abril, FJ 5; 99/2000, de 10 de abril, FJ 5; 150/2000, de 12 de junio, FJ 2; 217/2000, de 18 de septiembre, FJ 3; y 55/2001, de 26 de febrero, FJ 4), según la cual, para que el error determine la vulneración de la tutela judicial efectiva es preciso que concurran varios requisitos: 1) Que el error, primordialmente fáctico, sea patente o, lo que es lo mismo, inmediatamente verificable de forma incontrovertible a partir de las actuaciones judiciales, por haberse llegado a una conclusión absurda o contraria a los principios elementales de la lógica y de la experiencia; 2) Que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3) Que sea atribuible al órgano judicial, es decir, que no sea imputable a la negligencia de la parte, pues en caso contrario no existirá en sentido estricto una vulneración del derecho fundamental, tal y como presupone el art. 44.1 LOTC; y 4) Que produzca efectos negativos en la esfera del ciudadano, de modo que las meras inexactitudes que no produzcan efectos para las partes carecerán de relevancia constitucional (por todas, STC 96/2000, de 10 de abril, FJ 4).</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Aplicando la anterior doctrina al caso de autos, se puede comprobar, en primer término, que la fundamentación jurídica de la Sentencia del Tribunal Superior de Justicia, partiendo de los hechos probados declarados en la Sentencia de instancia, incurrió en un error patente (al resultar inmediatamente verificable de forma incontrovertida de los antecedentes) y relevante (dadas las importantes consecuencias negativas que generó para los recurrentes en amparo) al afirmar que con fecha de 13 de abril de 1994 los actores plantearon idéntica pretensión a la del caso de autos —reclamación de salarios—, cuando lo cierto es que —como se desprende de las actuaciones— en aquella ocasión se demandó al Fondo de Garantía Salarial para que abonase a los actores el porcentaje legalmente establecido (art. 33.8 LET) de la indemnización por extinción de sus contratos de trabajo, lo que derivaba directamente de los autos, en los que figuraba el texto de la Sentencia del Juzgado de lo Social núm. 24 de Madrid de 1 de julio de 1994. En segundo lugar, el error en el que incurrió el Tribunal fue determinante de la decisión adoptada al constituir el soporte básico de su ratio decidendi, puesto que la revocación de la Sentencia de instancia se debió exclusivamente a la apreciación de la existencia de cosa juzgada, sobre una base de hecho errónea. En tercer lugar, resulta claro que la equivocación es atribuible únicamente al órgano judicial y no al error o negligencia de la parte actora, sin que le pueda ser reprochada a ésta —como mantiene la contraparte— una actitud pasiva, al haber puesto de manifiesto, a través de su escrito de impugnación del recurso de suplicación, la imposibilidad de poder estimar la cosa juzgada habida cuenta de las diferencias existentes entre los distintos procesos. No cabe, por tanto, considerar que los recurrentes permanecieron pasivos en orden a cuestionar la posibilidad de apreciar la excepción, de modo, que el Tribunal Superior de Justicia, cuando así lo hizo, debió haber tenido en cuenta no sólo los hechos en los que se apoyó, sino también la propia Sentencia del Juzgado de lo Social núm. 24 de 1 de julio de 1994, de la que estaba derivando la existencia de cosa juzgada, así como las alegaciones del escrito de impugnación de la suplicación presentado por los demandantes de amparo, en las que claramente se señalaba el error que impediría estimar una excepción que imposibilitaba resolver la cuestión de fondo. Máxime teniendo en cuenta que aquélla se apreciaba de oficio y que la fundamentación jurídica de la Sentencia se limita a afirmar la concurrencia de “la triple identidad que el art. 1252 del Código Civil señala entre los dos procedimientos” por referencia a los hechos probados quinto y sexto, de los que derivaba la afirmación de la identidad por parte del FOGASA, pero sin que apareciese contrastada como tal a la vista de las alegaciones  en contrario efectuadas por los recurrentes que resultaban corroboradas por la prueba documental. Finalmente, en cuarto y último lugar, es evidente que el error, además de ser patente y determinante de la decisión adoptada, provocó efectos negativos en la esfera jurídica de los actores, al ver desestimada su demanda de reclamación de cantidad contra el Fondo de Garantía Salarial sobre la base de un motivo que no concurría, quedando, así, imprejuzgada la cuestión de fondo, incluida la relativa a la aplicabilidad de la Disposición adicional segunda de la Ley 11/1994, de 19 de mayo, que ampliaba las garantías salariales del personal de alta dirección, cuestión esta resuelta afirmativamente por la Sentencia de instancia que estimó la demanda.</w:t>
      </w:r>
    </w:p>
    <w:p w:rsidR="0025129F" w:rsidRDefault="0025129F" w:rsidP="0025129F">
      <w:pPr>
        <w:pStyle w:val="TextoNormal"/>
      </w:pPr>
      <w:r>
        <w:t>En definitiva, la pretensión planteada por los actores acerca del pago por el mencionado organismo de las deudas salariales a que fue condenada la empresa para la que trabajaban ha quedado sin respuesta al haber apreciado el órgano judicial la excepción de cosa juzgada sobre una base de hecho errónea, incurriendo la resolución judicial impugnada en un error patente con relevancia constitucional lesivo del derecho a la tutela judicial efectiva (art. 24.1 CE) de los demandantes de amparo.</w:t>
      </w:r>
    </w:p>
    <w:p w:rsidR="0025129F" w:rsidRDefault="0025129F" w:rsidP="0025129F">
      <w:pPr>
        <w:pStyle w:val="TextoNormal"/>
      </w:pPr>
    </w:p>
    <w:p w:rsidR="0025129F" w:rsidRDefault="0025129F" w:rsidP="0025129F">
      <w:pPr>
        <w:pStyle w:val="TextoNormalCentrado"/>
        <w:keepNext/>
      </w:pPr>
      <w:r>
        <w:lastRenderedPageBreak/>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a doña Agustina de la Fuente Tapia, doña María del Carmen Sánchez Zamora y don Teodoro Platas Orea, con los siguientes pronunciamientos:</w:t>
      </w:r>
    </w:p>
    <w:p w:rsidR="0025129F" w:rsidRDefault="0025129F" w:rsidP="0025129F">
      <w:pPr>
        <w:pStyle w:val="TextoNormal"/>
      </w:pPr>
      <w:r>
        <w:t>1º Reconocer su derecho a la tutela judicial efectiva (art. 24.1 CE).</w:t>
      </w:r>
    </w:p>
    <w:p w:rsidR="0025129F" w:rsidRDefault="0025129F" w:rsidP="0025129F">
      <w:pPr>
        <w:pStyle w:val="TextoNormal"/>
      </w:pPr>
      <w:r>
        <w:t>2º Declarar la nulidad de la Sentencia de la Sala de lo Social del Tribunal Superior de Justicia de Madrid de 24 de enero de 1997.</w:t>
      </w:r>
    </w:p>
    <w:p w:rsidR="0025129F" w:rsidRDefault="0025129F" w:rsidP="0025129F">
      <w:pPr>
        <w:pStyle w:val="TextoNormal"/>
      </w:pPr>
      <w:r>
        <w:t>3º Retrotraer las actuaciones al momento inmediatamente anterior a la Sentencia, para que el órgano judicial dicte otra conforme con el derecho fundamental reconocido, habida cuenta del contenido de la Sentencia del Juzgado de lo Social núm. 24 de los de Madrid de 1 de julio de 1994, dictada en los autos núm. 352/94.</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7" w:name="SENTENCIA_2002_44"/>
      <w:r>
        <w:lastRenderedPageBreak/>
        <w:t>SENTENCIA 44/2002, de 25 de febrero de 2002</w:t>
      </w:r>
    </w:p>
    <w:bookmarkEnd w:id="47"/>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ECLI:ES:TC:2002:44</w:t>
      </w:r>
    </w:p>
    <w:p w:rsidR="0025129F" w:rsidRDefault="0025129F" w:rsidP="0025129F">
      <w:pPr>
        <w:pStyle w:val="SntesisDescriptiva"/>
      </w:pPr>
    </w:p>
    <w:p w:rsidR="0025129F" w:rsidRDefault="0025129F" w:rsidP="0025129F">
      <w:pPr>
        <w:pStyle w:val="SntesisDescriptiva"/>
      </w:pPr>
      <w:r>
        <w:t>Recurso de amparo 1371/1998. Promovido por don Ignacio Velázquez Rivera y otros frente al Decreto de la Presidencia de la Ciudad de Melilla de 12 de marzo de 1998 que inadmitió su moción de censura.</w:t>
      </w:r>
    </w:p>
    <w:p w:rsidR="0025129F" w:rsidRDefault="0025129F" w:rsidP="0025129F">
      <w:pPr>
        <w:pStyle w:val="SntesisDescriptiva"/>
      </w:pPr>
    </w:p>
    <w:p w:rsidR="0025129F" w:rsidRDefault="0025129F" w:rsidP="0025129F">
      <w:pPr>
        <w:pStyle w:val="SntesisAnaltica"/>
      </w:pPr>
      <w:r>
        <w:t>Alegada vulneración de los derechos a la participación política: presentación de demanda de amparo cuando pendía un contencioso-administrativo igual.</w:t>
      </w:r>
    </w:p>
    <w:p w:rsidR="0025129F" w:rsidRDefault="0025129F" w:rsidP="0025129F">
      <w:pPr>
        <w:pStyle w:val="SntesisAnaltica"/>
      </w:pPr>
    </w:p>
    <w:p w:rsidR="0025129F" w:rsidRDefault="0025129F" w:rsidP="0025129F">
      <w:pPr>
        <w:pStyle w:val="Extracto"/>
      </w:pPr>
      <w:r>
        <w:t>1.</w:t>
      </w:r>
      <w:r>
        <w:tab/>
        <w:t>Que en el momento de la formalización del recurso de amparo estuviera pendiente de decisión un proceso ante un órgano judicial, instado por los mismos demandantes de amparo, con el mismo objeto, y en el que se formulaban las mismas pretensiones que en el proceso constitucional, conduce inexorablemente a la inadmisión de éste (STC 192/2001)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1371/98, interpuesto por don Ignacio Velázquez Rivera, don Aurel Gheorghe Sava Garcerán, don Nicolás Sánchez Morales, don Francisco Javier Martínez Monreal, doña María Antonia Garbín Espigares, don Ernesto Rodríguez Muñoz, doña Beatriz de los Ángeles Caro Nieto, don Pedro Venzal Espejo, don Aisa Ahmed Mohamed, don Gregorio Hernández Suárez, don Antonio Barranquero Jiménez, doña Carmen Pilar Monserrat San Martín Muñoz y don Antonio Miranda Montilla, representados todos ellos por el Procurador de los Tribunales don Santos Gandarillas Carmona y asistidos por el Letrado don Alfredo Meca Pujazón, frente al Decreto de la Presidencia de la Ciudad de Melilla de 12 de marzo de 1998, declarando la inadmisión de moción de censura presentada por los recurrentes, así como contra varias decisiones del Presidente de la Ciudad que consideran adoptadas en vía de hecho. Han intervenido el Ministerio Fiscal y la Ciudad de Melilla, representada por el Procurador de los Tribunales don José Granados Weil y con la asistencia letrada de don Antonio Tastet Díaz. Ha sido Ponente el Magistrado don Pablo García Manzano,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que tuvo entrada en el Registro General de este Tribunal Constitucional el día 27 de marzo de 1998, don Ignacio Velázquez Rivera, don Aurel Gheorghe Sava Garcerán, don Nicolás Sánchez Morales, don Francisco Javier Martínez Monreal, doña María Antonia Garbín Espigares, don Ernesto Rodríguez Muñoz, doña Beatriz de los Ángeles Caro Nieto, don Pedro Venzal Espejo, don Aisa Ahmed Mohamed, don Gregorio Hernández Suárez, don Antonio Barranquero Jiménez, doña Carmen Pilar Monserrat San Martín Muñoz y don Antonio Miranda Montilla, representados todos ellos por el Procurador de los Tribunales don Santos Gandarillas Carmona y asistidos por el Letrado don Alfredo Meca Pujazón, interponen, conforme al art. 42 LOTC, recurso de amparo frente al Decreto de la Presidencia de la Ciudad de Melilla núm. 004, de 12 de marzo de 1998, que declaró la inadmisión de moción de censura presentada por los recurrentes, así como contra varias decisiones del Presidente de la Ciudad que estiman adoptadas en vía de hecho, considerando que vulneran su derecho fundamental a participar en los asuntos públicos para los que fueron elegidos por los ciudadanos, contenido en el art. 23.1 CE, así como el derecho fundamental ex art. 23.2 CE del Sr. Velázquez Rivera, candidato señalado en la moción de censura.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relevancia para el presente recurso de amparo son, en esencia, los que siguen: </w:t>
      </w:r>
    </w:p>
    <w:p w:rsidR="0025129F" w:rsidRDefault="0025129F" w:rsidP="0025129F">
      <w:pPr>
        <w:pStyle w:val="TextoNormal"/>
      </w:pPr>
      <w:r>
        <w:t xml:space="preserve">a) Mediante escrito dirigido a la Presidencia de la Asamblea de la Ciudad Autónoma de Melilla, que tuvo entrada en el Registro General de la Ciudad Autónoma de Melilla el día 5 de marzo de 1998, los ahora recurrentes en amparo, que eran entonces miembros de la Asamblea de Melilla, integrantes del Grupo del Partido Popular, presentaron moción de censura contra don Enrique Palacios Hernández, Presidente de la Ciudad de Melilla, proponiendo como candidato a la presidencia de la Ciudad a don Ignacio Velázquez Rivera. </w:t>
      </w:r>
    </w:p>
    <w:p w:rsidR="0025129F" w:rsidRDefault="0025129F" w:rsidP="0025129F">
      <w:pPr>
        <w:pStyle w:val="TextoNormal"/>
      </w:pPr>
      <w:r>
        <w:t xml:space="preserve">Asimismo, mediante escrito dirigido al Excmo. Sr. Presidente de la Asamblea de la Ciudad Autónoma de Melilla, que tuvo entrada en el Registro General de la Ciudad Autónoma de Melilla el día 7 de marzo de 1998, los recurrentes en amparo solicitaron la convocatoria de la Junta de Portavoces de la Asamblea en plazo no superior a cuatro días, de acuerdo con un Orden del Día consistente en la notificación a todos los Diputados locales de que la celebración de la sesión de la moción de censura tendría lugar el día 15 de marzo siguiente, a las 10:00 horas, así como en la preparación del Pleno en el que se debatiría la considerada moción. </w:t>
      </w:r>
    </w:p>
    <w:p w:rsidR="0025129F" w:rsidRDefault="0025129F" w:rsidP="0025129F">
      <w:pPr>
        <w:pStyle w:val="TextoNormal"/>
      </w:pPr>
      <w:r>
        <w:t xml:space="preserve">b) Por Orden del Consejero-Adjunto de Economía, Hacienda y Recursos Humanos de 11 de marzo de 1998 (publicada en el “Boletín Oficial de la Ciudad de Melilla” el siguiente día 12) “se ordena la no participación en el ejercicio de sus funciones públicas a todo el personal dependiente de la Ciudad Autónoma, en cualquiera de sus formas, en todo acto, evento, etc., de la Ciudad Autónoma de Melilla que se celebre el próximo domingo día 15 del actual, en cualquiera de las dependencias de la Ciudad Autónoma: Palacio de la Asamblea, sede de Empresas Públicas de la Ciudad Autónoma, etc., y que no sean formalmente convocados por el Presidente de la Ciudad Autónoma de Melilla D. Enrique Palacios Hernández”. </w:t>
      </w:r>
    </w:p>
    <w:p w:rsidR="0025129F" w:rsidRDefault="0025129F" w:rsidP="0025129F">
      <w:pPr>
        <w:pStyle w:val="TextoNormal"/>
      </w:pPr>
      <w:r>
        <w:t xml:space="preserve">c) Por Decreto de la Presidencia de la Ciudad de Melilla núm. 004, de 12 de marzo de 1998 (publicado en el “Boletín Oficial de la Ciudad de Melilla” el siguiente día 13), se </w:t>
      </w:r>
      <w:r>
        <w:lastRenderedPageBreak/>
        <w:t xml:space="preserve">declara “la inadmisión de la moción de censura presentada por D. Aisa Ahmed Mohamed y otros, por ser contraria al Ordenamiento Jurídico y vulnerar, entre otros, los arts.arts. 9.1 y 9.3 de la Constitución, artículo 197 de la Ley Orgánica del Régimen Electoral General y artículo 19.2 del Estatuto de Autonomía de la Ciudad de Melilla, no habiendo lugar en consecuencia a convocar Pleno Extraordinario”. Se indica expresamente que contra el Decreto podrá formularse recurso contencioso-administrativo, ante la Sala de lo Contencioso-Administrativo en Málaga del Tribunal Superior de Justicia de Andalucía, sin perjuicio de la posible interposición, con carácter potestativo, de recurso de reposición. </w:t>
      </w:r>
    </w:p>
    <w:p w:rsidR="0025129F" w:rsidRDefault="0025129F" w:rsidP="0025129F">
      <w:pPr>
        <w:pStyle w:val="TextoNormal"/>
      </w:pPr>
      <w:r>
        <w:t xml:space="preserve">d) Mediante escrito presentado en la citada Sala de lo Contencioso-Administrativo el día 17 de marzo de 1998, los ahora demandantes de amparo interpusieron recurso contencioso- administrativo, por el cauce previsto en la Ley 62/1978, contra el considerado Decreto de la Presidencia de la Ciudad de Melilla núm. 004, de 12 de marzo de 1998, y contra las que denominaban varias vías de hecho, coincidentes en lo sustancial con las que se impugnan en el presente recurso de amparo, por vulneración de los derechos de participación política establecidos en los apartados 1 y 2 del artículo 23 CE. Admitido a trámite, mediante providencia de 18 de marzo, el citado recurso contencioso-administrativo, al que se asignó el núm. 1067/98, se formuló demanda, en la que se concluía solicitando declaraciones prácticamente idénticas a las que se reclaman en la demanda de amparo, en torno a la vulneración de los citados derechos fundamentales, a la nulidad del Decreto y de las vías de hecho considerados, y a la convocatoria de sesión para el debate de la moción de censura presentada. </w:t>
      </w:r>
    </w:p>
    <w:p w:rsidR="0025129F" w:rsidRDefault="0025129F" w:rsidP="0025129F">
      <w:pPr>
        <w:pStyle w:val="TextoNormal"/>
      </w:pPr>
      <w:r>
        <w:t xml:space="preserve">Tras la correspondiente tramitación del proceso de protección jurisdiccional de los derechos fundamentales de la persona, se dictó Sentencia el 28 de enero de 1999, en cuyo fallo se estimaba el recurso contencioso-administrativo, anulando las resoluciones que se especificaban, coincidentes con las citadas en su demanda por los recurrentes (Decreto de 12 marzo de 1998 y decisiones constitutivas de vía de hecho), por ser contrarias al derecho fundamental de participación política del artículo 23 CE, acordando que por el Presidente de la Ciudad Autónoma de Melilla se convocare sesión extraordinaria con el único objeto de discutir y votar la moción de censura, que será presidida por el Vicepresidente que corresponda, en la forma que previene el artículo 74.3 del Reglamento Orgánico de la Asamblea de Melilla. Por Auto de 19 de febrero de 1999, resolviendo solicitud de aclaración de la Sentencia, se señaló que ésta estimaba el recurso contencioso-administrativo en su totalidad, afectando a todas las resoluciones recurridas, sin excluir ninguna, afirmando su nulidad, siendo indiferente que la convocatoria se haya de realizar por el Presidente o Vicepresidente, pues en la ejecución de sentencia la convocatoria se hará en forma legal. </w:t>
      </w:r>
    </w:p>
    <w:p w:rsidR="0025129F" w:rsidRDefault="0025129F" w:rsidP="0025129F">
      <w:pPr>
        <w:pStyle w:val="TextoNormal"/>
      </w:pPr>
      <w:r>
        <w:t>Habiendo declarado la Sala de lo Contencioso-Administrativo del Tribunal Supremo, mediante Auto de 21 de diciembre de 1999, desierto el recurso de casación preparado contra la anterior Sentencia, por providencia de la Sala de lo Contencioso-Administrativo del Tribunal Superior de Justicia de Andalucía, con sede en Málaga, de 7 de febrero de 2000, se declaró la misma firme por ministerio de la Ley.</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Como anteriormente exponíamos, la demanda de amparo se dirige, conforme al artículo 42 LOTC, tanto frente al Decreto de la Presidencia de la Ciudad de Melilla de 12 de marzo de 1998, como contra las que califica como decisiones del Presidente de la Ciudad en vía de hecho, consistentes en no convocar a la Junta de Portavoces en el plazo reglamentario para tratar del desarrollo de la sesión de debate y votación de la moción de censura, en impedir el acceso de los Diputados al Palacio de la Asamblea en la fecha y hora en que debería celebrarse la sesión, en ordenar a los funcionarios que no coadyuvaran a la </w:t>
      </w:r>
      <w:r>
        <w:lastRenderedPageBreak/>
        <w:t xml:space="preserve">celebración de la sesión, y en impedir la presencia del Secretario en la sesión, al requerirle policialmente para su inmediata presencia ante el Consejo de Gobierno, reunido en el cuartel de la Policía local a la misma hora, considerando que todos ellos vulneran el derecho fundamental de los recurrentes, entonces Diputados locales de la Asamblea, a participar en los asuntos públicos para los que fueron elegidos por los ciudadanos, contenido en el artículo 23.1 CE, así como el derecho fundamental ex artículo 23.2 CE del Sr. Velázquez Rivera, candidato señalado en la moción de censura, al impedirle ilegítimamente el acceso a un cargo público para el que reúne los requisitos exigidos por el Estatuto de Autonomía de Melilla y por el Reglamento Orgánico de la Asamblea de Melilla. </w:t>
      </w:r>
    </w:p>
    <w:p w:rsidR="0025129F" w:rsidRDefault="0025129F" w:rsidP="0025129F">
      <w:pPr>
        <w:pStyle w:val="TextoNormal"/>
      </w:pPr>
      <w:r>
        <w:t xml:space="preserve">Tras exponer las acontecimientos que, según los recurrentes, se desarrollaron en relación con la moción de censura presentada, en la demanda se justifica la procedencia de que el presente recurso de amparo se interponga siguiendo el concreto cauce previsto en el art. 42 LOTC. Se señala, en este sentido, que se trata de actos sin valor de ley, emanados de un órgano de una Asamblea Legislativa de una Ciudad Autónoma, equiparable a estos efectos a una Comunidad Autónoma, expresándose que, en efecto, Melilla es una Ciudad Autónoma que participa de la naturaleza de las Comunidades creadas por el Título VIII de la Constitución, y exponiendo diversas razones que, a su juicio, fundamentan tal conclusión. </w:t>
      </w:r>
    </w:p>
    <w:p w:rsidR="0025129F" w:rsidRDefault="0025129F" w:rsidP="0025129F">
      <w:pPr>
        <w:pStyle w:val="TextoNormal"/>
      </w:pPr>
      <w:r>
        <w:t xml:space="preserve">En particular, en la demanda de amparo se expresa que la Asamblea de Melilla es encuadrable en el término “Asamblea Legislativa”, utilizado por el artículo 42 LOTC. Se dice que el Estatuto de Autonomía para Melilla no excluye la posesión por la Asamblea de potestad legislativa ni la define como No Legislativa, limitándose a no atribuir a la Ciudad Autónoma competencias “exclusivas”, siendo su consecuencia que no pueden ejercerse frecuentemente facultades de legislación. Sin embargo, se añade, para considerar que no es legislativa una Asamblea será preciso que carezca absolutamente de la potestad legislativa en todo caso, de modo que su funcionamiento tenga una regulación heterónoma, pues si su Reglamento es autónomo, como ciertamente lo es, ya posee la Asamblea potestad legislativa, puesto que tales Reglamentos son verdaderamente normas con rango de Ley, pues si no lo fueren no podrían ser susceptibles de recurso de inconstitucionalidad, autorizado por el artículo 27.2 f) LOTC. Por ello, entienden los recurrentes, para la aprobación de su propio Reglamento, que tiene valor de Ley en sentido material, sí fue legislativa la Asamblea de Melilla, como lo volverá a ser cada vez que reforme su texto. A ello debe añadirse, se continúa en la demanda de amparo, que el artículo 13 del Estatuto de Autonomía confiere a la Asamblea de Melilla iniciativa legislativa, conforme al art. 87.2 CE, siendo la iniciativa, mediante el proyecto y, sobre todo, mediante la proposición de ley, la función primaria del proceso legislativo y, como tal, es también una función legislativa. Por ello, se añade, no es procedente el ofrecimiento de recurso contencioso- administrativo que se hace en el Decreto de la Presidencia de la Ciudad de Melilla impugnado en amparo, siendo adecuada la utilización del cauce previsto en el art. 42 LOTC. </w:t>
      </w:r>
    </w:p>
    <w:p w:rsidR="0025129F" w:rsidRDefault="0025129F" w:rsidP="0025129F">
      <w:pPr>
        <w:pStyle w:val="TextoNormal"/>
      </w:pPr>
      <w:r>
        <w:t xml:space="preserve">Finalmente, tras exponer las razones que les llevan a considerar que el Presidente de la Ciudad de Melilla era incompetente para negarse a convocar la sesión correspondiente, inadmitiendo la moción de censura, y tras rebatir los motivos que en el Decreto impugnado en amparo se expresaron para adoptar tal decisión, terminan los recurrentes solicitando de este Tribunal que, tras la correspondiente tramitación, dicte Sentencia en la que, además de concederse el amparo por vulneración de los derechos fundamentales reconocidos en los dos apartados del artículo 23 CE y declararse la nulidad del Decreto recurrido, se realicen también diversas declaraciones en cuanto a la sesión en que haya de debatirse la moción de censura, solicitando también que se condene en costas a la parte demandada, </w:t>
      </w:r>
      <w:r>
        <w:lastRenderedPageBreak/>
        <w:t>conforme al art. 95.2 LOTC, si apreciare mala fe palpable en el actuar del Presidente de la Ciudad.</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providencia de 10 de noviembre de 1998, la Sección Primera de este Tribunal acordó, a tenor de lo dispuesto en el artículo 50.3 LOTC, conceder un plazo común de diez días al Ministerio Fiscal y a los solicitantes del amparo para que dentro de dicho término alegaren lo que estimaren pertinente en relación con la posible existencia del motivo de inadmisión del recurso de amparo previsto en el artículo 50.1 a) en relación con el artículo 43.1, ambos de la LOTC, relativo a la necesidad de haber agotado con carácter previo la vía judicial procedente. Presentados los correspondientes escritos de alegaciones, en los que los demandantes en amparo solicitaron la admisión del recurso de amparo, y el Ministerio Fiscal consideró que concurría la causa de inadmisión de falta de agotamiento de la vía judicial procedente, la Sección Primera, por providencia de 28 de febrero de 2000, acordó admitir a trámite la demanda de amparo, sin perjuicio de lo que resultare de los antecedentes y, a tenor de lo dispuesto en el art. 51 LOTC, ordenó que se requiriese atentamente al Presidente de la Ciudad Autónoma de Melilla para que en el plazo de diez días remitiera testimonio de los antecedentes que dieron lugar al Decreto impugnado en amparo, pudiendo en el referido plazo comparecer esa Presidencia en el proceso constitucional de amparo, dando a esos efectos traslado de copia de la demanda presentada. </w:t>
      </w:r>
    </w:p>
    <w:p w:rsidR="0025129F" w:rsidRDefault="0025129F" w:rsidP="0025129F">
      <w:pPr>
        <w:pStyle w:val="TextoNormal"/>
      </w:pPr>
      <w:r>
        <w:t>Recibido el testimonio de las actuaciones, por diligencia de ordenación del Secretario de Justicia de la Sala Primera de este Tribunal de 5 de abril de 2000 se tuvo por personada y parte a la Ciudad de Melilla y, a tenor de lo dispuesto en el art. 52 LOTC, se dio vista de todas las actuaciones del recurso de amparo, por un plazo común de veinte días, al Ministerio Fiscal y a todas las partes personadas, para que dentro de dicho término pudieran presentar las alegaciones que a su derecho convinieran.</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Mediante escrito que tuvo entrada en el Registro General de este Tribunal el día 27 de abril de 2000, el Ministerio Fiscal formula sus alegaciones. Da por reproducidas las razones por las que solicitó la inadmisión del recurso de amparo en su escrito presentado en el trámite del art. 50.3 LOTC. En dicho escrito señalaba el Ministerio Fiscal que la Ciudad de Melilla no ostenta facultades legislativas, sino simplemente reglamentarias, calificación reglamentaria que es aplicable incluso al Reglamento de la Asamblea, conclusiones que apoyaba en los arts. 21.2, 22.2, 12.1 a) y 29 del Estatuto de Autonomía de Melilla, además de en la constante referencia que en el mismo se realiza a que el régimen jurídico de dicha Ciudad, en los aspectos no expresamente regulados por el Estatuto de Autonomía, será el dispuesto para los entes locales, que carecen de competencia legislativa. Asimismo, tal falta de competencia legislativa se desprende, a su juicio, de otras normas que se limitan a atribuir a la Ciudad Autónoma competencia de iniciativa legislativa, pero atribuyendo la correspondiente aprobación de la ley a las Cortes Generales, como ocurre en los arts. 13, 26 y 41 del Estatuto de Autonomía, sin que, por lo demás, el Reglamento de la Asamblea de Melilla contenga ninguna mención a la tramitación y aprobación por ésta de proyectos de ley, como sería necesario de afirmarse la competencia legislativa. A todo ello no se opone, añadía el Ministerio Fiscal, el que el art. 17.2 del Estatuto de Autonomía prevea la competencia del Consejo de Gobierno para desarrollar reglamentariamente las normas aprobadas por la Asamblea en los casos en que aquéllas lo autoricen expresamente, pues también estas normas de la Asamblea tienen carácter reglamentario. Por todo ello, concluía, la Asamblea de Melilla no puede calificarse como órgano legislativo de una Comunidad Autónoma, lo que se traduce en la imposibilidad de que frente al </w:t>
      </w:r>
      <w:r>
        <w:lastRenderedPageBreak/>
        <w:t xml:space="preserve">Decreto impugnado quepa interponer recurso de amparo directo por la vía del art. 42 LOTC, ya que el mismo, sin perjuicio de su alcance político, resulta, en definitiva, sometido a Derecho administrativo y es, por tanto, susceptible de recurso contencioso-administrativo, como lo entendió el propio Decreto impugnado y así lo prevé el art. 32.1 del Estatuto de Autonomía, determinando todo ello que se haya producido la falta de agotamiento de la vía judicial procedente. </w:t>
      </w:r>
    </w:p>
    <w:p w:rsidR="0025129F" w:rsidRDefault="0025129F" w:rsidP="0025129F">
      <w:pPr>
        <w:pStyle w:val="TextoNormal"/>
      </w:pPr>
      <w:r>
        <w:t>Añade el Ministerio Fiscal, en el escrito de alegaciones del art. 52 LOTC, que las actuaciones aportadas demuestran que, simultáneamente al recurso de amparo, los demandantes interpusieron, ante la Sala de lo Contencioso-Administrativo del Tribunal Superior de Justicia de Andalucía, con sede en Málaga, recurso contencioso-administrativo, por los trámites de la Ley 62/1978, que se resolvió, en sentido estimatorio para sus pretensiones, por Sentencia de 28 de enero de 1999, lo que supone que en el momento de interposición del recurso de amparo estaba abierta y había sido utilizada la vía judicial, siendo el presente recurso prematuro y, en todo caso, el derecho fundamental que se considera vulnerado ha sido protegido por otro órgano jurisdiccional. Tal simultánea utilización del recurso contencioso- administrativo fue ocultada al Tribunal Constitucional, lo que el Ministerio Fiscal considera contrario al principio de lealtad procesal, poniéndolo de manifiesto a los efectos que se estimen pertinentes. Concluye el Ministerio Fiscal solicitando la desestimación del recurso de amparo, por falta de agotamiento de la vía judicial procedente.</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Mediante escrito que tuvo entrada en el Registro General de este Tribunal el día 4 de mayo de 2000, los recurrentes en amparo formulan sus alegaciones. Tras señalar que las mismas se realizarán con la mayor concisión posible, ya que las extensas se hicieron tanto en el escrito de interposición del recurso de amparo como en el presentado en el trámite del art. 50.3 LOTC, afirman que el acto objeto de impugnación, el Decreto de 12 de marzo de 1998, emanó del Presidente de la Ciudad de Melilla en su función de Presidente de la Asamblea de Melilla, reiterando que ésta es una Asamblea Legislativa, en cuanto que aunque no posee potestad legislativa respecto de las competencias que el art. 21 del Estatuto de Autonomía enumera como transferibles, sin embargo, conforme al art. 20 de tal Estatuto de Autonomía, posee potestad de autoorganización, siendo su Reglamento norma con rango y valor de Ley conforme a la jurisprudencia constitucional, bastando que ostente potestad legislativa en una materia para que no pueda negarse a la Asamblea su carácter legislativo y reiterando que Melilla participa de la naturaleza jurídica de las Comunidades Autónomas, lo mismo que su Asamblea es equiparable en su naturaleza a las Asambleas de las Comunidades Autónomas. Por todo ello, el presente recurso de amparo ha de seguir el cauce previsto en el art. 42 LOTC. </w:t>
      </w:r>
    </w:p>
    <w:p w:rsidR="0025129F" w:rsidRDefault="0025129F" w:rsidP="0025129F">
      <w:pPr>
        <w:pStyle w:val="TextoNormal"/>
      </w:pPr>
      <w:r>
        <w:t xml:space="preserve">Aun cuando se continúa sosteniendo que el Decreto de 12 de marzo de 1998 vulnera el derecho fundamental del art. 23.2 CE, lo que ha de conducir a su nulidad y a otorgar el amparo solicitado, se pone de relieve que la legislatura dentro de cuyo periodo se dictó aquel Decreto se extinguió, celebrándose elecciones en junio de 1999, de las que resultó una distinta composición parlamentaria que hace ahora imposible que el amparo alcance su finalidad. A ello ha de agregarse, señalan, que en la citada legislatura en que se dictó el Decreto, la Sala de lo Contencioso-administrativo en Málaga del Tribunal Superior de Justicia de Andalucía dictó Sentencia anulando tal Decreto y ordenando que se celebrara la sesión para votar la moción de censura, lo que efectivamente se realizó, sin que la censura prosperara. </w:t>
      </w:r>
    </w:p>
    <w:p w:rsidR="0025129F" w:rsidRDefault="0025129F" w:rsidP="0025129F">
      <w:pPr>
        <w:pStyle w:val="TextoNormal"/>
      </w:pPr>
      <w:r>
        <w:t>Se termina solicitando que se dicte Sentencia por la que se admita el recurso de amparo por concurrir los requisitos exigidos en el art. 42 LOTC y se declare que el Decreto im</w:t>
      </w:r>
      <w:r>
        <w:lastRenderedPageBreak/>
        <w:t>pugnado vulneró el derecho fundamental de participación política de los recurrentes proclamado en el art. 23.2 CE, condenado en costas a la Ciudad Autónoma.</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escrito presentado en el Juzgado de guardia de Madrid el día 5 de mayo de 2000, con entrada en el Registro General de este Tribunal el día 8 siguiente, la Ciudad de Melilla formula sus alegaciones. Comienza por recordar que la Sala de lo Contencioso- Administrativo del Tribunal Superior de Justicia, con sede en Málaga, dictó Sentencia el día 28 de enero de 1999, anulando el Decreto impugnado en amparo y acordando la convocatoria por el Presidente de la Ciudad de Melilla de sesión extraordinaria para discutir y votar la moción de censura, que sería presidida por el Vicepresidente que corresponda. Tras señalar que, en esencia, se está de acuerdo con lo expuesto en la demanda de amparo en torno a la naturaleza y carácter de Melilla, de su Asamblea, y de los Reglamentos que apruebe ésta, se expresan una serie de dudas que se someten a la decisión de este Tribunal y se realizan una serie de consideraciones en torno a la existencia de las vías de hecho a que se refiere la demanda de amparo y en relación con la corrección de la moción de censura presentada. Se termina solicitando que se dicte Sentencia de conformidad con las alegaciones de hecho y de Derecho que se han realizado.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providencia de la Sala Primera de este Tribunal de 29 de octubre de 2001, se acordó, de conformidad con lo prevenido en el art. 88 LOTC, requerir atentamente al Tribunal Superior de Justicia de Andalucía, Sala de lo Contencioso-Administrativo con sede en Málaga, para que en el plazo de diez días remitiera testimonio del recurso contencioso-administrativo núm. 1067/98 de la Ley 62/1978. Recibido el testimonio solicitado, por providencias de la Sala Primera de 31 de enero y 5 de febrero de 2002 se pusieron de manifiesto tales actuaciones a las partes y al Ministerio Fiscal por plazo de diez días por si, a la vista de las mismas, estimaren pertinente completar las alegaciones formuladas en su día. </w:t>
      </w:r>
    </w:p>
    <w:p w:rsidR="0025129F" w:rsidRDefault="0025129F" w:rsidP="0025129F">
      <w:pPr>
        <w:pStyle w:val="TextoNormal"/>
      </w:pPr>
      <w:r>
        <w:t xml:space="preserve">Por escrito presentado en el Registro General de este Tribunal el día 19 de febrero de 2002, el Ministerio Fiscal formuló sus alegaciones, reiterando, en esencia, lo expuesto en sus escritos anteriores en torno a la concurrencia de la causa de inadmisión del recurso de amparo de falta de agotamiento de la vía judicial previa, así como sobre la circunstancia de que los demandantes ya han obtenido el amparo judicial de su pretensión. </w:t>
      </w:r>
    </w:p>
    <w:p w:rsidR="0025129F" w:rsidRDefault="0025129F" w:rsidP="0025129F">
      <w:pPr>
        <w:pStyle w:val="TextoNormal"/>
      </w:pPr>
      <w:r>
        <w:t>Los demás intervinientes en el presente proceso constitucional no han formulado alegaciones.</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21 de febrero de 2002 se señaló para votación y fallo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Como ha quedado expuesto en los antecedentes, los demandantes de amparo, que en el momento de la interposición del presente recurso eran miembros de la Asamblea de Melilla, impugnan el Decreto de la Presidencia de la Ciudad de Melilla de 12 de marzo de 1998, que declaró la inadmisión de la moción de censura por ellos presentada contra el entonces Presidente de la Ciudad, así como diversas decisiones adoptadas por el citado Presidente, que consideran constitutivas de vía de hecho, estimando que todas ellas supo</w:t>
      </w:r>
      <w:r>
        <w:lastRenderedPageBreak/>
        <w:t>nen la vulneración de sus derechos fundamentales reconocidos en el art. 23.1 CE, así como del derecho fundamental previsto en el art. 23.2 CE respecto del recurrente don Ignacio Velázquez Rivera, que era el candidato a la Presidencia que se proponía en la moción de censura. En la demanda de amparo, así como en escritos posteriores que los recurrentes han presentado en este proceso constitucional, se señala que el recurso debe considerarse interpuesto por la vía del art. 42 LOTC, en cuanto que el Decreto impugnado habría sido dictado por el Presidente de la Ciudad de Melilla en su condición de Presidente de su Asamblea, sosteniéndose que Melilla participa de la naturaleza de las Comunidades Autónomas y que su Asamblea debe considerarse como Asamblea legislativa a los efectos del citado precepto de nuestra Ley Orgánica. Destacan que, por todo ello, no cabía la interposición de recurso contencioso-administrativo frente al Decreto objeto del presente recurso de amparo, siendo errónea la indicación al efecto que se contenía en el mismo.</w:t>
      </w:r>
    </w:p>
    <w:p w:rsidR="0025129F" w:rsidRDefault="0025129F" w:rsidP="0025129F">
      <w:pPr>
        <w:pStyle w:val="TextoNormal"/>
      </w:pPr>
      <w:r>
        <w:t>Sin embargo, a pesar de ello, como también se recoge en los antecedentes, los mismos recurrentes, con anterioridad incluso a la presentación de la demanda de amparo, interpusieron recurso contencioso-administrativo ante la Sala de lo Contencioso-Administrativo del Tribunal Superior de Justicia de Andalucía, con sede en Málaga, utilizando la vía del procedimiento para la protección jurisdiccional de los derechos fundamentales de la persona de la Ley 62/1978, recurso que tenía por objeto el mismo Decreto y decisiones que el presente recurso de amparo y en el que se formulaban las mismas pretensiones que en la demanda de amparo. Es más, tal recurso contencioso-administrativo fue estimado en su integridad, considerando la Sala de lo Contencioso-Administrativo que se habían vulnerado los derechos fundamentales de los recurrentes que también se afirman como lesionados en la demanda de amparo.</w:t>
      </w:r>
    </w:p>
    <w:p w:rsidR="0025129F" w:rsidRDefault="0025129F" w:rsidP="0025129F">
      <w:pPr>
        <w:pStyle w:val="TextoNormal"/>
      </w:pPr>
      <w:r>
        <w:t>En definitiva, en el momento de la presentación de la demanda de amparo los demandantes habían ya iniciado un proceso contencioso-administrativo con el mismo objeto, pendiente entonces de resolución y que, finalmente, concluyó con una Sentencia firme estimatoria, que acogía idéntica pretensión que la formulada en el presente proceso constitucional, y como consecuencia de la vulneración de los derechos fundamentales que en éste se consideran lesionados. Forzoso es, pues, pronunciarse ante todo sobre la posible incidencia de estas peculiares circunstancias sobre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Pues bien, el mero hecho de que en el momento de la formalización del recurso de amparo estuviera pendiente de decisión un proceso ante un órgano judicial, instado por los mismos demandantes de amparo, con el mismo objeto, y en el que se formulaban las mismas pretensiones que en el proceso constitucional, conduce inexorablemente a la inadmisión de éste. En efecto, haciendo abstracción de la adecuación en este caso de la vía de amparo del art.  42 LOTC, alegada por los recurrentes, lo cierto es que no puede acudir ante este Tribunal Constitucional por la vía del recurso de amparo quien ha considerado procedente la utilización de la vía judicial, en tanto ésta no haya concluido, pues en caso contrario se estaría afectando a la naturaleza subsidiaria del recurso de amparo, respecto de la cual este Tribunal ha puesto reiteradamente de manifiesto la esencial importancia de los fines a los que sirve. En este sentido, la STC 192/2001, de 1 de octubre, tras destacar que los requisitos de admisibilidad de la demanda de amparo deben ser examinados teniendo en cuenta como marco temporal de referencia el momento en que fue presentada (sin perjuicio, por supuesto, de que determinadas circunstancias acaecidas con posterioridad puedan también ser relevantes al efecto), señala que es imposible la coexistencia temporal de un recurso de amparo con la vía judicial, siendo necesario esperar a la conclusión de ésta para acudir ante este Tribunal Constitucional en sede de amparo, de manera que </w:t>
      </w:r>
      <w:r>
        <w:lastRenderedPageBreak/>
        <w:t>para que entre en funcionamiento la justicia constitucional es preciso que estén agotadas las vías judiciales.</w:t>
      </w:r>
    </w:p>
    <w:p w:rsidR="0025129F" w:rsidRDefault="0025129F" w:rsidP="0025129F">
      <w:pPr>
        <w:pStyle w:val="TextoNormal"/>
      </w:pPr>
      <w:r>
        <w:t>Los demandantes, al interponer recurso contencioso-administrativo en relación con los mismos actos objeto del recurso de amparo, basándose en similares razones y formulando análogas pretensiones que en el presente proceso constitucional, consideraron que la vía judicial permitía la reparación de la vulneración de los derechos fundamentales supuestamente lesionados, de modo que, cualesquiera que fueren la naturaleza y carácter del Decreto de la Presidencia de la Ciudad de Melilla de 12 de marzo de 1998 y de las demás decisiones aquí cuestionadas, es evidente que las circunstancias expuestas en torno a su simultánea impugnación en vía judicial determinan que proceda la inadmisión del presente recurso de amparo, sin necesidad de pronunciamiento alguno en relación con aquellas naturaleza y carácter y, en consecuencia, sobre cuál habría sido el cauce idóneo, de los previstos en nuestra Ley Orgánica, para su impugnación en sede de amparo constitucional.</w:t>
      </w:r>
    </w:p>
    <w:p w:rsidR="0025129F" w:rsidRDefault="0025129F" w:rsidP="0025129F">
      <w:pPr>
        <w:pStyle w:val="TextoNormal"/>
      </w:pPr>
      <w:r>
        <w:t>No obstante, no puede dejar de destacarse que en vía contencioso-administrativa fueron estimadas en su totalidad por Sentencia firme las pretensiones formuladas por los recurrentes, las mismas que hicieron valer en la demanda de amparo, al haberse apreciado judicialmente la lesión de los mismos derechos fundamentales que en aquélla se mencionan. De esta manera, es evidente que la denunciada vulneración de esos derechos fundamentales habría sido ya reparada por los órganos judiciales, habiendo obtenido los recurrentes la satisfacción judicial de todas sus pretensiones, privando así de objeto al recurso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8" w:name="SENTENCIA_2002_45"/>
      <w:r>
        <w:lastRenderedPageBreak/>
        <w:t>SENTENCIA 45/2002, de 25 de febrero de 2002</w:t>
      </w:r>
    </w:p>
    <w:bookmarkEnd w:id="48"/>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ECLI:ES:TC:2002:45</w:t>
      </w:r>
    </w:p>
    <w:p w:rsidR="0025129F" w:rsidRDefault="0025129F" w:rsidP="0025129F">
      <w:pPr>
        <w:pStyle w:val="SntesisDescriptiva"/>
      </w:pPr>
    </w:p>
    <w:p w:rsidR="0025129F" w:rsidRDefault="0025129F" w:rsidP="0025129F">
      <w:pPr>
        <w:pStyle w:val="SntesisDescriptiva"/>
      </w:pPr>
      <w:r>
        <w:t>Recurso de amparo 2632/1998. Promovido por don José Jaén Prados frente a los Autos de un Juzgado de Primera Instancia y de la Audiencia Provincial de Girona, que le requirieron para que prestase caución en un procedimiento de ejecución hipotecaria.</w:t>
      </w:r>
    </w:p>
    <w:p w:rsidR="0025129F" w:rsidRDefault="0025129F" w:rsidP="0025129F">
      <w:pPr>
        <w:pStyle w:val="SntesisDescriptiva"/>
      </w:pPr>
    </w:p>
    <w:p w:rsidR="0025129F" w:rsidRDefault="0025129F" w:rsidP="0025129F">
      <w:pPr>
        <w:pStyle w:val="SntesisAnaltica"/>
      </w:pPr>
      <w:r>
        <w:t>Vulneración del derecho a la tutela judicial efectiva (acceso al proceso): caución desproporcionada para que un demandado, con derecho a asistencia jurídica gratuita, suscite una demanda de contradicción.</w:t>
      </w:r>
    </w:p>
    <w:p w:rsidR="0025129F" w:rsidRDefault="0025129F" w:rsidP="0025129F">
      <w:pPr>
        <w:pStyle w:val="SntesisAnaltica"/>
      </w:pPr>
    </w:p>
    <w:p w:rsidR="0025129F" w:rsidRDefault="0025129F" w:rsidP="0025129F">
      <w:pPr>
        <w:pStyle w:val="Extracto"/>
      </w:pPr>
      <w:r>
        <w:t>1.</w:t>
      </w:r>
      <w:r>
        <w:tab/>
        <w:t>Las resoluciones recurridas han establecido una caución desproporcionada, habida cuenta de la escasez de recursos del demandado y de su condición de titular del derecho de asistencia jurídica gratuita, determinando una privación del derecho de defensa del recurrente (art. 24.1 CE) [FJ 5].</w:t>
      </w:r>
    </w:p>
    <w:p w:rsidR="0025129F" w:rsidRDefault="0025129F" w:rsidP="0025129F">
      <w:pPr>
        <w:pStyle w:val="Extracto"/>
      </w:pPr>
    </w:p>
    <w:p w:rsidR="0025129F" w:rsidRDefault="0025129F" w:rsidP="0025129F">
      <w:pPr>
        <w:pStyle w:val="Extracto"/>
      </w:pPr>
      <w:r>
        <w:t>2.</w:t>
      </w:r>
      <w:r>
        <w:tab/>
        <w:t>El derecho a la asistencia jurídica gratuita no tiene forzosamente que producir el efecto de exonerar a su titular de la obligación de prestar las fianzas que le sean exigibles en el ámbito del proceso civil [FJ 4].</w:t>
      </w:r>
    </w:p>
    <w:p w:rsidR="0025129F" w:rsidRDefault="0025129F" w:rsidP="0025129F">
      <w:pPr>
        <w:pStyle w:val="Extracto"/>
      </w:pPr>
    </w:p>
    <w:p w:rsidR="0025129F" w:rsidRDefault="0025129F" w:rsidP="0025129F">
      <w:pPr>
        <w:pStyle w:val="Extracto"/>
      </w:pPr>
      <w:r>
        <w:t>3.</w:t>
      </w:r>
      <w:r>
        <w:tab/>
        <w:t>La función de este Tribunal se limita a valorar si la cuantía de la fianza impuesta por los Tribunales en el caso satisface el canon de razonabilidad o, por el contrario, resulta desproporcionada en relación con los medios económicos de quien deba prestarla [FJ 2].</w:t>
      </w:r>
    </w:p>
    <w:p w:rsidR="0025129F" w:rsidRDefault="0025129F" w:rsidP="0025129F">
      <w:pPr>
        <w:pStyle w:val="Extracto"/>
      </w:pPr>
    </w:p>
    <w:p w:rsidR="0025129F" w:rsidRDefault="0025129F" w:rsidP="0025129F">
      <w:pPr>
        <w:pStyle w:val="Extracto"/>
      </w:pPr>
      <w:r>
        <w:t>4.</w:t>
      </w:r>
      <w:r>
        <w:tab/>
        <w:t>Los órganos judiciales están constitucionalmente obligados a aplicar las normas que regulan los requisitos y presupuestos procesales, evitando cualquier exceso formalista que los convierta en obstáculos procesales impeditivos del acceso a la jurisdicción que garantiza el art. 24.1 CE (SSTC 17/1985, 157/1989, 64/1992)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2632/98, promovido por don José Jaén Prados, representado por la Procuradora de los Tribunales doña María Teresa Marcos Moreno y asistido por el Abogado don Alberto Valero Canales, contra Auto de 18 de abril de 1997 del Juzgado de Primera Instancia núm. 4 de Girona, dictado en los autos del art. 41 de la Ley Hipotecaria núm. 330/96, posteriormente confirmado por el Auto de 27 de mayo de 1998 de la Sección Segunda de la Audiencia Provincial de Girona, dictado en el rollo de apelación civil núm. 474/97. Ha intervenido el Ministerio Fiscal.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enviado por correo certificado el 9 de junio de 1998, registrado en este Tribunal el 12 de junio de 1998, el Letrado don Alberto Valero Canales, actuando en nombre y representación de don José Jaén Prados, en virtud de nombramiento de oficio, interpone demanda de solicitud de amparo contra los Autos referidos en el encabezamiento, pidiendo la designación de Procurador del turno de oficio.</w:t>
      </w:r>
    </w:p>
    <w:p w:rsidR="0025129F" w:rsidRDefault="0025129F" w:rsidP="0025129F">
      <w:pPr>
        <w:pStyle w:val="TextoNormal"/>
      </w:pPr>
    </w:p>
    <w:p w:rsidR="0025129F" w:rsidRDefault="0025129F" w:rsidP="0025129F">
      <w:pPr>
        <w:pStyle w:val="TextoNormal"/>
      </w:pPr>
      <w:r w:rsidRPr="0025129F">
        <w:rPr>
          <w:rStyle w:val="NumeroAFNegritaCaracter"/>
        </w:rPr>
        <w:t>2</w:t>
      </w:r>
      <w:r>
        <w:t>. Por providencia de la Sección Cuarta de 29 de junio de 1998 se acordó, de conformidad con el art. 50.5 LOTC, conceder al recurrente un plazo de diez días para que ratificase el escrito de demanda presentado por el Letrado don Alberto Valero Canales y para que dicho Letrado acreditase haber dado cumplimiento a lo dispuesto en el art. 4.3 del Acuerdo del Pleno de este Tribunal de 18 de junio de 1996, en relación con el art. 27 de la Ley 1/1996, aportando copia del escrito de renuncia a percibir honorarios.</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Cumplimentado el anterior requerimiento, mediante los escritos de renuncia del Letrado y de ratificación del recurrente, se acordó por providencia de 14 de septiembre de 1998 dirigir el oportuno oficio para la designación del Procurador de oficio solicitado y, por otra de 3 de diciembre de 1998, tener por designados por el turno de oficio a la Procuradora doña María Teresa Marcos Moreno y al Abogado don Alberto Valero Canales, concediendo a ambos profesionales un plazo de veinte días para que formalizasen la demanda, lo que hicieron en escrito presentado el 11 de enero de 1999. La demanda se fundamenta en los siguientes hechos: </w:t>
      </w:r>
    </w:p>
    <w:p w:rsidR="0025129F" w:rsidRDefault="0025129F" w:rsidP="0025129F">
      <w:pPr>
        <w:pStyle w:val="TextoNormal"/>
      </w:pPr>
      <w:r>
        <w:t xml:space="preserve">a) Doña Pilar Pradas Puig formuló contra don José Jaén Prados, don Diego Díaz Salazar y doña Mercedes Fuentes Milla el procedimiento del art. 41 LH respecto de una finca de la que es propietaria de la mitad indivisa, solicitando, entre otros pedimentos que, tras los oportunos trámites, se dictase Sentencia en que se reconociera y respetara el derecho de la actora, desalojando a los demandados de la finca litigiosa. </w:t>
      </w:r>
    </w:p>
    <w:p w:rsidR="0025129F" w:rsidRDefault="0025129F" w:rsidP="0025129F">
      <w:pPr>
        <w:pStyle w:val="TextoNormal"/>
      </w:pPr>
      <w:r>
        <w:t>La actora acreditó su titularidad mediante la correspondiente certificación del Registro de la Propiedad; al mismo tiempo alegó que el 1 de octubre de 1992 había arrendado la finca a don José Jaén Prados, aportando el documento contractual en el que constaban las condiciones específicas del contrato que, en síntesis, se resumen en las siguientes: el arrendamiento se establecía con carácter indefinido y los derechos para el arrendatario tenían carácter vitalicio, con expresa renuncia de la arrendadora a acogerse a ninguna disposición que lo contradijera. No se pactaba precio alguno y el Sr. Jaén Prados se hacía responsable de finalizar las obras de restauración de la casa que se halla en el predio rústi</w:t>
      </w:r>
      <w:r>
        <w:lastRenderedPageBreak/>
        <w:t xml:space="preserve">co objeto de arrendamiento, así como de asumir todos los gastos de mantenimiento y conservación. Asimismo, se facultaba al arrendatario para subarrendar. </w:t>
      </w:r>
    </w:p>
    <w:p w:rsidR="0025129F" w:rsidRDefault="0025129F" w:rsidP="0025129F">
      <w:pPr>
        <w:pStyle w:val="TextoNormal"/>
      </w:pPr>
      <w:r>
        <w:t xml:space="preserve">No obstante, según la actora, el arrendatario había renunciado a todos los derechos que le correspondían en el contrato de arrendamiento de 1 de octubre de 1992 mediante escritura pública otorgada el 18 de octubre de 1993, que se aportaba igualmente. </w:t>
      </w:r>
    </w:p>
    <w:p w:rsidR="0025129F" w:rsidRDefault="0025129F" w:rsidP="0025129F">
      <w:pPr>
        <w:pStyle w:val="TextoNormal"/>
      </w:pPr>
      <w:r>
        <w:t xml:space="preserve">b) Admitida a trámite la demanda por providencia de 19 de noviembre de 1996 del Juzgado de Primera Instancia núm. 4 de Girona (autos 330/96) y emplazados los demandados el 12 de diciembre de 1996, don José Jaén Prados compareció en el Juzgado con fecha de 13 de diciembre de 1996, y manifestó no disponer de recursos económicos, por lo que solicitó la designación de un Abogado y un Procurador del turno de oficio. </w:t>
      </w:r>
    </w:p>
    <w:p w:rsidR="0025129F" w:rsidRDefault="0025129F" w:rsidP="0025129F">
      <w:pPr>
        <w:pStyle w:val="TextoNormal"/>
      </w:pPr>
      <w:r>
        <w:t xml:space="preserve">c) El Juzgado acordó la designación del Abogado y del Procurador solicitados y la suspensión del procedimiento y, tras el nombramiento de estos profesionales, el ahora demandante del amparo formuló con fecha de 13 de marzo de 1997 demanda de contradicción, de conformidad con lo dispuesto en el núm. 2 del párrafo 6 del art. 41 LH, alegando poseer la finca litigiosa en virtud de un contrato de arrendamiento. </w:t>
      </w:r>
    </w:p>
    <w:p w:rsidR="0025129F" w:rsidRDefault="0025129F" w:rsidP="0025129F">
      <w:pPr>
        <w:pStyle w:val="TextoNormal"/>
      </w:pPr>
      <w:r>
        <w:t xml:space="preserve">En síntesis, el Sr. Jaén Prados señala que, con posterioridad al arrendamiento concertado el 1 de octubre de 1992, antes de la renuncia de los derechos derivados de dicho arrendamiento formulada el 18 de octubre de 1993, las partes habían celebrado otro contrato de arrendamiento el 1 de diciembre de 1992, que se aportaba. Indica igualmente que entre la actora y el demandado había existido una relación personal de afectividad, lo que motivó que vivieran juntos, conviniendo el arrendamiento de la finca litigiosa, en virtud del cual el Sr. Jaén se obligaba, como contraprestación, además de a realizar una serie de obras de restauración en la finca, a hacer frente a los gastos de mantenimiento. </w:t>
      </w:r>
    </w:p>
    <w:p w:rsidR="0025129F" w:rsidRDefault="0025129F" w:rsidP="0025129F">
      <w:pPr>
        <w:pStyle w:val="TextoNormal"/>
      </w:pPr>
      <w:r>
        <w:t xml:space="preserve">d) Por propuesta de providencia de 21 de marzo de 1997, el Juzgado acordó requerir al demandado para que prestase caución por importe de 500.000 pesetas en el término de cuarenta y ocho horas, con la advertencia de que si no cumplía con lo requerido no se admitiría la demanda de contradicción presentada. </w:t>
      </w:r>
    </w:p>
    <w:p w:rsidR="0025129F" w:rsidRDefault="0025129F" w:rsidP="0025129F">
      <w:pPr>
        <w:pStyle w:val="TextoNormal"/>
      </w:pPr>
      <w:r>
        <w:t xml:space="preserve">e) Contra esta resolución el ahora recurrente en amparo interpuso recurso de reposición, alegando la imposibilidad de prestar la caución exigida, dada su falta de recursos económicos y la condición de litigante con los beneficios de la justicia gratuita, con invocación expresa del art. 24 CE. </w:t>
      </w:r>
    </w:p>
    <w:p w:rsidR="0025129F" w:rsidRDefault="0025129F" w:rsidP="0025129F">
      <w:pPr>
        <w:pStyle w:val="TextoNormal"/>
      </w:pPr>
      <w:r>
        <w:t xml:space="preserve">f) Por Auto de 18 de abril de 1997, el Juzgado acordó mantener la resolución recurrida, aunque reduciendo el importe de la caución a 250.000 pesetas. </w:t>
      </w:r>
    </w:p>
    <w:p w:rsidR="0025129F" w:rsidRDefault="0025129F" w:rsidP="0025129F">
      <w:pPr>
        <w:pStyle w:val="TextoNormal"/>
      </w:pPr>
      <w:r>
        <w:t xml:space="preserve">g) Interpuesto recurso de apelación contra el referido Auto de 18 de abril de 1997, la Sección Segunda de la Audiencia Provincial de Girona (rollo 474/97), dictó Auto el 27 de mayo de 1998, notificado el 1 de junio, en el que desestimó el recurso y confirmó la resolución recurrida. </w:t>
      </w:r>
    </w:p>
    <w:p w:rsidR="0025129F" w:rsidRDefault="0025129F" w:rsidP="0025129F">
      <w:pPr>
        <w:pStyle w:val="TextoNormal"/>
      </w:pPr>
      <w:r>
        <w:t xml:space="preserve">Esta decisión se motiva, entre otros, en los siguientes razonamientos jurídicos: </w:t>
      </w:r>
    </w:p>
    <w:p w:rsidR="0025129F" w:rsidRDefault="0025129F" w:rsidP="0025129F">
      <w:pPr>
        <w:pStyle w:val="TextoNormal"/>
      </w:pPr>
      <w:r>
        <w:t xml:space="preserve">“El procedimiento del art. 41 de la Ley Hipotecaria se caracteriza por ser especial y sumario y por el hecho de que no produce efectos de cosa juzgada material, quedando a salvo el derecho de las partes para promover el juicio declarativo sobre la misma cuestión. Y si bien se configura como un proceso de ejecución, debido a que la oposición se articula mediante la llamada demanda de oposición, una vez personados los causantes del despojo o la perturbación y prestada, en su caso, la caución adecuada para la devolución de los frutos, la indemnización de los daños y perjuicios y pago de las costas, no excluye una fase contenciosa, limitada, eso así [sic], a determinar si la causa de oposición propuesta tiene o no la suficiente entidad como para hacer inviable el proceso instado, pero, basta </w:t>
      </w:r>
      <w:r>
        <w:lastRenderedPageBreak/>
        <w:t xml:space="preserve">con acreditar prima facie la apariencia de un negocio jurídico concertado con la actora, o con los titulares anteriores para devenir inviable la acción sumaria ejercitada. </w:t>
      </w:r>
    </w:p>
    <w:p w:rsidR="0025129F" w:rsidRDefault="0025129F" w:rsidP="0025129F">
      <w:pPr>
        <w:pStyle w:val="TextoNormal"/>
      </w:pPr>
      <w:r>
        <w:t xml:space="preserve">Pero la referida caución resulta presupuesto ineludible para la admisión de la demanda de contradicción, ya que de otra forma se podrían amparar conductas fraudulentas por parte del demandado en contradicción. Además en el caso en debate dada la descripción del inmueble que se hace en la demanda, dicha caución tampoco parece excesiva, máxime cuando el recurrente puede acudir a aval bancario u otras formas de financiación que sin duda alguna serán admitidas en la instancia. </w:t>
      </w:r>
    </w:p>
    <w:p w:rsidR="0025129F" w:rsidRDefault="0025129F" w:rsidP="0025129F">
      <w:pPr>
        <w:pStyle w:val="TextoNormal"/>
      </w:pPr>
      <w:r>
        <w:t>Por lo anterior se impone el rechazo del recurso de apelación interpuesto contra el auto recurrido, todo ello sin especial pronunciamiento en relación a las costas causadas en esta alzada, puesto que las pretensiones del recurrente no hay que tildarlas de injustificadas”.</w:t>
      </w:r>
    </w:p>
    <w:p w:rsidR="0025129F" w:rsidRDefault="0025129F" w:rsidP="0025129F">
      <w:pPr>
        <w:pStyle w:val="TextoNormal"/>
      </w:pPr>
    </w:p>
    <w:p w:rsidR="0025129F" w:rsidRDefault="0025129F" w:rsidP="0025129F">
      <w:pPr>
        <w:pStyle w:val="TextoNormal"/>
      </w:pPr>
      <w:r w:rsidRPr="0025129F">
        <w:rPr>
          <w:rStyle w:val="NumeroAFNegritaCaracter"/>
        </w:rPr>
        <w:t>4</w:t>
      </w:r>
      <w:r>
        <w:t>. La demanda denuncia la vulneración del derecho a la tutela judicial efectiva del art. 24.1 CE que, a juicio del recurrente, se ha producido porque las resoluciones recurridas le impiden el acceso a la justicia al exigirle una caución que ni la ley establece como obligatoria ni, en el presente caso, el recurrente podía prestar por imposibilidad material, al carecer de recursos económicos y disfrutar por ello del derecho a la asistencia jurídica gratuita.</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21 de septiembre de 1999 se acordó admitir a trámite el presente recurso y tener por parte al Procurador comparecido en nombre del recurrente. Asimismo, de conformidad con el art. 51 LOTC, se requirió al Juzgado de Primera Instancia núm. 4 de Girona y a la Sección Segunda de la Audiencia Provincial de Girona para que remitiesen testimonio de los autos 330/96 y del rollo de apelación 474/96, interesando al propio tiempo el emplazamiento de cuantos fueron parte en el proceso judicial antecedente, con excepción del recurrente, para que pudieran comparecer en este proceso constitucional en el plazo de diez días.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Con fecha 25 de octubre de 1999, la Sala Segunda de este Tribunal acuerda suspender la ejecución del Auto dictado por el Juzgado de Primera Instancia núm. 4 de Girona el 18 de abril de 1997, por entender que éste podía conducir al desalojo de la finca que sirve de vivienda al demandante de amparo, ocasionándole un perjuicio de imposible o muy difícil reparación, que haría que el presente recurso perdiera su finalidad. </w:t>
      </w:r>
    </w:p>
    <w:p w:rsidR="0025129F" w:rsidRDefault="0025129F" w:rsidP="0025129F">
      <w:pPr>
        <w:pStyle w:val="TextoNormal"/>
      </w:pPr>
      <w:r>
        <w:t xml:space="preserve">Comunicada la anterior resolución al Juzgado de Primera Instancia núm. 4 y a la Audiencia Provincial de Girona, ambos acordaron darle cumplimiento, ordenando el reintegro del demandante de amparo en la posesión del bien litigioso. No obstante, frente a tal decisión se formuló oposición por la actora en el procedimiento del art. 41 LH, por lo que la Audiencia Provincial de Girona acordó con fecha 13 de enero de 2000 dejar sin efecto el reintegro de la posesión, basándose en que el Auto de 18 de abril de 1997 ya había sido ejecutado con un año de antelación (concretamente, el 8 de octubre de 1998), con el lanzamiento del recurrente de la vivienda y en que se había constatado que éste tenía a su disposición otra vivienda en la que residir, pues había pasado a vivir con su madre. </w:t>
      </w:r>
    </w:p>
    <w:p w:rsidR="0025129F" w:rsidRDefault="0025129F" w:rsidP="0025129F">
      <w:pPr>
        <w:pStyle w:val="TextoNormal"/>
      </w:pPr>
      <w:r>
        <w:t>A la vista de las anteriores circunstancias, este Tribunal acordó oír por plazo de diez días al Ministerio Fiscal, que formuló escrito, registrado el 21 de junio de 2000, en el que interesa la reiteración de la orden de suspensión o que, en su caso, se adopten medidas cautelares que permitan el cumplimiento de la Sentencia que en su día se dicte. La Sala Segunda, por Auto de 2 de octubre de 2000, modificó el alcance de la suspensión acordada el 25 de octubre de 1999, limitándola a los efectos posteriores al lanzamiento de la vivien</w:t>
      </w:r>
      <w:r>
        <w:lastRenderedPageBreak/>
        <w:t>da, y encomendando al Juzgado de Primera Instancia núm. 4 de Girona que, a tal fin, adopte las medidas de aseguramiento que juzgue apropiadas y, en todo caso, que por el referido Juzgado se ordene la anotación preventiva de la demanda de amparo en el Registro de la Propiedad donde figure inscrito el inmueble objeto del procedimiento del art. 41 LH núm. 330/96.</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Por escrito registrado el 14 de junio de 2000, el recurrente presenta sus alegaciones en las que reitera la solicitud de amparo. En resumen alega que, conforme a la doctrina constitucional, en el supuesto más cercano a la caución del art. 41 LH, cual es la fianza exigida para el ejercicio de la acción popular, la STC 326/1994 entendió que lo que tiene trascendencia constitucional no es la exigencia de fianza en sí misma considerada, como condición para ser parte en el proceso, sino el problema de la racionalidad de la cuantía de la fianza impuesta, pues como ya apuntaban las SSTC 62/1983, 113/1984, 147/1985, “de ser desproporcionada en relación a los medios de quienes pretendan interponer querella se impediría u obstaculizaría gravemente su ejercicio, lo que podría conducir en la práctica a la indefensión que prohibe el art. 24.1 CE, debiendo interpretarse esta doctrina en el sentido de que no compete a este Tribunal la sustitución de los órganos de la jurisdicción ordinaria en la fijación de la cuantía, limitándose su función al control de la arbitrariedad e irracionalidad de la decisión judicial”. </w:t>
      </w:r>
    </w:p>
    <w:p w:rsidR="0025129F" w:rsidRDefault="0025129F" w:rsidP="0025129F">
      <w:pPr>
        <w:pStyle w:val="TextoNormal"/>
      </w:pPr>
      <w:r>
        <w:t xml:space="preserve">En el presente caso, continúa el recurrente, la finalidad de la caución que prevé el art. 41 LH es garantizar la devolución de los frutos y la indemnización de los daños y perjuicios (y el pago de las costas), derivados de una injustificada contradicción. Pero en modo alguno se desprende que dicha caución sea obligatoria para poder interponer la demanda de contradicción. El párrafo 2 del art. 41 LH determina que “el Juzgado a instancia del titular, adoptará las medidas que, según las circunstancias, fuesen necesarias para asegurar en todo caso el cumplimiento de la Sentencia que recayere” y la regla 6 del art. 137 del Reglamento Hipotecario (RH) establece que “se les requerirá para que presten la caución exigida por la ley, en la cuantía solicitada por el titular, si el Juez la encontrara justa. Si la estimara excesiva la reducirá en su prudente arbitrio”. Por lo tanto hay, por parte del Juzgado de Primera Instancia núm. 4 Girona y de la Sección Segunda de la Audiencia Provincial de Girona, una interpretación excesivamente rigorista y formalista respecto a la caución en el sentido de considerarla obligatoria, pues en aquellos casos, como el nuestro, en que el obligado no puede prestarla por escasez de recursos, se le cierra irremediablemente el proceso. En la STC 207/1998 se señala que “el principio de interpretación pro actione no debe ser entendido como la selección forzosa de la solución más favorable a la admisibilidad de entre todas aquellas posibles —ya que tal exigencia llevaría al Tribunal Constitucional a entrar en cuestiones de legalidad procesal que corresponde a los Tribunales ordinarios— sino ‘como interdicción de aquellas decisiones de inadmisión que por su rigorismo, por su formalismo excesivo o por cualquier otra razón revelan una clara desproporción entre los fines que aquéllas causan preservan y los intereses que sacrifican’ (STC 88/1997, FJ 2)”. </w:t>
      </w:r>
    </w:p>
    <w:p w:rsidR="0025129F" w:rsidRDefault="0025129F" w:rsidP="0025129F">
      <w:pPr>
        <w:pStyle w:val="TextoNormal"/>
      </w:pPr>
      <w:r>
        <w:t xml:space="preserve">A juicio del recurrente estamos en presencia de una interpretación de un presupuesto procesal excesivamente rigurosa que ha dado lugar al cierre del proceso. Como señalaba la STC 326/1994, el Tribunal Constitucional puede controlar la arbitrariedad e irracionalidad de la decisión judicial relativa a la cuantía de la fianza, en nuestro caso caución, exigida. Para ello deben tenerse en cuenta las siguientes circunstancias concurrentes: a) No se tiene en cuenta ni por el Juzgado ni por la Audiencia Provincial que el interesado goza del beneficio de justicia gratuita; b) No se tiene en cuenta que el interesado cobra una renta mínima </w:t>
      </w:r>
      <w:r>
        <w:lastRenderedPageBreak/>
        <w:t>de inserción de 41.000 pesetas mes y por lo tanto no puede hacer frente a una caución de 250.000 pesetas; c) Lo que es muy importante, ni el Juez de instancia ni la Audiencia Provincial realizan una mínima valoración de la demanda de contradicción —a la que están obligados para saber si es o no injustificada la contradicción— en la que, sin prejuzgar el fallo final, claramente se advierte la apariencia de buen derecho que tiene la defensa del demandado, por lo que dicha demanda no es injustificada; d) No se valora objetivamente en las resoluciones objeto de amparo, la cuantía de los daños y perjuicios que deben salvaguardarse a favor del titular registral. Se acuerda una caución de 250.000 pesetas sin atender a ningún criterio; e) No se tiene en cuenta por parte del Juzgado y de la Audiencia que el titular registral, promovente del procedimiento ex art. 41 LH, ha tardado casi tres años en iniciarlo, es decir, ha consentido durante tres años la presunta perturbación por parte del ahora recurrente. Si durante tres años no ha tenido perjuicios que reclamar, no se ve por qué el retraso que pueda producirse en la tramitación del procedimiento se los va a producir.</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escrito registrado el 15 de junio de 2000, el Fiscal formula sus alegaciones en las que, después de relatar los hechos que considera relevantes y la doctrina constitucional aplicable al caso, entiende que, cualquiera que sea la opinión que se sustente sobre la naturaleza del proceso previsto en el art. 41 LH, en su regulación la demanda de contradicción se condiciona a que por el demandado se preste caución “adecuada para responder de la devolución de frutos e indemnización de daños y perjuicios y pago de costas”, medida cautelar que es compatible con la existencia de otras medidas, también cautelares, que tienen una finalidad distinta: “asegurar el cumplimiento de la Sentencia que recayere”, en la dicción literal de la Ley Hipotecaria y a las que el art. 137 del Reglamento de la misma se refiere remitiéndose a los art. 1419, 1428 y 1663 LEC. </w:t>
      </w:r>
    </w:p>
    <w:p w:rsidR="0025129F" w:rsidRDefault="0025129F" w:rsidP="0025129F">
      <w:pPr>
        <w:pStyle w:val="TextoNormal"/>
      </w:pPr>
      <w:r>
        <w:t xml:space="preserve">Las medidas que pueden adoptarse son, por tanto, de dos tipos, aunque todas ellas tengan naturaleza cautelar: unas, como la caución, tienen por objeto garantizar que el actor será resarcido de los frutos que produzca la cosa mientras se ventila el pleito y de los daños y perjuicios que pueda sufrir durante su tramitación, con inclusión de las costas que en el mismo se devenguen; otras, como la intervención judicial en la administración o las innominadas, tienen por objeto asegurar la ejecución de la Sentencia. Las primeras, por tanto, pretenden evitar oposiciones sin fundamento, mientras que las segundas tienen por finalidad garantizar la efectividad de la tutela que la Sentencia pueda dispensar. </w:t>
      </w:r>
    </w:p>
    <w:p w:rsidR="0025129F" w:rsidRDefault="0025129F" w:rsidP="0025129F">
      <w:pPr>
        <w:pStyle w:val="TextoNormal"/>
      </w:pPr>
      <w:r>
        <w:t xml:space="preserve">Entre unas y otras medidas hay también otras diferencias: por lo que respecta a las primeras, en la regulación legal el arbitrio judicial se restringe a determinar la adecuación de la caución a los fines que la misma está llamada a cumplir, mientras que en cuanto a las segundas la ley concede al Juez un amplio arbitrio, tanto para determinar o no la necesidad de su apreciación como para, en el primer caso, decidir cuál es la medida adecuada. La regulación de una y otra clase de medidas no contempla, sin embargo, de manera expresa que para la determinación de su cuantía en el caso de que se trae de medidas económicas se tenga en consideración la capacidad económica del que las deba prestar, cuestión que, no obstante, debe ser objeto de ponderación judicial en la resolución que la establezca porque podría resultar vulnerado el art. 24.1 CE por la resolución judicial que acordara la imposición de medidas que, por la imposibilidad de su prestación por falta de capacidad económica del que las debe cumplir, impidan el acceso al proceso, ya que, aunque la legislación hipotecaria no mencione más que la restitución de los frutos o la reparación de los daños como los criterios que se deben observar para la determinación de la caución, el art. 24.1 CE impide que se puedan imponer cauciones de imposible cumplimiento para tener </w:t>
      </w:r>
      <w:r>
        <w:lastRenderedPageBreak/>
        <w:t xml:space="preserve">acceso a un proceso. Igual consideración, en cuanto a la vulneración de dicho precepto constitucional, cabe hacer si la imposición de medidas se realizara de manera arbitraria o irrazonable o fuese producto de un error patente (SSTC 202/1987, 50/1988 y 62/1997). </w:t>
      </w:r>
    </w:p>
    <w:p w:rsidR="0025129F" w:rsidRDefault="0025129F" w:rsidP="0025129F">
      <w:pPr>
        <w:pStyle w:val="TextoNormal"/>
      </w:pPr>
      <w:r>
        <w:t xml:space="preserve">Desde esta perspectiva guarda especial relación con la cuestión que ha sido sometida a conocimiento del Tribunal Constitucional la incidencia que el beneficio de la justicia gratuita pueda tener sobre la exigencia de caución, tanto porque en abstracto puede plantearse que, quienes litigan con el beneficio de la justicia gratuita deben estar dispensados de la prestación de caución, como porque en el caso el demandante de amparo invoca que tal es uno de los fundamentos de la vulneración sufrida. Dicha cuestión fue objeto del recurso de amparo resuelto por este Tribunal en la STC 202/1987, en la que se estableció, con cita de las SSTC 62/1983 y 113/1984, que “En ellas se sienta la doctrina de que, en términos generales, el requisito de la fianza no vulnera el derecho a la tutela judicial efectiva, en tanto no resulte prohibitiva o particularmente gravosa. Pero esta doctrina, preciso es observarlo, recayó en materia penal, en fianzas sobre querella o libertad provisional. Consecuentemente, lo que puede ser decisivo en ese ámbito no puede ser trasladado, sin más, al orden jurídico en el que se desenvuelve el proceso que ha motivado este recurso de amparo, proceso de carácter civil para la decisión de intereses privados, aquí económicos, y sin la trascendencia de los derechos que en aquel otro orden se debaten. Por eso tiene sentido la prohibición de exigir fianzas inadecuadas obstativas al ejercicio de la acción popular (Penal) que establece el art. 20.3 de la Ley Orgánica del Poder Judicial, bien que salvando la legitimidad de la fianza con el requisito de su adecuación, y que no exista norma parecida en los otros órdenes jurídicos.” </w:t>
      </w:r>
    </w:p>
    <w:p w:rsidR="0025129F" w:rsidRDefault="0025129F" w:rsidP="0025129F">
      <w:pPr>
        <w:pStyle w:val="TextoNormal"/>
      </w:pPr>
      <w:r>
        <w:t xml:space="preserve">Con posterioridad a las fechas de tales pronunciamientos del Tribunal Constitucional se han producido modificaciones en nuestro Ordenamiento jurídico que, en opinión del Ministerio Fiscal, vienen a justificar la estimación del amparo. Dichas modificaciones consisten esencialmente en la promulgación de la Ley 1/1996, de 10 de enero, en cuyo art. 6 se regula el contenido material del derecho de asistencia jurídica gratuita, en el que se incluye, a tenor del parágrafo 5, “la exención del pago de depósitos necesarios para la interposición de recursos”, lo que permite proponer que dicho precepto, el de la Ley de asistencia jurídica gratuita, sea también de aplicación a la exigencia de caución para formular demanda de contradicción en el procedimiento del art. 41 LH. Tal proposición se basa, de una parte, en la analogía y, de otra, en la especial naturaleza del derecho cuyo ejercicio se condiciona a la prestación de la caución. </w:t>
      </w:r>
    </w:p>
    <w:p w:rsidR="0025129F" w:rsidRDefault="0025129F" w:rsidP="0025129F">
      <w:pPr>
        <w:pStyle w:val="TextoNormal"/>
      </w:pPr>
      <w:r>
        <w:t xml:space="preserve">En efecto, la exigencia del depósito para recurrir tiene, entre otras, la finalidad de evitar los abusos que puede propiciar la regulación del sistema de recursos dentro del proceso, estableciendo para ello un filtro que haga desistir del recurso a los litigantes cuyas pretensiones carecen de la consistencia suficiente para merecer un nuevo examen por parte de otra instancia judicial. Dicha finalidad es también la que, en parte, justifica la exigencia de caución en el procedimiento del art. 41 LH, ya que, como antes se ha dicho, al erigirse para garantizar la reparación de los perjuicios que pueda causar al titular registral no disponer o tener la posesión inmediata del bien que constituye el objeto del derecho cuya tutela registral se insta, lo que se pretende con la exigencia de tal cautela es disuadir a los litigantes temerarios. A tal razón se tiene que añadir la naturaleza especial del acceso a la jurisdicción que, como antes se ha dicho (SSTC 172/1995 y 62/1997), comporta que juegue con mayor intensidad la vigencia del principio pro actione, por lo que, si la propia legislación ordinaria prevé la posibilidad de que quien litigue con el beneficio de la asistencia jurídica gratuita esté exento de constituir los depósitos para recurrir cuando ello es necesario, dicha legislación, interpretada en clave constitucional, determina la necesidad </w:t>
      </w:r>
      <w:r>
        <w:lastRenderedPageBreak/>
        <w:t xml:space="preserve">de que también se le exima, con mayor razón, de la constitución de tales depósitos cuando se exigen para tener acceso al proceso. </w:t>
      </w:r>
    </w:p>
    <w:p w:rsidR="0025129F" w:rsidRDefault="0025129F" w:rsidP="0025129F">
      <w:pPr>
        <w:pStyle w:val="TextoNormal"/>
      </w:pPr>
      <w:r>
        <w:t xml:space="preserve">Constando acreditado que el demandante de amparo goza del beneficio de la asistencia jurídica gratuita, debió de permitirse que tuviera acceso al proceso sin prestación de caución, lo que, obviamente, determina el contenido que tiene que tener el pronunciamiento que se dicte al resolver el presente recurso. </w:t>
      </w:r>
    </w:p>
    <w:p w:rsidR="0025129F" w:rsidRDefault="0025129F" w:rsidP="0025129F">
      <w:pPr>
        <w:pStyle w:val="TextoNormal"/>
      </w:pPr>
      <w:r>
        <w:t xml:space="preserve">También asiste la razón al demandante de amparo en el otro motivo que alega como fundamento de la vulneración de su derecho a la tutela judicial. Las resoluciones judiciales combatidas en amparo fijaron en primer lugar (providencia de 21 de marzo de 1997) una caución de 500.000 pesetas para que el demandado pudiera formular demanda de contradicción y, posteriormente, en virtud de los recursos de éste (Auto de 18 de abril de 1997, que resolvió el recurso de reposición, y Auto de 27 de mayo de 1998, que resolvió el de apelación) dicha caución se redujo a 250.000 pesetas. Las citadas decisiones se basan en la obligatoriedad de la exigencia de tal medida cautelar si es pedida por el demandante y en el importe de los perjuicios que se pudieran derivar para el demandante atendiendo a la naturaleza del bien litigioso, flexibilizando la forma de prestación al indicar que se podía prestar mediante aval bancario. Sin necesidad de entrar a dilucidar la adecuación de la suficiencia de la caución y con independencia de que no se mencione en la Ley Hipotecaria y en su Reglamento la capacidad económica del demandado como criterio a tomar en consideración para graduar la cuantía de la caución, es lo cierto que el demandante en sede judicial ordinaria ha omitido cualquier alegación (y, por ende, cualquier acreditación) sobre el importe al que debía ascender el importe de la caución, de suerte que los órganos judiciales únicamente contaban con los datos que sobre tal extremo fueron aportados por el demandado y con los que pudieran resultar de la documentación que se unió a la demanda. De tal material probatorio resulta: </w:t>
      </w:r>
    </w:p>
    <w:p w:rsidR="0025129F" w:rsidRDefault="0025129F" w:rsidP="0025129F">
      <w:pPr>
        <w:pStyle w:val="TextoNormal"/>
      </w:pPr>
      <w:r>
        <w:t xml:space="preserve">a) El demandado, además de ser acreedor del beneficio de asistencia jurídica gratuita, justifica que está inscrito en un plan de asistencia social de la Administración autonómica del que percibe 40.000 pesetas mensuales, cantidad con la que dice tiene que hacer frente a sus necesidades. </w:t>
      </w:r>
    </w:p>
    <w:p w:rsidR="0025129F" w:rsidRDefault="0025129F" w:rsidP="0025129F">
      <w:pPr>
        <w:pStyle w:val="TextoNormal"/>
      </w:pPr>
      <w:r>
        <w:t xml:space="preserve">b) El bien que constituye el objeto del litigio se describe como una pieza de tierra con una extensión de 21,87 áreas sobre la que hay construida una casa cuya superficie se ignora, como igualmente se ignora si la misma se encuentra o no subarrendada y, en el caso de que lo estuviere, cuál sea la renta que esté percibiendo el demandado. </w:t>
      </w:r>
    </w:p>
    <w:p w:rsidR="0025129F" w:rsidRDefault="0025129F" w:rsidP="0025129F">
      <w:pPr>
        <w:pStyle w:val="TextoNormal"/>
      </w:pPr>
      <w:r>
        <w:t xml:space="preserve">c) También se ignora qué otros frutos puede producir dicho bien. </w:t>
      </w:r>
    </w:p>
    <w:p w:rsidR="0025129F" w:rsidRDefault="0025129F" w:rsidP="0025129F">
      <w:pPr>
        <w:pStyle w:val="TextoNormal"/>
      </w:pPr>
      <w:r>
        <w:t xml:space="preserve">d) Finalmente, la naturaleza jurídica de la relación que en su día justificó que el demandado ocupara dicha finca no deja de ser peculiar: se califica como un contrato de inquilinato, pero se ignora cuál sea la renta que tiene que pagar el arrendatario, aunque se le permite subarrendar y que ocupe la finca por tiempo indefinido. </w:t>
      </w:r>
    </w:p>
    <w:p w:rsidR="0025129F" w:rsidRDefault="0025129F" w:rsidP="0025129F">
      <w:pPr>
        <w:pStyle w:val="TextoNormal"/>
      </w:pPr>
      <w:r>
        <w:t xml:space="preserve">En tales circunstancias el Fiscal entiende que fijar una caución que no sea simbólica es un ejercicio de arbitrariedad que vulnera el art. 24.1 CE, con cuyo espíritu hubiera sido más compatible dispensar al demandado de la prestación de caución o que el contenido de ésta fuera meramente simbólico o, restableciendo la antigua caución juratoria del art. 14 LEC (de la que se encuentran restos, pese a su derogación por la Ley de asistencia jurídica gratuita, en su art. 36.3), que el contenido de la caución consistiera en prestar promesa de reparar los perjuicios que la tramitación del proceso pudiera ocasionar al demandante, una vez que los mismos se acreditaran. Por lo expuesto, el Fiscal solicita del Tribunal Constitucional que la Sentencia que se dicte estime el recurso de amparo y en su virtud disponga: </w:t>
      </w:r>
    </w:p>
    <w:p w:rsidR="0025129F" w:rsidRDefault="0025129F" w:rsidP="0025129F">
      <w:pPr>
        <w:pStyle w:val="TextoNormal"/>
      </w:pPr>
      <w:r>
        <w:lastRenderedPageBreak/>
        <w:t xml:space="preserve">1) Declarar que el demandante de amparo ha visto vulnerado su derecho a la tutela judicial efectiva por la providencia de 21 de marzo de 1997 dictada en el proceso tramitado con el núm. 330/96 por el Juzgado de Primera Instancia e Instrucción núm. 4 de Girona y por los Autos dictados el 18 de abril de 1997 por el propio Juzgado y el 27 de mayo de 1998 por la Audiencia Provincial de Girona resolviendo los recursos de reposición y de apelación interpuestos por el solicitante de amparo contra dicha providencia. </w:t>
      </w:r>
    </w:p>
    <w:p w:rsidR="0025129F" w:rsidRDefault="0025129F" w:rsidP="0025129F">
      <w:pPr>
        <w:pStyle w:val="TextoNormal"/>
      </w:pPr>
      <w:r>
        <w:t>2) Restablecer al demandante en su derecho retrotrayendo las actuaciones al momento anterior a dictar la citada providencia para que se dicte otra dispensando al demandado de la obligación de prestar caución o fijando el contenido de ésta de manera compatible con el art. 24.1 CE.</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21 de febrero de 2002 se fijó para la deliberación y fallo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Dados los términos en que viene planteada la demanda, el presente recurso de amparo busca dilucidar si el Auto del Juzgado de Primera Instancia núm. 4 de Girona, de 18 de abril de 1997, posteriormente confirmado por otro de 27 de mayo de 1998 de la Audiencia Provincial de Girona, que exigieron una caución de 250.000 pesetas al ahora demandante de amparo para la admisión de una demanda de contradicción, ha vulnerado su derecho a la tutela judicial efectiva del art. 24.1 CE.</w:t>
      </w:r>
    </w:p>
    <w:p w:rsidR="0025129F" w:rsidRDefault="0025129F" w:rsidP="0025129F">
      <w:pPr>
        <w:pStyle w:val="TextoNormal"/>
      </w:pPr>
      <w:r>
        <w:t>Ante todo, hay que señalar que el amparo solicitado sigue conservando su virtualidad, pese a las incidencias acaecidas en relación con la suspensión de la ejecución del mencionado Auto de 18 de abril de 1997. En efecto, acordada dicha suspensión por Auto de este Tribunal de 25 de octubre de 1999, los órganos jurisdiccionales encargados de ejecutarla pusieron de relieve la dificultad de hacerlo en sus propios términos, dado que el Auto objeto de suspensión ya había sido ejecutado el 8 de octubre de 1998, con el lanzamiento del demandante de amparo de la vivienda que ocupaba. En consecuencia y para impedir que tal circunstancia privara de todo sentido al amparo solicitado, por Auto de 2 de octubre de 2000 la Sala acordó modificar el alcance de la suspensión otorgada mediante el Auto de 25 de octubre de 1999, limitándolo a los efectos posteriores al lanzamiento de la vivienda, y encomendando al Juzgado de Primera Instancia núm.  4 de Girona la adopción de las medidas de aseguramiento que estimara apropiadas, entre ellas, necesariamente, la anotación preventiva de la demanda de amparo en el Registro de la Propiedad en el que figure inscrito el bien inmueble a que se refiere el procedimiento del art. 41 de la Ley Hipotecaria (LH) de que trae causa el presente recurso. Por tanto, sigue siendo procedente su resolución.</w:t>
      </w:r>
    </w:p>
    <w:p w:rsidR="0025129F" w:rsidRDefault="0025129F" w:rsidP="0025129F">
      <w:pPr>
        <w:pStyle w:val="TextoNormal"/>
      </w:pPr>
    </w:p>
    <w:p w:rsidR="0025129F" w:rsidRDefault="0025129F" w:rsidP="0025129F">
      <w:pPr>
        <w:pStyle w:val="TextoNormal"/>
      </w:pPr>
      <w:r w:rsidRPr="0025129F">
        <w:rPr>
          <w:rStyle w:val="NumeroAFNegritaCaracter"/>
        </w:rPr>
        <w:t>2</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fundamental reconocido en el art. 24.1 CE; no obstante,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el acceso al proceso, vulnerando la tutela ju</w:t>
      </w:r>
      <w:r>
        <w:lastRenderedPageBreak/>
        <w:t>dicial garantizada constitucionalmente (STC 185/1987, de 18 de noviembre), razón por la cual también se satisface el derecho a la tutela judicial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201/2001, de 15 de octubre, entre otras muchas).</w:t>
      </w:r>
    </w:p>
    <w:p w:rsidR="0025129F" w:rsidRDefault="0025129F" w:rsidP="0025129F">
      <w:pPr>
        <w:pStyle w:val="TextoNormal"/>
      </w:pPr>
      <w:r>
        <w:t>A su vez, los órganos judiciales están constitucionalmente obligados a aplicar las normas que regulan los requisitos y presupuestos procesales, teniendo siempre presente el fin perseguido por el legislador al establecerlos, evitando cualquier exceso formalista que los convierta en obstáculos procesales impeditivos de acceso a la jurisdicción que garantiza el art.  24.1 CE; ahora bien, el criterio antiformalista tampoco puede conducir a que se prescinda de los requisitos establecidos por las leyes que ordenan el proceso y los recursos, en garantía de los derechos de todas las partes (SSTC 17/1985, de 9 de febrero; 157/1989, de 5 de octubre; 64/1992, de 29 de abril).</w:t>
      </w:r>
    </w:p>
    <w:p w:rsidR="0025129F" w:rsidRDefault="0025129F" w:rsidP="0025129F">
      <w:pPr>
        <w:pStyle w:val="TextoNormal"/>
      </w:pPr>
      <w:r>
        <w:t>En tal sentido, los Jueces y Tribunales deben llevar a cabo una adecuada ponderación de los defectos que adviertan en los actos procesales de las partes, guardando la debida proporcionalidad entre la irregularidad cometida y la sanción que debe acarrear, a fin de procurar, siempre que sea posible, la subsanación del defecto o irregularidad a fin de favorecer la conservación de la eficacia de los actos procesales y del proceso como instrumento para alcanzar la efectividad de la tutela judicial (arts.  11.3, 240.2, 242 y 243 LOPJ; SSTC 163/1985, de 2 de diciembre; 117/1986, de 13 de octubre; 140/1987, de 23 de julio; 5/1988, de 21 de enero; 39/1988, de 9 de marzo; 57/1988, de 5 de abril; 164/1991, de 18 de julio). En dicha ponderación deben tomarse en consideración la entidad del defecto y su incidencia en la consecución de la finalidad perseguida por la norma infringida, junto a su trascendencia para las garantías procesales de las demás partes del proceso y a la voluntad y grado de diligencia procesal apreciada en la parte, en orden al cumplimiento del requisito procesal omitido o irregularmente observado (SSTC 41/1992, de 30 de marzo; 64/1992, de 29 de abril; 331/1994, de 19 de diciembre; 145/1998, de 30 de junio).</w:t>
      </w:r>
    </w:p>
    <w:p w:rsidR="0025129F" w:rsidRDefault="0025129F" w:rsidP="0025129F">
      <w:pPr>
        <w:pStyle w:val="TextoNormal"/>
      </w:pPr>
      <w:r>
        <w:t>No obstante, también ha declarado este Tribunal, con ocasión de las fianzas que la ley exige al que no ha sido ofendido por el delito para el ejercicio de la acción penal, que la exigencia de fianza como condición para ser parte en el proceso no es en sí misma contraria al contenido esencial del derecho reconocido por el art. 24.1 CE, pues no impide por sí misma el acceso a la jurisdicción (SSTC 62/1983, de 11 de julio; 113/1984, de 29 de noviembre; 147/1985, de 29 de octubre; 326/1994, de 12 de diciembre; 50/1998, de 2 de marzo; 79/1999, de 26 de abril).</w:t>
      </w:r>
    </w:p>
    <w:p w:rsidR="0025129F" w:rsidRDefault="0025129F" w:rsidP="0025129F">
      <w:pPr>
        <w:pStyle w:val="TextoNormal"/>
      </w:pPr>
      <w:r>
        <w:t xml:space="preserve">Por esta razón, como ya precisamos en la citada doctrina constitucional, cuando la ley autorice la exigencia de fianza, no es competencia de este Tribunal sustituir a los órganos de la jurisdicción ordinaria en la fijación de la cuantía de las que deben prestar los litigantes para el ejercicio de las correspondientes acciones legales. Así pues, en la vía del amparo, su función se limita al control de la arbitrariedad e irrazonabilidad de las decisiones judiciales en la materia, con el fin de valorar, desde la perspectiva del derecho fundamental reconocido en el art. 24.1 CE, si la cuantía de la fianza impuesta por los Tribunales en el caso satisface el canon de razonabilidad o, por el contrario, resulta desproporcionada en relación con los medios económicos de quien deba prestarla, erigiéndose de este modo en </w:t>
      </w:r>
      <w:r>
        <w:lastRenderedPageBreak/>
        <w:t>un impedimento u obstáculo insalvable para el ejercicio de la acción lo que conduciría, en la práctica, a la indefensión.</w:t>
      </w:r>
    </w:p>
    <w:p w:rsidR="0025129F" w:rsidRDefault="0025129F" w:rsidP="0025129F">
      <w:pPr>
        <w:pStyle w:val="TextoNormal"/>
      </w:pPr>
    </w:p>
    <w:p w:rsidR="0025129F" w:rsidRDefault="0025129F" w:rsidP="0025129F">
      <w:pPr>
        <w:pStyle w:val="TextoNormal"/>
      </w:pPr>
      <w:r w:rsidRPr="0025129F">
        <w:rPr>
          <w:rStyle w:val="NumeroAFNegritaCaracter"/>
        </w:rPr>
        <w:t>3</w:t>
      </w:r>
      <w:r>
        <w:t>. A la luz de la doctrina que se deja expuesta debemos examinar, a continuación, si la fianza exigida al demandante del amparo respetó o no el contenido esencial del art. 24.1 CE.</w:t>
      </w:r>
    </w:p>
    <w:p w:rsidR="0025129F" w:rsidRDefault="0025129F" w:rsidP="0025129F">
      <w:pPr>
        <w:pStyle w:val="TextoNormal"/>
      </w:pPr>
      <w:r>
        <w:t>En el procedimiento para la efectividad de los derechos reales inscritos, previsto en el art. 41 LH (desarrollado en el art. 137 RH) y regulado en la actualidad en la Ley de enjuiciamiento civil (arts. 250.7, 439.2, 440.2, 441.3, 444.2 y 447.3 LEC 2000), la caución se configura legalmente como una garantía que debe prestar el demandado (en cualquiera de las formas actualmente previstas en el art. 64.2 LEC) para que le sea admitida la oposición a la demanda mediante la formulación de la llamada “demanda de contradicción”. Esta caución, que deberá solicitarse por el actor (arts. 137, regla 2, RH y 439.2.2 LEC), y cuya cuantía, dentro de los límites de la interesada por el demandante, será fijada por el Juzgado (arts. 137, regla 6, RH y 440.2 LEC), tiene como finalidad —expresamente declarada por la ley— la de responder de la devolución de los frutos percibidos indebidamente y del pago de los daños y perjuicios causados, así como de las costas procesales (arts. 41.4 LH, 137, regla 2, RH y 439.2.2 LEC). Por tanto, la caución se diferencia netamente de otras medidas cautelares que puedan solicitarse y acordarse para la efectividad de la Sentencia que se dicte (arts. 137, reglas 2 y 3, RH y 439.2.1 y 2 y 441.3 LEC).</w:t>
      </w:r>
    </w:p>
    <w:p w:rsidR="0025129F" w:rsidRDefault="0025129F" w:rsidP="0025129F">
      <w:pPr>
        <w:pStyle w:val="TextoNormal"/>
      </w:pPr>
      <w:r>
        <w:t>La regulación legal que se deja sucintamente expuesta impone a los órganos judiciales, a la hora de fijar la cuantía de la caución que debe prestar el demandado, una ponderación de las circunstancias del caso que tenga en cuenta el objeto y contenido de la pretensión ejercitada en la demanda, las consecuencias económicas que para el demandante se derivan de la conducta perturbadora del derecho real inscrito que se imputa al demandado (frutos, daños y perjuicios y costas procesales), así como la capacidad económica de éste, pues la exigencia de una caución que hiciera impracticable el ejercicio de su derecho de defensa, impidiéndole contestar a la demanda y oponerse a la pretensión del actor (“demanda de contradicción”), podría constituir una privación del derecho a la tutela judicial efectiva que vulneraría el art.  24.1 CE al impedir el acceso al proceso sumario en el que le ha situado la contraparte.</w:t>
      </w:r>
    </w:p>
    <w:p w:rsidR="0025129F" w:rsidRDefault="0025129F" w:rsidP="0025129F">
      <w:pPr>
        <w:pStyle w:val="TextoNormal"/>
      </w:pPr>
    </w:p>
    <w:p w:rsidR="0025129F" w:rsidRDefault="0025129F" w:rsidP="0025129F">
      <w:pPr>
        <w:pStyle w:val="TextoNormal"/>
      </w:pPr>
      <w:r w:rsidRPr="0025129F">
        <w:rPr>
          <w:rStyle w:val="NumeroAFNegritaCaracter"/>
        </w:rPr>
        <w:t>4</w:t>
      </w:r>
      <w:r>
        <w:t>. En el presente caso, el solicitante del amparo alegó, para no prestar la caución exigida, su escasez de recursos económicos determinante de que se le hubiera reconocido el derecho a la justicia gratuita. Señala el Ministerio Fiscal al respecto que, acreditado que el recurrente goza del derecho a la asistencia jurídica gratuita, debe traerse a colación lo previsto en el art. 6.5 de la Ley 1/1996, de 10 de enero, que incluye, entre las prestaciones que comprende este derecho, la “exención del pago de depósitos necesarios para la interposición de recursos”; disposición que debe aplicarse, por analogía, incluyendo junto a los “depósitos” para recurrir, la exención de la “caución” para formular la demanda de contradicción en el procedimiento del art.  41 LH.</w:t>
      </w:r>
    </w:p>
    <w:p w:rsidR="0025129F" w:rsidRDefault="0025129F" w:rsidP="0025129F">
      <w:pPr>
        <w:pStyle w:val="TextoNormal"/>
      </w:pPr>
      <w:r>
        <w:t xml:space="preserve">En relación con este extremo cabe señalar que el goce del derecho a la asistencia jurídica gratuita no tiene forzosamente que producir el efecto de exonerar a su titular de la obligación de prestar las fianzas que le sean exigibles en el ámbito del proceso civil. En la STC 202/1987, de 17 de diciembre, tuvimos ocasión de declarar que la fianza exigida por los órganos judiciales a un demandante al que se había reconocido el derecho a la justicia gratuita, como condición previa para acordar la anotación en el Registro de la Propiedad de su demanda civil, no vulneraba el derecho a la tutela judicial efectiva, pues la adopción </w:t>
      </w:r>
      <w:r>
        <w:lastRenderedPageBreak/>
        <w:t>de esta medida cautelar es susceptible de originar unos daños y perjuicios en el demandado, en atención a los cuales la ley admite que pueda condicionarse, exigiendo la oportuna caución de quien la solicite (art. 139 RH). Tal consideración, unida a la presunción de existencia y exactitud de los derechos reales inscritos (art. 38 LH), que se verían afectados por dicha medida cautelar, justificaban la prestación de la caución exigida en el caso resuelto por dicha Sentencia, en atención a que la resolución judicial que la establecía se apoyaba en una razonada, detallada y explícita fundamentación del fallo.</w:t>
      </w:r>
    </w:p>
    <w:p w:rsidR="0025129F" w:rsidRDefault="0025129F" w:rsidP="0025129F">
      <w:pPr>
        <w:pStyle w:val="TextoNormal"/>
      </w:pPr>
      <w:r>
        <w:t>A la luz de lo anterior, y teniendo en cuenta que no es competencia de este Tribunal interpretar y aplicar la legalidad ordinaria (art. 117.3 CE; STC 202/1987, de 17 de diciembre, FJ 4), resulta improcedente determinar si en la Ley 1/1996, de 10 de enero, de asistencia jurídica gratuita existe una laguna, por la no inclusión en el art. 6, entre las prestaciones que comprende el derecho a la asistencia jurídica gratuita, de la exención de las fianzas o cauciones que sea preciso prestar para poder contestar y oponerse a las demandas interpuestas al amparo del art. 41 LH. Tal planteamiento conduciría a propugnar que se aplique por analogía a este supuesto lo previsto específicamente en el art. 6.5 LAJG, que exime al titular del derecho a la asistencia jurídica gratuita del pago de los depósitos que sean necesarios para la interposición de recursos, siendo así que no se trata de supuestos forzosamente iguales, entre los que se aprecie la identidad de razón que obligue a aplicar la norma prevista para el caso regulado al supuesto no contemplado (art. 4.1 CC).</w:t>
      </w:r>
    </w:p>
    <w:p w:rsidR="0025129F" w:rsidRDefault="0025129F" w:rsidP="0025129F">
      <w:pPr>
        <w:pStyle w:val="TextoNormal"/>
      </w:pPr>
    </w:p>
    <w:p w:rsidR="0025129F" w:rsidRDefault="0025129F" w:rsidP="0025129F">
      <w:pPr>
        <w:pStyle w:val="TextoNormal"/>
      </w:pPr>
      <w:r w:rsidRPr="0025129F">
        <w:rPr>
          <w:rStyle w:val="NumeroAFNegritaCaracter"/>
        </w:rPr>
        <w:t>5</w:t>
      </w:r>
      <w:r>
        <w:t>. Expuestos los criterios que deben ponderarse para la fijación de la caución prevista en el procedimiento del art. 41 LH, hemos de examinar ahora si, en el caso que nos ocupa, la fianza exigida al recurrente respetó el contenido del derecho a la tutela judicial efectiva, habida cuenta de las circunstancias concretas que concurren en el supuesto.</w:t>
      </w:r>
    </w:p>
    <w:p w:rsidR="0025129F" w:rsidRDefault="0025129F" w:rsidP="0025129F">
      <w:pPr>
        <w:pStyle w:val="TextoNormal"/>
      </w:pPr>
      <w:r>
        <w:t>En el presente caso la actora, que formuló la demanda del art. 41 LH contra el ahora recurrente, tras invocar su derecho de propiedad sobre la mitad indivisa de la finca objeto del procedimiento, alegó que el demandado ocupaba el inmueble en virtud de un contrato de arrendamiento celebrado el 1 de octubre de 1992, a cuyos derechos había renunciado en escritura pública otorgada el 18 de octubre de 1993, por lo que ya carecía de título alguno para seguir en la posesión de la finca.</w:t>
      </w:r>
    </w:p>
    <w:p w:rsidR="0025129F" w:rsidRDefault="0025129F" w:rsidP="0025129F">
      <w:pPr>
        <w:pStyle w:val="TextoNormal"/>
      </w:pPr>
      <w:r>
        <w:t>Frente a esta demanda el ahora recurrente formuló demanda de contradicción que, no obstante no haberse prestado la caución de 250.000 pesetas exigida para su admisión, consta incorporada a los autos, junto a los documentos aportados con ella (folios 50 a 65). En su escrito el demandado se opone a la pretensión de la actora alegando su condición de arrendatario según un contrato de arrendamiento celebrado con la demandante el 1 de diciembre de 1992. En apoyo de su pretensión aporta el oportuno documento privado firmado por las partes, en el que se recogen las condiciones específicas del contrato, que establecen el arrendamiento por tiempo indefinido (1), pactándose que los derechos del arrendatario tienen carácter vitalicio (2) y la obligación de éste de finalizar las obras de restauración de la casa arrendada (3), sin que se fije precio al arrendamiento.</w:t>
      </w:r>
    </w:p>
    <w:p w:rsidR="0025129F" w:rsidRDefault="0025129F" w:rsidP="0025129F">
      <w:pPr>
        <w:pStyle w:val="TextoNormal"/>
      </w:pPr>
      <w:r>
        <w:t xml:space="preserve">Lo expuesto revela, en primer lugar, que la actora no aportó el contrato celebrado por las partes el 1 de diciembre de 1992, contrato que hubiera permitido al demandado oponerse a la demanda (art. 41.6, regla 2, LH). Si a esta circunstancia se une el peculiar contenido de la relación contractual (derechos vitalicios para el “arrendatario”, contrato por tiempo indefinido y sin precio, obligación del “arrendatario” de finalizar las obras de restauración de la casa), fácilmente se colige que la oposición del ahora recurrente no resultaba manifiestamente desestimable y encontraba cierto fundamento jurídico (art. 11 LOPJ). Por ello, dada la dificultad extrema de prestar la caución exigida, habida cuenta de </w:t>
      </w:r>
      <w:r>
        <w:lastRenderedPageBreak/>
        <w:t>la escasez de recursos del demandado y de su condición de titular del derecho de asistencia jurídica gratuita (circunstancias que fueron alegadas por el ahora recurrente tanto en el recurso de reposición que interpuso ante el Juzgado, como en el posterior recurso de apelación ante la Audiencia) puede concluirse que las resoluciones recurridas han establecido una caución desproporcionada, determinando una privación del derecho de defensa del recurrente dentro del procedimiento del art. 41 LH, que vulneró su derecho a la tutela judicial efectiva del art. 24.1 CE, lo que obliga a otorgar el amparo solicitado.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José Jaén Prados y, en su virtud:</w:t>
      </w:r>
    </w:p>
    <w:p w:rsidR="0025129F" w:rsidRDefault="0025129F" w:rsidP="0025129F">
      <w:pPr>
        <w:pStyle w:val="TextoNormal"/>
      </w:pPr>
      <w:r>
        <w:t>1º Reconocer el derecho del recurrente a la tutela judicial efectiva y, en consecuencia, su derecho a formular la demanda de contradicción en el procedimiento del art. 41 LH, seguido ante el Juzgado de Primera Instancia núm. 4 de Girona (autos 330/96), en los términos que resultan de la fundamentación jurídica de esta Sentencia.</w:t>
      </w:r>
    </w:p>
    <w:p w:rsidR="0025129F" w:rsidRDefault="0025129F" w:rsidP="0025129F">
      <w:pPr>
        <w:pStyle w:val="TextoNormal"/>
      </w:pPr>
      <w:r>
        <w:t>2º Declarar la nulidad del Auto de 18 de abril de 1997 del Juzgado de Primera Instancia núm. 4 de Girona dictado en los referidos autos 330/96, y del Auto de 27 de mayo de 1998 de la Sección Segunda de la Audiencia Provincial de dicha capital recaído en el rollo de apelación civil 474/97.</w:t>
      </w:r>
    </w:p>
    <w:p w:rsidR="0025129F" w:rsidRDefault="0025129F" w:rsidP="0025129F">
      <w:pPr>
        <w:pStyle w:val="TextoNormal"/>
      </w:pPr>
      <w:r>
        <w:t>3º Reponer las actuaciones al momento inmediatamente anterior al de dictarse el citado Auto de 18 de abril de 1997, a fin de que por el Juzgado se dicte la resolución que proceda, que respete el contenido del derecho fundamental del recurrente.</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49" w:name="SENTENCIA_2002_46"/>
      <w:r>
        <w:lastRenderedPageBreak/>
        <w:t>SENTENCIA 46/2002, de 25 de febrero de 2002</w:t>
      </w:r>
    </w:p>
    <w:bookmarkEnd w:id="49"/>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ECLI:ES:TC:2002:46</w:t>
      </w:r>
    </w:p>
    <w:p w:rsidR="0025129F" w:rsidRDefault="0025129F" w:rsidP="0025129F">
      <w:pPr>
        <w:pStyle w:val="SntesisDescriptiva"/>
      </w:pPr>
    </w:p>
    <w:p w:rsidR="0025129F" w:rsidRDefault="0025129F" w:rsidP="0025129F">
      <w:pPr>
        <w:pStyle w:val="SntesisDescriptiva"/>
      </w:pPr>
      <w:r>
        <w:t>Recurso de amparo 3251/1998. Promovido por don R. G. M. frente a las Sentencias de la Sala de lo Civil del Tribunal Supremo y de la Audiencia Provincial de Madrid que, en un litigio de protección del derecho al honor, desestimaron su demanda por un artículo publicado en el diario “El País” sobre escritos anónimos.</w:t>
      </w:r>
    </w:p>
    <w:p w:rsidR="0025129F" w:rsidRDefault="0025129F" w:rsidP="0025129F">
      <w:pPr>
        <w:pStyle w:val="SntesisDescriptiva"/>
      </w:pPr>
    </w:p>
    <w:p w:rsidR="0025129F" w:rsidRDefault="0025129F" w:rsidP="0025129F">
      <w:pPr>
        <w:pStyle w:val="SntesisAnaltica"/>
      </w:pPr>
      <w:r>
        <w:t>Supuesta vulneración del derecho al honor: noticia sobre una Sentencia penal protegida por la libertad de información, aunque mencione los antecedentes penales del interesado.</w:t>
      </w:r>
    </w:p>
    <w:p w:rsidR="0025129F" w:rsidRDefault="0025129F" w:rsidP="0025129F">
      <w:pPr>
        <w:pStyle w:val="SntesisAnaltica"/>
      </w:pPr>
    </w:p>
    <w:p w:rsidR="0025129F" w:rsidRDefault="0025129F" w:rsidP="0025129F">
      <w:pPr>
        <w:pStyle w:val="Extracto"/>
      </w:pPr>
      <w:r>
        <w:t>1.</w:t>
      </w:r>
      <w:r>
        <w:tab/>
        <w:t>Ningún deber de diligencia quebranta el informador al transmitir inalterado un dato contenido en la Sentencia que es objeto de la noticia. Información veraz en el sentido del art. 20.1 d) CE significa información comprobada según los cánones de la profesionalidad informativa, excluyendo invenciones, rumores o insidias (STC 105/1990) [FJ 6].</w:t>
      </w:r>
    </w:p>
    <w:p w:rsidR="0025129F" w:rsidRDefault="0025129F" w:rsidP="0025129F">
      <w:pPr>
        <w:pStyle w:val="Extracto"/>
      </w:pPr>
    </w:p>
    <w:p w:rsidR="0025129F" w:rsidRDefault="0025129F" w:rsidP="0025129F">
      <w:pPr>
        <w:pStyle w:val="Extracto"/>
      </w:pPr>
      <w:r>
        <w:t>2.</w:t>
      </w:r>
      <w:r>
        <w:tab/>
        <w:t>La inclusión en la información de un dato de la Sentencia objeto de la noticia, como era el de los antecedentes penales del demandante, ha de entenderse que servía un fin informativo lícito: el de resaltar los efectos de la Sentencia en ese caso concreto [FJ 7].</w:t>
      </w:r>
    </w:p>
    <w:p w:rsidR="0025129F" w:rsidRDefault="0025129F" w:rsidP="0025129F">
      <w:pPr>
        <w:pStyle w:val="Extracto"/>
      </w:pPr>
    </w:p>
    <w:p w:rsidR="0025129F" w:rsidRDefault="0025129F" w:rsidP="0025129F">
      <w:pPr>
        <w:pStyle w:val="Extracto"/>
      </w:pPr>
      <w:r>
        <w:t>3.</w:t>
      </w:r>
      <w:r>
        <w:tab/>
        <w:t>La información rectamente obtenida y difundida es digna de protección (STC 6/1988) aunque su total exactitud sea controvertible o se incurra en errores circunstanciales que no afecten a la esencia de lo informado (SSTC 171/1990, 172/1990, 297/2000) [FJ 6].</w:t>
      </w:r>
    </w:p>
    <w:p w:rsidR="0025129F" w:rsidRDefault="0025129F" w:rsidP="0025129F">
      <w:pPr>
        <w:pStyle w:val="Extracto"/>
      </w:pPr>
    </w:p>
    <w:p w:rsidR="0025129F" w:rsidRDefault="0025129F" w:rsidP="0025129F">
      <w:pPr>
        <w:pStyle w:val="Extracto"/>
      </w:pPr>
      <w:r>
        <w:t>4.</w:t>
      </w:r>
      <w:r>
        <w:tab/>
        <w:t>Doctrina constitucional sobre el conflicto entre el derecho a comunicar libremente información y el derecho al honor (SSTC 62/1982, 297/2000)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3251/98, promovido por don R. G. M., representado por el Procurador de los Tribunales don Ángel Luis Rodríguez Álvarez y asistido por el Letrado don Rafael Marín López, contra la Sentencia de la Sala de lo Civil del Tribunal Supremo, de 13 de junio de 1998, que declara no haber lugar al recurso de casación contra la dictada en apelación por la Sección Vigésimo Primera de la Audiencia Provincial de Madrid, de 9 de marzo de 1994, en autos de juicio incidental núm. 1005/92 sobre protección del derecho al honor y a la intimidad, seguidos ante el Juzgado de Primera Instancia núm. 63 de Madrid. Han comparecido y formulado alegaciones don Joaquín María Estefanía Moreira, don Julio Martínez Lázaro y el diario El País, S.A., representados por el Procurador de los Tribunales don Argimiro Vázquez Guillén y asistidos por el Letrado don Diego Córdoba Gracia, y el Ministerio Fiscal. Ha actuado como Ponente el Magistrado don Vicente Conde Martín de Hijas,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Juzgado de guardia el día 13 de julio de 1998, registrado en este Tribunal el día 15 siguiente, don Ángel Luis Rodríguez Álvarez, Procurador de los Tribunales, en nombre y representación de don R. G. M., interpuso recurso de amparo contra las resoluciones judiciales a las que se ha hecho mención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En la demanda de amparo se recoge la relación de antecedentes fácticos que, a continuación, sucintamente se extracta: </w:t>
      </w:r>
    </w:p>
    <w:p w:rsidR="0025129F" w:rsidRDefault="0025129F" w:rsidP="0025129F">
      <w:pPr>
        <w:pStyle w:val="TextoNormal"/>
      </w:pPr>
      <w:r>
        <w:t xml:space="preserve">a) El diario “El País”, en su edición del día 8 de octubre de 1990, publicó un artículo firmado por don Julio Martínez Lázaro, relativo al demandante de amparo, con el siguiente preámbulo: “Los escritos anónimos no pueden entenderse como ‘falsos’ a efectos jurídico- penales y el que utiliza un anónimo para decir ‘cualquier realidad veraz o incierta’ no puede ser considerado como falsario. Así lo afirma una sentencia de la Sala Segunda del Tribunal Supremo”. </w:t>
      </w:r>
    </w:p>
    <w:p w:rsidR="0025129F" w:rsidRDefault="0025129F" w:rsidP="0025129F">
      <w:pPr>
        <w:pStyle w:val="TextoNormal"/>
      </w:pPr>
      <w:r>
        <w:t xml:space="preserve">En el artículo se afirma que “La sentencia del Tribunal Supremo absuelve a R. G. M. de un delito continuado de falsedad en documento privado y de la pena de seis meses y un día de prisión a que fue condenado por la Audiencia Provincial de Zaragoza, y que no hubiera tenido más remedio que cumplir por tener antecedentes por hurto”. </w:t>
      </w:r>
    </w:p>
    <w:p w:rsidR="0025129F" w:rsidRDefault="0025129F" w:rsidP="0025129F">
      <w:pPr>
        <w:pStyle w:val="TextoNormal"/>
      </w:pPr>
      <w:r>
        <w:t xml:space="preserve">Se continúa relatando en el artículo que en octubre de 1979 el Sr. G. M. se instaló en Zaragoza como Graduado Social, refiere sucintamente algunos de los antecedentes fácticos de las Sentencias recaídas y, finalmente, en un apartado que se encabeza con el título, resaltado en negrita, “Reproche moral”, recoge algo que realmente se dice en la Sentencia, “‘aunque pueda ser objeto de reproche moral’, no puede ser considerado como falsario”, con lo que de algún modo se resalta un dato real que puede inducir al lector a considerar que el demandante de amparo ha recibido un reproche moral del Tribunal sentenciador, cuando lo cierto es que si se lee con un mínimo de atención la Sentencia se trata de una alusión meramente genérica y en modo alguno referida a la persona y situación de que se trata. </w:t>
      </w:r>
    </w:p>
    <w:p w:rsidR="0025129F" w:rsidRDefault="0025129F" w:rsidP="0025129F">
      <w:pPr>
        <w:pStyle w:val="TextoNormal"/>
      </w:pPr>
      <w:r>
        <w:t xml:space="preserve">b) El referido artículo periodístico tiene su antecedente en la causa criminal seguida por el Juzgado de Instrucción núm. 1 de Zaragoza contra el demandante de amparo por un </w:t>
      </w:r>
      <w:r>
        <w:lastRenderedPageBreak/>
        <w:t xml:space="preserve">presunto delito de falsedad, habiendo sido condenado por Sentencia de la Sección Primera de la Audiencia Provincial de Zaragoza, de 14 de abril de 1987, como autor de un delito continuado de falsedad en documento privado, a la pena de seis meses y un día de arresto menor (sic), accesorias de suspensión de todo cargo público, profesión u oficio y derecho de sufragio durante el tiempo de la condena y al pago de las costas procesales. </w:t>
      </w:r>
    </w:p>
    <w:p w:rsidR="0025129F" w:rsidRDefault="0025129F" w:rsidP="0025129F">
      <w:pPr>
        <w:pStyle w:val="TextoNormal"/>
      </w:pPr>
      <w:r>
        <w:t xml:space="preserve">El demandante de amparo interpuso recurso de casación contra la anterior Sentencia, al que declaró haber lugar, dejándola sin efecto, la Sala Segunda del Tribunal Supremo en Sentencia de fecha 18 de mayo de 1990, acordando en Sentencia separada de la misma fecha su absolución. </w:t>
      </w:r>
    </w:p>
    <w:p w:rsidR="0025129F" w:rsidRDefault="0025129F" w:rsidP="0025129F">
      <w:pPr>
        <w:pStyle w:val="TextoNormal"/>
      </w:pPr>
      <w:r>
        <w:t xml:space="preserve">c) En el proceso incidental de protección del derecho al honor y a la intimidad los demandados contestaron a la demanda reconociendo expresamente la veracidad de los hechos alegados por el demandante de amparo en cuanto a la existencia del artículo en cuestión y a su contenido, limitándose a argumentar que la doctrina recogida en la Sentencia de la Sala Segunda del Tribunal Supremo era novedosa y, por tanto, noticiable, así como que la información facilitada en el artículo era veraz. </w:t>
      </w:r>
    </w:p>
    <w:p w:rsidR="0025129F" w:rsidRDefault="0025129F" w:rsidP="0025129F">
      <w:pPr>
        <w:pStyle w:val="TextoNormal"/>
      </w:pPr>
      <w:r>
        <w:t xml:space="preserve">d) El Juzgado de Primera Instancia núm. 63 de Madrid dictó Sentencia en la que estimó la demanda y apreció que el artículo en cuestión suponía una intromisión ilegítima en el derecho al honor y a la intimidad del demandante, condenando, en consecuencia, a los demandados a estar y pasar por esta declaración, a publicar la resolución judicial y a abonar al actor una indemnización de cuatro millones de pesetas. </w:t>
      </w:r>
    </w:p>
    <w:p w:rsidR="0025129F" w:rsidRDefault="0025129F" w:rsidP="0025129F">
      <w:pPr>
        <w:pStyle w:val="TextoNormal"/>
      </w:pPr>
      <w:r>
        <w:t xml:space="preserve">Recurrida en apelación por los demandados la anterior Sentencia, la Sección Vigésimo Primera de la Audiencia Provincial de Madrid dictó Sentencia, de fecha 9 de marzo de 1994, revocando la impugnada y absolviendo a aquéllos de la totalidad de los pedimentos de la demanda, con la imposición de las costas de la primera instancia a la parte actora. </w:t>
      </w:r>
    </w:p>
    <w:p w:rsidR="0025129F" w:rsidRDefault="0025129F" w:rsidP="0025129F">
      <w:pPr>
        <w:pStyle w:val="TextoNormal"/>
      </w:pPr>
      <w:r>
        <w:t>La Sala Primera del Tribunal Supremo en Sentencia de fecha 13 de junio de 1998 declaró no haber lugar al recurso de casación interpuesto por el ahora demandante de amparo contra la Sentencia de la Audiencia Provincial.</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cuanto a la fundamentación jurídica de la demanda de amparo se invoca en ésta, frente a las resoluciones judiciales impugnadas, la vulneración de los derechos al honor, a la intimidad y a la propia imagen que se recogen en el art. 18.1 CE. </w:t>
      </w:r>
    </w:p>
    <w:p w:rsidR="0025129F" w:rsidRDefault="0025129F" w:rsidP="0025129F">
      <w:pPr>
        <w:pStyle w:val="TextoNormal"/>
      </w:pPr>
      <w:r>
        <w:t xml:space="preserve">Se argumenta al respecto que dos son los requisitos para que el derecho al honor y a la intimidad hayan de ceder frente al de difundir información: que la información tenga trascendencia pública, de tal modo que, o bien resulte de interés general, o bien contribuya a la formación de la opinión pública, y que esa información sea veraz, con los matices que una reiterada jurisprudencia ha ido señalando en las abundantísimas resoluciones que sobre esta materia se han dictado. </w:t>
      </w:r>
    </w:p>
    <w:p w:rsidR="0025129F" w:rsidRDefault="0025129F" w:rsidP="0025129F">
      <w:pPr>
        <w:pStyle w:val="TextoNormal"/>
      </w:pPr>
      <w:r>
        <w:t xml:space="preserve">Pues bien, tanto la Sentencia de la Audiencia Provincial como la del Tribunal Supremo parten en este caso del error de englobar la totalidad de la información que se cuestiona, confundiendo lo esencial de la referida información, que nunca se ha cuestionado, con lo accesorio o innecesario de la misma. En efecto, lo que en realidad provoca la aparición del artículo es que se ha producido una Sentencia de la Sala Segunda del Tribunal Supremo que, no sólo en medios jurídicos, sino también en ámbitos sociales, es novedosa, ya que entiende que los anónimos no pueden considerarse documentos falsos. En esto radica el núcleo de la noticia, que, aunque no constituya desde un enfoque jurídico una novedad que marque un hito en la jurisprudencia penal, ni mucho menos, no puede desconocerse que desde la perspectiva social no deja de tener interés al relacionarse el tema de los anónimos con una figura jurídico penal, hasta el punto de que lleva al Tribunal Supremo a </w:t>
      </w:r>
      <w:r>
        <w:lastRenderedPageBreak/>
        <w:t xml:space="preserve">afirmar que, cuando su utilización pueda merecer un reproche moral, no la tiene, sin embargo, en el ámbito penal. En este sentido sería ocioso discutir los razonamientos tanto de la Audiencia Provincial como del Tribunal Supremo. </w:t>
      </w:r>
    </w:p>
    <w:p w:rsidR="0025129F" w:rsidRDefault="0025129F" w:rsidP="0025129F">
      <w:pPr>
        <w:pStyle w:val="TextoNormal"/>
      </w:pPr>
      <w:r>
        <w:t xml:space="preserve">No cabe duda de que el demandante de amparo, que ha estado sometido a un proceso penal en el que ha resultado absuelto, se ha visto envuelto, muy a su pesar, en una noticia de prensa, a la que no puede negársele interés social ni veracidad. Aunque resulte innecesario facilitar la plena identificación de una persona cuando tal dato es periférico a lo único importante de la noticia, estaríamos en el límite casuístico que divide el derecho al honor y a la intimidad con el derecho a difundir información. No puede desconocerse que el hecho de que el demandante de amparo haya sido absuelto lleva a la paradoja de que, si hubiera sido condenado, jamás hubiera sido noticia, y su nombre no se habría visto difundido por un medio de la importancia de “El País”. </w:t>
      </w:r>
    </w:p>
    <w:p w:rsidR="0025129F" w:rsidRDefault="0025129F" w:rsidP="0025129F">
      <w:pPr>
        <w:pStyle w:val="TextoNormal"/>
      </w:pPr>
      <w:r>
        <w:t xml:space="preserve">Sin embargo lo que se ha tratado de poner de relieve en el proceso a quo, sin éxito hasta ahora, es que a la noticia esencial —el criterio del Tribunal Supremo, aparentemente novedoso o curioso—, y a las circunstancias periféricas del mismo —identificación precisa y detallada de una persona sin relevancia pública, que ha sido absuelta en un proceso penal—, se añade un dato que, no sólo no es noticia, sino que es inveraz en el fondo, y que, además, es totalmente innecesario desde el punto de vista del contenido de la información y el derecho a darla, que difama y lesiona el honor y la intimidad de un miembro respetable de la sociedad. Se trata de la expresa mención a que el demandante de amparo tenía antecedentes por hurto y que en caso de ser condenado hubiese tenido que ingresar en prisión. </w:t>
      </w:r>
    </w:p>
    <w:p w:rsidR="0025129F" w:rsidRDefault="0025129F" w:rsidP="0025129F">
      <w:pPr>
        <w:pStyle w:val="TextoNormal"/>
      </w:pPr>
      <w:r>
        <w:t xml:space="preserve">Al respecto en la demanda de amparo se formulan las siguientes preguntas “¿qué necesidad había de arrojar al conocimiento público el hecho de que el Sr. G., que en su adolescencia sufrió una condena por hurto, que en el momento de dictarse la Sentencia que nos ocupa, estaba cancelada?” (sic). “¿En virtud de qué sagrado derecho constitucional de información y formación de la opinión pública, porque el Tribunal Supremo le hubiese absuelto de una injusta condena por falsedad, tenía que soportar esa innecesaria y soez agresión a su derecho al honor y a la intimidad?”. </w:t>
      </w:r>
    </w:p>
    <w:p w:rsidR="0025129F" w:rsidRDefault="0025129F" w:rsidP="0025129F">
      <w:pPr>
        <w:pStyle w:val="TextoNormal"/>
      </w:pPr>
      <w:r>
        <w:t xml:space="preserve">Para resaltar la innecesaria referencia en este caso a los antecedentes penales por hurto del recurrente en amparo, información nada difícil de contrastar con un mínimo de diligencia y sin necesidad de conocimientos especializados, determinante de una información inveraz, cual era la eventualidad de su ingreso en prisión, se transcribe en la demanda de amparo la doctrina recogida en las SSTC 174/1996, de 11 de noviembre, y 206/1996, de 16 de diciembre, y en el ATC 274/1991, de 30 de septiembre. Asimismo, por lo que respecta a la colisión entre veracidad e intimidad, se transcribe la doctrina de las SSTC 20/1992, de 14 de febrero, 172/1990, de 12 de noviembre, y 191/1991, de 3 de junio. </w:t>
      </w:r>
    </w:p>
    <w:p w:rsidR="0025129F" w:rsidRDefault="0025129F" w:rsidP="0025129F">
      <w:pPr>
        <w:pStyle w:val="TextoNormal"/>
      </w:pPr>
      <w:r>
        <w:t xml:space="preserve">Tras la cita de la aludida doctrina jurisprudencial se afirma en la demanda de amparo, a modo de síntesis, que resulta evidente que la información veraz relativa a la Sentencia de la Sala Segunda del Tribunal Supremo era perfectamente legítima. Que la referencia a circunstancias periféricas, como son las del proceso del que dimana aquella Sentencia, podrían tener sentido, pero no interés. Pero lo que queda fuera de toda duda es que carecía de la menor justificación, por su falta de interés público, un dato tan relativo a la intimidad como era la revelación de un antecedente penal por un delito infamante que se encontraba cancelado, e, incluso, aunque no lo hubiese estado. </w:t>
      </w:r>
    </w:p>
    <w:p w:rsidR="0025129F" w:rsidRDefault="0025129F" w:rsidP="0025129F">
      <w:pPr>
        <w:pStyle w:val="TextoNormal"/>
      </w:pPr>
      <w:r>
        <w:t xml:space="preserve">Concluye el escrito de demanda suplicando del Tribunal Constitucional que, tras los trámites pertinentes, dicte Sentencia en la que se otorgue el amparo solicitado y se declare la nulidad de las resoluciones judiciales impugnadas, retrotrayendo las actuaciones al </w:t>
      </w:r>
      <w:r>
        <w:lastRenderedPageBreak/>
        <w:t>momento de dictarse la Sentencia de la Sección Vigésimo Primera de la Audiencia Provincial de Madrid, para que se dicte otra que no vulnere los derechos fundamentales del recurrente en amparo. Por otrosí, de acuerdo con el art. 56.1 LOTC, se interesó la suspensión de la ejecución de las resoluciones judiciales recurridas.</w:t>
      </w:r>
    </w:p>
    <w:p w:rsidR="0025129F" w:rsidRDefault="0025129F" w:rsidP="0025129F">
      <w:pPr>
        <w:pStyle w:val="TextoNormal"/>
      </w:pPr>
    </w:p>
    <w:p w:rsidR="0025129F" w:rsidRDefault="0025129F" w:rsidP="0025129F">
      <w:pPr>
        <w:pStyle w:val="TextoNormal"/>
      </w:pPr>
      <w:r w:rsidRPr="0025129F">
        <w:rPr>
          <w:rStyle w:val="NumeroAFNegritaCaracter"/>
        </w:rPr>
        <w:t>4</w:t>
      </w:r>
      <w:r>
        <w:t>. La Sala Segunda del Tribunal Constitucional por providencia de 30 de abril de 1999 acordó admitir a trámite la demanda de amparo y, en aplicación de lo dispuesto en el art. 51 LOTC, dirigir atentas comunicaciones a la Sala de lo Civil del Tribunal Supremo, a la Sección Vigésimo Primera de la Audiencia Provincial de Madrid y al Juzgado de Primera Instancia núm. 63 de Madrid al objeto de que, en plazo que no excediera de diez días, remitiesen, respectivamente, certificación o fotocopia adverada de las actuaciones correspondientes al recurso de casación núm. 1258/94, al recurso de apelación núm. 429/95 y al procedimiento incidental sobre protección del honor y la intimidad núm. 1005/92, debiendo emplazar previamente el Juzgado de Primera Instancia a quienes hubieran sido parte en el procedimiento, a excepción del demandante de amparo, para que pudieran comparecer en el plazo de diez días, si lo deseasen, en el presente proceso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La Sala Segunda del Tribunal Constitucional por providencia de 30 de abril de 1999 acordó formar la oportuna pieza para la tramitación del incidente de suspensión y, de conformidad con lo dispuesto en el art. 56.1 LOTC, conceder un plazo común de tres días a la parte recurrente y al Ministerio Fiscal para que alegasen lo que estimaren pertinente sobre dicha suspensión. </w:t>
      </w:r>
    </w:p>
    <w:p w:rsidR="0025129F" w:rsidRDefault="0025129F" w:rsidP="0025129F">
      <w:pPr>
        <w:pStyle w:val="TextoNormal"/>
      </w:pPr>
      <w:r>
        <w:t>Evacuado el trámite de alegaciones conferido, la Sala Segunda del Tribunal Constitucional por Auto de 13 de septiembre de 1999 denegó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6</w:t>
      </w:r>
      <w:r>
        <w:t>. Por diligencia de ordenación de la Secretaría de la Sala Segunda del Tribunal Constitucional de 7 de octubre de 1999, se acordó tener por personado y parte en el procedimiento al Procurador de los Tribunales don Argimiro Vázquez Guillén, en nombre y representación de don Joaquín María Estefanía Moreira, don Julio Martínez Lázaro y el diario El País, S.A., así como, de conformidad con lo dispuesto en el art. 52.1 LOTC, dar vista de las actuaciones recibidas a las partes personadas y al Ministerio Fiscal, por plazo común de veinte días, para que pudieran presentar las alegaciones que estimasen pertinentes.</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La representación procesal del recurrente en amparo evacuó el trámite de alegaciones conferido mediante escrito presentado en el Juzgado de guardia el día 12 de noviembre de 1999, registrado en este Tribunal el día 15 siguiente, en el que dio por reiterada la argumentación esgrimida en la demanda de amparo, a la que añade en apoyo de su pretensión la doctrina recogida en la STC 144/1999, de 22 de julio, sobre el derecho a la intimidad y el acceso a datos del Registro de Penados y Rebeldes. </w:t>
      </w:r>
    </w:p>
    <w:p w:rsidR="0025129F" w:rsidRDefault="0025129F" w:rsidP="0025129F">
      <w:pPr>
        <w:pStyle w:val="TextoNormal"/>
      </w:pPr>
      <w:r>
        <w:t xml:space="preserve">A partir de la referida doctrina constitucional resulta indefendible, en su opinión, que en una noticia que tiene un núcleo que la justifica, no sólo se difunda el nombre de quien la protagoniza, servidumbre en cierto modo aceptable, aunque no deseable tratándose de una persona irrelevante en el orden socio-político, sino que se ornamente esa noticia, sacando a colación la existencia de unos antecedentes penales, que, al estar cancelados, vedan su utilización más allá del ámbito donde el periodista extrajo la noticia: el procedimiento penal en el que tal dato se manejó, habida cuenta de la evidente competencia del </w:t>
      </w:r>
      <w:r>
        <w:lastRenderedPageBreak/>
        <w:t xml:space="preserve">Tribunal para solicitar la hoja histórico-penal. Pero no es menos evidente que, dada la ligazón de ese dato con el derecho a la intimidad del sujeto, no existe justificación para dar prevalencia al derecho a la información respecto a algo que goza de protección legal y que ha sido objeto por parte de este Tribunal de la especial consideración que se desprende de aquella Sentencia, en lo que respecta a la restricción que toda información sobre antecedentes penales ha de sufrir. La difusión de un antecedente penal ya cancelado es contraria al instituto de la rehabilitación, que tiene como una de sus premisas la garantía de confidencialidad total sobre las circunstancias que motivaron la condena. </w:t>
      </w:r>
    </w:p>
    <w:p w:rsidR="0025129F" w:rsidRDefault="0025129F" w:rsidP="0025129F">
      <w:pPr>
        <w:pStyle w:val="TextoNormal"/>
      </w:pPr>
      <w:r>
        <w:t>Concluye su escrito suplicando del Tribunal Constitucional que dicte Sentencia concediendo el amparo solicitado.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La representación procesal de don Joaquín María Estefanía Moreira, don Julio Martínez Lázaro y el diario El País, S.A., evacuó el trámite de alegaciones conferido mediante escrito presentado en el Juzgado de guardia el día 15 de noviembre de 1999, registrado en este Tribunal el día 17 siguiente, en el que interesó la desestimación del amparo solicitado. </w:t>
      </w:r>
    </w:p>
    <w:p w:rsidR="0025129F" w:rsidRDefault="0025129F" w:rsidP="0025129F">
      <w:pPr>
        <w:pStyle w:val="TextoNormal"/>
      </w:pPr>
      <w:r>
        <w:t xml:space="preserve">Argumenta al respecto que la información publicada es del todo veraz, como se declara en la Sentencia de la Sala de lo Civil del Tribunal Supremo, ya que vino a recoger sustancialmente el contenido de la Sentencia de la Sala Segunda del Tribunal Supremo, en la que se absolvió al demandante de amparo de la condena impuesta por la Audiencia Provincial de Zaragoza. El articulista no desvelaba nada, como también se declara en la Sentencia de la Sala de lo Civil del Tribunal Supremo, porque la noticia encuadrada en la Sección de Tribunales merecía ser objeto de publicación, a tenor del principio establecido en el art. 120.1 CE sobre publicidad de las actuaciones judiciales. </w:t>
      </w:r>
    </w:p>
    <w:p w:rsidR="0025129F" w:rsidRDefault="0025129F" w:rsidP="0025129F">
      <w:pPr>
        <w:pStyle w:val="TextoNormal"/>
      </w:pPr>
      <w:r>
        <w:t xml:space="preserve">En realidad el recurso se centra en tres hechos. En primer lugar, en la frase del periodista “que de no haber sido absuelto por el Tribunal Supremo no hubiera tenido más remedio que cumplir la pena impuesta por la Audiencia de Zaragoza por tener antecedentes de hurto”. Aunque en la demanda de amparo se alega la falta de veracidad de lo publicado, lo cierto es que había sido condenado previamente por hurto y que tenía antecedentes penales. Además, no sólo la Sentencia de la Audiencia Provincial de Zaragoza, sino las dos Sentencias dictadas por la Sala Segunda del Tribunal Supremo, recogían en sus antecedentes de hecho que “El procesado R. G., mayor de edad, que había sido condenado en Sentencia de 20 de diciembre de 1979 por un delito de hurto a la pena de seis meses y un día de prisión menor”. </w:t>
      </w:r>
    </w:p>
    <w:p w:rsidR="0025129F" w:rsidRDefault="0025129F" w:rsidP="0025129F">
      <w:pPr>
        <w:pStyle w:val="TextoNormal"/>
      </w:pPr>
      <w:r>
        <w:t xml:space="preserve">Es cierto que los antecedentes estaban cancelados, pero el periodista no se inventa el dato publicado, sino que se lo proporcionan las Sentencias que constituyen la fuente de su reportaje. Si estaban cancelados, ni el Tribunal Supremo ni la Audiencia Provincial debieron de recogerlos en sus Sentencias, y si los recogieron, fue porque lo estimaron oportuno, y ello fue lo que condujo a la inexactitud del periodista. Asimismo era cierto y verdad que, si hubiera existido un antecedente penal vigente de esa naturaleza, el demandante de amparo habría tenido que ingresar en prisión. En definitiva, el periodista no se equivocó, sino que fue inducido a error por las Sentencias que eran la fuente de su información. </w:t>
      </w:r>
    </w:p>
    <w:p w:rsidR="0025129F" w:rsidRDefault="0025129F" w:rsidP="0025129F">
      <w:pPr>
        <w:pStyle w:val="TextoNormal"/>
      </w:pPr>
      <w:r>
        <w:t xml:space="preserve">Así pues, el error tiene como antecedente las Sentencias de los Tribunales, y el periodista se fió de una fuente totalmente creíble, por lo que no necesitaba contrastar un hecho, que no se le había ni ocurrido. No tuvo una sombra de duda de que, si ambas Sentencias decían que había un antecedente, es que lo había. Los antecedentes existían, aunque estuvieran cancelados. </w:t>
      </w:r>
    </w:p>
    <w:p w:rsidR="0025129F" w:rsidRDefault="0025129F" w:rsidP="0025129F">
      <w:pPr>
        <w:pStyle w:val="TextoNormal"/>
      </w:pPr>
      <w:r>
        <w:lastRenderedPageBreak/>
        <w:t xml:space="preserve">El dato de la cancelación no es un verdadero error, más que nada se trata de una inexactitud, y éstas no entran dentro del ámbito de la intromisión ilegítima al honor, sino más bien en el ámbito del derecho de rectificación, que el recurrente pudo ejercer, y no ejerció. </w:t>
      </w:r>
    </w:p>
    <w:p w:rsidR="0025129F" w:rsidRDefault="0025129F" w:rsidP="0025129F">
      <w:pPr>
        <w:pStyle w:val="TextoNormal"/>
      </w:pPr>
      <w:r>
        <w:t xml:space="preserve">En segundo lugar, el demandante de amparo trata de fundar su recurso en el reproche moral, alegando que el que se hacía en la Sentencia del Tribunal Supremo lo era en forma genérica y no individualizada a él. En la Sentencia de la Sala de lo Civil del Tribunal Supremo se declara que “no es posible entender inequívocamente que el reproche tuviera como destinatario al Sr. G.”. Se entendiera equivoca o inequívocamente que ese reproche moral iba dirigido al demandante de amparo, lo cierto es que el reproche, aunque hubiera sido genérico, era aplicable a aquél. Por eso precisamente lo emplea el Tribunal Supremo, pues, si no le hubiera sido aplicable, no lo habría empleado en su Sentencia. En otras palabras, el Tribunal Supremo estimó que los hechos que se imputaban al demandante de amparo carecían de tipicidad penal, y por eso le absuelve, pero que no dejaban de ser merecedores de un reproche moral. En este sentido es en el que hay que entender las Sentencias y la doctrina del Tribunal Supremo. </w:t>
      </w:r>
    </w:p>
    <w:p w:rsidR="0025129F" w:rsidRDefault="0025129F" w:rsidP="0025129F">
      <w:pPr>
        <w:pStyle w:val="TextoNormal"/>
      </w:pPr>
      <w:r>
        <w:t xml:space="preserve">Finalmente, tampoco el hecho de que figuren el nombre y los apellidos del demandante de amparo constituye una intromisión ilegítima en su honor. El juicio del recurrente tuvo en Zaragoza una resonancia notable por las denuncias que había realizado anónimamente a profesionales conocidos de esa ciudad, y por tales circunstancias, únicamente a él imputables, se convierte el solicitante de amparo de esa forma en un personaje público y conocido. </w:t>
      </w:r>
    </w:p>
    <w:p w:rsidR="0025129F" w:rsidRDefault="0025129F" w:rsidP="0025129F">
      <w:pPr>
        <w:pStyle w:val="TextoNormal"/>
      </w:pPr>
      <w:r>
        <w:t>En conclusión, la información hay que valorarla en su conjunto, sin entresacar frases. Ninguno de los hechos alegados como fundamento del recurso de amparo tiene virtualidad suficiente para destruir el carácter prevalente del derecho a informar sobre los derechos de la personalidad.</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Ministerio Fiscal evacuó el trámite de alegaciones conferido mediante escrito presentado en el Registro General de este Tribunal el día 25 de noviembre de 1999, en el que interesó la desestimación del recurso de amparo por no vulnerar las Sentencias recurridas el derecho fundamental consagrado en el art. 18.1 CE. </w:t>
      </w:r>
    </w:p>
    <w:p w:rsidR="0025129F" w:rsidRDefault="0025129F" w:rsidP="0025129F">
      <w:pPr>
        <w:pStyle w:val="TextoNormal"/>
      </w:pPr>
      <w:r>
        <w:t xml:space="preserve">Tras aludir a la doctrina constitucional sobre los requisitos para que en los supuestos de colisión entre los derechos a la información, por una parte, y al honor y a la intimidad, por otra, prevalezca aquél, procede a la aplicación de dicha doctrina al caso que ahora nos ocupa. </w:t>
      </w:r>
    </w:p>
    <w:p w:rsidR="0025129F" w:rsidRDefault="0025129F" w:rsidP="0025129F">
      <w:pPr>
        <w:pStyle w:val="TextoNormal"/>
      </w:pPr>
      <w:r>
        <w:t xml:space="preserve">En este sentido afirma que nada hay que objetar al carácter público y de interés general de la información publicada, aunque no lo tenga la persona, al ser su objeto el conocimiento de una Sentencia, que establece una novedad doctrinal respecto a una actividad declarada delictiva por la Audiencia Provincial. La trascendencia pública de esa información no puede ser puesta en duda, no sólo por su naturaleza, sino también por aplicación del principio establecido en el art. 120.1 CE sobre publicidad de las actuaciones judiciales. Concurre, por lo tanto, el primer requisito, el interés general, exigido por la doctrina constitucional, al tratarse de una Sentencia judicial. </w:t>
      </w:r>
    </w:p>
    <w:p w:rsidR="0025129F" w:rsidRDefault="0025129F" w:rsidP="0025129F">
      <w:pPr>
        <w:pStyle w:val="TextoNormal"/>
      </w:pPr>
      <w:r>
        <w:t xml:space="preserve">El recurso de amparo, sin embargo, no se centra en la publicación de la Sentencia, sino en un comentario añadido por el periodista, que el actor afirma que no tiene relación con el contenido de la resolución, que no mejora su comprensión, y que constituye una intromisión en su derecho al honor y a la intimidad. Frente a tales alegaciones el Ministerio Fiscal considera que el referido comentario –“que no hubiere tenido más remedio que cumplir por tener antecedente por hurto”— es veraz y ajustado a la realidad, porque, si </w:t>
      </w:r>
      <w:r>
        <w:lastRenderedPageBreak/>
        <w:t xml:space="preserve">bien los antecedentes penales estaban cancelados, lo estaban desde el año 1984, y la comisión de presunto delito de falsedad en documento era anterior a esa cancelación, como lo acredita la circunstancia de que el sumario que se siguió en el Juzgado de Instrucción núm. 1 de Zaragoza estuviera rotulado con el núm. 173/1983. Por ello, aunque los antecedentes penales fueran cancelados posteriormente, seguían teniendo efecto respecto al cumplimiento de la pena y la aplicación de la suspensión de su ejecución, por no ser la primera vez que había delinquido el actor. </w:t>
      </w:r>
    </w:p>
    <w:p w:rsidR="0025129F" w:rsidRDefault="0025129F" w:rsidP="0025129F">
      <w:pPr>
        <w:pStyle w:val="TextoNormal"/>
      </w:pPr>
      <w:r>
        <w:t xml:space="preserve">El comentario denunciado cumple el requisito de la veracidad exigido por la doctrina constitucional, al constar su realidad en la Sentencia condenatoria de la Audiencia Provincial, que, por ser condenatoria, lo refería a los efectos penales que producirían, sin que pueda exigirse al periodista mayor diligencia para conocer y comprobar los posibles efectos de la cancelación, atendida su fecha y la de la comisión de los hechos juzgados. Diligencia que excedería de la media exigible a un profesional del periodismo. </w:t>
      </w:r>
    </w:p>
    <w:p w:rsidR="0025129F" w:rsidRDefault="0025129F" w:rsidP="0025129F">
      <w:pPr>
        <w:pStyle w:val="TextoNormal"/>
      </w:pPr>
      <w:r>
        <w:t xml:space="preserve">De otra parte, el dato no era superfluo, porque terminaba de dibujar el contorno y todos los efectos que la Sentencia del Tribunal Supremo había producido y los que no se producirían debido a su carácter absolutorio, dando con ello una información total y completa de la resolución judicial dictada por el Tribunal Supremo y sus consecuencias. Sentencia que tenía interés general para el conocimiento de la actividad judicial, que tiene carácter público. </w:t>
      </w:r>
    </w:p>
    <w:p w:rsidR="0025129F" w:rsidRDefault="0025129F" w:rsidP="0025129F">
      <w:pPr>
        <w:pStyle w:val="TextoNormal"/>
      </w:pPr>
      <w:r>
        <w:t>En definitiva, la confrontación entre el derecho a la libre información y el derecho al honor y a la intimidad tiene que resolverse en el supuesto concreto a favor del primero, al reunir las dos exigencias establecidas por la jurisprudencia para su prevalencia: trascendencia pública e interés general y veracidad.</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21 de febrero de 2002, se señaló para la deliberación y votación de la presente Sentencia el día 25 de febrero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tiene por objeto la impugnación de la Sentencia de la Sección Vigésimo Primera de la Audiencia Provincial de Madrid de 9 de marzo de 1994, confirmada en casación por la Sentencia de la Sala Primera del Tribunal Supremo de 13 de junio de 1998, que, estimando el recurso de apelación de la parte demandada en el proceso a quo, revocó la Sentencia del Juzgado de Primera Instancia núm. 63 de Madrid, de 21 de abril de 1993, y desestimó la demanda promovida por el ahora recurrente en amparo contra el autor de la información, el director del medio de comunicación y la empresa editora, sobre protección del derecho al honor y a la intimidad, con ocasión de una noticia publicada en el diario El País el día 8 de octubre de 1990.</w:t>
      </w:r>
    </w:p>
    <w:p w:rsidR="0025129F" w:rsidRDefault="0025129F" w:rsidP="0025129F">
      <w:pPr>
        <w:pStyle w:val="TextoNormal"/>
      </w:pPr>
      <w:r>
        <w:t xml:space="preserve">En aquella noticia, a la que después nos referiremos más detenidamente, se informaba sobre una Sentencia dictada por la Sala Segunda del Tribunal Supremo en un proceso penal, en el que el ahora demandante de amparo había sido acusado, y condenado por Sentencia de la Sección Primera de la Audiencia Provincial de Zaragoza, como autor de un delito continuado de falsedad en documento privado, se relataban los hechos que desencadenaron el proceso penal, y se destacaba la doctrina establecida en la mencionada Sentencia de la Sala Segunda del Tribunal Supremo, frente al criterio mantenido por el órgano judicial de instancia, en relación con la consideración o no como falsos de los escritos anónimos a efectos jurídico-penales. El primer párrafo del texto de la noticia resultaba del </w:t>
      </w:r>
      <w:r>
        <w:lastRenderedPageBreak/>
        <w:t>siguiente tenor: “La sentencia del Tribunal Supremo absuelve a R. G. M. [demandante de amparo] de un delito continuado de falsedad en documento privado y de la pena de seis meses y un día de prisión a que fue condenado por la Audiencia de Zaragoza, y que no hubiera tenido más remedio que cumplir por tener antecedentes por hurto”.</w:t>
      </w:r>
    </w:p>
    <w:p w:rsidR="0025129F" w:rsidRDefault="0025129F" w:rsidP="0025129F">
      <w:pPr>
        <w:pStyle w:val="TextoNormal"/>
      </w:pPr>
    </w:p>
    <w:p w:rsidR="0025129F" w:rsidRDefault="0025129F" w:rsidP="0025129F">
      <w:pPr>
        <w:pStyle w:val="TextoNormal"/>
      </w:pPr>
      <w:r w:rsidRPr="0025129F">
        <w:rPr>
          <w:rStyle w:val="NumeroAFNegritaCaracter"/>
        </w:rPr>
        <w:t>2</w:t>
      </w:r>
      <w:r>
        <w:t>. El demandante de amparo invoca frente a las resoluciones judiciales impugnadas la vulneración de los derechos al honor, a la intimidad y a la propia imagen (art. 18.1 CE), al considerar que los órganos jurisdiccionales no han llevado a cabo una ponderación constitucionalmente adecuada de los derechos fundamentales en conflicto. No cuestiona la relevancia pública y social ni la veracidad de la noticia en los extremos relativos a la información que en la misma se da sobre la Sentencia de la Sala Segunda del Tribunal Supremo, que —afirma—, no sólo en medios jurídicos, sino también en ámbitos sociales, es novedosa, al entender que los anónimos no pueden considerarse falsos a efectos jurídico- penales, ni sobre los hechos que desencadenaron el proceso penal, aunque estima que era innecesario facilitar su completa identificación, sino que su queja se centra única y exclusivamente en la divulgación del dato de que tenía antecedentes por hurto y en el comentario de que, en caso de no haber sido absuelto por la Sentencia de la Sala Segunda del Tribunal Supremo, hubiese tenido que ingresar en prisión debido a los referidos antecedentes.  En opinión del demandante de amparo, el dato relativo a sus antecedentes penales por hurto, no sólo es inveraz, al encontrase ya cancelados cuando se dictó la Sentencia de la Sección Primera de la Audiencia Provincial de Zaragoza, sino que además, aun en el supuesto de que no estuvieran cancelados, es totalmente innecesario, y carece de interés público, desde el punto de vista de la información que se comunica, lesionándose con su publicación el honor y la intimidad de un miembro respetable de la sociedad.</w:t>
      </w:r>
    </w:p>
    <w:p w:rsidR="0025129F" w:rsidRDefault="0025129F" w:rsidP="0025129F">
      <w:pPr>
        <w:pStyle w:val="TextoNormal"/>
      </w:pPr>
      <w:r>
        <w:t>La representación procesal de los demandados en el proceso a quo se opone a la estimación de la demanda de amparo. Argumenta al respecto que la información publicada es del todo veraz, pues recoge sustancialmente el contenido de la Sentencia de la Sala Segunda del Tribunal Supremo, en la que se absolvió al ahora recurrente en amparo de la condena impuesta por la Audiencia Provincial de Zaragoza, mereciendo ser objeto de publicación a tenor del principio constitucional recogido en el art. 120.1 CE.  En relación, más concretamente, con la divulgación de los antecedentes penales por hurto del demandante de amparo, sostiene que dichos antecedentes aparecían recogidos en los antecedentes de hecho de las Sentencias de la Audiencia Provincial y del Tribunal Supremo, de modo que es un dato que proporcionan las Sentencias que constituyen la fuente del reportaje, y que el error o la inexactitud en la que se pudo haber incurrido en la información, al encontrase cancelados, en ningún caso es imputable a su autor, sino a las Sentencias en las que no se plasmó la mencionada circunstancia, habiéndose fiado aquél de una fuente totalmente rigurosa y creíble. Finalmente afirma que, si hubiera existido una antecedente penal no cancelado de esa naturaleza, el demandante de amparo, de no haber sido revocada la Sentencia de la Audiencia Provincial de Zaragoza, hubiese tenido que ingresar en prisión.</w:t>
      </w:r>
    </w:p>
    <w:p w:rsidR="0025129F" w:rsidRDefault="0025129F" w:rsidP="0025129F">
      <w:pPr>
        <w:pStyle w:val="TextoNormal"/>
      </w:pPr>
      <w:r>
        <w:t>Por su parte el Ministerio Fiscal se pronuncia también en contra de la estimación de la demanda de amparo. Entiende que no hay nada que oponer al carácter público y de interés general de la información publicada, aunque no lo tenga la persona afectada, al tener por objeto el conocimiento de una Sentencia, que establece una novedosa doctrina respecto a una actuación declarada delictiva por la Audiencia Provincial, cuya publicación encuentra cobertura también en el art. 120.1 CE. En relación con el comentario denunciado sobre los antecedentes penales del demandante de amparo y su posible ingreso en prisión, si no hu</w:t>
      </w:r>
      <w:r>
        <w:lastRenderedPageBreak/>
        <w:t>biera sido absolutoria la Sentencia del Tribunal Supremo, considera que la divulgación de dicho antecedente, así como aquel comentario, cumplen el requisito de veracidad exigido por la doctrina constitucional, al constar su realidad en la Sentencia condenatoria de la Audiencia Provincial, sin que pueda exigírsele mayor diligencia al periodista autor de la información en orden a comprobar la posible cancelación de los antecedentes y sus efectos, tratándose además de un dato que no cabe calificar de superfluo, porque terminaba por dibujar el contorno y los efectos que la Sentencia del Tribunal Supremo habría de producir y que no se produjeron debido a su carácter absolutorio.</w:t>
      </w:r>
    </w:p>
    <w:p w:rsidR="0025129F" w:rsidRDefault="0025129F" w:rsidP="0025129F">
      <w:pPr>
        <w:pStyle w:val="TextoNormal"/>
      </w:pPr>
    </w:p>
    <w:p w:rsidR="0025129F" w:rsidRDefault="0025129F" w:rsidP="0025129F">
      <w:pPr>
        <w:pStyle w:val="TextoNormal"/>
      </w:pPr>
      <w:r w:rsidRPr="0025129F">
        <w:rPr>
          <w:rStyle w:val="NumeroAFNegritaCaracter"/>
        </w:rPr>
        <w:t>3</w:t>
      </w:r>
      <w:r>
        <w:t>. Para encuadrar adecuadamente las pretensiones de las partes, según acaban de ser descritas, es necesario precisar los hechos de los que trae causa el recurso de amparo, así como el contenido de las Sentencias recurridas.</w:t>
      </w:r>
    </w:p>
    <w:p w:rsidR="0025129F" w:rsidRDefault="0025129F" w:rsidP="0025129F">
      <w:pPr>
        <w:pStyle w:val="TextoNormal"/>
      </w:pPr>
      <w:r>
        <w:t>Consta en las actuaciones judiciales, y así ha quedado reflejado en los antecedentes de esta Sentencia, que contra el demandante de amparo se siguió causa criminal por un delito de falsedad, en la que fue condenado por Sentencia de la Sección Primera de la Audiencia Provincial de Zaragoza, de 14 de abril de 1987, como autor de un delito continuado de falsedad en documento privado, a la pena de seis meses y un día de prisión menor y accesorias de suspensión de todo cargo público, profesión y oficio y derecho de sufragio durante el tiempo de la condena. Dicha Sentencia condenatoria fue casada y anulada por la Sentencia de la Sala Segunda del Tribunal Supremo de 18 de mayo de 1990, que en esa misma fecha dictó una segunda Sentencia, acordando la absolución del ahora demandante de amparo por el delito por el que había sido condenado.</w:t>
      </w:r>
    </w:p>
    <w:p w:rsidR="0025129F" w:rsidRDefault="0025129F" w:rsidP="0025129F">
      <w:pPr>
        <w:pStyle w:val="TextoNormal"/>
      </w:pPr>
      <w:r>
        <w:t>En el diario “El País” del día 8 de octubre de 1990, en la sección de Tribunales, se publicó un artículo firmado por don Julio M. Lázaro, bajo el título “Los escritos anónimos no pueden considerarse ‘falsos’, según el Supremo”, y con el antetítulo “Absuelto un graduado social que denunció con nombres inexistentes”, en el que se informa sobre la Sentencia dictada por la Sala Segunda del Tribunal Supremo, casando y anulando la de la Sección Primera de la Audiencia Provincial de Zaragoza en el proceso penal seguido contra el demandante de amparo, y sobre la doctrina en ella establecida en orden a que los escritos anónimos no podían considerarse como falsos a efectos jurídico-penales. El texto del artículo se inicia con el primer párrafo ya transcrito, y cuyo inciso final el demandante de amparo estima lesivo de su derecho al honor, en el que se afirma que “La sentencia del Tribunal Supremo absuelve a R. G. M. de un delito continuado de falsedad en documento privado y de la pena de seis meses y un día de prisión a la que fue condenado por la Audiencia Provincial de Zaragoza, y que no hubiera tenido más remedio que cumplir por tener antecedentes por hurto”. A continuación se relatan sucintamente en el artículo los hechos que motivaron el proceso penal seguido contra el demandante de amparo, y se resume, transcribiendo literalmente alguno de sus pasajes, el contenido de la Sentencia de la Sala Segunda del Tribunal Supremo, destacándose al respecto que un escrito anónimo a efectos jurídico-penales no puede considerarse como falso, aunque quien lo utilice pueda ser objeto de reproche moral, así como que en este caso, “dado el contenido de los escritos y las autoridades a que iban dirigidos”, la finalidad perseguida por el autor de los anónimos “fue la de poner de relieve la realidad de unas concretas actividades antisociales”. Concluye el artículo con la frase “en consecuencia, el Supremo revoca la Sentencia de Zaragoza y absuelve al condenado”.</w:t>
      </w:r>
    </w:p>
    <w:p w:rsidR="0025129F" w:rsidRDefault="0025129F" w:rsidP="0025129F">
      <w:pPr>
        <w:pStyle w:val="TextoNormal"/>
      </w:pPr>
      <w:r>
        <w:t>El Juzgado de Primera Instancia núm. 63 de Madrid entendió producida una intromisión ilegítima en el derecho al honor y a la intimidad del demandante, don R. G. M., por la que condenó a los demandados a estar y pasar por esa declaración, a que abonasen al recu</w:t>
      </w:r>
      <w:r>
        <w:lastRenderedPageBreak/>
        <w:t>rrente la cantidad de cuatro millones de pesetas como indemnización de daños y perjuicios, y a publicar la Sentencia en el periódico “El País”.</w:t>
      </w:r>
    </w:p>
    <w:p w:rsidR="0025129F" w:rsidRDefault="0025129F" w:rsidP="0025129F">
      <w:pPr>
        <w:pStyle w:val="TextoNormal"/>
      </w:pPr>
      <w:r>
        <w:t>Frente al criterio mantenido por el órgano jurisdiccional de instancia, la Sección Vigésimo Primera de la Audiencia Provincial de Madrid, al desestimar la demanda promovida por el ahora recurrente en amparo, por entender que “el artículo periodístico denunciado y analizado en este procedimiento, no lesiona los derechos fundamentales al honor y a la intimidad de la persona demandante”, consideró, tras señalar que la difusión de una Sentencia cuyo contenido atenta al honor de una persona no supone una agresión o intromisión en el derecho al honor, al ser su contenido de libre difusión ex art. 120.1 CE, que el artículo en cuestión debía de ser analizado en su conjunto o totalidad, resultando el mismo veraz y de interés general, al recoger la doctrina novedosa, o al menos llamativa, de la Sala Segunda del Tribunal Supremo sobre la no consideración de los anónimos como documentos falsos a efectos jurídico-penales, y reproducir los hechos declarados probados en las Sentencias de la Audiencia Provincial y del Tribunal Supremo. Por lo que respecta al comentario del autor del artículo sobre un eventual cumplimiento de la Sentencia condenatoria de la Audiencia Provincial por el demandante de amparo por tener antecedentes por hurto, el órgano judicial entiende que dicho comentario, aunque resultase inexacto, no tenía entidad suficiente para implicar una ilegítima intromisión en el honor del demandante, al no ser exigible que los hechos o expresiones contenidos en la información sean rigurosamente verdaderos para que la información goce de protección constitucional, debiéndose en este caso la inexactitud de aquel comentario a los antecedentes reflejados en las Sentencias de las que se informan, y que originan la confusión del periodista, a quien no puede exigírsele una verdadera especialización de la materia que trata, cuando lo hace en un periódico y no en una revista técnica.</w:t>
      </w:r>
    </w:p>
    <w:p w:rsidR="0025129F" w:rsidRDefault="0025129F" w:rsidP="0025129F">
      <w:pPr>
        <w:pStyle w:val="TextoNormal"/>
      </w:pPr>
      <w:r>
        <w:t xml:space="preserve">La Sala Primera del Tribunal Supremo coincide en lo sustancial con la Sección Vigésimo Primera de la Audiencia Provincial de Madrid en orden a la veracidad y al interés general de la noticia, al venir a recoger el contenido de una determinada Sentencia, que es de interés general, atendida la doctrina en ella reflejada, haciendo hincapié en que fue publicada en la sección de Tribunales del medio informativo, con lo que su difusión estaba amparada por el marco protector del principio constitucional de publicidad de las actuaciones judiciales ex art. 120.1 CE. Y en relación con el dato divulgado, referido a los antecedentes del ahora demandante de amparo, y el subsiguiente comentario del periodista, considera que la veracidad de la información no puede resultar afectada por aquella divulgación y este comentario, toda vez que se inspiran en la narración de hechos probados de la Sentencia de la Sección Primera de la Audiencia Provincial de Zaragoza, que transcribe también la Sentencia de la Sala Segunda del Tribunal Supremo, excediendo del deber de diligencia exigible a un periodista la comprobación de si subsistía o no aquel antecedente penal. En consecuencia concluye afirmando que “en el ámbito de la posible colisión entre los respectivos derechos fundamentales al honor y a la intimidad personal, y a la libertad de información y expresión” la divulgación de dicho antecedente penal y el comentario del autor de la información vinculado al mismo no son incardinables en el supuesto de intromisión ilegítima previsto en el art. 7.7 de la Ley Orgánica 1/1982, de 5 de mayo (la divulgación de expresiones o hechos concernientes a una persona cuando la difamen o la haga desmerecer en la consideración ajena), así como descartando por parte del informador, al analizar en su conjunto la noticia, “una significación descalificadora” o un “propósito de intencionalidad difamatoria o menospreciadora” en relación con el ahora demandante de amparo o, precisando que “la circunstancia de facilitarse en el artículo los datos personales </w:t>
      </w:r>
      <w:r>
        <w:lastRenderedPageBreak/>
        <w:t>y profesionales del mentado señor, en modo alguno puede ser entendido cual comisión de la intromisión que se analiza”.</w:t>
      </w:r>
    </w:p>
    <w:p w:rsidR="0025129F" w:rsidRDefault="0025129F" w:rsidP="0025129F">
      <w:pPr>
        <w:pStyle w:val="TextoNormal"/>
      </w:pPr>
    </w:p>
    <w:p w:rsidR="0025129F" w:rsidRDefault="0025129F" w:rsidP="0025129F">
      <w:pPr>
        <w:pStyle w:val="TextoNormal"/>
      </w:pPr>
      <w:r w:rsidRPr="0025129F">
        <w:rPr>
          <w:rStyle w:val="NumeroAFNegritaCaracter"/>
        </w:rPr>
        <w:t>4</w:t>
      </w:r>
      <w:r>
        <w:t>. Delimitadas en los términos expuestos las posiciones de las partes personadas en el presente proceso de amparo, es necesario, a los efectos de precisar adecuadamente el objeto de nuestro pronunciamiento, realizar con carácter previo alguna consideración en relación con los derechos y libertades que entran en conflicto en el presente caso, pues, como es sabido, la importancia de los criterios que han de ser tenidos en cuenta al afrontar la ponderación entre los derechos y libertades en colisión varía notablemente según se trate de la libertad de expresión o de información, por un lado, y de la protección del derecho al honor, a la intimidad o a la propia imagen, por otro (por todas, SSTC 107/1988, de 8 de junio, FJ 2; 197/1991, de 15 de noviembre, FJ 2; 20/1992, de 17 de marzo, FJ 3; 223/1992, de 14 de diciembre, FJ 2).</w:t>
      </w:r>
    </w:p>
    <w:p w:rsidR="0025129F" w:rsidRDefault="0025129F" w:rsidP="0025129F">
      <w:pPr>
        <w:pStyle w:val="TextoNormal"/>
      </w:pPr>
      <w:r>
        <w:t>Por lo que se refiere a cuál es el derecho ejercido por el autor de la noticia controvertida, si la libertad de expresión o de información, no cabe duda de que el artículo en cuestión, y en ello se muestran conformes todas las partes personadas en el proceso, al limitarse básicamente a informar sobre el contenido de la Sentencia de la Sala Segunda del Tribunal Supremo, transcribiendo literalmente alguno de sus pasajes esenciales, así como a relatar los hechos que desencadenaron el proceso penal en el que aquélla recayó, sin añadir su autor enunciados o juicios de valor personales y subjetivos, ha de incardinarse, en principio, en el ejercicio del derecho a comunicar libremente información veraz [art. 20.1 d) CE], que tiene por objeto la comunicación de noticias, hechos o datos (SSTC 6/1988, de 21 de enero, FJ 5; 223/1992, de 14 de diciembre, FJ 1; 76/1995, de 22 de mayo, FJ 6; 176/1995, de 11 de diciembre, FJ 2).</w:t>
      </w:r>
    </w:p>
    <w:p w:rsidR="0025129F" w:rsidRDefault="0025129F" w:rsidP="0025129F">
      <w:pPr>
        <w:pStyle w:val="TextoNormal"/>
      </w:pPr>
      <w:r>
        <w:t>Sólo en relación con el comentario que se desliza en el artículo sobre las consecuencias que se hubieran podido derivar para el demandante de amparo de sus antecedentes penales de hurto, si no hubiera sido absolutoria la Sentencia de la Sala Segunda del Tribunal Supremo, se suscita en la Sentencia de la Audiencia Provincial de Madrid alguna duda en cuanto a su encaje en la libertad de información o de expresión. Pues bien, lo cierto es que al emitirlo no se relata un hecho, sino que se expresa una opinión sobre lo que hubiera pasado de haber sido condenatoria la Sentencia que se comenta. Tal opinión, por más que pueda resultar inexacta, carece de toda virtualidad lesiva, tanto desde la perspectiva del honor como de la intimidad: ni constituye una iniuria ni, al no relatar hecho alguno, desvela nada que pudiera pertenecer a la esfera íntima.</w:t>
      </w:r>
    </w:p>
    <w:p w:rsidR="0025129F" w:rsidRDefault="0025129F" w:rsidP="0025129F">
      <w:pPr>
        <w:pStyle w:val="TextoNormal"/>
      </w:pPr>
      <w:r>
        <w:t>De otra parte, el recurrente en amparo invoca conjuntamente como lesionados en el escrito de demanda los derechos al honor, a la intimidad y a la propia imagen (art. 18.1 CE), refiriéndose en otros pasajes de la misma, también indistintamente y al igual que hiciera en la vía judicial previa, solamente al derecho al honor y al derecho a la intimidad. Ha de recordarse al respecto que los derechos al honor, a la intimidad y a la propia imagen, como ha tenido ya ocasión de declarar este Tribunal, a pesar de su estrecha relación, en tanto que derechos de la personalidad, derivados de la dignidad humana y dirigidos a la protección del patrimonio moral de las personas, son derechos autónomos, que tienen un contenido propio y específico (STC 156/2001, de 2 de julio, FFJJ 2 y 3). Es obvio que en nada ha podido resultar afectado en este caso el derecho a la propia imagen del demandante de amparo, que atribuye a su titular un derecho o facultad a determinar la información gráfica generada por sus rasgos físicos personales que pueda tener dimensión pública (SSTC 81/2001, de 26 de marzo, FJ 2; 139/2001, de 18 de junio, FJ 4). Potencialmente concerni</w:t>
      </w:r>
      <w:r>
        <w:lastRenderedPageBreak/>
        <w:t>dos por la información publicada se hallan pues, exclusivamente, sus derechos al honor y a la intimidad.</w:t>
      </w:r>
    </w:p>
    <w:p w:rsidR="0025129F" w:rsidRDefault="0025129F" w:rsidP="0025129F">
      <w:pPr>
        <w:pStyle w:val="TextoNormal"/>
      </w:pPr>
    </w:p>
    <w:p w:rsidR="0025129F" w:rsidRDefault="0025129F" w:rsidP="0025129F">
      <w:pPr>
        <w:pStyle w:val="TextoNormal"/>
      </w:pPr>
      <w:r w:rsidRPr="0025129F">
        <w:rPr>
          <w:rStyle w:val="NumeroAFNegritaCaracter"/>
        </w:rPr>
        <w:t>5</w:t>
      </w:r>
      <w:r>
        <w:t>. Así pues, la cuestión planteada en esta sede atañe, una vez más, a un conflicto entre el derecho a comunicar libremente información y el derecho al honor, reconocidos respectivamente en los arts. 20.1 d) y 18.1 CE, que obviamente debemos de afrontar a la luz de la reiterada doctrina elaborada al respecto por este Tribunal, que constituye ya un consolidado cuerpo de jurisprudencia constitucional (SSTC 62/1982, de 15 de octubre; 156/19886, de 9 de diciembre; 6/1988, de 21 de enero; 107/1988, de 8 de junio; 121/1989, de 3 de julio; 105/1990, de 6 de junio; 171/1990, de 12 de noviembre; 172/1990, de 12 de noviembre; 143/1991, de 1 de julio: 40/1992, de 30 de marzo; 85/1992, de 8 de junio; 219/1992, de 3 de diciembre; 240/1992, de 21 de diciembre; 178/1993, de 31 de mayo; 320/1994, de 28 de noviembre; 173/1995, de 21 de noviembre; 138/1996, de 16 de septiembre; 200/1998, de 14 de octubre; 154/1999, de 13 de julio; 21/2000, de 31 de enero; 110/2000, de 5 de mayo; 297/2000, de 11 de diciembre), si bien limitando nuestra exposición a aquellos criterios jurisprudenciales que sean relevantes para el enjuiciamiento del supuesto planteado.</w:t>
      </w:r>
    </w:p>
    <w:p w:rsidR="0025129F" w:rsidRDefault="0025129F" w:rsidP="0025129F">
      <w:pPr>
        <w:pStyle w:val="TextoNormal"/>
      </w:pPr>
      <w:r>
        <w:t>a) Conviene recordar, ante todo, que la función de este Tribunal en los recursos de amparo interpuestos a consecuencia de un conflicto entre las libertades proclamadas en el art.  20.1 a) y d) CE y los derechos de la personalidad reconocidos en el art.  18.1 CE no debe limitarse a examinar la razonabilidad de la motivación de las resoluciones judiciales impugnadas, ya que no se trata aquí de comprobar si dichas resoluciones han infringido o no el art. 24.1 CE, por manifiestamente irrazonables, arbitrarias o incurrir en error patente, sino que consiste en dilucidar si el juicio sobre la confrontación de los derechos en presencia ha sido realizado de modo que se respete su respectivo contenido constitucional, para, de llegar a una conclusión afirmativa, confirmar la decisión judicial, o, en caso contrario, reputarla lesiva de uno u otro derecho fundamental (SSTC 171/1990, de 12 de noviembre, FJ 4; 172/1990, de 12 de noviembre, FJ 6; 40/1992, de 30 de marzo, FJ 1; 219/1992, de 3 de diciembre, FJ 2; 240/1992, de 21 de diciembre, FJ 3). En ese enjuiciamiento este Tribunal no se encuentra vinculado a las valoraciones efectuadas por los órganos jurisdiccionales, sino que debe determinar por sí mismo si la restricción que aquéllos impusieron a un derecho, en este caso, al derecho al honor del demandante de amparo, está o no constitucionalmente justificada por la limitación que en caso contrario sufriría el derecho de la otra parte, en concreto el derecho a comunicar libremente información de los demandados en el proceso judicial a quo (SSTC 171/1990, de 12 de noviembre, FJ 4; 40/1992, de 30 de marzo, FJ 1; 134/1990, de 19 de julio; 240/1992, de 21 de diciembre, FJ 3; 178/1993, de 31 de mayo, FJ 2; 200/1998, de 14 de octubre, FJ 4; 180/1999, de 25 de octubre, FJ 3; 112/2000, de 5 de mayo, FJ 5; 115/2000, de 10 de mayo, FJ 2; 49/2001, de 26 de febrero, FFJJ 3 y 4).</w:t>
      </w:r>
    </w:p>
    <w:p w:rsidR="0025129F" w:rsidRDefault="0025129F" w:rsidP="0025129F">
      <w:pPr>
        <w:pStyle w:val="TextoNormal"/>
      </w:pPr>
      <w:r>
        <w:t>b) Respecto al juicio sobre la confrontación de los derechos fundamentales en este caso en conflicto, una reiterada jurisprudencia de este Tribunal ha venido destacando desde la STC 6/1981, de 16 de marzo, que la posibilidad del libre ejercicio de los derechos fundamentales a las libertades de expresión e información garantiza la formación y existencia de una opinión pública libre, ya que, al ser una condición previa y necesaria para el ejercicio de otros derechos inherentes al funcionamiento de un sistema democrático, se convierte, a su vez, en uno de los pilares de una sociedad libre y democrática (SSTC 159/1986, de 16 de diciembre, FJ 6; 21/2000, de 31 de enero, FJ 4; en el mismo sentido, SSTEDH caso Handyside, de 7 de diciembre de 1976, y caso Lingens, de 8 de julio de 1986). No obstan</w:t>
      </w:r>
      <w:r>
        <w:lastRenderedPageBreak/>
        <w:t>te aquellos derechos no son ilimitados, pues ninguno lo es. El art. 20.4 CE y este Tribunal, al interpretarlo, han concretado las posibilidades de actuación constitucionalmente protegidas, así como los criterios conforme a los cuales ha de delimitarse el contenido del art. 20.1 CE frente a los derechos al honor y a la intimidad reconocidos en el art. 18.1 CE (STC110/2000, de 5 de mayo, FJ 8).</w:t>
      </w:r>
    </w:p>
    <w:p w:rsidR="0025129F" w:rsidRDefault="0025129F" w:rsidP="0025129F">
      <w:pPr>
        <w:pStyle w:val="TextoNormal"/>
      </w:pPr>
      <w:r>
        <w:t>Por lo que se refiere específicamente al derecho a comunicar libremente información, que es el que nos ocupa, este Tribunal ha declarado de manera reiterada que su ejercicio legítimo requiere la concurrencia de un requisito esencial, a saber, la veracidad de la información, pues de modo expreso la Constitución configura la libertad de información como el derecho a comunicar información veraz. A ese primer requisito puede añadirse en ocasiones, y singularmente cuando está en juego la intimidad, el interés y la relevancia pública de la información divulgada. En ausencia de alguno de dichos requisitos, la libertad de información no está constitucionalmente respaldada y, por ende, su ejercicio podrá afectar, lesionándolo, a alguno de los derechos que como límite enuncia el art. 20.4 CE, singularmente, y por lo que a este caso interesa, el derecho fundamental al honor (SSTC 28/1996, de 16 de febrero, FJ 3; 154/1999, de 13 de julio, FJ 5).</w:t>
      </w:r>
    </w:p>
    <w:p w:rsidR="0025129F" w:rsidRDefault="0025129F" w:rsidP="0025129F">
      <w:pPr>
        <w:pStyle w:val="TextoNormal"/>
      </w:pPr>
      <w:r>
        <w:t>No cabe negar, en principio, que la divulgación de los antecedentes penales de una persona, como sostiene el recurrente en su demanda de amparo, puede constituir una intromisión ilegítima en el derecho al honor del afectado por la información, e, incluso, que la información relativa a un aspecto tan sensible de la vida de un individuo como son sus antecedentes penales, según las circunstancias de esa información, puede llegar a lesionar su intimidad en la medida en que puedan convertirse en una fuente de información sobre la vida privada de una persona o su familia (en este sentido, STC 144/1999, de 22 de julio, FJ 8). Hemos pues de analizar si, en concreto, alguna de esas lesiones se ha producido.</w:t>
      </w:r>
    </w:p>
    <w:p w:rsidR="0025129F" w:rsidRDefault="0025129F" w:rsidP="0025129F">
      <w:pPr>
        <w:pStyle w:val="TextoNormal"/>
      </w:pPr>
    </w:p>
    <w:p w:rsidR="0025129F" w:rsidRDefault="0025129F" w:rsidP="0025129F">
      <w:pPr>
        <w:pStyle w:val="TextoNormal"/>
      </w:pPr>
      <w:r w:rsidRPr="0025129F">
        <w:rPr>
          <w:rStyle w:val="NumeroAFNegritaCaracter"/>
        </w:rPr>
        <w:t>6</w:t>
      </w:r>
      <w:r>
        <w:t>. El derecho al honor, que el demandante de amparo estima lesionado por la información publicada, y cuya lesión, en su criterio, no han reparado las resoluciones judiciales impugnadas, es un concepto jurídico que, aunque expresa de modo inmediato la dignidad constitucional inherente a toda persona, depende, en parte, de las normas, valores e ideas sociales vigentes en cada momento, por lo que comporta un margen de imprecisión que ha de irse reduciendo por la concreción judicial. Frente a él, cuando de imputaciones de hechos se trata, cobra especial relieve el requisito de la veracidad: ninguna información que afecte al honor de una persona puede difundirse de modo constitucionalmente legítimo si es inveraz.</w:t>
      </w:r>
    </w:p>
    <w:p w:rsidR="0025129F" w:rsidRDefault="0025129F" w:rsidP="0025129F">
      <w:pPr>
        <w:pStyle w:val="TextoNormal"/>
      </w:pPr>
      <w:r>
        <w:t xml:space="preserve">Respecto del requisito de la veracidad de información es reiterada doctrina de este Tribunal, desde la STC 6/1988, de 21 de enero (FJ 5), según la cual el requisito no supone la exigencia de una rigurosa y total exactitud en el contenido de la información, de modo que puedan quedar exentas de toda protección o garantía constitucional las informaciones erróneas o no probadas, sino que se debe privar de esa protección o garantía a quienes, defraudando el derecho de todos a recibir información veraz, actúen de manera negligente e irresponsable al transmitir como hechos verdaderos simples rumores carentes de toda contrastación o meras invenciones o insinuaciones (SSTC 105/1990, de 6 de junio, FJ 5; 171/1990, de 12 de noviembre, FJ 8; 172/1990, de 12 de noviembre, FJ 3; 143/1991, de 1 de julio, FJ 6; 197/1991, de 17 de octubre, FJ 2; 40/1992, de 30 de marzo, FJ 2; 85/1992, de 8 de junio, FJ 4; 240/1992, de 21 de diciembre, FJ 5). Por tanto lo que el citado requisito viene a suponer es que el informador, si quiere situarse bajo la protección del art. 20.1 d) CE, tiene un especial deber de comprobar la veracidad de los hechos que expone mediante las oportunas averiguaciones y empleando la diligencia exigible a un profesional. </w:t>
      </w:r>
      <w:r>
        <w:lastRenderedPageBreak/>
        <w:t>Puede que, pese a ello, la información resulte inexacta o errónea, lo que no puede excluirse totalmente, pero la “información rectamente obtenida y difundida es digna de protección (STC 6/1988, FJ 5) aunque su total exactitud sea controvertible o se incurra en errores circunstanciales que no afecten a la esencia de lo informado” (SSTC 171/1990, de 12 de noviembre, FJ 8; 172/1990, de 12 de noviembre, FJ 3; en el mismo sentido, SSTC 240/1992, de 21 de diciembre, FJ 5; 178/1993, de 31 de mayo, FJ 5; 110/2000, de 5 de mayo, FJ 8; 297/2000, de 11 de diciembre, FJ 9).</w:t>
      </w:r>
    </w:p>
    <w:p w:rsidR="0025129F" w:rsidRDefault="0025129F" w:rsidP="0025129F">
      <w:pPr>
        <w:pStyle w:val="TextoNormal"/>
      </w:pPr>
      <w:r>
        <w:t>Pues bien, en este caso, según el recurrente, la noticia publicada en el extremo relativo a la divulgación de sus antecedentes penales por hurto es, en primer término, inveraz, ya que aquellos antecedentes habían sido cancelados con anterioridad a que hubiese sido dictada la Sentencia de la Sección Primera de la Audiencia Provincial de Zaragoza, y este dato no era difícil de contrastar por el autor de la información, aun sin requerirle conocimientos especializados, si hubiese actuado con un mínimo de diligencia.</w:t>
      </w:r>
    </w:p>
    <w:p w:rsidR="0025129F" w:rsidRDefault="0025129F" w:rsidP="0025129F">
      <w:pPr>
        <w:pStyle w:val="TextoNormal"/>
      </w:pPr>
      <w:r>
        <w:t>Por su parte los demandados en el proceso a quo, aunque reconocen como cierta la cancelación del antecedente penal, estiman que la información publicada es veraz, pese a que se hubiera deslizado en la misma una inexactitud, ya que dicho dato lo habían proporcionado las Sentencias de la Sección Primera de la Audiencia Provincial de Zaragoza y de la Sala de Segunda del Tribunal Supremo, que fueron la fuente de la noticia, en las que no aparecía recogida la cancelación del antecedente, habiendo mantenido el autor de la información una diligente actitud en la búsqueda de la veracidad de lo informado, al haberse fiado de una fuente informativa totalmente creíble.</w:t>
      </w:r>
    </w:p>
    <w:p w:rsidR="0025129F" w:rsidRDefault="0025129F" w:rsidP="0025129F">
      <w:pPr>
        <w:pStyle w:val="TextoNormal"/>
      </w:pPr>
      <w:r>
        <w:t>En el mismo sentido, por lo que respecta al cumplimiento del requisito de la veracidad de la información, se pronuncia el Ministerio Fiscal, para quien, al constar la realidad de los antecedentes en la Sentencia condenatoria de la Audiencia Provincial, cuyo relato de hechos reprodujo la Sentencia de la Sala Segunda del Tribunal Supremo, no podía exigírsele al periodista mayor diligencia para comprobar y conocer su posible cancelación, si bien precisa que el delito de falsedad, por el que fue procesado, y condenado, en primera instancia el demandante de amparo, había sido cometido en fecha anterior a la de la cancelación de los antecedentes penales por hurto, de modo que, aunque éstos fueran cancelados posteriormente, seguían teniendo efecto respecto al cumplimiento de la pena y a la aplicación del beneficio de suspensión de su ejecución, por no ser la primera vez que había delinquido el actor.</w:t>
      </w:r>
    </w:p>
    <w:p w:rsidR="0025129F" w:rsidRDefault="0025129F" w:rsidP="0025129F">
      <w:pPr>
        <w:pStyle w:val="TextoNormal"/>
      </w:pPr>
      <w:r>
        <w:t>Para determinar si la información publicada y aquí controvertida, en el extremo cuestionado por el recurrente en amparo, resulta protegida o no por el derecho reconocido en el art. 20.1 d) CE, por carecer del requisito de la veracidad, ha de ponderarse el error o la inexactitud en la que, como reconoce su autor y el medio informativo, aquélla incurrió, así como si, a pesar del error deslizado, el informador ha obrado con la diligencia que le era exigible o, por el contrario, si ha actuado de manera negligente e irresponsable con menosprecio de la verdad o falsedad de lo comunicado.</w:t>
      </w:r>
    </w:p>
    <w:p w:rsidR="0025129F" w:rsidRDefault="0025129F" w:rsidP="0025129F">
      <w:pPr>
        <w:pStyle w:val="TextoNormal"/>
      </w:pPr>
      <w:r>
        <w:t>Pero antes de nada es preciso advertir que en el caso actual no se trata del enjuiciamiento de una información elaborada por el informador a partir de fuentes distintas, en la que el contenido de lo informado no tenga una plasmación objetivada previa a la información misma, hipótesis en la que el análisis de la veracidad y relevancia de los datos incluidos en la información puede tener matices distintos de los propios del presente caso. Lo peculiar de éste es que el objeto de la información es una concreta Sentencia de la Sala de lo Penal del Tribunal Supremo, que tiene una existencia y realidad previas, que en su objetividad incuestionable es el inmediato punto de referencia de la información, de modo que ésta se limita a dar publicidad informativa a un hecho que, como tal, tiene una identidad perfec</w:t>
      </w:r>
      <w:r>
        <w:lastRenderedPageBreak/>
        <w:t>tamente definida; y ello, al margen de que la Sentencia, que no directamente el informador, al publicarla, pueda incurrir, o no, en determinados errores o inexactitudes. Ante una realidad tal la misma existencia del error o inexactitud imputada al informador ha de resultar descartada: ningún deber de diligencia quebranta el informador al transmitir inalterado un dato contenido en la Sentencia que es objeto de la noticia, pues ha de recordarse que información veraz en el sentido del art. 20.1 d) CE significa información comprobada según los cánones de la profesionalidad informativa, excluyendo invenciones, rumores o insidias (STC 105/1990, de 6 de junio, FJ 5).</w:t>
      </w:r>
    </w:p>
    <w:p w:rsidR="0025129F" w:rsidRDefault="0025129F" w:rsidP="0025129F">
      <w:pPr>
        <w:pStyle w:val="TextoNormal"/>
      </w:pPr>
      <w:r>
        <w:t>En efecto, aunque en todo caso le es exigible al profesional de la información una actuación razonable en la comprobación de la veracidad de los hechos que expone, para no defraudar el derecho de todos a recibir una información veraz, tal obligación, sin embargo, debe ser proporcionada a la trascendencia o características concretas de la información que se comunica, dependiendo necesariamente, de las circunstancias que concurran en el caso de que se trate. La comprobación de la noticia no es, pues, un término unívoco, sino que, más allá de su genérica formulación como deber, exige matizaciones casuísticas. Así, entre otros criterios, cuando la noticia que se divulga puede suponer por su propio contenido un descrédito en la consideración de la persona afectada por la información, esa obligación de comprobar la veracidad del contenido de la información adquiere, en principio, su máxima intensidad, aunque pueden existir circunstancias que modulen dicha obligación, como, entre otras, el carácter del hecho noticioso, la condición pública o privada de la persona cuyo honor resulta afectado, la fuente que proporciona la información, las posibilidades efectivas de contrastarla, etc. (SSTC 219/1992, de 3 de diciembre, FJ 5; 240/1992, de 21 de diciembre, FJ 7; 200/1998, de 14 de octubre, FJ 4; 21/2000, de 32 de enero, FJ 6). En definitiva, lo que a través del requisito de la veracidad se está exigiendo al profesional de la información es una actuación razonable en la comprobación de la veracidad de los hechos que expone, para no defraudar el derecho de todos a recibir una información veraz (SSTC 28/1996, de 26 de febrero, FJ 3; 192/1999,de 25 de octubre, FJ 4; 21/2000, de 31 de enero, FJ 6).</w:t>
      </w:r>
    </w:p>
    <w:p w:rsidR="0025129F" w:rsidRDefault="0025129F" w:rsidP="0025129F">
      <w:pPr>
        <w:pStyle w:val="TextoNormal"/>
      </w:pPr>
      <w:r>
        <w:t>En el presente caso, como resulta de las actuaciones judiciales y han estimado acreditado en el proceso civil, tanto la Sección Vigésimo Primera de la Audiencia Provincial de Madrid, como la Sala Primera del Tribunal Supremo, el dato relativo a los antecedentes penales por hurto del demandante de amparo, que se divulgó en la información publicada, constaba expresamente recogido, sin que se hiciera referencia alguna a su cancelación, en los antecedentes de hecho de la Sentencia de la Sección Primera de la Audiencia Provincial de Zaragoza, que reprodujo textualmente en su primera Sentencia la Sala de lo Penal del Tribunal Supremo, la cual constituyó, no sólo el elemento central y relevante de la noticia, sino también la fuente informativa para su elaboración. La fuente, pues, que proporciona aquel dato reúne las características objetivas que la hacen fidedigna, seria, fiable y solvente, no siendo necesario en tales casos, según tiene declarado este Tribunal, mayor comprobación por parte del autor de la información que la exactitud o la identidad de la fuente (SSTC 178/1993, de 31 de mayo, FJ 5; 154/1999, de 13 de junio, FJ 5); máxime, si, como acontece en el caso que nos ocupa, la divulgación del dato proporcionado no va acompañada de personales y sesgados criterios del periodista que trasmite la información (STC 154/1999, de 13 de junio, FJ 7).</w:t>
      </w:r>
    </w:p>
    <w:p w:rsidR="0025129F" w:rsidRDefault="0025129F" w:rsidP="0025129F">
      <w:pPr>
        <w:pStyle w:val="TextoNormal"/>
      </w:pPr>
    </w:p>
    <w:p w:rsidR="0025129F" w:rsidRDefault="0025129F" w:rsidP="0025129F">
      <w:pPr>
        <w:pStyle w:val="TextoNormal"/>
      </w:pPr>
      <w:r w:rsidRPr="0025129F">
        <w:rPr>
          <w:rStyle w:val="NumeroAFNegritaCaracter"/>
        </w:rPr>
        <w:t>7</w:t>
      </w:r>
      <w:r>
        <w:t>. Rechazado, pues, que la noticia periodística en el extremo en el que ha sido cuestionada haya supuesto una inobservancia del específico deber de diligencia en la constatación razonable de la veracidad, que incumbe a su autor y al medio de comunicación que la pu</w:t>
      </w:r>
      <w:r>
        <w:lastRenderedPageBreak/>
        <w:t>blica, es necesario examinar, por último, si concurre el requisito de la relevancia pública de la información. A este respecto el demandante de amparo entiende que la divulgación del dato relativo a sus antecedentes penales por hurto es totalmente innecesario, por carecer de interés público, desde el punto de vista del contenido de la información y del derecho a darla.</w:t>
      </w:r>
    </w:p>
    <w:p w:rsidR="0025129F" w:rsidRDefault="0025129F" w:rsidP="0025129F">
      <w:pPr>
        <w:pStyle w:val="TextoNormal"/>
      </w:pPr>
      <w:r>
        <w:t>Para llevar a cabo ese examen es preciso partir de que lo que se difunde es un dato que ya se ha hecho público por las Sentencias de las que procede. Y no se ve bien cómo la publicación de algo que es oficialmente público pudiera afectar a la intimidad o constituir cualquier otra clase de injerencia ilegítima.</w:t>
      </w:r>
    </w:p>
    <w:p w:rsidR="0025129F" w:rsidRDefault="0025129F" w:rsidP="0025129F">
      <w:pPr>
        <w:pStyle w:val="TextoNormal"/>
      </w:pPr>
      <w:r>
        <w:t>Pero es que, en todo caso, que en la información se incluyese un dato de la Sentencia misma, como era el de los antecedentes penales del demandante, ha de entenderse que servía un fin informativo lícito: el de resaltar los efectos de la Sentencia en ese caso concreto, en contraste con lo que en él hubiera podido significar un fallo condenatorio y, consecuentemente, completar la información sobre dicha resolución, con lo que no puede negarse su relevancia.</w:t>
      </w:r>
    </w:p>
    <w:p w:rsidR="0025129F" w:rsidRDefault="0025129F" w:rsidP="0025129F">
      <w:pPr>
        <w:pStyle w:val="TextoNormal"/>
      </w:pPr>
    </w:p>
    <w:p w:rsidR="0025129F" w:rsidRDefault="0025129F" w:rsidP="0025129F">
      <w:pPr>
        <w:pStyle w:val="TextoNormal"/>
      </w:pPr>
      <w:r w:rsidRPr="0025129F">
        <w:rPr>
          <w:rStyle w:val="NumeroAFNegritaCaracter"/>
        </w:rPr>
        <w:t>8</w:t>
      </w:r>
      <w:r>
        <w:t>. En definitiva, la noticia publicada en el diario “El País”, y cuestionada en este proceso de amparo, está amparada por el derecho a la libertad de información.</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la presente demanda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0" w:name="SENTENCIA_2002_47"/>
      <w:r>
        <w:lastRenderedPageBreak/>
        <w:t>SENTENCIA 47/2002, de 25 de febrero de 2002</w:t>
      </w:r>
    </w:p>
    <w:bookmarkEnd w:id="50"/>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ECLI:ES:TC:2002:47</w:t>
      </w:r>
    </w:p>
    <w:p w:rsidR="0025129F" w:rsidRDefault="0025129F" w:rsidP="0025129F">
      <w:pPr>
        <w:pStyle w:val="SntesisDescriptiva"/>
      </w:pPr>
    </w:p>
    <w:p w:rsidR="0025129F" w:rsidRDefault="0025129F" w:rsidP="0025129F">
      <w:pPr>
        <w:pStyle w:val="SntesisDescriptiva"/>
      </w:pPr>
      <w:r>
        <w:t>Recurso de amparo 4273/1998. Promovido por doña Iluminada Tello Romero frente a la Sentencia de la Audiencia Provincial de Cuenca que estimó la apelación formulada por don José Antonio Fernández Moreno y dio lugar a su condena por un delito de calumnias.</w:t>
      </w:r>
    </w:p>
    <w:p w:rsidR="0025129F" w:rsidRDefault="0025129F" w:rsidP="0025129F">
      <w:pPr>
        <w:pStyle w:val="SntesisDescriptiva"/>
      </w:pPr>
    </w:p>
    <w:p w:rsidR="0025129F" w:rsidRDefault="0025129F" w:rsidP="0025129F">
      <w:pPr>
        <w:pStyle w:val="SntesisAnaltica"/>
      </w:pPr>
      <w:r>
        <w:t>Supuesta vulneración del derecho a la libertad de información: Concejal que en un tenso Pleno acusa al Alcalde de cohecho, sin ninguna prueba o indicio.</w:t>
      </w:r>
    </w:p>
    <w:p w:rsidR="0025129F" w:rsidRDefault="0025129F" w:rsidP="0025129F">
      <w:pPr>
        <w:pStyle w:val="SntesisAnaltica"/>
      </w:pPr>
    </w:p>
    <w:p w:rsidR="0025129F" w:rsidRDefault="0025129F" w:rsidP="0025129F">
      <w:pPr>
        <w:pStyle w:val="Extracto"/>
      </w:pPr>
      <w:r>
        <w:t>1.</w:t>
      </w:r>
      <w:r>
        <w:tab/>
        <w:t>Nos encontramos ante una imputación delictiva de cohecho, que no se encuentra corroborada por ningún dato, aparte los testimonios de la demandante y de su esposo que, a su vez, son negados por el ofendido. No hemos visto rastro alguno de prueba de veracidad en relación con la imputación realizada que lesionó el honor del ofendido, ni atisbo de ninguna actividad dirigida a demostrarla. Ante tal ausencia ha de estimarse correcto el enjuiciamiento que realizó la Sentencia condenatoria [FJ 4].</w:t>
      </w:r>
    </w:p>
    <w:p w:rsidR="0025129F" w:rsidRDefault="0025129F" w:rsidP="0025129F">
      <w:pPr>
        <w:pStyle w:val="Extracto"/>
      </w:pPr>
    </w:p>
    <w:p w:rsidR="0025129F" w:rsidRDefault="0025129F" w:rsidP="0025129F">
      <w:pPr>
        <w:pStyle w:val="Extracto"/>
      </w:pPr>
      <w:r>
        <w:t>2.</w:t>
      </w:r>
      <w:r>
        <w:tab/>
        <w:t>Las afirmaciones sobre las que gira el proceso constituyen no una opinión, pensamiento, creencia o juicio de valor, sino puros datos o hechos. Por tanto, el derecho en juego es el de información y no la libertad de expresión [FJ 3].</w:t>
      </w:r>
    </w:p>
    <w:p w:rsidR="0025129F" w:rsidRDefault="0025129F" w:rsidP="0025129F">
      <w:pPr>
        <w:pStyle w:val="Extracto"/>
      </w:pPr>
    </w:p>
    <w:p w:rsidR="0025129F" w:rsidRDefault="0025129F" w:rsidP="0025129F">
      <w:pPr>
        <w:pStyle w:val="Extracto"/>
      </w:pPr>
      <w:r>
        <w:t>3.</w:t>
      </w:r>
      <w:r>
        <w:tab/>
        <w:t>La libertad de información tiene en la veracidad un límite constitucional intrínseco [FJ 3].</w:t>
      </w:r>
    </w:p>
    <w:p w:rsidR="0025129F" w:rsidRDefault="0025129F" w:rsidP="0025129F">
      <w:pPr>
        <w:pStyle w:val="Extracto"/>
      </w:pPr>
    </w:p>
    <w:p w:rsidR="0025129F" w:rsidRDefault="0025129F" w:rsidP="0025129F">
      <w:pPr>
        <w:pStyle w:val="Extracto"/>
      </w:pPr>
      <w:r>
        <w:t>4.</w:t>
      </w:r>
      <w:r>
        <w:tab/>
        <w:t>La apelación es novum iudicium y, por ello, cabe en él nueva apreciación tanto de los hechos como del Derecho (SSTC 124/1983, 323/1993, 157/1995)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4273/98, promovido por doña Iluminada Tello Romero, representada por el Procurador don Argimiro Vázquez Guillén y asistida por el Letrado </w:t>
      </w:r>
      <w:r>
        <w:lastRenderedPageBreak/>
        <w:t>don José Ángel Cañas Cañada, contra la Sentencia 83/1998 de la Audiencia Provincial de Cuenca, de 24 de septiembre, que estimó recurso de apelación (núm. 73/98) formulado contra la dictada por el Juzgado de lo Penal de Cuenca con el núm. 181/1998, el 16 de marzo, en procedimiento abreviado núm. 337/97, seguido por supuesto delito de injurias y calumnias. Ha intervenido el Ministerio Fiscal y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la sede de este Tribunal el 15 de octubre de 1998, el Procurador don Argimiro Vázquez Guillén, en nombre y representación de doña María Iluminada Tello Romero, interpuso recurso de amparo contra la Sentencia aludida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en síntesis, los siguientes: </w:t>
      </w:r>
    </w:p>
    <w:p w:rsidR="0025129F" w:rsidRDefault="0025129F" w:rsidP="0025129F">
      <w:pPr>
        <w:pStyle w:val="TextoNormal"/>
      </w:pPr>
      <w:r>
        <w:t xml:space="preserve">a) La recurrente de amparo, que al tiempo de los hechos era Concejal del Ayuntamiento de Casasimarro por el PSOE, interpuso una moción de censura, junto con otros Concejales del Partido Popular, contra el Alcalde de dicha localidad don José Antonio Fernández Moreno, del PSOE. Según la demanda, el Alcalde insistió en no convocar los Plenos para no debatir la moción de censura, lo que dio lugar a varias resoluciones de la Sala de lo Contencioso-Administrativo del Tribunal Superior de Justicia de Castilla-La Mancha que dieron la razón a doña María Iluminada Tello Romero. </w:t>
      </w:r>
    </w:p>
    <w:p w:rsidR="0025129F" w:rsidRDefault="0025129F" w:rsidP="0025129F">
      <w:pPr>
        <w:pStyle w:val="TextoNormal"/>
      </w:pPr>
      <w:r>
        <w:t xml:space="preserve">b) En el curso del Pleno extraordinario del Ayuntamiento de Casasimarro celebrado el 15 de diciembre de 1995, la Sra. Tello Romero, contestando a alusiones que se le habían hecho, manifestó que “el señor Alcalde prometió a su marido 100.000 pesetas al mes, contratado en la radio municipal, por su adhesión”, en referencia al apoyo que debía prestar la Sra. Tello Romero al Alcalde en su gestión al frente del Ayuntamiento. Posteriormente, en la sesión ordinaria del Pleno de la misma corporación, celebrada el 25 de enero de 1996, el Alcalde pidió a la Sra. Tello Romero que precisase la acusación que había vertido en el Pleno extraordinario de 15 de diciembre de 1995 y, en particular, el lugar donde se le había ofrecido el dinero a su marido. La Sra. Tello contestó que el ofrecimiento había tenido lugar “en casa del Alcalde, en la cocina”. </w:t>
      </w:r>
    </w:p>
    <w:p w:rsidR="0025129F" w:rsidRDefault="0025129F" w:rsidP="0025129F">
      <w:pPr>
        <w:pStyle w:val="TextoNormal"/>
      </w:pPr>
      <w:r>
        <w:t xml:space="preserve">c) Por los anteriores hechos interpuso querella don José Antonio Fernández Moreno, atribuyendo a la Sra. Tello Romero un delito de calumnia, en tanto que el Ministerio Fiscal calificó los hechos como un delito de injurias sin publicidad. La Sentencia dictada por el Juzgado de lo Penal de Cuenca el día 16 de marzo de 1998 absolvió a la ahora recurrente de amparo de los dos delitos por los que había sido acusada. </w:t>
      </w:r>
    </w:p>
    <w:p w:rsidR="0025129F" w:rsidRDefault="0025129F" w:rsidP="0025129F">
      <w:pPr>
        <w:pStyle w:val="TextoNormal"/>
      </w:pPr>
      <w:r>
        <w:t>d) Interpuesto recurso de apelación por la acusación particular, respecto del que el Ministerio Fiscal interesó la inadmisión, fue estimado por la Sentencia de la Audiencia Provincial de Cuenca, dictada el 24 de septiembre de 1998. Esta resolución condenó a doña María Iluminada Tello Romero como autora de un delito de calumnias sin publicidad a la pena de multa de seis meses con una cuota diaria de 1.000 pesetas; añadiendo que, caso de no satisfacerse la multa, se le impondría una responsabilidad personal subsidiaria de un día de privación de libertad por cada dos cuotas diarias de multa no satisfechas. Asimismo condenó a la acusada al pago de las costas procesales de la instancia.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3</w:t>
      </w:r>
      <w:r>
        <w:t xml:space="preserve">. En la demanda de amparo se solicita que se declare la nulidad de la Sentencia de apelación y se confirme el fallo absolutorio de la Sentencia de instancia. Mediante otrosí se pide igualmente que se suspenda la ejecución de la resolución impugnada, ya que en caso contrario se produciría a la recurrente un perjuicio irreparable y el recurso de amparo quedaría desvirtuado. </w:t>
      </w:r>
    </w:p>
    <w:p w:rsidR="0025129F" w:rsidRDefault="0025129F" w:rsidP="0025129F">
      <w:pPr>
        <w:pStyle w:val="TextoNormal"/>
      </w:pPr>
      <w:r>
        <w:t>Se alega que la Sentencia de la Audiencia Provincial de Cuenca ha vulnerado el derecho a la libertad de expresión [art. 20.1 a) CE], en relación con el derecho a participar en los asuntos públicos, de modo directo o por medio de representantes, libremente elegidos en elecciones periódicas por sufragio universal (art. 23.1 CE). La actora de amparo fundamenta estas vulneraciones de derechos en que fue el entonces Alcalde de Casasimarro el que creó el clima de tensión en la corporación municipal al negarse a convocar el Pleno para debatir la moción de censura. La Sentencia de apelación no tiene en cuenta que las manifestaciones realizadas por la Sra. Tello Romero fueron debidas a la provocación del Alcalde, motivada a su vez con la finalidad de promover la querella y de dar lugar al expediente de recusación contra ella. Si la Sra. Tello contestó a la pregunta del Alcalde, la respuesta no pudo lesionar el honor de éste, ya que esta respuesta fue provocada por él mismo. Además, al afirmar la Sentencia de la Audiencia que la acusada no ha probado en juicio la verdad de las acusaciones, está desconociendo la doctrina de la STC 143/1991, de 1 de julio, ya que no es necesario que la acusada demuestre la veracidad de los hechos. Según la demanda de amparo, tampoco es admisible que la resolución impugnada reste toda relevancia a las Sentencias de la Sala de lo Contencioso-Administrativo del Tribunal Superior de Justicia de Castilla-La Mancha, pues estas decisiones ponen de relieve que no hubo propósito difamatorio por parte de la acusada o, al menos, que la libertad de expresión de un cargo público en el desempeño de su labor de Concejal no puede resultar coartada en beneficio de un pretendido derecho al honor. La Constitución —concluye la recurrente— garantiza la libertad de expresión de un cargo público, con independencia del grupo político en el que desempeñe su función, porque en una sociedad democrática el pluralismo político es esencial y no puede haber trabas que lo coarten o cercenen injustificadamente.</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Cuarta de este Tribunal, mediante providencia de 13 de octubre de 1999, acordó abrir el trámite del art. 50.3 LOTC para que la demandante de amparo y el Ministerio Fiscal formularan las alegaciones que estimasen convenientes en relación con la carencia manifiesta de contenido constitucional de la demanda [art. 50.1 c) LOTC]. La parte recurrente presentó sus alegaciones el 11 de noviembre de 1999, solicitando que se admitiera a trámite el recurso y que se suspendiera la ejecución de la resolución impugnada. Por su lado, el Ministerio Fiscal presentó las suyas en escrito registrado el 25 de noviembre de 1999, en el que solicitaba la inadmisión del presente recurso por carencia manifiesta de contenido constitucional. En esencia el Ministerio Fiscal parte de que el derecho pretendidamente vulnerado no es, como afirma la recurrente, la libertad de expresión, sino el derecho de información, premisa a partir de la cual desarrolla su razonamiento que cabe sintetizar del siguiente modo: considera irrelevantes tanto las conflictivas y tensas circunstancias políticas en las que acaecen los hechos, como la alegada provocación por parte del querellante para justificar la ausencia de animus iniuriandi por parte de la recurrente; entiende que la supuesta información vertida por ésta era de claro interés general; y afirma el carácter fundamental de la exceptio veritatis tratándose, como era el caso, de una aseveración del tipo de la realizada por la recurrente susceptible de ser considerada como un delito de calumnias o de injurias, de suerte que lo relevante no es tanto que no se haya proba</w:t>
      </w:r>
      <w:r>
        <w:lastRenderedPageBreak/>
        <w:t>do la veracidad de la imputación, cuanto la ausencia de la actividad encaminada a probarla, ausencia “que lleva a considerar probada la falsedad” al Tribunal. Así pues, concluida la falta de veracidad de la afirmación vertida por la actora, falta la condición inexcusable para entender constitucionalmente ejercida la libertad de información, de modo que no cabe proceder, como pretende la actora, a su ponderación con el derecho al honor del ofendido.</w:t>
      </w:r>
    </w:p>
    <w:p w:rsidR="0025129F" w:rsidRDefault="0025129F" w:rsidP="0025129F">
      <w:pPr>
        <w:pStyle w:val="TextoNormal"/>
      </w:pPr>
    </w:p>
    <w:p w:rsidR="0025129F" w:rsidRDefault="0025129F" w:rsidP="0025129F">
      <w:pPr>
        <w:pStyle w:val="TextoNormal"/>
      </w:pPr>
      <w:r w:rsidRPr="0025129F">
        <w:rPr>
          <w:rStyle w:val="NumeroAFNegritaCaracter"/>
        </w:rPr>
        <w:t>5</w:t>
      </w:r>
      <w:r>
        <w:t>. La Sala Segunda de este Tribunal, de conformidad con lo dispuesto en el art. 11.2 LOTC, acordó mediante providencia de 23 de marzo de 2000 admitir a trámite la demanda, así como requerir a los órganos judiciales de instancia y apelación para que remitieran las actuaciones y para que emplazaran a quienes hubieren sido parte en el procedimiento, excepto a la recurrente en amparo, para que pudieran comparecer, si lo deseaban, en el presente recurso. Por otra providencia de idéntica fecha, la misma Sala acordó abrir la oportuna pieza para tramitar el incidente sobre suspensión, así como, de acuerdo con lo previsto en el art. 56 LOTC, conceder un plazo común de tres días a la parte recurrente y al Ministerio Fiscal para que alegaran lo que estimasen pertinente sobre la suspensión.</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Auto de 5 de mayo de 2000 este Tribunal acuerda suspender la ejecución de la responsabilidad personal subsidiaria impuesta para el caso de impago de la pena de multa por la recurrente, y denegar la suspensión de la pena de multa y de las costas ocasionadas en la primera instancia.</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23 de mayo de 2000 se acuerda dar vista de las actuaciones recibidas a la parte recurrente y al Ministerio Fiscal por plazo común de veinte días, conforme dispone el art. 52.1 LOTC.</w:t>
      </w:r>
    </w:p>
    <w:p w:rsidR="0025129F" w:rsidRDefault="0025129F" w:rsidP="0025129F">
      <w:pPr>
        <w:pStyle w:val="TextoNormal"/>
      </w:pPr>
    </w:p>
    <w:p w:rsidR="0025129F" w:rsidRDefault="0025129F" w:rsidP="0025129F">
      <w:pPr>
        <w:pStyle w:val="TextoNormal"/>
      </w:pPr>
      <w:r w:rsidRPr="0025129F">
        <w:rPr>
          <w:rStyle w:val="NumeroAFNegritaCaracter"/>
        </w:rPr>
        <w:t>8</w:t>
      </w:r>
      <w:r>
        <w:t>. Por escrito presentado el 10 de junio de 2000, se reciben las alegaciones de la parte recurrente, en las que básicamente se resume lo expuesto en la demanda, recordando doctrina de este Tribunal favorable a sus tesis.</w:t>
      </w:r>
    </w:p>
    <w:p w:rsidR="0025129F" w:rsidRDefault="0025129F" w:rsidP="0025129F">
      <w:pPr>
        <w:pStyle w:val="TextoNormal"/>
      </w:pPr>
    </w:p>
    <w:p w:rsidR="0025129F" w:rsidRDefault="0025129F" w:rsidP="0025129F">
      <w:pPr>
        <w:pStyle w:val="TextoNormal"/>
      </w:pPr>
      <w:r w:rsidRPr="0025129F">
        <w:rPr>
          <w:rStyle w:val="NumeroAFNegritaCaracter"/>
        </w:rPr>
        <w:t>9</w:t>
      </w:r>
      <w:r>
        <w:t>. El Ministerio Fiscal formula sus alegaciones en escrito registrado el 22 de junio de 2000, interesando la desestimación del presente recurso, previa reproducción en forma resumida de las mismas consideraciones por las que se opuso a su admisión en el momento oportuno.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21 de febrero de 2002 se señaló para deliberación y votación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 que pretende la demandante, Concejal en el momento en que suceden los hechos, es que sus manifestaciones en el transcurso de dos Plenos municipales en relación con quien a la sazón ocupaba el cargo de Alcalde, y por las que fue finalmente condenada, hayan de considerarse constitucionalmente cubiertas por la libertad de expresión [art. 20.1 a) CE] en el ejercicio de cargo representativo público (art. 23.1 CE). Máxime cuando —</w:t>
      </w:r>
      <w:r>
        <w:lastRenderedPageBreak/>
        <w:t>según afirma— tales manifestaciones fueron fruto de la provocación de quien después se considera ofendido, en el ambiente tenso y conflictivo de una moción de censura interpuesta contra aquél; moción cuyo resultado dependía de ella al haber cambiado de fuerza política y, respecto de la cual, la convocatoria del Pleno necesario para su discusión había sido negada reiteradamente por el Alcalde censurado y luego querellante (hasta el punto de resultar necesarios varios pronunciamientos de la Sala de lo Contencioso-Administrativo del Tribunal Superior de Justicia de Castilla-La Mancha). La afirmación vertida en el primer Pleno del Ayuntamiento que aquí interesa, consistió en que, a cambio de su adhesión al Alcalde objeto de la moción de censura, éste ofrecería a su marido mensualmente 100.000 pesetas justificadas mediante la contratación en la radio municipal; afirmación que corrobora semanas después en el siguiente Pleno a preguntas del Alcalde, precisando que el lugar en el que se produjo el ofrecimiento fue la cocina de la casa de éste.</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entrar en el fondo de la cuestión, ha de aludirse al óbice procesal esgrimido por la actora de que el Tribunal ad quem desvirtuó los hechos declarados probados por la Sentencia de instancia, absolutoria, valorándolos nuevamente sin haber realizado nuevas pruebas ni diligencias y llegando a una solución contraria a aquélla. Una vez más ha de recordarse que, respecto de la condena en apelación frente a la absolución en instancia, este Tribunal ha mantenido reiteradamente que la apelación es un novum iudicium y que, por ello, cabe en él nueva apreciación tanto de los hechos como del derecho (STC 323/1993, de 8 de noviembre, FJ 4); consiguientemente, puede llegarse en ella a un pronunciamiento contrario al que tuvo lugar en instancia (SSTC 124/1983, de 21 de diciembre, FJ 1, ó 157/1995, de 6 de noviembre, FJ 4). Y ello es así, con mayor razón aún, cuando lo que hace el órgano ad quem, como sucede en el presente caso, es valorar de distinto modo los mismos hechos declarados probados por el órgano a quo, al aceptarlos en lo que no se opongan a lo que a continuación razona, pero sin introducir ningún dato nuevo, sino únicamente apreciaciones distintas sobre los ya ofrecidos en la resolución inicial.</w:t>
      </w:r>
    </w:p>
    <w:p w:rsidR="0025129F" w:rsidRDefault="0025129F" w:rsidP="0025129F">
      <w:pPr>
        <w:pStyle w:val="TextoNormal"/>
      </w:pPr>
    </w:p>
    <w:p w:rsidR="0025129F" w:rsidRDefault="0025129F" w:rsidP="0025129F">
      <w:pPr>
        <w:pStyle w:val="TextoNormal"/>
      </w:pPr>
      <w:r w:rsidRPr="0025129F">
        <w:rPr>
          <w:rStyle w:val="NumeroAFNegritaCaracter"/>
        </w:rPr>
        <w:t>3</w:t>
      </w:r>
      <w:r>
        <w:t>. Procede concretar a continuación, antes que ninguna otra cosa, cuál sea el derecho fundamental sobre el que se impetra el presente amparo, pues mientras la actora invoca el derecho a la libertad de expresión [art. 20.1 a) CE], la Sentencia de apelación y el Ministerio Fiscal afirman que, en realidad, el derecho en juego es la libertad de información, recogido en el párrafo d) del mismo precepto.</w:t>
      </w:r>
    </w:p>
    <w:p w:rsidR="0025129F" w:rsidRDefault="0025129F" w:rsidP="0025129F">
      <w:pPr>
        <w:pStyle w:val="TextoNormal"/>
      </w:pPr>
      <w:r>
        <w:t>Este Tribunal ha manifestado que mientras la primera “tiene por objeto pensamientos, ideas y opiniones, concepto amplio dentro del que deben incluirse también las creencias y los juicios de valor”, el derecho de información “versa, en cambio, sobre hechos” (STC 61/1998, de 17 de marzo, FJ 5); es decir, lo que se trasmite, “En un caso es la idea y en otro la noticia o el dato” (STC 223/1992, de 14 de diciembre, FJ 1). Aunque, como también hemos dicho (en los mismos fundamentos y Sentencias acabados de citar), en no pocas ocasiones resulta complicado determinar cuándo nos encontramos ante ideas u opiniones y cuándo ante datos o hechos, en el caso que se nos presenta no cabe duda de que las afirmaciones sobre las que gira el proceso constituyen no una opinión, pensamiento, creencia o juicio de valor, sino puros datos o hechos, a saber: que hubo una oferta dineraria a cambio de fidelidad política y que la misma se produjo en un lugar muy concreto. Por tanto, como bien entienden tanto la Sentencia impugnada como el Ministerio Fiscal en sus alegaciones a este recurso, el derecho en juego es el de información y no, como la actora afirma, la libertad de expresión.</w:t>
      </w:r>
    </w:p>
    <w:p w:rsidR="0025129F" w:rsidRDefault="0025129F" w:rsidP="0025129F">
      <w:pPr>
        <w:pStyle w:val="TextoNormal"/>
      </w:pPr>
      <w:r>
        <w:lastRenderedPageBreak/>
        <w:t>La conclusión anterior resulta de capital importancia, porque uno y otra comportan regímenes distintos en su relación con otros derechos con los que, en su caso, puedan entrar en colisión. En efecto, mientras que la libertad de expresión resulta objeto de una declaración de reconocimiento y protección genérica en el art. 20.1 a) CE, sin más, el derecho a la información que reconoce y protege el párrafo d) del mismo precepto no tiene por objeto cualquier información, sino sólo la “información veraz”; dicho en otros términos empleados en esta sede en varias ocasiones (p.ej., STC 223/1992, de 14 de diciembre, FJ 2), la libertad de información tiene en la veracidad un límite constitucional intrínseco.</w:t>
      </w:r>
    </w:p>
    <w:p w:rsidR="0025129F" w:rsidRDefault="0025129F" w:rsidP="0025129F">
      <w:pPr>
        <w:pStyle w:val="TextoNormal"/>
      </w:pPr>
      <w:r>
        <w:t>Pues bien, establecido que en el presente caso nos encontramos ante el derecho o libertad de información y no ante la libertad de expresión, buena parte de los argumentos esgrimidos por la demanda referidos a ésta (en particular su importancia para la crítica política cuando de cargos públicos se trata), dejan de ser relevantes como apoyo a la misma. Lo realmente fundamental cuando la cuestión debatida se sitúa, como es el caso, en el plano del derecho de información, es si la misma resulta veraz o no.  Sólo tras precisar este extremo cabría continuar con otras consideraciones, si fuere necesario, pues ni siquiera la información veraz prevalece siempre cuando entra en colisión con otros derechos fundamentales (por todas, STC 197/1991, de 17 de octubre).</w:t>
      </w:r>
    </w:p>
    <w:p w:rsidR="0025129F" w:rsidRDefault="0025129F" w:rsidP="0025129F">
      <w:pPr>
        <w:pStyle w:val="TextoNormal"/>
      </w:pPr>
    </w:p>
    <w:p w:rsidR="0025129F" w:rsidRDefault="0025129F" w:rsidP="0025129F">
      <w:pPr>
        <w:pStyle w:val="TextoNormal"/>
      </w:pPr>
      <w:r w:rsidRPr="0025129F">
        <w:rPr>
          <w:rStyle w:val="NumeroAFNegritaCaracter"/>
        </w:rPr>
        <w:t>4</w:t>
      </w:r>
      <w:r>
        <w:t>. En el caso objeto de análisis resulta, además, que nos encontramos ante una imputación delictiva de cohecho, como bien dice la Sentencia de la Audiencia (no de prevaricación, como erróneamente la calificaba la de instancia), que no se encuentra corroborada por ningún dato, aparte los testimonios de la demandante y de su esposo que, a su vez, son negados por el ofendido. En tales circunstancias, la gravedad de los hechos imputados abona el que se extreme el celo en el contraste de la veracidad de la información, aunque haya de reconocerse, de otra parte, que exigir una prueba cumplida de que lo afirmado responde a la verdad objetiva excedería de lo lógicamente exigible.</w:t>
      </w:r>
    </w:p>
    <w:p w:rsidR="0025129F" w:rsidRDefault="0025129F" w:rsidP="0025129F">
      <w:pPr>
        <w:pStyle w:val="TextoNormal"/>
      </w:pPr>
      <w:r>
        <w:t>En este sentido, como recuerda la demanda, es lugar común en nuestra doctrina cuando se alude al requisito de la veracidad, que la verdad que satisface la exigencia constitucional no necesariamente ha de suponer una coincidencia exacta entre lo informado y los hechos realmente acaecidos, pues el art. 20.1 d) CE “ampara, en su conjunto, la información rectamente obtenida y difundida, aun cuando su total exactitud sea controvertible”; así pues, basta con demostrar que el informante desplegó una diligencia que pueda considerarse suficiente en relación con la averiguación o constatación de los extremos informados para entender satisfecha aquella exigencia (STC 6/1998, de 13 de enero, FJ 5).</w:t>
      </w:r>
    </w:p>
    <w:p w:rsidR="0025129F" w:rsidRDefault="0025129F" w:rsidP="0025129F">
      <w:pPr>
        <w:pStyle w:val="TextoNormal"/>
      </w:pPr>
      <w:r>
        <w:t>Ahora bien, en el presente caso las exigencias de la noción de veracidad así relativizada tampoco se cumplen; y es que, como apunta el Ministerio Fiscal en sus alegaciones, nada indica que haya habido actividad alguna, por leve que fuere, dirigida a fundamentar las manifestaciones que se vertieron. En efecto, consultadas las actas de declaración, puede constatarse que ni siquiera se hace referencia —lo que resulta notoriamente llamativo— a la forma en la que el Alcalde haría efectivo el importe que se dice que ofreció al esposo de la recurrente: el dato de que sería mediante la contratación de éste en una emisora municipal, sólo lo ofrece la recurrente en el primer Pleno del Ayuntamiento del que trae causa el pleito, sin ulteriores corroboraciones de una aseveración tan gravemente lesiva para el honor del entonces Alcalde.</w:t>
      </w:r>
    </w:p>
    <w:p w:rsidR="0025129F" w:rsidRDefault="0025129F" w:rsidP="0025129F">
      <w:pPr>
        <w:pStyle w:val="TextoNormal"/>
      </w:pPr>
      <w:r>
        <w:t xml:space="preserve">En realidad, en lo que ponen énfasis tanto la demanda como la Sentencia de instancia, no es en ninguna prueba directa o indiciaria que fundamente las afirmaciones realizadas, sino en las razones que tratan de justificarlas o disculparlas: que medió provocación del ofendido y que se hicieron en el ambiente tenso y crispado que presuponía la moción de </w:t>
      </w:r>
      <w:r>
        <w:lastRenderedPageBreak/>
        <w:t>censura entonces en curso, de modo que no hubo animus iniuriandi. Resulta, sin embargo, que el animus iniuriandi, a cuya alegada ausencia en el caso la actora otorga gran importancia, tiene —como la propia demanda recuerda al transcribir nuestra doctrina— una relevancia secundaria para determinar si ha existido lesión del honor (por todas, STC 15/1993, de 18 de enero, FJ 1), mientras que lo realmente significativo en el presente caso es que la demandante en ningún momento ha reaccionado frente a la tacha de inveracidad de sus imputaciones.</w:t>
      </w:r>
    </w:p>
    <w:p w:rsidR="0025129F" w:rsidRDefault="0025129F" w:rsidP="0025129F">
      <w:pPr>
        <w:pStyle w:val="TextoNormal"/>
      </w:pPr>
      <w:r>
        <w:t>Por otra parte, al margen también del juicio que puedan merecer tales argumentos cuando se invocan por un cargo representativo —al que, por ello mismo, parece que le es exigible un cierto comportamiento ejemplarizante para con los vecinos, en su modo de obrar y en sus manifestaciones—, lo cierto es que las circunstancias aducidas entran de lleno en el ámbito de la libre apreciación del Juez, como evidencia la opuesta valoración de ellos que hacen las dos instancias jurisdiccionales que se pronunciaron sobre el caso.</w:t>
      </w:r>
    </w:p>
    <w:p w:rsidR="0025129F" w:rsidRDefault="0025129F" w:rsidP="0025129F">
      <w:pPr>
        <w:pStyle w:val="TextoNormal"/>
      </w:pPr>
      <w:r>
        <w:t>Las circunstancias de tipo anímico aducidas por la actora (provocación, ambiente tenso), han podido ser tomadas en cuenta por el órgano juzgador en relación con los elementos subjetivos que integran el tipo penal aplicable al caso en orden a la cuantificación de la pena a imponer, pero no puede considerarse que tales circunstancias incidan directamente en lo que este Tribunal está llamado a resolver. Como hemos dicho, en supuestos como el que aquí se nos plantea la labor que nos cabe es la de enjuiciar la ponderación que haya realizado el Juez entre los concretos derechos enfrentados (STC 136/1994, de 9 de mayo, FJ 2). Pues bien, en el ejercicio de esa labor, no hemos visto en el presente supuesto rastro alguno de prueba de veracidad en relación con la imputación realizada que lesionó el honor del ofendido, ni atisbo de ninguna actividad dirigida a demostrarla. Ante tal ausencia ha de estimarse correcto el enjuiciamiento que realizó la Sentencia condenatoria. En conclusión, el límite intrínseco de la veracidad que, de acuerdo con el art. 20.1 d) CE, conlleva la libertad de información, y que deviene especialmente intenso cuando el contenido de las manifestaciones consiste en la imputación de conductas delictivas, fue desconocido por las manifestaciones de la recurrente, procediendo, en consecuencia, denegar el amparo que nos solicita.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doña Iluminada Tello Romero.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1" w:name="SENTENCIA_2002_48"/>
      <w:r>
        <w:lastRenderedPageBreak/>
        <w:t>SENTENCIA 48/2002, de 25 de febrero de 2002</w:t>
      </w:r>
    </w:p>
    <w:bookmarkEnd w:id="51"/>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ECLI:ES:TC:2002:48</w:t>
      </w:r>
    </w:p>
    <w:p w:rsidR="0025129F" w:rsidRDefault="0025129F" w:rsidP="0025129F">
      <w:pPr>
        <w:pStyle w:val="SntesisDescriptiva"/>
      </w:pPr>
    </w:p>
    <w:p w:rsidR="0025129F" w:rsidRDefault="0025129F" w:rsidP="0025129F">
      <w:pPr>
        <w:pStyle w:val="SntesisDescriptiva"/>
      </w:pPr>
      <w:r>
        <w:t>Recurso de amparo 30/1999. Promovido por doña María del Carmen Andrade Moreno y otros frente al Auto y Sentencia de las Salas de lo Social del Tribunal Supremo y del Tribunal Superior de Justicia de Andalucía que desestimaron su demanda contra el Ayuntamiento de Fuengirola por despido.</w:t>
      </w:r>
    </w:p>
    <w:p w:rsidR="0025129F" w:rsidRDefault="0025129F" w:rsidP="0025129F">
      <w:pPr>
        <w:pStyle w:val="SntesisDescriptiva"/>
      </w:pPr>
    </w:p>
    <w:p w:rsidR="0025129F" w:rsidRDefault="0025129F" w:rsidP="0025129F">
      <w:pPr>
        <w:pStyle w:val="SntesisAnaltica"/>
      </w:pPr>
      <w:r>
        <w:t>Vulneración del derecho a la libertad sindical: extinción de los contratos de auxiliares administrativos, en su mayoría afiliados a un sindicato, que no se justifica por causas económicas de reestructuración de plantilla.</w:t>
      </w:r>
    </w:p>
    <w:p w:rsidR="0025129F" w:rsidRDefault="0025129F" w:rsidP="0025129F">
      <w:pPr>
        <w:pStyle w:val="SntesisAnaltica"/>
      </w:pPr>
    </w:p>
    <w:p w:rsidR="0025129F" w:rsidRDefault="0025129F" w:rsidP="0025129F">
      <w:pPr>
        <w:pStyle w:val="Extracto"/>
      </w:pPr>
      <w:r>
        <w:t>1.</w:t>
      </w:r>
      <w:r>
        <w:tab/>
        <w:t>La práctica totalidad de los despidos afecta a trabajadores afiliados al sindicato UGT, cuando en la plantilla del Ayuntamiento existían otros dos sindicatos con representación. Por ende, los recurrentes han acreditado suficientemente la existencia de indicios que generan una razonable sospecha, apariencia o presunción a favor de su alegato de discriminación [FJ 6].</w:t>
      </w:r>
    </w:p>
    <w:p w:rsidR="0025129F" w:rsidRDefault="0025129F" w:rsidP="0025129F">
      <w:pPr>
        <w:pStyle w:val="Extracto"/>
      </w:pPr>
    </w:p>
    <w:p w:rsidR="0025129F" w:rsidRDefault="0025129F" w:rsidP="0025129F">
      <w:pPr>
        <w:pStyle w:val="Extracto"/>
      </w:pPr>
      <w:r>
        <w:t>2.</w:t>
      </w:r>
      <w:r>
        <w:tab/>
        <w:t>No se siguieron criterios objetivos para decidir quiénes iban a resultar despedidos o, al menos, no se nos han explicado. Justamente por haberse acudido a un procedimiento de extinción de la relación laboral que no exige autorización administrativa, sin que tampoco resulte exigible la negociación con el comité de empresa, el Ayuntamiento venía con mayor razón obligado a desplegar una actividad probatoria dirigida a demostrar inequívocamente que la decisión de despedir fue por completo ajena a la alegada lesión del derecho a la libertad sindical de los recurrentes [FFJJ 6 y 7].</w:t>
      </w:r>
    </w:p>
    <w:p w:rsidR="0025129F" w:rsidRDefault="0025129F" w:rsidP="0025129F">
      <w:pPr>
        <w:pStyle w:val="Extracto"/>
      </w:pPr>
    </w:p>
    <w:p w:rsidR="0025129F" w:rsidRDefault="0025129F" w:rsidP="0025129F">
      <w:pPr>
        <w:pStyle w:val="Extracto"/>
      </w:pPr>
      <w:r>
        <w:t>3.</w:t>
      </w:r>
      <w:r>
        <w:tab/>
        <w:t>Para que opere el desplazamiento al demandado del onus probandi, el actor ha de acreditar la existencia de indicios que generen una razonable sospecha, apariencia o presunción a favor de semejante alegato (SSTC 293/1993, 202/1997) [ FJ 5].</w:t>
      </w:r>
    </w:p>
    <w:p w:rsidR="0025129F" w:rsidRDefault="0025129F" w:rsidP="0025129F">
      <w:pPr>
        <w:pStyle w:val="Extracto"/>
      </w:pPr>
    </w:p>
    <w:p w:rsidR="0025129F" w:rsidRDefault="0025129F" w:rsidP="0025129F">
      <w:pPr>
        <w:pStyle w:val="Extracto"/>
      </w:pPr>
      <w:r>
        <w:t>4.</w:t>
      </w:r>
      <w:r>
        <w:tab/>
        <w:t>Cuando se alegan discriminaciones perturbadoras del ejercicio del derecho a la libertad sindical, las hipotéticas violaciones del derecho a la igualdad (art. 14 CE) quedan subsumidas en aquel derecho (SSTC 55/1983, 308/2000) [FJ 4].</w:t>
      </w:r>
    </w:p>
    <w:p w:rsidR="0025129F" w:rsidRDefault="0025129F" w:rsidP="0025129F">
      <w:pPr>
        <w:pStyle w:val="Extracto"/>
      </w:pPr>
    </w:p>
    <w:p w:rsidR="0025129F" w:rsidRDefault="0025129F" w:rsidP="0025129F">
      <w:pPr>
        <w:pStyle w:val="Extracto"/>
      </w:pPr>
      <w:r>
        <w:t>5.</w:t>
      </w:r>
      <w:r>
        <w:tab/>
        <w:t>El derecho de acceso a los recursos (salvo en materia penal, en la que la doble instancia es una exigencia constitucional) sólo surge de las leyes procesales. Por ello, el control constitucional de las resoluciones judiciales es meramente externo (SSTC 37/1995, 258/2000) [FJ 3].</w:t>
      </w:r>
    </w:p>
    <w:p w:rsidR="0025129F" w:rsidRDefault="0025129F" w:rsidP="0025129F">
      <w:pPr>
        <w:pStyle w:val="Extracto"/>
      </w:pPr>
    </w:p>
    <w:p w:rsidR="0025129F" w:rsidRDefault="0025129F" w:rsidP="0025129F">
      <w:pPr>
        <w:pStyle w:val="Extracto"/>
      </w:pPr>
      <w:r>
        <w:t>6.</w:t>
      </w:r>
      <w:r>
        <w:tab/>
        <w:t>La Sentencia de la Sala de lo Social del Tribunal Superior de Justicia no cumplió las exigencias de la doctrina constitucional y, por consiguiente, no reparó -y le</w:t>
      </w:r>
      <w:r>
        <w:lastRenderedPageBreak/>
        <w:t>sionó por tanto- el derecho de los recurrentes a no sufrir discriminación por razón de su afiliación a un sindicato (art. 28.1 CE) [FJ 9].</w:t>
      </w:r>
    </w:p>
    <w:p w:rsidR="0025129F" w:rsidRDefault="0025129F" w:rsidP="0025129F">
      <w:pPr>
        <w:pStyle w:val="Extracto"/>
      </w:pPr>
    </w:p>
    <w:p w:rsidR="0025129F" w:rsidRDefault="0025129F" w:rsidP="0025129F">
      <w:pPr>
        <w:pStyle w:val="Extracto"/>
      </w:pPr>
      <w:r>
        <w:t>7.</w:t>
      </w:r>
      <w:r>
        <w:tab/>
        <w:t>Basta para restablecer a los actores en la integridad de su derecho con anular la Sentencia de suplicación impugnada, declarando la firmeza de la Sentencia dictada en la instancia que había declarado la nulidad de los despidos [FJ 9].</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30/99, promovido por doña María del Carmen Andrade Moreno, doña María del Sol Blázquez González, don Manuel Carlos Cárdenas Servan, don Marco Castro Fernández, don Santiago Cuenca Mir, don Pedro Pablo Cuevas Díaz, don Antonio Díaz Gallardo, don José Antonio López Solórzano, doña Manuela Lourdes Palomo Martín, don Miguel Ángel Romero Sánchez y doña María Jesús Blanco Martín, representados por la Procuradora de los Tribunales doña Concepción Hoyos Moliner y asistidos por la Abogada doña Josefa García Lorente, contra el Auto de la Sala de lo Social del Tribunal Supremo de 12 de noviembre de 1998, por el que se declara la inadmisión del recurso de casación para la unificación de doctrina núm. 1895/98, interpuesto contra la Sentencia de la Sala de lo Social del Tribunal Superior de Justicia de Andalucía (sede de Málaga) de 6 de febrero de 1998, recaída en el recurso de suplicación núm. 996/96, así como frente a esta misma Sentencia, en materia de despido. Han intervenido el Ministerio Fiscal y el Ayuntamiento de Fuengirola, representado por el Procurador de los Tribunales don Jorge Deleito García y asistido por el Abogado don José Javier Cabello Burgos. Ha sido Ponente el Magistrado don Fernando Garrido Falla,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5 de enero de 1999, la Procuradora de los Tribunales doña Concepción Hoyos Moliner, en nombre y representación de doña María del Carmen Andrade Moreno, doña María del Sol Blázquez González, don Manuel Carlos Cárdenas Servan, don Marco Castro Fernández, don Santiago Cuenca Mir, don Pedro Pablo Cuevas Díaz, don Antonio Díaz Gallardo, don José Antonio López Solórzano, doña Manuela Lourdes Palomo Martín y don Miguel Ángel Romero Sánchez interpuso demanda de amparo contra el Auto y la Sentencia mencionados en el encabezamien</w:t>
      </w:r>
      <w:r>
        <w:lastRenderedPageBreak/>
        <w:t>to. Con fecha 13 de enero de 1999 presentó escrito solicitando que se la tuviese por comparecida y parte también en nombre y representación de doña María Jesús Blanco Martín, que fue omitida por error en la relación de recurrentes que encabeza la demanda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relevantes para el examen de la pretensión de amparo son los que se expresan a continuación: </w:t>
      </w:r>
    </w:p>
    <w:p w:rsidR="0025129F" w:rsidRDefault="0025129F" w:rsidP="0025129F">
      <w:pPr>
        <w:pStyle w:val="TextoNormal"/>
      </w:pPr>
      <w:r>
        <w:t xml:space="preserve">a) Los recurrentes en amparo prestaban servicios como auxiliares en el Ayuntamiento de Fuengirola, el cual, mediante Decreto núm. 3816/1995, de 4 de julio, acordó la extinción de sus contratos de trabajo fundada en reestructuración de plantilla por causas económicas (art. 52.c de la Ley del Estatuto de los Trabajadores, en adelante LET). Los trabajadores presentaron demanda por despido nulo por discriminación sindical o subsidiariamente improcedente, alegando que la totalidad de los trabajadores despedidos, entre ellos los hoy recurrentes en amparo, eran afiliados al sindicato Unión General de Trabajadores (UGT) y se produjo la medida inmediatamente después de la toma de posesión de la Alcaldesa tras las elecciones municipales ganadas por el Partido Popular. </w:t>
      </w:r>
    </w:p>
    <w:p w:rsidR="0025129F" w:rsidRDefault="0025129F" w:rsidP="0025129F">
      <w:pPr>
        <w:pStyle w:val="TextoNormal"/>
      </w:pPr>
      <w:r>
        <w:t xml:space="preserve">b) Por Sentencia de 28 de diciembre de 1995, el Juzgado de lo Social núm. 1 de Málaga (procedimiento núm. 949-68/95), estimó la demanda, declarando los despidos nulos por discriminación y condenando al Ayuntamiento de Fuengirola a la inmediata readmisión de los trabajadores demandantes. </w:t>
      </w:r>
    </w:p>
    <w:p w:rsidR="0025129F" w:rsidRDefault="0025129F" w:rsidP="0025129F">
      <w:pPr>
        <w:pStyle w:val="TextoNormal"/>
      </w:pPr>
      <w:r>
        <w:t xml:space="preserve">En los hechos declarados probados de la Sentencia, en lo atinente a la cuestión que se debate en amparo, se hace constar lo siguiente: </w:t>
      </w:r>
    </w:p>
    <w:p w:rsidR="0025129F" w:rsidRDefault="0025129F" w:rsidP="0025129F">
      <w:pPr>
        <w:pStyle w:val="TextoNormal"/>
      </w:pPr>
      <w:r>
        <w:t xml:space="preserve">“3) Que la demandada despidió a los actores mediante comunicación escrita el 4-7-95 con efectos de 4 de agosto, alegando ‘reestructuración de plantilla, por causas económicas’, en virtud del art. 52 c) del Estatuto de los Trabajadores, ofreciendo la cantidad indemnizatoria de 20 días de salario por año de servicio conforme al art. 53 del citado Estatuto, sin embargo, al no querer percibir dichas indemnizaciones los trabajadores por estar disconformes, fue consignada la totalidad de 2.654.322 pesetas en el Juzgado Decano de Málaga con fecha 7-7- 95, compensado el preaviso establecido con el periodo vacacional. </w:t>
      </w:r>
    </w:p>
    <w:p w:rsidR="0025129F" w:rsidRDefault="0025129F" w:rsidP="0025129F">
      <w:pPr>
        <w:pStyle w:val="TextoNormal"/>
      </w:pPr>
      <w:r>
        <w:t xml:space="preserve">4) Que si bien el Excmo. Ayuntamiento de Fuengirola viene soportando un endeudamiento progresivo como prácticamente todas las Corporaciones, debido a la crisis económica que se padece, no se ha acreditado suficientemente que la reducción de gastos de personal debido a los despidos producidos sea uno de los cauces principales de viabilidad de la misma (Doc. nº 2 del ramo de la prueba de la demandada). </w:t>
      </w:r>
    </w:p>
    <w:p w:rsidR="0025129F" w:rsidRDefault="0025129F" w:rsidP="0025129F">
      <w:pPr>
        <w:pStyle w:val="TextoNormal"/>
      </w:pPr>
      <w:r>
        <w:t xml:space="preserve">5) Que han existido algunas contrataciones posteriores a la fecha de los despidos en los mismos puestos de trabajo que ocupaban los trabajadores despedidos por designación directa de la Corporación, sin tener en cuenta los criterios de la ‘Mesa de Contratación’ creada para ello y formada por la representación de la empresa, los sindicatos UGT, CCOO, CSIF, y el Presidente del Comité de empresa. </w:t>
      </w:r>
    </w:p>
    <w:p w:rsidR="0025129F" w:rsidRDefault="0025129F" w:rsidP="0025129F">
      <w:pPr>
        <w:pStyle w:val="TextoNormal"/>
      </w:pPr>
      <w:r>
        <w:t xml:space="preserve">6) Que diecinueve trabajadores de los veinte despedidos pertenecían al sindicato de UGT en la fecha del despido”. </w:t>
      </w:r>
    </w:p>
    <w:p w:rsidR="0025129F" w:rsidRDefault="0025129F" w:rsidP="0025129F">
      <w:pPr>
        <w:pStyle w:val="TextoNormal"/>
      </w:pPr>
      <w:r>
        <w:t>El Juzgado de lo Social argumenta que, a la vista de los indicios de discriminación por razón de pertenencia a un sindicato alegados por los trabajadores demandantes, el Ayuntamiento venía obligado a acreditar en juicio la existencia de las razones organizativas que se exigen legalmente para poder acudir al despido objetivo por causas económicas del art. 52 c) LET, de conformidad con la doctrina del Tribunal Constitucional sobre la inversión de la carga de la prueba. Y estima el órgano judicial que el Ayuntamiento no ha desvirtuado la presunción discriminatoria, ya que no ha seguido criterios objetivos a la hora de ana</w:t>
      </w:r>
      <w:r>
        <w:lastRenderedPageBreak/>
        <w:t xml:space="preserve">lizar quienes iban a ser despedidos y no negoció tal cuestión con el Comité de Empresa, contrató personal en los mismos puestos de trabajo que ocupaban los despedidos y se limitó a presentar una auditoría confirmando la crisis económica y aconsejando los despidos, que son la última solución que se debería adoptar para superar una situación de pérdidas, máxime cuando ese informe ha sido elaborado por un perito que sólo llevaba trabajando para el Ayuntamiento doce días, por lo que difícilmente podía conocer las alegadas dificultades económicas por las que atravesaba la Corporación, según el Juzgado. </w:t>
      </w:r>
    </w:p>
    <w:p w:rsidR="0025129F" w:rsidRDefault="0025129F" w:rsidP="0025129F">
      <w:pPr>
        <w:pStyle w:val="TextoNormal"/>
      </w:pPr>
      <w:r>
        <w:t xml:space="preserve">c) Contra la Sentencia interpuso el Ayuntamiento recurso de suplicación. A los efectos que aquí interesan, el primer motivo del recurso interesaba la revisión de hechos probados. De la revisión fáctica pretendida por el Ayuntamiento resultaba que los hechos declarados probados 3 a 6 (anteriormente transcritos) de la Sentencia de instancia habían de quedar así redactados: </w:t>
      </w:r>
    </w:p>
    <w:p w:rsidR="0025129F" w:rsidRDefault="0025129F" w:rsidP="0025129F">
      <w:pPr>
        <w:pStyle w:val="TextoNormal"/>
      </w:pPr>
      <w:r>
        <w:t xml:space="preserve">“3) Que el Excmo. Ayuntamiento de Fuengirola despidió a veintitrés trabajadores, entre los que se encontraban los actores de este procedimiento, con efectos del cuatro de agosto alegando la ‘reestructuración de la plantilla, por causas económicas, en virtud del artículo 52, apartado c), del Estatuto de los Trabajadores’, ofreciendo la cantidad indemnizatoria de veinte días de salario por año de servicio conforme al artículo 53 del citado Estatuto; sin embargo, al no querer percibir dichas indemnizaciones los trabajadores por estar disconformes, fue consignada la totalidad de 2.654.332 pesetas en el Juzgado Decano de Málaga, con fecha de siete de julio de mil novecientos noventa y cinco, compensando el preaviso establecido con el período vacacional”. </w:t>
      </w:r>
    </w:p>
    <w:p w:rsidR="0025129F" w:rsidRDefault="0025129F" w:rsidP="0025129F">
      <w:pPr>
        <w:pStyle w:val="TextoNormal"/>
      </w:pPr>
      <w:r>
        <w:t xml:space="preserve">“4) Con fecha de noviembre de 1994 se expidió informe de la entidad ASERLOCAL sobre situación económica financiera del Excmo. Ayuntamiento de Fuengirola, el cual fue aprobado por Pleno Corporativo el siete de marzo de mil novecientos noventa y cinco. En dicho informe se especificaba que el diagnóstico de la situación del Excmo. Ayuntamiento, en las fechas en que se realizó el mismo, era que estaba sumido en una profunda crisis económica, cuyo síntoma más significativo era la aguda crisis de liquidez que amenazaba con colapsar la actividad normal del Ayuntamiento, siendo necesario que la Corporación adoptara una serie de medidas en el ámbito económico-financiero y tributario-organizativo encaminadas a reestablecer su equilibrio económico. Las medidas que se proponían en el informe estaban centradas en los ejercicios 1995, 1996 y 1997. </w:t>
      </w:r>
    </w:p>
    <w:p w:rsidR="0025129F" w:rsidRDefault="0025129F" w:rsidP="0025129F">
      <w:pPr>
        <w:pStyle w:val="TextoNormal"/>
      </w:pPr>
      <w:r>
        <w:t xml:space="preserve">Respecto del capítulo de personal expresamente dicho informe establecía la necesidad de limitar el incremento de gastos de personal, mediante la limitación de los incrementos de la masa salarial y la congelación y reducción de la plantilla, mediante la no renovación de las bajas por jubilaciones o extinciones de contrato. </w:t>
      </w:r>
    </w:p>
    <w:p w:rsidR="0025129F" w:rsidRDefault="0025129F" w:rsidP="0025129F">
      <w:pPr>
        <w:pStyle w:val="TextoNormal"/>
      </w:pPr>
      <w:r>
        <w:t xml:space="preserve">Con fecha de veintitrés de junio de mil novecientos noventa y cinco el Sr. Interventor del Excmo. Ayuntamiento de Fuengirola, a requerimiento de la Sra. Concejala-Delegada del área de Hacienda remitió informe en el que concluía que la reducción de la plantilla del Ayuntamiento era, en principio, una medida necesaria, incluso por los compromisos asumidos por la Corporación ante la Junta de Andalucía, para la reconversión de la deuda financiera. Igualmente emitieron informe sobre la modificación del catálogo de puestos de trabajo consistente en la supresión de las plazas que iban a ser amortizadas por el despido colectivo objetivo, el Director del Departamento de Personal y el Sr. Secretario. </w:t>
      </w:r>
    </w:p>
    <w:p w:rsidR="0025129F" w:rsidRDefault="0025129F" w:rsidP="0025129F">
      <w:pPr>
        <w:pStyle w:val="TextoNormal"/>
      </w:pPr>
      <w:r>
        <w:t xml:space="preserve">A fecha de 31 de julio de 1995 el Ayuntamiento de Fuengirola carecía de crédito presupuestario en la partida del Capítulo I, de gastos de personal, suficiente para atender los devengos hasta el final de ese ejercicio.” </w:t>
      </w:r>
    </w:p>
    <w:p w:rsidR="0025129F" w:rsidRDefault="0025129F" w:rsidP="0025129F">
      <w:pPr>
        <w:pStyle w:val="TextoNormal"/>
      </w:pPr>
      <w:r>
        <w:t xml:space="preserve">“5) Que tras el despido colectivo llevado a cabo por la Corporación Municipal se ha producido una sola contratación, en concreto, la del Sr. D. Daniel Guet Colomer, con la </w:t>
      </w:r>
      <w:r>
        <w:lastRenderedPageBreak/>
        <w:t xml:space="preserve">categoría de auxiliar administrativo, para que realizara funciones que se detallaban en la Oferta Genérica presentada en la Oficina de Empleo de Fuengirola. Dicha contratación se efectuó con la aprobación por mayoría de la mesa de Contratación convocada al efecto, con los solos votos en contra de D. Francisco González Marín y D. José Antonio López Morales. </w:t>
      </w:r>
    </w:p>
    <w:p w:rsidR="0025129F" w:rsidRDefault="0025129F" w:rsidP="0025129F">
      <w:pPr>
        <w:pStyle w:val="TextoNormal"/>
      </w:pPr>
      <w:r>
        <w:t xml:space="preserve">Con anterioridad a dicho despido se contrató como personal eventual o de confianza de los grupos políticos a D. Elías Sánchez Sánchez, con la categoría profesional de auxiliar Técnico Polivalente y con funciones de Supervisión en el Departamento de Almacén.” </w:t>
      </w:r>
    </w:p>
    <w:p w:rsidR="0025129F" w:rsidRDefault="0025129F" w:rsidP="0025129F">
      <w:pPr>
        <w:pStyle w:val="TextoNormal"/>
      </w:pPr>
      <w:r>
        <w:t xml:space="preserve">“6) Que el sindicato de la Unión General de Trabajadores tiene una muy mayoritaria representación en el Excmo. Ayuntamiento de Fuengirola. Diecinueve de los veintitrés despedidos estaban afiliados al mismo. No obstante, la demandante Dª María Luisa Blanco Pérez se afilió al Sindicato de la UGT el día dieciocho de julio de mil novecientos noventa y cinco”. </w:t>
      </w:r>
    </w:p>
    <w:p w:rsidR="0025129F" w:rsidRDefault="0025129F" w:rsidP="0025129F">
      <w:pPr>
        <w:pStyle w:val="TextoNormal"/>
      </w:pPr>
      <w:r>
        <w:t xml:space="preserve">Asimismo, el Ayuntamiento solicitó la adición a la Sentencia de instancia de tres nuevos hechos probados del siguiente tenor literal: </w:t>
      </w:r>
    </w:p>
    <w:p w:rsidR="0025129F" w:rsidRDefault="0025129F" w:rsidP="0025129F">
      <w:pPr>
        <w:pStyle w:val="TextoNormal"/>
      </w:pPr>
      <w:r>
        <w:t xml:space="preserve">“1. Que con fecha de diez de julio de mil novecientos noventa y cinco por la Sra. Concejala de Hacienda y Personal se dio traslado a las distintas Concejalías de un llamado Plan de Austeridad del Excmo. Ayuntamiento de Fuengirola, en el que se exponía la necesidad de adoptar medidas restrictivas de gastos en las distintas áreas de la actividad económica, especificándose, en concreto, la necesidad de reducción de la plantilla en lo tocante a los gastos sociales (medida reseñada con el ordinal 4,1 del Plan), minoración de los gastos corrientes (apartado 4,2), pretensión de condonación total o parcial de intereses de demora, renegociación de deudas bancarias para buscar intereses más favorables que los primitivos, y proposición de fórmulas de pago aplazadas a los proveedores a fin de evitar nuevos gastos financieros (apartado 4,3 del referido Plan de Austeridad), disminución de las transferencias al Patronato de Deportes, Sociedades Anónimas Municipales, así como a personas, entidades y Organismos de carácter público o privado (Subapartado 4,4). Finalizaba el referido Plan con unos indicadores de control de la viabilidad y seguimiento del mismo para su control en los meses venideros”. </w:t>
      </w:r>
    </w:p>
    <w:p w:rsidR="0025129F" w:rsidRDefault="0025129F" w:rsidP="0025129F">
      <w:pPr>
        <w:pStyle w:val="TextoNormal"/>
      </w:pPr>
      <w:r>
        <w:t xml:space="preserve">“2. Que el Jefe del Departamento de Secretaría, el Interventor y Jefe del Departamento del Area Económico Administrativa y el Jefe accidental del Departamento de Tesorería- Recaudación, responsables de los Departamentos que se vieron más afectados por la amortización de las plazas, emitieron informe por el que se certificaba que no existió menoscabo alguno en sus respectivos Departamentos tras la reorganización llevada a cabo por la Corporación, cubriéndose las necesidades del servicio con el personal adscrito al mismo”. </w:t>
      </w:r>
    </w:p>
    <w:p w:rsidR="0025129F" w:rsidRDefault="0025129F" w:rsidP="0025129F">
      <w:pPr>
        <w:pStyle w:val="TextoNormal"/>
      </w:pPr>
      <w:r>
        <w:t xml:space="preserve">“3. Con fecha de veinticuatro de junio de mil novecientos noventa y cinco, el Ayuntamiento de Fuengirola entregó comunicaciones escritas a los representantes de los trabajadores, en las que se les indicaba que, conforme al artículo 31 del Convenio Colectivo de dicha Corporación, se le daba traslado de una relación de personal que podría verse afectada por una reestructuración de la plantilla, por causas objetivas, aludiéndose en concreto, a razones organizativas y económicas, confiriendo el plazo de tres días para que emitieran informe sobre dicha hipotética extinción de relaciones laborales”. </w:t>
      </w:r>
    </w:p>
    <w:p w:rsidR="0025129F" w:rsidRDefault="0025129F" w:rsidP="0025129F">
      <w:pPr>
        <w:pStyle w:val="TextoNormal"/>
      </w:pPr>
      <w:r>
        <w:t>d) El recurso de suplicación del Ayuntamiento de Fuengirola fue estimado parcialmente por la Sentencia de la Sala de lo Social del Tribunal Superior de Justicia de Andalucía (sede Málaga), de 6 de febrero de 1998 (rollo núm. 996/96). La Sala comienza por acoger el motivo de suplicación referido a la revisión de hechos probados, en el fundamento jurídico primero de la Sentencia, del tenor literal siguiente: “Procede acoger la revisión fáctica que al amparo del ap. b) del art. 191 Ley de Procedimiento Laboral articula a fin de com</w:t>
      </w:r>
      <w:r>
        <w:lastRenderedPageBreak/>
        <w:t xml:space="preserve">pletar los ordinales de la sentencia aunque tal [a]cogida resulta en algún caso intrascendente y sometida a la fundamentación posterior”. </w:t>
      </w:r>
    </w:p>
    <w:p w:rsidR="0025129F" w:rsidRDefault="0025129F" w:rsidP="0025129F">
      <w:pPr>
        <w:pStyle w:val="TextoNormal"/>
      </w:pPr>
      <w:r>
        <w:t xml:space="preserve">En cuanto a los restantes motivos de suplicación alegados por el Ayuntamiento, la Sala, tras exponer extensamente su doctrina acerca de las causas que justifican la extinción por razones económicas del art. 52.c LET desde la reforma introducida por la Ley 11/1994, de 19 de mayo, considera que, poniendo en relación esa doctrina con el sustrato fáctico declarado probado, no se dan en el presente caso las circunstancias necesarias para declarar la procedencia de la extinción de las relaciones laborales de los actores, ya que en ningún momento del proceso ni del recurso se dijo nada acerca de otras medidas que hubieran coadyuvado a superar la crisis, habiéndose limitado el Ayuntamiento a mencionar el informe de viabilidad, pero sin que conste que haya puesto en práctica más medida que la del despido de los actores, medida que estima desproporcionada, al no haberse acreditado ninguna conexión causal entre la elevada reducción de plantilla y los supuestos efectos beneficiosos de esta medida para la superación de la situación de crisis económica de la Corporación. </w:t>
      </w:r>
    </w:p>
    <w:p w:rsidR="0025129F" w:rsidRDefault="0025129F" w:rsidP="0025129F">
      <w:pPr>
        <w:pStyle w:val="TextoNormal"/>
      </w:pPr>
      <w:r>
        <w:t xml:space="preserve">Sin embargo, la Sentencia rechaza que la extinción de los contratos de trabajo deba declararse nula por vulneración de los derechos fundamentales de los actores. La Sala invoca la doctrina constitucional sobre los despidos pluricausales —en los que concurre, junto a indicios de discriminación, una causa legal que justifica el despido, lo que conduce a declarar el despido como improcedente, en vez de nulo (SSTC 135/1990 y 21/1992)— y concluye que en el caso enjuiciado, frente a lo que pudiera calificarse como un cierto conjunto indiciario de conflictividad entre los actores en cuanto pertenecientes a un Sindicato y la empresa, esta última ha aportado suficiente y convincente prueba de que la extinción objetiva de los contratos de aquéllos es absolutamente ajena a la reprochada conducta lesiva del art. 28.1 CE, ya que lejos de haber obedecido los despidos a algún género de represalia empresarial por razón de la pertenencia sindical de los actores, los despidos vienen justificados por las circunstancias económicas por las que atravesaba el Ayuntamiento. En consecuencia, la Sala revocó la calificación de los despidos, sustituyendo la declaración de nulidad de la Sentencia de instancia por la de improcedencia, con las correspondientes consecuencias legales (readmisión de los trabajadores o indemnización de éstos en las cantidades señaladas por la Sentencia, a elección del Ayuntamiento empleador). </w:t>
      </w:r>
    </w:p>
    <w:p w:rsidR="0025129F" w:rsidRDefault="0025129F" w:rsidP="0025129F">
      <w:pPr>
        <w:pStyle w:val="TextoNormal"/>
      </w:pPr>
      <w:r>
        <w:t>e) El recurso de casación para la unificación de doctrina (núm. 1895/1998) interpuesto por los trabajadores contra la anterior Sentencia fue inadmitido por Auto de la Sala de lo Social del Tribunal Supremo de 12 de noviembre de 1998, por falta de contradicción con la Sentencia aportada como contraste, de conformidad con los arts. 217 y 223 de la Ley de Procedimiento Laboral (en adelante, LPL).</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Los recurrentes impugnan en amparo la Sentencia dictada en suplicación y el Auto de inadmisión del recurso de casación para la unificación de doctrina interpuesto contra dicha Sentencia. </w:t>
      </w:r>
    </w:p>
    <w:p w:rsidR="0025129F" w:rsidRDefault="0025129F" w:rsidP="0025129F">
      <w:pPr>
        <w:pStyle w:val="TextoNormal"/>
      </w:pPr>
      <w:r>
        <w:t xml:space="preserve">a) Por lo que se refiere a la Sentencia, que estima parcialmente el recurso de suplicación interpuesto por el Ayuntamiento contra la Sentencia de instancia declarando los despidos improcedentes, en lugar de nulos, denuncian los recurrentes la lesión de su derecho a no sufrir discriminación (art. 14 CE) por razón de su afiliación a un Sindicato (art. 28.1 CE). </w:t>
      </w:r>
    </w:p>
    <w:p w:rsidR="0025129F" w:rsidRDefault="0025129F" w:rsidP="0025129F">
      <w:pPr>
        <w:pStyle w:val="TextoNormal"/>
      </w:pPr>
      <w:r>
        <w:t xml:space="preserve">Los recurrentes en amparo recuerdan que la cuestión que se planteó en el proceso fue la de si la conducta empresarial, que se acogió a la causa legal de despido por causas objetivas del art. 52.c LET, está encubriendo un móvil discriminatorio. Esta cuestión, según los </w:t>
      </w:r>
      <w:r>
        <w:lastRenderedPageBreak/>
        <w:t xml:space="preserve">demandantes, no ha sido resuelta por la Sala de lo Social del Tribunal Superior de Justicia de Andalucía con arreglo a los criterios de la jurisprudencia del Tribunal Constitucional sobre la carga de la prueba cuando se aportan indicios de lesión de derechos fundamentales en la conducta empresarial, ya que entienden que quedó demostrado en el proceso de instancia que la causa legal alegada por el Ayuntamiento era ficticia, al no acreditar éste la concurrencia de las circunstancias que justifican la extinción del contrato por causas objetivas del art. 52.c LET, pese a lo cual los despidos han sido declarados improcedentes negando toda relevancia a los indicios aportados sobre la antisindicalidad del despido, que la propia Sala reconoce que han existido. La virtualidad de la doctrina constitucional queda así neutralizada, ya que el Ayuntamiento no practicó ninguna prueba que permitiera concluir indubitadamente que la decisión extintiva resultaba ajena a la afiliación sindical de los despedidos, mientras que, por el contrario, quedó acreditada la inexistencia de las razones económicas alegadas para despedir a los demandantes. </w:t>
      </w:r>
    </w:p>
    <w:p w:rsidR="0025129F" w:rsidRDefault="0025129F" w:rsidP="0025129F">
      <w:pPr>
        <w:pStyle w:val="TextoNormal"/>
      </w:pPr>
      <w:r>
        <w:t xml:space="preserve">b) Con carácter subsidiario, los recurrentes denuncian la vulneración del derecho a la tutela judicial efectiva (art. 24.1 CE) respecto al Auto de inadmisión del recurso de casación para la unificación de doctrina, reprochando al Tribunal Supremo la arbitraria apreciación de falta de contradicción por carencia de identidad fáctica entre la Sentencia recurrida y la invocada como contraste, lo que ha privado a los recurrentes de un pronunciamiento sobre el fondo de la cuestión planteada. </w:t>
      </w:r>
    </w:p>
    <w:p w:rsidR="0025129F" w:rsidRDefault="0025129F" w:rsidP="0025129F">
      <w:pPr>
        <w:pStyle w:val="TextoNormal"/>
      </w:pPr>
      <w:r>
        <w:t xml:space="preserve">Por todo ello solicitan los demandantes de amparo que se anulen la Sentencia y Auto impugnados, declarando su derecho a no ser discriminados por su afiliación sindical y asimismo que la extinción de sus contratos de trabajo constituye un despido nulo, con la consecuencia de la obligada readmisión de los demandantes en sus puestos de trabajo y abono de los salarios de tramitación. </w:t>
      </w:r>
    </w:p>
    <w:p w:rsidR="0025129F" w:rsidRDefault="0025129F" w:rsidP="0025129F">
      <w:pPr>
        <w:pStyle w:val="TextoNormal"/>
      </w:pPr>
      <w:r>
        <w:t>Subsidiariamente, solicitan que se declare la nulidad del Auto de inadmisión del recurso de casación para la unificación de doctrina, ordenando a la Sala de lo Socia del Tribunal Supremo que entre a conocer sobre el fondo de la cuestión planteada en el mismo.</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8 de noviembre de 1999, la Sección Primera de este Tribunal acordó admitir a trámite la demanda de amparo y, a tenor de lo dispuesto en el art. 51 LOTC, requerir atentamente a los órganos judiciales la remisión del testimonio de las actuaciones respectivas, interesando al propio tiempo el emplazamiento de quienes fueron parte en el procedimiento, para que en el plazo de diez días pudiesen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Recibidos los testimonios de actuaciones y personado el Ayuntamiento de Fuengirola a través del Procurador don Jorge Deleito García, mediante diligencia de ordenación del Secretario de Justicia de la Sala Primera de este Tribunal de 16 de febrero de 2000 se otorgó, de conformidad con el art. 52 LOTC, un plazo común de veinte días al Ministerio Fiscal y a todas las partes personadas para que dentro de dicho plazo alegasen lo que a su derecho conviniere.</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Ministerio Fiscal presentó su escrito de alegaciones con fecha 8 de marzo de 2000. Señala el Ministerio Fiscal que el examen de las quejas de los recurrentes debiera comenzar por la supuesta lesión del art. 24.1 CE que aquéllos imputan al Auto de la Sala de lo Social del Tribunal Supremo por el que se inadmite el recurso de casación para la unificación de doctrina interpuesto contra la Sentencia de suplicación. Sobre este punto, y </w:t>
      </w:r>
      <w:r>
        <w:lastRenderedPageBreak/>
        <w:t xml:space="preserve">partiendo de la doctrina del Tribunal Constitucional sobre el derecho de acceso a los recursos, el Ministerio Fiscal llega a la conclusión de que la decisión de inadmisión del recurso se fundamenta en una interpretación del art. 217 LPL que en modo alguno puede tildarse de rigorista, arbitraria, inmotivada o fundada en error, por lo que debe descartarse la lesión invocada del art. 24.1 CE. </w:t>
      </w:r>
    </w:p>
    <w:p w:rsidR="0025129F" w:rsidRDefault="0025129F" w:rsidP="0025129F">
      <w:pPr>
        <w:pStyle w:val="TextoNormal"/>
      </w:pPr>
      <w:r>
        <w:t>Por el contrario, considera el Fiscal que la Sentencia impugnada sí ha lesionado el derecho a la libertad sindical (art. 28.1 CE) de los recurrentes en amparo, porque la Sala de lo Social del Tribunal Superior de Justicia de Andalucía no ha aplicado la doctrina del Tribunal Constitucional sobre la distribución de la carga de la prueba en los casos que se alega la lesión de un derecho fundamental de los trabajadores. A juicio del Fiscal, los recurrentes han aportado indicios razonables de que los despidos encubrían una finalidad discriminatoria por razón de la afiliación sindical, dada la pertenencia al sindicato UGT de casi todos los despedidos, a lo que debe añadirse que se produjeron nuevas contrataciones para los mismos puestos, en tanto que el Ayuntamiento no ha desplegado una actividad probatoria suficiente para desvirtuar la apariencia lesiva del derecho a la libertad sindical creada por los indicios aportados por los demandantes. No es suficiente alegar una situación de crisis económica para justificar que la reducción de la plantilla se haga recaer en trabajadores afiliados a un único Sindicato, ya que ello no guarda proporción alguna con la disparidad de opciones sindicales existente en la plantilla del Ayuntamiento de Fuengirola y éste no ha ofrecido criterio alguno para justificar tan curiosa coincidencia. En consecuencia, el Fiscal solicita que se estime el amparo en el sentido de reconocer el derecho de los recurrentes a no ser discriminados por su afiliación sindical y se declare la nulidad de la Sentencia impugnada, así como la firmeza de la Sentencia de instancia, que declaró los despidos nulos por vulneración del referido derecho fundamental.</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La representación procesal del Ayuntamiento de Fuengirola presentó sus alegaciones con fecha 11 de marzo de 2000. Comienza señalando que los recurrentes distorsionan el presupuesto de partida del recurso de amparo, ya que el relato de hechos probados del que ha de partirse no es el de la Sentencia de instancia, sino el resultante de la revisión fáctica solicitada en su recurso de suplicación y aceptada por la Sentencia impugnada, al estimar el motivo sobre revisión de hechos probados de dicho recurso. Partiendo del definitivo relato de hechos probados, considera el Ayuntamiento que la Sala de lo Social del Tribunal Superior de Justicia de Andalucía ha acertado en su decisión, toda vez que los trabajadores recurrentes no acreditaron siquiera indicio alguno de lesión del derecho a la libertad sindical en la decisión extintiva acordada al amparo del art. 52.c LET. Así, el hecho de que diecinueve trabajadores de los veintitrés despedidos estuvieran afiliados a UGT no puede constituir un indicio de discriminación, habida cuenta de la mayoritaria implantación de dicho Sindicato entre los trabajadores del Ayuntamiento de Fuengirola. En cuanto a la falta de negociación previa de la decisión de reducir plantilla con los representantes sindicales, tampoco constituye indicio discriminatorio alguno, pues el art. 52.c LET no establece que deba preceder un procedimiento negociador al efecto. En cuanto a las supuestas nuevas contrataciones para los mismos puestos ha de estarse a los hechos probados, de donde resulta que tras los despidos sólo se produjo la contratación de una persona. A todo ello hay que añadir —continúa la representación procesal del Ayuntamiento— que la situación de aguda crisis económica que justificó la reducción de plantilla quedó acreditada suficientemente, en especial por el informe de auditoria elaborado por ASERLOCAL, entidad dependiente del Banco de Crédito Local, dedicada al asesoramiento de las Corporaciones Locales, y por el informe del Interventor del Ayuntamiento. En consecuencia, no </w:t>
      </w:r>
      <w:r>
        <w:lastRenderedPageBreak/>
        <w:t>obedeciendo los despidos objetivos a ningún género de represalia empresarial contra los trabajadores por razón de su afiliación sindical a UGT, no puede apreciarse que haya existido lesión del derecho a la libertad sindical. En cuanto al Auto de inadmisión del recurso de casación para la unificación de doctrina, alega la representación del Ayuntamiento de Fuengirola que la interpretación realizada por la Sala de lo Social del Tribunal Supremo de lo dispuesto en el art. 217 LPL (falta de contradicción entre la Sentencia de contraste y la que se pretende recurrir) es perfectamente motivada y razonable, por lo que ha de rechazarse la invocada lesión del derecho a la tutela judicial efectiva (art. 24.1 CE), en su vertiente de acceso a los recursos.</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Los recurrentes presentaron su escrito de alegaciones con fecha 11 de marzo de 2000, ratificando los argumentos vertidos en su escrito de demanda y añadiendo algunas precisiones al relato de antecedentes, en el sentido de que fueron veintitrés los trabajadores despedidos, de los cuales tres no presentaron reclamación al ser contratados por empresas municipales del Ayuntamiento de Fuengirola, y de aclarar la categoría, antigüedad y salario de cada uno de los demandantes de amparo. </w:t>
      </w:r>
    </w:p>
    <w:p w:rsidR="0025129F" w:rsidRDefault="0025129F" w:rsidP="0025129F">
      <w:pPr>
        <w:pStyle w:val="TextoNormal"/>
      </w:pPr>
      <w:r>
        <w:t>Asimismo, los demandantes solicitaron mediante otrosí el recibimiento a prueba del recurso de amparo, para que este Tribunal requiriese al Ayuntamiento de Fuengirola la aportación de una serie de documentos que en dicho escrito se relacionaban.</w:t>
      </w:r>
    </w:p>
    <w:p w:rsidR="0025129F" w:rsidRDefault="0025129F" w:rsidP="0025129F">
      <w:pPr>
        <w:pStyle w:val="TextoNormal"/>
      </w:pPr>
    </w:p>
    <w:p w:rsidR="0025129F" w:rsidRDefault="0025129F" w:rsidP="0025129F">
      <w:pPr>
        <w:pStyle w:val="TextoNormal"/>
      </w:pPr>
      <w:r w:rsidRPr="0025129F">
        <w:rPr>
          <w:rStyle w:val="NumeroAFNegritaCaracter"/>
        </w:rPr>
        <w:t>9</w:t>
      </w:r>
      <w:r>
        <w:t>. Mediante providencia de 27 de marzo de 2000, la Sala Primera de este Tribunal acordó, de conformidad con lo dispuesto en el art. 89.1 LOTC, no haber lugar a la práctica de la prueba interesada por los recurrentes, por no estimarla necesaria.</w:t>
      </w:r>
    </w:p>
    <w:p w:rsidR="0025129F" w:rsidRDefault="0025129F" w:rsidP="0025129F">
      <w:pPr>
        <w:pStyle w:val="TextoNormal"/>
      </w:pPr>
    </w:p>
    <w:p w:rsidR="0025129F" w:rsidRDefault="0025129F" w:rsidP="0025129F">
      <w:pPr>
        <w:pStyle w:val="TextoNormal"/>
      </w:pPr>
      <w:r w:rsidRPr="0025129F">
        <w:rPr>
          <w:rStyle w:val="NumeroAFNegritaCaracter"/>
        </w:rPr>
        <w:t>10</w:t>
      </w:r>
      <w:r>
        <w:t>. Contra esta resolución los recurrentes formularon con fecha 4 de abril de 2000 recurso de súplica al amparo del art. 93.2 LOTC, alegando que consideraban necesaria la práctica de la prueba solicitada ya que, a su juicio, la misma pone de manifiesto los actos coetáneos y posteriores realizados por el Ayuntamiento de Fuengirola, que añaden a la inicial conducta vulneradora del derecho de libertad sindical (la extinción de sus contratos de trabajo) la práctica sucesiva y permanente en el tiempo de actuaciones lesivas del referido derecho fundamental.</w:t>
      </w:r>
    </w:p>
    <w:p w:rsidR="0025129F" w:rsidRDefault="0025129F" w:rsidP="0025129F">
      <w:pPr>
        <w:pStyle w:val="TextoNormal"/>
      </w:pPr>
    </w:p>
    <w:p w:rsidR="0025129F" w:rsidRDefault="0025129F" w:rsidP="0025129F">
      <w:pPr>
        <w:pStyle w:val="TextoNormal"/>
      </w:pPr>
      <w:r w:rsidRPr="0025129F">
        <w:rPr>
          <w:rStyle w:val="NumeroAFNegritaCaracter"/>
        </w:rPr>
        <w:t>11</w:t>
      </w:r>
      <w:r>
        <w:t>. Mediante diligencia de ordenación del Secretario de Justicia de la Sala Primera de 11 de abril de 2000, se dio traslado al Ministerio Fiscal y al Procurador Sr. Deleito García, en representación del Ayuntamiento de Fuengirola, para que, por plazo común de tres días, pudiesen alegar lo que a su derecho conviniese en relación con el recurso de súplica interpuesto por los recurrentes en amparo.</w:t>
      </w:r>
    </w:p>
    <w:p w:rsidR="0025129F" w:rsidRDefault="0025129F" w:rsidP="0025129F">
      <w:pPr>
        <w:pStyle w:val="TextoNormal"/>
      </w:pPr>
    </w:p>
    <w:p w:rsidR="0025129F" w:rsidRDefault="0025129F" w:rsidP="0025129F">
      <w:pPr>
        <w:pStyle w:val="TextoNormal"/>
      </w:pPr>
      <w:r w:rsidRPr="0025129F">
        <w:rPr>
          <w:rStyle w:val="NumeroAFNegritaCaracter"/>
        </w:rPr>
        <w:t>12</w:t>
      </w:r>
      <w:r>
        <w:t>. Evacuado el trámite de alegaciones, en el que tanto el Ministerio Fiscal como el Ayuntamiento de Fuengirola se opusieron a la práctica de la prueba solicitada, la Sala Primera de este Tribunal dictó Auto el 30 de octubre de 2000 (ATC 248/2000) desestimando el recurso de súplica y, en consecuencia, confirmando la negativa a recibir a prueba el proceso de amparo.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13</w:t>
      </w:r>
      <w:r>
        <w:t>. Por providencia 10 de enero de 2002 se señaló para deliberación y votación de la presente Sentencia el día 14 del mismo mes y año, trámite que ha finalizado en el día de la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Los demandantes solicitan amparo frente a la Sentencia de la Sala de lo Social del Tribunal Superior de Justicia (sede de Málaga) de 6 de febrero de 1998 que estima parcialmente el recurso de suplicación núm. 996/96, revocando la Sentencia dictada por el Juzgado de lo Social núm. 1 de Málaga de 25 de diciembre de 1995, en el sentido de declarar la improcedencia de los despidos de los actores, con las consecuencias legales inherentes a tal declaración. Sostienen los recurrentes que la Sentencia impugnada en amparo ha vulnerado su derecho a no sufrir discriminación por razón de afiliación a un sindicato (arts. 14 y 28.1 CE).</w:t>
      </w:r>
    </w:p>
    <w:p w:rsidR="0025129F" w:rsidRDefault="0025129F" w:rsidP="0025129F">
      <w:pPr>
        <w:pStyle w:val="TextoNormal"/>
      </w:pPr>
      <w:r>
        <w:t>Impugnan asimismo, con carácter subsidiario, el Auto de la Sala de lo Social del Tribunal Supremo de 12 de noviembre de 1998, por el que se declara la inadmisión del recurso de casación para la unificación de doctrina núm. 1895/98, interpuesto contra la Sentencia de suplicación por ambas partes procesales. Según los recurrentes, el Auto ha vulnerado su derecho a la tutela judicial efectiva (art. 24.1 CE), en la vertiente de acceso a los recursos, al aplicar de forma rigorista y arbitraria la causa de inadmisión prevista en el art. 217 LPL.</w:t>
      </w:r>
    </w:p>
    <w:p w:rsidR="0025129F" w:rsidRDefault="0025129F" w:rsidP="0025129F">
      <w:pPr>
        <w:pStyle w:val="TextoNormal"/>
      </w:pPr>
      <w:r>
        <w:t>El Ministerio Fiscal rechaza la queja dirigida contra el Auto de la Sala de lo Social del Tribunal Supremo, interesando en cambio el otorgamiento del amparo en cuanto a la queja relativa a la lesión del derecho a no sufrir discriminación por razón de pertenencia a un sindicato que se imputa a la Sentencia recaída en suplicación.</w:t>
      </w:r>
    </w:p>
    <w:p w:rsidR="0025129F" w:rsidRDefault="0025129F" w:rsidP="0025129F">
      <w:pPr>
        <w:pStyle w:val="TextoNormal"/>
      </w:pPr>
      <w:r>
        <w:t>Por su parte, la representación procesal del Ayuntamiento de Fuengirola solicita la desestimación del amparo, conforme a los argumentos que han quedado sucintamente relatados en los antecedentes de la presente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Indicadas así las pretensiones de los intervinientes en este proceso, conviene precisar a continuación cuál ha de ser el orden en que hemos de examinar las quejas de los demandantes de amparo, en atención a los criterios expuestos en nuestra jurisprudencia (entre otras, SSTC 307/1993, de 25 de octubre, FJ 1; 116/1997, de 23 de junio, FJ 1, in fine; 15/1997, de 29 de septiembre, FJ 2; 56/1998, de 16 de marzo, FJ 2; 19/2000, de 31 de enero, FJ 2; 96/2000, de 10 de abril, FJ 1 y 31/2001, de 12 de febrero, FJ 2). Pues bien, en atención a dichos criterios, cabe observar que la eventual estimación de la queja referida a la supuesta vulneración del derecho a la tutela judicial efectiva (art. 24.1 CE) en el Auto de inadmisión del recurso de casación para la unificación de doctrina daría lugar a la anulación de esta resolución judicial, con retroacción de actuaciones a la Sala de lo Social del Tribunal Supremo para que entrase a conocer del fondo de las cuestiones planteadas en el referido recurso.  Por lo que, en conclusión, hemos de comenzar nuestro examen por la queja dirigida contra el meritado Auto antes de entrar a enjuiciar la vulneración del derecho a no ser discriminado por razón de afiliación sindical que se imputa a la Sentencia recaída en suplicación.</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Con relación al derecho de acceso a los recursos (art. 24.1 CE), que los recurrentes consideran vulnerado al haberse inadmitido el de casación para la unificación de doctrina </w:t>
      </w:r>
      <w:r>
        <w:lastRenderedPageBreak/>
        <w:t>por el Auto de la Sala de lo Social del Tribunal Supremo que impugnan, debe comenzarse por recordar que, conforme a doctrina reiterada de este Tribunal, el derecho de acceso a los recursos (salvo en materia penal, en la que la doble instancia es una exigencia constitucional) sólo surge de las leyes procesales que regulan dichos medios de impugnación, por lo que la interpretación de las normas que contemplan causas de inadmisión de recursos es competencia exclusiva de los órganos judiciales. Por ello, cuando se alega una supuesta lesión del derecho a la tutela judicial efectiva (art. 24.1 CE), en su vertiente de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37/1995, de 7 de febrero, FJ 5; 58/1995, de 10 de marzo, FJ 2; 142/1996, de 16 de septiembre, FJ 2; 211/1996, de 17 de diciembre, FJ 2; 76/1997, de 21 de abril; FJ 2; 39/1998, de 17 de febrero, FJ 2; 23/1999, de 8 de marzo, FJ 2; y 258/2000, de 30 de octubre, FJ 2, entre otras muchas).</w:t>
      </w:r>
    </w:p>
    <w:p w:rsidR="0025129F" w:rsidRDefault="0025129F" w:rsidP="0025129F">
      <w:pPr>
        <w:pStyle w:val="TextoNormal"/>
      </w:pPr>
      <w:r>
        <w:t>En el caso que nos ocupa no se advierte en el razonamiento contenido en el Auto impugnado para declarar la inadmisión del recurso de casación irrazonabilidad, error patente o arbitrariedad, por lo que no cabe entrar a revisar el mismo en esta sede, de conformidad con la citada doctrina. En efecto, se razona en el Auto que el supuesto enjuiciado en la Sentencia de contraste es por completo distinto al que se contempla en la Sentencia recurrida, pues en aquel caso se trataba de un despido disciplinario en el que se imputaba a la trabajadora despedida una disminución en el rendimiento y un incumplimiento de las órdenes empresariales, dándose la circunstancia de que la trabajadora acreditaba periodos de baja por amenaza de aborto y por maternidad, seguidos de una reducción de jornada para cuidado de hijo, así como su candidatura sindical, situación de hecho que difiere totalmente del presente asunto. En definitiva, el Auto impugnado ha razonado suficientemente, desde la perspectiva constitucional, que no se producía una identidad de hechos ni, consecuentemente, de contradicción, entre la Sentencia impugnada y la que se aportó como contraste (arts. 217 y 223 LPL), lo que determina una respuesta de inadmisión del recurso que satisface plenamente el contenido del derecho a la tutela judicial efectiva, debiendo por tanto rechazarse esta queja.</w:t>
      </w:r>
    </w:p>
    <w:p w:rsidR="0025129F" w:rsidRDefault="0025129F" w:rsidP="0025129F">
      <w:pPr>
        <w:pStyle w:val="TextoNormal"/>
      </w:pPr>
      <w:r>
        <w:t xml:space="preserve">En otro orden de consideraciones, debemos precisar que el recurso de casación para la unificación de doctrina interpuesto por los demandantes no puede tildarse de recurso manifiestamente improcedente, por lo que no cabe considerar que haya existido en el presente caso una prolongación artificial de la vía judicial que ocasione la inadmisión del recurso de amparo por incumplimiento del requisito de presentación del mismo dentro del plazo de caducidad establecido en el art. 44.2 LOTC. En efecto, es doctrina reiterada de este Tribunal que las exigencias del principio de seguridad jurídica (art. 9.3 CE) han de armonizarse con el respeto al pleno contenido del derecho a la tutela judicial efectiva (art. 24.1 CE), lo que conduce a una aplicación restrictiva del concepto de recurso improcedente, circunscrita a los casos en que tal improcedencia derive de manera terminante, clara e inequívoca del propio texto legal, sin dudas que hayan de resolverse con criterios interpretativos de alguna dificultad (SSTC 10/1998, de 13 de enero, FJ 2; 43/1998, de 24 de febrero, FJ 2; 4/2000, de 17 de enero, FJ 2; y 78/2000, de 27 de marzo, FJ 2, por todas). Tal acontece en el presente caso, en el que los demandantes, entendiendo que existía doctrina contradictoria en cuanto a la apreciación de la discriminación sindical en materia de despidos, decidieron acudir a la posibilidad prevista en el ordenamiento jurídico para unificarla, dando así a la jurisdicción ordinaria todas las posibilidades de remediar la vulneración </w:t>
      </w:r>
      <w:r>
        <w:lastRenderedPageBreak/>
        <w:t>de los derechos que ante nosotros denuncia. Por lo demás, como recuerda nuestra STC 211/1999, de 29 de noviembre, FJ 2, “la inadmisión del recurso de casación para la unificación de doctrina por parte del Tribunal Supremo no comporta que haya de tenerse por manifiestamente improcedente o dilatoria [su interposición] a efectos del cómputo del plazo para recurrir en amparo”.</w:t>
      </w:r>
    </w:p>
    <w:p w:rsidR="0025129F" w:rsidRDefault="0025129F" w:rsidP="0025129F">
      <w:pPr>
        <w:pStyle w:val="TextoNormal"/>
      </w:pPr>
    </w:p>
    <w:p w:rsidR="0025129F" w:rsidRDefault="0025129F" w:rsidP="0025129F">
      <w:pPr>
        <w:pStyle w:val="TextoNormal"/>
      </w:pPr>
      <w:r w:rsidRPr="0025129F">
        <w:rPr>
          <w:rStyle w:val="NumeroAFNegritaCaracter"/>
        </w:rPr>
        <w:t>4</w:t>
      </w:r>
      <w:r>
        <w:t>. Pasando ya al examen de la queja dirigida contra la Sentencia dictada en suplicación, los recurrentes afirman que la extinción de sus contratos de trabajo por la vía de lo dispuesto en el art. 52.c LET encubre en realidad una represalia empresarial por su condición de afiliados al sindicato UGT, por lo que consideran que la Sentencia ha incurrido en vulneración de los arts.  14 y 28.1 CE, al no haberlo apreciado así.</w:t>
      </w:r>
    </w:p>
    <w:p w:rsidR="0025129F" w:rsidRDefault="0025129F" w:rsidP="0025129F">
      <w:pPr>
        <w:pStyle w:val="TextoNormal"/>
      </w:pPr>
      <w:r>
        <w:t>Para dar respuesta a esta queja debe precisarse en primer término que la invocación de la lesión del art. 14 CE resulta redundante respecto del art. 28.1 CE, ya que, según criterio reiterado de este Tribunal, que no es ocioso recordar, cuando se alegan discriminaciones perturbadoras del ejercicio del derecho a la libertad sindical, las hipotéticas violaciones del derecho a la igualdad (art. 14 CE) quedan subsumidas en aquel derecho, salvo que la discriminación impugnada concierna a alguna de las discriminaciones explícitamente proscritas por el art. 14 CE (por todas, SSTC 55/1983, de 22 de junio, FJ 1; 197/1990, de 29 de noviembre, FJ 1, 85/1995, de 6 de junio, FJ 1; 202/1997, de 25 de noviembre, FJ 3; 87/1998, de 21 de abril, FJ 2 y 308/2000, de 18 de diciembre, FJ 2), circunstancia esta última que no concurre en el asunto enjuiciado, al fundarse la supuesta discriminación alegada en la afiliación sindical de los recurrentes.</w:t>
      </w:r>
    </w:p>
    <w:p w:rsidR="0025129F" w:rsidRDefault="0025129F" w:rsidP="0025129F">
      <w:pPr>
        <w:pStyle w:val="TextoNormal"/>
      </w:pPr>
    </w:p>
    <w:p w:rsidR="0025129F" w:rsidRDefault="0025129F" w:rsidP="0025129F">
      <w:pPr>
        <w:pStyle w:val="TextoNormal"/>
      </w:pPr>
      <w:r w:rsidRPr="0025129F">
        <w:rPr>
          <w:rStyle w:val="NumeroAFNegritaCaracter"/>
        </w:rPr>
        <w:t>5</w:t>
      </w:r>
      <w:r>
        <w:t>. Enfocado así el objeto del presente recurso, nuestro enjuiciamiento debe centrarse en determinar si los recurrentes han sido víctimas de una conducta empresarial contraria a su derecho fundamental a la libertad sindical (art. 28.1 CE). A estos efectos se alega, como ha quedado expuesto en el relato de antecedentes, que la Sentencia de suplicación, al revocar el pronunciamiento de instancia, sustituyendo la declaración de nulidad por la de improcedencia, ha desconocido la doctrina constitucional sobre la inversión de la carga de la prueba cuando se aportan indicios de lesión de derechos fundamentales, lesionando de este modo el derecho de los recurrentes a no sufrir discriminación por motivo de su afiliación sindical.</w:t>
      </w:r>
    </w:p>
    <w:p w:rsidR="0025129F" w:rsidRDefault="0025129F" w:rsidP="0025129F">
      <w:pPr>
        <w:pStyle w:val="TextoNormal"/>
      </w:pPr>
      <w:r>
        <w:t xml:space="preserve">Planteada así la queja, se hace necesario recordar una vez más la importancia que en estos supuestos tiene la regla de la distribución de la carga de la prueba, para garantizar el mencionado derecho frente a posibles decisiones empresariales que puedan constituir una discriminación por motivos sindicales. A tal respecto, este Tribunal ha mantenido de forma reiterada que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de derechos fundamentales” (SSTC </w:t>
      </w:r>
      <w:r>
        <w:lastRenderedPageBreak/>
        <w:t>293/1993, de 18 de octubre, FJ 6; 85/1995, de 6 de junio, FJ 4; 82/1997, de 22 de abril, FJ 3; y 202/1997, de 25 de noviembre, FJ 4). Por este motivo, es exigible “un principio de prueba revelador de la existencia de un fondo o panorama discriminatorio general o de hechos de los que surja la sospecha vehemente de una discriminación por razones sindicales” (por todas, SSTC 87/1998, de 21 de abril, FJ 3; 293/1993, de 18 de octubre, FJ 6; 140/1999, de 22 de julio, FJ 5; 29/2000, de 31 de enero, FJ 3; y 308/2000, de 18 de diciembre, FJ 3).</w:t>
      </w:r>
    </w:p>
    <w:p w:rsidR="0025129F" w:rsidRDefault="0025129F" w:rsidP="0025129F">
      <w:pPr>
        <w:pStyle w:val="TextoNormal"/>
      </w:pPr>
    </w:p>
    <w:p w:rsidR="0025129F" w:rsidRDefault="0025129F" w:rsidP="0025129F">
      <w:pPr>
        <w:pStyle w:val="TextoNormal"/>
      </w:pPr>
      <w:r w:rsidRPr="0025129F">
        <w:rPr>
          <w:rStyle w:val="NumeroAFNegritaCaracter"/>
        </w:rPr>
        <w:t>6</w:t>
      </w:r>
      <w:r>
        <w:t>. La anterior doctrina constitucional conduce a examinar, en primer término, si los recurrentes han acreditado suficientemente la existencia de indicios que generen una razonable sospecha, apariencia o presunción a favor de su alegato. A tal efecto, ha de precisarse que nuestro enjuiciamiento ha de partir del relato de hechos probados resultante de la Sentencia impugnada, lo cual, dado la confusa forma de acoger la Sala el motivo de suplicación del Ayuntamiento referido a la revisión de los hechos declarados probados en la Sentencia de instancia, plantea dificultades para conocer el alcance concreto de la revisión fáctica aceptada por la Sentencia de suplicación. En efecto, según ha quedado expuesto en los antecedentes, si bien parece que acoge íntegramente la revisión de hechos probados propuesta por el Ayuntamiento (lo que obliga a acudir al recurso de suplicación para conocer cómo quedan redactados esos hechos), lo cierto es que tal apreciación debe aceptarse con reservas, pues inmediatamente la Sentencia matiza que tal acogida “resulta en algún caso intrascendente y sometida a la fundamentación posterior”, fundamentación que, en efecto, contradice algún extremo esencial de la pretendida revisión fáctica, como es el relativo a la concurrencia de las circunstancias económicas y organizativas exigidas legalmente para declarar extinguida la relación laboral.</w:t>
      </w:r>
    </w:p>
    <w:p w:rsidR="0025129F" w:rsidRDefault="0025129F" w:rsidP="0025129F">
      <w:pPr>
        <w:pStyle w:val="TextoNormal"/>
      </w:pPr>
      <w:r>
        <w:t>En todo caso, conforme a lo que antecede, conviene recordar que tanto la Sentencia de instancia como la de suplicación parten de la acreditación de indicios de discriminación antisindical en los despidos de los recurrentes. Para la Sentencia de instancia, las causas económicas alegadas por el Ayuntamiento para despedir ocultan un móvil discriminatorio por razón de la afiliación sindical de los trabajadores. Ello se deduce de la pertenencia al sindicato UGT de la práctica totalidad de los despedidos, concurriendo la circunstancia de que no se siguieron criterios objetivos para decidir quiénes iban a resultar despedidos, además de que no se negociaron dichas cuestiones con el comité de empresa, y la contratación sin solución de continuidad de otros trabajadores para los mismos puestos de trabajo que los ocupados por los despedidos. En fin, el Ayuntamiento no justificó la existencia de las razones económicas invocadas para proceder a la reducción de plantilla, con lo que no desvirtuó la apariencia de lesión del derecho a la libertad sindical. Por su parte, la Sentencia de suplicación, pese a aceptar la existencia de “lo que pudiera calificarse como un cierto conjunto indiciario de conflictividad entre los actores en cuanto pertenecientes a un Sindicato y la empresa”, considera que el Ayuntamiento ha aportado suficiente y convincente prueba de que la extinción objetiva de los contratos de trabajo es absolutamente ajena a la reprochada conducta lesiva del art. 28.1 CE, entendiendo acreditado que los despidos vienen justificados por las circunstancias económicas por las que atravesaba el Ayuntamiento, si bien estima que no se dan las circunstancias necesarias para declarar extinguida la relación laboral de los actores por causas económicas y organizativas, como previene el art. 52.c LET, por lo que entiende que los despidos deben ser declarados improcedentes al considerar que se trata de una medida desproporcionada, porque no consta que el Ayuntamiento haya acudido a medidas menos drásticas que la reducción de plantilla para intentar solucionar la situación de crisis.</w:t>
      </w:r>
    </w:p>
    <w:p w:rsidR="0025129F" w:rsidRDefault="0025129F" w:rsidP="0025129F">
      <w:pPr>
        <w:pStyle w:val="TextoNormal"/>
      </w:pPr>
      <w:r>
        <w:lastRenderedPageBreak/>
        <w:t>Del relato de hechos probados y de lo actuado resulta que el principal indicio de discriminación antisindical en la extinción de los contratos de trabajo reside en el hecho de que de los veintitrés trabajadores despedidos por causas económicas (art.  52.c LET) en virtud del Decreto núm. 3816/1995, de 4 de julio, del Ayuntamiento de Fuengirola, diecinueve de ellos, entre los que se encontraban los recurrentes en amparo, se hallaban afiliados a esa fecha al sindicato UGT (circunstancia que el Ayuntamiento nunca ha negado desconocer y cuyo conocimiento parece obvio si se tiene en cuenta que procedía al descuento en nómina de la cuota sindical).</w:t>
      </w:r>
    </w:p>
    <w:p w:rsidR="0025129F" w:rsidRDefault="0025129F" w:rsidP="0025129F">
      <w:pPr>
        <w:pStyle w:val="TextoNormal"/>
      </w:pPr>
      <w:r>
        <w:t>A la circunstancia de que la práctica totalidad de los despidos afectasen a trabajadores afiliados al sindicato UGT, circunstancia llamativa por cuanto en la plantilla del Ayuntamiento existían otros dos sindicatos con representación, ha de añadirse el dato de que no se siguieran criterios objetivos para decidir quiénes iban a resultar despedidos o, cuando menos, no se nos explican cuáles puedan haber sido esos criterios y que el Ayuntamiento de Fuengirola no acudiese, antes de adoptar una medida tan drástica como el despido, a eventuales remedios que pudieran solucionar la presunta situación de crisis económica por la que atravesaba la corporación municipal. De todo ello se deduce (aun prescindiendo del alegato de las supuestas contrataciones para los mismos puestos de trabajo, dada la revisión fáctica aceptada por la Sentencia de suplicación) que los demandantes de amparo han desarrollado una actividad alegatoria suficientemente concreta y precisa en torno a los indicios de existencia de lesión de su derecho de libertad sindical, creando con ello una apariencia o sospecha de comportamiento empresarial contrario al referido derecho fundamental.</w:t>
      </w:r>
    </w:p>
    <w:p w:rsidR="0025129F" w:rsidRDefault="0025129F" w:rsidP="0025129F">
      <w:pPr>
        <w:pStyle w:val="TextoNormal"/>
      </w:pPr>
    </w:p>
    <w:p w:rsidR="0025129F" w:rsidRDefault="0025129F" w:rsidP="0025129F">
      <w:pPr>
        <w:pStyle w:val="TextoNormal"/>
      </w:pPr>
      <w:r w:rsidRPr="0025129F">
        <w:rPr>
          <w:rStyle w:val="NumeroAFNegritaCaracter"/>
        </w:rPr>
        <w:t>7</w:t>
      </w:r>
      <w:r>
        <w:t>. Alcanzada la anterior conclusión, y con arreglo a la doctrina constitucional más arriba reproducida, correspondía al Ayuntamiento la carga de probar que su decisión de extinción de los contratos de trabajo al amparo del art. 52.c LET se fundaba en causas reales, serias y suficientes para destruir la apariencia de discriminación sindical creada por los trabajadores demandantes, máxime tratándose de un despido por causas económicas no sometido a autorización administrativa previa y teniendo en cuenta que el empleador en este caso es una Administración pública, que ha de actuar siempre con objetividad y plena sumisión a la legalidad (arts. 103.1 y 106.1 CE), sin asomo alguno de arbitrariedad (art. 9.3 CE).</w:t>
      </w:r>
    </w:p>
    <w:p w:rsidR="0025129F" w:rsidRDefault="0025129F" w:rsidP="0025129F">
      <w:pPr>
        <w:pStyle w:val="TextoNormal"/>
      </w:pPr>
      <w:r>
        <w:t>El Ayuntamiento ha alegado, como razón motivadora de su decisión de extinguir los contratos por causas objetivas del art. 52.c LET, las dificultades económicas por las que atravesaba la tesorería municipal, que aconsejaban adoptar diversas medidas, entre ellas la de reducción de plantilla. Por otra parte, alega el Ayuntamiento que el hecho de que diecinueve trabajadores de los veintitrés despedidos estuvieran afiliados a UGT se explica por la mayoritaria implantación de dicho sindicato entre los trabajadores del Ayuntamiento de Fuengirola, de suerte que es lógico que resultaran afectados en su mayor parte afiliados a dicho sindicato. En fin, aduce que el art. 52.c LET no establece que deba preceder un procedimiento negociador alguno con los representantes de los trabajadores a la decisión de extinguir los contratos de trabajo por causas objetivas.</w:t>
      </w:r>
    </w:p>
    <w:p w:rsidR="0025129F" w:rsidRDefault="0025129F" w:rsidP="0025129F">
      <w:pPr>
        <w:pStyle w:val="TextoNormal"/>
      </w:pPr>
      <w:r>
        <w:t xml:space="preserve">Sin embargo, los alegatos del Ayuntamiento de Fuengirola no permiten entender destruida la apariencia de discriminación antisindical creada por los indicios aportados por los demandantes. En efecto, justamente por haberse acudido a un procedimiento de extinción de la relación laboral que no exige autorización administrativa, sin que tampoco resulte exigible la negociación con el comité de empresa, el Ayuntamiento venía con mayor razón obligado a desplegar una actividad probatoria dirigida a demostrar inequívocamente que la </w:t>
      </w:r>
      <w:r>
        <w:lastRenderedPageBreak/>
        <w:t>decisión de despedir fue por completo ajena a la alegada lesión del derecho a la libertad sindical de los recurrentes, y esta carga no puede considerarse cumplida en el caso que nos ocupa. Así, como advierte el Ministerio Fiscal, no se justifica la anómala coincidencia de que la mayoría de los despedidos fuesen afiliados al sindicato UGT, y no puede aceptarse la explicación ofrecida por el Ayuntamiento acerca de la implantación mayoritaria del referido sindicato, por notoriamente insuficiente. Ninguna especial dificultad hubiera entrañado para el Ayuntamiento concretar el número total de trabajadores de la plantilla a la fecha de los despidos, así como el número de afiliados y no afiliados y el porcentaje de afiliación correspondiente a cada uno de los sindicatos con representación en la corporación municipal, a fin de acreditar que la reducción de plantilla no guardaba relación alguna con la condición de afiliados a UGT de los trabajadores afectados. Tampoco explica el Ayuntamiento el criterio objetivo (antigüedad en el puesto de trabajo, edad, rendimiento, etc.), si es que lo hubo, para seleccionar a esos veintitrés despedidos precisamente y no a otros.</w:t>
      </w:r>
    </w:p>
    <w:p w:rsidR="0025129F" w:rsidRDefault="0025129F" w:rsidP="0025129F">
      <w:pPr>
        <w:pStyle w:val="TextoNormal"/>
      </w:pPr>
    </w:p>
    <w:p w:rsidR="0025129F" w:rsidRDefault="0025129F" w:rsidP="0025129F">
      <w:pPr>
        <w:pStyle w:val="TextoNormal"/>
      </w:pPr>
      <w:r w:rsidRPr="0025129F">
        <w:rPr>
          <w:rStyle w:val="NumeroAFNegritaCaracter"/>
        </w:rPr>
        <w:t>8</w:t>
      </w:r>
      <w:r>
        <w:t>. A ello hay que añadir que aunque se entendiese acreditado que el Ayuntamiento atravesaba dificultades económicas, lo que no ha quedado demostrado en modo alguno es que esa situación de crisis económica constituyera causa objetiva y suficiente para declarar la extinción de los contratos de trabajo de los demandantes por vía del art. 52.c LET. En efecto, la propia Sentencia recurrida considera que no se dan las circunstancias necesarias para declarar extinguida la relación laboral de los actores con fundamento en las causas económicas y organizativas a que se refiere el citado precepto legal, pues el Ayuntamiento no ha acreditado que la medida adoptada resulte adecuada para conseguir la superación de la situación de crisis económica alegada.</w:t>
      </w:r>
    </w:p>
    <w:p w:rsidR="0025129F" w:rsidRDefault="0025129F" w:rsidP="0025129F">
      <w:pPr>
        <w:pStyle w:val="TextoNormal"/>
      </w:pPr>
      <w:r>
        <w:t>Sin embargo, pese a que la Sentencia impugnada parte de la premisa de que no se advierte que concurra el requisito de conexión funcional de adecuación o proporcionalidad de la reducción de plantilla operada mediante los despidos de los demandantes con la pretendida superación de la situación económica desfavorable, y asimismo admite la existencia de un conjunto indiciario de conflictividad entre el empleador y los actores por razón de su afiliación sindical, no saca la lógica conclusión de tal premisa, esto es, la nulidad de los despidos, sino que declara la improcedencia de los mismos aplicando al caso la doctrina de este Tribunal acerca de los despidos “pluricausales”, esto es, aquellos despidos disciplinarios en los que, frente a los indicios de lesión de un derecho fundamental, como puede ser la libertad sindical, el empresario alcanza a probar que el despido obedece realmente a la concurrencia de incumplimientos contractuales del trabajador que justifican la adopción de la medida extintiva, razonamiento que ha de ser rechazado, por los motivos que a continuación se expresan.</w:t>
      </w:r>
    </w:p>
    <w:p w:rsidR="0025129F" w:rsidRDefault="0025129F" w:rsidP="0025129F">
      <w:pPr>
        <w:pStyle w:val="TextoNormal"/>
      </w:pPr>
      <w:r>
        <w:t>En primer lugar, debemos recordar el verdadero sentido de la doctrina sentada por el Tribunal Constitucional en sus SSTC 135/1990, de 19 de julio, 21/1992, de 14 de febrero, y 7/1993, de 18 de enero, sobre los denominados despidos “pluricausales”.  Como se recuerda en la STC 7/1993, FJ 4, resumiendo dicha doctrina,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w:t>
      </w:r>
    </w:p>
    <w:p w:rsidR="0025129F" w:rsidRDefault="0025129F" w:rsidP="0025129F">
      <w:pPr>
        <w:pStyle w:val="TextoNormal"/>
      </w:pPr>
      <w:r>
        <w:lastRenderedPageBreak/>
        <w:t>“Subsiste, no obstante, la carga probatoria anteriormente señalada para el empresario, de que los hechos motivadores de la decisión extintiva, cuando no está plenamente justificado el despido, obedezcan a motivos extraños a todo propósito atentatorio contra el derecho fundamental en cuestión. En otras palabras, en aquellos casos en que la trascendencia disciplinaria es susceptible de distinta valoración, el empresario ha de probar, tanto que su medida es razonable y objetiva, como que no encubre una conducta contraria a un derecho fundamental, debiendo alcanzar necesariamente dicho resultado probatorio, sin que baste el intentarlo”.</w:t>
      </w:r>
    </w:p>
    <w:p w:rsidR="0025129F" w:rsidRDefault="0025129F" w:rsidP="0025129F">
      <w:pPr>
        <w:pStyle w:val="TextoNormal"/>
      </w:pPr>
      <w:r>
        <w:t>Esta doctrina sobre los despidos “pluricausales”, a la que la Sentencia impugnada se refiere en su planteamiento pero no en las consecuencias probatorias respecto a la lesión alegada del derecho a la libertad sindical, resulta de imposible aplicación al caso que nos ocupa, puesto que, como la propia Sentencia impugnada reconoce, el Ayuntamiento empleador no ha acreditado siquiera que concurrieran las circunstancias objetivas exigidas para proceder a la extinción de los contratos de los demandantes por la vía del art. 52.c LET, esto es, la Sentencia admite que no existe causa para despedir. En consecuencia, si no existe causa alguna para los despidos, mal puede hablarse de un despido “pluricausal”, como no sea quebrantando las más elementales reglas del razonamiento lógico-jurídico, a lo que hay que añadir que la Sentencia impugnada no ofrece tampoco ningún razonamiento para justificar la extensión de la doctrina de este Tribunal acerca del despido pluricausal, limitada a los despidos disciplinarios, a la extinción de contratos por causas objetivas del art. 52.c LET.</w:t>
      </w:r>
    </w:p>
    <w:p w:rsidR="0025129F" w:rsidRDefault="0025129F" w:rsidP="0025129F">
      <w:pPr>
        <w:pStyle w:val="TextoNormal"/>
      </w:pPr>
    </w:p>
    <w:p w:rsidR="0025129F" w:rsidRDefault="0025129F" w:rsidP="0025129F">
      <w:pPr>
        <w:pStyle w:val="TextoNormal"/>
      </w:pPr>
      <w:r w:rsidRPr="0025129F">
        <w:rPr>
          <w:rStyle w:val="NumeroAFNegritaCaracter"/>
        </w:rPr>
        <w:t>9</w:t>
      </w:r>
      <w:r>
        <w:t>. En definitiva, en el presente supuesto ha quedado acreditada por los trabajadores la existencia de indicios de una actuación empresarial contraria a la libertad sindical (art. 28.1 CE), mientras que por parte del Ayuntamiento empleador no se ha demostrado la existencia de causas objetivas y razonables suficientes que hubieran permitido destruir la apariencia discriminatoria creada y alcanzar la necesaria convicción de que su actuación había sido ajena a todo propósito atentatorio a la libertad sindical. Más aún, el Ayuntamiento ni siquiera ha acreditado la existencia de circunstancias económicas u organizativas objetivas para proceder a la extinción de los contratos de trabajo de los demandantes de amparo por la vía del art. 52.c LET. La ausencia de prueba trasciende de este modo el ámbito puramente procesal y determina, en último término, que los indicios aportados por los demandantes desplieguen toda su operatividad para declarar la lesión del derecho fundamental a la libertad sindical (SSTC 90/1997, de 6 de mayo, FJ 5; 74/1998, de 31 de marzo, FJ 7; y 87/1998, de 21 de abril, FJ 5).</w:t>
      </w:r>
    </w:p>
    <w:p w:rsidR="0025129F" w:rsidRDefault="0025129F" w:rsidP="0025129F">
      <w:pPr>
        <w:pStyle w:val="TextoNormal"/>
      </w:pPr>
      <w:r>
        <w:t>Siendo esto así, debemos concluir que la Sentencia de la Sala de lo Social del Tribunal Superior de Justicia de Andalucía impugnada en amparo no cumplió las exigencias de la doctrina constitucional sobre la distribución de la carga de la prueba en los supuestos en que se invoca y acredita la existencia de indicio de lesión de derechos fundamentales de los trabajadores en la actuación empresarial y, por consiguiente, no reparó —y lesionó por tanto— el derecho de los recurrentes a no sufrir discriminación por razón de su afiliación a un sindicato (art. 28.1 CE).</w:t>
      </w:r>
    </w:p>
    <w:p w:rsidR="0025129F" w:rsidRDefault="0025129F" w:rsidP="0025129F">
      <w:pPr>
        <w:pStyle w:val="TextoNormal"/>
      </w:pPr>
      <w:r>
        <w:t>Las consideraciones que anteceden conducen a la estimación del amparo y sólo resta determinar el alcance de los pronunciamientos previstos en el art. 55 LOTC. En este sentido, toda vez que la Sentencia de instancia declaró la nulidad de los despidos por lesión del derecho a la libertad sindical de los actores, bastará para restablecer a éstos en la integridad de su derecho con anular la Sentencia de suplicación impugnada, declarando la firme</w:t>
      </w:r>
      <w:r>
        <w:lastRenderedPageBreak/>
        <w:t>za de la Sentencia dictada en la instancia por el Juzgado de lo Social núm. 1 de Málaga, como señala el Ministerio Fiscal.</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su virtud:</w:t>
      </w:r>
    </w:p>
    <w:p w:rsidR="0025129F" w:rsidRDefault="0025129F" w:rsidP="0025129F">
      <w:pPr>
        <w:pStyle w:val="TextoNormal"/>
      </w:pPr>
      <w:r>
        <w:t>1º Reconocer el derecho de los demandantes a la libertad sindical.</w:t>
      </w:r>
    </w:p>
    <w:p w:rsidR="0025129F" w:rsidRDefault="0025129F" w:rsidP="0025129F">
      <w:pPr>
        <w:pStyle w:val="TextoNormal"/>
      </w:pPr>
      <w:r>
        <w:t>2º Anular la Sentencia de la Sala de lo Social del Tribunal Superior de Justicia de Andalucía (sede de Málaga) de 6 de febrero de 1998, recaída en el recurso de suplicación núm.  996/96, lo que implica la firmeza de la Sentencia dictada por el Juzgado de lo Social núm. 1 de Málaga el 28 de diciembre de 1995 en los autos núm. 949-68/95.</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2" w:name="SENTENCIA_2002_49"/>
      <w:r>
        <w:lastRenderedPageBreak/>
        <w:t>SENTENCIA 49/2002, de 25 de febrero de 2002</w:t>
      </w:r>
    </w:p>
    <w:bookmarkEnd w:id="52"/>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ECLI:ES:TC:2002:49</w:t>
      </w:r>
    </w:p>
    <w:p w:rsidR="0025129F" w:rsidRDefault="0025129F" w:rsidP="0025129F">
      <w:pPr>
        <w:pStyle w:val="SntesisDescriptiva"/>
      </w:pPr>
    </w:p>
    <w:p w:rsidR="0025129F" w:rsidRDefault="0025129F" w:rsidP="0025129F">
      <w:pPr>
        <w:pStyle w:val="SntesisDescriptiva"/>
      </w:pPr>
      <w:r>
        <w:t>Recurso de amparo 651/1999. Promovido por don Manuel de la Haba Álvarez frente a las Sentencias de la Audiencia Provincial y de un Juzgado de Instrucción de Córdoba que declararon su derecho a una indemnización por los daños sufridos en un accidente de tráfico.</w:t>
      </w:r>
    </w:p>
    <w:p w:rsidR="0025129F" w:rsidRDefault="0025129F" w:rsidP="0025129F">
      <w:pPr>
        <w:pStyle w:val="SntesisDescriptiva"/>
      </w:pPr>
    </w:p>
    <w:p w:rsidR="0025129F" w:rsidRDefault="0025129F" w:rsidP="0025129F">
      <w:pPr>
        <w:pStyle w:val="SntesisAnaltica"/>
      </w:pPr>
      <w:r>
        <w:t>Supuesta vulneración del derecho a la igualdad, y vulneración del derecho a la tutela judicial efectiva: indemnización de los perjuicios por lucro cesante, a causa de la inactividad profesional de un taxista víctima de una imprudencia, en aplicación de los baremos legales (Sentencia 181/2000).</w:t>
      </w:r>
    </w:p>
    <w:p w:rsidR="0025129F" w:rsidRDefault="0025129F" w:rsidP="0025129F">
      <w:pPr>
        <w:pStyle w:val="SntesisAnaltica"/>
      </w:pPr>
    </w:p>
    <w:p w:rsidR="0025129F" w:rsidRDefault="0025129F" w:rsidP="0025129F">
      <w:pPr>
        <w:pStyle w:val="Extracto"/>
      </w:pPr>
      <w:r>
        <w:t>1.</w:t>
      </w:r>
      <w:r>
        <w:tab/>
        <w:t>Se produjo la lesión del derecho a la tutela judicial efectiva sin indefensión en la medida en que la aplicación automática de los baremos contenidos en la tabla V apartado B) del anexo de la Ley 30/1995, de ordenación y supervisión de los seguros privados, ha impedido la reparación íntegra del daño causado (STC 181/2000) [FJ 3].</w:t>
      </w:r>
    </w:p>
    <w:p w:rsidR="0025129F" w:rsidRDefault="0025129F" w:rsidP="0025129F">
      <w:pPr>
        <w:pStyle w:val="Extracto"/>
      </w:pPr>
    </w:p>
    <w:p w:rsidR="0025129F" w:rsidRDefault="0025129F" w:rsidP="0025129F">
      <w:pPr>
        <w:pStyle w:val="Extracto"/>
      </w:pPr>
      <w:r>
        <w:t>2.</w:t>
      </w:r>
      <w:r>
        <w:tab/>
        <w:t>No hay vulneración del derecho a la igualdad, pues el tratamiento diferenciado establecido en la Ley 30/1995 no introduce desigualdad alguna entre las personas, sino en atención exclusivamente al específico ámbito o sector de la realidad social en el que acaece la conducta o actividad productora del daño ( SSTC 181/2000, 9/2002) [FJ 2].</w:t>
      </w:r>
    </w:p>
    <w:p w:rsidR="0025129F" w:rsidRDefault="0025129F" w:rsidP="0025129F">
      <w:pPr>
        <w:pStyle w:val="Extracto"/>
      </w:pPr>
    </w:p>
    <w:p w:rsidR="0025129F" w:rsidRDefault="0025129F" w:rsidP="0025129F">
      <w:pPr>
        <w:pStyle w:val="Extracto"/>
      </w:pPr>
      <w:r>
        <w:t>3.</w:t>
      </w:r>
      <w:r>
        <w:tab/>
        <w:t>La reparación de la vulneración del derecho a la tutela judicial efectiva sin indefensión se satisface con la anulación parcial de la Sentencia dictada por el Juzgado de Instrucción, pues nuestro fallo no afecta ni a los pronunciamientos de carácter penal, ni al resto de los pronunciamientos sobre las indemnizaciones establecidas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651/99, promovido por don Manuel de la Haba Álvarez, representado por la Procuradora de los Tribunales doña Marta Martínez Tripiana y asistido por el Letrado don Francisco de la Cruz Arribas, contra la Sentencia de la Sección Tercera de la Audiencia Provincial de Córdoba de 30 de diciembre de 1998. Han intervenido el Ministerio Fiscal y Mapfre, Mutualidad de Seguros, representada por el Procurador de los Tribunales don Argimiro Vázquez Guillén y asistida del Letrado don Juan Ignacio Pérez Iñiguez.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17 de febrero de 1999, doña Marta Martínez Tripiana, Procuradora de los Tribunales, en nombre y representación de don Manuel de la Haba Álvarez, interpuso demanda de amparo contra la Sentencia de la Sección Tercera de la Audiencia Provincial de Córdoba de 30 de diciembre de 1998 que confirmó en apelación la Sentencia del Juzgado de Instrucción núm. 5 de la misma ciudad de 18 de mayo de 1998, que condenó a don Rafael Gaitán Jurado como autor de una falta de lesiones por imprudencia leve del art. 621.3 CP y a éste junto a la compañía de seguros Mapfre a indemnizar al lesionado don Manuel de la Haba Álvarez en la cantidad de trescientas catorce mil cuatrocientas cincuenta pesetas por los días de impedimento para sus ocupaciones habituales, seis mil cuatrocientas cincuenta pesetas por gastos de desplazamiento, dos mil seiscientas diecisiete pesetas por facturas de farmacia, once mil setecientas noventa y cinco mil pesetas por factura de un reloj, y en trece mil cuatrocientas sesenta pesetas por gastos de grúa, más el interés legal.</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y circunstancias procesales más relevantes para la resolución del presente amparo son los que a continuación se detallan: </w:t>
      </w:r>
    </w:p>
    <w:p w:rsidR="0025129F" w:rsidRDefault="0025129F" w:rsidP="0025129F">
      <w:pPr>
        <w:pStyle w:val="TextoNormal"/>
      </w:pPr>
      <w:r>
        <w:t xml:space="preserve">a) En el Juzgado de Instrucción núm. 5 de Córdoba se tramitó juicio de faltas núm. 402/97 por lesiones producidas en una colisión de vehículos. En los hechos declarados probados se relata la colisión del taxi que conducía don Manuel de la Haba Álvarez y el turismo que conducía don Rafael Gaitán Jurado. Asimismo se hace constar que don Manuel de la Haba Álvarez sufrió lesiones que tardaron en curar ochenta y siete días, estando hospitalizado cuatro de ellos. </w:t>
      </w:r>
    </w:p>
    <w:p w:rsidR="0025129F" w:rsidRDefault="0025129F" w:rsidP="0025129F">
      <w:pPr>
        <w:pStyle w:val="TextoNormal"/>
      </w:pPr>
      <w:r>
        <w:t xml:space="preserve">b) El Juzgado de Instrucción consideró responsable en concepto de autor a don Rafael Gaitán Jurado de la falta de lesiones por imprudencia leve del art. 621.3 CP, condenándole a un mes de multa y, junto a la compañía de seguros Mapfre, a indemnizar en las cantidades y por los conceptos ya reseñados. </w:t>
      </w:r>
    </w:p>
    <w:p w:rsidR="0025129F" w:rsidRDefault="0025129F" w:rsidP="0025129F">
      <w:pPr>
        <w:pStyle w:val="TextoNormal"/>
      </w:pPr>
      <w:r>
        <w:t xml:space="preserve">c) Para la determinación de las cantidades debidas en concepto de indemnización el órgano judicial aplicó el baremo establecido en la Ley 30/1995, de ordenación y supervisión de los seguros privados —tabla V apartado A) aplicando el factor de corrección correspondiente del apartado B)—, desestimando las pretensiones del lesionado de indemnización específica por los perjuicios ocasionados por su inactividad profesional derivado de su incapacidad temporal y por la inmovilización del auto-taxi en el taller durante ochenta y dos días. Los fundamentos de la desestimación de estas pretensiones residen, de un lado, en que los baremos establecidos en la Ley 30/1995 establecen un sistema de valoración </w:t>
      </w:r>
      <w:r>
        <w:lastRenderedPageBreak/>
        <w:t xml:space="preserve">global de los daños y perjuicios causados a las personas, comprensivo del valor de la pérdida sufrida y de la ganancia dejada de obtener; y, de otra parte, el Juzgado argumentó que, en la medida en que el período en el que el taxi estuvo paralizado en el taller coincidía casi totalmente con el período en el que el conductor estuvo incapacitado para su trabajo habitual debido a las lesiones, con dicha pretensión se estaría solicitando una duplicidad de indemnizaciones por un mismo concepto, dado que ya se había aplicado el factor de corrección de la tabla V apartado B). </w:t>
      </w:r>
    </w:p>
    <w:p w:rsidR="0025129F" w:rsidRDefault="0025129F" w:rsidP="0025129F">
      <w:pPr>
        <w:pStyle w:val="TextoNormal"/>
      </w:pPr>
      <w:r>
        <w:t>d) Recurrida la Sentencia en apelación por el lesionado, fue desestimado el recurso en Sentencia de la Sección Tercera de la Audiencia Provincial de Córdoba de 30 de diciembre de 1998 entendiendo que, aunque no le faltaba razón al recurrente respecto de las situaciones injustas a las que conduciría la Ley 30/1995, sin embargo, entiende que está vinculado a los baremos establecidos en dicha Ley, no siendo posible una interpretación de la misma como la pretendida por el recurrente.</w:t>
      </w:r>
    </w:p>
    <w:p w:rsidR="0025129F" w:rsidRDefault="0025129F" w:rsidP="0025129F">
      <w:pPr>
        <w:pStyle w:val="TextoNormal"/>
      </w:pPr>
    </w:p>
    <w:p w:rsidR="0025129F" w:rsidRDefault="0025129F" w:rsidP="0025129F">
      <w:pPr>
        <w:pStyle w:val="TextoNormal"/>
      </w:pPr>
      <w:r w:rsidRPr="0025129F">
        <w:rPr>
          <w:rStyle w:val="NumeroAFNegritaCaracter"/>
        </w:rPr>
        <w:t>3</w:t>
      </w:r>
      <w:r>
        <w:t>. El demandante alega expresamente la vulneración del derecho a la igualdad ante la Ley (art. 14 CE) e implícitamente la lesión del derecho a la tutela judicial efectiva sin indefensión. Aduce, al efecto, que la obligada aplicación del sistema de baremos previsto en la Ley 30/1995, de ordenación y supervisión de los seguros privados, le ha ocasionado una absoluta desigualdad y discriminación frente a supuestos de hecho iguales en los que no concurre la circunstancia de haber sufrido lesiones. Con carácter general, sostiene el demandante que en supuestos como el que origina la demanda, el sistema de valoración de dicha Ley discrimina a quienes sufren daños personales frente a quienes resultan con daños en las cosas, pues éstos últimos no están sujetos a los límites del baremo; discrimina también a las víctimas de accidentes de circulación en relación a los perjudicados de accidentes de otra naturaleza, tampoco sujetos al mismo; por último, el sistema de valoración, al prescindir de la discrecionalidad judicial a la hora de cuantificar el daño, impide al órgano judicial reparar íntegramente el daño causado, especialmente en casos como el que es origen de la demanda de restitución de la ganancia dejada de obtener. En particular, se afirma que la aplicación del baremo le ha impedido la reparación íntegra del daño en lo que se refiere al lucro cesante al considerar el órgano judicial que con la aplicación del baremo por los daños personales y el coeficiente de corrección habían de considerarse indemnizados todos los perjuicios ocasionados. Finalmente, sostiene que el objeto de la demanda de amparo es el reconocimiento de su derecho a la reparación íntegra de los perjuicios sufridos con motivo de la ganancia dejada de obtener.</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15 de enero de 2001, la Sección Segunda de este Tribunal acordó admitir a trámite la demanda de amparo y, a tenor de lo dispuesto en el art. 51 LOTC, requerir a la Sección Tercera de la Audiencia Provincial de Córdoba y al Juzgado de Instrucción núm. 5 de dicha capital para que, en el plazo de diez días, remitiesen, respectivamente, testimonio del rollo de apelación núm. 112/98 y de los autos del juicio de faltas núm. 402/97, interesándose al propio tiempo el emplazamiento de quienes hubieran sido parte en el mencionado procedimiento, con excepción del recurrente de amparo, para que, en el plazo de diez días, pudieran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diligencia de ordenación de la Secretaria de Justicia de la Sala Primera de este Tribunal de 12 de noviembre de 2001, se acordó tener por recibidos los testimonios de las actuaciones solicitados, tener por personado y parte a don Argimiro Vázquez Guillén en </w:t>
      </w:r>
      <w:r>
        <w:lastRenderedPageBreak/>
        <w:t>nombre y representación de Mapfre, Mutualidad de Seguros, y, a tenor de lo dispuesto en el art. 52 LOTC, dar vista de las actuaciones, en la Secretaría de la Sala, por plazo común de veinte días, al Ministerio Fiscal y a los Procuradores doña Marta Martínez Tripiana y don Argimiro Vázquez Guillén, para que, dentro de dicho término, efectuaren las alegaciones que estimaren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En escrito registrado en este Tribunal el 17 de diciembre de 2001, el Ministerio Fiscal, en trámite de alegaciones, interesó la estimación de la demanda de amparo por lesión del derecho a la tutela judicial efectiva sin indefensión. Con base en lo sostenido en el fundamento jurídico undécimo sostiene la inexistencia de vulneración del derecho a la igualdad tanto en cuanto a la diferencia de trato con quienes sólo sufren daños materiales, como respecto de quienes sufren daños derivados de otro tipo de actividades, puesto que la Ley no establece un tratamiento diferenciado en función de las personas. </w:t>
      </w:r>
    </w:p>
    <w:p w:rsidR="0025129F" w:rsidRDefault="0025129F" w:rsidP="0025129F">
      <w:pPr>
        <w:pStyle w:val="TextoNormal"/>
      </w:pPr>
      <w:r>
        <w:t xml:space="preserve">De otra parte, entiende el Ministerio Fiscal que se ha lesionado el derecho a la tutela judicial efectiva sin indefensión que el recurrente alega implícitamente al afirmar que con la aplicación de los baremos de la Ley 30/1995 “se impide al órgano judicial reparar íntegramente el daño causado”. En relación con ello afirma, en primer término, que con la doble pretensión de indemnización por el tiempo de incapacidad temporal y por el tiempo en que el auto-taxi estuvo parado sometido a reparación, el recurrente pretendió compensar las carencias de la aplicación de la tabla V apartado B). Desde esta perspectiva y teniendo en cuenta que la resolución del Juzgado de instancia también sustentó su decisión en la aplicación de la Ley 30/1995, así como que la Audiencia Provincial justificó su pronunciamiento confirmatorio de la Sentencia de instancia exclusivamente en la taxatividad de la Ley 30/1995, efectuando una crítica al carácter vinculante del baremo, ha de entenderse que no estamos ante una cuestión de interpretación de la legalidad ordinaria. </w:t>
      </w:r>
    </w:p>
    <w:p w:rsidR="0025129F" w:rsidRDefault="0025129F" w:rsidP="0025129F">
      <w:pPr>
        <w:pStyle w:val="TextoNormal"/>
      </w:pPr>
      <w:r>
        <w:t>En segundo término, y partiendo de lo declarado en la STC 181/2000, se afirma que la decisión judicial de limitar la íntegra reparación del daño en lo que afecta al lucro cesante constituye una vulneración del derecho a la tutela judicial efectiva al haberse impedido que la pretensión resarcitoria fuera efectivamente satisfecha en el oportuno proceso.</w:t>
      </w:r>
    </w:p>
    <w:p w:rsidR="0025129F" w:rsidRDefault="0025129F" w:rsidP="0025129F">
      <w:pPr>
        <w:pStyle w:val="TextoNormal"/>
      </w:pPr>
    </w:p>
    <w:p w:rsidR="0025129F" w:rsidRDefault="0025129F" w:rsidP="0025129F">
      <w:pPr>
        <w:pStyle w:val="TextoNormal"/>
      </w:pPr>
      <w:r w:rsidRPr="0025129F">
        <w:rPr>
          <w:rStyle w:val="NumeroAFNegritaCaracter"/>
        </w:rPr>
        <w:t>7</w:t>
      </w:r>
      <w:r>
        <w:t>. En escrito registrado en este Tribunal el 11 de diciembre de 2001, la representación procesal del demandante de amparo reiteró sus pretensiones citando los fundamentos de la STC 181/2000, insistiendo en que la “culpa relevante” del conductor adverso fue declarada por la Sentencia de instancia, siendo la causa determinante del daño a reparar. Se cita, asimismo, la Sentencia de este Tribunal estimatoria del recurso de amparo núm. 2791/97.</w:t>
      </w:r>
    </w:p>
    <w:p w:rsidR="0025129F" w:rsidRDefault="0025129F" w:rsidP="0025129F">
      <w:pPr>
        <w:pStyle w:val="TextoNormal"/>
      </w:pPr>
    </w:p>
    <w:p w:rsidR="0025129F" w:rsidRDefault="0025129F" w:rsidP="0025129F">
      <w:pPr>
        <w:pStyle w:val="TextoNormal"/>
      </w:pPr>
      <w:r w:rsidRPr="0025129F">
        <w:rPr>
          <w:rStyle w:val="NumeroAFNegritaCaracter"/>
        </w:rPr>
        <w:t>8</w:t>
      </w:r>
      <w:r>
        <w:t>. En escrito registrado en este Tribunal el 11 de diciembre de 2001, la representación de la compañía aseguradora Mapfre, efectuando alegaciones, interesó la desestimación de la demanda. En cuanto a la pretensión de vulneración del principio de igualdad, entiende, con base en los fundamentos de la STC 181/2000, que no se ha producido ninguna vulneración. De otra parte, considera que aunque fuera posible entender que es uno de los casos en los que sería de aplicación la posibilidad de no someter a las limitaciones de la tabla V apartado B) la indemnización si se hubieran acreditado perjuicios superiores, sin embargo, entiende, de un lado, que se trata de una posibilidad y no de una obligación, y, de otro, que, en el caso, el recurrente pretendía una duplicidad indemnizatoria que no podría ser acogida por el órgano judicial.</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9</w:t>
      </w:r>
      <w:r>
        <w:t>. Por providencia de 21 de febrero de 2002 se señaló para deliberación y votación de la presente Sentencia el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se dirige contra la Sentencia de la Sección Tercera de la Audiencia Provincial de Córdoba de 30 de diciembre de 1998, que confirmó en apelación la Sentencia del Juzgado de Instrucción núm. 5 de la misma ciudad de 18 de mayo de 1998, que, en juicio de faltas, y a raíz de un accidente de circulación, condenó a don Rafael Gaitán Jurado, junto a la compañía de seguros Mapfre, a indemnizar al demandante de amparo en diversas cantidades y conceptos especificados en los antecedentes. La demanda de amparo alega de forma expresa la vulneración del derecho a la igualdad ante la ley, entendiendo que se ha producido una discriminación por razón personal al haber sufrido daños personales y materiales en el accidente y haberse aplicado en la determinación de la indemnización el baremo contenido en el Anexo de la Ley 30/1995, de 8 de noviembre, de ordenación y supervisión de los seguros privados, tabla V, apartado A, con el factor de corrección correspondiente del apartado B.</w:t>
      </w:r>
    </w:p>
    <w:p w:rsidR="0025129F" w:rsidRDefault="0025129F" w:rsidP="0025129F">
      <w:pPr>
        <w:pStyle w:val="TextoNormal"/>
      </w:pPr>
      <w:r>
        <w:t>De otra parte, se encuentra implícita en la demanda de amparo la alegación de lesión del derecho a la tutela judicial efectiva sin indefensión, ya que el recurrente argumenta que la aplicación de los baremos de la Ley 30/1995 le ha impedido conseguir la reparación íntegra de los perjuicios que le ocasionó el accidente en lo relativo al lucro cesante. A la misma conclusión sobre el carácter implícito de la alegación llegan las partes personadas en este proceso, pues, tanto el Ministerio Fiscal, como la representación procesal de la compañía de seguros Mapfre, efectuaron alegaciones en el trámite correspondiente sobre la eventual vulneración del derecho a la tutela judicial efectiva sin indefensión. Y, si bien esta última interesa la desestimación de la demanda, el Ministerio Fiscal considera que se ha producido la vulneración de este derecho fundamental al aplicarse la Ley 30/1995 en la determinación de la indemnización debida al perjudicado por el accidente de circulación.</w:t>
      </w:r>
    </w:p>
    <w:p w:rsidR="0025129F" w:rsidRDefault="0025129F" w:rsidP="0025129F">
      <w:pPr>
        <w:pStyle w:val="TextoNormal"/>
      </w:pPr>
    </w:p>
    <w:p w:rsidR="0025129F" w:rsidRDefault="0025129F" w:rsidP="0025129F">
      <w:pPr>
        <w:pStyle w:val="TextoNormal"/>
      </w:pPr>
      <w:r w:rsidRPr="0025129F">
        <w:rPr>
          <w:rStyle w:val="NumeroAFNegritaCaracter"/>
        </w:rPr>
        <w:t>2</w:t>
      </w:r>
      <w:r>
        <w:t>. Iniciando ya el análisis de las pretensiones de la demanda, hemos de comenzar señalando que le asiste la razón al Ministerio Fiscal cuando afirma que no ha existido vulneración del derecho a la igualdad ante la ley.</w:t>
      </w:r>
    </w:p>
    <w:p w:rsidR="0025129F" w:rsidRDefault="0025129F" w:rsidP="0025129F">
      <w:pPr>
        <w:pStyle w:val="TextoNormal"/>
      </w:pPr>
      <w:r>
        <w:t>Sostiene el recurrente que ha sido discriminado respecto de quienes sufren daños en el marco de otra actividad y respecto de aquéllos que sólo sufren daños materiales, pues ninguno de ellos quedan sometidos a los baremos de la Ley 30/1995 y por ello pueden acceder a la reparación íntegra de los daños y perjuicios producidos, mientras que, en su caso, el haber sufrido daños personales y materiales se convierte en factor de discriminación, dado que el sometimiento a los baremos de dicha ley implica una limitación de la indemnización por todos los daños y perjuicios producidos. En particular, dada su condición de taxista, sostiene que los perjuicios producidos en concepto de lucro cesante no han sido indemnizados en su integridad, produciéndose una discriminación por razón personal.</w:t>
      </w:r>
    </w:p>
    <w:p w:rsidR="0025129F" w:rsidRDefault="0025129F" w:rsidP="0025129F">
      <w:pPr>
        <w:pStyle w:val="TextoNormal"/>
      </w:pPr>
      <w:r>
        <w:t xml:space="preserve">Sin embargo, como hemos declarado con carácter general en la STC 181/2000, de 29 de junio, FJ 11, y en un caso similar al actual en la STC 242/2000, de 16 de octubre, FJ 4, ninguno de los dos argumentos que sustentan la vulneración del derecho a la igualdad avalan fundadamente dicha lesión, pues el tratamiento diferenciado establecido en la Ley 30/1995 no introduce desigualdad alguna entre las personas, ya que, de un lado, la diversidad jurídica de regímenes en materia de responsabilidad civil no se articula a partir de </w:t>
      </w:r>
      <w:r>
        <w:lastRenderedPageBreak/>
        <w:t>categorías de personas o de grupos de las mismas, sino en atención exclusivamente al específico ámbito o sector de la realidad social en el que acaece la conducta o actividad productora del daño; y, de otro, el diverso tratamiento jurídico que dicha Ley efectúa entre los daños corporales o personales, a los que somete a una cuantía resarcitoria máxima, y los daños en las cosas, cuya reparación no está sujeta a límites cuantitativos, no infringe el principio de igualdad, ya que “la regulación legal se aplica por igual a todas las personas, y en todas las circunstancias, sin que se constate la presencia de factores injustificados de diferenciación entre colectivos diversos” (en sentido similar, SSTC 244/2000, de 16 de octubre, FJ 3; 21/2001, de 29 de enero, FJ 2; y 9/2002, de 15 de enero, FJ 3).</w:t>
      </w:r>
    </w:p>
    <w:p w:rsidR="0025129F" w:rsidRDefault="0025129F" w:rsidP="0025129F">
      <w:pPr>
        <w:pStyle w:val="TextoNormal"/>
      </w:pPr>
    </w:p>
    <w:p w:rsidR="0025129F" w:rsidRDefault="0025129F" w:rsidP="0025129F">
      <w:pPr>
        <w:pStyle w:val="TextoNormal"/>
      </w:pPr>
      <w:r w:rsidRPr="0025129F">
        <w:rPr>
          <w:rStyle w:val="NumeroAFNegritaCaracter"/>
        </w:rPr>
        <w:t>3</w:t>
      </w:r>
      <w:r>
        <w:t>. Distinta suerte ha de correr la queja del recurrente desde la perspectiva del derecho a la tutela judicial efectiva sin indefensión, pues, como declaramos en la STC 181/2000, la aplicación automática de los baremos contenidos en la tabla V apartado B) del Anexo de la Ley 30/1995, vulnera este derecho en la medida en que impida la reparación íntegra de los perjuicios causados, siempre que se acrediten perjuicios superiores derivados de daños de carácter personal, determinantes de “incapacidad temporal”, y en la medida en que tengan “su causa exclusiva en una culpa relevante y, en su caso, judicialmente declarada, imputable al agente causante del hecho lesivo” (FJ 21).</w:t>
      </w:r>
    </w:p>
    <w:p w:rsidR="0025129F" w:rsidRDefault="0025129F" w:rsidP="0025129F">
      <w:pPr>
        <w:pStyle w:val="TextoNormal"/>
      </w:pPr>
      <w:r>
        <w:t>En el caso que ahora enjuiciamos, las resoluciones judiciales, dictadas con anterioridad a nuestra STC 181/2000, que declaró la inconstitucionalidad parcial de la Ley 30/1995, condenaron al conductor del otro vehículo como autor de la falta de lesiones imprudentes del art. 621.3 CP, constando en los hechos probados que el conductor condenado no respetó el ceda el paso que daba la preferencia al auto-taxi en el cruce en el que tuvo lugar la colisión; de modo que de ello deriva que el órgano judicial consideró que las lesiones producidas tenían su causa exclusiva en la culpa relevante del otro conductor. A partir de esta consideración, así como del dato de que la Sentencia de instancia aplicó el factor de corrección correspondiente del apartado B) de la tabla V del Anexo de la Ley 30/1995, entendiendo con ello satisfecha la pretensión de indemnización de los perjuicios ocasionados por la inactividad profesional del lesionado —taxista de profesión—, esto es, del lucro cesante, ha de concluirse que, ciertamente, se produjo la lesión del derecho a la tutela judicial efectiva sin indefensión en la medida en que la aplicación de dicha limitación ha impedido la reparación íntegra del daño causado.</w:t>
      </w:r>
    </w:p>
    <w:p w:rsidR="0025129F" w:rsidRDefault="0025129F" w:rsidP="0025129F">
      <w:pPr>
        <w:pStyle w:val="TextoNormal"/>
      </w:pPr>
      <w:r>
        <w:t>La estimación de esta vulneración convierte en innecesario un pronunciamiento sobre la pretensión relativa a la lesión del mismo derecho fundamental ocasionada por la no reparación íntegra del lucro cesante derivado del tiempo en que el auto-taxi estuvo parado, pues, como afirma el Ministerio Fiscal, a través de tal pretensión el recurrente intentó compensar las carencias de la aplicación de la tabla V apartado B) del Anexo de la Ley 30/1995 en el procedimiento penal, de modo que en el presente proceso de amparo constituye una pretensión subsidiaria de la anterior, y como tal, carente de autonomía.</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consiguiente, al igual que hicimos en casos similares (SSTC 242/2000, 21/2001), hemos de declarar la vulneración del derecho a la tutela judicial efectiva sin indefensión, de manera que su reparación se satisface con la anulación parcial de la Sentencia dictada por el Juzgado de Instrucción, pues nuestro fallo no afecta ni a los pronunciamientos de carácter penal, ni al resto de los pronunciamientos sobre las indemnizaciones establecidas. Por ello, procede anular la Sentencia dictada por el Juzgado de Instrucción sólo en lo que se refiere a la aplicación que efectúa de la tabla V apartado B) del Anexo de la Ley 30/1995, anular en su integridad la Sentencia dictada en apelación en la </w:t>
      </w:r>
      <w:r>
        <w:lastRenderedPageBreak/>
        <w:t>medida en que en el recurso de apelación sólo se sustanció la pretensión referida a la aplicación de la Ley 30/1995, y retrotraer las actuaciones al Juzgado de Instrucción al momento previo al de dictar Sentencia a los efectos de que se pronuncie de nuevo sobre la pretensión resarcitoria relativa al lucro cesante derivado de la incapacidad temporal del lesionado sin tener en cuenta dicho apartado B) de la tabla V del Anexo de la Ley 30/1995, de ordenación y supervisión de los seguros privados.</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parcialmente el amparo solicitado por don Manuel de la Haba Álvarez y, en su virtud:</w:t>
      </w:r>
    </w:p>
    <w:p w:rsidR="0025129F" w:rsidRDefault="0025129F" w:rsidP="0025129F">
      <w:pPr>
        <w:pStyle w:val="TextoNormal"/>
      </w:pPr>
      <w:r>
        <w:t>1º Reconocer el derecho del recurrente a la tutela judicial efectiva sin indefensión (art.  24.1 CE).</w:t>
      </w:r>
    </w:p>
    <w:p w:rsidR="0025129F" w:rsidRDefault="0025129F" w:rsidP="0025129F">
      <w:pPr>
        <w:pStyle w:val="TextoNormal"/>
      </w:pPr>
      <w:r>
        <w:t>2º Declarar la nulidad de la Sentencia del Juzgado de Instrucción núm. 5 de Córdoba de 18 de mayo de 1998, en lo que se refiere a la aplicación del apartado B) de la tabla V del Anexo de la Ley 30/1995, y la nulidad de la Sentencia de la Sección Tercera de la Audiencia Provincial de la misma ciudad de 30 de diciembre de 1998.</w:t>
      </w:r>
    </w:p>
    <w:p w:rsidR="0025129F" w:rsidRDefault="0025129F" w:rsidP="0025129F">
      <w:pPr>
        <w:pStyle w:val="TextoNormal"/>
      </w:pPr>
      <w:r>
        <w:t>3º Retrotraer las actuaciones al momento procesal oportuno, a fin de que el referido Juzgado de Instrucción dicte nueva Sentencia en los términos expuestos en el fundamento jurídico cuarto de esta decisión.</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3" w:name="SENTENCIA_2002_50"/>
      <w:r>
        <w:lastRenderedPageBreak/>
        <w:t>SENTENCIA 50/2002, de 25 de febrero de 2002</w:t>
      </w:r>
    </w:p>
    <w:bookmarkEnd w:id="53"/>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ECLI:ES:TC:2002:50</w:t>
      </w:r>
    </w:p>
    <w:p w:rsidR="0025129F" w:rsidRDefault="0025129F" w:rsidP="0025129F">
      <w:pPr>
        <w:pStyle w:val="SntesisDescriptiva"/>
      </w:pPr>
    </w:p>
    <w:p w:rsidR="0025129F" w:rsidRDefault="0025129F" w:rsidP="0025129F">
      <w:pPr>
        <w:pStyle w:val="SntesisDescriptiva"/>
      </w:pPr>
      <w:r>
        <w:t>Recurso de amparo 880/1999. Promovido por don Eugenio Ortiz de las Heras frente a la Sentencia de la Sala de lo Penal del Tribunal Supremo que, revocando el fallo de instancia absolutorio, le condenó por un delito de imprudencia profesional médica con resultado de lesiones.</w:t>
      </w:r>
    </w:p>
    <w:p w:rsidR="0025129F" w:rsidRDefault="0025129F" w:rsidP="0025129F">
      <w:pPr>
        <w:pStyle w:val="SntesisDescriptiva"/>
      </w:pPr>
    </w:p>
    <w:p w:rsidR="0025129F" w:rsidRDefault="0025129F" w:rsidP="0025129F">
      <w:pPr>
        <w:pStyle w:val="SntesisAnaltica"/>
      </w:pPr>
      <w:r>
        <w:t>Supuesta vulneración de los derechos a la tutela judicial efectiva sin indefensión y a la presunción de inocencia: impugnación en el recurso de casación penal del relato de hechos probados de una Sentencia absolutoria; condena en grado de recurso que no altera los hechos, y que no fue impugnada en incidente de nulidad de actuaciones. Voto particular.</w:t>
      </w:r>
    </w:p>
    <w:p w:rsidR="0025129F" w:rsidRDefault="0025129F" w:rsidP="0025129F">
      <w:pPr>
        <w:pStyle w:val="SntesisAnaltica"/>
      </w:pPr>
    </w:p>
    <w:p w:rsidR="0025129F" w:rsidRDefault="0025129F" w:rsidP="0025129F">
      <w:pPr>
        <w:pStyle w:val="Extracto"/>
      </w:pPr>
      <w:r>
        <w:t>1.</w:t>
      </w:r>
      <w:r>
        <w:tab/>
        <w:t>No se concilia con una situación real de indefensión la alegación, por una parte, de la imposibilidad de impugnar en casación el relato de hechos probados de la Sentencia recurrida en él, y la constatación, por otra, de que en el trámite de casación lo que hizo quien tal alega es aducir la falta de respeto de ese relato por sus contrarios [FJ 3].</w:t>
      </w:r>
    </w:p>
    <w:p w:rsidR="0025129F" w:rsidRDefault="0025129F" w:rsidP="0025129F">
      <w:pPr>
        <w:pStyle w:val="Extracto"/>
      </w:pPr>
    </w:p>
    <w:p w:rsidR="0025129F" w:rsidRDefault="0025129F" w:rsidP="0025129F">
      <w:pPr>
        <w:pStyle w:val="Extracto"/>
      </w:pPr>
      <w:r>
        <w:t>2.</w:t>
      </w:r>
      <w:r>
        <w:tab/>
        <w:t>El actor, más que una indefensión real, que es la que sería lesiva del derecho fundamental del art. 14.1 CE, lo que hace es apelar a la existencia de lo que califica como «situación paradójica», sin concretar, ni menos justificar, en qué sentido esa alegada situación le ha producido un efecto real de indefensión [FJ 4].</w:t>
      </w:r>
    </w:p>
    <w:p w:rsidR="0025129F" w:rsidRDefault="0025129F" w:rsidP="0025129F">
      <w:pPr>
        <w:pStyle w:val="Extracto"/>
      </w:pPr>
    </w:p>
    <w:p w:rsidR="0025129F" w:rsidRDefault="0025129F" w:rsidP="0025129F">
      <w:pPr>
        <w:pStyle w:val="Extracto"/>
      </w:pPr>
      <w:r>
        <w:t>3.</w:t>
      </w:r>
      <w:r>
        <w:tab/>
        <w:t>Lo que el recurrente califica de apreciaciones fácticas, no recogidas en el factum de la Sentencia de primera instancia, no son sino respuesta a planteamientos de los recurrentes en casación, que, a su vez, pudieron ser objeto de contradicción en ese recurso por parte del demandante de amparo, al impugnarlo; lo que excluye la indefensión [FJ 4].</w:t>
      </w:r>
    </w:p>
    <w:p w:rsidR="0025129F" w:rsidRDefault="0025129F" w:rsidP="0025129F">
      <w:pPr>
        <w:pStyle w:val="Extracto"/>
      </w:pPr>
    </w:p>
    <w:p w:rsidR="0025129F" w:rsidRDefault="0025129F" w:rsidP="0025129F">
      <w:pPr>
        <w:pStyle w:val="Extracto"/>
      </w:pPr>
      <w:r>
        <w:t>4.</w:t>
      </w:r>
      <w:r>
        <w:tab/>
        <w:t>En cuando a la vulneración del derecho fundamental a la presunción de inocencia, el cuestionamiento de la falta de argumentación del soporte probatorio del relato de hechos probados, para poder ser planteado ante este Tribunal Constitucional, debía haber sido suscitado previamente ante el Tribunal Supremo, lo que el actor no hizo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880/99, promovido por don Eugenio Ortiz de las Heras, representado por el Procurador don Antonio Ramón Rueda López y asistido del Letrado don Adrián Dupuy López, contra la Sentencia de la Sala Segunda del Tribunal Supremo, de fecha 22 de enero de 1999 que, estimando recurso de casación, condena al recurrente como autor responsable de un delito de imprudencia profesional con resultado de lesiones a la pena de un año de prisión con inhabilitación especial para el ejercicio de la profesión médica por período de un año, pago de costas y a que indemnice a los perjudicados en la suma de treinta millones de pesetas. Han comparecido don Luis Miguel Ferrer Ramírez, representado por el Procurador don Carlos Piñeira de Campos y defendido por el Letrado don Luis Delgado de Molina, y la compañía mercantil Asistencia Sanitaria Interprovincial (Asisa), representada por el Procurador don Antonio Miguel Ángel Araque Almendros y defendida por el Letrado don Manuel Caballero Caballero. Ha intervenido el Ministerio Fiscal. Ha sido Ponente el Magistrado don Vicente Conde Martín de Hijas,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presentado en el Registro General de este Tribunal el día 2 de marzo de 1999, el Procurador don Antonio Ramón Rueda López, en nombre y representación de don Eugenio Ortiz de las Heras, interpuso recurso de amparo contra la Sentencia de 22 de enero de 1999 dictada por la Sala Segunda del Tribunal Supremo que, estimando recurso de casación interpuesto contra Sentencia absolutoria de 23 de octubre de 1997 de la Audiencia Provincial de Alicante, casó y anuló esta última resolución judicial y dictó otra en la que condenó al actual demandante de amparo como autor responsable de un delito de imprudencia profesional con resultado de lesiones a las penas de un año de prisión con inhabilitación especial para el ejercicio de la profesión médica por período de un año, pago de costas y a que indemnice a los perjudicados en la suma de treinta millones de pesetas.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En la demanda de amparo se recoge la siguiente relación de antecedentes fácticos: </w:t>
      </w:r>
    </w:p>
    <w:p w:rsidR="0025129F" w:rsidRDefault="0025129F" w:rsidP="0025129F">
      <w:pPr>
        <w:pStyle w:val="TextoNormal"/>
      </w:pPr>
      <w:r>
        <w:t xml:space="preserve">a) Con fecha 21 de septiembre de 1995 se presentó querella en nombre de don Luis Miguel Ferrer Ramírez en contra de don Eugenio Ortiz de las Heras, imputándole la comisión de un delito de imprudencia temeraria con resultado de lesiones al hijo del querellante antes de nacer, que dio lugar a las diligencia previas núm. 2475/95, que luego devinieron en procedimiento abreviado núm. 93/96, en el que el demandante de amparo fue acusado del delito imputado. Seguida la instrucción de dicho procedimiento abreviado, el mismo fue elevado a la Audiencia Provincial, dando lugar al rollo de Sala núm. 92/97 en el que, previa celebración de juicio oral, se dictó Sentencia bajo el núm. 657 de fecha 23 de octubre de 1997. </w:t>
      </w:r>
    </w:p>
    <w:p w:rsidR="0025129F" w:rsidRDefault="0025129F" w:rsidP="0025129F">
      <w:pPr>
        <w:pStyle w:val="TextoNormal"/>
      </w:pPr>
      <w:r>
        <w:lastRenderedPageBreak/>
        <w:t xml:space="preserve">La referida Sentencia absuelve al Sr. Ortiz del delito que se le imputaba recogiendo como antecedentes de hecho, hechos probados, fundamentos de derecho y fallo los siguientes: </w:t>
      </w:r>
    </w:p>
    <w:p w:rsidR="0025129F" w:rsidRDefault="0025129F" w:rsidP="0025129F">
      <w:pPr>
        <w:pStyle w:val="TextoNormal"/>
      </w:pPr>
      <w:r>
        <w:t xml:space="preserve">"I Antecedentes de Hecho </w:t>
      </w:r>
    </w:p>
    <w:p w:rsidR="0025129F" w:rsidRDefault="0025129F" w:rsidP="0025129F">
      <w:pPr>
        <w:pStyle w:val="TextoNormal"/>
      </w:pPr>
      <w:r>
        <w:t xml:space="preserve">Primero: Desde sus Diligencias Previas núm. 2475/95 –iniciadas con querella presentada por el citado Sr. Ferrer Ramírez— el Juzgado de Instrucción núm. 2 de Alicante, siguió su Procedimiento Abreviado núm. 93/96 en el que fue acusado, por dicho delito, don Eugenio Ortiz de las Heras, antes de que ese procedimiento fuera elevado a esta Audiencia Provincial para proseguir la correspondiente tramitación en el presente Rollo núm. 92/97 de esta Sección Tercera. </w:t>
      </w:r>
    </w:p>
    <w:p w:rsidR="0025129F" w:rsidRDefault="0025129F" w:rsidP="0025129F">
      <w:pPr>
        <w:pStyle w:val="TextoNormal"/>
      </w:pPr>
      <w:r>
        <w:t xml:space="preserve">Segundo: El Ministerio Fiscal en sus conclusiones definitivas, calificó el hecho de autos como constitutivo de un delito de lesiones por imprudencia grave del art. 152 (1º, 2º y 3º), en relación con el art. 149 del nuevo Código Penal de 1995 (como más beneficioso que el de 1973), de cuyo delito consideró autor, sin la concurrencia de circunstancia modificativa, al acusado don Eugenio Ortiz de las Heras, para el que solicitó una pena de un año de prisión con la de dos años de inhabilitación especial para la profesión de doctor en obstetricia y ginecología más al pago de las costas y de una indemnización de treinta millones de pesetas al querellante Sr. Ferrer, con la responsabilidad civil subsidiaria de la entidad Médica Asisa. </w:t>
      </w:r>
    </w:p>
    <w:p w:rsidR="0025129F" w:rsidRDefault="0025129F" w:rsidP="0025129F">
      <w:pPr>
        <w:pStyle w:val="TextoNormal"/>
      </w:pPr>
      <w:r>
        <w:t xml:space="preserve">Tercero: La acusación particular, en el mismo trámite, calificó el hecho de autos como constitutivo de un delito de imprudencia grave del art. 152 (1ª 3ª), en relación con el art. 148 del vigente Código, de cuyo delito también consideró autor al mismo acusado don Eugenio Ortiz de las Heras, sin circunstancias modificativas, y para el que solicitó también, una pena de un año de prisión con la de dos años de inhabilitación especial como ginecólogo, más el pago de las costas incluidas las de la Acusación Particular y de una indemnización al citado Sr. Ferrer de treinta millones de pesetas, por las secuelas de su hijo y 294.480 pts. por gastos ya realizados. </w:t>
      </w:r>
    </w:p>
    <w:p w:rsidR="0025129F" w:rsidRDefault="0025129F" w:rsidP="0025129F">
      <w:pPr>
        <w:pStyle w:val="TextoNormal"/>
      </w:pPr>
      <w:r>
        <w:t xml:space="preserve">Cuarto: La defensa, en el mismo trámite solicitó la libre absolución de dicho acusado y la declaración de oficio de las costas. </w:t>
      </w:r>
    </w:p>
    <w:p w:rsidR="0025129F" w:rsidRDefault="0025129F" w:rsidP="0025129F">
      <w:pPr>
        <w:pStyle w:val="TextoNormal"/>
      </w:pPr>
      <w:r>
        <w:t xml:space="preserve">II. Hechos Probados </w:t>
      </w:r>
    </w:p>
    <w:p w:rsidR="0025129F" w:rsidRDefault="0025129F" w:rsidP="0025129F">
      <w:pPr>
        <w:pStyle w:val="TextoNormal"/>
      </w:pPr>
      <w:r>
        <w:t xml:space="preserve">Son –y así expresa y terminantemente se declaran- los siguientes: </w:t>
      </w:r>
    </w:p>
    <w:p w:rsidR="0025129F" w:rsidRDefault="0025129F" w:rsidP="0025129F">
      <w:pPr>
        <w:pStyle w:val="TextoNormal"/>
      </w:pPr>
      <w:r>
        <w:t xml:space="preserve">Primero: Sobre las 6 de la tarde del día 22 de septiembre de 1994, en la Clínica Vistahermosa de esta Capital y asistida por don Eugenio Ortiz de las Heras, médico ginecólogo, doña María de las Nieves Martínez Dorado, casada con don Luis Miguel Ferrer Ramírez, dio a luz a un niño que precisó de inmediata asistencia para su reanimación, con intubación, del médico anestesista, Dr. Brandolini –que se la prestó— y de la urgente y posterior atención que recibió –previo el correspondiente traslado en la ambulancia— en la sección de Neonatología del Hospital General de San Juan de Alicante, pese a todo lo que dicho niño viene padeciendo una encefalopatía crónica, con retraso en los patrones de maduración psicomotriz, secundaria a factores de hipoxia-isquémica cerebral en período prenatal. </w:t>
      </w:r>
    </w:p>
    <w:p w:rsidR="0025129F" w:rsidRDefault="0025129F" w:rsidP="0025129F">
      <w:pPr>
        <w:pStyle w:val="TextoNormal"/>
      </w:pPr>
      <w:r>
        <w:t xml:space="preserve">Segundo. Dicha señora Martínez, había ingresado, en la tarde del anterior día 20 en la referida clínica, por indicación del Dr. Ortiz, quién venía asistiéndola de su embarazo por quejarse aquélla de fuertes dolores lumbares que, en principio, dicho Dr. Diagnosticó como propios de un cólico nefrítico, por el que fue atendida y tratada en la meritada Clínica, donde quedó internada en la tarde de aquel mismo día 20, como una enferma más, pese a que su embarazo -que, en principio fue gemelar— alcanzaba ya las 38 semanas de gestación, aproximadamente. </w:t>
      </w:r>
    </w:p>
    <w:p w:rsidR="0025129F" w:rsidRDefault="0025129F" w:rsidP="0025129F">
      <w:pPr>
        <w:pStyle w:val="TextoNormal"/>
      </w:pPr>
      <w:r>
        <w:lastRenderedPageBreak/>
        <w:t xml:space="preserve">Tercero. Aunque, además de análisis de orina y de sangre, se le practicó una ecografía obstétrica (indicativa de una marcada disminución de liquido amniótico) y obra abdominal y de gestación (indicativa de ‘trabajo de parto’), el Dr. Ortiz -que la visitó varias veces, la última, sobre las tres de la tarde del siguiente día 22- insistió en su inicial diagnóstico y no le practicó reconocimiento ginecológico alguno, el que sí le realizó, a instancias de la Sra. Martínez una matrona de la Clínica sobre una hora después comprobando que aquélla se hallaba ya con una avanzada dilatación por la que, la envió, enseguida al paritorio de la clínica, donde se produjo -ya con asistencia del Dr. Ortiz— el expresado parto, en apenas media hora, aunque con ayuda de ventosa, sin ninguna complicación en el trance de expulsión y sin que se haya acreditado si el niño llegó a llorar o no, antes de ser sometida a su apuntada reanimación. </w:t>
      </w:r>
    </w:p>
    <w:p w:rsidR="0025129F" w:rsidRDefault="0025129F" w:rsidP="0025129F">
      <w:pPr>
        <w:pStyle w:val="TextoNormal"/>
      </w:pPr>
      <w:r>
        <w:t xml:space="preserve">Cuarto. El día 21 de septiembre de 1995, el citado Sr. Ferrer, presentó la querella inicial del presente Procedimiento Abreviado, imputando al Dr. Ortiz de un delito de imprudencia temeraria, con resultado de lesiones como presuntamente ocasionadas antes de nacer su hijo, con el retraso en atender a su esposa en la situación de parto en que ya se encontraba anteriormente y con el consiguiente padecimiento fetal, imputación reiterada después, en su escrito de acusación y en sus conclusiones definitivas de esta causa, y con la que se alineó, en los mismos trámites el Ministerio Fiscal. </w:t>
      </w:r>
    </w:p>
    <w:p w:rsidR="0025129F" w:rsidRDefault="0025129F" w:rsidP="0025129F">
      <w:pPr>
        <w:pStyle w:val="TextoNormal"/>
      </w:pPr>
      <w:r>
        <w:t xml:space="preserve">Fundamento de Derecho: </w:t>
      </w:r>
    </w:p>
    <w:p w:rsidR="0025129F" w:rsidRDefault="0025129F" w:rsidP="0025129F">
      <w:pPr>
        <w:pStyle w:val="TextoNormal"/>
      </w:pPr>
      <w:r>
        <w:t xml:space="preserve">Primero. Por las circunstancias que quedan reflejadas en los precedentes ‘hechos probados’ forzosamente tiene que descartarse, la existencia en este caso, del delito ‘de imprudencia temeraria, con resultado de lesiones’, objeto de acusación en esta causa penal a) Porque, siendo aplicable al mismo, el anterior Código Penal de 1973, (dada la fecha en que se produjo), en éste se definía dicho delito, sancionando a quién ‘por imprudencia temeraria ejecutase un hecho que, si mediare dolo constituiría delito’, b) porque, en el mismo Código, no se contemplaban las ‘lesiones al feto’', como delito doloso, y sí sólo las ‘lesiones a las personas’, es decir, a los ya nacidos, según resulta de la simple lectura de los anteriores artículos 418 y siguientes, todos integrados en el título VIII, Libro II, de dicho Código, que lleva la rúbrica de ‘delitos contra las personas’, y, c) porque, indudablemente, las lesiones que hoy sufre el niño de autos se produjeron -según las propias partes acusadoras de esta causa- cuando todavía el mismo no había nacido y sólo tenía, por tanto, la condición de ‘feto’. </w:t>
      </w:r>
    </w:p>
    <w:p w:rsidR="0025129F" w:rsidRDefault="0025129F" w:rsidP="0025129F">
      <w:pPr>
        <w:pStyle w:val="TextoNormal"/>
      </w:pPr>
      <w:r>
        <w:t xml:space="preserve">Segundo. Que ello era así, en la época de autos, lo está proclamando, ahora, casi unánimemente, toda la doctrina científica penal en sus comentarios sobre el nuevo Código Penal de 1995, al referirse a su título IV del Libro II, que lleva la rúbrica ‘De las lesiones al feto’, y a sus artículos 157 y 158, referentes a sus dos clases dolosas e imprudentes, respectivamente, con la general afirmación de que dicha normativa, ha venido a llenar la laguna legal que existía en nuestro derecho penal -largo tiempo ya denunciada y que el Tribunal Supremo pretendió salvar- con cierto desprecio al ‘principio de legalidad’ en su conocida sentencia de 5 de abril de 1995, por la que estimó que sucesos como el alegado en esta causa, por las partes acusadoras podrían tener cabida en el ámbito del delito de las lesiones a las personas del anterior Código Penal. </w:t>
      </w:r>
    </w:p>
    <w:p w:rsidR="0025129F" w:rsidRDefault="0025129F" w:rsidP="0025129F">
      <w:pPr>
        <w:pStyle w:val="TextoNormal"/>
      </w:pPr>
      <w:r>
        <w:t xml:space="preserve">Tercero. Se impone, por tanto y sin necesidad de otros razonamientos, acordar la libre absolución del acusado, Dr. Ortiz de las Heras, del delito de imprudencia, con lesiones, por que se ha seguido este proceso penal, sin perjuicio de que este mismo caso pueda someterse al conocimiento de la Jurisdicción civil, una vez firme esta resolución. </w:t>
      </w:r>
    </w:p>
    <w:p w:rsidR="0025129F" w:rsidRDefault="0025129F" w:rsidP="0025129F">
      <w:pPr>
        <w:pStyle w:val="TextoNormal"/>
      </w:pPr>
      <w:r>
        <w:t xml:space="preserve">Cuarto. Por imperativo legal de los arts. 109 y 123 anterior del actual Código Penal respectivamente han de ser declaradas de oficio las costas de este proceso. </w:t>
      </w:r>
    </w:p>
    <w:p w:rsidR="0025129F" w:rsidRDefault="0025129F" w:rsidP="0025129F">
      <w:pPr>
        <w:pStyle w:val="TextoNormal"/>
      </w:pPr>
      <w:r>
        <w:lastRenderedPageBreak/>
        <w:t xml:space="preserve">Vistos, además de los preceptos citados, los arts 141, 142, 239, 240, 741, y 742 de la Ley de Enjuiciamiento Criminal y demás de general aplicación. </w:t>
      </w:r>
    </w:p>
    <w:p w:rsidR="0025129F" w:rsidRDefault="0025129F" w:rsidP="0025129F">
      <w:pPr>
        <w:pStyle w:val="TextoNormal"/>
      </w:pPr>
      <w:r>
        <w:t xml:space="preserve">IV. Parte Dispositiva </w:t>
      </w:r>
    </w:p>
    <w:p w:rsidR="0025129F" w:rsidRDefault="0025129F" w:rsidP="0025129F">
      <w:pPr>
        <w:pStyle w:val="TextoNormal"/>
      </w:pPr>
      <w:r>
        <w:t xml:space="preserve">Fallamos. Que debemos absolver y absolvemos a D. Eugenio Ortiz de las Heras del delito de imprudencia por el que, en esta causa fue acusado; declarando de oficio todas las costas”. </w:t>
      </w:r>
    </w:p>
    <w:p w:rsidR="0025129F" w:rsidRDefault="0025129F" w:rsidP="0025129F">
      <w:pPr>
        <w:pStyle w:val="TextoNormal"/>
      </w:pPr>
      <w:r>
        <w:t xml:space="preserve">b) Notificada la Sentencia a las partes el Ministerio Público y la acusación particular interpusieron contra la misma recurso de casación por infracción de ley. Dicho recurso tramitó bajo el núm. 3823/97 de la Sala Segunda de lo Penal del Tribunal Supremo. El día 22 de enero de 1999, notificada esta parte el día 8 de febrero de 1999, la Sala Segunda dicta Sentencia 726/1998 por la que da lugar a los recursos interpuestos, condenando al demandante de amparo a la pena interesada. </w:t>
      </w:r>
    </w:p>
    <w:p w:rsidR="0025129F" w:rsidRDefault="0025129F" w:rsidP="0025129F">
      <w:pPr>
        <w:pStyle w:val="TextoNormal"/>
      </w:pPr>
      <w:r>
        <w:t xml:space="preserve">La Sentencia de casación mantiene en sus antecedentes de hecho los mismos hechos probados de la Sala de instancia, a los que se agregan los siguientes, así como los fundamentos de derecho y fallo. </w:t>
      </w:r>
    </w:p>
    <w:p w:rsidR="0025129F" w:rsidRDefault="0025129F" w:rsidP="0025129F">
      <w:pPr>
        <w:pStyle w:val="TextoNormal"/>
      </w:pPr>
      <w:r>
        <w:t xml:space="preserve">“3. Notificada la Sentencia a las partes, se prepararon Recursos de Casación por Infracción de Ley, que se tuvieron por anunciados, remitiéndose a esta Sala Segunda del Tribunal Supremo, las certificaciones necesarias para su substanciación y resolución formándose el correspondiente rollo y formalizándose los recursos. </w:t>
      </w:r>
    </w:p>
    <w:p w:rsidR="0025129F" w:rsidRDefault="0025129F" w:rsidP="0025129F">
      <w:pPr>
        <w:pStyle w:val="TextoNormal"/>
      </w:pPr>
      <w:r>
        <w:t xml:space="preserve">4. El recurso interpuesto por el Ministerio Fiscal, se basó en el siguiente motivo de casación. único. en el único motivo del recurso formalizado al amparo del nº 1 del art. 849 de la ley de enjuiciamiento criminal, se invoca infracción por falta de aplicación del art. 152. 1º 2º y 3º, en relación con el art. 149 del código penal de 1995. </w:t>
      </w:r>
    </w:p>
    <w:p w:rsidR="0025129F" w:rsidRDefault="0025129F" w:rsidP="0025129F">
      <w:pPr>
        <w:pStyle w:val="TextoNormal"/>
      </w:pPr>
      <w:r>
        <w:t xml:space="preserve">El recurso interpuesto por la acusación particular, en nombre de luis miguel ferrer ramírez, se basó en el siguiente motivo de casación: Único.- El único motivo del Recurso formalizado al amparo del núm. lº del Art. 849 de la Ley de Enjuiciamiento Criminal, se invoca, infracción por falta de aplicación del art. 565. párrafo 5º del Código Penal de 1973, en relación con el artículo 152.1º 2º y 3º y artículo 149 del Código Penal de 1995. </w:t>
      </w:r>
    </w:p>
    <w:p w:rsidR="0025129F" w:rsidRDefault="0025129F" w:rsidP="0025129F">
      <w:pPr>
        <w:pStyle w:val="TextoNormal"/>
      </w:pPr>
      <w:r>
        <w:t xml:space="preserve">5. Instruidas las partes recurridas de los Recursos interpuestos, la Sala admitió los mismos, quedando conclusos los autos para señalamiento del fallo cuando por turno correspondiera. </w:t>
      </w:r>
    </w:p>
    <w:p w:rsidR="0025129F" w:rsidRDefault="0025129F" w:rsidP="0025129F">
      <w:pPr>
        <w:pStyle w:val="TextoNormal"/>
      </w:pPr>
      <w:r>
        <w:t xml:space="preserve">6. Hecho el señalamiento para el fallo, se celebró la votación prevenida el día 12 de mayo de 1998, habiéndose dictado Autos que prorrogan el término para dictar sentencia. </w:t>
      </w:r>
    </w:p>
    <w:p w:rsidR="0025129F" w:rsidRDefault="0025129F" w:rsidP="0025129F">
      <w:pPr>
        <w:pStyle w:val="TextoNormal"/>
      </w:pPr>
      <w:r>
        <w:t xml:space="preserve">II. Fundamentos de derecho </w:t>
      </w:r>
    </w:p>
    <w:p w:rsidR="0025129F" w:rsidRDefault="0025129F" w:rsidP="0025129F">
      <w:pPr>
        <w:pStyle w:val="TextoNormal"/>
      </w:pPr>
      <w:r>
        <w:t xml:space="preserve">Recurso interpuesto por el Ministerio Fiscal </w:t>
      </w:r>
    </w:p>
    <w:p w:rsidR="0025129F" w:rsidRDefault="0025129F" w:rsidP="0025129F">
      <w:pPr>
        <w:pStyle w:val="TextoNormal"/>
      </w:pPr>
      <w:r>
        <w:t xml:space="preserve">Primero: En el único motivo del recurso, formalizado el amparo del número 1 del art. 849 de la Ley de Enjuiciamiento Criminal, se invoca infracción, por falta de aplicación del art. 152.1 2 y 3, en relación con el art. 149 del Código Penal de 1995. </w:t>
      </w:r>
    </w:p>
    <w:p w:rsidR="0025129F" w:rsidRDefault="0025129F" w:rsidP="0025129F">
      <w:pPr>
        <w:pStyle w:val="TextoNormal"/>
      </w:pPr>
      <w:r>
        <w:t xml:space="preserve">El Ministerio Fiscal razona que el Tribunal de instancia ha dictado Sentencia absolutoria exclusivamente en base a la inexistente tipificación penal de las lesiones por imprudencia causadas a un ser humano antes de su nacimiento en el texto del Código Penal de 1973 y de ello discrepa apoyándose en la Sentencia de esta Sala de 5 de abril de 1995 en la que se expresa que ‘el otro’, mientras no alcance la categoría de persona ( el caso del feto o embrión humano) es más objeto que sujeto pasivo del delito; pero puede afirmarse que, en estos supuestos de vida dependiente, las lesiones causadas durante el curso de la gestación deben tener relevancia penal porque la acción -en sentido lato- se intenta y realiza sobre una persona, la madre, y el resultado, -demostrada la relación causal- trasciende al feto por </w:t>
      </w:r>
      <w:r>
        <w:lastRenderedPageBreak/>
        <w:t xml:space="preserve">ser parte integrante de la misma, aunque las taras somáticas o psíquicas no adquieran notoriedad o evidencia hasta después del nacimiento...” </w:t>
      </w:r>
    </w:p>
    <w:p w:rsidR="0025129F" w:rsidRDefault="0025129F" w:rsidP="0025129F">
      <w:pPr>
        <w:pStyle w:val="TextoNormal"/>
      </w:pPr>
      <w:r>
        <w:t xml:space="preserve">Concluye el Ministerio Fiscal su bien construido razonamiento considerando que la actuación del médico inculpado ha de calificarse de imprudencia temeraria ya que se comprueba la existencia de graves omisiones en la asistencia a la embarazada, con incumplimiento de deberes objetivo de cuidado, estando presente el nexo causal entre su conducta y el resultado de lesiones producido. </w:t>
      </w:r>
    </w:p>
    <w:p w:rsidR="0025129F" w:rsidRDefault="0025129F" w:rsidP="0025129F">
      <w:pPr>
        <w:pStyle w:val="TextoNormal"/>
      </w:pPr>
      <w:r>
        <w:t xml:space="preserve">El motivo debe ser estimado. </w:t>
      </w:r>
    </w:p>
    <w:p w:rsidR="0025129F" w:rsidRDefault="0025129F" w:rsidP="0025129F">
      <w:pPr>
        <w:pStyle w:val="TextoNormal"/>
      </w:pPr>
      <w:r>
        <w:t xml:space="preserve">Es cierto que el Tribunal sentenciador construye un relato fáctico del que se infiere que el acusado es médico-ginecólogo que se encarga de la asistencia al embarazo y parto de Dª María de las Nieves Martínez Dorado, y pese a que el embarazo, que en principio fue gemelar llevaba aproximadamente 38 semanas de gestación, ante los fuertes dolores abdominales que padece la embarazada diagnostica sin consultar con ningún urólogo u otro facultativo que esos dolores son consecuentes a un cólico nefrítico. </w:t>
      </w:r>
    </w:p>
    <w:p w:rsidR="0025129F" w:rsidRDefault="0025129F" w:rsidP="0025129F">
      <w:pPr>
        <w:pStyle w:val="TextoNormal"/>
      </w:pPr>
      <w:r>
        <w:t xml:space="preserve">Indica su ingreso en una clínica, donde queda internada como una enferma más y no obstante evidenciarse, por la analítica (sangre y orina) y ecografía obstétrica practicada una marcada disminución del líquido amniótico y obra abdominal y de gestación (indicativa de trabajo de parto), insiste en su inicial diagnóstico y no le practicó reconocimiento ginecológico alguno. Una hora después, sí lo hizo una matrona de la clínica, a instancia de la propia embarazada, comprobando que ésta se hallaba con una avanzada dilatación, por lo que la envió, enseguida, al paritorio, donde se produjo el parto, ya con la asistencia del acusado. El niño nació padeciendo una encefalopatía crónica con retraso en los patrones en la maduración psicomotriz, secundaria a factores de hipoxia-isquémica cerebral. </w:t>
      </w:r>
    </w:p>
    <w:p w:rsidR="0025129F" w:rsidRDefault="0025129F" w:rsidP="0025129F">
      <w:pPr>
        <w:pStyle w:val="TextoNormal"/>
      </w:pPr>
      <w:r>
        <w:t xml:space="preserve">Esta Sala, en un supuesto similar al que ahora nos ocupamos, y en la Sentencia que hace referencia el Ministerio Fiscal, de 5 de abril de 1995, se decantó en favor de la tipicidad de la conducta como delito de lesiones por imprudencia, afirmando que no se vulnera el principio de legalidad, esgrimiendo, entre otros los siguientes argumentos: en armonía con los avances científicos que el concebido tiene un patrimonio genético totalmente diferenciado y propio sistema inmunológico, que puede ser sujeto paciente dentro del útero -conforme a las técnicas más recientes- de tratamiento médico o quirúrgico para enfermedades y deficiencias orgánicas, y que la dependencia de la madre, abstracción del tiempo biológico de la gestación no es un término absoluto por cuanto se prolonga después del nacimiento, negar al embrión o al feto condición humana independiente y alteridad manteniendo la idea preterida de la mulieris portio es desconocer las realidades indicadas. La regulación penal anunciada primero en el proyecto de 1992, y actualmente en el de 1994 en proceso de elaboración legislativa otorga a estos hechos una tipificación clara y realista que es eco de las razones últimamente expuestas, pero no implica que llene un vacío normativo porque desde la perspectiva actual es posible dotarles de una construcción jurídico -penal, tal como ha venido haciendo implícitamente la jurisprudencia de esta Sala. En SS de 29 de mayo de 1965, de 5 mayo de 1988, y 1 de abril 1992, referidas a las matronas, y otras a ginecólogos como las de 29 de marzo de 1988, y 4 de octubre de 1990. En conclusión, afirmando como realidad penal el delito de lesiones al feto a través de la violencia ejercida sobre la madre embarazada, o atribuyéndole, con un sentido progresivo que se emancipa de las ficciones civiles, condición humana diferenciada de su progenitora y penalmente protegible, la posibilidad del delito doloso y consecuentemente, del delito imprudente no es cuestionable en nombre del principio de legalidad. </w:t>
      </w:r>
    </w:p>
    <w:p w:rsidR="0025129F" w:rsidRDefault="0025129F" w:rsidP="0025129F">
      <w:pPr>
        <w:pStyle w:val="TextoNormal"/>
      </w:pPr>
      <w:r>
        <w:t xml:space="preserve">La tipicidad de conductas como la que nos ocupa en el presente recurso ha sido sostenida por lo expuesto, en la doctrina de la Sala. </w:t>
      </w:r>
    </w:p>
    <w:p w:rsidR="0025129F" w:rsidRDefault="0025129F" w:rsidP="0025129F">
      <w:pPr>
        <w:pStyle w:val="TextoNormal"/>
      </w:pPr>
      <w:r>
        <w:lastRenderedPageBreak/>
        <w:t xml:space="preserve">El Tribunal Constitucional, en su Sentencia 53/1985, ha declarado que la vida humana es un devenir un proceso que comienza con la gestación en el curso de la cual, una realidad biológica va tomando cuerpo y que la gestación ha generado un ‘tertium’ existencialmente distinto de la madre aunque alojado en el seno de ésta. </w:t>
      </w:r>
    </w:p>
    <w:p w:rsidR="0025129F" w:rsidRDefault="0025129F" w:rsidP="0025129F">
      <w:pPr>
        <w:pStyle w:val="TextoNormal"/>
      </w:pPr>
      <w:r>
        <w:t xml:space="preserve">El caso que examinamos en el presente recurso de casación no se refiere a una vida humana en formación muy al contrario, las graves lesiones que se exteriorizaron cuando concluyó el parto se causaron al demorarse un nacimiento ya iniciado en una gestación culminada, impidiéndose que la criatura saliera cuando debía del seno materno. </w:t>
      </w:r>
    </w:p>
    <w:p w:rsidR="0025129F" w:rsidRDefault="0025129F" w:rsidP="0025129F">
      <w:pPr>
        <w:pStyle w:val="TextoNormal"/>
      </w:pPr>
      <w:r>
        <w:t xml:space="preserve">El comienzo del parto pone fin al estadio fetal y ese comienzo surge con el llamado período de dilatación y continúa con el período de expulsión, en ambos tiempos el nacimiento ya ha comenzado. Las contracciones de la dilatación tienden a ampliar la boca del útero hasta su total extensión y al mismo tiempo empujan al niño hacia fuera, hay ya un intento de expulsión del cuerpo materno que enlaza con las contracciones y dolores propios de la expulsión que coincide con la fase terminal del nacimiento o parto. </w:t>
      </w:r>
    </w:p>
    <w:p w:rsidR="0025129F" w:rsidRDefault="0025129F" w:rsidP="0025129F">
      <w:pPr>
        <w:pStyle w:val="TextoNormal"/>
      </w:pPr>
      <w:r>
        <w:t xml:space="preserve">Decíamos que el comienzo del nacimiento pone fin al estado fetal, y por consiguiente, se transforma en persona lo que antes era feto. No existe en Derecho Penal un precepto que señale, como sucede en el Código Civil, la delimitación, a los efectos pertinentes de la consideración jurídica de persona. Lo que no cabe duda es que la conceptuación de persona a partir del momento en que se inicia el nacimiento se sitúa en la línea de la mayor efectividad de los derechos a la vida, a la integridad física y a la salud que proclaman los artículos 15 y 43 de nuestra Constitución. </w:t>
      </w:r>
    </w:p>
    <w:p w:rsidR="0025129F" w:rsidRDefault="0025129F" w:rsidP="0025129F">
      <w:pPr>
        <w:pStyle w:val="TextoNormal"/>
      </w:pPr>
      <w:r>
        <w:t xml:space="preserve">El ser humano, cuyo nacimiento se ha iniciado, constituye el bien jurídico protegido y al mismo tiempo el objeto que sufre la acción u omisión que como delitos de homicidio o lesiones se tipifican en el Código Penal. No son, pues, los delitos de abortos ni de lesiones al feto los que procede examinar. No es la salud integridad o vida del feto lo que se pone en peligro sino la salud e integridad física de una ‘persona’, el otro, al que se refieren el art. 420 del Código Penal derogado y el art. 147 del vigente Código Penal. </w:t>
      </w:r>
    </w:p>
    <w:p w:rsidR="0025129F" w:rsidRDefault="0025129F" w:rsidP="0025129F">
      <w:pPr>
        <w:pStyle w:val="TextoNormal"/>
      </w:pPr>
      <w:r>
        <w:t xml:space="preserve">Esta Sala, en Sentencia 746/96, de 23 de octubre, ya había señalado las diferencias existentes entre las concepciones biológicas y jurídicas que marcan la noción de vida en el siglo XIX de las que prevalecen actualmente, pues biológicamente es claro, en la actualidad, que la vida existe desde el momento de la concepción y como vida humana en germen es protegida hasta el comienzo del nacimiento. Por consiguiente, y así se infiere de dicha Sentencia, a partir del comienzo del nacimiento deja de ser feto y se inicia su protección como persona. </w:t>
      </w:r>
    </w:p>
    <w:p w:rsidR="0025129F" w:rsidRDefault="0025129F" w:rsidP="0025129F">
      <w:pPr>
        <w:pStyle w:val="TextoNormal"/>
      </w:pPr>
      <w:r>
        <w:t xml:space="preserve">Debe, igualmente, tenerse en cuenta que la agresión propia de un delito contra las personas, no requiere que la acción u omisión lesiva se produzca mediante actuación directa sobre la víctima. Es perfectamente posible que la acción u omisión que crea la situación de riesgo o peligro para el bien jurídico protegido se produzca a través de otra persona u objeto, otra cosa no puede entenderse cuando el art. 147 del vigente Código Penal y el art. 420 del texto derogado con notoria amplitud se refieren a causar lesión por cualquier medio o procedimiento. Así tiene declarado esta Sala como es exponente la sentencia de 9 de Junio de 1998, que la reforma de los delitos de lesiones operadas por la L. 08/83 significó un cambio trascendental en la estructuración de los tipos penales que protegen la integridad corporal y la salud, Mediante la nueva redacción se pasó de un sistema caracterizado primordialmente por describir determinadas formas de acción que implicaban explícitamente una actuación sobre el cuerpo de la víctima (herir, golpear, maltratar de obra), a otro sistema en el que la forma de la acción carece de una caracterización especial. De esta </w:t>
      </w:r>
      <w:r>
        <w:lastRenderedPageBreak/>
        <w:t xml:space="preserve">manera lo decisivo ya no es la forma de acción, sino su causalidad respecto al resultado de menoscabo de la integridad corporal o de la salud física o mental. </w:t>
      </w:r>
    </w:p>
    <w:p w:rsidR="0025129F" w:rsidRDefault="0025129F" w:rsidP="0025129F">
      <w:pPr>
        <w:pStyle w:val="TextoNormal"/>
      </w:pPr>
      <w:r>
        <w:t xml:space="preserve">Queda, pues afirmada la legalidad de la aplicación del delito de lesiones al caso que nos ocupa, en cuanto resulta perfectamente acreditado por el relato fáctico de la sentencia de instancia, que el objeto de la acción, omisión, y el bien jurídico protegido coinciden en una criatura ya formada y en un tiempo en el que ya se han producido en el organismo de la madre las contracciones de dilatación del útero, tendentes a la expulsión, que el acusado confunde con dolores lumbares consecuentes a un cólico nefrítico. El nacimiento ya se había iniciado y la víctima, por consiguiente, era una persona. </w:t>
      </w:r>
    </w:p>
    <w:p w:rsidR="0025129F" w:rsidRDefault="0025129F" w:rsidP="0025129F">
      <w:pPr>
        <w:pStyle w:val="TextoNormal"/>
      </w:pPr>
      <w:r>
        <w:t xml:space="preserve">Segundo: Afirmada la legalidad de una posible calificación como delito de lesiones, pasamos a examinar si los hechos son constitutivos de imprudencia temeraria como solicita el Ministerio Fiscal en su recurso. </w:t>
      </w:r>
    </w:p>
    <w:p w:rsidR="0025129F" w:rsidRDefault="0025129F" w:rsidP="0025129F">
      <w:pPr>
        <w:pStyle w:val="TextoNormal"/>
      </w:pPr>
      <w:r>
        <w:t xml:space="preserve">Un repaso a los momentos más importantes del suceso permiten fundamentar, sin duda, una imprudencia temeraria con resultado de lesiones, que se tipifica como delito de lesiones como imprudencia grave en el Código Penal de 1995. </w:t>
      </w:r>
    </w:p>
    <w:p w:rsidR="0025129F" w:rsidRDefault="0025129F" w:rsidP="0025129F">
      <w:pPr>
        <w:pStyle w:val="TextoNormal"/>
      </w:pPr>
      <w:r>
        <w:t xml:space="preserve">Así, reiterado lo antes expresado, el acusado es médico-ginecólogo que se encarga de la asistencia del embarazo y parto de Dª María de las Nieves Martínez Dorado. Pese a que el embarazo, en principio fue gemelar, llevaba aproximadamente treinta y ocho semanas de gestación, ante los fuertes dolores abdominales que padece la embarazada, diagnostica, sin consultar con ningún urólogo u otro facultativo, que esos dolores son consecuentes a un cólico nefrítico. Indica su ingreso en una clínica donde queda internada como una enferma más, y no obstante evidenciarse, por la analítica (sangre y orina) y ecografía obstétrica practicada, una marcada disminución del liquido amniótico y obra abdominal y de gestación (indicativa de trabajo de parto), insiste en su inicial diagnóstico y no le practicó reconocimiento ginecológico alguno. Una hora después, sí lo hizo una matrona de la clínica a instancia de la propia embarazada comprobando que ésta se hallaba con una avanzada dilatación, por lo que la envió, enseguida, al paritorio, donde se produjo el parto, ya con la asistencia del acusado. El niño nació padeciendo una encefalopatía crónica, con retraso en los patrones de maduración psicomotriz, secundaria a factores de hipoxia-isquémica cerebral. </w:t>
      </w:r>
    </w:p>
    <w:p w:rsidR="0025129F" w:rsidRDefault="0025129F" w:rsidP="0025129F">
      <w:pPr>
        <w:pStyle w:val="TextoNormal"/>
      </w:pPr>
      <w:r>
        <w:t xml:space="preserve">El comportamiento humano, criminalmente relevante, puede prestar dos aspectos diferentes un hacer algo, conducta activa, denominada ‘acción’, que también podemos llamar comisión y un no hacer lo debido, en principio considerado como conducta pasiva, denominada ‘omisión’. </w:t>
      </w:r>
    </w:p>
    <w:p w:rsidR="0025129F" w:rsidRDefault="0025129F" w:rsidP="0025129F">
      <w:pPr>
        <w:pStyle w:val="TextoNormal"/>
      </w:pPr>
      <w:r>
        <w:t xml:space="preserve">Los delitos de omisión ofrecen dos modalidades. Los delitos propios o puros de omisión y los delitos impropios de omisión o de comisión por omisión. </w:t>
      </w:r>
    </w:p>
    <w:p w:rsidR="0025129F" w:rsidRDefault="0025129F" w:rsidP="0025129F">
      <w:pPr>
        <w:pStyle w:val="TextoNormal"/>
      </w:pPr>
      <w:r>
        <w:t xml:space="preserve">La estructura del tipo objetivo del delito de comisión por omisión se integra por tres elementos que comparte con la omisión pura o propia como son: a) una situación típica, b) ausencia de la acción determinada que le era exigida, y c) capacidad de realizaría, así como otros tres que le son propios y necesarios para que pueda afirmarse la imputación objetiva; la posición de garante, la producción del resultado y la posibilidad de evitarlo. </w:t>
      </w:r>
    </w:p>
    <w:p w:rsidR="0025129F" w:rsidRDefault="0025129F" w:rsidP="0025129F">
      <w:pPr>
        <w:pStyle w:val="TextoNormal"/>
      </w:pPr>
      <w:r>
        <w:t xml:space="preserve">La posición de garante del recurrente en los hechos enjuiciados aparece incuestionable en cuanto estaba encargado y asumió la asistencia en el embarazo y en el parto de Dª María de las Nieves Martínez Dorado. </w:t>
      </w:r>
    </w:p>
    <w:p w:rsidR="0025129F" w:rsidRDefault="0025129F" w:rsidP="0025129F">
      <w:pPr>
        <w:pStyle w:val="TextoNormal"/>
      </w:pPr>
      <w:r>
        <w:t xml:space="preserve">Tampoco ofrece cuestión que el acusado omitió varias acciones que le eran debidas, así, en primar lugar, prescindió de consultar un urólogo u otro especialista respecto a las molestias de que se quejaba la embarazada y ello lo llevó, por dos veces, a hacer un diagnostico equivocado, atribuyendo a un inexistente cólico nefrítico, ‘lo que eran dolores </w:t>
      </w:r>
      <w:r>
        <w:lastRenderedPageBreak/>
        <w:t xml:space="preserve">lumbares propios de trabajo de parto’. Igualmente omitió el deber que le era inexcusable de reconocer ginecológicamente a la embarazada, especialmente ante los resultados que presentaban los análisis y la ecografía practicada, y en definitiva, omitió atender un parto en el momento en el que todos los síntomas le hacían necesarios. </w:t>
      </w:r>
    </w:p>
    <w:p w:rsidR="0025129F" w:rsidRDefault="0025129F" w:rsidP="0025129F">
      <w:pPr>
        <w:pStyle w:val="TextoNormal"/>
      </w:pPr>
      <w:r>
        <w:t xml:space="preserve">No había nada que restringiera o limitara su capacidad para realizar la acción que omitió y que le era exigible. </w:t>
      </w:r>
    </w:p>
    <w:p w:rsidR="0025129F" w:rsidRDefault="0025129F" w:rsidP="0025129F">
      <w:pPr>
        <w:pStyle w:val="TextoNormal"/>
      </w:pPr>
      <w:r>
        <w:t xml:space="preserve">El resultado producido en el niño, consistente en el padecimiento de una encefalopatía crónica con retraso en los patrones de maduración psicomotriz, es concreción de la situación de peligro para la producción de ese resultado que supuso la omisión, por parte del recurrente de los deberes de cuidado que le incumbían respecto a la asistencia ginecológica a la embarazada. Puede afirmarse, pues, la imputación objetiva de ese resultado. Y así viene descrito en el relato histórico de la Sentencia de instancia. Resultado que no se hubiese producido si el acusado se hubiese ajustado al deber de cuidado que le era exigible y hubiese realizado las consultas pertinentes, el inexcusable reconocimiento ginecológico y, en definitiva, atendido el parto en el momento oportuno. </w:t>
      </w:r>
    </w:p>
    <w:p w:rsidR="0025129F" w:rsidRDefault="0025129F" w:rsidP="0025129F">
      <w:pPr>
        <w:pStyle w:val="TextoNormal"/>
      </w:pPr>
      <w:r>
        <w:t xml:space="preserve">Respecto al tipo subjetivo de un delito de omisión imprudente, este viene constituido por el desconocimiento negligente de las circunstancias que fundamentaban su deber de actuar, desconocimiento que hubiese evitado el acusado si hubiera actuado diligentemente y conforme al deber de cuidado que le incumbía. En consecuencia, habrá que apreciar imprudencia respecto de la omisión cuando el omitente por negligencia, es decir, por no emplear el cuidado debido no pudo tener conocimiento de la situación de hecho que generaba su deber de actuar. Y todo esto se puede afirmar en este caso, en el que la negligencia no se asienta en el error de diagnóstico, aunque en este caso sea bien patente, sino en las omisiones antes mencionadas que lo permitieron y determinaron la desatención del parto cuando era exigida. </w:t>
      </w:r>
    </w:p>
    <w:p w:rsidR="0025129F" w:rsidRDefault="0025129F" w:rsidP="0025129F">
      <w:pPr>
        <w:pStyle w:val="TextoNormal"/>
      </w:pPr>
      <w:r>
        <w:t xml:space="preserve">El carácter grave o temerario de la imprudencia fluye sin dificultad del relato fáctico de la sentencia de Instancia ya que las omisiones denunciadas implican un olvido total y absoluto de los más elementales deberes de previsión y cuidado. </w:t>
      </w:r>
    </w:p>
    <w:p w:rsidR="0025129F" w:rsidRDefault="0025129F" w:rsidP="0025129F">
      <w:pPr>
        <w:pStyle w:val="TextoNormal"/>
      </w:pPr>
      <w:r>
        <w:t xml:space="preserve">Tercero: La ilicitud omisiva imprudente equivale y se corresponde con la causación de un delito formulado en el Código Penal, en este caso un delito de lesiones por imprudencia grave previsto en el artículo 152 del C. Penal de 1995, en relación con el artículo 149 del mismo texto legal, ya que las secuelas producidas se subsumen en una grave enfermedad somática prevista en este último precepto. </w:t>
      </w:r>
    </w:p>
    <w:p w:rsidR="0025129F" w:rsidRDefault="0025129F" w:rsidP="0025129F">
      <w:pPr>
        <w:pStyle w:val="TextoNormal"/>
      </w:pPr>
      <w:r>
        <w:t xml:space="preserve">El número 3º del artículo 152 dispone que cuando las lesiones fueran cometidas por imprudencia profesional se impondrá asimismo la pena de inhabilitación especial para el ejercicio de la profesión, oficio o cargo, por un período de uno a cuatro años. Tanto el Ministerio Fiscal como la Acusación Particular han interesado su aplicación. Mayor agravación supone la imprudencia profesional en el texto de 1973, en el que se configura como una agravación de la temeraria que determina la imposición de las penas del artículo 565 en su grado máximo. </w:t>
      </w:r>
    </w:p>
    <w:p w:rsidR="0025129F" w:rsidRDefault="0025129F" w:rsidP="0025129F">
      <w:pPr>
        <w:pStyle w:val="TextoNormal"/>
      </w:pPr>
      <w:r>
        <w:t xml:space="preserve">Reiterada Jurisprudencia de esta Sala distingue entre la culpa del profesional, imprudencia o negligencia comunes, cometidas por aquel, en el ejercicio de su arte o oficio, y la culpa profesional propia que aparece, en el artículo 565, párrafo segundo del código de 1973, y apartado 3º del artículo 152 de 1995, como una especie de subtipo agravado, y viene a englobar de un lado la impericia profesional en la que la agente activo pese a ostentar un título que le reconoce su capacidad científica o técnica para el ejercicio de la actividad que desarrolla, contradice con su actuación aquella presunta competencia, ya porque en su origen no adquiriere los conocimientos precisos, ya por una inactualización </w:t>
      </w:r>
      <w:r>
        <w:lastRenderedPageBreak/>
        <w:t xml:space="preserve">indebida ya por una dejación inexcusable de los presupuestos de la ‘lex artis’ de su profesión, le conduzca a una situación de inaptitud manifiesta, o con especial transgresión de deberes técnicos que sólo al profesional compete y que convierten la acción u omisión del profesional en extremadamente peligrosa e incompatible con el ejercicio de aquella profesión. Esta ‘imprudencia profesional’, caracterizada, pues, por la transgresión de deberes de la técnica médica, por evidente inepcia, constituye un subtipo agravado caracterizado por un “plus” de culpa y no una cualificación por la condicional profesional del sujeto (Cfr. Sentencia de esta Sala 29-3-88, 27-5-88, 5-7-89, 1-12-89, 8-6-94, 8-5-97 y 16-12- 97). </w:t>
      </w:r>
    </w:p>
    <w:p w:rsidR="0025129F" w:rsidRDefault="0025129F" w:rsidP="0025129F">
      <w:pPr>
        <w:pStyle w:val="TextoNormal"/>
      </w:pPr>
      <w:r>
        <w:t xml:space="preserve">En el supuesto que examinamos es perfectamente aplicable la doctrina jurisprudencial que se deja expresada para apreciar la concurrencia de la imprudencia Profesional. El recurrente no sólo ha omitido los deberes más elementales que le eran exigibles para evitar el resultado producido, sino que además entraña una mayor reprochabilidad al actuar con máxima delación y olvido de los deberes técnicos -lex artis- que como profesional de la medicina le competían, siendo especialmente reseñable que hubiese prescindido del reconocimiento ginecológico que resultaba inexcusable. Incurre, sin duda, en la agravación específica de haber cometido las lesiones por imprudencia profesional. </w:t>
      </w:r>
    </w:p>
    <w:p w:rsidR="0025129F" w:rsidRDefault="0025129F" w:rsidP="0025129F">
      <w:pPr>
        <w:pStyle w:val="TextoNormal"/>
      </w:pPr>
      <w:r>
        <w:t xml:space="preserve">Recurso interpuesto por la acusacion particular en nombre de Luis Miguel Ferrer Ramirez. </w:t>
      </w:r>
    </w:p>
    <w:p w:rsidR="0025129F" w:rsidRDefault="0025129F" w:rsidP="0025129F">
      <w:pPr>
        <w:pStyle w:val="TextoNormal"/>
      </w:pPr>
      <w:r>
        <w:t xml:space="preserve">Único. En el único motivo del recurso, formalizado al amparo del número 1º del artículo 849 de la Ley de Enjuiciamiento Criminal, se invoca infracción, por falta de aplicación del artículo 565 párrafo quinto del Código Penal de 1973, en relación con el artículo 152.1, 2 y 3 y artículo 149 del Código Penal de 1995. </w:t>
      </w:r>
    </w:p>
    <w:p w:rsidR="0025129F" w:rsidRDefault="0025129F" w:rsidP="0025129F">
      <w:pPr>
        <w:pStyle w:val="TextoNormal"/>
      </w:pPr>
      <w:r>
        <w:t xml:space="preserve">La coincidencia de este recurso con el formalizado por el Ministerio Fiscal permite dar por reproducidos los razonamientos jurídicos expresados para estimar aquel recurso; este debe correr la misma suerte. </w:t>
      </w:r>
    </w:p>
    <w:p w:rsidR="0025129F" w:rsidRDefault="0025129F" w:rsidP="0025129F">
      <w:pPr>
        <w:pStyle w:val="TextoNormal"/>
      </w:pPr>
      <w:r>
        <w:t xml:space="preserve">III. Parte Dispositiva: </w:t>
      </w:r>
    </w:p>
    <w:p w:rsidR="0025129F" w:rsidRDefault="0025129F" w:rsidP="0025129F">
      <w:pPr>
        <w:pStyle w:val="TextoNormal"/>
      </w:pPr>
      <w:r>
        <w:t xml:space="preserve">Fallamos.- que debemos declarar y declarar haber lugar a los recursos de casacion por infracción de ley interpuestos por el Ministerio Fiscal y la Acusación Particular en nombre de Luis Miguel Ferrer Ramirez, contra sentencia de la Audiencia Provincial de Alicante, de fecha 23 de octubre de 1997, en causa seguida por delito de lesiones, que casamos y anulamos, declarando de oficio las costas causadas. Y remítase certificación de esta sentencia y de la que a continuación se dicta a la mencionada Audiencia a los efectos procesales oportunos. </w:t>
      </w:r>
    </w:p>
    <w:p w:rsidR="0025129F" w:rsidRDefault="0025129F" w:rsidP="0025129F">
      <w:pPr>
        <w:pStyle w:val="TextoNormal"/>
      </w:pPr>
      <w:r>
        <w:t xml:space="preserve">Segunda Sentencia 726/98 </w:t>
      </w:r>
    </w:p>
    <w:p w:rsidR="0025129F" w:rsidRDefault="0025129F" w:rsidP="0025129F">
      <w:pPr>
        <w:pStyle w:val="TextoNormal"/>
      </w:pPr>
      <w:r>
        <w:t xml:space="preserve">I. Antecedentes de Hecho </w:t>
      </w:r>
    </w:p>
    <w:p w:rsidR="0025129F" w:rsidRDefault="0025129F" w:rsidP="0025129F">
      <w:pPr>
        <w:pStyle w:val="TextoNormal"/>
      </w:pPr>
      <w:r>
        <w:t xml:space="preserve">Único: Se aceptan y reproducen los antecedentes de hecho de la sentencia dictada por la Audiencia Provincial de Alicante. </w:t>
      </w:r>
    </w:p>
    <w:p w:rsidR="0025129F" w:rsidRDefault="0025129F" w:rsidP="0025129F">
      <w:pPr>
        <w:pStyle w:val="TextoNormal"/>
      </w:pPr>
      <w:r>
        <w:t xml:space="preserve">II. Fundamentos de Derecho </w:t>
      </w:r>
    </w:p>
    <w:p w:rsidR="0025129F" w:rsidRDefault="0025129F" w:rsidP="0025129F">
      <w:pPr>
        <w:pStyle w:val="TextoNormal"/>
      </w:pPr>
      <w:r>
        <w:t xml:space="preserve">Primero. Se sustituyen los fundamentos jurídicos de la sentencia recurrida por los propios de la sentencia de casación. </w:t>
      </w:r>
    </w:p>
    <w:p w:rsidR="0025129F" w:rsidRDefault="0025129F" w:rsidP="0025129F">
      <w:pPr>
        <w:pStyle w:val="TextoNormal"/>
      </w:pPr>
      <w:r>
        <w:t xml:space="preserve">Segundo. Conforme se expresa en los fundamentos jurídicos de la Sentencia de casación, los hechos que se declaran probados son legalmente constitutivos de un delito de lesiones por imprudencia grave cometido por imprudencia profesional, previsto y penado en el artículo 152, apartados 1 y 3, del Código Penal de 1995, en relación con el artículo 149 del mismo texto legal. </w:t>
      </w:r>
    </w:p>
    <w:p w:rsidR="0025129F" w:rsidRDefault="0025129F" w:rsidP="0025129F">
      <w:pPr>
        <w:pStyle w:val="TextoNormal"/>
      </w:pPr>
      <w:r>
        <w:t xml:space="preserve">Tercero. Que conforme se expresa en la Sentencia de casación, del expresado delito es criminalmente responsable en concepto de autor el acusado Eugenio Ortiz de las Heras. </w:t>
      </w:r>
    </w:p>
    <w:p w:rsidR="0025129F" w:rsidRDefault="0025129F" w:rsidP="0025129F">
      <w:pPr>
        <w:pStyle w:val="TextoNormal"/>
      </w:pPr>
      <w:r>
        <w:lastRenderedPageBreak/>
        <w:t xml:space="preserve">Cuarto. Que en la realización del expresado delito no concurren circunstancias modificativas de la responsabilidad criminal. </w:t>
      </w:r>
    </w:p>
    <w:p w:rsidR="0025129F" w:rsidRDefault="0025129F" w:rsidP="0025129F">
      <w:pPr>
        <w:pStyle w:val="TextoNormal"/>
      </w:pPr>
      <w:r>
        <w:t xml:space="preserve">Quinto. Que el delito de lesiones por imprudencia grave cometido por imprudencia profesional, previsto en los apartados 1º y 3º del artículo 152 en relación con el artículo 149, ambos del Código Penal de 1995, viene castigado con la pena de prisión de uno a tres años e inhabilitación especial para el ejercicio de la profesión de uno a cuatro años; pena que resulta inferior a la de prisión menor, en su grado máximo -cuatro años, dos meses y un día a seis años-, por la concurrencia de la imprudencia profesional, que impone el artículo 565 del Código Penal de 1873. </w:t>
      </w:r>
    </w:p>
    <w:p w:rsidR="0025129F" w:rsidRDefault="0025129F" w:rsidP="0025129F">
      <w:pPr>
        <w:pStyle w:val="TextoNormal"/>
      </w:pPr>
      <w:r>
        <w:t xml:space="preserve">No habiendo concurrido circunstancias modificativas de la responsabilidad criminal, y habida cuenta de la personalidad del acusado y demás situaciones presentes en los hechos, procede señalar como ponderada una pena de prisión de un año e inhabilitación especial para el ejercicio de la profesión médica igualmente por un año. </w:t>
      </w:r>
    </w:p>
    <w:p w:rsidR="0025129F" w:rsidRDefault="0025129F" w:rsidP="0025129F">
      <w:pPr>
        <w:pStyle w:val="TextoNormal"/>
      </w:pPr>
      <w:r>
        <w:t xml:space="preserve">Sexto. Conforme dispone en el artículo 109 del Código Penal, la ejecución de un hecho descrito por la ley como delito, obliga a reparar los daños y perjuicios por el causados. Y el artículo 110 del mismo texto legal se dispone que la responsabilidad establecida en el artículo anterior comprende la restitución, la reparación del daño y la indemnización de perjuicios materiales y morales. </w:t>
      </w:r>
    </w:p>
    <w:p w:rsidR="0025129F" w:rsidRDefault="0025129F" w:rsidP="0025129F">
      <w:pPr>
        <w:pStyle w:val="TextoNormal"/>
      </w:pPr>
      <w:r>
        <w:t xml:space="preserve">Tanto el Ministerio Fiscal como la Acusación Particular han fijado en treinta millones de pesetas el importe de la indemnización por las secuelas causadas. Esa cantidad se considera adecuada a las graves consecuencias padecidas por el niño que consisten en encefalopatía crónica con retraso en los patrones de maduración psicomotriz, de ahí que proceda la indemnización a Luis Miguel Ferrer Ramírez y María de las Nieves Martínez Dorado, en su condición de padres del niño víctima de los hechos, en treinta millones de pesetas por las secuelas padecidas por su hijo. </w:t>
      </w:r>
    </w:p>
    <w:p w:rsidR="0025129F" w:rsidRDefault="0025129F" w:rsidP="0025129F">
      <w:pPr>
        <w:pStyle w:val="TextoNormal"/>
      </w:pPr>
      <w:r>
        <w:t xml:space="preserve">La indemnización no puede incluir la cantidad que se solicita por la Acusación Particular en concepto de gastos médicos, ya que el relato fáctico de la sentencia de instancia no ha podido modificarse por impedirlo el cauce procesal esgrimido para fundamentar los recursos de casación. No hay en los hechos que se declaran probados mención alguna a los gastos referidos ni tampoco existen datos que permitan construir la responsabilidad civil subsidiaria de la entidad médica Asisa que interesa el Ministerio Fiscal. De ahí que no puedan incluirse tales pronunciamientos en esta Sentencia. </w:t>
      </w:r>
    </w:p>
    <w:p w:rsidR="0025129F" w:rsidRDefault="0025129F" w:rsidP="0025129F">
      <w:pPr>
        <w:pStyle w:val="TextoNormal"/>
      </w:pPr>
      <w:r>
        <w:t xml:space="preserve">Séptimo. Conforme se disponen en los artículos 123 y 124 del Código Penal, procede hacer expresa imposición de las costas al autor criminalmente responsable del delito, siendo de incluir, como así se ha interesado, las costas causadas en la instancia por la acusación particular, sin que existan razones que permitan su exclusión, especialmente cuando la sentencia ha coincidido sustancialmente con sus postulados. </w:t>
      </w:r>
    </w:p>
    <w:p w:rsidR="0025129F" w:rsidRDefault="0025129F" w:rsidP="0025129F">
      <w:pPr>
        <w:pStyle w:val="TextoNormal"/>
      </w:pPr>
      <w:r>
        <w:t xml:space="preserve">III. Parte Dispositiva </w:t>
      </w:r>
    </w:p>
    <w:p w:rsidR="0025129F" w:rsidRDefault="0025129F" w:rsidP="0025129F">
      <w:pPr>
        <w:pStyle w:val="TextoNormal"/>
      </w:pPr>
      <w:r>
        <w:t xml:space="preserve">Fallamos: que debemos condenar y condenamos a eugenio ortiz de las heras como autor criminalmente responsable de un delito de lesiones por imprudencia grave, cometido por imprudencia profesional, a la pena de un año de prisión con inhabilitación especial para el ejercicio de la profesión médica por un período de un año, al pago de las costas incluidas las de la acusación particular ocasionadas en la instancia, y a que indemnice a Luis Miguel Ferrer Ramirez y Maria de las Nieves Martinez Dorado, en su condición de padres del niño víctima de los hechos, en treinta millones de pesetas por las secuelas padecidas por su hijo”. </w:t>
      </w:r>
    </w:p>
    <w:p w:rsidR="0025129F" w:rsidRDefault="0025129F" w:rsidP="0025129F">
      <w:pPr>
        <w:pStyle w:val="TextoNormal"/>
      </w:pPr>
      <w:r>
        <w:t xml:space="preserve">La Sentencia del Tribunal Supremo se aclara en Auto posterior de esa misma Sala Segunda, de 17 de febrero de 1999, en el sentido de que la pena de inhabilitación especial </w:t>
      </w:r>
      <w:r>
        <w:lastRenderedPageBreak/>
        <w:t>para el ejercicio de la profesión médica, lo es para la especialidad de obstetricia y ginecología.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fundamentación jurídica de la demanda, y bajo la forma de motivos del amparo, se alega en sendos motivos la lesión de dos derechos fundamentales: el derecho a la tutela judicial efectiva sin indefensión del art. 24.1 CE y el derecho a la presunción de inocencia del art. 24. 2 CE. </w:t>
      </w:r>
    </w:p>
    <w:p w:rsidR="0025129F" w:rsidRDefault="0025129F" w:rsidP="0025129F">
      <w:pPr>
        <w:pStyle w:val="TextoNormal"/>
      </w:pPr>
      <w:r>
        <w:t xml:space="preserve">a) En cuanto a la vulneración del art. 24.1 CE se comienza afirmando, con cita de la STC 27/1995, que “el ciudadano debe obtener resolución razonada, y a ser posible de fondo, de sus pretensiones, siempre que cumpliera normalmente con los presupuestos y requisitos procesales”, lo que ha hecho el demandante, que, sin embargo “no ha obtenido resolución razonada de sus pretensiones”. </w:t>
      </w:r>
    </w:p>
    <w:p w:rsidR="0025129F" w:rsidRDefault="0025129F" w:rsidP="0025129F">
      <w:pPr>
        <w:pStyle w:val="TextoNormal"/>
      </w:pPr>
      <w:r>
        <w:t xml:space="preserve">Se dice a continuación que “la Sentencia del Tribunal Supremo de 26 de febrero de 1998 (Sala II) reconoce ser motivo de tutela (por indefensión) no haber tenido oportunidad de probar sus pretensiones, en el recurso de casación ante la Sala II”. </w:t>
      </w:r>
    </w:p>
    <w:p w:rsidR="0025129F" w:rsidRDefault="0025129F" w:rsidP="0025129F">
      <w:pPr>
        <w:pStyle w:val="TextoNormal"/>
      </w:pPr>
      <w:r>
        <w:t xml:space="preserve">En su caso, al haber sido “absuelto el hoy demandante por la Sentencia de Alicante, en razón a la irretroactividad del tipo de lesiones al feto y no deducirse improcedencia del factum (letras a, b y c del fundamento I de Alicante) el fundamento III señala que ‘se impone, sin necesidad de otros razonamientos la libre absolución del acusado’”. </w:t>
      </w:r>
    </w:p>
    <w:p w:rsidR="0025129F" w:rsidRDefault="0025129F" w:rsidP="0025129F">
      <w:pPr>
        <w:pStyle w:val="TextoNormal"/>
      </w:pPr>
      <w:r>
        <w:t xml:space="preserve">“Por desgracia [sigue la alegación] sí procedían otros razonamientos”, pues “la afirmación del factum sobre que ‘las lesiones que sufre el niño... se produjeron ... cuando todavía no había nacido...’ de donde mal puede imputarse al doctor Ortiz una mala praxis en el parto, solo puede proceder de los dictámenes judiciales obrantes en autos y ratificados en el Plenario”, que se refieren sintéticamente, añadiendo que “el silencio de la Sentencia de Alicante sobre tales dictámenes, favorables al acusado y, sin duda alguna inspiradores de la letra c del Fundamento I ha originado una situación paradójica”, pues “el demandante no podía recurrir en casación una Sentencia que absolvía, alegando que dicha sentencia omitía las pericias que le eran favorables. Pero, de haber sido condenada en Alicante, si hubiera podido recurrir ante el Tribunal Supremo por el número 2 del artículo 849 de la Ley de Enjuiciamiento Criminal: error de hecho. Pues es notorio que si una sentencia desprecia u omite la pericia sin razonar porqué la repugna [sic], la vía del 849-2 prospera. Al absolver sin mentar la pericia, el demandante ha visto cercenada la posibilidad de alegar la favorable opinión de los expertos. Y, debe entenderse, que tal paradoja le ha colocado en indefensión probatoria”. </w:t>
      </w:r>
    </w:p>
    <w:p w:rsidR="0025129F" w:rsidRDefault="0025129F" w:rsidP="0025129F">
      <w:pPr>
        <w:pStyle w:val="TextoNormal"/>
      </w:pPr>
      <w:r>
        <w:t xml:space="preserve">“En segundo lugar, [dice el recurrente] el amparo por tutela judicial permite se revise el rigor lógico de la inferencia en cuanto a los elementos objetivos del tipo penal”, afirmando que “la sentencia del Tribunal Supremo, que revocando la de instancia condena (al aquí demandante), por imprudencia profesional, no corresponde a las reglas de la lógica”. </w:t>
      </w:r>
    </w:p>
    <w:p w:rsidR="0025129F" w:rsidRDefault="0025129F" w:rsidP="0025129F">
      <w:pPr>
        <w:pStyle w:val="TextoNormal"/>
      </w:pPr>
      <w:r>
        <w:t xml:space="preserve">“En efecto: tras repudiar la doctrina de la Audiencia de Alicante sobre la irretroactividad del tipo de lesiones al feto, y mantener que es aplicable el nuevo tipo del 152-1º (en relación con el número 3 del mismo 152 y con el 149 del nuevo C. Penal) el Supremo, en su fundamento segundo in fine... escribe: ‘el carácter grave o temerario de la imprudencia fluye sin dificultad del relato fáctico de la Sentencia de instancia, ya que las omisiones denunciadas implican un olvido total y absoluto de los más elementales deberes de previsión y cuidado’ “. </w:t>
      </w:r>
    </w:p>
    <w:p w:rsidR="0025129F" w:rsidRDefault="0025129F" w:rsidP="0025129F">
      <w:pPr>
        <w:pStyle w:val="TextoNormal"/>
      </w:pPr>
      <w:r>
        <w:t xml:space="preserve">“Con todos los respetos [continua la demanda] es preciso destacar que el factum de la sentencia de instancia (que el Tribunal Supremo debe respetar, a tenor de los recursos </w:t>
      </w:r>
      <w:r>
        <w:lastRenderedPageBreak/>
        <w:t xml:space="preserve">planteados, por el art. 849-1 de la Ley de Enjuiciamiento Criminal) no contiene ni describe la menor omisión de deberes de previsión y cuidado, atribuibles al aquí demandante”. </w:t>
      </w:r>
    </w:p>
    <w:p w:rsidR="0025129F" w:rsidRDefault="0025129F" w:rsidP="0025129F">
      <w:pPr>
        <w:pStyle w:val="TextoNormal"/>
      </w:pPr>
      <w:r>
        <w:t xml:space="preserve">Pasa a continuación la demanda a comparar diversas afirmaciones de hecho contenidas en los fundamentos de la Sentencia del Tribunal Supremo, que, según el demandante, no se contienen en el factum de la Sentencia recurrida en casación. </w:t>
      </w:r>
    </w:p>
    <w:p w:rsidR="0025129F" w:rsidRDefault="0025129F" w:rsidP="0025129F">
      <w:pPr>
        <w:pStyle w:val="TextoNormal"/>
      </w:pPr>
      <w:r>
        <w:t xml:space="preserve">Se resumen a continuación las argumentaciones precedentes, para concluir el “motivo”, con una doble concreción: </w:t>
      </w:r>
    </w:p>
    <w:p w:rsidR="0025129F" w:rsidRDefault="0025129F" w:rsidP="0025129F">
      <w:pPr>
        <w:pStyle w:val="TextoNormal"/>
      </w:pPr>
      <w:r>
        <w:t xml:space="preserve">1) Que “el aquí demandante de amparo no ha podido desarrollar su prueba, a tenor del artículo 849-2 de la Ley de Enjuiciamiento Criminal, dado que fue absuelto en la instancia, en la que los peritos atribuyen las desgraciadas lesiones de la criatura a causas congénitas y prenatales”. </w:t>
      </w:r>
    </w:p>
    <w:p w:rsidR="0025129F" w:rsidRDefault="0025129F" w:rsidP="0025129F">
      <w:pPr>
        <w:pStyle w:val="TextoNormal"/>
      </w:pPr>
      <w:r>
        <w:t xml:space="preserve">2) Que “el juicio de inferencia, hecho por la sentencia de la Excma. Sala Segunda, por el que se solicita el amparo, ha creado elementos objetivos del tipo penal que no corresponden a la lógica por la sencilla razón [sic] que no existe en la sentencia de Alicante la primera premisa (relato objetivo histórico de los hechos) indispensable para construir la responsabilidad del aquí demandante”. </w:t>
      </w:r>
    </w:p>
    <w:p w:rsidR="0025129F" w:rsidRDefault="0025129F" w:rsidP="0025129F">
      <w:pPr>
        <w:pStyle w:val="TextoNormal"/>
      </w:pPr>
      <w:r>
        <w:t xml:space="preserve">Según la demanda, “el Tribunal Supremo, tras aceptar expresamente, como antecedentes de hecho los declarados expresa y terminantemente como ‘hechos probados’ de la sentencia dictada por la Audiencia Provincial, introduce modificaciones y consideraciones de toda naturaleza que puedan suponer, no sólo una grave alteración de las conclusiones probatorias y, en definitiva de los términos del debate, con olvido de los principios que rigen la casación por el motivo de infracción de ley, sino sobre todo la aparición de una probable vulneración de las garantías del proceso que recoge el art. 24.2 de la Constitución Española, que se traduce en una situación de indefensión”. </w:t>
      </w:r>
    </w:p>
    <w:p w:rsidR="0025129F" w:rsidRDefault="0025129F" w:rsidP="0025129F">
      <w:pPr>
        <w:pStyle w:val="TextoNormal"/>
      </w:pPr>
      <w:r>
        <w:t xml:space="preserve">“En la desviación operada por la sentencia del Tribunal Supremo, que acepta expresamente los hechos probados de la sentencia de instancia, para construir a continuación un entramado fáctico alejado de aquellos, supone la aparición de un vicio de incongruencia en la vía casacional, con aparición de la indefensión constitucionalmente prohibida, al haberse introducido en el proceso elementos y valoraciones frente a los que el demandante no ha tenido ni posibilidad de ejercer contradicción”. </w:t>
      </w:r>
    </w:p>
    <w:p w:rsidR="0025129F" w:rsidRDefault="0025129F" w:rsidP="0025129F">
      <w:pPr>
        <w:pStyle w:val="TextoNormal"/>
      </w:pPr>
      <w:r>
        <w:t xml:space="preserve">b) En cuanto a la vulneración del art. 24.2 CE se afirma que lo que se discute es “la subsunción que se lleva a cabo de unos hechos que no se reflejan en el relato probatorio, y que conduce a la condena, con vulneración de las garantías constitucionales del proceso, y más aún con olvido de la presunción de inocencia, puesto que de la prueba practicada no cabe inferir las conclusiones que apodícticamente se consignan en la sentencia”. </w:t>
      </w:r>
    </w:p>
    <w:p w:rsidR="0025129F" w:rsidRDefault="0025129F" w:rsidP="0025129F">
      <w:pPr>
        <w:pStyle w:val="TextoNormal"/>
      </w:pPr>
      <w:r>
        <w:t xml:space="preserve">Se dice a continuación que “la sentencia de Alicante no contiene la menor alusión o reflexión sobre la presunción de inocencia”, y que “como la Audiencia de Alicante no explicita la prueba de cargo, indispensable constitucionalmente para una condena, la Excma. Sala Segunda del Tribunal Supremo, debería, pese a su falta de inmediación probatoria, haber razonado las pruebas (no celebradas ante la Sala Segunda), que conducen a la condena del aquí demandante”. </w:t>
      </w:r>
    </w:p>
    <w:p w:rsidR="0025129F" w:rsidRDefault="0025129F" w:rsidP="0025129F">
      <w:pPr>
        <w:pStyle w:val="TextoNormal"/>
      </w:pPr>
      <w:r>
        <w:t xml:space="preserve">“Pues bien, la sentencia del Excmo. Tribunal Supremo, no cita una sola prueba incriminatoria. Cierto que menciona situaciones, que parecen inspiradas en el factum de la sentencia de Alicante o, en otros datos de las actuaciones que no se detallan. Pero es prohibitivo apoyar razonamientos probatorios en los hechos probados, puesto que tal operación invierte totalmente la carga probatoria que a un Tribunal compete. Los hechos probados son hijos de la prueba practicada, pero no al revés: La prueba no puede deducirse del factum y menos de pasajes de la causa que, por cierto, no se fijan”. </w:t>
      </w:r>
    </w:p>
    <w:p w:rsidR="0025129F" w:rsidRDefault="0025129F" w:rsidP="0025129F">
      <w:pPr>
        <w:pStyle w:val="TextoNormal"/>
      </w:pPr>
      <w:r>
        <w:lastRenderedPageBreak/>
        <w:t xml:space="preserve">“El fundamento jurídico que contiene la prueba de cargo debe detallar si ésta se ha obtenido de declaraciones testificales, y de quien o quienes, e interpretadas con criterios lógicos. O, en su caso, de prueba pericial, e igualmente hay que explicar porqué se cree o se deshecha [sic] tal petición. Y, finalmente, cabe apoyar la prueba de cargo en documentos precisos o interpretarlos lógicamente, sin perjuicio de que, si tal hermeneútica es discutible por el artículo 849.2 de la Ley de Enjuiciamiento Criminal”. </w:t>
      </w:r>
    </w:p>
    <w:p w:rsidR="0025129F" w:rsidRDefault="0025129F" w:rsidP="0025129F">
      <w:pPr>
        <w:pStyle w:val="TextoNormal"/>
      </w:pPr>
      <w:r>
        <w:t xml:space="preserve">Como en el presente caso, afirma la demanda,“se ignora en un todo la prueba de cargo del plenario, y la preconstituida, y la estimada por la Sala Segunda del Tribunal Supremo, por la potísima razón [sic] que ni la sentencia de instancia menta la menor prueba de cargo ni la Excma. Sala Segunda aclara si se ha valido de testifical pericial o documental, es lo cierto que el aquí demandante resulta condenado desconociendo totalmente qué pruebas de cargo se han utilizado en su perjuicio”. </w:t>
      </w:r>
    </w:p>
    <w:p w:rsidR="0025129F" w:rsidRDefault="0025129F" w:rsidP="0025129F">
      <w:pPr>
        <w:pStyle w:val="TextoNormal"/>
      </w:pPr>
      <w:r>
        <w:t>En virtud de todo ello se solicita que se declare la nulidad de la Sentencia recurrida, pidiendo por otrosí su suspensión.</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diligencia de ordenación de la Secretaría de la Sala Segunda de este Tribunal de fecha 6 de mayo de 1999 se acuerda, antes de resolver sobre la admisibilidad del recurso, dirigir atenta comunicación a la Sala Segunda del Tribunal Supremo y a la Audiencia Provincial de Alicante a fin de que, a la mayor brevedad posible, remitan certificación o fotocopia adverada de las actuaciones correspondientes al recurso de casación núm. 3823/97 y acta del juicio del procedimiento abreviado núm. 93/96 (rollo de Sala 92/97).</w:t>
      </w:r>
    </w:p>
    <w:p w:rsidR="0025129F" w:rsidRDefault="0025129F" w:rsidP="0025129F">
      <w:pPr>
        <w:pStyle w:val="TextoNormal"/>
      </w:pPr>
    </w:p>
    <w:p w:rsidR="0025129F" w:rsidRDefault="0025129F" w:rsidP="0025129F">
      <w:pPr>
        <w:pStyle w:val="TextoNormal"/>
      </w:pPr>
      <w:r w:rsidRPr="0025129F">
        <w:rPr>
          <w:rStyle w:val="NumeroAFNegritaCaracter"/>
        </w:rPr>
        <w:t>5</w:t>
      </w:r>
      <w:r>
        <w:t>. En fecha 19 de mayo de 1999 se recibe escrito de la representación del demandante de amparo en el que participa a este Tribunal que, no obstante la interposición del recurso de amparo contra la Sentencia de la Sala Segunda del Tribunal Supremo de fecha 11 de enero de 1999, y con carácter cautelar, ante lo novedoso de la reforma de la Ley Orgánica del Poder Judicial por Ley 5/1997, de 4 de diciembre, que modificó el art. 240 sobre nulidad de actuaciones, planteó también el citado incidente mediante escrito de fecha 1 de marzo de 1999, que le ha sido rechazado mediante Auto de la Sala Segunda del Tribunal Supremo de 30 de marzo de 1999, en el que se acordó “no autorizar la admisión a trámite del incidente de nulidad de actuaciones”. Acompaña sendos documentos (escrito de petición de nulidad y Auto resolviendo el incidente) solicitando su incorporación al recurso de amparo por considerarlo de interés en el mismo.</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11 de octubre de 1999, la Sección Tercera de este Tribunal, acuerda, de conformidad con lo dispuesto en el art. 50.3 LOTC, dar vista de las actuaciones recibidas en la Secretaría de la Sala y conceder al demandante de amparo y al Ministerio Fiscal el plazo común de diez días para que formulen las alegaciones pertinentes en relación con la eventual carencia de contenido constitucional de la demanda (art. 50.1.c LOTC).</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En fecha 8 de noviembre de 1999 se recibe el escrito de alegaciones del demandante de amparo. En él interesa la admisión a trámite de la demanda de amparo reiterando los fundamentos de dicha petición, que ya expresó en dicho escrito de demanda así como en el escrito solicitando la nulidad de actuaciones que dirigió en su día a la Sala Segunda del Tribunal Supremo. </w:t>
      </w:r>
    </w:p>
    <w:p w:rsidR="0025129F" w:rsidRDefault="0025129F" w:rsidP="0025129F">
      <w:pPr>
        <w:pStyle w:val="TextoNormal"/>
      </w:pPr>
      <w:r>
        <w:lastRenderedPageBreak/>
        <w:t xml:space="preserve">El Ministerio Fiscal, en fecha 16 de noviembre de 1999, presenta escrito solicitando la admisión a trámite del recurso. </w:t>
      </w:r>
    </w:p>
    <w:p w:rsidR="0025129F" w:rsidRDefault="0025129F" w:rsidP="0025129F">
      <w:pPr>
        <w:pStyle w:val="TextoNormal"/>
      </w:pPr>
      <w:r>
        <w:t>La Sala Segunda, por providencia de 27 de enero de 2000, acuerda admitir a trámite la demanda presentada y, a tenor de lo dispuesto en el art. 51 LOTC, dirigir atenta comunicación a la Sección Tercera de la Audiencia Provincial de Alicante a fin de que, en plazo que no exceda de diez días, remita certificación o fotocopia adverada de las actuaciones correspondientes de rollo de Sala 92/97 (dimanante del procedimiento abreviado 93/96 del Juzgado de Instrucción núm. 2 de Alicante), debiendo previamente emplazarse, para que comparezcan, si así lo desean, en el recurso de amparo, a quienes hubieran sido parte en el procedimiento, excepto la parte recurrente en amparo. Asimismo, por providencia de la misma fecha, la Sala acuerda la formación de pieza separada para tramitar el incidente de suspensión y, de conformidad con el art. 56 LOTC, conceder un plazo de tres días a la parte recurrente y al Ministerio Fiscal para que aleguen lo que estimen pertinente sobre la medida cautelar interesada.</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Mediante escrito registrado en fecha 8 de febrero de 2000 la representación del recurrente presentó escrito de alegaciones acerca de la suspensión interesada, reiterando su petición inicial. El Ministerio Fiscal por medio de escrito presentado el 11 de febrero de 2000 solicita se deniegue la suspensión respecto del pago de las costas e indemnización y, por el contrario, se acuerde respecto de la pena de prisión e inhabilitación especial. </w:t>
      </w:r>
    </w:p>
    <w:p w:rsidR="0025129F" w:rsidRDefault="0025129F" w:rsidP="0025129F">
      <w:pPr>
        <w:pStyle w:val="TextoNormal"/>
      </w:pPr>
      <w:r>
        <w:t>Por Auto de 27 de marzo de 2000 la Sala Segunda acuerda la suspensión de la ejecución de la pena privativa de libertad de un año de prisión y de la accesoria de inhabilitación para el ejercicio de la profesión médica en la especialidad de obstetricia y ginecología durante el mismo período de tiempo, impuestas en la Sentencia del Tribunal Supremo de 22 de enero de 1999, durante la tramitación del presente recurso de amparo. Y, asimismo, denegar la suspensión de la ejecución del pago de las costas procesales y del abono de la indemnización de 30 millones de pesetas decretada en dicha Sentencia, condicionando la ejecución de este último pronunciamiento a la previa prestación de caución por los beneficiarios perceptores de la indemnización decretada en el mismo, en la cuantía y condiciones que establezca el encargado de la repetida ejecución.</w:t>
      </w:r>
    </w:p>
    <w:p w:rsidR="0025129F" w:rsidRDefault="0025129F" w:rsidP="0025129F">
      <w:pPr>
        <w:pStyle w:val="TextoNormal"/>
      </w:pPr>
    </w:p>
    <w:p w:rsidR="0025129F" w:rsidRDefault="0025129F" w:rsidP="0025129F">
      <w:pPr>
        <w:pStyle w:val="TextoNormal"/>
      </w:pPr>
      <w:r w:rsidRPr="0025129F">
        <w:rPr>
          <w:rStyle w:val="NumeroAFNegritaCaracter"/>
        </w:rPr>
        <w:t>9</w:t>
      </w:r>
      <w:r>
        <w:t>. En fecha 23 de febrero de 2000 se recibe el escrito de personación de don Luis Miguel Ferrer Ramírez, representado por el Procurador don Carlos Piñeira de Campos, y en fecha 26 de febrero de 2000 se persona la compañía mercantil Asistencia Sanitaria Interprovincial (Asisa), representada por el Procurador don Antonio Miguel Ángel Araque Almendros.</w:t>
      </w:r>
    </w:p>
    <w:p w:rsidR="0025129F" w:rsidRDefault="0025129F" w:rsidP="0025129F">
      <w:pPr>
        <w:pStyle w:val="TextoNormal"/>
      </w:pPr>
    </w:p>
    <w:p w:rsidR="0025129F" w:rsidRDefault="0025129F" w:rsidP="0025129F">
      <w:pPr>
        <w:pStyle w:val="TextoNormal"/>
      </w:pPr>
      <w:r w:rsidRPr="0025129F">
        <w:rPr>
          <w:rStyle w:val="NumeroAFNegritaCaracter"/>
        </w:rPr>
        <w:t>10</w:t>
      </w:r>
      <w:r>
        <w:t>. Mediante diligencia de ordenación de 6 de abril de 2000 se acuerda tener por personada y parte a la representación procesal de las dos partes comparecidas en este proceso constitucional y dar vista de las actuaciones recibidas a las partes personadas y al Ministerio Fiscal por plazo común de veinte días, a fin de que presenten las alegaciones que estimen pertinentes,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11</w:t>
      </w:r>
      <w:r>
        <w:t>. Mediante escrito presentado en fecha 5 de mayo de 2000 evacúa el trámite de alegaciones la representación procesal de don Luis Miguel Ferrer Ramírez, querellante en el proceso a quo. En él analiza los dos motivos en que se fundamenta el recurso de amparo interpuesto de contrario. Respecto del primero, lesión del derecho de tutela judicial efecti</w:t>
      </w:r>
      <w:r>
        <w:lastRenderedPageBreak/>
        <w:t>va, alega, en síntesis, que las sentencias recurridas han procedido a una aplicación razonada y razonable en coherencia con los hechos probados y con las inferencias lógicas hechas a partir de los mismos, sin que corresponda al Tribunal Constitucional revisar o corregir dicha calificación jurídica una vez verificada la existencia de la previsión legal y de la sanción aplicada. Respecto de la eventual lesión del derecho de presunción de inocencia alega que ésta fue destruida por prueba de cargo suficiente que dio lugar a la relación de hechos probados contenida en la Sentencia de la Audiencia Provincial de Alicante, siendo así que lo que existe es una distinta calificación jurídica o interpretación de las normas jurídicas por parte de ambos Tribunales, pues, mientras la Audiencia Provincial entiende que existe una “laguna legal” respecto del tipo penal, que le llevó a un pronunciamiento absolutorio, la Sala Segunda del Tribunal Supremo considera esos mismos hechos probados como constitutivos de un tipo penal por el que condena al actual recurrente de amparo. En virtud de todo ello termina suplicando la denegación del amparo pedido.</w:t>
      </w:r>
    </w:p>
    <w:p w:rsidR="0025129F" w:rsidRDefault="0025129F" w:rsidP="0025129F">
      <w:pPr>
        <w:pStyle w:val="TextoNormal"/>
      </w:pPr>
    </w:p>
    <w:p w:rsidR="0025129F" w:rsidRDefault="0025129F" w:rsidP="0025129F">
      <w:pPr>
        <w:pStyle w:val="TextoNormal"/>
      </w:pPr>
      <w:r w:rsidRPr="0025129F">
        <w:rPr>
          <w:rStyle w:val="NumeroAFNegritaCaracter"/>
        </w:rPr>
        <w:t>12</w:t>
      </w:r>
      <w:r>
        <w:t>. La compañía mercantil Asisa, a través de su representación procesal, presenta su escrito de alegaciones en fecha 6 de mayo de 2000. En él, tras señalar que no ha sido condenada en ninguna de las instancias judiciales, manifiesta que el amparo demandado es una cuestión por completo ajena a dicha compañía, pero interesa que, en el supuesto de otorgarse el amparo pedido, decretando la nulidad de la Sentencia impugnada, en la determinación de los efectos del amparo deberá dejarse claro que los efectos del mismo nunca podrán incidir en la revisión de la Sentencia en relación con Asisa ni podrá modificarse su absolución, que es una decisión judicial firme. Termina, pues, suplicando que, si se otorga el amparo se haga constar expresamente en el alcance del fallo de la Sentencia de amparo, que éste no afectará a la absolución judicial ya acordada de dicha compañía.</w:t>
      </w:r>
    </w:p>
    <w:p w:rsidR="0025129F" w:rsidRDefault="0025129F" w:rsidP="0025129F">
      <w:pPr>
        <w:pStyle w:val="TextoNormal"/>
      </w:pPr>
    </w:p>
    <w:p w:rsidR="0025129F" w:rsidRDefault="0025129F" w:rsidP="0025129F">
      <w:pPr>
        <w:pStyle w:val="TextoNormal"/>
      </w:pPr>
      <w:r w:rsidRPr="0025129F">
        <w:rPr>
          <w:rStyle w:val="NumeroAFNegritaCaracter"/>
        </w:rPr>
        <w:t>13</w:t>
      </w:r>
      <w:r>
        <w:t>. Por escrito presentado el 8 de mayo de 2000 el demandante de amparo reitera su petición de amparo, remitiéndose a las alegaciones de su escrito de demanda, a las que añade la invocación de la SSTC 218/1999, de 29 de noviembre, que, aun cuando se refiere a un supuesto de variación de lo decidido en Sentencia firme, guarda similitud con el supuesto actual, en el sentido de que el Tribunal Supremo en la Sentencia impugnada ha modificado el relato de hechos probados fuera del cauce legal establecido para ello, porque el recurso de casación se interpuso por infracción de ley y no por quebrantamiento de forma, lo que obligaba al Tribunal Supremo a respetar el relato de hechos probados de la Sentencia de instancia. Por todo ello suplica la estimación del recurso de amparo interpuesto en los términos que se recogen en su escrito de demanda inicial.</w:t>
      </w:r>
    </w:p>
    <w:p w:rsidR="0025129F" w:rsidRDefault="0025129F" w:rsidP="0025129F">
      <w:pPr>
        <w:pStyle w:val="TextoNormal"/>
      </w:pPr>
    </w:p>
    <w:p w:rsidR="0025129F" w:rsidRDefault="0025129F" w:rsidP="0025129F">
      <w:pPr>
        <w:pStyle w:val="TextoNormal"/>
      </w:pPr>
      <w:r w:rsidRPr="0025129F">
        <w:rPr>
          <w:rStyle w:val="NumeroAFNegritaCaracter"/>
        </w:rPr>
        <w:t>14</w:t>
      </w:r>
      <w:r>
        <w:t xml:space="preserve">. El Ministerio Fiscal presenta su escrito de alegaciones en fecha 24 de mayo de 2000. Tras reseñar sintéticamente los antecedentes de hecho, alega el Ministerio Fiscal, respecto del primero de los derechos fundamentales en que se sustenta la queja de amparo, tutela judicial efectiva, que el recurrente critica dos aspectos de la Sentencia dictada por el Tribunal Supremo: de una parte que ha existido una modificación de hechos probados, y, de otra que la parte condenada no ha podido desplegar ninguna actividad de alegaciones y prueba en la casación. </w:t>
      </w:r>
    </w:p>
    <w:p w:rsidR="0025129F" w:rsidRDefault="0025129F" w:rsidP="0025129F">
      <w:pPr>
        <w:pStyle w:val="TextoNormal"/>
      </w:pPr>
      <w:r>
        <w:t xml:space="preserve">Respecto del primer aspecto es de señalar que el cauce casacional que en su día emplearon las acusaciones lo fue el del art. 849.1 de la Ley de Enjuiciamiento Criminal, es decir, infracción por falta de aplicación de los correspondientes preceptos del Código Penal. Este planteamiento obligaba, aun cuando la Sentencia de la Audiencia Provincial se </w:t>
      </w:r>
      <w:r>
        <w:lastRenderedPageBreak/>
        <w:t xml:space="preserve">casara, al respeto de los hechos, toda vez que los mismos no se combatían por las partes recurrentes. La discrepancia del recurrente gira en torno a la consideración de que los hechos se tergiversan en la fundamentación jurídica de la Sentencia recurrida hasta el punto de introducir otros que desvirtúan la realidad de lo acaecido. A este respecto se pretenden hallar fisuras en la redacción de la Sentencia para patentizar las contradicciones, prescindiendo de la contextualización de las frases o de la globalidad del razonamiento. </w:t>
      </w:r>
    </w:p>
    <w:p w:rsidR="0025129F" w:rsidRDefault="0025129F" w:rsidP="0025129F">
      <w:pPr>
        <w:pStyle w:val="TextoNormal"/>
      </w:pPr>
      <w:r>
        <w:t xml:space="preserve">La Sentencia ha de considerarse un todo en sus hechos y fundamentos jurídicos, sin que quepa diseccionar ambas partes, de tal forma que en ocasiones se desliza algún concepto jurídico o elemento normativo en el factum, sin que ello implique predeterminación del fallo, y otras veces las descripciones hechas en los hechos probados se subrayan con otras complementarias o explicativas de las anteriores, que no suponen “invento o creación”, ni añaden un plus probatorio a la base que proporcionan los hechos probados. Ello no afecta a la tutela judicial efectiva, que se corresponde con una interpretación razonada de los hechos y de su calificación jurídica y la adopción de un criterio de decisión entendible por el justiciable. En este caso las bases fácticas de la condena se hallan en el respetado relato de hechos que contienen circunstancias suficientes para subsumir en ellos la conducta penal de imprudencia temeraria. </w:t>
      </w:r>
    </w:p>
    <w:p w:rsidR="0025129F" w:rsidRDefault="0025129F" w:rsidP="0025129F">
      <w:pPr>
        <w:pStyle w:val="TextoNormal"/>
      </w:pPr>
      <w:r>
        <w:t xml:space="preserve">Otra derivación de la tutela se centra por el recurrente en la indefensión, por entender que la modificación del factum le ha impedido combatir con anterioridad al dictado de la Sentencia las conclusiones que llevan a la condena. No obstante, que, con arreglo a lo aquí fundamentado, no ha existido una modificación material de los hechos imprevista para la parte recurrente, recurrida en la casación. Por lo demás, consistiendo la indefensión constitucionalmente proscrita una merma sustancial y material y una privación real y efectiva de los medios de alegación y prueba, tal déficit no ha existido. </w:t>
      </w:r>
    </w:p>
    <w:p w:rsidR="0025129F" w:rsidRDefault="0025129F" w:rsidP="0025129F">
      <w:pPr>
        <w:pStyle w:val="TextoNormal"/>
      </w:pPr>
      <w:r>
        <w:t xml:space="preserve">El recurrente conocía el recurso de las partes acusadoras, que pudo impugnar, pidiendo el mantenimiento de la absolución por los mismos motivos de destipificación de conducta que sostuvo la Audiencia Provincial, o por cualesquiera otros. A tal fin se le dio traslado de los recursos de las acusaciones, que pudo impugnar. En el Tribunal Supremo no cabía practicar ninguna prueba. La probabilidad de condena, pretensión casacional de los recurrentes, se pudo prever como posible por el demandante de amparo, con la base de los hechos que constaban en la Sentencia de instancia, no específicamente recurridos y que, como dijimos, facilitaban sustrato suficiente para una condena. No hubo, pues, ni alteración de los términos del debate ni privación de medios de defensa, por lo que la indefensión no ha de entenderse producida. </w:t>
      </w:r>
    </w:p>
    <w:p w:rsidR="0025129F" w:rsidRDefault="0025129F" w:rsidP="0025129F">
      <w:pPr>
        <w:pStyle w:val="TextoNormal"/>
      </w:pPr>
      <w:r>
        <w:t xml:space="preserve">Respecto del segundo de los derechos invocado, presunción de inocencia, se apoya la vulneración, no tanto en la ausencia de pruebas, sino en su exteriorización en la fundamentación de la Sentencia, en la falta de inmediación del Tribunal Supremo para valorar unas pruebas y en el desafecto o desvinculación de los hechos declarados como tales en la Sentencia de la Audiencia Provincial de Alicante. Pues bien, continúa el Ministerio Fiscal, no se ha creado en la Sentencia del Tribunal Supremo nada que no existiera en la Sentencia de la Audiencia Provincial. Ha existido, pues, un respeto a los hechos, que únicamente se complementan con datos inferidos de aquéllos, siendo el sustrato de la condena la desatención a la enferma y el riesgo creado que potencia la imputación objetiva del resultado. Frente a ello no se puede ni se debe desglosar cada uno de los datos, para entender que debieron constar en los hechos probados para motivar la condena. En definitiva, el Ponente de la Sentencia del Tribunal Supremo entendió que, manteniendo los hechos probados, era posible subsumir aquéllos en el tipo penal, y no parece que los complementos que el </w:t>
      </w:r>
      <w:r>
        <w:lastRenderedPageBreak/>
        <w:t xml:space="preserve">recurrente creía necesarios tengan forzosamente que integrarse en el factum para motivar una condena. </w:t>
      </w:r>
    </w:p>
    <w:p w:rsidR="0025129F" w:rsidRDefault="0025129F" w:rsidP="0025129F">
      <w:pPr>
        <w:pStyle w:val="TextoNormal"/>
      </w:pPr>
      <w:r>
        <w:t xml:space="preserve">En cuanto a la falta de exteriorización del criterio valorativo de las pruebas habidas en el proceso el recurrente dice que ni las hay en la Sentencia de la Audiencia Provincial, por no enjuiciarse el fondo, ni existe una sola línea en la del Tribunal Supremo. Y es de notar el déficit acusado, por cuanto el Tribunal Supremo no tiene sino una genérica alusión en el párrafo segundo del fundamento jurídico segundo de la Sentencia. Quizás hubiera sido necesaria alguna consideración adicional. No obstante lo anterior, —continúa el Ministerio Fiscal— la citada carencia resultaría paliada cuando no eliminada por la especial doctrina del Tribunal Supremo sobre la imprudencia y la presunción de inocencia. En tales supuestos, se dice que “la inocencia de que habla el art. 24.2 ha de entenderse en el sentido de no autoría, no producción del daño o no participación en él. Hay que añadir a ello que de la presunción constitucional de inocencia no deriva necesariamente el carácter fortuito o no negligente de los hechos. Si los hechos y, entre ellos, el comportamiento causante del resultado previsto por la Ley penal han sido probados, decidir si tal comportamiento ha sido imprudente o fortuito es materia dejada a la valoración judicial". </w:t>
      </w:r>
    </w:p>
    <w:p w:rsidR="0025129F" w:rsidRDefault="0025129F" w:rsidP="0025129F">
      <w:pPr>
        <w:pStyle w:val="TextoNormal"/>
      </w:pPr>
      <w:r>
        <w:t xml:space="preserve">Tal doctrina incide en el presente caso, al tratarse de un supuesto en el que está plenamente probada la participación del recurrente en los hechos omitidos en relación con la parturienta, a la que había asistido durante todo su embarazo, así como su posición de garante en cuanto a la actividad a prestar. Y como complemento a lo anterior habría que tener en consideración, asimismo, la especial estructura del tipo y la doctrina de la imputación objetiva, que permite imputar el delito, y considerar acreedor de la pena correspondiente a quien crea un riesgo a consecuencia de su actuación u omisión en relación con un evento. En este sentido, partiendo de los hechos probados y de los datos por él proporcionados, se puede llegar a la imputación de un resultado sin el nexo causal que se precisa para la comisión de otro tipo de delitos. Esta falta de necesidad de acreditar el nexo causal minora, cuando no elimina, una plasmación particularizada de la prueba habida. </w:t>
      </w:r>
    </w:p>
    <w:p w:rsidR="0025129F" w:rsidRDefault="0025129F" w:rsidP="0025129F">
      <w:pPr>
        <w:pStyle w:val="TextoNormal"/>
      </w:pPr>
      <w:r>
        <w:t>Por todo ello el Fiscal interesa que se dicte sentencia desestimando el amparo solicitado.</w:t>
      </w:r>
    </w:p>
    <w:p w:rsidR="0025129F" w:rsidRDefault="0025129F" w:rsidP="0025129F">
      <w:pPr>
        <w:pStyle w:val="TextoNormal"/>
      </w:pPr>
    </w:p>
    <w:p w:rsidR="0025129F" w:rsidRDefault="0025129F" w:rsidP="0025129F">
      <w:pPr>
        <w:pStyle w:val="TextoNormal"/>
      </w:pPr>
      <w:r w:rsidRPr="0025129F">
        <w:rPr>
          <w:rStyle w:val="NumeroAFNegritaCaracter"/>
        </w:rPr>
        <w:t>15</w:t>
      </w:r>
      <w:r>
        <w:t>. Por providencia de fecha 21 de febrero de 2002, se señaló para la deliberación y votación de esta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Constituye el objeto del presente recurso la impugnación por el demandante de amparo de la Sentencia dictada en fecha 22 de enero de 1999 por la Sala Segunda del Tribunal Supremo que, estimando el recurso de casación interpuesto contra la Sentencia de la Audiencia Provincial de Alicante, que le había absuelto del delito por el que fue acusado, condenó al actor como autor- responsable de un delito de imprudencia profesional con resultado de lesiones a las penas de un año de prisión con inhabilitación especial para el ejercicio de la profesión médica en la especialidad de obstetricia y ginecología por período igualmente de un año, y al abono de una indemnización de 30 millones de pesetas a los padres del menor lesionado y víctima de los hechos por las secuelas padecidas por su hijo.</w:t>
      </w:r>
    </w:p>
    <w:p w:rsidR="0025129F" w:rsidRDefault="0025129F" w:rsidP="0025129F">
      <w:pPr>
        <w:pStyle w:val="TextoNormal"/>
      </w:pPr>
      <w:r>
        <w:t>El demandante, como ha quedado reflejado en los antecedentes, imputa a la Sentencia del Tribunal Supremo recurrida la vulneración de dos derechos fundamentales: el de tutela judicial efectiva del art. 24.1 CE, y el de la presunción de inocencia del art. 24.2 CE.</w:t>
      </w:r>
    </w:p>
    <w:p w:rsidR="0025129F" w:rsidRDefault="0025129F" w:rsidP="0025129F">
      <w:pPr>
        <w:pStyle w:val="TextoNormal"/>
      </w:pPr>
      <w:r>
        <w:lastRenderedPageBreak/>
        <w:t>La fundamentación de cada una de dichas dos vulneraciones se recoge con mayor extensión en el antecedente 3 de esta Sentencia, bastando aquí, a los efectos de sistematizar el ulterior discurso, con una sumaria síntesis.</w:t>
      </w:r>
    </w:p>
    <w:p w:rsidR="0025129F" w:rsidRDefault="0025129F" w:rsidP="0025129F">
      <w:pPr>
        <w:pStyle w:val="TextoNormal"/>
      </w:pPr>
      <w:r>
        <w:t>La vulneración del art. 24.1 CE se construye sobre la base de las siguientes pautas argumentales: a) que el recurrente no ha obtenido una resolución razonada de sus pretensiones; b) que al haber sido absolutoria la Sentencia de instancia se ha visto privado de la posibilidad de impugnar el relato de hechos probados de la Sentencia de la Audiencia Provincial, que hubiese podido ser impugnado por la vía del art. 849.2 LECrim, si la Sentencia hubiese sido condenatoria, censurando la omisión en dicha Sentencia de las pericias favorables al recurrente; c) que la Sentencia condenatoria del Tribunal Supremo no se atiene a las reglas de la lógica, por la inferencia en ella de unos elementos objetivos del tipo penal, que no se corresponden con el factum de la Sentencia de la Audiencia, cuyo relato de hechos se dice respetar, en el que no se contiene la omisión de deberes de previsión o cuidado del actor, pese a lo cual en la fundamentación de la Sentencia del Supremo se contienen afirmaciones de hecho, que son básicas para la condena, lo que le causa indefensión, al haberse introducido en el proceso elementos y valoraciones frente a los que el demandante no ha tenido posibilidad de ejercer contradicción.</w:t>
      </w:r>
    </w:p>
    <w:p w:rsidR="0025129F" w:rsidRDefault="0025129F" w:rsidP="0025129F">
      <w:pPr>
        <w:pStyle w:val="TextoNormal"/>
      </w:pPr>
      <w:r>
        <w:t>En cuanto a la vulneración del art. 24.2 CE se funda sintéticamente en que la Sentencia del Tribunal Supremo recurrida no indica las pruebas de que se ha valido para el fallo condenatorio, siendo así que la Sentencia de la Audiencia Provincial recurrida en casación guardó total silencio al respecto, al haber absuelto por falta de tipicidad.</w:t>
      </w:r>
    </w:p>
    <w:p w:rsidR="0025129F" w:rsidRDefault="0025129F" w:rsidP="0025129F">
      <w:pPr>
        <w:pStyle w:val="TextoNormal"/>
      </w:pPr>
      <w:r>
        <w:t>Por su parte tanto la representación de don Luis Miguel Ferrer Ramírez, querellante en el proceso a quo, como el Ministerio Fiscal, ambos recurrentes en el recurso de casación, niegan las vulneraciones alegadas por el demandante de amparo, por las razones que respectivamente se recogen en los antecedentes 11 y 14, y solicitan la desestimación del recurso de amparo.</w:t>
      </w:r>
    </w:p>
    <w:p w:rsidR="0025129F" w:rsidRDefault="0025129F" w:rsidP="0025129F">
      <w:pPr>
        <w:pStyle w:val="TextoNormal"/>
      </w:pPr>
      <w:r>
        <w:t>Por último, la compañía mercantil Asisa, comparecida en este proceso, alega que el recurso de amparo le es por completo ajeno, y que los efectos de un eventual otorgamiento del amparo deberán advertir expresamente que el fallo no afectará a la absolución judicial de esa compañía ya acordada.</w:t>
      </w:r>
    </w:p>
    <w:p w:rsidR="0025129F" w:rsidRDefault="0025129F" w:rsidP="0025129F">
      <w:pPr>
        <w:pStyle w:val="TextoNormal"/>
      </w:pPr>
      <w:r>
        <w:t>Delimitados los términos del proceso, procede enjuiciar las violaciones constitucionales alegadas por el propio orden de planteamiento del recurrente.</w:t>
      </w:r>
    </w:p>
    <w:p w:rsidR="0025129F" w:rsidRDefault="0025129F" w:rsidP="0025129F">
      <w:pPr>
        <w:pStyle w:val="TextoNormal"/>
      </w:pPr>
    </w:p>
    <w:p w:rsidR="0025129F" w:rsidRDefault="0025129F" w:rsidP="0025129F">
      <w:pPr>
        <w:pStyle w:val="TextoNormal"/>
      </w:pPr>
      <w:r w:rsidRPr="0025129F">
        <w:rPr>
          <w:rStyle w:val="NumeroAFNegritaCaracter"/>
        </w:rPr>
        <w:t>2</w:t>
      </w:r>
      <w:r>
        <w:t>. Por lo que hace a la vulneración del art. 24.1 CE, siguiendo en su análisis la línea sistemática de la argumentación sintetizada en el fundamento anterior, debe rechazarse la alegación de que el recurrente no ha obtenido una resolución razonada de sus pretensiones. Para que tal alegación pudiera aceptarse era indispensable la concreción de cuáles eran las pretensiones de las que no hubiera obtenido respuesta, lo que el actor no hace. En esas condiciones sólo cabe entender que la censura del recurrente pueda referirse a una falta de razonamiento de la Sentencia recurrida, o en otros términos, de motivación, que la simple lectura de aquélla desmiente, al margen de la posibilidad de su crítica desde otras claves de impugnación.</w:t>
      </w:r>
    </w:p>
    <w:p w:rsidR="0025129F" w:rsidRDefault="0025129F" w:rsidP="0025129F">
      <w:pPr>
        <w:pStyle w:val="TextoNormal"/>
      </w:pPr>
    </w:p>
    <w:p w:rsidR="0025129F" w:rsidRDefault="0025129F" w:rsidP="0025129F">
      <w:pPr>
        <w:pStyle w:val="TextoNormal"/>
      </w:pPr>
      <w:r w:rsidRPr="0025129F">
        <w:rPr>
          <w:rStyle w:val="NumeroAFNegritaCaracter"/>
        </w:rPr>
        <w:t>3</w:t>
      </w:r>
      <w:r>
        <w:t>. La segunda de las fundamentaciones, referente a la alegada vulneración del art. 24.1 CE, sintetizada en el fundamento jurídico 1, consistente en la imposibilidad del recurrente de impugnar el relato de hechos probados de la Sentencia de la Audiencia Provincial, al ser absolutoria, tiene aparentemente una mayor enjundia en un plano meramente teórico; pero no en la posible aplicación al caso en función de sus concretas circunstancias.</w:t>
      </w:r>
    </w:p>
    <w:p w:rsidR="0025129F" w:rsidRDefault="0025129F" w:rsidP="0025129F">
      <w:pPr>
        <w:pStyle w:val="TextoNormal"/>
      </w:pPr>
      <w:r>
        <w:lastRenderedPageBreak/>
        <w:t>Debe advertirse de partida que los términos en que se propone en la demanda este fundamento adolecen de algún elemento de confusión, y que incluso vienen a ser contradichos en su funcionalidad posible por otras alegaciones.</w:t>
      </w:r>
    </w:p>
    <w:p w:rsidR="0025129F" w:rsidRDefault="0025129F" w:rsidP="0025129F">
      <w:pPr>
        <w:pStyle w:val="TextoNormal"/>
      </w:pPr>
      <w:r>
        <w:t>Se dice que “el aquí demandante de amparo no ha podido desarrollar su prueba a tenor del artículo 849.2 de la Ley de Enjuiciamiento Criminal, dado que fue absuelto en la instancia, en la que los peritos atribuyen las desgraciadas lesiones de la criatura a causas congénitas y prenatales”.</w:t>
      </w:r>
    </w:p>
    <w:p w:rsidR="0025129F" w:rsidRDefault="0025129F" w:rsidP="0025129F">
      <w:pPr>
        <w:pStyle w:val="TextoNormal"/>
      </w:pPr>
      <w:r>
        <w:t>Las ideas utilizadas por el recurrente de un deficiente “desarrollo de la prueba” o de “indefensión probatoria” no son conformes con el ejercicio en este caso de su derecho a la prueba, respecto del que no se alega ningún reproche concreto. Esas expresiones no reflejan el sentido de la indefensión alegada por el actor, que no consiste en que se haya visto privado de la posibilidad de practicar la prueba que ha considerado conveniente, sino en que en el relato de hechos que soporta su condena no se han tenido en cuenta, a su juicio, las pericias practicadas por él, que, en su criterio, conducen a una solución contraria. Se está planteando, en definitiva, una crítica de la valoración de la prueba, que nada tiene que ver ni con su práctica, ni con el derecho a ella para poder defenderse.</w:t>
      </w:r>
    </w:p>
    <w:p w:rsidR="0025129F" w:rsidRDefault="0025129F" w:rsidP="0025129F">
      <w:pPr>
        <w:pStyle w:val="TextoNormal"/>
      </w:pPr>
      <w:r>
        <w:t>Y en cuanto al elemento de contradicción, deriva del hecho de que, por una parte, se funda la alegada indefensión en el presupuesto de que el actor se haya visto privado de la posibilidad de impugnar el relato de hechos probados, base de su condena; y por otra, y bajo el mismo marco conceptual de vulneración del art. 24.1 CE, aunque desde otra clave impugnatoria, se afirma que “el factum de la sentencia de instancia (que el Tribunal Supremo debe respetar, a tenor de los recursos planteados, por el art.  849.1 de la Ley de Enjuiciamiento Criminal) no contiene ni describe la omisión de deberes de previsión y cuidado, atribuibles al aquí demandante”. Esta afirmación es la base de la crítica que se hace a la Sentencia del Tribunal Supremo de introducir “modificaciones y consideraciones de toda naturaleza que pueden suponer, no sólo una grave alteración de las conclusiones probatorias y, en definitiva de los términos del debate, con olvido de los principios que rigen la casación por el motivo de infracción de ley, sino sobre todo la aparición de una probable vulneración de las garantías del proceso que recoge el art. 24.2 de la Constitución Española que se traduce en una situación de indefensión”.</w:t>
      </w:r>
    </w:p>
    <w:p w:rsidR="0025129F" w:rsidRDefault="0025129F" w:rsidP="0025129F">
      <w:pPr>
        <w:pStyle w:val="TextoNormal"/>
      </w:pPr>
      <w:r>
        <w:t>Pues bien, en principio no cabe alegar simultáneamente la indefensión derivada de no haber podido impugnar el relato de hechos probados de la Sentencia de instancia, lo que supone el implícito reconocimiento de que ese relato es perjudicial para el demandante, en cuanto soporte de su posible condena penal, y proclamar explícitamente que dicho relato no contiene la omisión de deberes de previsión y cuidado imputables al actor.</w:t>
      </w:r>
    </w:p>
    <w:p w:rsidR="0025129F" w:rsidRDefault="0025129F" w:rsidP="0025129F">
      <w:pPr>
        <w:pStyle w:val="TextoNormal"/>
      </w:pPr>
      <w:r>
        <w:t>Evidentemente, si la tesis del actor es la de que el relato no contiene la omisión de deberes de previsión y cuidado, no se advierte en qué sentido el tal relato puede ser lesivo para él, ni qué necesidad pudiera tener de articular una defensa tendente a su rectificación, de la que se haya visto privado con la consecuente indefensión constitucionalmente significativa.</w:t>
      </w:r>
    </w:p>
    <w:p w:rsidR="0025129F" w:rsidRDefault="0025129F" w:rsidP="0025129F">
      <w:pPr>
        <w:pStyle w:val="TextoNormal"/>
      </w:pPr>
      <w:r>
        <w:t>La alegación del recurrente podría considerarse relacionada con el derecho de tutela judicial efectiva, en su concreto contenido de interdicción de la indefensión, si cuestionase la declaración de hechos probados de la Sentencia de la Audiencia Provincial de Alicante, que le absolvió por falta de tipicidad de la conducta imputada. Sería en ese caso, cuando pudiera tener sentido la queja de que el signo absolutorio de la Sentencia le hubiera impedido recurrirla en casación por la vía del art. 849.2 LECrim, y que por ello se habría visto imposibilitado de defenderse frente a tal relato de hechos probados. Pero si el actor lo que cuestiona no es el relato de hechos probados de dicha Sentencia, sino el no haberse ateni</w:t>
      </w:r>
      <w:r>
        <w:lastRenderedPageBreak/>
        <w:t>do a él la de casación, aquí recurrida, como lo evidencia la siguiente de sus bases argumentales, que después se analiza, no cabe decir que se le haya privado de ninguna posibilidad de defensa en la casación, que en eso consistiría, en su caso, la indefensión.</w:t>
      </w:r>
    </w:p>
    <w:p w:rsidR="0025129F" w:rsidRDefault="0025129F" w:rsidP="0025129F">
      <w:pPr>
        <w:pStyle w:val="TextoNormal"/>
      </w:pPr>
      <w:r>
        <w:t>El actor, más que una indefensión real, que es la que sería lesiva del derecho fundamental del art. 24.1 CE, lo que hace es apelar a la existencia de lo que califica como “situación paradójica”, sin concretar, ni menos justificar, en qué sentido esa alegada situación le ha producido un efecto real de indefensión. Mas desde el momento en que no cuestiona el relato de hechos probados de la Sentencia, que no pudo recurrir por su signo absolutorio, se desvanece la indefensión, derivable hipotéticamente de la imposibilidad de su impugnación.</w:t>
      </w:r>
    </w:p>
    <w:p w:rsidR="0025129F" w:rsidRDefault="0025129F" w:rsidP="0025129F">
      <w:pPr>
        <w:pStyle w:val="TextoNormal"/>
      </w:pPr>
      <w:r>
        <w:t>El examen del escrito del actor de impugnación de los recursos de casación de contrario pone de manifiesto que la primera de sus alegaciones fue precisamente que no se respetaban en aquéllos los hechos declarados probados en la Sentencia recurrida, invocando al respecto el motivo de inadmisión del art. 884.3 LECrim.</w:t>
      </w:r>
    </w:p>
    <w:p w:rsidR="0025129F" w:rsidRDefault="0025129F" w:rsidP="0025129F">
      <w:pPr>
        <w:pStyle w:val="TextoNormal"/>
      </w:pPr>
      <w:r>
        <w:t>No se concilia con la existencia de una situación real de indefensión, que es la protegible en el recurso de amparo constitucional, la alegación, por una parte, de la imposibilidad de impugnar en casación el relato de hechos probados de la Sentencia recurrida en él, y la constatación, por otra, de que en el trámite de casación lo que hizo quien tal alega es aducir la falta de respeto de ese relato por sus contrarios.</w:t>
      </w:r>
    </w:p>
    <w:p w:rsidR="0025129F" w:rsidRDefault="0025129F" w:rsidP="0025129F">
      <w:pPr>
        <w:pStyle w:val="TextoNormal"/>
      </w:pPr>
      <w:r>
        <w:t>Y esa posición del aquí demandante de amparo en la casación tiene su continuidad en el actual recurso, cuando, al impugnar el juicio de inferencia de la Sentencia del Tribunal Supremo ahora recurrida bajo la misma clave constitucional del art. 24.1 CE, se afirma que “es preciso destacar que el factum de la sentencia de instancia (que el Tribunal Supremo debe respetar, a tenor de los recursos planteados, por el artículo 849.1 de la Ley de Enjuiciamiento Criminal) no contiene ni describe la menor omisión de deberes de previsión y cuidado, atribuibles al aquí demandante”.</w:t>
      </w:r>
    </w:p>
    <w:p w:rsidR="0025129F" w:rsidRDefault="0025129F" w:rsidP="0025129F">
      <w:pPr>
        <w:pStyle w:val="TextoNormal"/>
      </w:pPr>
      <w:r>
        <w:t>Ha de concluirse así respecto del fundamento de la alegada vulneración del art. 24.1 CE ahora analizado que, ni el actor se ha visto privado en el recurso de casación de ningún trámite legalmente ordenado para su defensa, pues tuvo a su disposición, y lo utilizó en los términos que consideró procedentes, el trámite de impugnación de los recursos de casación de contrario, ni el concreto signo absolutorio de la Sentencia recurrida en casación le ha producido en último término ninguna situación real de indefensión.</w:t>
      </w:r>
    </w:p>
    <w:p w:rsidR="0025129F" w:rsidRDefault="0025129F" w:rsidP="0025129F">
      <w:pPr>
        <w:pStyle w:val="TextoNormal"/>
      </w:pPr>
      <w:r>
        <w:t>Cosa distinta es que el demandante de amparo hubiese manifestado en la casación en algún sentido su censura del relato de hechos probados de la Sentencia de la Audiencia Provincial y procurado en lo posible su revisión, intentando, en su caso, la adhesión al recurso de casación por la vía del art. 861 LECrim, párrafo final, y que hubiese visto frustrado su intento en razón de la jurisprudencia del Tribunal Supremo sobre tal mecanismo procesal (Sentencias de 7 de marzo de 1988, 9 de diciembre de 1992, 22 de abril de 1993, 8 de febrero de 1995, 23 de junio de 1999, 27 de septiembre de 1999 y 10 de marzo de 2000; y Autos de 13 de marzo de 1996 y 17 de febrero de 2000), supuesto en el que el alegato de indefensión pudiera exigir de este Tribunal un examen de la conformidad de la interpretación usual de ese precepto con los imperativos constitucionales de defensa del acusado; pero ni el recurrente plantea en este amparo la existencia de ninguna traba al intento de utilización de tal instituto procesal, ni, sobre todo, existe ningún planteamiento en el trámite de casación de un posible reproche de indefensión, que, en su caso, pudiera haber dado al Tribunal Supremo la oportunidad de remediarla, por lo que el carácter subsidiario del recurso de amparo impide que esa pretendida indefensión pueda plantearse por primera vez ante este Tribunal.</w:t>
      </w:r>
    </w:p>
    <w:p w:rsidR="0025129F" w:rsidRDefault="0025129F" w:rsidP="0025129F">
      <w:pPr>
        <w:pStyle w:val="TextoNormal"/>
      </w:pPr>
    </w:p>
    <w:p w:rsidR="0025129F" w:rsidRDefault="0025129F" w:rsidP="0025129F">
      <w:pPr>
        <w:pStyle w:val="TextoNormal"/>
      </w:pPr>
      <w:r w:rsidRPr="0025129F">
        <w:rPr>
          <w:rStyle w:val="NumeroAFNegritaCaracter"/>
        </w:rPr>
        <w:t>4</w:t>
      </w:r>
      <w:r>
        <w:t>. La tercera de las líneas argumentales sobre la alegada vulneración del art. 24.1 CE, sintetizada en el fundamento jurídico 1, tiene en realidad dos componentes de distinto sentido: por una parte, la imputada ruptura del rigor lógico de la Sentencia recurrida en la inferencia de determinados elementos objetivos del tipo penal; y por otra, la imputada adición al relato de hechos probados de la Sentencia de la Audiencia Provincial de afirmaciones de hechos básicos para su condena.</w:t>
      </w:r>
    </w:p>
    <w:p w:rsidR="0025129F" w:rsidRDefault="0025129F" w:rsidP="0025129F">
      <w:pPr>
        <w:pStyle w:val="TextoNormal"/>
      </w:pPr>
      <w:r>
        <w:t>Es preciso observar que en una gran parte este segundo componente de la fundamentación que ahora analizamos se reitera por el demandante al argumentar la vulneración de la presunción de inocencia.</w:t>
      </w:r>
    </w:p>
    <w:p w:rsidR="0025129F" w:rsidRDefault="0025129F" w:rsidP="0025129F">
      <w:pPr>
        <w:pStyle w:val="TextoNormal"/>
      </w:pPr>
      <w:r>
        <w:t>Analizando ese doble contenido por su orden, se ha de advertir que la alusión genérica a la ausencia de rigor lógico de la inferencia probatoria bajo la cobertura del art. 24.1 CE, con la que se inicia este segundo fundamento ahora analizado, no tiene su continuidad, cual sería lo propio, en una intentada demostración de dónde pueda estar en el caso actual la quiebra lógica de la inferencia, por lo que dicha argumentación resulta inoperante. Una cosa es que puedan existir contenidos fácticos incluidos en la fundamentación jurídica de la Sentencia recurrida que no se correspondan con el relato de hechos probados de la de primera instancia (lo que, en su caso, puede tener relación, bien con los límites del recurso de casación respecto del factum de aquella Sentencia, bien con el derecho a la presunción de inocencia, si esos contenidos fácticos adolecen de falta del adecuado soporte probatorio), y otra distinta que exista una falta de rigor lógico en una inferencia probatoria.</w:t>
      </w:r>
    </w:p>
    <w:p w:rsidR="0025129F" w:rsidRDefault="0025129F" w:rsidP="0025129F">
      <w:pPr>
        <w:pStyle w:val="TextoNormal"/>
      </w:pPr>
      <w:r>
        <w:t>Y en cuanto a la alegada introducción en la Sentencia ahora impugnada de elementos de hecho no incluidos en el factum de la Sentencia recurrida en casación, como elementos de base para la apreciación de la existencia de la imprudencia profesional por la que se condenó al recurrente, ha de observarse que desde la limitada óptica constitucional del art. 24.1 CE no nos corresponde decidir si es o no conforme a los límites de un recurso de casación interpuesto por el motivo del art. 849.1 LECrim el alegado desbordamiento del relato de hechos probados de la Sentencia recurrida. Se trata de una cuestión de legalidad ordinaria, propia de la potestad jurisdiccional, atribuida por el art. 117.3 CE a los Juzgados y Tribunales ordinarios, y en cuyo ejercicio el art. 123.1 CE establece la superioridad del Tribunal Supremo.</w:t>
      </w:r>
    </w:p>
    <w:p w:rsidR="0025129F" w:rsidRDefault="0025129F" w:rsidP="0025129F">
      <w:pPr>
        <w:pStyle w:val="TextoNormal"/>
      </w:pPr>
      <w:r>
        <w:t>Desde la óptica constitucional que nos es propia sólo nos incumbe enjuiciar si ese alegado desbordamiento ha producido o no indefensión al demandante de amparo. Al respecto debe indicarse que lo que el recurrente califica de apreciaciones fácticas, no recogidas en el factum de la Sentencia de primera instancia, no son sino respuesta a planteamientos de los recurrentes en casación, que, a su vez, pudieron ser objeto de contradicción en ese recurso por parte del demandante de amparo, al impugnarlo; lo que excluye la indefensión.</w:t>
      </w:r>
    </w:p>
    <w:p w:rsidR="0025129F" w:rsidRDefault="0025129F" w:rsidP="0025129F">
      <w:pPr>
        <w:pStyle w:val="TextoNormal"/>
      </w:pPr>
      <w:r>
        <w:t>En cuanto a la calificación por el actor de que la alteración de la base fáctica de la Sentencia recurrida en casación pudiera calificarse de incongruencia en relación con el recurso, interpuesto únicamente por la vía del art. 849.1 LECrim, independientemente de que no sea esa la calificación más correcta, ese alegado vicio, de existir, hubiera tenido su posible remedio por el cauce del art. 240.3 LOPJ, medio de impugnación que, dado el carácter subsidiario del recurso de amparo, de constante proclamación en nuestra jurisprudencia, (por todas STC 192/2001, de 4 de octubre, FJ 3), debió haber utilizado el actor antes de la formulación de la demanda de amparo, conforme lo dispuesto en el art. 44.1 a) LOTC (por todas STC 168/2001, de 16 de julio, FJ 2, y la doctrina allí citada), lo que no hizo, sin que tal omisión se subsane por el posterior intento frustrado de ese medio impugnatorio.</w:t>
      </w:r>
    </w:p>
    <w:p w:rsidR="0025129F" w:rsidRDefault="0025129F" w:rsidP="0025129F">
      <w:pPr>
        <w:pStyle w:val="TextoNormal"/>
      </w:pPr>
      <w:r>
        <w:lastRenderedPageBreak/>
        <w:t>Se impone pues, el rechazo de la alegada vulneración del art. 24.1 CE.</w:t>
      </w:r>
    </w:p>
    <w:p w:rsidR="0025129F" w:rsidRDefault="0025129F" w:rsidP="0025129F">
      <w:pPr>
        <w:pStyle w:val="TextoNormal"/>
      </w:pPr>
    </w:p>
    <w:p w:rsidR="0025129F" w:rsidRDefault="0025129F" w:rsidP="0025129F">
      <w:pPr>
        <w:pStyle w:val="TextoNormal"/>
      </w:pPr>
      <w:r w:rsidRPr="0025129F">
        <w:rPr>
          <w:rStyle w:val="NumeroAFNegritaCaracter"/>
        </w:rPr>
        <w:t>5</w:t>
      </w:r>
      <w:r>
        <w:t>. En cuanto a la vulneración del art. 24.2 CE; esto es, del derecho fundamental a la presunción de inocencia, cuya fundamentación queda reflejada en el antecedente 3 b), dicha vulneración se centra en el hecho de que la Sentencia recurrida no expresa cuáles son las pruebas que soportan el relato de hechos probados de la Sentencia de primera instancia del proceso a quo, que, a su vez, y al haber absuelto por falta de tipicidad, no expresó por su parte nada al respecto.</w:t>
      </w:r>
    </w:p>
    <w:p w:rsidR="0025129F" w:rsidRDefault="0025129F" w:rsidP="0025129F">
      <w:pPr>
        <w:pStyle w:val="TextoNormal"/>
      </w:pPr>
      <w:r>
        <w:t>No se plantea, pues, la vulneración en términos de inexistencia de prueba de cargo, sino en sentido de la total ausencia de explicitación de los medios de ella que han conducido al relato fáctico de la Sentencia de instancia, así como a las consideraciones fácticas incluidas en la fundamentación jurídica de la del Tribunal Supremo, y a la falta de valoración razonada de la eficacia atribuida a las pruebas practicadas en el juicio oral.</w:t>
      </w:r>
    </w:p>
    <w:p w:rsidR="0025129F" w:rsidRDefault="0025129F" w:rsidP="0025129F">
      <w:pPr>
        <w:pStyle w:val="TextoNormal"/>
      </w:pPr>
      <w:r>
        <w:t>Conviene observar que en este último punto la fundamentación referida a la vulneración del derecho fundamental a la presunción de inocencia viene a reiterar planteamientos anteriores del demandante, efectuados bajo el marco de la tutela judicial efectiva, ya examinados y rechazados desde esa clave constitucional.</w:t>
      </w:r>
    </w:p>
    <w:p w:rsidR="0025129F" w:rsidRDefault="0025129F" w:rsidP="0025129F">
      <w:pPr>
        <w:pStyle w:val="TextoNormal"/>
      </w:pPr>
      <w:r>
        <w:t>Es precisamente esa reiteracción, la que justifica que, al dar la respuesta específica a ésta concreta alegación, deba seguirse una línea de coherencia lógica con lo ya expuesto.</w:t>
      </w:r>
    </w:p>
    <w:p w:rsidR="0025129F" w:rsidRDefault="0025129F" w:rsidP="0025129F">
      <w:pPr>
        <w:pStyle w:val="TextoNormal"/>
      </w:pPr>
      <w:r>
        <w:t>La cuestión que el recurrente plantea desde la óptica actual de la presunción de inocencia, la de la falta de razonamiento de los medios de prueba y su valoración, tendría sentido, si de algún modo en la impugnación del recurso de casación el demandante se hubiese dolido de esa falta de razonamiento de la conclusión probatoria de la Sentencia de instancia, puesto que es ese relato, y no otro, el soporte fáctico de su condena.</w:t>
      </w:r>
    </w:p>
    <w:p w:rsidR="0025129F" w:rsidRDefault="0025129F" w:rsidP="0025129F">
      <w:pPr>
        <w:pStyle w:val="TextoNormal"/>
      </w:pPr>
      <w:r>
        <w:t>En el caso actual la argumentación del actor en la que se denuncia la falta de razonamiento de la prueba tiene un doble objeto de referencia: el relato de hechos probados de la Sentencia de la Audiencia Provincial, y los alegados aditamentos de ese relato, a su juicio, contenidos en la fundamentación jurídica de la Sentencia del Tribunal Supremo. La solución procedente en cada una de esas dos referencias debe ser distinta.</w:t>
      </w:r>
    </w:p>
    <w:p w:rsidR="0025129F" w:rsidRDefault="0025129F" w:rsidP="0025129F">
      <w:pPr>
        <w:pStyle w:val="TextoNormal"/>
      </w:pPr>
      <w:r>
        <w:t>En cuanto a la primera, según lo ya adelantado, el cuestionamiento de la falta de argumentación del soporte probatorio del relato de hechos probados, para poder ser planteado ante este Tribunal Constitucional, debía haber sido suscitado previamente ante el Tribunal Supremo, lo que el actor no hizo. Y esa omisión del demandante le cierra el paso para que pueda plantearlo per saltum y por primera vez en el recurso de amparo.</w:t>
      </w:r>
    </w:p>
    <w:p w:rsidR="0025129F" w:rsidRDefault="0025129F" w:rsidP="0025129F">
      <w:pPr>
        <w:pStyle w:val="TextoNormal"/>
      </w:pPr>
      <w:r>
        <w:t>Y en cuanto a la segunda de las referencias, no habría obstáculo, en principio, para el cuestionamiento de la conclusión probatoria si, en efecto, existiese la adición de hechos que el recurrente alega. Pero el examen de la Sentencia del Tribunal Supremo, y en este punto debe aceptarse la tesis del Ministerio Fiscal, no justifica la imputación que le hace el demandante. No existe propiamente en la fundamentación jurídica de dicha Sentencia adición de ningún contenido fáctico significativo que no existiera en la Sentencia de la Audiencia Provincial, sino simplemente un complemento argumental del relato de hechos probados de ésta, expuesto desde la óptica de la justificación de la existencia en ese relato de hechos de una conducta culposa. Se trata más bien de la argumentación jurídica y valorativa alusiva a la concurrencia del elemento culpa, y no de la configuración de una determinada conducta imputable al recurrente. Esto sentado, falta la base para poder imponer a la Sentencia del Tribunal Supremo la carga de un razonamiento probatorio, solo exigible, en su caso, cuando el objeto de discusión es el relato de hechos probados.</w:t>
      </w:r>
    </w:p>
    <w:p w:rsidR="0025129F" w:rsidRDefault="0025129F" w:rsidP="0025129F">
      <w:pPr>
        <w:pStyle w:val="TextoNormal"/>
      </w:pPr>
      <w:r>
        <w:lastRenderedPageBreak/>
        <w:t>Ha de rechazarse por ello la alegada vulneración de la presunción de inocencia, lo que conduce a la denegación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6</w:t>
      </w:r>
      <w:r>
        <w:t>. Finalmente, y en cuanto a la reserva solicitada en este proceso por la compareciente compañía mercantil Asisa, en la medida en que ni en la Sentencia recurrida ni en la de instancia existe la absolución a que se refiere en su alegación, carece de base su petición; por lo que no procede hacer la reserva solicitada.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recuso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rsidP="0025129F">
      <w:pPr>
        <w:pStyle w:val="ParrafoNormal"/>
      </w:pPr>
    </w:p>
    <w:p w:rsidR="0025129F" w:rsidRDefault="0025129F" w:rsidP="0025129F">
      <w:pPr>
        <w:pStyle w:val="TextoNormalNegritaCentrado"/>
        <w:keepNext/>
      </w:pPr>
      <w:r>
        <w:t>Voto particular que formula el Magistrado don Vicente Conde Martín de Hijas respecto de la Sentencia dictada en el recurso de amparo núm. 880/99.</w:t>
      </w:r>
    </w:p>
    <w:p w:rsidR="0025129F" w:rsidRDefault="0025129F" w:rsidP="0025129F">
      <w:pPr>
        <w:pStyle w:val="TextoNormalNegritaCentrado"/>
        <w:keepNext/>
      </w:pPr>
    </w:p>
    <w:p w:rsidR="0025129F" w:rsidRDefault="0025129F" w:rsidP="0025129F">
      <w:pPr>
        <w:pStyle w:val="TextoNormal"/>
      </w:pPr>
      <w:r>
        <w:t>Aunque como Ponente he asumido la misión de expresar en la Sentencia el parecer de la Sala, dado que el mío propio se distancia de aquél, creo oportuno dar publicidad a mi criterio discrepante, haciendo uso de la facultad establecido en el artículo 90.2 LOTC, y, por supuesto, expresando de antemano mi respeto por la opinión contraria.</w:t>
      </w:r>
    </w:p>
    <w:p w:rsidR="0025129F" w:rsidRDefault="0025129F" w:rsidP="0025129F">
      <w:pPr>
        <w:pStyle w:val="TextoNormal"/>
      </w:pPr>
      <w:r>
        <w:t>1. En mi personal criterio la Sentencia incurre en un exceso de formalismo cuando deduce del hecho de que el actor “en la casación [no] hubiese manifestado en algún sentido su censura del relato de hechos probados de la Sentencia de la Audiencia Provincial” (FJ 4) tanto el rechazo de la indefensión, lesiva del art. 24.1 CE (por no haber podido impugnar en casación dicha Sentencia por la vía del art. 849.2 LECrim, al haber sido aquélla absolutoria), como el de la vulneración de la presunción de inocencia, (art. 24.2 CE) (basada en esencia en el mismo motivo de no haber intentado impugnar el relato de hechos probados en el recurso de casación).</w:t>
      </w:r>
    </w:p>
    <w:p w:rsidR="0025129F" w:rsidRDefault="0025129F" w:rsidP="0025129F">
      <w:pPr>
        <w:pStyle w:val="TextoNormal"/>
      </w:pPr>
      <w:r>
        <w:t>A mi juicio, dada la jurisprudencia de la Sala Segunda del Tribunal Supremo al respecto, se parte de una consideración poco realista de la posibilidad del acusado absuelto de impugnar la Sentencia que le absuelve, al producirse el recurso de casación de contrario.</w:t>
      </w:r>
    </w:p>
    <w:p w:rsidR="0025129F" w:rsidRDefault="0025129F" w:rsidP="0025129F">
      <w:pPr>
        <w:pStyle w:val="TextoNormal"/>
      </w:pPr>
      <w:r>
        <w:t>Si el acusado absuelto carece de legitimación para recurrir dicha Sentencia, cuando ésta es recurrida por la parte contraria en el proceso penal, no me parece correcto que desde la óptica constitucional que nos es propia: la del derecho de tutela judicial efectiva sin indefensión, pueda erigirse de hecho en óbice para él éxito del recurso de amparo el que el recurrente no hiciese en el previo recurso de casación lo que no podía hacer.</w:t>
      </w:r>
    </w:p>
    <w:p w:rsidR="0025129F" w:rsidRDefault="0025129F" w:rsidP="0025129F">
      <w:pPr>
        <w:pStyle w:val="TextoNormal"/>
      </w:pPr>
      <w:r>
        <w:t>Aun sin decirlo en estos literales términos, en este caso prácticamente nuestra Sentencia viene a erigir en presupuesto de admisibilidad del recurso de amparo el seguimiento de un previo cauce judicial impugnatorio inviable, y por ello destinado al fracaso.</w:t>
      </w:r>
    </w:p>
    <w:p w:rsidR="0025129F" w:rsidRDefault="0025129F" w:rsidP="0025129F">
      <w:pPr>
        <w:pStyle w:val="TextoNormal"/>
      </w:pPr>
      <w:r>
        <w:lastRenderedPageBreak/>
        <w:t>2. Tomada por ahora, como base de partida, a los solos efectos dialécticos, y dada la jurisprudencia del Tribunal Supremo a que más adelante me referiré, la de la inexistencia del cauce impugnatorio que nuestra Sentencia estima no seguido por el actor, me parece fácilmente explicable la táctica de defensa utilizada por él en la impugnación de los recursos de casación, (la de imputar a dichos recursos el no respetar el relato de hechos probados de la Sentencia recurrida de la Audiencia Provincial), táctica que en la fundamentación de nuestra Sentencia se viene a considerar contradictoria con la utilizada en el recurso de amparo.</w:t>
      </w:r>
    </w:p>
    <w:p w:rsidR="0025129F" w:rsidRDefault="0025129F" w:rsidP="0025129F">
      <w:pPr>
        <w:pStyle w:val="TextoNormal"/>
      </w:pPr>
      <w:r>
        <w:t>Sin negar por completo que tal contradicción pueda existir, me parece que la misma es más aparente que real, si se tiene en cuenta que la argumentación del actor en el recurso de amparo se integra además con otros elementos de suma transcendencia en su planteamiento. En tal sentido debe destacarse el alegato de que la fundamentación jurídica de la Sentencia del Tribunal Supremo incorpora datos de hecho no incluidos en la declaración de los probados de la Sentencia de la Audiencia Provincial, y que prescinde de otros puntos de dicha declaración de decisiva importancia, a su juicio, para la configuración de la conducta culposa que se le imputa.</w:t>
      </w:r>
    </w:p>
    <w:p w:rsidR="0025129F" w:rsidRDefault="0025129F" w:rsidP="0025129F">
      <w:pPr>
        <w:pStyle w:val="TextoNormal"/>
      </w:pPr>
      <w:r>
        <w:t>Siendo ello así, que en el recurso de casación el recurrente no tratase de impugnar el relato de hechos probados de la Sentencia absolutoria (cuando podía considerar que no tenía posibilidad procesal de hacerlo, y cuando simultáneamente podía estimar que ese relato no le era adverso; y que lo adverso en ese momento eran las extralimitaciones respecto de él de los recursos de casación de contrario); y que cuestione dicho relato en su recurso de amparo (que es el único momento en que, a su juicio, se le abre la posibilidad de impugnarlo, y cuando ese relato, en su criterio, ha sido matizado con adiciones y supresiones transcendentales para la configuración de su conducta delictiva), no me parece que pueda calificarse de planteamiento contradictorio, como base argumental para sostener, como se hace en nuestra Sentencia, que el planteamiento de indefensión del actor es sólo teórico y no real.</w:t>
      </w:r>
    </w:p>
    <w:p w:rsidR="0025129F" w:rsidRDefault="0025129F" w:rsidP="0025129F">
      <w:pPr>
        <w:pStyle w:val="TextoNormal"/>
      </w:pPr>
      <w:r>
        <w:t>Creo que la argumentación de nuestra Sentencia, sin perjuicio de su rigor lógico, adolece de falta de realismo, si se tiene en cuenta, por una parte lo que el actor podía y no podía hacer en cada momento (en el de impugnación de los recursos de casación y en el de interposición del de amparo); y, por otra, el hecho de que la lesividad para él del relato de hechos probados de la Sentencia absolutoria de la Audiencia Provincial cuando se ha manifestado, es a partir de la Sentencia condenatoria del Tribunal Supremo.</w:t>
      </w:r>
    </w:p>
    <w:p w:rsidR="0025129F" w:rsidRDefault="0025129F" w:rsidP="0025129F">
      <w:pPr>
        <w:pStyle w:val="TextoNormal"/>
      </w:pPr>
      <w:r>
        <w:t>Las diferentes tácticas impugnatorias en dos procesos distintos, cada uno con sus propias limitaciones, pueden explicar en términos realistas lo que nuestra Sentencia considera como planteamiento contradictorio.</w:t>
      </w:r>
    </w:p>
    <w:p w:rsidR="0025129F" w:rsidRDefault="0025129F" w:rsidP="0025129F">
      <w:pPr>
        <w:pStyle w:val="TextoNormal"/>
      </w:pPr>
      <w:r>
        <w:t>3. Nuestra Sentencia culmina su fundamento jurídico 3 con una referencia a la hipótesis de que el “demandante de amparo hubiese manifestado en la casación en algún sentido su censura del relato de hechos probados de la Sentencia de la Audiencia Provincial y procurado en lo posible su revisión, intentando, en su caso, la adhesión al recurso de casación por la vía del art. 861 LECrim, párrafo final, y que hubiese visto frustrado su intento en razón de la jurisprudencia del Tribunal Supremo sobre tal mecanismo procesal (Sentencias de 7 de marzo de 1988, 9 de diciembre de 1992, 22 de abril de 1993, 8 de febrero de 1995, 23 de junio de 1999, 27 de septiembre de 1999 y 10 de marzo de 2000; y Autos de 13 de marzo de 1996 y 17 de febrero de 2000), supuesto en el que el alegato de indefensión pudiera exigir de este Tribunal un examen de la conformidad de la interpretación usual de ese precepto con los imperativos constitucionales de defensa del acusado”.</w:t>
      </w:r>
    </w:p>
    <w:p w:rsidR="0025129F" w:rsidRDefault="0025129F" w:rsidP="0025129F">
      <w:pPr>
        <w:pStyle w:val="TextoNormal"/>
      </w:pPr>
      <w:r>
        <w:lastRenderedPageBreak/>
        <w:t>Creo que es precisamente la apuntada en el párrafo transcrito la clave adecuada en este recurso de amparo, y la que, a mi juicio, debiera haber conducido a su éxito.</w:t>
      </w:r>
    </w:p>
    <w:p w:rsidR="0025129F" w:rsidRDefault="0025129F" w:rsidP="0025129F">
      <w:pPr>
        <w:pStyle w:val="TextoNormal"/>
      </w:pPr>
      <w:r>
        <w:t>Y no comparto la explicación contraria a él, expresada a continuación del párrafo transcrito, en la que en nuestra Sentencia se afirma que “ni el recurrente plantea en este amparo la existencia de ninguna traba al intento de utilización de tal instituto procesal, ni, sobre todo, existe ningún planteamiento en el trámite de casación de un posible reproche de indefensión, que, en su caso, pudiera haber dado al Tribunal Supremo la oportunidad de remediarla, por lo que el carácter subsidiario del recurso de amparo impide que esa pretendida indefensión pueda plantearse por primera vez ante este Tribunal”.</w:t>
      </w:r>
    </w:p>
    <w:p w:rsidR="0025129F" w:rsidRDefault="0025129F" w:rsidP="0025129F">
      <w:pPr>
        <w:pStyle w:val="TextoNormal"/>
      </w:pPr>
      <w:r>
        <w:t>Creo que en tal modo de razonar se manifiesta el exceso de formalismo de nuestra Sentencia, a que me he referido al principio.</w:t>
      </w:r>
    </w:p>
    <w:p w:rsidR="0025129F" w:rsidRDefault="0025129F" w:rsidP="0025129F">
      <w:pPr>
        <w:pStyle w:val="TextoNormal"/>
      </w:pPr>
      <w:r>
        <w:t>Que el recurrente no haya utilizado un medio impugnatorio (el de la adhesión al recurso de casación de sus contrarios en el proceso penal) que, según la jurisprudencia del Tribunal Supremo, no era procedente, y que ni siquiera aluda a él en el presente recurso de amparo, no puede ser elemento determinante para que, desde la óptica constitucional que nos es propia, a la hora de enfrentarnos por nuestra parte a su alegación de indefensión, por no haber tenido oportunidad de impugnar el relato de hechos probados, soporte de su condena, podamos enjuiciar si realmente tal indefensión se ha producido o no, y para que, en caso afirmativo, podamos concluir que ese cauce procesal no utilizado deba ser el remedio de dicha indefensión.</w:t>
      </w:r>
    </w:p>
    <w:p w:rsidR="0025129F" w:rsidRDefault="0025129F" w:rsidP="0025129F">
      <w:pPr>
        <w:pStyle w:val="TextoNormal"/>
      </w:pPr>
      <w:r>
        <w:t>En otros términos, si entendiéramos que la indefensión ha existido, y que la no utilización del referido cauce procesal tiene la excusa en la jurisprudencia del Tribunal Supremo, ni habría óbice procedimental relacionado con la omisión de una vía previa condenada al fracaso, ni el hecho de que el demandante de amparo no haya advertido la posibilidad de utilizar tal cauce de defensa, cerrado por la jurisprudencia del Tribunal Supremo, impide que por nuestra parte podamos señalarlo como idóneo.</w:t>
      </w:r>
    </w:p>
    <w:p w:rsidR="0025129F" w:rsidRDefault="0025129F" w:rsidP="0025129F">
      <w:pPr>
        <w:pStyle w:val="TextoNormal"/>
      </w:pPr>
      <w:r>
        <w:t>4. Analizando, pues, el alegato de indefensión del recurrente, desde otra óptica que la de la Sentencia debemos examinar si, en efecto, éste no ha podido defenderse en el recurso de casación frente al relato de hechos probados que le es adverso, en razón del sentido absolutorio de la Sentencia.</w:t>
      </w:r>
    </w:p>
    <w:p w:rsidR="0025129F" w:rsidRDefault="0025129F" w:rsidP="0025129F">
      <w:pPr>
        <w:pStyle w:val="TextoNormal"/>
      </w:pPr>
      <w:r>
        <w:t>Sobre esa base la cuestión a analizar es si el ordenamiento procesal penal arbitra para estos casos algún medio, de cuyo uso pueda haber sido privado el actor; pues de que exista, o no, dependerá, bien la posibilidad de imputar el defecto de su uso, o la no admisión de éste, al demandante, o al órgano jurisdiccional, respectivamente, bien un déficit del ordenamiento jurídico, habida cuenta de que el derecho de defensa en el orden penal (art. 24.2 CE), y a diferencia de otros órdenes jurisdiccionales (SSTC 199/1994, de 4 de julio, FJ 2; 169/1996, de 29 de octubre, FJ 2; 19/2000, de 31 de enero, FJ 3; 133/2000, de 16 de mayo, FJ 3; 295/2000, de 11 de diciembre, FJ 2; 112/2001, de 7 de mayo, FJ 2) incluye la existencia de un doble grado jurisdiccional, que viene impuesto por la necesidad, según el art. 10.2 CE, de interpretar las normas relativas a los derechos fundamentales de conformidad con la Declaración universal de los derechos humanos y los tratados y acuerdos internacionales sobre las mismas materias ratificadas por España, siendo así que, con arreglo a lo dispuesto en el art. 14.5 del Pacto internacional de derechos civiles y políticos de 16 de diciembre de 1966 (ratificado por España por Instrumento de 13 de abril de 1977), está establecido el principio del doble grado jurisdiccional en materia penal.</w:t>
      </w:r>
    </w:p>
    <w:p w:rsidR="0025129F" w:rsidRDefault="0025129F" w:rsidP="0025129F">
      <w:pPr>
        <w:pStyle w:val="TextoNormal"/>
      </w:pPr>
      <w:r>
        <w:t xml:space="preserve">En ese marco normativo si el ordenamiento jurídico español prevé un cauce procesal idóneo por la impugnación de relato de hechos probados de una sentencia, que, aunque absolutoria por razones que nada tienen que ver con ese relato, puede establecer la base </w:t>
      </w:r>
      <w:r>
        <w:lastRenderedPageBreak/>
        <w:t>para una ulterior condena en un superior grado jurisdiccional, la privación de ese medio de defensa debe considerarse indudablemente como una indefensión constitucionalmente significativa, que puede considerarse vulneradora del derecho de tutela judicial efectiva del art. 24.1 CE, o incluso del derecho a un proceso con todas las garantías del art. 24.2 CE.</w:t>
      </w:r>
    </w:p>
    <w:p w:rsidR="0025129F" w:rsidRDefault="0025129F" w:rsidP="0025129F">
      <w:pPr>
        <w:pStyle w:val="TextoNormal"/>
      </w:pPr>
      <w:r>
        <w:t>5. Pues bien, ha de observarse que en el régimen del recurso de casación el art. 861 de la vigente LECrim dispone en su párrafo final que “la parte que no haya preparado el recurso podrá adherirse a él en el término del emplazamiento, o al instruirse del formulado por la otra, alegando los motivos que le convengan”. Cabe entender, en principio, que, existiendo ese posible cauce de impugnación, el sentido absolutorio de la sentencia no es óbice constitucionalmente admisible para impugnar el contenido de ella susceptible de fundamentar una ulterior condena, si prosperase el recurso contra esa misma sentencia, interpuesto por otra parte del proceso penal (en este caso el Ministerio Fiscal y la acusación particular).</w:t>
      </w:r>
    </w:p>
    <w:p w:rsidR="0025129F" w:rsidRDefault="0025129F" w:rsidP="0025129F">
      <w:pPr>
        <w:pStyle w:val="TextoNormal"/>
      </w:pPr>
      <w:r>
        <w:t>Conviene advertir que no es propio del cometido de este Tribunal Constitucional fijar la interpretación correcta de la legalidad ordinaria, papel constitucionalmente atribuido a los órganos de la jurisdicción ordinaria (art. 117.3 CE), entre los que el Tribunal Supremo, según lo dispuesto en el art. 123.1 CE, es el órgano superior, salvo lo dispuesto en materia de garantías constitucionales. Pero precisamente en la salvaguarda de estas garantías, y en concreto en la del derecho de defensa en el proceso penal con todas las garantías (art. 24.1 y 2 CE) se abre un espacio a la jurisdicción constitucional en el recurso de amparo para juzgar si es, o no, admisible la interpretación del precepto citado de la LECrim, conducente a un resultado contrario a dicho derecho fundamental.</w:t>
      </w:r>
    </w:p>
    <w:p w:rsidR="0025129F" w:rsidRDefault="0025129F" w:rsidP="0025129F">
      <w:pPr>
        <w:pStyle w:val="TextoNormal"/>
      </w:pPr>
      <w:r>
        <w:t>Téngase en cuanta que en el presente recurso de amparo lo que cuenta desde la óptica constitucional que nos es propia, es que nos hallamos ante el acusado en un proceso penal, absuelto en la instancia, y ante la exigencia de garantía de su plenaria defensa. Tal planteamiento es, así, de partida distinto del que pudiera referirse a otras partes del proceso penal o al mismo acusado en el caso de que hubiera sido condenado.</w:t>
      </w:r>
    </w:p>
    <w:p w:rsidR="0025129F" w:rsidRDefault="0025129F" w:rsidP="0025129F">
      <w:pPr>
        <w:pStyle w:val="TextoNormal"/>
      </w:pPr>
      <w:r>
        <w:t>Si se entiende el precepto referido de la LECrim en su sentido literal y lógico, es claro que el sujeto pasivo de un proceso penal, absuelto en la sentencia, en el caso de que ésta sea recurrida en casación por la parte o partes contrarias, en defensa de su personal interés “podrá adherirse al recurso ... alegando los motivos que le convengan”.</w:t>
      </w:r>
    </w:p>
    <w:p w:rsidR="0025129F" w:rsidRDefault="0025129F" w:rsidP="0025129F">
      <w:pPr>
        <w:pStyle w:val="TextoNormal"/>
      </w:pPr>
      <w:r>
        <w:t>Adviértase que el precepto no contiene ningún elemento limitativo de quiénes sean las partes que, no habiéndolo interpuesto, puedan adherirse al recurso que lo ha sido por otra parte. Se infiere de ello que esa posibilidad de adhesión está legalmente abierta, no sólo a los que se encuentran en el proceso en una situación consorcial o similar (en la de acusadores o acusados), sino a los que se hallan en una posición procesalmente enfrentada, de contrarios.</w:t>
      </w:r>
    </w:p>
    <w:p w:rsidR="0025129F" w:rsidRDefault="0025129F" w:rsidP="0025129F">
      <w:pPr>
        <w:pStyle w:val="TextoNormal"/>
      </w:pPr>
      <w:r>
        <w:t>Al propio tiempo tampoco la Ley limita ni los motivos que pueden utilizarse en la adhesión ni su carácter en relación con el inicial recurso de casación, que puede haber sido interpuesto por la parte contraria; lo que abre un amplio espacio para entender que es sólo la conveniencia del que alega el motivo, y no la relación de éste con las que sirven de fundamento al inicial recurso de casación, la pauta delimitadora de los motivos admisibles en la adhesión.</w:t>
      </w:r>
    </w:p>
    <w:p w:rsidR="0025129F" w:rsidRDefault="0025129F" w:rsidP="0025129F">
      <w:pPr>
        <w:pStyle w:val="TextoNormal"/>
      </w:pPr>
      <w:r>
        <w:t>De la ausencia de esos hipotéticos elementos limitativos puede inferirse con naturalidad la posibilidad de que el acusado absuelto, que en tal situación no tendría, en principio, interés legitimador alguno para recurrir la sentencia que lo absuelve, si surge frente a él una nueva situación de riesgo de condena, derivada de la interposición del recurso de ca</w:t>
      </w:r>
      <w:r>
        <w:lastRenderedPageBreak/>
        <w:t>sación de la parte acusadora, pueda hallarse en la necesidad de defenderse, no sólo frente al recurso, sino frente a determinados contenidos de la sentencia recurrida, que puedan justificar su condena, y que en tal caso, y en cuanto “parte que no ha[ya] preparado el recurso”, “podrá adherirse a él”, y para ello podrá alegar “los motivos que le convengan”.</w:t>
      </w:r>
    </w:p>
    <w:p w:rsidR="0025129F" w:rsidRDefault="0025129F" w:rsidP="0025129F">
      <w:pPr>
        <w:pStyle w:val="TextoNormal"/>
      </w:pPr>
      <w:r>
        <w:t>Tales motivos, lógicamente, pueden ser en su caso especial de sentido contrario a los que fundan el recurso de casación que abre la oportunidad de la adhesión, pues si no, mal pueden servir a la defensa propia, que es la clave constitucional obligada de la interpretación, ex art. 24.1 y 2 CE, en relación con el art. 5.1 LOPJ.</w:t>
      </w:r>
    </w:p>
    <w:p w:rsidR="0025129F" w:rsidRDefault="0025129F" w:rsidP="0025129F">
      <w:pPr>
        <w:pStyle w:val="TextoNormal"/>
      </w:pPr>
      <w:r>
        <w:t>Adhesión puede ser así, desde la concreta posición del acusado absuelto, yuxtaposición de recursos, y no solo corroboración de un recurso precedente, respondiendo ambos sentido de adhesión al significado gramatical y lógico de ese concepto.</w:t>
      </w:r>
    </w:p>
    <w:p w:rsidR="0025129F" w:rsidRDefault="0025129F" w:rsidP="0025129F">
      <w:pPr>
        <w:pStyle w:val="TextoNormal"/>
      </w:pPr>
      <w:r>
        <w:t>Interpretado así el precepto, no se dará ninguna situación de indefensión constitucionalmente significativa de quien, absuelto en una sentencia, puede, ello no obstante, encontrarse ante contenidos de la misma que puedan ser soporte de una ulterior condena; pues podrá defenderse de dichos contenidos, impugnándolos mediante la adhesión al recurso contrario, cuando la virtualidad lesiva de los mismos se actualiza por ese recurso.</w:t>
      </w:r>
    </w:p>
    <w:p w:rsidR="0025129F" w:rsidRDefault="0025129F" w:rsidP="0025129F">
      <w:pPr>
        <w:pStyle w:val="TextoNormal"/>
      </w:pPr>
      <w:r>
        <w:t>Por el contrario, una interpretación del precepto legal que en esa hipótesis procesal cierre el paso a la adhesión del acusado absuelto, al impedirle impugnar los contenidos adversos de la sentencia, le sitúa en una clara situación de indefensión constitucionalmente inadmisible, lo que determina que tal interpretación deba considerarse constitucionalmente rechazable.</w:t>
      </w:r>
    </w:p>
    <w:p w:rsidR="0025129F" w:rsidRDefault="0025129F" w:rsidP="0025129F">
      <w:pPr>
        <w:pStyle w:val="TextoNormal"/>
      </w:pPr>
      <w:r>
        <w:t>6. Esa situación de indefensión es en este caso precisamente la situación del recurrente, que parte de que el sentido absolutorio de la Sentencia de la Audiencia Provincial le cerraba la posibilidad de recurrir su relato de hechos probados por el cauce del art. 849.2 LECrim.</w:t>
      </w:r>
    </w:p>
    <w:p w:rsidR="0025129F" w:rsidRDefault="0025129F" w:rsidP="0025129F">
      <w:pPr>
        <w:pStyle w:val="TextoNormal"/>
      </w:pPr>
      <w:r>
        <w:t>La cuestión es si esa personal apreciación fue o no correcta, pues si no lo fue, y no utilizó la vía de defensa sólo por causa a él imputable, o a la de su defensor, la alegada indefensión no existiría.</w:t>
      </w:r>
    </w:p>
    <w:p w:rsidR="0025129F" w:rsidRDefault="0025129F" w:rsidP="0025129F">
      <w:pPr>
        <w:pStyle w:val="TextoNormal"/>
      </w:pPr>
      <w:r>
        <w:t>Se abre con este planteamiento una delicada cuestión, pues si, según la interpretación de la jurisprudencia del Tribunal Supremo, aludida antes, el cauce procesal de la adhesión al recurso de casación de contrario (a los recursos de casación en este caso) no era viable, no puede exigirse al recurrente que, para poderle otorgar el amparo constitucional, deba haber intentado la apertura de un cauce inviable, destinado al fracaso, de modo que la falta de utilización de ese cauce pueda erigirse en óbice para el otorgamiento del amparo.</w:t>
      </w:r>
    </w:p>
    <w:p w:rsidR="0025129F" w:rsidRDefault="0025129F" w:rsidP="0025129F">
      <w:pPr>
        <w:pStyle w:val="TextoNormal"/>
      </w:pPr>
      <w:r>
        <w:t>La tesis contraria, que tendría que ver con el hipotético óbice de admisibilidad del recurso de amparo del art. 50.1 a) en relación con el art. 44.1 a) LOTC, es la que viene proclamándose en nuestra jurisprudencia (SSTC 5/2001, de 15 de enero, FJ 2; 42/2001, de 12 de febrero, FJ 2; 190/2001, de 1 de octubre, FJ 2; 192/2001, de 4 de octubre, FJ 3) a la que debemos ceñirnos en este caso.</w:t>
      </w:r>
    </w:p>
    <w:p w:rsidR="0025129F" w:rsidRDefault="0025129F" w:rsidP="0025129F">
      <w:pPr>
        <w:pStyle w:val="TextoNormal"/>
      </w:pPr>
      <w:r>
        <w:t>Ello sentado, debe observarse que la jurisprudencia del Tribunal Supremo, ya aludida de modo sintético antes, de modo constante y consolidado por el momento, no admite la adhesión, cuando las pretensiones del que intenta adherirse al recurso inicial, son contradictorias con éste.</w:t>
      </w:r>
    </w:p>
    <w:p w:rsidR="0025129F" w:rsidRDefault="0025129F" w:rsidP="0025129F">
      <w:pPr>
        <w:pStyle w:val="TextoNormal"/>
      </w:pPr>
      <w:r>
        <w:t xml:space="preserve">Dicha jurisprudencia viene exigiendo para la adhesión una comunidad de objetivos entre el recurso que llama principal y el adhesivo, atribuyendo a la adhesión una función de asociarse y unirse al recurso, complementando los esfuerzos en pos de un común objetivo, “pues de no ser así no se produciría adhesión, sino que se habría formalizado un nuevo recurso cuando el derecho para ejercitarlo había caducado...” (Auto del Tribunal Supremo </w:t>
      </w:r>
      <w:r>
        <w:lastRenderedPageBreak/>
        <w:t>de 17 de febrero de 2000, que reproduce la doctrina de la Sentencia de 23 de junio de 1999 como exponente de la del Tribunal).  Similar doctrina se reitera, entre otras muchas, en la Sentencia del Tribunal Supremo de 10 de marzo de 2000, también con cita de la de 23 de junio de 1999.</w:t>
      </w:r>
    </w:p>
    <w:p w:rsidR="0025129F" w:rsidRDefault="0025129F" w:rsidP="0025129F">
      <w:pPr>
        <w:pStyle w:val="TextoNormal"/>
      </w:pPr>
      <w:r>
        <w:t>Otras Sentencias atribuyen a la adhesión una calificación procesal precisa de “intervención coadyuvante del primer litigante y por los mismos motivos expuestos por aquél” (entre otras, Sentencia de 27 de septiembre de 1999, y en similar sentido Sentencia de 8 de febrero de 1995), sin que puedan “ampliar los motivos de impugnación contenidos en el escrito de interposición al que se adhiere” (Auto de 13 de marzo de 1996, con cita de Sentencias de 7 de marzo de 1988, de 9 de diciembre de 1992 y de 22 de abril de 1993).</w:t>
      </w:r>
    </w:p>
    <w:p w:rsidR="0025129F" w:rsidRDefault="0025129F" w:rsidP="0025129F">
      <w:pPr>
        <w:pStyle w:val="TextoNormal"/>
      </w:pPr>
      <w:r>
        <w:t>Se destaca en alguna Sentencia, como especialmente en la Sentencia de 16 de septiembre de 1994, la diferencia conceptual entre adhesión al recurso en el orden civil y el penal. Según esta Sentencia, “la adhesión, en el orden civil y con referencia exclusiva al recurso de apelación, no comparte ni es dependiente del recurso principal, sino más bien una apelación principal que se intercala en el recurso provocado por la iniciativa de otro; no es éste el significado que tiene en el recurso de casación penal (vid artículos 854, 861, párrafo final y 874, prenúltimo inciso), pues su designio es coadyuvar a los resultados que pretende obtener el recurso principal...”.</w:t>
      </w:r>
    </w:p>
    <w:p w:rsidR="0025129F" w:rsidRDefault="0025129F" w:rsidP="0025129F">
      <w:pPr>
        <w:pStyle w:val="TextoNormal"/>
      </w:pPr>
      <w:r>
        <w:t>La vinculación de la adhesión al recurso principal se resalta, entre otras muchas anteriores y posteriores, en la Sentencia de 15 de julio de 1994, según la cual “el recurrente por adhesión viene vinculado a los cauces procesales del recurso al que se ha adherido. Y es que esa adhesión tiene una significación peculiar porque en ningún caso, dicho con otras palabras, puede ensanchar el ámbito impugnativo añadiendo nuevos motivos o temas distintos a los planteados por el primitivo recurrente”.</w:t>
      </w:r>
    </w:p>
    <w:p w:rsidR="0025129F" w:rsidRDefault="0025129F" w:rsidP="0025129F">
      <w:pPr>
        <w:pStyle w:val="TextoNormal"/>
      </w:pPr>
      <w:r>
        <w:t>Incluso la jurisprudencia a que aludimos, y esto es de especial significación para el caso actual, ha negado la legitimación para la adhesión al acusado absuelto en la Sentencia de 4 de diciembre de 1998, según la cual, la parte que en el caso decidido en ella se adhirió al recurso “carecía de la legitimación necesaria para alegar esa adhesión con arreglo a lo dispuesto en el artículo 861, último párrafo de la Ley de Enjuiciamiento Criminal según el cual sólo puede adherirse la parte que no haya preparado el recurso, pero para ello, lógicamente, esa parte tiene que tener la posibilidad anterior de recurrir, cosa que no sucede en el caso de autos al haber sido absuelta en la sentencia impugnada la referida señora de los dos delitos de que estaba acusada en la instancia”.</w:t>
      </w:r>
    </w:p>
    <w:p w:rsidR="0025129F" w:rsidRDefault="0025129F" w:rsidP="0025129F">
      <w:pPr>
        <w:pStyle w:val="TextoNormal"/>
      </w:pPr>
      <w:r>
        <w:t>Se apunta, aunque muy esporádicamente, alguna cautela respecto de dicha jurisprudencia, como en la Sentencia de 6 de mayo de 1999, en la que, tras afirmar que “el recurso por adhesión carece ahora de autonomía propia porque es inseparable del recurso principal”, se afirma que “sin embargo han de tenerse presentes otras consideraciones que bajo la protección constitucional pueden rectificar en algún caso la precedente doctrina”.</w:t>
      </w:r>
    </w:p>
    <w:p w:rsidR="0025129F" w:rsidRDefault="0025129F" w:rsidP="0025129F">
      <w:pPr>
        <w:pStyle w:val="TextoNormal"/>
      </w:pPr>
      <w:r>
        <w:t>7. Es precisamente en el caso presente en el que esa reserva del propio Tribunal Supremo debe ser atendida, pues desde las garantías procesales constitucionalmente exigibles para la defensa del acusado por un delito no pueden ser iguales las posiciones del acusado y del acusador, ni puede jugar en el mismo sentido la cuestión referente al doble grado jurisdiccional, consideración esta que determina que la interpretación de los límites de la posible adhesión no tenga que ser idéntica para una y otra parte.</w:t>
      </w:r>
    </w:p>
    <w:p w:rsidR="0025129F" w:rsidRDefault="0025129F" w:rsidP="0025129F">
      <w:pPr>
        <w:pStyle w:val="TextoNormal"/>
      </w:pPr>
      <w:r>
        <w:t>A la luz de la jurisprudencia referida es perfectamente explicable que el demandante no haya considerado posible la adhesión al recurso de casación de contrario, y que, sin plantearse tal posibilidad, haya entendido que la tenía cerrada para impugnar el relato de hechos probados de la Sentencia de la Audiencia Provincial por el cauce del art.  849.2 LE</w:t>
      </w:r>
      <w:r>
        <w:lastRenderedPageBreak/>
        <w:t>Crim, con la consecuente indefensión, llevando a cabo esa impugnación directamente ante este Tribunal Constitucional como vulneración del art. 24.1 CE y también al socaire de la alegada vulneración de la presunción de inocencia (art. 24.2 CE).</w:t>
      </w:r>
    </w:p>
    <w:p w:rsidR="0025129F" w:rsidRDefault="0025129F" w:rsidP="0025129F">
      <w:pPr>
        <w:pStyle w:val="TextoNormal"/>
      </w:pPr>
      <w:r>
        <w:t>Pero que sea explicable tal actitud, y que ello deba ser tenido en consideración para no poderle imputar que ha dejado de utilizar un cauce idóneo para su defensa, lo que le hubiera cerrado el amparo constitucional, no puede llevarnos a aceptar la inexistencia de ese cauce, ni puede justificar que el remedio de la indefensión del demandante, que estimamos se ha producido, pueda ser otro que el de abrirle la posibilidad de utilización de dicho cauce, como medio de tutela frente a la vulneración de su derecho.</w:t>
      </w:r>
    </w:p>
    <w:p w:rsidR="0025129F" w:rsidRDefault="0025129F" w:rsidP="0025129F">
      <w:pPr>
        <w:pStyle w:val="TextoNormal"/>
      </w:pPr>
      <w:r>
        <w:t>Esta consideración me lleva a la personal apreciación de que se debía haber otorgado el amparo que se nos solicita, anulando la Sentencia recurrida por vulneración del art. 24.1 CE, retrotrayendo las actuaciones al momento inicial del trámite de impugnación de los recursos de casación que condujeron a la Sentencia recurrida, para que el recurrente pueda impugnar el relato de hechos probados de la Sentencia de la Audiencia Provincial por el cauce de adhesión al recurso de casación.</w:t>
      </w:r>
    </w:p>
    <w:p w:rsidR="0025129F" w:rsidRDefault="0025129F" w:rsidP="0025129F">
      <w:pPr>
        <w:pStyle w:val="TextoNormal"/>
      </w:pPr>
      <w:r>
        <w:t>8. La solución precedente hace innecesario el análisis de la alegada vulneración del derecho fundamental a la presunción de inocencia, pues sería con ocasión del restablecido trámite de adhesión a la casación, cuando el recurrente pudiera plantear el alegato impugnatorio que sobre el particular aduce en el recurso de amparo, y ante ello el carácter subsidiario de este recurso obliga a esperar al fallo que, en su caso, pudiera dictarse en el recurso de casación.</w:t>
      </w:r>
    </w:p>
    <w:p w:rsidR="0025129F" w:rsidRDefault="0025129F" w:rsidP="0025129F">
      <w:pPr>
        <w:pStyle w:val="TextoNormal"/>
      </w:pPr>
      <w:r>
        <w:t>No obstante, también en este punto discrepo del razonamiento de la Sentencia, que, en mi personal criterio, no se ajusta a la jurisprudencia de este Tribunal, según la cual la expresión razonada de los elementos de cargo tenidos en cuenta en la imputación de una determinada conducta constitutiva de delito ha venido considerándose como contenido del derecho fundamental de presunción de inocencia en reiteradas Sentencias (entre otras, SSTC 182/1989, de 3 de noviembre, FJ 2.f; 41/1991, de 25 de febrero, FJ 1; 33/1992, de 18 de marzo, FJ 4; 102/1994, de 11 de abril, FJ 3; 129/1998, de 16 de junio, FJ 4; 254/1994, de 3 de octubre, FJ 2; 189/1998, de 28 de septiembre, FJ 2; 120/1999, de 28 de junio, FJ 2; 111/1999, de 14 de junio, FJ 2; 5/2000, de 17 de enero, FJ 2; y 141/2001, de 18 de junio, FJ 6).</w:t>
      </w:r>
    </w:p>
    <w:p w:rsidR="0025129F" w:rsidRDefault="0025129F" w:rsidP="0025129F">
      <w:pPr>
        <w:pStyle w:val="TextoNormal"/>
      </w:pPr>
      <w:r>
        <w:t>Mas como esta cuestión considero que no debe abordarse en el presente recurso, no estimo oportuno extenderme al respecto más allá de la simple expresión de la discrepancia con lo razonado en la Sentencia.</w:t>
      </w:r>
    </w:p>
    <w:p w:rsidR="0025129F" w:rsidRDefault="0025129F" w:rsidP="0025129F">
      <w:pPr>
        <w:pStyle w:val="TextoNormal"/>
      </w:pPr>
      <w:r>
        <w:t>9. Así pues, creo que el recurso de amparo debió prosperar en relación con la alegada vulneración del art. 24.1 CE en los términos ya indicados.</w:t>
      </w:r>
    </w:p>
    <w:p w:rsidR="0025129F" w:rsidRDefault="0025129F" w:rsidP="0025129F">
      <w:pPr>
        <w:pStyle w:val="TextoNormal"/>
      </w:pPr>
      <w:r>
        <w:t>En este sentido evacúo mi Voto.</w:t>
      </w:r>
    </w:p>
    <w:p w:rsidR="0025129F" w:rsidRDefault="0025129F" w:rsidP="0025129F">
      <w:pPr>
        <w:pStyle w:val="TextoNormal"/>
      </w:pPr>
      <w:r>
        <w:t>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4" w:name="SENTENCIA_2002_51"/>
      <w:r>
        <w:lastRenderedPageBreak/>
        <w:t>SENTENCIA 51/2002, de 25 de febrero de 2002</w:t>
      </w:r>
    </w:p>
    <w:bookmarkEnd w:id="54"/>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ECLI:ES:TC:2002:51</w:t>
      </w:r>
    </w:p>
    <w:p w:rsidR="0025129F" w:rsidRDefault="0025129F" w:rsidP="0025129F">
      <w:pPr>
        <w:pStyle w:val="SntesisDescriptiva"/>
      </w:pPr>
    </w:p>
    <w:p w:rsidR="0025129F" w:rsidRDefault="0025129F" w:rsidP="0025129F">
      <w:pPr>
        <w:pStyle w:val="SntesisDescriptiva"/>
      </w:pPr>
      <w:r>
        <w:t>Recurso de amparo 1789/1999. Promovido por don José Miguel Tamargo Suárez y otra frente a la Sentencia de la Audiencia Provincial de Oviedo que confirmó su condena por un delito de alzamiento de bienes.</w:t>
      </w:r>
    </w:p>
    <w:p w:rsidR="0025129F" w:rsidRDefault="0025129F" w:rsidP="0025129F">
      <w:pPr>
        <w:pStyle w:val="SntesisDescriptiva"/>
      </w:pPr>
    </w:p>
    <w:p w:rsidR="0025129F" w:rsidRDefault="0025129F" w:rsidP="0025129F">
      <w:pPr>
        <w:pStyle w:val="SntesisAnaltica"/>
      </w:pPr>
      <w:r>
        <w:t>Alegada vulneración del derecho a un proceso sin dilaciones, y vulneración del derecho al juez imparcial: Magistrado que se abstuvo, con anuencia de la Sala de Gobierno, pero que luego interviene en la causa al resolver el recurso de apelación.</w:t>
      </w:r>
    </w:p>
    <w:p w:rsidR="0025129F" w:rsidRDefault="0025129F" w:rsidP="0025129F">
      <w:pPr>
        <w:pStyle w:val="SntesisAnaltica"/>
      </w:pPr>
    </w:p>
    <w:p w:rsidR="0025129F" w:rsidRDefault="0025129F" w:rsidP="0025129F">
      <w:pPr>
        <w:pStyle w:val="Extracto"/>
      </w:pPr>
      <w:r>
        <w:t>1.</w:t>
      </w:r>
      <w:r>
        <w:tab/>
        <w:t>Se ha vulnerado el derecho de los recurrentes a un proceso con todas las garantías (art. 24.2 CE). El recurso de apelación fue resuelto por un Magistrado que no reunía las condiciones de idoneidad exigidas por el ordenamiento jurídico para enjuiciar ese concreto asunto [FJ 3].</w:t>
      </w:r>
    </w:p>
    <w:p w:rsidR="0025129F" w:rsidRDefault="0025129F" w:rsidP="0025129F">
      <w:pPr>
        <w:pStyle w:val="Extracto"/>
      </w:pPr>
    </w:p>
    <w:p w:rsidR="0025129F" w:rsidRDefault="0025129F" w:rsidP="0025129F">
      <w:pPr>
        <w:pStyle w:val="Extracto"/>
      </w:pPr>
      <w:r>
        <w:t>2.</w:t>
      </w:r>
      <w:r>
        <w:tab/>
        <w:t>Cuando la Sala de Gobierno entiende justificada la abstención, el Juez o Magistrado queda inhabilitado para el conocimiento de ese asunto «definitivamente» (art. 122 LOPJ) [FJ 3].</w:t>
      </w:r>
    </w:p>
    <w:p w:rsidR="0025129F" w:rsidRDefault="0025129F" w:rsidP="0025129F">
      <w:pPr>
        <w:pStyle w:val="Extracto"/>
      </w:pPr>
    </w:p>
    <w:p w:rsidR="0025129F" w:rsidRDefault="0025129F" w:rsidP="0025129F">
      <w:pPr>
        <w:pStyle w:val="Extracto"/>
      </w:pPr>
      <w:r>
        <w:t>3.</w:t>
      </w:r>
      <w:r>
        <w:tab/>
        <w:t>Es suficiente con que uno de los Magistrados incurra en una causa de abstención (STC 230/1992) [FJ 3].</w:t>
      </w:r>
    </w:p>
    <w:p w:rsidR="0025129F" w:rsidRDefault="0025129F" w:rsidP="0025129F">
      <w:pPr>
        <w:pStyle w:val="Extracto"/>
      </w:pPr>
    </w:p>
    <w:p w:rsidR="0025129F" w:rsidRDefault="0025129F" w:rsidP="0025129F">
      <w:pPr>
        <w:pStyle w:val="Extracto"/>
      </w:pPr>
      <w:r>
        <w:t>4.</w:t>
      </w:r>
      <w:r>
        <w:tab/>
        <w:t>No puede apreciarse la queja de vulneración del derecho a un proceso sin dilaciones indebidas, al no haber invocado ante el órgano judicial la lesión de este derecho fundamental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1789/99, promovido por don José Miguel Tamargo Suárez y doña Montserrat Fernández Granda, representados por el Procurador de los Tribunales don Nicolás Álvarez Real y asistidos por el Abogado don Fernando Díaz García, con</w:t>
      </w:r>
      <w:r>
        <w:lastRenderedPageBreak/>
        <w:t>tra Sentencia de la Sección Segunda de la Audiencia Provincial de Oviedo de 25 de marzo de 1999, recaída en el rollo de apelación 46/99. Han intervenido el Ministerio Fiscal y don Manuel Ángel Menéndez Campa, quien actúa en su propio nombre y en beneficio de la comunidad de herederos de don Manuel Méndez Egocheaga, representado por el Procurador de los Tribunales don Ignacio Aguilar Fernández y asistido del Letrado don Alberto Alonso Cuervo. Ha sido Ponente el Magistrado don Eugeni Gay Montalvo,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28 de abril de 1999, don José Miguel Tamargo Suarez y doña Montserrat Fernández Granada, bajo la representación procesal del Procurador don Nicolás Álvarez Real, interpusieron demanda de amparo constitucional contra la Sentencia de la Sección Segunda de la Audiencia Provincial de Oviedo, de fecha de 25 de marzo de 1999, dictada en rollo de apelación 46/99, confirmatoria de la del Juzgado de lo Penal de Avilés de 3 de noviembre de 1998, dictada en los autos del juicio oral 321/98 dimanante del procedimiento abreviado 6/93 seguido en el Juzgado de Instrucción núm. 4 de Avilés.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que se fundamenta la demanda son, sucintamente expuestos, los siguientes: </w:t>
      </w:r>
    </w:p>
    <w:p w:rsidR="0025129F" w:rsidRDefault="0025129F" w:rsidP="0025129F">
      <w:pPr>
        <w:pStyle w:val="TextoNormal"/>
      </w:pPr>
      <w:r>
        <w:t xml:space="preserve">a) Los ahora recurrentes en amparo fueron condenados por Sentencia del Juzgado de lo Penal de Avilés de 3 de noviembre de 1998 como autores de un delito de alzamiento de bienes a la pena de un mes y un día de arresto mayor con las accesorias de suspensión de todo cargo público, profesión u oficio y derecho de sufragio durante todo el tiempo de la condena y al pago de una sexta parte de las costas procesales para cada uno de ellos. Contra esta Sentencia interpusieron recurso de apelación. Por Sentencia de 25 de marzo de 1999 la Audiencia Provincial de Oviedo desestimó los recursos interpuestos y confirmó la Sentencia apelada. </w:t>
      </w:r>
    </w:p>
    <w:p w:rsidR="0025129F" w:rsidRDefault="0025129F" w:rsidP="0025129F">
      <w:pPr>
        <w:pStyle w:val="TextoNormal"/>
      </w:pPr>
      <w:r>
        <w:t xml:space="preserve">b) Los hechos por los que fueron condenados consistieron en haber vendido un piso el 20 de abril de 1988 que pertenecía a los demandantes de amparo, cuando contra dicho inmueble se había trabado embargo en la pieza de responsabilidad civil de un sumario seguido contra doña Montserrat Fernández Granda y otros (no contra don Miguel Tamargo), en el que la ahora demandante de amparo fue condenada por Sentencia de la Audiencia Provincial de Oviedo de fecha de 26 de mayo de 1986 por delito de apropiación indebida, entre otros pronunciamientos, a indemnizar a los perjudicados en la cantidad de quince millones de pesetas. La Audiencia Provincial de Oviedo, al tratar de ejecutar la Sentencia por la que fue condenada doña Montserrat Fernández Granda, comprobó que el piso embargado en la pieza de responsabilidad civil (embargo que no había sido anotado en el Registro de la Propiedad) había sido vendido a su hija, doña Patricia Tamargo Fernández (venta que sí fue inscrita en el referido Registro), por lo que ordenó que se dedujera testimonio de particulares y se remitiera al Juzgado Decano de Avilés de Instrucción para su reparto a fin de que se abrieran las diligencias previas pertinentes por si los hechos pudieran ser constitutivos de delito. </w:t>
      </w:r>
    </w:p>
    <w:p w:rsidR="0025129F" w:rsidRDefault="0025129F" w:rsidP="0025129F">
      <w:pPr>
        <w:pStyle w:val="TextoNormal"/>
      </w:pPr>
      <w:r>
        <w:t xml:space="preserve">c) Por el Juzgado núm. 4 de Avilés se incoaron diligencias previas y una vez finalizada la instrucción de las mismas se acordó, por diligencia de ordenación de 31 de enero de 1995, remitirlas a la Audiencia Provincial para su posterior enjuiciamiento. Por Auto de </w:t>
      </w:r>
      <w:r>
        <w:lastRenderedPageBreak/>
        <w:t xml:space="preserve">17 de febrero de 1996 la Sección Segunda de la Audiencia Provincial de Oviedo acordó abstenerse del conocimiento de la causa al considerar que, al haberse iniciado las actuaciones como consecuencia del testimonio de particulares mandado deducir por esa misma Sala, concurría la causa de abstención prevista en el art. 219.6 LOPJ y por el principio de imparcialidad objetiva. Esta abstención fue aprobada por la Sala de Gobierno del Tribunal Superior de Justicia. Posteriormente, tras diversas incidencias procesales, por Auto de 25 de mayo de 1998, la Audiencia Provincial, en virtud de lo dispuesto en el art. 14 LECrim, se inhibió del conocimiento del asunto al apreciar que la competencia para enjuiciar los hechos le correspondía al Juzgado de lo Penal. </w:t>
      </w:r>
    </w:p>
    <w:p w:rsidR="0025129F" w:rsidRDefault="0025129F" w:rsidP="0025129F">
      <w:pPr>
        <w:pStyle w:val="TextoNormal"/>
      </w:pPr>
      <w:r>
        <w:t xml:space="preserve">d) El Juzgado de lo Penal dictó Sentencia el 3 de noviembre de 1998 por la que se condenó a los ahora recurrentes como autores de un delito de alzamiento de bienes a la pena de un mes y un día de arresto mayor. Esta Sentencia fue recurrida en apelación. </w:t>
      </w:r>
    </w:p>
    <w:p w:rsidR="0025129F" w:rsidRDefault="0025129F" w:rsidP="0025129F">
      <w:pPr>
        <w:pStyle w:val="TextoNormal"/>
      </w:pPr>
      <w:r>
        <w:t>La Audiencia Provincial, por Sentencia de 25 de marzo de 1999, desestimó el recurso y confirmó la Sentencia apelada. De esta Sentencia fue Ponente uno de los Magistrados que había deducido el testimonio de particulares que sirvió de denuncia de los hechos por los que los ahora recurrentes en amparo fueron condenados.</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de amparo se alega, en primer lugar, la vulneración del derecho a un proceso sin dilaciones indebidas que consagra el art. 24.2 CE. A juicio de los demandantes de amparo se les ha vulnerado este derecho fundamental por haber tardado siete años en enjuiciar unos hechos que casi no necesitaron instrucción; retraso que no puede ser imputado a los ahora recurrentes, ya que se mantuvieron siempre a disposición del órgano judicial y no perturbaron el curso normal de la causa. También se alega vulneración del derecho a un proceso con todas las garantías (art. 24.2 CE). En concreto, aducen los recurrentes que se les ha vulnerado el derecho a Juez imparcial al haber sido el Magistrado Ponente de la Sentencia de la Audiencia Provincial el mismo que inició el procedimiento penal por medio de la denuncia de los hechos a través del testimonio que junto con otros dos Magistrados libró y remitió al Juzgado Decano de Avilés. </w:t>
      </w:r>
    </w:p>
    <w:p w:rsidR="0025129F" w:rsidRDefault="0025129F" w:rsidP="0025129F">
      <w:pPr>
        <w:pStyle w:val="TextoNormal"/>
      </w:pPr>
      <w:r>
        <w:t>Por otrosí solicita la suspensión de la ejecución de la resolución recurrida.</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Sección, de conformidad con lo dispuesto en el art. 50.3 LOTC, concedió al demandante de amparo y al Ministerio Fiscal un plazo común de diez días para que formulasen las alegaciones que estimaran pertinentes sobre la concurrencia de la causa de inadmisibilidad prevista en el art. 50.1 c) LOTC. Los recurrentes presentaron su escrito de alegaciones el 4 de enero de 2000 en el Registro de este Tribunal. A juicio de los demandantes de amparo, las cuestiones alegadas en su demanda de amparo tienen una indudable trascendencia constitucional. En relación con el primer motivo en el que fundamentan su recurso sostienen que se cumplen todos los requisitos que este Tribunal exige para entender vulnerado el derecho fundamental a un proceso sin dilaciones indebidas, ya que un proceso penal que no tenía complejidad ha tardado en resolverse siete años sin que este retraso pueda ser imputado a los ahora recurrentes, ya que no realizaron ninguna actividad dilatoria que pudiera retrasar su tramitación. Alegan también que denunciaron está vulneración constitucional ante el órgano judicial con lo que también se cumple este requisito procesal. </w:t>
      </w:r>
    </w:p>
    <w:p w:rsidR="0025129F" w:rsidRDefault="0025129F" w:rsidP="0025129F">
      <w:pPr>
        <w:pStyle w:val="TextoNormal"/>
      </w:pPr>
      <w:r>
        <w:t>Por lo que se refiere al segundo motivo del recurso, sostienen los recurrentes que existe la vulneración del art. 24.2 CE denunciada, pues entienden que es contrario al principio de imparcialidad objetiva el que un Magistrado denuncie un hecho por entenderlo delictivo y posteriormente sea ese mismo Magistrado el que decide y falla el enjuiciamiento del asunto. Ponen de manifiesto también que en su día esa misma Sala dictó un Auto absteniéndo</w:t>
      </w:r>
      <w:r>
        <w:lastRenderedPageBreak/>
        <w:t xml:space="preserve">se de conocer el asunto por considerar que, al haberse iniciado las actuaciones como consecuencia de un testimonio de particulares mandado deducir por ella, concurría la causa de abstención prevista en el art. 219.6 LOPJ —haber sido denunciante o acusador de cualquiera de las partes— invocando, además, el principio de imparcialidad objetiva; abstención que fue admitida por la Sala de Gobierno. </w:t>
      </w:r>
    </w:p>
    <w:p w:rsidR="0025129F" w:rsidRDefault="0025129F" w:rsidP="0025129F">
      <w:pPr>
        <w:pStyle w:val="TextoNormal"/>
      </w:pPr>
      <w:r>
        <w:t xml:space="preserve">El 19 de enero de 2000 el Fiscal presentó su escrito de alegaciones. A juicio del Fiscal el recurso debería inadmitirse de acuerdo con lo previsto en el art. 50.1 c) LOTC, por carecer la demanda manifiestamente de contenido. En su opinión, la queja relativa a la supuesta vulneración del derecho a un proceso sin dilaciones indebidas resulta manifiestamente improcedente por extemporánea al haberse interpuesto la demanda una vez recaída la Sentencia que concluyó definitivamente el proceso, pues entiende que de acuerdo con la jurisprudencia constitucional para poder recurrir en amparo ante este Tribunal por lesión del referido derecho fundamental es preciso que todavía no haya recaído la resolución que haya puesto fin a las dilaciones. </w:t>
      </w:r>
    </w:p>
    <w:p w:rsidR="0025129F" w:rsidRDefault="0025129F" w:rsidP="0025129F">
      <w:pPr>
        <w:pStyle w:val="TextoNormal"/>
      </w:pPr>
      <w:r>
        <w:t>Tampoco considera que se haya vulnerado el derecho de los recurrentes a un Juez imparcial. El Fiscal entiende que a tenor de la jurisprudencia constitucional la simple deducción de testimonio de particulares para que un Juez de Instrucción investigue si los hechos pudieran ser constitutivos de delito, es una mera denuncia que no prejuzga los hechos y, por tanto, no puede comprometer la imparcialidad objetiva del Tribunal que sentenció en apelación.</w:t>
      </w:r>
    </w:p>
    <w:p w:rsidR="0025129F" w:rsidRDefault="0025129F" w:rsidP="0025129F">
      <w:pPr>
        <w:pStyle w:val="TextoNormal"/>
      </w:pPr>
    </w:p>
    <w:p w:rsidR="0025129F" w:rsidRDefault="0025129F" w:rsidP="0025129F">
      <w:pPr>
        <w:pStyle w:val="TextoNormal"/>
      </w:pPr>
      <w:r w:rsidRPr="0025129F">
        <w:rPr>
          <w:rStyle w:val="NumeroAFNegritaCaracter"/>
        </w:rPr>
        <w:t>5</w:t>
      </w:r>
      <w:r>
        <w:t>. La Sala Segunda, por providencia de 23 de marzo de 2000, acordó admitir a trámite la demanda de amparo y, en virtud de lo dispuesto en el art. 51 LOTC, requerir a la Sección Segunda de la Audiencia Provincial de Oviedo a fin de que, en un plazo que no excediera de diez días, remitiera certificación o fotocopia adverada de las actuaciones correspondientes al rollo de apelación núm. 46/99, y al Juzgado de lo Penal de Avilés para que también en un plazo que no excediera de diez días remitiera certificación o fotocopia adverada de las actuaciones correspondientes al juicio oral 321/98 y para que, en el mismo plazo, emplazara a los que hubieran sido parte en el procedimiento, con excepción del recurrente en amparo para que, si lo deseaban, pudieran comparecer en el presente proceso.</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Por otra providencia de la misma fecha la Sección Cuarta acordó formar pieza separada de suspensión y, de conformidad con lo prevenido en el art. 56 LOTC, conceder un plazo común de tres días al Ministerio Fiscal y al solicitante de amparo para que alegasen lo que estimaran pertinente sobre dicha suspensión. </w:t>
      </w:r>
    </w:p>
    <w:p w:rsidR="0025129F" w:rsidRDefault="0025129F" w:rsidP="0025129F">
      <w:pPr>
        <w:pStyle w:val="TextoNormal"/>
      </w:pPr>
      <w:r>
        <w:t>Por Auto de 5 de mayo de 2000 la Sala Segunda acordó suspender la ejecución de la Sentencia respecto de la pena privativa de libertad impuesta y sus accesorias legales y no suspender la ejecución de la Sentencia en lo referente al pronunciamiento por el que se condenaba al pago de las costas procesales impuestas.</w:t>
      </w:r>
    </w:p>
    <w:p w:rsidR="0025129F" w:rsidRDefault="0025129F" w:rsidP="0025129F">
      <w:pPr>
        <w:pStyle w:val="TextoNormal"/>
      </w:pPr>
    </w:p>
    <w:p w:rsidR="0025129F" w:rsidRDefault="0025129F" w:rsidP="0025129F">
      <w:pPr>
        <w:pStyle w:val="TextoNormal"/>
      </w:pPr>
      <w:r w:rsidRPr="0025129F">
        <w:rPr>
          <w:rStyle w:val="NumeroAFNegritaCaracter"/>
        </w:rPr>
        <w:t>7</w:t>
      </w:r>
      <w:r>
        <w:t>. Por diligencia de ordenación de 1 de junio de 2000 se acordó dar vista de las actuaciones recibidas a la parte recurrente y al Ministerio Fiscal por plazo común de veinte días para que dentro de dicho plazo, si lo estimaran conveniente, formulasen alegaciones.</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8</w:t>
      </w:r>
      <w:r>
        <w:t>. Por escrito registrado en este Tribunal el 27 de junio de 2000 la parte recurrente formuló alegaciones reproduciendo, básicamente, las efectuadas en su escrito de demanda de amparo y citando la doctrina jurisprudencial que estimó pertinente.</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Por escrito registrado en este Tribunal el 29 de junio de 2000 el Ministerio Fiscal formuló alegaciones. Por lo que se refiere a la queja por la que se aduce la vulneración del derecho a un proceso sin dilaciones indebidas el Fiscal sostiene, como mantuvo en las alegaciones que efectuó en el trámite otorgado al amparo del art. 50.3 LOTC, que la demanda es manifiestamente improcedente por extemporánea al haberse interpuesto después de que recayese la Sentencia el proceso judicial. </w:t>
      </w:r>
    </w:p>
    <w:p w:rsidR="0025129F" w:rsidRDefault="0025129F" w:rsidP="0025129F">
      <w:pPr>
        <w:pStyle w:val="TextoNormal"/>
      </w:pPr>
      <w:r>
        <w:t xml:space="preserve">Mayores problemas suscita, a juicio del Fiscal, la alegación por la que se aduce la vulneración del derecho al Juez imparcial. En primer lugar, se plantea si los documentos aportados por la parte en el trámite de admisión y no junto con la demanda —el Auto de 17 de febrero de 1996 de la Sección Segunda por el que acordó abstenerse del conocimiento de la causa al apreciar que concurría una causa de abstención– pueden ser admitidos. No obstante, considera que al tratarse de un documento que consta en las actuaciones recibidas debe ser admitido. En segundo lugar, se plantea si la alegación que se fundamenta en dicho documento —que la propia Audiencia Provincial se había abstenido con anterioridad en el mismo asunto por entender que, al haberse iniciado las actuaciones como consecuencia de un testimonio de particulares mandado deducir por esa misma Sala, concurría la causa de abstención prevista en el art. 219.6 LOPJ— suponía introducir un nuevo objeto en el proceso, lo que determinaría la extemporaneidad del recurso, o si a través de la misma lo que se pretendía era reforzar su inicial pretensión. El Fiscal entiende que ésta última era la finalidad que se perseguía con dicha alegación y, en consecuencia, entiende que no existen objeciones a su admisión. </w:t>
      </w:r>
    </w:p>
    <w:p w:rsidR="0025129F" w:rsidRDefault="0025129F" w:rsidP="0025129F">
      <w:pPr>
        <w:pStyle w:val="TextoNormal"/>
      </w:pPr>
      <w:r>
        <w:t xml:space="preserve">El Ministerio Fiscal, a diferencia de lo que sostuvo en su escrito inicial, entiende ahora que al haber sido el Magistrado Ponente que dedujo el testimonio de particulares quien dio origen a las actuaciones penales y al haberse abstenido por tal motivo (abstención confirmada por la Sala de Gobierno del Tribunal Superior de Justicia) no podía conocer posteriormente de ese mismo asunto y al haberlo hecho así entiende que se ha vulnerado el derecho de los recurrentes al Juez imparcial. </w:t>
      </w:r>
    </w:p>
    <w:p w:rsidR="0025129F" w:rsidRDefault="0025129F" w:rsidP="0025129F">
      <w:pPr>
        <w:pStyle w:val="TextoNormal"/>
      </w:pPr>
      <w:r>
        <w:t>En virtud de las anteriores consideraciones el Fiscal interesa que se declare la inadmisibilidad del recurso de amparo en cuanto a la denuncia de dilaciones indebidas y se estime en lo que respecta al Juez imparcial y, en consecuencia, se anule la Sentencia recaída en apelación para que se dicte otra por una Sección de la Audiencia Provincial de Oviedo en la que no formen parte ni el Ponente de la ahora recurrida ni ninguno de los Magistrados que acordaron la deducción de testimonio de particulares y se abstuvieron de conocer del proceso mediante Auto de 17 de febrero de 1996.</w:t>
      </w:r>
    </w:p>
    <w:p w:rsidR="0025129F" w:rsidRDefault="0025129F" w:rsidP="0025129F">
      <w:pPr>
        <w:pStyle w:val="TextoNormal"/>
      </w:pPr>
    </w:p>
    <w:p w:rsidR="0025129F" w:rsidRDefault="0025129F" w:rsidP="0025129F">
      <w:pPr>
        <w:pStyle w:val="TextoNormal"/>
      </w:pPr>
      <w:r w:rsidRPr="0025129F">
        <w:rPr>
          <w:rStyle w:val="NumeroAFNegritaCaracter"/>
        </w:rPr>
        <w:t>10</w:t>
      </w:r>
      <w:r>
        <w:t>. Por diligencia de ordenación de la Secretaria de la Sala Segunda de 1 de octubre de 2001, se acordó dirigir atenta comunicación a la Audiencia Provincial de Oviedo a fin de que, a la mayor brevedad posible, remitiera a esa Sala certificación o copia adverada de las actuaciones correspondientes al rollo núm. 13/95.</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Por diligencia de ordenación de 10 de octubre de 2001 se acordó tener por personado y parte en el procedimiento al Procurador don Ignacio Aguilar Fernández en nombre y representación de don Manuel Ángel Menéndez Campa quien, a su vez, actúa, además, </w:t>
      </w:r>
      <w:r>
        <w:lastRenderedPageBreak/>
        <w:t>de en su propio nombre en beneficio de la comunidad de herederos de don Manuel Méndez Egocheaga; tener por recibidas las nuevas actuaciones que remite la Sección Segunda de la Audiencia Provincial de Oviedo, rollos de Sala acumulados núms. 13/95 y 209/97 y dar vista nuevamente de las actuaciones a las partes personadas y al Ministerio Fiscal por plazo común de veinte días permitiéndoles en el referido plazo presentar las alegaciones que estimaran pertinentes,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12</w:t>
      </w:r>
      <w:r>
        <w:t xml:space="preserve">. Por escrito registrado en este Tribunal el 15 de octubre de 2001, la representación procesal de don Miguel Ángel Menéndez Campa presentó su escrito de alegaciones. Aduce esta parte procesal que la queja relativa a la vulneración del derecho a un proceso sin dilaciones indebidas carece de relevancia constitucional pues considera que dicha queja no puede formularse una vez recaída la Sentencia. </w:t>
      </w:r>
    </w:p>
    <w:p w:rsidR="0025129F" w:rsidRDefault="0025129F" w:rsidP="0025129F">
      <w:pPr>
        <w:pStyle w:val="TextoNormal"/>
      </w:pPr>
      <w:r>
        <w:t xml:space="preserve">Tampoco considera que la Sentencia infrinja el derecho a un Juez imparcial. Señala, en primer lugar, que no le consta que la composición del Tribunal no hubiera sido comunicada a las partes, por lo que habría sido necesario o bien un certificado negativo del Secretario Judicial o bien un testimonio completo a partir de la fecha de interposición del recurso de apelación. Por lo que se refiere a la quiebra de la imparcialidad objetiva que denuncia el recurrente considera que la mera participación en la formulación de una denuncia por parte de uno de los miembros del órgano colegiado que expidió el testimonio que inició la investigación criminal que culminó la Sentencia ahora impugnada no es una actividad que forme parte de la instrucción de la causa y, por consiguiente, considera inviable, a efectos constitucionales, que dicha participación en la denuncia pueda viciar la necesaria imparcialidad objetiva, pues el juzgador al que afecta la cuestión no tuvo un contacto inmediato y directo con el objeto del proceso. </w:t>
      </w:r>
    </w:p>
    <w:p w:rsidR="0025129F" w:rsidRDefault="0025129F" w:rsidP="0025129F">
      <w:pPr>
        <w:pStyle w:val="TextoNormal"/>
      </w:pPr>
      <w:r>
        <w:t xml:space="preserve">Por otra parte se pone de manifiesto que la denuncia no se formuló para defender un interés privado legítimo de parte de cuya defensa nazca una controversia incompatible con la imparcialidad, sino en cumplimiento de un deber legal de denunciar. </w:t>
      </w:r>
    </w:p>
    <w:p w:rsidR="0025129F" w:rsidRDefault="0025129F" w:rsidP="0025129F">
      <w:pPr>
        <w:pStyle w:val="TextoNormal"/>
      </w:pPr>
      <w:r>
        <w:t>En virtud de estas consideraciones solicita a la Sala que desestime el recurso de amparo.</w:t>
      </w:r>
    </w:p>
    <w:p w:rsidR="0025129F" w:rsidRDefault="0025129F" w:rsidP="0025129F">
      <w:pPr>
        <w:pStyle w:val="TextoNormal"/>
      </w:pPr>
    </w:p>
    <w:p w:rsidR="0025129F" w:rsidRDefault="0025129F" w:rsidP="0025129F">
      <w:pPr>
        <w:pStyle w:val="TextoNormal"/>
      </w:pPr>
      <w:r w:rsidRPr="0025129F">
        <w:rPr>
          <w:rStyle w:val="NumeroAFNegritaCaracter"/>
        </w:rPr>
        <w:t>13</w:t>
      </w:r>
      <w:r>
        <w:t xml:space="preserve">. El 13 de noviembre de 2001 el Ministerio Fiscal presentó su escrito de alegaciones formulado a la vista de las nuevas actuaciones aportadas —rollos de Sala acumulados núm. 13/95 y 208/97. El Fiscal aduce que de la lectura de dichas actuaciones no se desprende nada nuevo que altere sustancialmente su escrito de 29 de junio de 2000 por el que se interesaba la estimación del recurso de amparo por considerar que la Sentencia impugnada había lesionado el derecho de los recurrentes a un Juez imparcial. No obstante, considera oportuno matizar dos aspectos: en primer lugar, que los ahora recurrentes no tuvieron un instrumento procesal adecuado para hacer valer su derecho al Juez imparcial en la apelación, ya que ésta se resolvió sin vista y no consta en el rollo de apelación notificación previa alguna de la composición de la Sala sentenciadora, ni de la designación de Magistrado Ponente, de modo que los recurrentes sólo pudieron conocer la composición de la Sala cuando les fue notificada la Sentencia de apelación. En segundo lugar, insiste en que la adhesión del Ministerio Fiscal al amparo solicitado por los recurrentes es excepcional y deriva del hecho de que la propia Sala se hubiera abstenido con anterioridad del conocimiento del asunto y de que uno de los Magistrados que se abstuvo en aquella ocasión fue posteriormente el Magistrado Ponente de la Sentencia recaída en apelación. </w:t>
      </w:r>
    </w:p>
    <w:p w:rsidR="0025129F" w:rsidRDefault="0025129F" w:rsidP="0025129F">
      <w:pPr>
        <w:pStyle w:val="TextoNormal"/>
      </w:pPr>
      <w:r>
        <w:t>Por todo ello el Fiscal interesa que se dicte Sentencia estimatoria del recurso en la forma que expuso en su escrito de 29 de octubre de 2000.</w:t>
      </w:r>
    </w:p>
    <w:p w:rsidR="0025129F" w:rsidRDefault="0025129F" w:rsidP="0025129F">
      <w:pPr>
        <w:pStyle w:val="TextoNormal"/>
      </w:pPr>
    </w:p>
    <w:p w:rsidR="0025129F" w:rsidRDefault="0025129F" w:rsidP="0025129F">
      <w:pPr>
        <w:pStyle w:val="TextoNormal"/>
      </w:pPr>
      <w:r w:rsidRPr="0025129F">
        <w:rPr>
          <w:rStyle w:val="NumeroAFNegritaCaracter"/>
        </w:rPr>
        <w:t>14</w:t>
      </w:r>
      <w:r>
        <w:t>. Por providencia de 21 de febrero 2002, se señaló para deliberación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Dos son las quejas que aducen los recurrentes para fundamentar su recurso de amparo.  Por una parte se alega la vulneración del derecho a un proceso sin dilaciones indebidas, pues consideran que al haberse tardado siete años en tramitar un procedimiento penal por delito de alzamiento de bienes, a pesar de tratarse de un proceso muy sencillo, en el que se realizaron muy pocas actividades de instrucción, y sin que, por otra parte, el referido retraso pueda serles imputado, ya que en todo momento actuaron con la diligencia que les era exigible, se les ha vulnerado el referido derecho fundamental. Por otra parte aducen que la Sentencia recaída en el recurso de apelación ha vulnerado su derecho a un Juez imparcial al haber sido Ponente de la misma uno de los Magistrados que dedujo el testimonio de particulares que determinó que se iniciara el proceso penal contra ellos. A juicio de los recurrentes, es contrario al principio de imparcialidad objetiva que se deduce del art. 24.2 CE que el mismo Juez que denuncia los hechos, por considerarlos constitutivos de delito, pueda después enjuiciarlos. También aducen que el propio órgano judicial, por Auto de 17 de febrero de 1996, acordó abstenerse de conocer el mismo asunto en una resolución anterior por considerar que concurría la causa de abstención prevista en el art. 219.6 LOPJ —haber sido denunciante o acusador de cualquiera de las partes— y que en la referida resolución se invocaba igualmente el principio de imparcialidad objetiva; abstención que fue aprobada por la Sala de Gobierno del Tribunal Superior de Justicia.</w:t>
      </w:r>
    </w:p>
    <w:p w:rsidR="0025129F" w:rsidRDefault="0025129F" w:rsidP="0025129F">
      <w:pPr>
        <w:pStyle w:val="TextoNormal"/>
      </w:pPr>
      <w:r>
        <w:t>El Fiscal solicita la inadmisión del amparo respecto de la queja por la que se aduce vulneración del derecho a un proceso sin dilaciones indebidas, pues considera que esta queja es manifiestamente improcedente por extemporánea, ya que cuando se interpuso la demanda de amparo ya había recaído la Sentencia. Por el contrario, solicita la estimación del amparo por entender que, en este caso, al haber sido el Ponente de la Sentencia un Magistrado que se había abstenido de conocer ese mismo asunto en una resolución anterior, se ha vulnerado el derecho al Juez imparcial.</w:t>
      </w:r>
    </w:p>
    <w:p w:rsidR="0025129F" w:rsidRDefault="0025129F" w:rsidP="0025129F">
      <w:pPr>
        <w:pStyle w:val="TextoNormal"/>
      </w:pPr>
    </w:p>
    <w:p w:rsidR="0025129F" w:rsidRDefault="0025129F" w:rsidP="0025129F">
      <w:pPr>
        <w:pStyle w:val="TextoNormal"/>
      </w:pPr>
      <w:r w:rsidRPr="0025129F">
        <w:rPr>
          <w:rStyle w:val="NumeroAFNegritaCaracter"/>
        </w:rPr>
        <w:t>2</w:t>
      </w:r>
      <w:r>
        <w:t>. No puede apreciarse la queja por la que se aduce la vulneración del derecho a un proceso sin dilaciones indebidas, ya que, al margen de cualquier otra consideración, respecto de esta queja la demanda incurre en la causa de inadmisión prevista en el art. 44.1 c) LOTC al no haber invocado ante el órgano judicial la lesión de este derecho fundamental. Como tantas veces hemos afirmado, esta exigencia no constituye un mero requisito formal, sino que tiene como finalidad permitir a los órganos judiciales que puedan tutelar la vulneración de este derecho fundamental y, de este modo, salvaguardar el carácter subsidiario del recurso de amparo (entre otras muchas, SSTC 32/1999, de 8 de marzo; 103/2000, de 22 de abril). De ahí que para entender cumplido este requisito procesal no baste con haber manifestado ante los órganos judiciales que la tramitación de un proceso ha tenido una duración excesiva, sino que es preciso que la denuncia de tal retraso permita al órgano judicial pronunciarse sobre si el retraso padecido ha vulnerado el derecho fundamental a no padecer dilaciones indebidas que consagra el art. 24.2 CE y, en el supuesto de que apreciara tal lesión repararla, bien poniendo fin a la dilación padecida o bien decla</w:t>
      </w:r>
      <w:r>
        <w:lastRenderedPageBreak/>
        <w:t>rando la vulneración del referido derecho con el fin de poder reclamar ante las instancias oportunas (SSTC 118/2000, de 5 de mayo, FJ 4; 310/2000, de 18 de diciembre, FJ 2).</w:t>
      </w:r>
    </w:p>
    <w:p w:rsidR="0025129F" w:rsidRDefault="0025129F" w:rsidP="0025129F">
      <w:pPr>
        <w:pStyle w:val="TextoNormal"/>
      </w:pPr>
      <w:r>
        <w:t>En el presente caso la denuncia del retraso se formuló en el escrito de formalización del recurso de apelación y el objeto de tal denuncia no era ni hacer cesar las dilaciones indebidas supuestamente padecidas, pues ya había recaído Sentencia; ni tampoco obtener un pronunciamiento del órgano judicial sobre la existencia de las referidas dilaciones, ya que tal pretensión no fue formulada por los recurrentes en sus respectivos escritos por los que interpusieron recurso de apelación. A tenor de lo expuesto en dichos escritos, lo que el recurrente pretendía al poner de manifiesto la excesiva duración que había tenido el procedimiento en el que recayó la Sentencia impugnada era obtener una Sentencia en apelación que revocara la Sentencia condenatoria recaída en primera instancia por entender que al haber sido dictada diez años más tarde de que se cometieran los hechos imputados alteraba el contenido de la justicia penal, dado además que en ese caso existía ya una Sentencia civil que satisfacía los intereses del acreedor. Por ello en este caso, como la alegación en la que se ponía de manifiesto la excesiva duración del proceso penal, no tenía por objeto permitir al órgano judicial que reparase la vulneración del derecho a no padecer dilaciones indebidas, sino que la Sala accediera a sus pretensiones de fondo, no puede considerarse que el recurrente haya cumplido el requisito de haber invocado en el proceso la vulneración del derecho constitucional alegado que establece el art. 44.1 c) LOTC.  Todo ello con independencia de los efectos que, en el caso de que realmente la duración del procedimiento penal hubiera sido excesiva, pudieran producirse en otros ámbitos (por ejemplo, en el supuesto previsto en el art. 4.4 CP); cuestión sobre la que no le corresponde pronunciarse a este Tribunal.</w:t>
      </w:r>
    </w:p>
    <w:p w:rsidR="0025129F" w:rsidRDefault="0025129F" w:rsidP="0025129F">
      <w:pPr>
        <w:pStyle w:val="TextoNormal"/>
      </w:pPr>
    </w:p>
    <w:p w:rsidR="0025129F" w:rsidRDefault="0025129F" w:rsidP="0025129F">
      <w:pPr>
        <w:pStyle w:val="TextoNormal"/>
      </w:pPr>
      <w:r w:rsidRPr="0025129F">
        <w:rPr>
          <w:rStyle w:val="NumeroAFNegritaCaracter"/>
        </w:rPr>
        <w:t>3</w:t>
      </w:r>
      <w:r>
        <w:t>. Aducen también los recurrentes vulneración de su derecho a un Juez imparcial. A juicio de los demandantes de amparo tal infracción se habría producido al haber sido Ponente de la Sentencia recaída en el recurso de apelación uno de los Magistrados que formaba parte del órgano judicial que acordó deducir el testimonio de particulares que determinó que se iniciaran las actuaciones penales. También ponen de manifiesto que la Sección Segunda de la Audiencia Provincial de Oviedo acordó, por Auto de 17 de febrero de 1996, abstenerse de conocer de este asunto por entender que se encontraba incursa en la causa de abstención prevista en el art. 219.6 LOPJ y en virtud del principio de imparcialidad objetiva. La abstención fue aprobada por la Sala de Gobierno del Tribunal Superior de Justicia de Asturias.</w:t>
      </w:r>
    </w:p>
    <w:p w:rsidR="0025129F" w:rsidRDefault="0025129F" w:rsidP="0025129F">
      <w:pPr>
        <w:pStyle w:val="TextoNormal"/>
      </w:pPr>
      <w:r>
        <w:t xml:space="preserve">Para una mejor comprensión de la cuestión planteada conviene tener presente los hechos de los que trae causa la presente demanda. Como se ha indicado en los antecedentes, la Audiencia Provincial de Oviedo al tratar de ejecutar una Sentencia por la que fue condenada doña Montserrat Fernández Granda comprobó que el piso embargado en la pieza de responsabilidad civil había sido vendido a su hija, por lo que ordenó que se dedujera testimonio de particulares y se remitiera al Juez de Instrucción Decano de Avilés para su reparto con el fin de que se procediera a la apertura de las diligencias previas pertinentes por si los hechos pudieran ser constitutivos de delito. Ello dio lugar a que por el Juzgado núm. 4 de Avilés se incoaran diligencias previas.  Una vez finalizada la instrucción de las mismas se acordó remitirlas a la Audiencia Provincial para su posterior enjuiciamiento. Por Auto de 17 de febrero de 1996 la Sección Segunda de la Audiencia Provincial de Oviedo acordó abstenerse del conocimiento de la causa al considerar, que al haberse iniciado las actuaciones como consecuencia de haber ordenado esa misma Sala deducir testimonio de particulares, concurría la causa de abstención prevista en el art. 219.6 LOPJ. </w:t>
      </w:r>
      <w:r>
        <w:lastRenderedPageBreak/>
        <w:t>Esta abstención fue aprobada por la Sala de Gobierno del Tribunal Superior de Justicia. Posteriormente, tras diversas incidencias procesales, por Auto de 25 de mayo de 1998, la Audiencia Provincial, en virtud de lo dispuesto en el art. 14 LECrim, se inhibió del conocimiento del asunto al apreciar que la competencia para enjuiciar los hechos le correspondía al Juzgado de lo Penal. El Juzgado de lo Penal dictó Sentencia el 3 de noviembre de 1998 por la que se condenó a los ahora recurrentes.  Esta Sentencia fue recurrida en apelación; recurso que fue desestimado por la Sentencia de 25 de marzo de 1999. El Magistrado que fue Ponente de esta Sentencia era uno de los Magistrados que formaba parte del órgano judicial que ordenó que se dedujera el testimonio de particulares que sirvió de denuncia de los hechos por los que los ahora recurrentes fueron condenados.</w:t>
      </w:r>
    </w:p>
    <w:p w:rsidR="0025129F" w:rsidRDefault="0025129F" w:rsidP="0025129F">
      <w:pPr>
        <w:pStyle w:val="TextoNormal"/>
      </w:pPr>
      <w:r>
        <w:t>A efectos de la resolución del presente recurso tiene una gran relevancia el que uno de los Magistrados que componía la Sala que resolvió el recurso de apelación —que fue además el Ponente de la Sentencia— se haya abstenido de conocer ese mismo asunto con anterioridad, ya que pone de manifiesto que el recurso de apelación fue resuelto por un Magistrado que no reunía las condiciones de idoneidad exigidas por el ordenamiento jurídico para enjuiciar ese concreto asunto. Debe tenerse en cuenta que el art.  122 LOPJ establece que una vez que la Sala de Gobierno del Tribunal que corresponda entiende justificada la abstención, el Juez o Magistrado “se apartará definitivamente” del conocimiento del asunto. De ahí que, de acuerdo con lo establecido en ese precepto legal, cuando la Sala de Gobierno entiende justificada la abstención, el Juez o Magistrado queda inhabilitado para el conocimiento de ese asunto “definitivamente” y por esta razón no puede formar parte de ninguna Sala que vaya a conocerlo, cualquiera que sea la instancia procesal en la que ese asunto se encuentre.</w:t>
      </w:r>
    </w:p>
    <w:p w:rsidR="0025129F" w:rsidRDefault="0025129F" w:rsidP="0025129F">
      <w:pPr>
        <w:pStyle w:val="TextoNormal"/>
      </w:pPr>
      <w:r>
        <w:t>Tal consideración determina que, sin necesidad de analizar si vulnera el principio de imparcialidad objetiva el que el mismo Magistrado que ordenó la deducción del testimonio de particulares que dio lugar a la iniciación de las actuaciones penales forme parte del órgano judicial que resolvió el recurso de apelación interpuesto contra la Sentencia recaída en ese procedimiento, debamos apreciar que en este supuesto se ha vulnerado el derecho a un proceso con todas las garantías que consagra el art.  24.2 CE, ya que una de las garantías esenciales de todo proceso lo constituye el que el Juez o Tribunal llamado a dirimir el conflicto aparezca institucionalmente dotado de independencia e imparcialidad (STC 60/1995, de 17 de marzo, FJ 3); garantía que en este supuesto no puede entenderse satisfecha, pues el recurso de apelación fue decidido por un Magistrado que no podía conocer de ese asunto por hallarse incurso en una causa de abstención debidamente apreciada por el órgano competente para ello —en este caso, la Sala de Gobierno del Tribunal Superior de Justicia de Asturias. Una vez declarada esa sospecha de parcialidad por el órgano competente para ello, el Juez o Magistrado ha dejado de reunir las condiciones de idoneidad necesarias para el conocimiento de ese concreto asunto, lo que determina que no aparezca revestido de las garantías de imparcialidad exigidas por nuestro ordenamiento jurídico, ya que entre estas garantías se encuentra el que un Juez o Magistrado en el que se ha apreciado la existencia de una causa de abstención se aparte definitivamente del conocimiento de ese asunto (art. 222 LOPJ).</w:t>
      </w:r>
    </w:p>
    <w:p w:rsidR="0025129F" w:rsidRDefault="0025129F" w:rsidP="0025129F">
      <w:pPr>
        <w:pStyle w:val="TextoNormal"/>
      </w:pPr>
      <w:r>
        <w:t xml:space="preserve">Por otra parte debe indicarse también que a efectos de apreciar esta infracción constitucional es suficiente con que uno de los Magistrados incurra en una causa de abstención, por lo que, a estos efectos, resulta irrelevante que los demás Magistrados que componían la Sala no se encontraran incursos en ninguna. Como hemos señalado en la STC 230/1992, de 14 de diciembre, “la garantía de imparcialidad del juzgador ha de vincularse necesariamente a la intervención del mismo en la causa, con independencia de la influencia que </w:t>
      </w:r>
      <w:r>
        <w:lastRenderedPageBreak/>
        <w:t>su voto pueda tener en el resultado final de la votación, ya que es precisamente la participación en el conocimiento, deliberación y votación del litigio de aquél en quien concurra o pueda concurrir alguna de las causas de recusación previstas legalmente lo que se intenta salvaguardar a través de aquella garantía, todo ello con total independencia de su eventual influencia en la deliberación de la resolución de que se trate, por otro lado secreta, a tenor de lo dispuesto en el art.  233 LOPJ”.</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parcialmente el amparo solicitado y, en consecuencia:</w:t>
      </w:r>
    </w:p>
    <w:p w:rsidR="0025129F" w:rsidRDefault="0025129F" w:rsidP="0025129F">
      <w:pPr>
        <w:pStyle w:val="TextoNormal"/>
      </w:pPr>
      <w:r>
        <w:t>1º Reconocer que se ha vulnerado el derecho de los recurrentes a un proceso con todas las garantías (art. 24.2 CE).</w:t>
      </w:r>
    </w:p>
    <w:p w:rsidR="0025129F" w:rsidRDefault="0025129F" w:rsidP="0025129F">
      <w:pPr>
        <w:pStyle w:val="TextoNormal"/>
      </w:pPr>
      <w:r>
        <w:t>2º Restablecerles en su derecho y a tal fin declarar la nulidad de la Sentencia de la Sección Segunda de la Audiencia Provincial de Oviedo de 25 de marzo de 1999 recaída en el rollo de apelación núm. 46/99, retrotrayendo las actuaciones judiciales al momento procesal oportuno para que se dicte otra con plena observancia del derecho fundamental infringido en la Sentencia ahora anulada.</w:t>
      </w:r>
    </w:p>
    <w:p w:rsidR="0025129F" w:rsidRDefault="0025129F" w:rsidP="0025129F">
      <w:pPr>
        <w:pStyle w:val="TextoNormal"/>
      </w:pPr>
      <w:r>
        <w:t>3º Inadmitir la queja relativa a la vulneración del derecho a no padecer dilaciones indebidas.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5" w:name="SENTENCIA_2002_52"/>
      <w:r>
        <w:lastRenderedPageBreak/>
        <w:t>SENTENCIA 52/2002, de 25 de febrero de 2002</w:t>
      </w:r>
    </w:p>
    <w:bookmarkEnd w:id="55"/>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ECLI:ES:TC:2002:52</w:t>
      </w:r>
    </w:p>
    <w:p w:rsidR="0025129F" w:rsidRDefault="0025129F" w:rsidP="0025129F">
      <w:pPr>
        <w:pStyle w:val="SntesisDescriptiva"/>
      </w:pPr>
    </w:p>
    <w:p w:rsidR="0025129F" w:rsidRDefault="0025129F" w:rsidP="0025129F">
      <w:pPr>
        <w:pStyle w:val="SntesisDescriptiva"/>
      </w:pPr>
      <w:r>
        <w:t>Recurso de amparo 5056/1999. Promovido por Editorial Prensa Canaria, S.A., y otros frente a la Sentencia de la Sala de lo Civil del Tribunal Supremo que les condenó por la intromisión ilegítima en el honor de don Gaudencio Inocencio López Parra, en un artículo publicado en el “Diario de Las Palmas” sobre sospechas acerca del asesinato en un ferry.</w:t>
      </w:r>
    </w:p>
    <w:p w:rsidR="0025129F" w:rsidRDefault="0025129F" w:rsidP="0025129F">
      <w:pPr>
        <w:pStyle w:val="SntesisDescriptiva"/>
      </w:pPr>
    </w:p>
    <w:p w:rsidR="0025129F" w:rsidRDefault="0025129F" w:rsidP="0025129F">
      <w:pPr>
        <w:pStyle w:val="SntesisAnaltica"/>
      </w:pPr>
      <w:r>
        <w:t>Supuesta vulneración del derecho a la libre información: noticia sobre unas pesquisas policiales que menciona los antecedentes penales de un interesado, confundiéndolos con unos antecedentes policiales, y que eran irrelevantes.</w:t>
      </w:r>
    </w:p>
    <w:p w:rsidR="0025129F" w:rsidRDefault="0025129F" w:rsidP="0025129F">
      <w:pPr>
        <w:pStyle w:val="SntesisAnaltica"/>
      </w:pPr>
    </w:p>
    <w:p w:rsidR="0025129F" w:rsidRDefault="0025129F" w:rsidP="0025129F">
      <w:pPr>
        <w:pStyle w:val="Extracto"/>
      </w:pPr>
      <w:r>
        <w:t>1.</w:t>
      </w:r>
      <w:r>
        <w:tab/>
        <w:t>El dato relativo a los antecedentes penales del demandante se obtuvo de la Jefatura Superior de Policía, que es una fuente seria, fiable y solvente, no siendo necesario en tales casos mayor comprobación, por parte del autor de la información, que la exactitud o la identidad de la fuente (SSTC 178/1993, 154/1999) [FJ 7].</w:t>
      </w:r>
    </w:p>
    <w:p w:rsidR="0025129F" w:rsidRDefault="0025129F" w:rsidP="0025129F">
      <w:pPr>
        <w:pStyle w:val="Extracto"/>
      </w:pPr>
    </w:p>
    <w:p w:rsidR="0025129F" w:rsidRDefault="0025129F" w:rsidP="0025129F">
      <w:pPr>
        <w:pStyle w:val="Extracto"/>
      </w:pPr>
      <w:r>
        <w:t>2.</w:t>
      </w:r>
      <w:r>
        <w:tab/>
        <w:t>Hay una radical diferencia entre el dato facilitado por la fuente (la puesta a disposición judicial por un delito de violación) y la información comunicada ( que tenía antecedentes penales, lo que presupone haber sido condenado: STC 190/1996) [FJ 7].</w:t>
      </w:r>
    </w:p>
    <w:p w:rsidR="0025129F" w:rsidRDefault="0025129F" w:rsidP="0025129F">
      <w:pPr>
        <w:pStyle w:val="Extracto"/>
      </w:pPr>
    </w:p>
    <w:p w:rsidR="0025129F" w:rsidRDefault="0025129F" w:rsidP="0025129F">
      <w:pPr>
        <w:pStyle w:val="Extracto"/>
      </w:pPr>
      <w:r>
        <w:t>3.</w:t>
      </w:r>
      <w:r>
        <w:tab/>
        <w:t>En este caso el deber de diligencia debe exigirse en su máxima intensidad, en atención al grave descrédito que supone a la persona afectada el dato que se divulga, por el delito cuya comisión se le imputa, quien además no ostenta una posición con relevancia pública (STC 21/2000) [FJ 7].</w:t>
      </w:r>
    </w:p>
    <w:p w:rsidR="0025129F" w:rsidRDefault="0025129F" w:rsidP="0025129F">
      <w:pPr>
        <w:pStyle w:val="Extracto"/>
      </w:pPr>
    </w:p>
    <w:p w:rsidR="0025129F" w:rsidRDefault="0025129F" w:rsidP="0025129F">
      <w:pPr>
        <w:pStyle w:val="Extracto"/>
      </w:pPr>
      <w:r>
        <w:t>4.</w:t>
      </w:r>
      <w:r>
        <w:tab/>
        <w:t>La información publicada no era veraz y su autora no observó la diligencia exigible en la comunicación de lo informado, sin que proceda entrar a examinar las circunstancias subjetivas que hubieran podido inducir a la periodista a incurrir en el error o en la inexactitud apreciada (STC 52/1996) [FJ 7].</w:t>
      </w:r>
    </w:p>
    <w:p w:rsidR="0025129F" w:rsidRDefault="0025129F" w:rsidP="0025129F">
      <w:pPr>
        <w:pStyle w:val="Extracto"/>
      </w:pPr>
    </w:p>
    <w:p w:rsidR="0025129F" w:rsidRDefault="0025129F" w:rsidP="0025129F">
      <w:pPr>
        <w:pStyle w:val="Extracto"/>
      </w:pPr>
      <w:r>
        <w:t>5.</w:t>
      </w:r>
      <w:r>
        <w:tab/>
        <w:t>En este particular contexto informativo, la divulgación referida a sus antecedentes penales resulta, en el momento de elaborarse la noticia, enteramente ajena y absolutamente irrelevante al contenido del mensaje que se quiso trasmitir a la opinión pública [FJ 8].</w:t>
      </w:r>
    </w:p>
    <w:p w:rsidR="0025129F" w:rsidRDefault="0025129F" w:rsidP="0025129F">
      <w:pPr>
        <w:pStyle w:val="Extracto"/>
      </w:pPr>
    </w:p>
    <w:p w:rsidR="0025129F" w:rsidRDefault="0025129F" w:rsidP="0025129F">
      <w:pPr>
        <w:pStyle w:val="Extracto"/>
      </w:pPr>
      <w:r>
        <w:t>6.</w:t>
      </w:r>
      <w:r>
        <w:tab/>
        <w:t>Doctrina constitucional sobre el conflicto entre el derecho a comunicar libremente información y los derechos al honor y a la intimidad personal y familiar [FJ 4].</w:t>
      </w:r>
    </w:p>
    <w:p w:rsidR="0025129F" w:rsidRDefault="0025129F" w:rsidP="0025129F">
      <w:pPr>
        <w:pStyle w:val="Extracto"/>
      </w:pPr>
    </w:p>
    <w:p w:rsidR="0025129F" w:rsidRDefault="0025129F" w:rsidP="0025129F">
      <w:pPr>
        <w:pStyle w:val="Extracto"/>
      </w:pPr>
      <w:r>
        <w:t>7.</w:t>
      </w:r>
      <w:r>
        <w:tab/>
        <w:t>Doctrina constitucional sobre el derecho al honor [FJ 5].</w:t>
      </w:r>
    </w:p>
    <w:p w:rsidR="0025129F" w:rsidRDefault="0025129F" w:rsidP="0025129F">
      <w:pPr>
        <w:pStyle w:val="Extracto"/>
      </w:pPr>
    </w:p>
    <w:p w:rsidR="0025129F" w:rsidRDefault="0025129F" w:rsidP="0025129F">
      <w:pPr>
        <w:pStyle w:val="Extracto"/>
      </w:pPr>
      <w:r>
        <w:lastRenderedPageBreak/>
        <w:t>8.</w:t>
      </w:r>
      <w:r>
        <w:tab/>
        <w:t>Doctrina constitucional sobre la diligencia del periodista y su medio de comunicación [FJ 6].</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5056/99, promovido por Editorial Prensa Canaria, S.A., don Santiago Betancor Brito y doña Ángela Merino Arranz, representados por el Procurador de los Tribunales don Isacio Calleja García y asistidos por la Letrada doña Gloria Delgado Sanz, contra la Sentencia de la Sala de lo Civil del Tribunal Supremo de 25 de octubre de 1999, recaída en el recurso de casación núm. 457/95, interpuesto contra la dictada en apelación por la Sección Segunda de la Audiencia Provincial de las Palmas de Gran Canaria de 20 de septiembre de 1994, en autos incidentales de protección de derechos fundamentales núm. 191/93 procedentes del Juzgado de Primera Instancia núm. 11 de las Palmas de Gran Canaria. Han comparecido el Ministerio Fiscal y don Gaudencio Inocencio López Parra, representado por la Procuradora de los Tribunales doña María Dolores Hernández Vergara y asistido por el Letrado don Gregorio Fraile Fabra. Ha actuado como Ponente el Magistrado don Vicente Conde Martín de Hijas,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Registro General de este Tribunal el día 30 de noviembre de 1999 don Isacio Calleja García, Procurador de los Tribunales, en nombre y representación de Editorial Prensa Canaria, S.A., don Santiago Betancor Brito y doña Ángela Merino Arranz, interpuso recurso de amparo contra la resolución judicial a la que se ha hecho mención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En la demanda de amparo se recoge la relación de antecedentes fácticos que a continuación sucintamente se extracta: </w:t>
      </w:r>
    </w:p>
    <w:p w:rsidR="0025129F" w:rsidRDefault="0025129F" w:rsidP="0025129F">
      <w:pPr>
        <w:pStyle w:val="TextoNormal"/>
      </w:pPr>
      <w:r>
        <w:t>a) En el periódico “Diario de Las Palmas” del miércoles 18 de marzo de 1992, en la sección de sucesos, se publicó una información, obra periodística de doña Ángela Merino Arranz, que llevaba por título “Descartados dos de los tres sospechosos de haber asesinado a los tripulantes del ferry”. Bajo este titular, a la izquierda, había otro titular a dos columnas, con letra más pequeña, del siguiente tenor: “Gaudencio López, de 57 años, popular</w:t>
      </w:r>
      <w:r>
        <w:lastRenderedPageBreak/>
        <w:t xml:space="preserve">mente conocido como ‘El profeta’, que estuvo acogido en un asilo de Cáritas en Las Palmas de Gran Canaria, creían que era el indigente del [ferry] Ciudad de Palma”. </w:t>
      </w:r>
    </w:p>
    <w:p w:rsidR="0025129F" w:rsidRDefault="0025129F" w:rsidP="0025129F">
      <w:pPr>
        <w:pStyle w:val="TextoNormal"/>
      </w:pPr>
      <w:r>
        <w:t xml:space="preserve">En el cuerpo de la información había dos únicos párrafos que interesan a los efectos de este recurso de amparo que decían así: </w:t>
      </w:r>
    </w:p>
    <w:p w:rsidR="0025129F" w:rsidRDefault="0025129F" w:rsidP="0025129F">
      <w:pPr>
        <w:pStyle w:val="TextoNormal"/>
      </w:pPr>
      <w:r>
        <w:t xml:space="preserve">“Gaudencio López Parra, de 57 años y natural de Segovia, popularmente conocido por ‘El profeta’, el cual ha estado acogido en el asilo de Cáritas en Las Palmas de Gran Canaria, es el hombre sobre el que creyó la Policía de esta capital que era el indigente que viajó en el ferry, aunque, tras haber mostrado ya su fotografía, tomada hace diez años, a tripulantes del buque, parece haber sido descartado por los investigadores del caso. </w:t>
      </w:r>
    </w:p>
    <w:p w:rsidR="0025129F" w:rsidRDefault="0025129F" w:rsidP="0025129F">
      <w:pPr>
        <w:pStyle w:val="TextoNormal"/>
      </w:pPr>
      <w:r>
        <w:t xml:space="preserve">Personas de la casa de acogida de la mencionada institución benéfica explicaron a la Policía que ‘El profeta’ —que tiene antecedentes penales por una violación acaecida hace 12 años, habiendo sido objeto en otra ocasión de un arresto menor— había sido visto en el centro cuando el “Ciudad de Palma” navegaba hacía Cádiz, si bien estos días aún no ha podido ser localizado.” </w:t>
      </w:r>
    </w:p>
    <w:p w:rsidR="0025129F" w:rsidRDefault="0025129F" w:rsidP="0025129F">
      <w:pPr>
        <w:pStyle w:val="TextoNormal"/>
      </w:pPr>
      <w:r>
        <w:t xml:space="preserve">A continuación la información, que versaba, como se reconoce en la Sentencia de la Sala de lo Civil del Tribunal Supremo, sobre el estado de una investigación policial referente a la determinación de los posibles sospechosos de un doble asesinato, se ocupaba de los otros sospechosos. </w:t>
      </w:r>
    </w:p>
    <w:p w:rsidR="0025129F" w:rsidRDefault="0025129F" w:rsidP="0025129F">
      <w:pPr>
        <w:pStyle w:val="TextoNormal"/>
      </w:pPr>
      <w:r>
        <w:t xml:space="preserve">b) La representación procesal de don Gaudencio Inocencio López Parra promovió autos incidentales núm. 191/93 de protección de derechos fundamentales (Ley Orgánica 1/1982, de 5 de mayo, y Sección Tercera Ley 62/1978, de 26 de diciembre) contra los ahora recurrentes en amparo, solicitando que se les condenara a indemnizarle en la cantidad de quince millones de pesetas, a la publicación del fallo y de la fundamentación jurídica de la Sentencia en el “Diario Las Palmas” y en la edición dominical del diario de mayor difusión de la provincia. </w:t>
      </w:r>
    </w:p>
    <w:p w:rsidR="0025129F" w:rsidRDefault="0025129F" w:rsidP="0025129F">
      <w:pPr>
        <w:pStyle w:val="TextoNormal"/>
      </w:pPr>
      <w:r>
        <w:t xml:space="preserve">El Juzgado de Primera Instancia núm. 11 de Las Palmas de Gran Canaria desestimó la demanda en Sentencia de fecha 10 de septiembre de 1993, que fue confirmada en apelación por Sentencia de la Sección Segunda de la Audiencia Provincial de Las Palmas de Gran Canaria de 20 de septiembre de 1994. </w:t>
      </w:r>
    </w:p>
    <w:p w:rsidR="0025129F" w:rsidRDefault="0025129F" w:rsidP="0025129F">
      <w:pPr>
        <w:pStyle w:val="TextoNormal"/>
      </w:pPr>
      <w:r>
        <w:t xml:space="preserve">c) La representación procesal de don Gaudencio Inocencio López Parra interpuso recurso de casación contra la Sentencia de la Sección Segunda de la Audiencia Provincial de Las Palmas de Gran Canaria, aduciendo que se habían vulnerado sus derechos al honor y a la intimidad. </w:t>
      </w:r>
    </w:p>
    <w:p w:rsidR="0025129F" w:rsidRDefault="0025129F" w:rsidP="0025129F">
      <w:pPr>
        <w:pStyle w:val="TextoNormal"/>
      </w:pPr>
      <w:r>
        <w:t>La Sala de lo Civil del Tribunal Supremo, en Sentencia de fecha 25 de octubre de 1999, declaró haber lugar al recurso de casación, estimó en parte la demanda y condenó a los demandados a que abonasen al actor, en concepto de perjuicios y daños morales, la cantidad de un millón de pesetas, con la obligación de publicar íntegramente el fallo y el fundamento jurídico 4 de la Sentencia en el periódico “Diario Las Palmas”, sin expresa condena en costas en ninguna de las instancias ni en el recurso de casación, debiendo cada parte satisfacer las por ellas causadas y las comunes por mitad.</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cuanto a la fundamentación jurídica de la demanda de amparo, se invoca en ésta, frente a la Sentencia de la Sala de lo Civil del Tribunal Supremo, la vulneración del derecho a comunicar libremente información veraz [art. 20.1 d) CE]. </w:t>
      </w:r>
    </w:p>
    <w:p w:rsidR="0025129F" w:rsidRDefault="0025129F" w:rsidP="0025129F">
      <w:pPr>
        <w:pStyle w:val="TextoNormal"/>
      </w:pPr>
      <w:r>
        <w:t xml:space="preserve">a) En el presente supuesto está claramente concernida la libertad de información, pues en los dos párrafos antes referidos del trabajo periodístico publicado no se contiene juicio de valor alguno, sino que se comunican hechos, y la relevancia pública o noticiabilidad de éstos no ofrece duda alguna como viene a admitirlo la propia Sentencia recurrida, ya que </w:t>
      </w:r>
      <w:r>
        <w:lastRenderedPageBreak/>
        <w:t xml:space="preserve">se relata la marcha de la investigación policial sobre un suceso delictivo y sangriento, el asesinato de dos marineros del ferry “Ciudad de Palma”, que había causado gran impresión en la capital canaria. Como tiene declarado este Tribunal en la STC 178/1993, de 31 de mayo, “por regla general no cabe negar interés noticioso a hechos o sucesos de relevancia penal ... La relevancia pública viene explicada en el caso, además de por el hecho en sí, por la naturaleza de la fuente o de parte de los protagonistas de la noticia. Si las autoridades y fuerzas responsables de la seguridad ciudadana realizan una actuación inicialmente calificable de esclarecedora de unos hechos delictivos, no es dudoso que también pueda considerarse de interés noticioso esa actuación de las fuerzas y cuerpos de seguridad” (FJ 4). </w:t>
      </w:r>
    </w:p>
    <w:p w:rsidR="0025129F" w:rsidRDefault="0025129F" w:rsidP="0025129F">
      <w:pPr>
        <w:pStyle w:val="TextoNormal"/>
      </w:pPr>
      <w:r>
        <w:t xml:space="preserve">Por otra parte, la Sala de lo Civil del Tribunal Supremo estima en su Sentencia que “ha existido la intromisión a su derecho al honor”, que se ha afectado “la probidad, reputación e incluso, la dignidad personal del interesado”, y que “ese reportaje periodístico es subsumible en la intromisión al honor en los términos planteados en la demanda” (FJ 4). </w:t>
      </w:r>
    </w:p>
    <w:p w:rsidR="0025129F" w:rsidRDefault="0025129F" w:rsidP="0025129F">
      <w:pPr>
        <w:pStyle w:val="TextoNormal"/>
      </w:pPr>
      <w:r>
        <w:t xml:space="preserve">Así pues, no es la intimidad del demandante, sino su derecho al honor lo que se debate, de modo que a este Tribunal Constitucional le corresponde examinar si la ponderación hecha por la Sala de lo Civil del Tribunal Supremo entre la libertad de información y el derecho al honor es constitucionalmente correcta o, por el contrario, lesiona la libertad de información (SSTC 134/1999, de 15 de julio, FJ 2; 180/1999, de 11 de octubre, FJ 3; 200/1998, de 14 de octubre). </w:t>
      </w:r>
    </w:p>
    <w:p w:rsidR="0025129F" w:rsidRDefault="0025129F" w:rsidP="0025129F">
      <w:pPr>
        <w:pStyle w:val="TextoNormal"/>
      </w:pPr>
      <w:r>
        <w:t xml:space="preserve">b) Cuando la supuesta lesión de los derechos fundamentales del art. 18.1 CE se imputa a un texto periodístico, éste ha de ser considerado en su conjunto y totalidad (SSTC 178/1993, de 31 de mayo, FJ 6; 192/1999, de 25 de octubre, FJ 6). En el presente caso el trabajo periodístico sobre el que gira el litigio resulta ser una extensa información, de la que conciernen al recurrente únicamente los dos primeros párrafos y un titular a dos columnas, y la finalidad del artículo es informar sobre la investigación policial de dos delitos gravísimos. Las fuentes utilizadas fueron la información publicada en el “Diario de Cádiz” y la información obtenida por la Sra. Merino Arranz en la Jefatura Superior de Policía de Canarias, según confesó ésta ante el Juzgado, al responder a la posición primera en la prueba testifical. Examinado en su conjunto, el trabajo periodístico consta de tres partes: en la primera, destacada en titulares, se informa de las tres personas sobre las que han recaído las pesquisas policiales; en la segunda se recogen diversas circunstancias de la investigación (lista de pasajeros borrosa, confusiones de identidad); y en la tercera se da cuenta de los indicios e hipótesis que maneja la policía. Así pues, el trabajo periodístico no está polarizado en el Sr. López Parra, a quien se le dedican dos párrafos en el contexto de la información, destacándose ante todo que “parece haber sido descartado (como sospechoso) por los investigadores del caso”. Precisamente a esta circunstancia dan relieve los titulares de la información. </w:t>
      </w:r>
    </w:p>
    <w:p w:rsidR="0025129F" w:rsidRDefault="0025129F" w:rsidP="0025129F">
      <w:pPr>
        <w:pStyle w:val="TextoNormal"/>
      </w:pPr>
      <w:r>
        <w:t xml:space="preserve">En suma, la intencionalidad fundamental de la información es resaltar que el Sr. López Parra, poseedor de cierta popularidad en Las Palmas de Gran Canaria (se le conoce por “El profeta”), ha dejado de ser sospechoso, al parecer, del doble crimen cometido en el ferry, pese a que en un principio “creyó la policía de esta capital que era el indigente que viajó en el ferry”. Lejos de ser lesiva para su honor, el núcleo de la información periodística sirvió para eliminar la sombra que gravitaba sobre su reputación, en cuanto sospechoso para la policía de haber cometido un doble crimen atroz. </w:t>
      </w:r>
    </w:p>
    <w:p w:rsidR="0025129F" w:rsidRDefault="0025129F" w:rsidP="0025129F">
      <w:pPr>
        <w:pStyle w:val="TextoNormal"/>
      </w:pPr>
      <w:r>
        <w:t>c) La condena que a los demandantes de amparo impone la Sala de lo Civil del Tribunal Supremo se basa en un aspecto absolutamente colateral de la información, cual es “el que la periodista haya añadido a la noticia que el Sr. López Parra tenía ‘antecedentes pena</w:t>
      </w:r>
      <w:r>
        <w:lastRenderedPageBreak/>
        <w:t xml:space="preserve">les por una violación acaecida hace 12 años’ y que había ‘sido objeto en otra ocasión de un arresto menor’”. Para el órgano judicial no importa si estos datos añadidos son o no veraces —pese a que en el escrito de impugnación del recurso de casación, con cita de doctrina constitucional (SSTC 40/1992; 178/1993; 240/1992) y de la jurisprudencia norteamericana sobre la gist rule (Ocala StarBanner Co versus Damron, 401 U.S. 295, 1971), se reconocía y razonaba que no podía considerarse causa bastante para perder la protección constitucional de la libertad de información la inexactitud de haber calificado como antecedentes penales por violación lo que simplemente eran antecedentes policiales—, pues se trata en todo caso de datos superfluos e innecesarios, que “se podía y debía perfectamente haberse publicado esta noticia en tales estrictos términos (descarte de sospechosos, entre ellos el demandante en el proceso a quo), sin necesidad de añadir la improcedente relación de circunstancias tan personales”. </w:t>
      </w:r>
    </w:p>
    <w:p w:rsidR="0025129F" w:rsidRDefault="0025129F" w:rsidP="0025129F">
      <w:pPr>
        <w:pStyle w:val="TextoNormal"/>
      </w:pPr>
      <w:r>
        <w:t xml:space="preserve">A tenor de la doctrina recogida en la Sentencia impugnada, la cuestión que se plantea con ocasión de este recurso de amparo es la de si del derecho al honor dimana una restricción a la libertad de información, consistente en que, cuando se descarta a una persona como sospechosa policial, el medio debe limitarse a publicar desnudamente este hecho, y tiene prohibido informar a sus lectores de los antecedentes penales o policiales del investigado que a los ojos de la policía pueden haberlo hecho sospechoso. En otras palabras, si en el ámbito de la libertad de información se aplica también —como ocurre en la libertad de expresar opiniones— el test de la necesidad, de manera que no pueda informarse sobre hechos que, aun siendo verdaderos, ocasionen descrédito a una persona, salvo cuando sea absolutamente necesario, por versar sobre el núcleo de la información. Y junto a este problema general o de principio, la segunda cuestión a resolver estriba en determinar si, aun admitiendo el criterio de la necesidad, aquel test está bien aplicado en el caso concreto que nos ocupa. </w:t>
      </w:r>
    </w:p>
    <w:p w:rsidR="0025129F" w:rsidRDefault="0025129F" w:rsidP="0025129F">
      <w:pPr>
        <w:pStyle w:val="TextoNormal"/>
      </w:pPr>
      <w:r>
        <w:t xml:space="preserve">d) En opinión de los demandantes de amparo, cuando la libertad de información versa sobre hechos que pueden causar descrédito a una persona o hacerla desmerecer en el concepto ajeno, no puede quedar restringida a la publicación de lo estrictamente necesario. En este sentido afirman que la regla restrictiva que se plasma en la Sentencia de la Sala de lo Civil del Tribunal Supremo choca con la práctica inveterada del periodismo español y extranjero, que consiste, como es notorio, en comunicar los fundamentos por los cuales la policía considera sospechosa a una persona investigada, entre los que pueden estar los antecedentes penales o policiales. Aquella doctrina, además, les parece peligrosísima para el libre flujo de información en una sociedad democrática, pues, de acuerdo con ella, el periodista, además de observar el deber de diligencia que le impone la regla de la veracidad (SSTC 6/1988, de 21 de enero, 240/1992, de 21 de diciembre, y 154/1999, de 14 de septiembre), debe anticipar el posterior juicio judicial de necesidad para decidir qué informaciones puede y no puede dar, por ser o no necesarias atendido el objeto principal de la noticia, lo cual no es fácil ni siquiera para un perito en Derecho. </w:t>
      </w:r>
    </w:p>
    <w:p w:rsidR="0025129F" w:rsidRDefault="0025129F" w:rsidP="0025129F">
      <w:pPr>
        <w:pStyle w:val="TextoNormal"/>
      </w:pPr>
      <w:r>
        <w:t xml:space="preserve">Si se consolida tal doctrina, la prohibición constitucional de censura habría salido por la puerta del art. 20.2 CE, pero sólo para entrar por la ventana de ese juicio judicial de necesidad que deberán prever y anticipar los informadores, pues obligar a los medios a este pronóstico es, sin más, inducirlos a la autocensura y reducir drásticamente el breathing space de la libre información. Cualquier dato exacto, pero que desacredite a alguien, no será publicado por temor a que luego un Juez o Tribunal lo considere innecesario. De esta manera los Jueces se convertirán en examinadores a posteriori del estilo informativo, determinando vinculantemente aquello de lo que se puede informar, porque lo juzguen necesario, y aquello de lo que no, porque a sus ojos no lo sea. </w:t>
      </w:r>
    </w:p>
    <w:p w:rsidR="0025129F" w:rsidRDefault="0025129F" w:rsidP="0025129F">
      <w:pPr>
        <w:pStyle w:val="TextoNormal"/>
      </w:pPr>
      <w:r>
        <w:lastRenderedPageBreak/>
        <w:t xml:space="preserve">La Sala Primera del Tribunal Supremo ha trasladado indebidamente a la libertad de información un criterio constitucional que tiene su razón de ser en el campo de la libertad de expresión de opiniones (SSTC 107/1988, de 8 de junio; 105/1990, de 6 de junio; 336/1993, de 15 de noviembre; 76/1995, de 22 de mayo; 204/1997, de 25 de noviembre). En el presente caso no hay vejación, injuria o insulto contra el Sr. López Parra, sino, solamente, la revelación de sus antecedentes penales y policiales tomados de una fuente de máxima fiabilidad, como es la Jefatura Superior de Policía. Dato que en el contexto general de la información aclara al lector por qué razón la policía había investigado a un ciudadano, respecto al cual la noticia fundamental que se da es que parece haber quedado descartado como sospechoso. </w:t>
      </w:r>
    </w:p>
    <w:p w:rsidR="0025129F" w:rsidRDefault="0025129F" w:rsidP="0025129F">
      <w:pPr>
        <w:pStyle w:val="TextoNormal"/>
      </w:pPr>
      <w:r>
        <w:t xml:space="preserve">En el caso particular de las informaciones sobre investigaciones policiales en curso resulta absurdo que venga a impedirse, por innecesario, informar sobre los antecedentes de los investigados, ya se cierre o se prosiga respecto a ellos la investigación. Semejante restricción, que choca con una práctica periodística inveterada, sólo contribuye a oscurecer para el lector medio el sentido de las investigaciones policiales, las cuales aparecerán carentes de fundamento, sin que a veces sea factible explicarse por qué se investiga a un ciudadano y no a otro. De modo que la exclusión de lo supuestamente innecesario sólo sirve para dificultar gravemente el flujo informativo sobre este importante campo de la vida social, cual es el de la investigación de los delitos, fundamental para dar confianza al ciudadano de que puede contar con órganos que aseguran racionalmente la preservación de la seguridad pública y el esclarecimiento y castigo de los delitos. </w:t>
      </w:r>
    </w:p>
    <w:p w:rsidR="0025129F" w:rsidRDefault="0025129F" w:rsidP="0025129F">
      <w:pPr>
        <w:pStyle w:val="TextoNormal"/>
      </w:pPr>
      <w:r>
        <w:t xml:space="preserve">e) En la aplicación del test de la necesidad al caso concreto ahora examinado la representación de los demandantes de amparo comienza por señalar que la confusión que cometió la periodista entre antecedentes penales y policiales fue absolutamente involuntaria, no pudiendo imputarse a la autora de la información menosprecio por la verdad o falsedad de lo informado. De ser consciente del error, se hubiera escrito “policiales” en vez de “penales”, haciendo constar luego que se habían archivado las diligencias. Es absurdo suponer que esa confusión hubiera sido creada a propósito para aumentar las ventas del diario, que tiene por norma publicar cuantas rectificaciones mínimamente fundadas se le envían, aunque en este supuesto no fue interesada. Además este Tribunal tiene declarado que la exactitud técnica de las calificaciones jurídicas no es exigible a quien informa a terceros, salvo que resulte acreditada la malicia con la que conscientemente se incurrió en el error (STC 192/1999, de 25 de octubre, FJ 6). </w:t>
      </w:r>
    </w:p>
    <w:p w:rsidR="0025129F" w:rsidRDefault="0025129F" w:rsidP="0025129F">
      <w:pPr>
        <w:pStyle w:val="TextoNormal"/>
      </w:pPr>
      <w:r>
        <w:t xml:space="preserve">En realidad la Sentencia de la Sala de lo Civil del Tribunal Supremo no se centra en este aspecto, sino en lo necesario o innecesario de incluir los antecedentes penales y policiales del Sr. López Parra en la noticia y, en este extremo, ni siquiera admitiendo la regla del test de la necesidad puede tacharse de innecesario este punto de la información. La referencia a aquellos antecedentes no tiene un propósito difamatorio, ni con ella se proclaman rumores, invenciones o insidias (STC 180/1999, de 11 de octubre, FJ 4), sino únicamente se pretendía ayudar a que el lector entendiera por qué la policía se había fijado en el Sr. López Parra como posible sospechoso, esto es, cómo se había desarrollado la actividad policial en un doble asesinato, y desde este punto de vista no puede negarse la pertinencia o necesidad del dato de los antecedentes de uno de los investigados. La propia policía debió considerar como un dato informativamente relevante los antecedentes del Sr. López Parra, puesto que los señaló a la periodista, se deba a la fuente policial o a los exiguos conocimientos de la informadora la confusión entre antecedentes penales y policiales. </w:t>
      </w:r>
    </w:p>
    <w:p w:rsidR="0025129F" w:rsidRDefault="0025129F" w:rsidP="0025129F">
      <w:pPr>
        <w:pStyle w:val="TextoNormal"/>
      </w:pPr>
      <w:r>
        <w:t>Finalmente, aquella referencia a dichos antecedentes es absolutamente accesoria (es un inciso entre guiones) y deja indemne el contenido esencial de la información, cuya sustan</w:t>
      </w:r>
      <w:r>
        <w:lastRenderedPageBreak/>
        <w:t xml:space="preserve">cial veracidad favorece a la reputación del Sr. López Parra, que queda inalterada por el error, totalmente accidental en el doble sentido de lo esencial y de casual e involuntario. </w:t>
      </w:r>
    </w:p>
    <w:p w:rsidR="0025129F" w:rsidRDefault="0025129F" w:rsidP="0025129F">
      <w:pPr>
        <w:pStyle w:val="TextoNormal"/>
      </w:pPr>
      <w:r>
        <w:t>Concluye el escrito de demanda suplicando del Tribunal Constitucional que, tras los trámites oportunos, dicte Sentencia, en la que se otorgue el amparo solicitado y se declare la nulidad de la Sentencia de la Sala de lo Civil del Tribunal Supremo. De conformidad con lo previsto en el art. 56.1 LOTC, se interesó la suspensión de la ejecución de la resolución judicial impugnada con relación a la condena civil al pago de la indemnización al actor en concepto de perjuicios y daños morales o, subsidiariamente, que se condicionase la denegación de la suspensión a la constitución de caución suficiente por el demandante en el proceso a quo, para garantizar la devolución de la cantidad que se le entregue.</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Sección Tercera del Tribunal Constitucional por providencia de 29 de mayo de 2000 acordó, de conformidad con lo previsto en el art. 50.3 LOTC, conceder a la parte demandante de amparo y al Ministerio Fiscal un plazo común de diez días, para que formulasen, con las aportaciones documentales que procediesen, las alegaciones que estimaren pertinentes en relación con la posible carencia manifiesta de contenido constitucional de la demanda de amparo [art. 50.1 c) LOTC]. </w:t>
      </w:r>
    </w:p>
    <w:p w:rsidR="0025129F" w:rsidRDefault="0025129F" w:rsidP="0025129F">
      <w:pPr>
        <w:pStyle w:val="TextoNormal"/>
      </w:pPr>
      <w:r>
        <w:t>Evacuado el trámite de alegaciones conferido, la Sala Segunda del Tribunal Constitucional por providencia de 22 de septiembre de 2000 acordó admitir a trámite la demanda y, en aplicación de lo dispuesto en el art. 51 LOTC, dirigir atentas comunicaciones a la Sala de lo Civil del Tribunal Supremo, a la Sección Segunda de la Audiencia Provincial de Las Palmas de Gran Canaria y al Juzgado de Primera Instancia núm. 11 de la misma localidad, al objeto de que, en plazo que no excediera de diez días, remitiesen, respectivamente, certificación o fotocopia adverada de las actuaciones correspondientes al recurso de casación núm. 457/95, al rollo de apelación núm. 375/93 y a los autos sobre protección de los derechos fundamentales núm. 191/93, debiendo emplazar previamente el Juzgado de Primera Instancia a quienes hubieran sido parte en el procedimiento, a excepción de los demandantes de amparo, para que pudieran comparecer en el plazo de diez días, si lo deseasen, en el presente proceso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La Sala Segunda del Tribunal Constitucional por providencia de 22 de septiembre de 2000 acordó formar la oportuna pieza para la tramitación del incidente de suspensión y, de conformidad con lo dispuesto en el art. 56.1 LOTC, conceder un plazo común de tres días a la parte recurrente y al Ministerio Fiscal, para que alegasen lo que estimaren pertinente sobre dicha suspensión. </w:t>
      </w:r>
    </w:p>
    <w:p w:rsidR="0025129F" w:rsidRDefault="0025129F" w:rsidP="0025129F">
      <w:pPr>
        <w:pStyle w:val="TextoNormal"/>
      </w:pPr>
      <w:r>
        <w:t>Evacuado el trámite de alegaciones conferido, la Sala Segunda del Tribunal Constitucional por Auto de 26 de febrero de 2001 acordó denegar la suspensión solicitada respecto al pago de un millón de pesetas en concepto de indemnización a don Gaudencio Inocencio López Parra, si bien sometiendo la ejecución a la condición de que el ejecutante garantice la restitución, en la forma que estime procedente el órgano judicial, para el caso de que el amparo fuera otorgado.</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Mediante escrito presentado en el Registro General de este Tribunal el día 2 de noviembre de 2000 don Gaudencio Inocencio López Parra se personó en el recurso de amparo, y solicitó la designación de Abogado y Procurador del turno de oficio. </w:t>
      </w:r>
    </w:p>
    <w:p w:rsidR="0025129F" w:rsidRDefault="0025129F" w:rsidP="0025129F">
      <w:pPr>
        <w:pStyle w:val="TextoNormal"/>
      </w:pPr>
      <w:r>
        <w:t>Tras la oportuna tramitación de la solicitud, por diligencia de ordenación de la Secretaría de la Sala Segunda del Tribunal Constitucional de 7 de junio de 2001 se tuvo por de</w:t>
      </w:r>
      <w:r>
        <w:lastRenderedPageBreak/>
        <w:t>signados por el turno de oficio para la presentación y defensa de don Gaudencio Inocencio López Parra, como Procuradora, a doña María Dolores Hernández Vergara y, como Letrado, a don Gregorio Fraile Fabra, haciéndoles saber tal designación a los mismos y a don Gaudencio Inocencio López Parra, así como se acordó dar vista de las actuaciones recibidas a las partes personadas y al Ministerio Fiscal por plazo común de veinte días, al objeto de que, de conformidad con lo previsto en el art. 52.1 LOTC, pudieran formular cuantas alegaciones tuvieran por oportunas.</w:t>
      </w:r>
    </w:p>
    <w:p w:rsidR="0025129F" w:rsidRDefault="0025129F" w:rsidP="0025129F">
      <w:pPr>
        <w:pStyle w:val="TextoNormal"/>
      </w:pPr>
    </w:p>
    <w:p w:rsidR="0025129F" w:rsidRDefault="0025129F" w:rsidP="0025129F">
      <w:pPr>
        <w:pStyle w:val="TextoNormal"/>
      </w:pPr>
      <w:r w:rsidRPr="0025129F">
        <w:rPr>
          <w:rStyle w:val="NumeroAFNegritaCaracter"/>
        </w:rPr>
        <w:t>7</w:t>
      </w:r>
      <w:r>
        <w:t>. La representación procesal de los demandantes de amparo evacuó el trámite de alegaciones conferido mediante escrito presentado en el Registro General de este Tribunal el día 29 de junio de 2001, en el que reiteró, sucintamente, la argumentación expuesta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Ministerio Fiscal evacuó el trámite de alegaciones conferido mediante escrito presentado en el Registro General de este Tribunal el día 2 de julio de 2001, en el que interesó la desestimación de la demanda de amparo. </w:t>
      </w:r>
    </w:p>
    <w:p w:rsidR="0025129F" w:rsidRDefault="0025129F" w:rsidP="0025129F">
      <w:pPr>
        <w:pStyle w:val="TextoNormal"/>
      </w:pPr>
      <w:r>
        <w:t xml:space="preserve">a) Tras referirse a la doctrina de este Tribunal, transcribiendo parte de la fundamentación jurídica de las SSTC 29/1996, de 26 de febrero, 138/1996, de 16 de septiembre, y 200/1998, de 14 de octubre, sobre los derechos fundamentales en conflicto en el presente caso, el derecho al honor, por una parte, y la libertad de información, por otra, el Ministerio Fiscal entiende que la aplicación de dicha doctrina ha de conducir a la desestimación de la demanda de amparo, ya que, aun aceptándose, como se acepta en la resolución impugnada, que el hecho del que se da cuenta en el trabajo periodístico tiene relevancia pública, aunque afecte a una persona privada, por referirse a investigaciones policiales sobre la muerte violenta de dos miembros de la tripulación de un buque cuando éste se encontraba haciendo su ruta entre la Península y las Islas Canarias, no se puede olvidar que la persona concernida por la noticia ya había sido descartada policialmente como sospechosa. </w:t>
      </w:r>
    </w:p>
    <w:p w:rsidR="0025129F" w:rsidRDefault="0025129F" w:rsidP="0025129F">
      <w:pPr>
        <w:pStyle w:val="TextoNormal"/>
      </w:pPr>
      <w:r>
        <w:t xml:space="preserve">Argumenta en este sentido que no consta en las actuaciones que con anterioridad a la difusión de la noticia cuestionada se hubiese divulgado la existencia de sospechas sobre la participación del demandante en el proceso a quo en el asesinato que se investigaba. Ello así, no se alcanza a entender, afirma el Ministerio Fiscal, qué interés tenía para la opinión pública comunicar que había sido descartada su participación, ya que, aun reconociendo el interés general que puede existir en el conocimiento por la sociedad de la actuación policial en relación con un hecho de tanta gravedad, tal interés habrá que circunscribirlo a la existencia de tales actuaciones, que permite conocer que la policía no está inactiva ante la ocurrencia de hechos graves que afectan a la convivencia ciudadana y, en su caso, a la concreción de los resultados positivos que conduzcan a establecer la participación de determinadas personas en la realización de los hechos, lo que permite conocer, además de la existencia de la actuación policial, su efectividad. Pero es absurdo reconocer también interés público a la divulgación de las identidades de quienes resultan descartados en el curso de la investigación, salvo cuando se trate de personas que anteriormente hubiesen sido relacionadas de alguna manera con la ejecución del hecho, ya que ello significa colocar a cualquier persona que no haya tenido participación en la comisión de un hecho delictivo en situación de que se pudiese divulgar su identidad, aunque solamente fuera para descartar su participación en la ejecución de los delitos que a diario se cometen. </w:t>
      </w:r>
    </w:p>
    <w:p w:rsidR="0025129F" w:rsidRDefault="0025129F" w:rsidP="0025129F">
      <w:pPr>
        <w:pStyle w:val="TextoNormal"/>
      </w:pPr>
      <w:r>
        <w:t xml:space="preserve">b) En todo caso, el trabajo periodístico en cuestión, no sólo divulga la identidad de una persona cuya participación en la comisión de un delito había sido descartada, sino que </w:t>
      </w:r>
      <w:r>
        <w:lastRenderedPageBreak/>
        <w:t xml:space="preserve">además proporciona datos sobre la misma, como tener antecedentes penales y “haber estado sujeto al cumplimiento de una pena de arresto mayor” (sic), que, con independencia de su veracidad, se pueden considerar denigrantes socialmente hablando, porque, al publicarlos, lo que se está divulgando es que la persona a la que se refiere ha infringido con su comportamiento valores tan esenciales para la convivencia social que ha merecido el máximo reproche previsto para tales casos en el Ordenamiento. Como tiene declarado este Tribunal, “a nadie se le puede exigir que soporte pasivamente la revelación de datos, reales o supuestos, de su vida privada o familiar” (STC 134/1999, de 15 de julio). </w:t>
      </w:r>
    </w:p>
    <w:p w:rsidR="0025129F" w:rsidRDefault="0025129F" w:rsidP="0025129F">
      <w:pPr>
        <w:pStyle w:val="TextoNormal"/>
      </w:pPr>
      <w:r>
        <w:t>Por lo que se refiere a la veracidad de tales datos, es innegable, sostiene el Ministerio Fiscal, que en el curso del proceso se acreditó que la redactora de la noticia cumplió con el deber de diligencia exigible, recabando su información a organismos oficiales, como la Jefatura Superior de Policía. Ahora bien, no es menos cierto que dicho organismo lo que certificó fue, no que el concernido por la noticia tenía antecedentes penales, sino que había estado a disposición judicial, lo que implica una alteración de la noticia proporcionada por la fuente que determina la inveracidad de la publicada. Tal inveracidad, con independencia de que fuese o no realizada con el propósito de vilipendiar a la persona a la que se refería, es indudable que se realizó conscientemente, porque la propia autora del reportaje, con independencia de la formación que pueda tener, manifiesta cuando confiesa que lo que le proporcionó la Jefatura Superior de Policía fue una certificación en la que se expresaba que el Sr. López Parra tenía antecedentes policiales. Y esta alteración, además de determinar la inveracidad de la noticia trasmitida, resulta innecesaria para comunicar a la opinión pública el mensaje pretendido, que no era otro que el de descartar en el curso del relato de la actuación policial sobre el delito cometido la participación del mismo Sr. López Parra.</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La representación procesal de don Gaudencio Inocencio López Parra evacuó el trámite de alegaciones conferido mediante escrito presentado en el Registro General de este Tribunal el día 5 de julio de 2001, en el que interesó la desestimación de la demanda de amparo. </w:t>
      </w:r>
    </w:p>
    <w:p w:rsidR="0025129F" w:rsidRDefault="0025129F" w:rsidP="0025129F">
      <w:pPr>
        <w:pStyle w:val="TextoNormal"/>
      </w:pPr>
      <w:r>
        <w:t xml:space="preserve">Argumenta al respecto que la publicación de la imputación de un delito de violación no puede ser calificada sino como una transgresión del derecho al honor en su más amplia consideración, al lesionarse la reputación del ofendido e invadir el ámbito de la intimidad personal, por publicarse aspectos privados, que, aun siendo ciertos, no tienen por qué difundirse en el ejercicio de la libertad de expresión, ni en el de la libertad de información, sobre todo teniendo en cuenta la gravedad de los hechos atribuidos al Sr. López Parra y la innecesariedad de ese comentario para la noticia principal. Es evidente que la publicación de antecedentes penales ocasiona en cualquier caso un descrédito para la persona afectada, especialmente cuando éstos son positivos, pero si además resultan no ser ciertos se producen dos efectos, por un lado, la publicación de circunstancias que corresponden a la intimidad personal, y por otro, la atribución de la comisión de un delito, que, al no ser cierta, invade los derechos de la persona que están especialmente protegidos en el ámbito penal y civil, sin que puedan ser objeto de ponderación por posible colisión con otros derechos fundamentales, como pueden ser los de la libertad de expresión e información. </w:t>
      </w:r>
    </w:p>
    <w:p w:rsidR="0025129F" w:rsidRDefault="0025129F" w:rsidP="0025129F">
      <w:pPr>
        <w:pStyle w:val="TextoNormal"/>
      </w:pPr>
      <w:r>
        <w:t>Tal circunstancia no puede enmascararse, atribuyéndole un carácter necesario a la información, que resulta totalmente improcedente, no sólo en el ámbito del derecho a la libertad de información, sino también en el marco de la libertad de expresión, pues la atribución de antecedentes penales supone hacer referencia a la condena mediante Sentencia firme por la comisión de hechos delictivos, a los que no debe de darse publicidad por los perjuicios que socialmente representa, pero que en el presente supuesto tiene aún más tras</w:t>
      </w:r>
      <w:r>
        <w:lastRenderedPageBreak/>
        <w:t xml:space="preserve">cendencia, al no ser ciertos dichos antecedentes. En definitiva, no requiere mayores razonamientos la afirmación que la atribución en este caso de antecedentes penales por un delito de violación cometido hace años es una expresión que no puede encontrarse amparada por las libertades que reconoce y garantiza el art. 20.1 CE, de modo que no procede en ningún caso analizar, por innecesario, cuál ha sido la ponderación efectuada por la Sala de lo Civil del Tribunal Supremo entre los derechos fundamentales en conflicto (STC 51/1997, de 11 de marzo, FJ 3). </w:t>
      </w:r>
    </w:p>
    <w:p w:rsidR="0025129F" w:rsidRDefault="0025129F" w:rsidP="0025129F">
      <w:pPr>
        <w:pStyle w:val="TextoNormal"/>
      </w:pPr>
      <w:r>
        <w:t xml:space="preserve">De otra parte, los demandantes de amparo sostienen que no ha habido vejación o injuria o insulto, sino sólo la revelación de un dato tomado de una fuente de máxima fiabilidad, como lo es la Jefatura Superior de Policía. Mas ello no es cierto, ya que en la información se incluyen dos circunstancias: la revelación de antecedentes penales y la atribución de un delito de violación. La revelación de antecedentes penales invade el derecho a la intimidad personal, en la medida en que puede causar un descrédito o desvanecimiento en la consideración social del individuo, causándole perjuicios irreparables para el ejercicio de otros derechos. Pero la atribución de un delito de violación, además de representar una vejación, injuria o insulto, resulta totalmente innecesaria dentro del contexto de la noticia principal y sobre todo, al no ser verdad, no puede justificarse su difusión por muy fiable que sea la fuente de información (STC 112/2000, de 5 de mayo, FJ 6), por lo que tales expresiones resultan ajenas a los derechos de opinión e información. </w:t>
      </w:r>
    </w:p>
    <w:p w:rsidR="0025129F" w:rsidRDefault="0025129F" w:rsidP="0025129F">
      <w:pPr>
        <w:pStyle w:val="TextoNormal"/>
      </w:pPr>
      <w:r>
        <w:t xml:space="preserve">Respecto al alegato de la parte demandante relativo a que la referencia a los antecedentes penales era necesaria dentro del texto de la información, y de que la imputación del delito de violación se realiza sin malicia y por error, sostiene la representación procesal del Sr. López Parra, tras reproducir el fundamento jurídico 8 de la STC 112/2000, de 5 de mayo, que, al tratarse la persona afectada por aquella divulgación de un particular, los hechos narrados requieren, además de la veracidad, una relevancia pública, y, en caso de coincidir estas dos circunstancias, deberían ser también suficientemente relevantes para la información principal, lo que no acontece en el supuesto que nos ocupa, ya que, no sólo resulta innecesaria su divulgación, sino que no tiene virtualidad en el contexto de la información principal, que coloca al Sr. López Parra, en primer lugar, fuera de toda sospecha, para convertirlo inmediatamente en culpable al atribuirle un delito de violación, con lo que se le perjudica innecesariamente en la forma en que está estructurada la noticia. </w:t>
      </w:r>
    </w:p>
    <w:p w:rsidR="0025129F" w:rsidRDefault="0025129F" w:rsidP="0025129F">
      <w:pPr>
        <w:pStyle w:val="TextoNormal"/>
      </w:pPr>
      <w:r>
        <w:t>Por último, el periodista autor de la información no ha puesto el celo necesario para conocer la verdad de la información dada, ya que el Sr. López Parra carece de antecedentes penales, como se acredita con la certificación del Registro Central de Penados y Rebeldes que se acompaña a estas alegaciones, y si se hubiera remitido al Juzgado de procedencia hubiera podido comprobar el sobreseimiento definitivo de su inculpación por un presunto delito de violación, como se desprende igualmente del testimonio emitido por dicho Juzgado que se incorpora como documentación a este escrito.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21 de febrero de 2002, se señaló para la deliberación y votación de la presente Sentencia el día 25 de febrero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La presente demanda de amparo tiene por objeto la impugnación de la Sentencia de la Sala de lo Civil del Tribunal Supremo, de 25 de octubre de 1999, que casó la Sentencia de la Sección Segunda de la Audiencia Provincial de Las Palmas de Gran Canaria de 20 </w:t>
      </w:r>
      <w:r>
        <w:lastRenderedPageBreak/>
        <w:t>de septiembre de 1994, que había confirmado en apelación la dictada por el Juzgado de Primera Instancia núm. 11 de la misma localidad, y estimó parcialmente la demanda interpuesta por don Gaudencio Inocencio López Parra contra los ahora recurrentes en amparo sobre protección de derechos fundamentales, con ocasión de una noticia publicada en el “Diario de Las Palmas” el día 18 de marzo de 1992.</w:t>
      </w:r>
    </w:p>
    <w:p w:rsidR="0025129F" w:rsidRDefault="0025129F" w:rsidP="0025129F">
      <w:pPr>
        <w:pStyle w:val="TextoNormal"/>
      </w:pPr>
      <w:r>
        <w:t>En esta noticia, a la que después nos referiremos más detenidamente, se informa sobre las investigaciones llevadas a cabo por las Fuerzas y Cuerpos de Seguridad del Estado para determinar la identidad de la persona que había dado muerte a dos tripulantes del ferry “Ciudad de Palma”, relatándose, lo que se destaca ya en su titular, que dos de las tres personas que habían sido objeto principalmente de las pesquisas iniciales, realizadas a tal efecto por funcionarios del Cuerpo Nacional de Policía y de la Guardia Civil, habían sido descartadas como sospechosas. En el texto de la noticia se dedican los dos primeros párrafos a don Gaudencio Inocencio López Parra –demandante en el proceso a quo— descartándose su participación en los mencionados acontecimientos, en el segundo de los cuales se afirma “que tiene antecedentes penales por una violación acaecida hace 12 años, habiendo sido objeto en otra ocasión de un arresto menor”. La Sala de lo Civil del Tribunal Supremo consideró en su Sentencia, frente al criterio mantenido por la Audiencia Provincial y el Juzgado de Primera Instancia, que la divulgación de tales datos, al margen de su no veracidad, suponía una intromisión ilegítima en el honor de don Gaudencio Inocencio López Parra y, en consecuencia, estimó parcialmente la demanda por éste promovida.</w:t>
      </w:r>
    </w:p>
    <w:p w:rsidR="0025129F" w:rsidRDefault="0025129F" w:rsidP="0025129F">
      <w:pPr>
        <w:pStyle w:val="TextoNormal"/>
      </w:pPr>
    </w:p>
    <w:p w:rsidR="0025129F" w:rsidRDefault="0025129F" w:rsidP="0025129F">
      <w:pPr>
        <w:pStyle w:val="TextoNormal"/>
      </w:pPr>
      <w:r w:rsidRPr="0025129F">
        <w:rPr>
          <w:rStyle w:val="NumeroAFNegritaCaracter"/>
        </w:rPr>
        <w:t>2</w:t>
      </w:r>
      <w:r>
        <w:t>. Los demandantes de amparo —la autora de la información controvertida, el director del medio de comunicación y la empresa editora— invocan frente a la resolución judicial impugnada la vulneración del derecho a comunicar libremente información veraz [art. 20.1 d) CE], al entender que la Sala de lo Civil del Tribunal Supremo no ha llevado a cabo una ponderación constitucionalmente adecuada de los derechos fundamentales en conflicto.  Argumentan al respecto que un texto periodístico ha de ser considerado en su conjunto y totalidad, tratándose en este caso de una extensa información sobre la investigación policial de dos gravísimos delitos, que no está polarizada en torno al demandante en el proceso a quo, a quien se dedican dos párrafos destacándose que ha sido descartada su participación por los investigadores del caso, de modo que, lejos de ser lesiva para su honor, el núcleo de la información sirvió para eliminar la sombra que gravitaba sobre su reputación en cuanto sospechoso para la policía de haber cometido el doble crimen.</w:t>
      </w:r>
    </w:p>
    <w:p w:rsidR="0025129F" w:rsidRDefault="0025129F" w:rsidP="0025129F">
      <w:pPr>
        <w:pStyle w:val="TextoNormal"/>
      </w:pPr>
      <w:r>
        <w:t>Aducen, además, en este sentido que la condena de la Sala Civil del Tribunal Supremo se basa en un aspecto absolutamente colateral de la información, cual es la divulgación de que el demandante en el proceso a quo tenía antecedentes penales por una violación acaecida hace doce años, y que había sido objeto en otra ocasión de un arresto menor, con lo que el órgano judicial traslada indebidamente a la libertad de información el criterio constitucional del test de la necesidad, que tiene su razón de ser en el campo de la libertad de expresión, pues, en opinión de los demandantes de amparo, la libertad de información, cuando versa sobre hechos que pueden causar descrédito a una persona o hacerla desmerecer en el concepto ajeno, no puede quedar restringida a la publicación de lo estrictamente necesario. En el presente caso no hay vejación, injuria o insulto contra don Gaudencio Inocencio López Parra sino, solamente, revelación de sus antecedentes penales y policiales, tomados de una fuente de máxima fiabilidad, como es la Jefatura Superior de Policía, con la que en el contexto general de la información se perseguía aclarar al lector por qué razón la policía había investigado a un ciudadano, respecto del cual la noticia fundamental que se da es la de haber quedado descartado como sospechoso. Aun aplicando a la infor</w:t>
      </w:r>
      <w:r>
        <w:lastRenderedPageBreak/>
        <w:t>mación el test de la necesidad, como se hace en la Sentencia de la Sala de lo Civil del Tribunal Supremo, no puede imputarse a la autora de la información menosprecio por la verdad o falsedad de lo comunicado, como consecuencia de la confusión en la que incurrió, al referirse a antecedentes penales, en vez de a policiales, ni tacharse de innecesaria o impertinente la divulgación de aquellos antecedentes, que no tiene un propósito difamatorio, y constituye además una referencia accesoria, que deja indemne el contenido esencial de la información. A lo que agregan que el test de necesidad no resulta aplicable en el ámbito de la libertad de información.</w:t>
      </w:r>
    </w:p>
    <w:p w:rsidR="0025129F" w:rsidRDefault="0025129F" w:rsidP="0025129F">
      <w:pPr>
        <w:pStyle w:val="TextoNormal"/>
      </w:pPr>
      <w:r>
        <w:t>La representación procesal de don Gaudencio Inocencio López Parra se opone a la estimación de la demanda de amparo, al considerar que la atribución de antecedentes penales representa por sí misma la condena mediante Sentencia firme por la comisión de hechos delictivos, circunstancia a la que no debe de dársele publicidad, por los perjuicios que socialmente representa, máxime si, como acontece en el presente caso, no son ciertos dichos antecedentes y su publicación carece de relevancia pública, ya que, no sólo resulta innecesaria, sino que no tiene virtualidad en el contexto de la información principal, que lo coloca, en primer lugar, fuera de toda sospecha, para convertirlo inmediatamente en culpable de un delito de violación, con lo que se le perjudica innecesariamente. Además, añade, la periodista autora de la noticia no ha puesto el celo necesario en conocer la verdad de la información publicada, dado que, como se acredita con la documentación que se aporta, su representado carece de antecedentes penales, y su inculpación como presunto autor de un delito de violación por el Juzgado de procedencia fue sobreseída definitivamente.</w:t>
      </w:r>
    </w:p>
    <w:p w:rsidR="0025129F" w:rsidRDefault="0025129F" w:rsidP="0025129F">
      <w:pPr>
        <w:pStyle w:val="TextoNormal"/>
      </w:pPr>
      <w:r>
        <w:t>Por su parte el Ministerio Fiscal se opone también a la pretensión de los demandantes de amparo. Tras rechazar que presente relevancia pública la divulgación de las identidades de las personas que en el curso de una investigación policial resulten descartadas como sospechosas, cuando anteriormente no hayan sido relacionadas con aquella investigación, sostiene que en el presente caso el trabajo periodístico, no sólo divulga la identidad de una persona, cuya participación en la comisión del delito ha sido descartada, sino que además proporciona datos sobre la misma, como el de tener antecedentes penales y haber estado sujeto al cumplimiento de una pena de arresto mayor, que, con independencia de su veracidad, se pueden considerar socialmente denigrantes. Si bien la periodista cumplió con el deber de diligencia exigible, al recabar su información de organismos oficiales, como la Jefatura Superior de Policía, lo cierto es que lo que este organismo certificó no fue que don Gaudencio Inocencio López Parra tuviera antecedentes penales, sino que había estado a disposición judicial, lo que implica una alteración de la noticia proporcionada por la fuente que determina la inveracidad de la publicada, que resulta además innecesaria para comunicar a la opinión pública el mensaje pretendido, que no era otro que el de descartar su participación en los hechos objeto de investigación policial.</w:t>
      </w:r>
    </w:p>
    <w:p w:rsidR="0025129F" w:rsidRDefault="0025129F" w:rsidP="0025129F">
      <w:pPr>
        <w:pStyle w:val="TextoNormal"/>
      </w:pPr>
    </w:p>
    <w:p w:rsidR="0025129F" w:rsidRDefault="0025129F" w:rsidP="0025129F">
      <w:pPr>
        <w:pStyle w:val="TextoNormal"/>
      </w:pPr>
      <w:r w:rsidRPr="0025129F">
        <w:rPr>
          <w:rStyle w:val="NumeroAFNegritaCaracter"/>
        </w:rPr>
        <w:t>3</w:t>
      </w:r>
      <w:r>
        <w:t>. Para resolver las cuestiones que se nos plantean es necesario precisar el contenido de la información publicada y cuestionada y el de la resolución judicial impugnada.</w:t>
      </w:r>
    </w:p>
    <w:p w:rsidR="0025129F" w:rsidRDefault="0025129F" w:rsidP="0025129F">
      <w:pPr>
        <w:pStyle w:val="TextoNormal"/>
      </w:pPr>
      <w:r>
        <w:t>Consta en las actuaciones judiciales, y así ha quedado reflejado en los antecedentes de esta Sentencia, que la información que motivó la condena civil de los ahora demandantes de amparo fue un artículo periodístico publicado en la sección de sucesos del “Diario de Las Palmas” el día 18 de marzo de 1992, firmado por doña Ángela Merino, bajo el título “Descartados dos de los tres sospechosos de haber asesinado a los tripulantes del ferry”, en el que se informa sobre los resultados, vicisitudes y dificultades de la investigación llevada a cabo por funcionarios del Cuerpo Nacional de Policía y de la Guardia Civil para determinar la identidad del autor de la muerte de dos tripulantes del ferry “Ciudad de Pal</w:t>
      </w:r>
      <w:r>
        <w:lastRenderedPageBreak/>
        <w:t>ma” durante una de sus travesías. En la entradilla del artículo, citando fuentes del “Diario de Cádiz” y fuentes solventes, se afirma que tres personas, de dos de las cuales se conocían su nombre y apellidos completos, habían sido principalmente objeto de las pesquisas realizadas por funcionarios del Cuerpo Nacional de Policía de Las Palmas de Gran Canaria, Cádiz y Baleares y de la Guardia Civil de Cádiz.</w:t>
      </w:r>
    </w:p>
    <w:p w:rsidR="0025129F" w:rsidRDefault="0025129F" w:rsidP="0025129F">
      <w:pPr>
        <w:pStyle w:val="TextoNormal"/>
      </w:pPr>
      <w:r>
        <w:t>En el artículo se hace referencia dos veces al demandante en el proceso a quo —don Gaudencio Inocencio López Parra. La primera, bajo el titular principal de la noticia, en otro titular a dos columnas, que figura a la derecha con una letra de tamaño más pequeño, en el que se le identifica con su primer nombre y apellido y con el mote por el que es popularmente conocido, se divulga que había estado acogido en una institución benéfica y se afirma que “creían que era el indigente del Ciudad de Palma”.  La segunda, en los dos primeros párrafos del texto de la información, en el primero de los cuales, tras reiterar su identificación y reproducir el referido dato de su acogida en una institución benéfica, se dice que “es el hombre sobre el que creyó la Policía de esta capital que era el indigente que viajó en el ferry, aunque, tras haber mostrado ya su fotografía, tomada hace diez años, a tripulantes del buque, parece haber sido descartado por los investigadores del caso”. En el segundo de dichos párrafos se relata que “Personas de la casa de acogida de la mencionada institución benéfica explicaron ayer a la Policía que ‘el profeta’ —que tiene antecedentes penales por una violación, acaecida hace 12 años, habiendo sido objeto en otra ocasión de un arresto menor—, había sido visto en el centro cuando el Ciudad de Palma navegaba hacia Cádiz, si bien estos días aún no ha podido ser localizado”.</w:t>
      </w:r>
    </w:p>
    <w:p w:rsidR="0025129F" w:rsidRDefault="0025129F" w:rsidP="0025129F">
      <w:pPr>
        <w:pStyle w:val="TextoNormal"/>
      </w:pPr>
      <w:r>
        <w:t>A continuación en el artículo se dedican sendos párrafos a cada una de las otras dos personas sobre las que recayeron inicialmente las sospechas, descartándose la participación en los hechos de una de ellas; se informa, con remisión a fuentes policiales gaditanas, sobre las dificultades que desde su inicio presentó el trabajo de identificación del autor de ambas muertes; se narran, citando fuentes de diverso origen —una de las personas que inspeccionó el barco, investigadores del caso y testigos de su llegada al muelle—, una posible versión de cómo sucedieron los acontecimientos en el ferry y sendas hipótesis de cómo el autor de dichas muertes pudo abandonarlo, eludiendo el dispositivo policial que se había montado en el muelle gaditano. Concluye el artículo, indicando que funcionarios del Cuerpo Nacional de Policía y agentes de la Guardia Civil de Cádiz “han realizado batidas por tierra en territorio gaditano, a la par que se ha dado a conocer la descripción del presunto autor del doble crimen tanto en Cádiz como en localidades y ciudades de los alrededores de dicha capital”.</w:t>
      </w:r>
    </w:p>
    <w:p w:rsidR="0025129F" w:rsidRDefault="0025129F" w:rsidP="0025129F">
      <w:pPr>
        <w:pStyle w:val="TextoNormal"/>
      </w:pPr>
      <w:r>
        <w:t xml:space="preserve">El Juzgado de Primera Instancia núm. 11 de Las Palmas de Gran Canaria, cuya Sentencia fue confirmada en apelación por la Sentencia de la Sección Segunda de la Audiencia Provincial, consideró que la información publicada era de relevancia pública e interés general, y que cumplía también el requisito de veracidad, ya que, si bien no era cierto que el demandante en el proceso a quo tuviera antecedentes penales por un delito de violación, pues únicamente se le instruyeron diligencias por la Inspección de Guardia de Las Palmas como presunto autor de un delito de violación, habiendo sido puesto a disposición judicial, aquel dato había sido facilitado a la autora de la noticia por la policía que investigaba los hechos. En atención al carácter de la fuente informativa el órgano judicial entendió que la periodista, al difundir los datos relativos a los antecedentes penales de don Gaudencio Inocencio López Parra, no había actuado negligentemente en la transmisión de la información, limitándose a comunicar unos hechos, sin valorar los mismos, y emitir juicios de valor y sin ánimo de ofender a la persona afectada, debiendo tenerse en cuenta además “que los lectores carecen también de formación jurídica precisa que les permita distinguir </w:t>
      </w:r>
      <w:r>
        <w:lastRenderedPageBreak/>
        <w:t>entre tener antecedentes penales o haber estado a disposición judicial por un delito de violación”.</w:t>
      </w:r>
    </w:p>
    <w:p w:rsidR="0025129F" w:rsidRDefault="0025129F" w:rsidP="0025129F">
      <w:pPr>
        <w:pStyle w:val="TextoNormal"/>
      </w:pPr>
      <w:r>
        <w:t>El demandante de amparo recurrió en casación aduciendo que se habían vulnerado sus derechos al honor y a la intimidad y, respondiendo a su recurso, frente al criterio del órgano judicial de instancia y de apelación, la Sala de lo Civil del Tribunal Supremo estimó que las referencias en la información controvertida a los antecedentes penales de don Gaudencio Inocencio López Parra por una violación acaecida hace doce años y por haber sufrido en otra ocasión un arresto menor, al margen de la inveracidad de las mismas, eran superfluas e innecesarias, dado que la noticia fundamental se había centrado en que había que descartar su participación en el doble crimen, por lo que podía haberse publicado sin necesidad de añadir aquellas referencias, que afectan a su probidad, reputación y dignidad personal, menoscabando su indemnidad personal. En definitiva, entendió que la información publicada en los extremos aludidos constituyó una intromisión ilegítima en del honor el demandante en el proceso a quo.</w:t>
      </w:r>
    </w:p>
    <w:p w:rsidR="0025129F" w:rsidRDefault="0025129F" w:rsidP="0025129F">
      <w:pPr>
        <w:pStyle w:val="TextoNormal"/>
      </w:pPr>
    </w:p>
    <w:p w:rsidR="0025129F" w:rsidRDefault="0025129F" w:rsidP="0025129F">
      <w:pPr>
        <w:pStyle w:val="TextoNormal"/>
      </w:pPr>
      <w:r w:rsidRPr="0025129F">
        <w:rPr>
          <w:rStyle w:val="NumeroAFNegritaCaracter"/>
        </w:rPr>
        <w:t>4</w:t>
      </w:r>
      <w:r>
        <w:t>. Delimitadas en los términos expuestos las posiciones de las partes personadas en el presente proceso de amparo, es necesario, a los efectos de precisar adecuadamente el objeto de nuestro pronunciamiento, realizar con carácter previo alguna consideración en relación con los derechos y libertades que entran en conflicto en el presente caso, pues, como es sabido, la importancia de los criterios que han de ser tenidos en cuenta al afrontar la ponderación entre los derechos y libertades en colisión varía notablemente según se trate de la libertad de expresión o de información, por un lado, y de la protección del derecho al honor, a la intimidad o a la propia imagen, por otro (por todas, SSTC 107/1988, de 8 de junio, FJ 2; 197/1991, de 15 de noviembre, FJ 2; 20/1992, de 17 de marzo, FJ 3; 223/1992, de 14 de diciembre, FJ 2).</w:t>
      </w:r>
    </w:p>
    <w:p w:rsidR="0025129F" w:rsidRDefault="0025129F" w:rsidP="0025129F">
      <w:pPr>
        <w:pStyle w:val="TextoNormal"/>
      </w:pPr>
      <w:r>
        <w:t>Por lo que se refiere a cuál es el derecho ejercido por los demandantes de amparo, si la libertad de expresión o de información, no cabe duda de que el artículo periodístico controvertido, y en ello se muestran conformes todas las partes personadas en el proceso, al limitarse a relatar y narrar, a partir de fuentes de diversa procedencia, la investigación policial llevada a cabo para determinar la identidad del autor de las dos muertes acaecidas en el ferry “Ciudad de Palma”, sus resultados, descartando en este sentido la participación de dos de las tres personas que habían sido objeto de las pesquisas iniciales de las fuerzas y cuerpos de seguridad del Estado, sus vicisitudes y dificultades, y ofrecer una posible versión, según algunas de dichas fuentes, de cómo pudieron acontecer los hechos objeto de investigación, sin añadir su autora opiniones, enunciados o juicios de valor personales y subjetivos, ha de incardinarse en el ejercicio del derecho a comunicar libremente información veraz [art.  20.1 d) CE], que tiene por objeto la comunicación de noticias, hechos o datos (SSTC 6/1988, de 21 de enero, FJ 5; 223/1992, de 14 de diciembre, FJ 1; 76/1995, de 22 de mayo, FJ 6: 176/1995, de 11 de diciembre, FJ 2).</w:t>
      </w:r>
    </w:p>
    <w:p w:rsidR="0025129F" w:rsidRDefault="0025129F" w:rsidP="0025129F">
      <w:pPr>
        <w:pStyle w:val="TextoNormal"/>
      </w:pPr>
      <w:r>
        <w:t>De otra parte, la representación procesal de don Gaudencio Inocencio López Parra, en el escrito presentado en el trámite de alegaciones del art. 52.1 LOTC, alude conjunta e indistintamente, al igual que hiciera en el proceso a quo, a su derecho al honor y a la intimidad.</w:t>
      </w:r>
    </w:p>
    <w:p w:rsidR="0025129F" w:rsidRDefault="0025129F" w:rsidP="0025129F">
      <w:pPr>
        <w:pStyle w:val="TextoNormal"/>
      </w:pPr>
      <w:r>
        <w:t xml:space="preserve">Así pues, la cuestión planteada en esta sede atañe, una vez más, a un conflicto entre el derecho a comunicar libremente información y los derechos al honor y a la intimidad personal y familiar, reconocidos, respectivamente, en los arts. 20.1 d) y 18.1 CE, que obviamente debemos de afrontar a la luz de la reiterada doctrina elaborada al respecto por este Tribunal, que constituye ya un consolidado cuerpo de jurisprudencia constitucional (SSTC </w:t>
      </w:r>
      <w:r>
        <w:lastRenderedPageBreak/>
        <w:t>62/1982, de 15 de octubre; 156/1986, de 9 de diciembre; 6/1988, de 21 de enero; 107/1988, de 8 de junio; 121/1989, de 3 de julio; 105/1990, de 6 de junio; 171/1990, de 12 de noviembre; 172/1990, de 12 de noviembre; 143/1991, de 1 de julio: 40/1992, de 30 de marzo; 85/1992, de 8 de junio; 219/1992, de 3 de diciembre; 240/1992, de 21 de diciembre; 178/1993, de 31 de mayo; 320/1994, de 28 de noviembre; 173/1995, de 21 de noviembre; 138/1996, de 16 de septiembre; 200/1998, de 14 de octubre; 154/1999, de 13 de julio; 21/2000, de 31 de enero; 110/2000, de 5 de mayo; 297/2000, de 11 de diciembre), si bien limitando nuestra exposición a aquellos criterios jurisprudenciales que sean relevantes para el enjuiciamiento del supuesto planteado.</w:t>
      </w:r>
    </w:p>
    <w:p w:rsidR="0025129F" w:rsidRDefault="0025129F" w:rsidP="0025129F">
      <w:pPr>
        <w:pStyle w:val="TextoNormal"/>
      </w:pPr>
      <w:r>
        <w:t>Respecto al juicio sobre la confrontación de los derechos fundamentales en este caso en conflicto, una reiterada jurisprudencia de este Tribunal ha venido destacando, desde la STC 6/1981, de 16 de marzo, que la posibilidad del libre ejercicio de los derechos fundamentales a las libertades de expresión e información garantiza la formación y existencia de una opinión pública libre, ya que, al ser una condición previa y necesaria para el ejercicio de otros derechos inherentes al funcionamiento de un sistema democrático, se convierte, a su vez, en uno de los pilares de una sociedad libre y democrática (SSTC 159/1986, de 16 de diciembre, FJ 6; 21/2000, de 31 de enero, FJ 4; en el mismo sentido, SSTEDH caso Handyside, de 7 de diciembre de 1976, y caso Lingens, de 8 de julio de 1986). No obstante aquellos derechos no son ilimitados, pues ninguno lo es. El art. 20.4 CE, y este Tribunal, al interpretarlo, han concretado las posibilidades de actuación constitucionalmente protegidas, así como los criterios conforme a los cuales ha de delimitarse el contenido del art. 20.1 CE frente al derecho al honor reconocido en el art. 18.1 CE (STC 110/2000, de 5 de mayo, FJ 8).</w:t>
      </w:r>
    </w:p>
    <w:p w:rsidR="0025129F" w:rsidRDefault="0025129F" w:rsidP="0025129F">
      <w:pPr>
        <w:pStyle w:val="TextoNormal"/>
      </w:pPr>
      <w:r>
        <w:t>Antes de analizarlo concretamente, conviene recordar que la función de este Tribunal en los recursos de amparo interpuestos a consecuencia de un conflicto entre las libertades proclamadas en el art. 20.1 a) y d) CE, y los derechos de la personalidad reconocidos en el art.  18.1 CE, no debe limitarse a examinar la razonabilidad de la motivación de las resoluciones judiciales impugnadas, ya que no se trata aquí de comprobar si dichas resoluciones han infringido o no el art. 24.1 CE, por manifiestamente irrazonables, arbitrarias o incurrir en error patente, sino que consiste en dilucidar si el juicio sobre la confrontación de los derechos en presencia ha sido realizado de modo que se respete su respectivo contenido constitucional, para, de llegar a una conclusión afirmativa, confirmar la decisión judicial, o, en caso contrario, reputarla lesiva de uno u otro derecho fundamental (SSTC 171/1990, de 12 de noviembre, FJ 4; 172/1990, de 12 de noviembre, FJ 6; 40/1992, de 30 de marzo, FJ 1; 219/1992, de 3 de diciembre, FJ 2; 240/1992, de 21 de diciembre, FJ 3). En dicho enjuiciamiento este Tribunal no se encuentra vinculado por las valoraciones efectuadas por los órganos jurisdiccionales, sino que debe determinar por sí si la restricción que aquéllos impusieron a un derecho, en este caso, al derecho a comunicar libremente información de los demandantes de amparo, está o no constitucionalmente justificada por la limitación que en caso contrario sufriría los derechos de la otra parte al honor y a la intimidad (SSTC 171/1990, de 12 de noviembre, FJ 4; 40/1992, de 30 de marzo, FJ 1; 134/1990, de 19 de julio; 240/1992, de 21 de diciembre, FJ 3; 178/1993, de 31 de mayo, FJ 2; 200/1998, de 14 de octubre, FJ 4; 180/1999, de 25 de octubre, FJ 3; 112/2000, de 5 de mayo, FJ 5; 115/2000, de 10 de mayo, FJ 2; 49/2001, de 26 de febrero, FFJJ 3 y 4).</w:t>
      </w:r>
    </w:p>
    <w:p w:rsidR="0025129F" w:rsidRDefault="0025129F" w:rsidP="0025129F">
      <w:pPr>
        <w:pStyle w:val="TextoNormal"/>
      </w:pPr>
      <w:r>
        <w:t xml:space="preserve">Pues bien, por lo que se refiere al derecho a comunicar libremente información, que es el que ahora nos ocupa, este Tribunal ha declarado de manera reiterada que el requisito básico que permite afirmar que nos hallamos ante un ejercicio legítimo es la veracidad, a la que se refiere expresamente el art. 20.1 d) CE cuando delimita el derecho a la difusión </w:t>
      </w:r>
      <w:r>
        <w:lastRenderedPageBreak/>
        <w:t>de información “veraz”; requisito básico al que se ha añadido el de la relevancia pública de la información.  Como dijimos en la STC 110/2000, de 5 de mayo, “dada la conexión existente entre los derechos a la intimidad y el honor, pues en muchas ocasiones se afecta a este último mediante referencias a la vida privada de las personas, el interés público de la opinión expresada o de la información comunicada constituye un importante criterio de delimitación acerca de cuál sea la comunicación constitucionalmente protegida” [FJ 8 c)].</w:t>
      </w:r>
    </w:p>
    <w:p w:rsidR="0025129F" w:rsidRDefault="0025129F" w:rsidP="0025129F">
      <w:pPr>
        <w:pStyle w:val="TextoNormal"/>
      </w:pPr>
      <w:r>
        <w:t>No cabe negar, en principio, que la divulgación de los antecedentes penales de una persona, como en este caso lo ha considerado la Sala de lo Civil del Tribunal Supremo, puede dañar la reputación de la persona afectada por la información, en cuanto ésta conlleva o puede conllevar, teniendo en cuenta actitudes sociales que son hechos notorios, un desmerecimiento en la consideración ajena, quedando de este modo menoscabada su reputación; e, incluso, que la información relativa a un aspecto tan sensible de la vida de un individuo como son sus antecedentes penales, según las circunstancias de esta información, pueda llegar a lesionar su intimidad en la medida en que puedan convertirse en una fuente de información sobre la vida privada de una persona o su familia (en este sentido, STC 144/1999, de 22 de julio, FJ 8). Mas, al margen de las reflexiones que al respecto pudieran formularse, de lo que se trata ahora es de determinar si, a la vista de las circunstancias concurrentes en este caso, la información publicada, en los extremos cuestionados, encuentra cobertura en el ejercicio por los demandantes de amparo del derecho a comunicar libremente información veraz [art. 20.1 d) CE], como sostienen éstos, o no, como se mantiene en la resolución judicial impugnada.</w:t>
      </w:r>
    </w:p>
    <w:p w:rsidR="0025129F" w:rsidRDefault="0025129F" w:rsidP="0025129F">
      <w:pPr>
        <w:pStyle w:val="TextoNormal"/>
      </w:pPr>
    </w:p>
    <w:p w:rsidR="0025129F" w:rsidRDefault="0025129F" w:rsidP="0025129F">
      <w:pPr>
        <w:pStyle w:val="TextoNormal"/>
      </w:pPr>
      <w:r w:rsidRPr="0025129F">
        <w:rPr>
          <w:rStyle w:val="NumeroAFNegritaCaracter"/>
        </w:rPr>
        <w:t>5</w:t>
      </w:r>
      <w:r>
        <w:t>. El derecho al honor, que la Sala de lo Civil del Tribunal Supremo estima lesionado por la información publicada, es un concepto jurídico que, aunque constituye una manifestación directa de la dignidad constitucional de las personas, depende en su concreción de las normas, valores e ideas sociales vigentes en cada momento. De ahí que se halle necesitado de determinación judicial.</w:t>
      </w:r>
    </w:p>
    <w:p w:rsidR="0025129F" w:rsidRDefault="0025129F" w:rsidP="0025129F">
      <w:pPr>
        <w:pStyle w:val="TextoNormal"/>
      </w:pPr>
      <w:r>
        <w:t>No obstante esta imprecisión del objeto del derecho al honor, este Tribunal ha afirmado que este derecho ampara a la persona frente a expresiones o mensajes que le hagan desmerecer en la consideración ajena, al ir en su descrédito o menosprecio, o que fueran tenidas en el concepto público por afrentosas. No cabe dejar de advertir, sin embargo, que el derecho fundamental al honor se encuentra limitado, a la vez que constituye un límite a los mismos, por los derechos fundamentales a opinar e informar libremente, de modo que no puede descartarse la posibilidad de que, en atención a las circunstancias del caso, la reputación ajena tenga que soportar restricciones.</w:t>
      </w:r>
    </w:p>
    <w:p w:rsidR="0025129F" w:rsidRDefault="0025129F" w:rsidP="0025129F">
      <w:pPr>
        <w:pStyle w:val="TextoNormal"/>
      </w:pPr>
      <w:r>
        <w:t>Comenzando por el requisito básico de la veracidad de la información, sobre el que gira esencialmente la controversia en torno a si hubo o no lesión del honor, es reiterada doctrina de este Tribunal desde la STC 6/1988, de 21 de enero (FJ 5), según la cual el requisito no supone la exigencia de una rigurosa y total exactitud en el contenido de la información, de modo que puedan quedar exentas de toda protección o garantía constitucional las informaciones erróneas o no probadas, sino que se debe privar de esa protección o garantía a quienes, defraudando el derecho de todos a recibir información veraz, actúen con menosprecio de la veracidad o falsedad de lo comunicado, comportándose de manera negligente e irresponsable, al transmitir como hechos verdaderos simples rumores carentes de toda contrastación o meras invenciones o insinuaciones (SSTC 105/1990, de 6 de junio, FJ 5; 171/1990, de 12 de noviembre, FJ 8; 172/1990, de 12 de noviembre, FJ 3; 143/1991, de 1 de julio, FJ 6; 197/1991, de 17 de octubre, FJ 2; 40/1992, de 30 de marzo, FJ 2; 85/1992, de 8 de junio, FJ 4; 240/1992, de 21 de diciembre, FJ 5). Por tanto lo que el citado requisi</w:t>
      </w:r>
      <w:r>
        <w:lastRenderedPageBreak/>
        <w:t>to viene a suponer es que el informador, si quiere situarse bajo la protección del art. 20.1 d) CE, tiene un especial deber de comprobar la veracidad de los hechos que expone mediante las oportunas averiguaciones y empleando la diligencia exigible a un profesional. Cabe que, pese a ello, la información resulte inexacta o errónea, lo que no puede excluirse totalmente, pero la “información rectamente obtenida y difundida es digna de protección (STC 6/1988, FJ 5) aunque su total exactitud sea controvertible o se incurra en errores circunstanciales que no afecten a la esencia de lo informado” (SSTC 171/1990, de 12 de noviembre, FJ 8; 172/1990, de 12 de noviembre, FJ 3; en el mismo sentido, SSTC 240/1992, de 21 de diciembre, FJ 5; 178/1993, de 31 de mayo, FJ 5; 110/2000, de 5 de mayo, FJ 8; 297/2000, de 11 de diciembre, FJ 9).</w:t>
      </w:r>
    </w:p>
    <w:p w:rsidR="0025129F" w:rsidRDefault="0025129F" w:rsidP="0025129F">
      <w:pPr>
        <w:pStyle w:val="TextoNormal"/>
      </w:pPr>
      <w:r>
        <w:t>En relación con aquel requisito los demandantes de amparo sostienen que los antecedentes penales y policiales revelados habían sido tomados de una fuente de la máxima fiabilidad, como es la Jefatura Superior de Policía, no pudiendo sostenerse que la autora de la información actuase con menosprecio de la verdad o falsedad de lo comunicado, al incurrir en la inexactitud de calificar como antecedentes penales por violación lo que simplemente eran antecedentes policiales, pues la confusión cometida fue absolutamente involuntaria, e incide además sobre un aspecto meramente accesorio de la noticia, que dejaba indemne el contenido esencial de la misma.</w:t>
      </w:r>
    </w:p>
    <w:p w:rsidR="0025129F" w:rsidRDefault="0025129F" w:rsidP="0025129F">
      <w:pPr>
        <w:pStyle w:val="TextoNormal"/>
      </w:pPr>
      <w:r>
        <w:t>Por su parte la representación procesal de don Gaudencio Inocencia López Parra estima que la autora de la información no actuó con la diligencia que le era exigible, al no haber contrastado en el extremo cuestionado la información, en tanto que el Ministerio Fiscal entiende que aquélla alteró, como ha quedado probado en los autos, la noticia proporcionada por la fuente informativa, lo que determina la inveracidad de la noticia transmitida con independencia de que dicha alteración se produjese con el propósito o no de vilipendiar a la persona afectada.</w:t>
      </w:r>
    </w:p>
    <w:p w:rsidR="0025129F" w:rsidRDefault="0025129F" w:rsidP="0025129F">
      <w:pPr>
        <w:pStyle w:val="TextoNormal"/>
      </w:pPr>
    </w:p>
    <w:p w:rsidR="0025129F" w:rsidRDefault="0025129F" w:rsidP="0025129F">
      <w:pPr>
        <w:pStyle w:val="TextoNormal"/>
      </w:pPr>
      <w:r w:rsidRPr="0025129F">
        <w:rPr>
          <w:rStyle w:val="NumeroAFNegritaCaracter"/>
        </w:rPr>
        <w:t>6</w:t>
      </w:r>
      <w:r>
        <w:t>. En cuanto a la diligencia del periodista y de su medio de comunicación en la indagación de la veracidad de lo comunicado ha de recordarse que información veraz en el sentido del art. 20.1 d) CE significa información comprobada según los cánones de la profesionalidad informativa, excluyendo invenciones, rumores o insidias (STC 105/1990, de 6 de junio, FJ 5). Aunque en todo caso le es exigible al profesional de la información una actuación razonable en la comprobación de la veracidad de los hechos que expone, para no defraudar el derecho de todos a recibir una información veraz, tal obligación, sin embargo, debe ser proporcionada a la transcendencia o características concretas de la información que se comunica, dependiendo necesariamente de las circunstancias que concurran en el caso de que se trate. La contrastación de la noticia no es, pues, un término unívoco, sino que, más allá de su genérica formulación como deber, exige matizaciones casuísticas (por todas, SSTC 240/1992, de 21 de diciembre, FJ 7; 28/1996, de 26 de febrero, FJ 3; 192/1999, de 25 de octubre, FJ 4; 21/2000, de 31 de enero, FJ 6).</w:t>
      </w:r>
    </w:p>
    <w:p w:rsidR="0025129F" w:rsidRDefault="0025129F" w:rsidP="0025129F">
      <w:pPr>
        <w:pStyle w:val="TextoNormal"/>
      </w:pPr>
      <w:r>
        <w:t>Según ha señalado este Tribunal, para poder apreciar si la diligencia empleada por el informador es suficiente, a efectos de entender cumplido el requisito constitucional de la veracidad, deben tenerse en cuenta diversos criterios. En primer lugar, el nivel de diligencia exigible adquiere su máxima intensidad, cuando la noticia que se divulga puede suponer por su propio contenido un descrédito en la consideración de la persona a la que la información se refiere (SSTC 240/1992, de 21 de diciembre, FJ 7; 178/1993, de 31 de mayo, FJ 5; 28/1996, de 26 de febrero, FJ 3; 192/1999, de 25 de octubre, FJ 4; 21/2000, de 31 de enero, FJ 6). De igual modo debe ser un criterio que debe de ponderarse el respeto a la presunción de inocencia (SSTC 219/1992, de 3 de diciembre, FJ 5; 28/1996, de 26 de fe</w:t>
      </w:r>
      <w:r>
        <w:lastRenderedPageBreak/>
        <w:t>brero, FJ 3; 21/2000, de 31 de enero, FJ 6). Ha de valorarse también la trascendencia de la información, criterio, no obstante, cuya aplicación puede deparar consecuencias diferentes, pues, si bien es verdad que la trascendencia de la información puede exigir un mayor cuidado de contraste (SSTC 219/1992, de 3 de diciembre, FJ 5; 240/1992, de 21 de diciembre, FJ 7; 21/2000, de 31 de enero, FJ 6), este mismo motivo apunta también a la mayor utilidad social de una menor angostura en la fluidez de la noticia (SSTC 28/1996, de 26 de febrero, FJ 3; 21/2000, de 31 de enero, FJ 5). No se detienen ahí los cánones a utilizar en la precisión de la frontera entre la actividad informativa y el derecho al honor, pues constituye también un criterio de modulación el de la condición pública o privada de la persona cuyo honor queda afectado por la información (SSTC 171/1990, de 12 de noviembre, FJ 5; 173/1995, de 21 de noviembre, FJ 3; 28/1996, de 26 de febrero, FJ 3; 21/2000, de 31 de enero, FJ 6). Resulta asimismo relevante cuál sea el objeto de la información, si la ordenación y presentación de hechos, que el medio asume como propios, o la transmisión neutra de manifestaciones de otro (SSTC 41/1994, de 15 de febrero, FJ 5; 28/1996, de 26 de febrero, FJ 3; 21/2000,  de 31 de enero, FJ 6). Finalmente, otras circunstancias pueden contribuir a perfilar el comportamiento debido del informador en la búsqueda de la verdad, tales como el carácter del hecho noticioso, la fuente que proporciona la noticia, las posibilidades efectivas de contrastarla, etc. (SSTC 240/1992, de 21 de diciembre, FJ 7; 28/1996, de 16 de febrero, FJ 3; 192/1999, FJ 4; 21/2000, de 31 de enero, FJ 6).</w:t>
      </w:r>
    </w:p>
    <w:p w:rsidR="0025129F" w:rsidRDefault="0025129F" w:rsidP="0025129F">
      <w:pPr>
        <w:pStyle w:val="TextoNormal"/>
      </w:pPr>
    </w:p>
    <w:p w:rsidR="0025129F" w:rsidRDefault="0025129F" w:rsidP="0025129F">
      <w:pPr>
        <w:pStyle w:val="TextoNormal"/>
      </w:pPr>
      <w:r w:rsidRPr="0025129F">
        <w:rPr>
          <w:rStyle w:val="NumeroAFNegritaCaracter"/>
        </w:rPr>
        <w:t>7</w:t>
      </w:r>
      <w:r>
        <w:t>. En el presente caso, como resulta de las actuaciones judiciales y se ha estimado acreditado en el proceso civil a quo, el dato relativo a los antecedentes penales de don Gaudencio Inocencio López Parra por una violación acaecida hace 12 años, que se divulgó en la información publicada, se obtuvo, según reconoció en la prueba de confesión testifical la autora del artículo, de fuentes policiales, en concreto de la Jefatura Superior de Policía. Figura asimismo en las actuaciones, como resultado de la prueba documental practicada, una certificación del Registro Central de Penados y Rebeldes, en la que se hace constar que no aparece ninguna nota de antecedentes penales que haga referencia a don Gaudencio Inocencio López Parra, así como otra emitida por el Comisario Jefe de la Brigada Provincial de Documentación de la Jefatura Superior de Policía de Canarias, en la que se certifica que el día 9 de septiembre de 1976 se instruyeron diligencias por la Inspección de guardia de Las Palmas, remitidas al Juzgado de Instrucción núm. 2, en las que pasó a disposición de la indicada autoridad judicial don Gaudencio Inocencio López Parra como presunto autor de un delito de violación.</w:t>
      </w:r>
    </w:p>
    <w:p w:rsidR="0025129F" w:rsidRDefault="0025129F" w:rsidP="0025129F">
      <w:pPr>
        <w:pStyle w:val="TextoNormal"/>
      </w:pPr>
      <w:r>
        <w:t>Así pues, la fuente que, según lo manifestado por la autora de la información, proporciona aquel dato, resulta, en principio y sin necesidad de detenernos en este supuesto en otro tipo de consideraciones, seria, fiable y solvente, no siendo necesario en tales casos, según tiene declarado este Tribunal, mayor comprobación por parte del autor de la información que la exactitud o la identidad de la fuente (SSTC 178/1993, de 31 de mayo, FJ 5; 154/1999, de 13 de junio, FJ 5). Mas lo que acontece en el presente supuesto es que el dato suministrado por la fuente informativa en la que se ampara la autora de la información no era que el demandante en el proceso a quo tuviera antecedentes penales por una violación, sino, como ella misma reconoce en la prueba de confesión judicial, que tenía antecedentes policiales. La conclusión que se impone, por tanto, no es otra que la de la indudable inveracidad de la información relativa a los antecedentes penales de don Gaudencio Inocencio López Parra por una violación acaecida hace doce años y por la pena de arresto menor que le habría sido impuesta en otra ocasión.</w:t>
      </w:r>
    </w:p>
    <w:p w:rsidR="0025129F" w:rsidRDefault="0025129F" w:rsidP="0025129F">
      <w:pPr>
        <w:pStyle w:val="TextoNormal"/>
      </w:pPr>
      <w:r>
        <w:lastRenderedPageBreak/>
        <w:t>Llegados aquí, ha de determinarse, pues, si, como sostienen los recurrentes en amparo, el error o inexactitud en que incurrió la autora de la información —calificación de los recurrentes— revela una actitud diligente; o si, como mantienen el Ministerio Fiscal y la representación procesal del demandante en el proceso a quo, se trata de una conducta negligente en la narración de lo informado que la hace inveraz a los efectos del art. 20.1 d) CE.  Ha de destacarse en este sentido que la informadora no se ha atenido en este caso a los datos objetivos obtenidos de fuentes serias y fiables (STC 154/1999, de 14 de septiembre, FJ 7), así como la radical diferencia entre el dato facilitado por la fuente informativa (que el demandante en el proceso a quo había sido puesto a disposición judicial como autor de un posible delito de violación), y la información comunicada (que tenía antecedentes penales por una violación, lo que presupone haber sido condenado por una sentencia firme: STC 190/1996, de 25 de noviembre, FJ 4.d). Asimismo resulta preciso indicar que en este caso el deber de diligencia debe de exigirse en su máxima intensidad, de acuerdo con la doctrina constitucional de la que antes se ha dejado constancia, en atención al grave descrédito que supone el dato que se divulga, por el delito cuya comisión se le imputa, en el prestigio y honorabilidad de la persona afectada, que además no ostenta una posición con relevancia pública (por todas, STC 21/2000, de 31 de enero, FJ 8).</w:t>
      </w:r>
    </w:p>
    <w:p w:rsidR="0025129F" w:rsidRDefault="0025129F" w:rsidP="0025129F">
      <w:pPr>
        <w:pStyle w:val="TextoNormal"/>
      </w:pPr>
      <w:r>
        <w:t>Cierto es que no cabe exigir al informador una precisión absoluta en el lenguaje técnico-jurídico; sin embargo no lo es menos que “no puede admitirse que los concretos términos o expresiones empleados en una noticia carezcan de relevancia en relación con el derecho al honor, por lo que debe de sopesarse cuidadosamente el significado que poseen en el lenguaje actual” (STC 219/1992, de 3 de diciembre, FJ 5). En este caso es evidente que, si se afirma que una persona tiene antecedentes penales por violación, como así ha ocurrido, tal afirmación supone en el lenguaje usual que dicha persona ha sido condenada por un delito de este tipo, y es indudable que el dato divulgado, que le involucra en la comisión de un delito de esa naturaleza, es objetivamente contrario al buen nombre y buena fama de la persona afectada.  Frente a ello no cabe oponer que la periodista autora de la información desconozca la diferencia entre poner a una persona a disposición judicial como presunto autor de un delito, o tener antecedentes penales por el mismo, pues tal distinción es empleada en el quehacer diario y común de los medios de comunicación al elaborar las informaciones sobre Tribunales o sucesos, de modo que ningún profesional del periodismo puede excusar su ignorancia.</w:t>
      </w:r>
    </w:p>
    <w:p w:rsidR="0025129F" w:rsidRDefault="0025129F" w:rsidP="0025129F">
      <w:pPr>
        <w:pStyle w:val="TextoNormal"/>
      </w:pPr>
      <w:r>
        <w:t>Finalmente, no puede tampoco compartirse la apreciación de los demandantes de amparo de que el error o inexactitud en que incurrió la autora del artículo en el dato divulgado revista un carácter meramente accesorio en el contenido de la información, pues, como revela la lectura de su texto y titulares, presenta un carácter decisivo, y en modo alguno secundario, la información sobre las personas en las que principalmente se centró la investigación policial en orden a identificar al autor de las dos muertes ocurridas en el ferry y (en este marco en el que se inserta la referencia a los antecedentes penales del demandante en el proceso) los datos que sobre ellas se divulgan, máxime si, como se sostiene en la demanda de amparo, la finalidad perseguida con la difusión de aquellos antecedentes era la de explicar al lector las razones por las que la policía había investigado a un determinado ciudadano.</w:t>
      </w:r>
    </w:p>
    <w:p w:rsidR="0025129F" w:rsidRDefault="0025129F" w:rsidP="0025129F">
      <w:pPr>
        <w:pStyle w:val="TextoNormal"/>
      </w:pPr>
      <w:r>
        <w:t xml:space="preserve">Las precedentes consideraciones conducen a la conclusión de que la información publicada, en el extremo aquí controvertido, no era, en definitiva, veraz y, en lo que ahora verdaderamente interesa, que su autora no observó la diligencia exigible en la comunicación de lo informado, sin que proceda entrar a examinar las circunstancias subjetivas que hubieran podido inducir a la periodista a incurrir en el error o en la inexactitud apreciada, </w:t>
      </w:r>
      <w:r>
        <w:lastRenderedPageBreak/>
        <w:t>puesto que dicho tipo de circunstancias se escapan de una aprehensión no arbitraria por parte de este Tribunal (STC 52/1996, de 26 de marzo, FJ 8).</w:t>
      </w:r>
    </w:p>
    <w:p w:rsidR="0025129F" w:rsidRDefault="0025129F" w:rsidP="0025129F">
      <w:pPr>
        <w:pStyle w:val="TextoNormal"/>
      </w:pPr>
    </w:p>
    <w:p w:rsidR="0025129F" w:rsidRDefault="0025129F" w:rsidP="0025129F">
      <w:pPr>
        <w:pStyle w:val="TextoNormal"/>
      </w:pPr>
      <w:r w:rsidRPr="0025129F">
        <w:rPr>
          <w:rStyle w:val="NumeroAFNegritaCaracter"/>
        </w:rPr>
        <w:t>8</w:t>
      </w:r>
      <w:r>
        <w:t>. Apreciada, pues, la falta de uno de los requisitos esenciales para que el ejercicio del derecho de información pueda encontrar cobertura en el art. 20.1 d) CE, que la Sentencia que se impugna da por sentada, nuestra labor podría detenerse aquí. Sin embargo, en el presente caso, es conveniente también contrastar si ha concurrido el requisito relativo a la relevancia pública de la información comunicada, sobre el que, además de alegar los demandantes de amparo, ha versado con carácter casi exclusivo el pronunciamiento de la Sala de lo Civil del Tribunal Supremo, máxime cuando según hemos visto se halla en juego el derecho a la intimidad.</w:t>
      </w:r>
    </w:p>
    <w:p w:rsidR="0025129F" w:rsidRDefault="0025129F" w:rsidP="0025129F">
      <w:pPr>
        <w:pStyle w:val="TextoNormal"/>
      </w:pPr>
      <w:r>
        <w:t>No suscita la menor duda el que la información publicada considerada en su conjunto, por los hechos que comunica, presenta una indudable relevancia pública y social, pudiendo calificarse su difusión, sin objeción alguna, de noticiable. En tal sentido, este Tribunal ha estimado con carácter general la existencia de acontecimientos noticiables en sucesos de relevancia penal, y ello con independencia de la condición de sujeto privado de la persona o personas afectadas por la noticia (SSTC 178/1993, de 31 de mayo, FJ 4; 320/1994, de 28 de noviembre, FJ 5; 154/1999, de 14 de septiembre, FJ 4); más concretamente, ha declarado que 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Ahora bien, también ha precisado, al hilo de aquellas afirmaciones, que ello en ningún caso puede exonerar al informador de un atento examen sobre la relevancia pública y la veracidad del contenido de cada una de las noticias que esa información general encierra y que se refieren a personas determinadas, pues el honor es un valor referido a personas individualmente consideradas (STC 219/1992, de 3 de diciembre, FJ 4).</w:t>
      </w:r>
    </w:p>
    <w:p w:rsidR="0025129F" w:rsidRDefault="0025129F" w:rsidP="0025129F">
      <w:pPr>
        <w:pStyle w:val="TextoNormal"/>
      </w:pPr>
      <w:r>
        <w:t>Así pues, nuestro enjuiciamiento, al igual que ha acontecido con el requisito referido a la veracidad de la información, ha de contraerse al extremo cuestionado de la información publicada en lo que a la relevancia pública y social de la noticia se refiere; esto es, a la divulgación de los antecedentes penales de don Gaudencio Inocencio López Parra. En este sentido es necesario precisar que no resulta necesario para la resolución del presente recurso de amparo, al no haber sido una cuestión suscitada ante la Sala de lo Civil del Tribunal Supremo con ocasión del recurso de casación, que nos pronunciemos, como parecer sugerir el Ministerio Fiscal, sobre si presenta o no relevancia pública la divulgación de las identidades de las personas que en el curso de una investigación policial resulten descartadas como sospechosas, cuando anteriormente no hubieran sido relacionadas con la investigación.</w:t>
      </w:r>
    </w:p>
    <w:p w:rsidR="0025129F" w:rsidRDefault="0025129F" w:rsidP="0025129F">
      <w:pPr>
        <w:pStyle w:val="TextoNormal"/>
      </w:pPr>
      <w:r>
        <w:t>La información publicada en el artículo controvertido sobre don Gaudencio Inocencio López Parra tenía por objeto y finalidad, como revela su lectura, comunicar a la opinión pública, en el marco de las investigaciones policiales llevadas a cabo para determinar la identidad del individuo que había matado a los dos tripulantes del ferry, que había sido una de las tres personas en las que se habían centrado inicialmente las pesquisas de las fuerzas y cuerpos de seguridad, así como que los investigadores habían descartado su par</w:t>
      </w:r>
      <w:r>
        <w:lastRenderedPageBreak/>
        <w:t>ticipación en los hechos. Circunstancia esta última que se resalta ciertamente en la información, relatándose incluso en el texto de la misma los motivos de tal descarte.</w:t>
      </w:r>
    </w:p>
    <w:p w:rsidR="0025129F" w:rsidRDefault="0025129F" w:rsidP="0025129F">
      <w:pPr>
        <w:pStyle w:val="TextoNormal"/>
      </w:pPr>
      <w:r>
        <w:t>Es preciso advertir, en primer término, que en este caso, a diferencia del que fue objeto del recurso de amparo resuelto por la STC 46/2002, de 25 de febrero, en el que el objeto de la información era una concreta Sentencia del Tribunal Supremo, de modo que el contenido de la información tenía una plasmación objetiva previa a la información misma, que, además por tratarse de una resolución judicial, gozaba del principio de publicidad ex art. 120.1 CE, el artículo periodístico ahora controvertido presenta los caracteres de una información propia elaborada a partir de distintas fuentes informativas, cuya autoría debe de atribuírsele a la periodista que lo redactó.</w:t>
      </w:r>
    </w:p>
    <w:p w:rsidR="0025129F" w:rsidRDefault="0025129F" w:rsidP="0025129F">
      <w:pPr>
        <w:pStyle w:val="TextoNormal"/>
      </w:pPr>
      <w:r>
        <w:t>Es evidente que en este particular contexto informativo dedicado al demandante en el proceso a quo, en el que se descarta su participación en los hechos delictivos investigados, la divulgación referida a sus antecedentes penales por una violación acaecida hace doce años y por la imposición temporalmente indeterminada de una pena de arresto menor resulta, en el momento de elaborarse la noticia, enteramente ajena y absolutamente irrelevante al contenido del mensaje que se quiso trasmitir a la opinión pública. Lo narrado sobre dichos antecedentes penales nada tiene que ver con los sucesos en los que pudo verse implicado o afectado don Gaudencio Inocencio López Parra en una fase inicial de las investigaciones policiales, y su conexión con los mismos deviene puramente irrelevante, máxime si se tiene en cuenta la honda afectación que la divulgación de tales datos habría de suponer para el honor y la consideración social de la persona afectada.</w:t>
      </w:r>
    </w:p>
    <w:p w:rsidR="0025129F" w:rsidRDefault="0025129F" w:rsidP="0025129F">
      <w:pPr>
        <w:pStyle w:val="TextoNormal"/>
      </w:pPr>
      <w:r>
        <w:t>Los demandantes de amparo alegan en defensa de la relevancia pública y social de la divulgación de los supuestos antecedentes penales de don Gaudencio Inocencio López Parra que con ella se perseguía la finalidad de explicar al lector el por qué la policía lo había inicialmente investigado. Mas también desde la perspectiva que ofrecen ahora los recurrentes en amparo se desprende palmariamente de la información publicada la irrelevancia de la difusión de aquellos antecedentes, ya que en ningún momento se conectan con el hecho de que, entre otras personas, se centrasen en aquél en un principio las pesquisas policiales en razón precisamente de esos supuestos antecedentes penales, ni en la noticia se aportan datos sobre tal conexión, siendo, por el contrario, su condición de indigente y sus características personales, supuestamente comunes a las del autor de las muertes a bordo del ferry, el motivo por el que fue inicialmente una de las personas investigadas, como se desprende tanto del titular de la información dedicado al demandado en el proceso a quo como del texto de la noticia.</w:t>
      </w:r>
    </w:p>
    <w:p w:rsidR="0025129F" w:rsidRDefault="0025129F" w:rsidP="0025129F">
      <w:pPr>
        <w:pStyle w:val="TextoNormal"/>
      </w:pPr>
      <w:r>
        <w:t>Así pues, la divulgación de los supuestos antecedentes penales de don Gaudencio Inocencio López Parra no participa, como ha apreciado la Sala de lo Civil del Tribunal Supremo, de la relevancia pública y social que sería predicable del resto de la información publicada, por lo que, en el extremo cuestionado, carece ésta también del segundo de los requisitos para que en este caso el ejercicio del derecho a la información, en relación con aquella divulgación, pueda encontrar cobertura en el art.  20.1 d) CE.</w:t>
      </w:r>
    </w:p>
    <w:p w:rsidR="0025129F" w:rsidRDefault="0025129F" w:rsidP="0025129F">
      <w:pPr>
        <w:pStyle w:val="TextoNormal"/>
      </w:pPr>
      <w:r>
        <w:t xml:space="preserve">No puede dejar de recordarse al respecto que una información posee relevancia pública porque sirve al interés general en la información, y lo hace por referirse a un asunto público, y que es precisamente la relevancia comunitaria de la información lo único que puede justificar la exigencia de que se asuman perturbaciones o molestias ocasionadas por la difusión de una determinada noticia, de modo que sólo cuando lo informado resulte de interés público o general, lo que no acontece en este caso con el extremo de la información cuestionada, puede exigirse a quienes afecta o perturbe el contenido de la información que, pese a ello, la soporten en aras del conocimiento general y de la difusión de hechos y </w:t>
      </w:r>
      <w:r>
        <w:lastRenderedPageBreak/>
        <w:t>situaciones que interesan a la comunidad (SSTC 134/1999, de 15 de julio, FJ 8; 154/1999, de 14 de septiembre, FJ 9).</w:t>
      </w:r>
    </w:p>
    <w:p w:rsidR="0025129F" w:rsidRDefault="0025129F" w:rsidP="0025129F">
      <w:pPr>
        <w:pStyle w:val="TextoNormal"/>
      </w:pPr>
    </w:p>
    <w:p w:rsidR="0025129F" w:rsidRDefault="0025129F" w:rsidP="0025129F">
      <w:pPr>
        <w:pStyle w:val="TextoNormal"/>
      </w:pPr>
      <w:r w:rsidRPr="0025129F">
        <w:rPr>
          <w:rStyle w:val="NumeroAFNegritaCaracter"/>
        </w:rPr>
        <w:t>9</w:t>
      </w:r>
      <w:r>
        <w:t>. En definitiva, la noticia publicada por el “Diario Las Palmas”, en los extremos cuestionados en este proceso de amparo, no se encuentra amparada en el ejercicio del derecho a la libertad de información al no poder calificarse de veraz y carecer de relevancia e interés público.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la presente demanda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6" w:name="SENTENCIA_2002_53"/>
      <w:r>
        <w:lastRenderedPageBreak/>
        <w:t>SENTENCIA 53/2002, de 27 de febrero de 2002</w:t>
      </w:r>
    </w:p>
    <w:bookmarkEnd w:id="56"/>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ECLI:ES:TC:2002:53</w:t>
      </w:r>
    </w:p>
    <w:p w:rsidR="0025129F" w:rsidRDefault="0025129F" w:rsidP="0025129F">
      <w:pPr>
        <w:pStyle w:val="SntesisDescriptiva"/>
      </w:pPr>
    </w:p>
    <w:p w:rsidR="0025129F" w:rsidRDefault="0025129F" w:rsidP="0025129F">
      <w:pPr>
        <w:pStyle w:val="SntesisDescriptiva"/>
      </w:pPr>
      <w:r>
        <w:t>Recurso de inconstitucionalidad 2994/1994. Promovido por el Defensor del Pueblo contra el apartado 8 del artículo único de la Ley de Cortes Generales 9/1994, de 19 de mayo, que modificó un precepto de la Ley reguladora del derecho de asilo y de la condición de refugiado de 1984.</w:t>
      </w:r>
    </w:p>
    <w:p w:rsidR="0025129F" w:rsidRDefault="0025129F" w:rsidP="0025129F">
      <w:pPr>
        <w:pStyle w:val="SntesisDescriptiva"/>
      </w:pPr>
    </w:p>
    <w:p w:rsidR="0025129F" w:rsidRDefault="0025129F" w:rsidP="0025129F">
      <w:pPr>
        <w:pStyle w:val="SntesisAnaltica"/>
      </w:pPr>
      <w:r>
        <w:t>Supuesta vulneración del derecho a la libertad personal y de la reserva de ley orgánica: permanencia en frontera de quienes piden asilo, mientras se tramita la admisión a trámite. Votos particulares.</w:t>
      </w:r>
    </w:p>
    <w:p w:rsidR="0025129F" w:rsidRDefault="0025129F" w:rsidP="0025129F">
      <w:pPr>
        <w:pStyle w:val="SntesisAnaltica"/>
      </w:pPr>
    </w:p>
    <w:p w:rsidR="0025129F" w:rsidRDefault="0025129F" w:rsidP="0025129F">
      <w:pPr>
        <w:pStyle w:val="Extracto"/>
      </w:pPr>
      <w:r>
        <w:t>1.</w:t>
      </w:r>
      <w:r>
        <w:tab/>
        <w:t>El art. 13.4 CE reconoce el derecho de asilo, y enuncia un mandato constitucional para que el legislador configure el estatuto de quienes se dicen perseguidos y piden asilo en España [FJ 4].</w:t>
      </w:r>
    </w:p>
    <w:p w:rsidR="0025129F" w:rsidRDefault="0025129F" w:rsidP="0025129F">
      <w:pPr>
        <w:pStyle w:val="Extracto"/>
      </w:pPr>
    </w:p>
    <w:p w:rsidR="0025129F" w:rsidRDefault="0025129F" w:rsidP="0025129F">
      <w:pPr>
        <w:pStyle w:val="Extracto"/>
      </w:pPr>
      <w:r>
        <w:t>2.</w:t>
      </w:r>
      <w:r>
        <w:tab/>
        <w:t>La íntima conexión entre asilo, control de la inmigración y seguridad europea no se produce a costa del derecho de asilo sino, antes bien, partiendo de su necesaria vigencia en el seno de la Unión Europea [FJ 3].</w:t>
      </w:r>
    </w:p>
    <w:p w:rsidR="0025129F" w:rsidRDefault="0025129F" w:rsidP="0025129F">
      <w:pPr>
        <w:pStyle w:val="Extracto"/>
      </w:pPr>
    </w:p>
    <w:p w:rsidR="0025129F" w:rsidRDefault="0025129F" w:rsidP="0025129F">
      <w:pPr>
        <w:pStyle w:val="Extracto"/>
      </w:pPr>
      <w:r>
        <w:t>3.</w:t>
      </w:r>
      <w:r>
        <w:tab/>
        <w:t>El amparo o protección del Estado español a quienes acceden a un puesto fronterizo, y en él denuncian un temor fundado de ser perseguidos, se cifra en la permanencia en el puesto fronterizo [FJ 4.a].</w:t>
      </w:r>
    </w:p>
    <w:p w:rsidR="0025129F" w:rsidRDefault="0025129F" w:rsidP="0025129F">
      <w:pPr>
        <w:pStyle w:val="Extracto"/>
      </w:pPr>
    </w:p>
    <w:p w:rsidR="0025129F" w:rsidRDefault="0025129F" w:rsidP="0025129F">
      <w:pPr>
        <w:pStyle w:val="Extracto"/>
      </w:pPr>
      <w:r>
        <w:t>4.</w:t>
      </w:r>
      <w:r>
        <w:tab/>
        <w:t>Durante el tiempo en que el solicitante de asilo permanece en «dependencias adecuadas» del puesto fronterizo rigen, por principio, los derechos fundamentales derivados de la dignidad de la persona que la Constitución reconoce a todas las personas sometidas a los actos de los poderes públicos españoles (SSTC 115/1987, 21/1997) [FJ 4.b].</w:t>
      </w:r>
    </w:p>
    <w:p w:rsidR="0025129F" w:rsidRDefault="0025129F" w:rsidP="0025129F">
      <w:pPr>
        <w:pStyle w:val="Extracto"/>
      </w:pPr>
    </w:p>
    <w:p w:rsidR="0025129F" w:rsidRDefault="0025129F" w:rsidP="0025129F">
      <w:pPr>
        <w:pStyle w:val="Extracto"/>
      </w:pPr>
      <w:r>
        <w:t>5.</w:t>
      </w:r>
      <w:r>
        <w:tab/>
        <w:t>Toda restricción a la libertad ha de ser cierta y previsible (STC 341/1993). Las restricciones del art. 5.7.3 de la Ley del derecho de asilo son conformes con las exigencias constitucionales de certeza y previsibilidad [FJ 7].</w:t>
      </w:r>
    </w:p>
    <w:p w:rsidR="0025129F" w:rsidRDefault="0025129F" w:rsidP="0025129F">
      <w:pPr>
        <w:pStyle w:val="Extracto"/>
      </w:pPr>
    </w:p>
    <w:p w:rsidR="0025129F" w:rsidRDefault="0025129F" w:rsidP="0025129F">
      <w:pPr>
        <w:pStyle w:val="Extracto"/>
      </w:pPr>
      <w:r>
        <w:t>6.</w:t>
      </w:r>
      <w:r>
        <w:tab/>
        <w:t>Del art. 17.2 CE se induce que toda privcación de libertad, aun no siendo detención, ha de ser limitada en el tiempo (SSTC 341/1993, 174/1999, 179/2000) [ FJ 6].</w:t>
      </w:r>
    </w:p>
    <w:p w:rsidR="0025129F" w:rsidRDefault="0025129F" w:rsidP="0025129F">
      <w:pPr>
        <w:pStyle w:val="Extracto"/>
      </w:pPr>
    </w:p>
    <w:p w:rsidR="0025129F" w:rsidRDefault="0025129F" w:rsidP="0025129F">
      <w:pPr>
        <w:pStyle w:val="Extracto"/>
      </w:pPr>
      <w:r>
        <w:t>7.</w:t>
      </w:r>
      <w:r>
        <w:tab/>
        <w:t>No puede considerarse en abstracto y a priori que los plazos máximos de permanencia en las «dependencias adecuadas» del puesto fronterizo excedan de lo estrictamente necesario [FJ 8].</w:t>
      </w:r>
    </w:p>
    <w:p w:rsidR="0025129F" w:rsidRDefault="0025129F" w:rsidP="0025129F">
      <w:pPr>
        <w:pStyle w:val="Extracto"/>
      </w:pPr>
    </w:p>
    <w:p w:rsidR="0025129F" w:rsidRDefault="0025129F" w:rsidP="0025129F">
      <w:pPr>
        <w:pStyle w:val="Extracto"/>
      </w:pPr>
      <w:r>
        <w:t>8.</w:t>
      </w:r>
      <w:r>
        <w:tab/>
        <w:t>El cumplimiento de la ley -en especial de la legislación de extranjería- es un bien constitucional con asiento en los arts. 10.1 y 13.1 CE [FJ 9].</w:t>
      </w:r>
    </w:p>
    <w:p w:rsidR="0025129F" w:rsidRDefault="0025129F" w:rsidP="0025129F">
      <w:pPr>
        <w:pStyle w:val="Extracto"/>
      </w:pPr>
    </w:p>
    <w:p w:rsidR="0025129F" w:rsidRDefault="0025129F" w:rsidP="0025129F">
      <w:pPr>
        <w:pStyle w:val="Extracto"/>
      </w:pPr>
      <w:r>
        <w:t>9.</w:t>
      </w:r>
      <w:r>
        <w:tab/>
        <w:t>La garantía del habeas corpus tiene especial sentido ante situaciones en las que, bajo la apariencia de protección del extranjero, se pudieran producir verdaderas detenciones o privaciones de libertad contrarias al art. 17 CE [FJ 11].</w:t>
      </w:r>
    </w:p>
    <w:p w:rsidR="0025129F" w:rsidRDefault="0025129F" w:rsidP="0025129F">
      <w:pPr>
        <w:pStyle w:val="Extracto"/>
      </w:pPr>
    </w:p>
    <w:p w:rsidR="0025129F" w:rsidRDefault="0025129F" w:rsidP="0025129F">
      <w:pPr>
        <w:pStyle w:val="Extracto"/>
      </w:pPr>
      <w:r>
        <w:t>10.</w:t>
      </w:r>
      <w:r>
        <w:tab/>
        <w:t>De otro lado, ante una resolución administrativa de inadmisión a trámite de la solicitud de asilo, el extranjero disfruta de tutela judicial reforzada en el orden contencioso-administrativo [FJ 11].</w:t>
      </w:r>
    </w:p>
    <w:p w:rsidR="0025129F" w:rsidRDefault="0025129F" w:rsidP="0025129F">
      <w:pPr>
        <w:pStyle w:val="Extracto"/>
      </w:pPr>
    </w:p>
    <w:p w:rsidR="0025129F" w:rsidRDefault="0025129F" w:rsidP="0025129F">
      <w:pPr>
        <w:pStyle w:val="Extracto"/>
      </w:pPr>
      <w:r>
        <w:t>11.</w:t>
      </w:r>
      <w:r>
        <w:tab/>
        <w:t>El art. 5.7.3 de la Ley reguladora del derecho de asilo no constituye un desarrollo frontal del derecho a la libertad personal, ni las restricciones que establece suponen una limitación esencial de aquella libertad personal, que son los supuestos en que -de acuerdo con el art. 81.1 CE- se exige reserva de ley orgánica (SSTC  140/1986, 129/1999) [FJ 14].</w:t>
      </w:r>
    </w:p>
    <w:p w:rsidR="0025129F" w:rsidRDefault="0025129F" w:rsidP="0025129F">
      <w:pPr>
        <w:pStyle w:val="Extracto"/>
      </w:pPr>
    </w:p>
    <w:p w:rsidR="0025129F" w:rsidRDefault="0025129F" w:rsidP="0025129F">
      <w:pPr>
        <w:pStyle w:val="Extracto"/>
      </w:pPr>
      <w:r>
        <w:t>12.</w:t>
      </w:r>
      <w:r>
        <w:tab/>
        <w:t>En relación con la reserva de ley orgánica (art. 81.1 CE) este Tribunal viene acogiendo, desde la Sentencia 5/1981, un criterio de interpretación estricto (SSTC 173/1998, 292/2000) [FJ 12].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Barrios, doña Elisa Pérez Vera, don Roberto García-Calvo y Montiel y don Eugeni Gay Montalvo, Magistrados, han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inconstitucionalidad núm. 2994/94, promovido por el Defensor del Pueblo, contra el apartado 8 del artículo único de la Ley 9/1994, de 19 de mayo, de modificación de la Ley 5/1984, de 26 de marzo, reguladora del derecho de asilo y de la condición de refugiado, en la redacción que da al párrafo tercero del apartado 7 del art. 5 de la Ley 5/1984, de 26 de marzo. Ha comparecido y alegado el Abogado del Estado. Ha sido Ponente el Magistrado don Fernando Garrido Falla,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Por escrito registrado en este Tribunal el 23 de agosto de 1994, el Defensor del Pueblo en funciones, doña Margarita Retuerto Buades (art. 162 CE; art. 32 LOTC; arts. 5.4 y 29 de la Ley Orgánica 3/1981, de 6 de abril, del Defensor del Pueblo), interpuso recurso </w:t>
      </w:r>
      <w:r>
        <w:lastRenderedPageBreak/>
        <w:t>de inconstitucionalidad contra el apartado 8 del artículo único de la Ley 9/1994, de 19 de mayo, de modificación de la Ley 5/1984, de 26 de marzo, reguladora del derecho de asilo y de la condición de refugiado, en la redacción que da al párrafo 3 del apartado 7 del art. 5 de la Ley 5/1984, de 26 de marzo (en adelante LDA), por vulneración del apartado 2 del art. 17 CE relativo a la duración de la detención preventiva, del art. 53.1 CE por haber lesionado el contenido esencial del derecho a la libertad (art. 17 CE) y del art. 81.1 CE, en relación con al apartado 1 del art. 17 CE, al no revestir el precepto impugnado la forma de ley orgánica.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Aduce el Defensor del Pueblo en su escrito de interposición del presente recurso de inconstitucionalidad, en primer lugar, que la nueva redacción dada al art. 5 de la Ley 5/1984, de 26 de marzo, reguladora del derecho de asilo y de la condición de refugiado, por el apartado 8 del artículo único de la Ley 9/1994, de 19 de mayo, que la modificó, es contraria al art. 17.2 CE al no respetar el contenido esencial del derecho a la libertad, y, por igual motivo, conculcaría el art. 53.1 CE. Dicho apartado 8 dice así: </w:t>
      </w:r>
    </w:p>
    <w:p w:rsidR="0025129F" w:rsidRDefault="0025129F" w:rsidP="0025129F">
      <w:pPr>
        <w:pStyle w:val="TextoNormal"/>
      </w:pPr>
      <w:r>
        <w:t xml:space="preserve">“Durante la tramitación de la admisión a trámite de la solicitud y, en su caso, de la petición de reexamen, el solicitante permanecerá en el puesto fronterizo, habilitándose al efecto unas dependencias adecuadas para ello” </w:t>
      </w:r>
    </w:p>
    <w:p w:rsidR="0025129F" w:rsidRDefault="0025129F" w:rsidP="0025129F">
      <w:pPr>
        <w:pStyle w:val="TextoNormal"/>
      </w:pPr>
      <w:r>
        <w:t xml:space="preserve">La cuestión controvertida, en palabras del Defensor del Pueblo, consiste en examinar si esa previsión que la Ley 9/1994 incorpora al art. 5 LDA constituye o no un nueva forma de privación de libertad, en el sentido del art. 17.1 CE. Pues, sigue razonando el impugnante, de considerarse esa medida una forma de privación de libertad, la misma se sometería al régimen de garantías del art. 53.1 CE, y, en particular, a la aplicación directa del art. 17 CE. Por otro lado, en tanto forma de privación de libertad, la Ley que la regule debiera revestir la forma de orgánica, a tenor de lo dispuesto en el art. 81.1 CE. </w:t>
      </w:r>
    </w:p>
    <w:p w:rsidR="0025129F" w:rsidRDefault="0025129F" w:rsidP="0025129F">
      <w:pPr>
        <w:pStyle w:val="TextoNormal"/>
      </w:pPr>
      <w:r>
        <w:t xml:space="preserve">El Defensor del Pueblo, antes de abordar la cuestión central que ha planteado con su recurso de inconstitucionalidad, examina en su escrito el alcance de la reforma operada por la Ley 9/1994 en el régimen del derecho de asilo. Comienza el recurrente señalando que la LDA antes de su reforma facilitaba la entrada provisional del peticionario de asilo, que careciese de la pertinente documentación, en el territorio nacional en tanto se resolvía su petición (art. 4.2), sin perjuicio de que la autoridad competente le fijara una residencia obligatoria. Asimismo, el art. 5 LDA le aseguraba que no podía ser expulsado del Estado antes de que recayese una decisión definitiva sobre su petición, suspendiéndose durante su tramitación hasta ese momento cualquier decisión relativa a su extradición. Todo ello sin perjuicio de las medidas cautelares que podía adoptar la autoridad competente por motivos de salud o de seguridad pública. No obstante, este régimen admitía la excepción prevista en el propio art. 5 LDA citado, de darse en el extranjero peticionario de asilo y de modo notorio alguna de las circunstancias del art. 3.4 LDA. </w:t>
      </w:r>
    </w:p>
    <w:p w:rsidR="0025129F" w:rsidRDefault="0025129F" w:rsidP="0025129F">
      <w:pPr>
        <w:pStyle w:val="TextoNormal"/>
      </w:pPr>
      <w:r>
        <w:t>A juicio del Defensor del Pueblo la modificación de 1994 de la LDA ha tenido como consecuencia alterar por completo ese régimen jurídico del peticionario de asilo al suprimirse el carácter automático de su admisión provisional en el territorio del Estado, subordinándose a la admisión a trámite de su petición, con arreglo a la nueva redacción que del art. 4.2 LDA ha hecho la Ley 9/1994. No obstante, el art. 5.1 LDA (no modificado por la Ley 9/1994) sigue prohibiendo el rechazo del extranjero en la frontera o su expulsión en tanto no se haya resuelto sobre la admisión de su petición. En estas circunstancias, el nuevo art. 5.7 LDA, apartado introducido por la Ley 9/1994, e impugnado en el inciso transcrito más arriba en el presente recurso de inconstitucionalidad, establece que la resolución sobre la admisibilidad de la petición se hará y notificará en el plazo máximo de 4 días des</w:t>
      </w:r>
      <w:r>
        <w:lastRenderedPageBreak/>
        <w:t xml:space="preserve">de su presentación, pudiendo interesarse el reexamen de la resolución denegatoria de la admisión de la petición, lo que suspende la ejecutividad de la resolución anterior. El reexamen debe resolverse en un plazo de dos días por el Ministro competente (en el momento de interposición de este recurso, el de Justicia e Interior). De transcurrir ambos plazos sin recaer resolución expresa, se procederá a la autorización de entrada del solicitante en España. </w:t>
      </w:r>
    </w:p>
    <w:p w:rsidR="0025129F" w:rsidRDefault="0025129F" w:rsidP="0025129F">
      <w:pPr>
        <w:pStyle w:val="TextoNormal"/>
      </w:pPr>
      <w:r>
        <w:t xml:space="preserve">Concluye el Defensor del Pueblo destacando que la vinculación de la entrada automática en España del peticionario de asilo, no a su solicitud de asilo, sino a la admisión de su petición, supone tras la reforma de 1994 que, “durante la tramitación de la admisión a trámite de la solicitud y, en su caso, de la petición de reexamen, el solicitante permanecerá en el puesto fronterizo, habilitándose al efecto unas dependencias adecuadas para ello” (art. 5.7 LDA en la redacción dada por el apartado 8 de la Ley 9/1994). </w:t>
      </w:r>
    </w:p>
    <w:p w:rsidR="0025129F" w:rsidRDefault="0025129F" w:rsidP="0025129F">
      <w:pPr>
        <w:pStyle w:val="TextoNormal"/>
      </w:pPr>
      <w:r>
        <w:t xml:space="preserve">Arguye el Defensor del Pueblo que el denominado por la Ley “puesto de frontera”, que se refiere a las llamadas “zonas internacionales”, “de tránsito”, o “estériles”, sigue siendo territorio nacional en el que, quien en ellas esté, se encuentra sujeto a la jurisdicción de las autoridades españolas, siendo, a todos los efectos, territorio del Estado. En estos espacios deben incluirse también las zonas de tránsito de los aeropuertos, como resulta del Capítulo I del Anexo IX, arts. 1 y 2 de la Convención de Chicago de 7 de diciembre de 1944, de aviación civil internacional (BOE de 24 de febrero de 1947 y de 29 de diciembre de 1969), y el art. 1 de la Ley 48/1960, de 21 de julio, sobre normas reguladoras de la navegación aérea. Así pues, quien esté en una de esas zonas está de facto en el territorio del Estado, sin perjuicio de que la normativa aplicable cree la ficción de que la entrada efectiva en el territorio nacional se haga depender del cumplimiento de los requisitos legalmente exigidos y si así lo acuerda la Administración competente. Por ello en esas zonas también se aplican directamente las garantías fundamentales de los individuos en los términos del apartado 1 del art. 2 del Pacto internacional de derechos civiles y políticos de Nueva York de 1966. </w:t>
      </w:r>
    </w:p>
    <w:p w:rsidR="0025129F" w:rsidRDefault="0025129F" w:rsidP="0025129F">
      <w:pPr>
        <w:pStyle w:val="TextoNormal"/>
      </w:pPr>
      <w:r>
        <w:t xml:space="preserve">El Defensor del Pueblo, a partir de la doctrina de las SSTC 107/1984, 99/1985 y 117/1985, sostiene que también los extranjeros son titulares de los derechos y garantías de la libertad personal dispuestas en los distintos apartados del art. 17 CE, en su condición de derecho fundamental ligado a la dignidad individual. Dicho esto, a su juicio, y a la vista de lo declarado en la STC 98/1986, la retención en frontera prevista en la disposición impugnada de quien solicita asilo sin reunir los requisitos necesarios para entrar efectivamente en el territorio del Estado (que puede llegar a tener una duración superior a siete días) constituye indudablemente una privación de libertad del peticionario de asilo en tanto se resuelve la admisión de su solicitud, pues el solicitante de asilo tiene limitados sus movimientos al no poder salir de las dependencias dispuestas a tal fin, lo que resulta del empleo de la expresión “permanecerá”. </w:t>
      </w:r>
    </w:p>
    <w:p w:rsidR="0025129F" w:rsidRDefault="0025129F" w:rsidP="0025129F">
      <w:pPr>
        <w:pStyle w:val="TextoNormal"/>
      </w:pPr>
      <w:r>
        <w:t>Que esto sea así no se ve contradicho, sigue diciendo el recurrente, por el hecho de que la presencia del extranjero en la frontera y la petición de asilo sean voluntarias. En primer lugar, la permanencia en la frontera de aquel que desea ejercer su derecho a solicitar el asilo no puede calificarse en rigor de voluntaria, ya que, al prever un trámite previo de admisión de su petición, mientras ésta se sustancia sólo le cabe permanecer en el puesto fronterizo retenido, ya que de abandonarlo, la imposibilidad de ser localizado supone en último término una suerte de tácito desistimiento a su petición. Asimismo, afirmar que con todo su presencia es voluntaria, elude las circunstancias personales y socioeconómicas habituales de quien se encuentra en semejante situación y que no permiten hablar de voluntariedad en su permanencia en el puesto fronterizo. En segundo lugar, la tajante expre</w:t>
      </w:r>
      <w:r>
        <w:lastRenderedPageBreak/>
        <w:t xml:space="preserve">sión “permanecerá”, impide considerar que su presencia en el puesto fronterizo sea de una mera retención temporal e instrumental en tanto se sustancia el procedimiento de admisión de su petición de asilo, como en el sentido en que el Tribunal Constitucional ha considerado una mera retención la sujeción del conductor para realizar las pruebas de alcoholimetría por los agentes de policía (STC 107/1985). El Defensor del Pueblo considera que la retención en frontera del extranjero en este caso es una verdadera privación de libertad a la que deben aplicarse las garantías del art. 17 CE. Para quien desea ejercitar su derecho a solicitar asilo en España sin reunir las condiciones que la legislación aplicable exige para la entrada efectiva en el territorio nacional, supone su obligada permanencia en las dependencias a las que hace mención la disposición recurrida. Dependencias que no puede abandonar y en las que permanecerá bajo vigilancia de los agentes de la autoridad hasta al menos siete días, tiempo de duración legalmente previsto para el trámite de admisión de su solicitud y para el reexamen de la inadmisión de su petición, en su caso, que puede llegar incluso a ser más dilatado. </w:t>
      </w:r>
    </w:p>
    <w:p w:rsidR="0025129F" w:rsidRDefault="0025129F" w:rsidP="0025129F">
      <w:pPr>
        <w:pStyle w:val="TextoNormal"/>
      </w:pPr>
      <w:r>
        <w:t xml:space="preserve">En suma, el impugnante afirma, con cita de la STC 341/1993 (y también de la STEDH Wilde, Ooms y Versyp, de 18 de junio de 1971), que no puede sostenerse cabalmente que la presencia y retención del extranjero en el puesto fronterizo no es un supuesto de privación de libertad dada la voluntariedad de su petición de asilo y estancia en la zona de tránsito, por cuanto no cabe hablar de esa voluntariedad si las opciones que la ley le ofrece al peticionario son, o quedarse detenido en la frontera a la espera de la oportuna resolución sobre la admisión de su petición de asilo, o renunciar al legítimo ejercicio de su derecho de asilo. </w:t>
      </w:r>
    </w:p>
    <w:p w:rsidR="0025129F" w:rsidRDefault="0025129F" w:rsidP="0025129F">
      <w:pPr>
        <w:pStyle w:val="TextoNormal"/>
      </w:pPr>
      <w:r>
        <w:t xml:space="preserve">Una vez constatado que lo regulado en la disposición impugnada es una auténtica privación de libertad en el sentido del art. 17 CE, el Defensor del Pueblo argumenta que la misma, pese a responder a fines legítimos, es contraria al art. 17 al no respetar los límites temporales fijados en dicho precepto a la detención gubernativa y al no prever las debidas garantías judiciales que el precepto constitucional impone en ese caso. Sostiene el impugnante que el Tribunal Constitucional (con cita de la STC 341/1993) ha insistido en que no basta con que la ley prevea la medida restrictiva de la libertad, sino que esa medida debe responder a fines legítimos y ser proporcionada. A la vista de lo dicho en la Exposición de Motivos de la Ley 9/1994, al Defensor del Pueblo no le cabe duda de la legitimidad del fin perseguido con la privación de libertad del extranjero peticionario de asilo en la frontera española y de su adecuación a lo dispuesto en el apartado f) del art. 5.1 del Convenio Europeo de Derechos Humanos (con cita de las SSTEDH, casos Winterwerp, de 24 de octubre de 1969; Engel y otros, de 18 de enero de 1976; Irlanda contra Reino Unido, de 18 de marzo de 1978; y Guzzandi, de 6 de noviembre de 1980). Ningún reproche merece que el legislador pretenda evitar un uso abusivo del derecho de asilo con peticiones sin fundamento, que únicamente perjudican a quienes ejercen fundadamente su derecho a solicitarlo, estableciendo un procedimiento sumario de admisión de dichas solicitudes, y a tal fin se disponga esa detención en frontera del peticionario que no cumple con los requisitos para poder entrar efectivamente en el territorio nacional. </w:t>
      </w:r>
    </w:p>
    <w:p w:rsidR="0025129F" w:rsidRDefault="0025129F" w:rsidP="0025129F">
      <w:pPr>
        <w:pStyle w:val="TextoNormal"/>
      </w:pPr>
      <w:r>
        <w:t>No obstante la legitimidad de la medida legal, el Defensor del Pueblo considera que debe examinarse si la forma en la que la Ley 9/1994 ha previsto la privación de libertad ha respetado las garantías del apartado 2 del art. 17 CE, y que el Tribunal Constitucional ha proyectado sobre toda privación de libertad gubernativa y de carácter preventivo (SSTC 341/1993 y 115/1987). Garantías que consisten, en primer lugar, en un límite temporal máximo e inquebrantable de setenta y dos horas, que el legislador no podrá sobrepasar, aunque sí pueda fijar períodos más cortos; y, en segundo lugar, la garantía judicial indis</w:t>
      </w:r>
      <w:r>
        <w:lastRenderedPageBreak/>
        <w:t xml:space="preserve">pensable sobre la detención gubernativa una vez transcurrido ese plazo, pues al cabo de ese plazo máximo de setenta y dos horas debe ponerse a disposición del Juez quien haya estado sujeto a una detención gubernativa, siendo el Juez el único competente para examinar la legitimidad de la privación de libertad sufrida, lo que no debe confundirse con la garantía del habeas corpus del art. 17.4 CE. </w:t>
      </w:r>
    </w:p>
    <w:p w:rsidR="0025129F" w:rsidRDefault="0025129F" w:rsidP="0025129F">
      <w:pPr>
        <w:pStyle w:val="TextoNormal"/>
      </w:pPr>
      <w:r>
        <w:t xml:space="preserve">Para el Defensor del Pueblo ninguna de estas garantías ha sido respetada por la Ley 9/1994, ya que la privación de libertad del extranjero solicitante de asilo puede durar siete días, que es el tiempo máximo legalmente establecido para la resolución definitiva de su petición, pero que según qué circunstancias puede prorrogarse, sin que en ningún caso esté prevista la puesta a disposición judicial del extranjero una vez sobrepasadas setenta y dos horas de detención o al menos los siete días mencionados. </w:t>
      </w:r>
    </w:p>
    <w:p w:rsidR="0025129F" w:rsidRDefault="0025129F" w:rsidP="0025129F">
      <w:pPr>
        <w:pStyle w:val="TextoNormal"/>
      </w:pPr>
      <w:r>
        <w:t xml:space="preserve">A continuación el Defensor del Pueblo analiza las posibles situaciones en las que pudiere encontrarse un extranjero peticionario de asilo con arreglo a la LDA, una vez modificada por la Ley 9/1994. El supuesto ordinario de resolución del trámite de admisión alcanzaría una duración de siete días de someterse a reexamen la denegación de la admisión de la solicitud (art. 5.7.1 y 2 LDA). También es posible tener por admitida la solicitud y autorizada la entrada efectiva en el territorio nacional por silencio administrativo una vez transcurrido el plazo para resolver sobre la admisión (cuatro días) o del aludido reexamen (dos días), sin recibir respuesta de la Administración en uno u otro caso. Pero, señala el recurrente, caben otros supuestos en los que la permanencia en dependencias fronterizas puede alargarse más de siete días. Son aquéllos en los que, denegada la admisión de la solicitud de asilo, o porque se le aplique al peticionario lo dispuesto en el art. 5.6 e) LDA (cuando no corresponda a España el examen de la petición de conformidad con los Convenios en los que sea parte, en relación con el Convenio de aplicación de los Acuerdos de Schengen, de 19 de junio de 1990, art. 31 f), el lapso de tiempo transcurrido desde la inadmisión de su solicitud y su efectiva expulsión del puesto fronterizo excede de las setenta y dos horas del art. 17.2 CE. Igual sucede cuando el peticionario se halle en el caso de la letra f) del art. 5.6 LDA (cuando el peticionario tenga reconocida la condición de refugiado y tenga derecho a residir o a obtener asilo en otro Estado). </w:t>
      </w:r>
    </w:p>
    <w:p w:rsidR="0025129F" w:rsidRDefault="0025129F" w:rsidP="0025129F">
      <w:pPr>
        <w:pStyle w:val="TextoNormal"/>
      </w:pPr>
      <w:r>
        <w:t xml:space="preserve">En opinión del Defensor del Pueblo estos supuestos ponen de manifiesto que la disposición legal impugnada prevé casos de privación de libertad de duración indefinida o, al menos, superior al límite constitucional infranqueable de las setenta y dos horas del art. 17.2 CE para poner a disposición judicial al extranjero o en su caso en libertad. Por esta razón el precepto impugnado vulnera el contenido esencial de la libertad personal del art. 17.1 CE al dificultar más allá de lo razonable y sin garantías la libertad personal del peticionario de asilo en la frontera del territorio del Estado. Por otro lado el impugnante se pregunta si tan siquiera resulta necesario agotar un plazo de setenta y dos horas para resolver la admisibilidad de una petición de asilo, cuando el fin perseguido con el establecimiento de semejante procedimiento es, justamente, atajar con celeridad los eventuales abusos en el ejercicio del derecho de asilo. Para el Defensor del Pueblo no cabe duda de que el párrafo 3 del apartado 7 del punto 8 de la Ley 9/1994 soslaya el principio pro libertatis (STC 34/1987). </w:t>
      </w:r>
    </w:p>
    <w:p w:rsidR="0025129F" w:rsidRDefault="0025129F" w:rsidP="0025129F">
      <w:pPr>
        <w:pStyle w:val="TextoNormal"/>
      </w:pPr>
      <w:r>
        <w:t xml:space="preserve">El Defensor del Pueblo reconoce en su recurso que, con todo, la disposición legal impugnada, en relación con los arts. 4.1 y 5.4 LDA, no infringe las garantías que el apartado 3 del art. 17 CE establece respecto de la persona sujeta a detención gubernativa (en particular su derecho a ser informado de sus derechos y las razones de su detención y su derecho a asistencia jurídica). No obstante el impugnante trae a colación la Decisión del Consejo Constitucional francés de 25 de febrero de 1992 (92-307 DC) que, examinando una </w:t>
      </w:r>
      <w:r>
        <w:lastRenderedPageBreak/>
        <w:t xml:space="preserve">cuestión similar a la que ha planteado en su recurso ante este Tribunal, ha considerado contrario a la libertad personal las detenciones en frontera como las previstas en el apartado 8.7, párrafo 3, de la Ley 9/1994. </w:t>
      </w:r>
    </w:p>
    <w:p w:rsidR="0025129F" w:rsidRDefault="0025129F" w:rsidP="0025129F">
      <w:pPr>
        <w:pStyle w:val="TextoNormal"/>
      </w:pPr>
      <w:r>
        <w:t>Por último el Defensor del Pueblo sostiene también que esa disposición ha vulnerado el art. 81.1 CE, puesto que, regulando como lo hace un supuesto de privación de libertad, la norma legal debía revestir la forma de ley orgánica. En su opinión, y con arreglo a la doctrina del Tribunal Constitucional sobre las leyes orgánicas que desarrollan derechos fundamentales (SSTC 6/1982, 76/1983, 83/1984, 77/1985, 160/1987), el párrafo 3 del apartado 8.7 de la Ley 9/1994 constituye un desarrollo del derecho fundamental a la libertad personal del art. 17 CE, al instituir una nueva causa de limitación de dicho derecho, por establecer una causa de privación de libertad de los extranjeros, sin haberla revestido con la forma de ley orgánica.</w:t>
      </w:r>
    </w:p>
    <w:p w:rsidR="0025129F" w:rsidRDefault="0025129F" w:rsidP="0025129F">
      <w:pPr>
        <w:pStyle w:val="TextoNormal"/>
      </w:pPr>
    </w:p>
    <w:p w:rsidR="0025129F" w:rsidRDefault="0025129F" w:rsidP="0025129F">
      <w:pPr>
        <w:pStyle w:val="TextoNormal"/>
      </w:pPr>
      <w:r w:rsidRPr="0025129F">
        <w:rPr>
          <w:rStyle w:val="NumeroAFNegritaCaracter"/>
        </w:rPr>
        <w:t>3</w:t>
      </w:r>
      <w:r>
        <w:t>. Por providencia de 28 de septiembre de 1994 se acordó por la Sección Primera de este Tribunal admitir a trámite el recurso de inconstitucionalidad promovido por el Defensor del Pueblo y dar traslado de la demanda y documentos presentados, conforme a lo establecido en el art. 34 LOTC, al Congreso de los Diputados y al Senado, por conducto de sus Presidentes, y al Gobierno, por conducto del Ministerio de Justicia, para que pudieren personarse en el proceso y formular cuantas alegaciones estimasen convenientes. Asimismo se acordó la publicación de la incoación del recurso en el BOE, lo que así se hizo en el de 3 de octubre de 1994.</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sendos escritos registrados en este Tribunal el 30 de septiembre de 1994, el Presidente del Congreso de los Diputados comunicó el Acuerdo de la Mesa de la Cámara de no personarse en el proceso ni formular alegaciones, no obstante poner a disposición del Tribunal las actuaciones que pueda precisar; y el Presidente del Senado hizo lo propio con el Acuerdo de su Mesa por el cual se daba por personada a la Cámara en el proceso y ofrecida también su colaboración a los efectos del art. 88.1 LOTC.</w:t>
      </w:r>
    </w:p>
    <w:p w:rsidR="0025129F" w:rsidRDefault="0025129F" w:rsidP="0025129F">
      <w:pPr>
        <w:pStyle w:val="TextoNormal"/>
      </w:pPr>
    </w:p>
    <w:p w:rsidR="0025129F" w:rsidRDefault="0025129F" w:rsidP="0025129F">
      <w:pPr>
        <w:pStyle w:val="TextoNormal"/>
      </w:pPr>
      <w:r w:rsidRPr="0025129F">
        <w:rPr>
          <w:rStyle w:val="NumeroAFNegritaCaracter"/>
        </w:rPr>
        <w:t>5</w:t>
      </w:r>
      <w:r>
        <w:t>. El Abogado del Estado, en la representación que legalmente ostenta, interesó por escrito registrado en este Tribunal el 10 de octubre de 1994 que se le tuviese por personado y se le prorrogase el plazo para elevar sus alegatos, lo que así fue acordado por providencia de 11 de octubre de 1994 de la Sección Primera de este Tribunal.</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Abogado del Estado, en la representación que ostenta del Gobierno de la Nación, registró su escrito de alegaciones en este Tribunal el 20 de octubre de 1994 interesando la desestimación del recurso de inconstitucionalidad interpuesto por el Defensor del Pueblo. </w:t>
      </w:r>
    </w:p>
    <w:p w:rsidR="0025129F" w:rsidRDefault="0025129F" w:rsidP="0025129F">
      <w:pPr>
        <w:pStyle w:val="TextoNormal"/>
      </w:pPr>
      <w:r>
        <w:t xml:space="preserve">Una vez delimitado el objeto del recurso de inconstitucionalidad, destaca el Abogado del Estado que el Defensor del Pueblo ha admitido expresamente en su recurso la constitucionalidad material del supuesto de retención del extranjero peticionario de asilo en el puesto fronterizo. Según dice el Abogado del Estado, el recurrente reconoce en su escrito de impugnación del párrafo 3 del apartado 8.7 de la Ley 9/1994 que se trata de un supuesto de privación de libertad conforme con la Constitución, en relación con lo dispuesto en el art. 5.1 f) del Convenio europeo de derechos humanos, ciñendo sus reproches a la inexistencia de control judicial de esa privación de libertad y a la no aplicación del plazo máximo de las setenta y dos horas del art. 17.2 CE. Sin embargo, el dicente no comparte estas afirmaciones y sostiene al respecto que este específico caso de privación de libertad </w:t>
      </w:r>
      <w:r>
        <w:lastRenderedPageBreak/>
        <w:t xml:space="preserve">no exige constitucionalmente ni esa garantía judicial ni la sujeción al plazo máximo de setenta y dos horas. </w:t>
      </w:r>
    </w:p>
    <w:p w:rsidR="0025129F" w:rsidRDefault="0025129F" w:rsidP="0025129F">
      <w:pPr>
        <w:pStyle w:val="TextoNormal"/>
      </w:pPr>
      <w:r>
        <w:t xml:space="preserve">Parte el Abogado del Estado de lo dicho por este Tribunal en sus Sentencias 115/1987 y 144/1990. De ellas resulta, dice la representación del Gobierno de la Nación, que lo proscrito por la Constitución en su art. 17 son los internamientos arbitrarios de extranjeros, e impone que se examine judicialmente también si esa medida responde a razones de cautela o prevención. Asimismo la jurisprudencia del Tribunal Constitucional ha exigido que el tiempo de privación de libertad del extranjero sea el imprescindible, y, en todo caso, no superior a cuarenta días. Así pues, según la jurisprudencia de este Tribunal no sólo es constitucional la previsión de tales medidas de internamiento de extranjeros, sino que, además, y a tenor de lo establecido en el art. 26.2 de la Ley Orgánica 7/1985, de 1 de julio, de derechos y libertades de los extranjeros en España, dado el carácter excepcional y restringido de la retención e internamiento de extranjeros, debe estarse a las circunstancias del caso particular (razones de seguridad, orden público, etc.), y no sólo al tiempo que deba invertirse legalmente en la sustanciación del expediente de expulsión del territorio del Estado del extranjero, para enjuiciar si la privación de libertad estaba o no justificada, debiendo ser un Juez quien deba controlar la existencia de esas razones, no pudiendo exceder de cuarenta días, en ningún caso, el internamiento del extranjero (que es el tiempo previsto también para el caso de la prisión preventiva de extranjeros en el art. 16.4 del Convenio europeo de extradición, de 12 de diciembre de 1957, ratificado por España el 21 de abril de 1982, BOE de 8 de junio de 1982). </w:t>
      </w:r>
    </w:p>
    <w:p w:rsidR="0025129F" w:rsidRDefault="0025129F" w:rsidP="0025129F">
      <w:pPr>
        <w:pStyle w:val="TextoNormal"/>
      </w:pPr>
      <w:r>
        <w:t xml:space="preserve">Dicho esto, arguye el Abogado del Estado, ninguna tacha de inconstitucionalidad merece el precepto impugnado, ya que, al aplicarse a los extranjeros que no reúnen los requisitos legalmente establecidos para su legal entrada en el territorio nacional, dicho extranjero no habría perfeccionado la titularidad del derecho fundamental a la libertad, que sólo tiene lugar si se consuma su entrada efectiva en el territorio del Estado. Al no ser así, sigue diciendo, su situación derivaría únicamente de sus propios actos, voluntarios e indubitados, de quien se ha puesto en semejante situación a consecuencia de su petición de asilo sin poseer los requisitos legalmente exigidos para entrar en España. Por ello, a consecuencia de ese acto propio voluntario, no tiene objeto aplicarle las garantías del control judicial o del plazo máximo de setenta y dos horas, sólo aplicables de efectuarse su entrada legal en España. La cuestión se reduciría únicamente a comprobar si, con todo, la situación de retención en la frontera resulta desproporcionada, afirmando el Abogado del Estado que no es así. </w:t>
      </w:r>
    </w:p>
    <w:p w:rsidR="0025129F" w:rsidRDefault="0025129F" w:rsidP="0025129F">
      <w:pPr>
        <w:pStyle w:val="TextoNormal"/>
      </w:pPr>
      <w:r>
        <w:t xml:space="preserve">Por un lado, el control judicial en el supuesto contemplado en el punto 8.7, párrafo 3, de la Ley 9/1994 carece de objeto, ya que la retención del extranjero en frontera no puede incurrir en ningún caso en arbitrariedad ya que dicha retención deriva de no reunir los requisitos legalmente establecidos para entrar en el territorio del Estado y, además, el acto propio exteriorizado por el extranjero solicitando el asilo no requiere de control judicial, pues no es ésta la autoridad estatal competente para conceder o denegar el asilo interesado. La propia naturaleza del supuesto de hecho le permite valorar al Juez la concurrencia de las circunstancias concretas que justifican o no la adopción de la medida cautelar, estableciendo la Ley, fundada y justificadamente, con carácter general la imposición de esa medida de retención del extranjero, con lo que no cabe ya valoración casuística alguna. Por eso mismo, el plazo previsto para su retención en frontera resulta ser el imprescindible para la tramitación de su petición de asilo, que no podrá superar los cuarenta días previstos en los convenios internacionales y recogido en la STC 115/1987. </w:t>
      </w:r>
    </w:p>
    <w:p w:rsidR="0025129F" w:rsidRDefault="0025129F" w:rsidP="0025129F">
      <w:pPr>
        <w:pStyle w:val="TextoNormal"/>
      </w:pPr>
      <w:r>
        <w:lastRenderedPageBreak/>
        <w:t xml:space="preserve">El Abogado del Estado, con cita de esta última STC 115/1987 (FJ 1), recuerda la diferencia trazada entre la intervención judicial en la detención por motivos penales y los supuestos de extranjería. En este último caso, dice el Abogado del Estado, la Administración es titular de intereses públicos propios, como así lo ha reconocido el Tribunal Constitucional en la Sentencia citada. Igualmente la STC 12/1994 (FJ 8) ha reconocido la legitimidad de la intervención administrativa si no ha habido una entrada legal en el territorio nacional del extranjero o si no se goza de la protección derivada de la solicitud de asilo. Asimismo, en el caso contemplado en la disposición legal impugnada por el Defensor del Pueblo también es posible acudir al habeas corpus. </w:t>
      </w:r>
    </w:p>
    <w:p w:rsidR="0025129F" w:rsidRDefault="0025129F" w:rsidP="0025129F">
      <w:pPr>
        <w:pStyle w:val="TextoNormal"/>
      </w:pPr>
      <w:r>
        <w:t>Respecto de la infracción del art. 81.1 CE, al no revestir la forma de ley orgánica el apartado 8.7, párrafo 3, de la Ley 9/1994, aduce el representante del Gobierno de la Nación que la tacha esgrimida por el Defensor del Pueblo responde a una concepción excesivamente rigurosa de dicha reserva de ley. A su juicio, y con arreglo a la doctrina del Tribunal Constitucional (STC 160/1987), sólo deben revestir la forma de ley orgánica los desarrollos directos e inmediatos de los derechos fundamentales. En el caso que nos ocupa, si no se ha perfeccionado la titularidad del derecho fundamental a la libertad personal (art. 17 CE) del extranjero retenido en la frontera española, ya que su plena titularidad exige la entrada efectiva en el Estado, el precepto legal impugnado no constituye desarrollo directo de derecho fundamental alguno, ya que se trata de extranjeros que no reúnen los requisitos para entrar legalmente en territorio español. Por ello, la Ley 9/1994 no desarrolla el derecho a la libertad personal de ese extranjero, que tan sólo se proyecta en el caso de forma genérica e imponiendo la no desproporción en la aplicación de la medida de retención en la frontera en tanto se resuelve sobre la admisibilidad de su petición de asilo. Por consiguiente, la regulación de dicha medida no requiere de la forma de ley orgánica, pues en sí no está regulando la libertad personal del extranjero en semejante situación; sin perjuicio de que, como se indicó, el art. 17 CE se proyecte sobre esa retención exigiendo la debida proporcionalidad de la medida cautelar. Por otra parte conviene recordar que la previsión de que puedan adoptarse medidas cautelares respecto del extranjero que no reúne los requisitos legales para entrar en el territorio español se incluye en el art. 12.4 de la Ley Orgánica 7/1985, de 1 de julio, de forma que la disposición impugnada del punto 8 de la Ley 9/1994 no sería sino una concreción de esa previsión genérica contenida en una ley orgánica, expresión de la colaboración internormativa expresamente admitida por el Tribunal Constitucional en materia de regulación de derechos fundamentales (STC 137/1986).</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26 de febrero de 2002, se señaló para deliberación y votación de la presente Sentencia el siguiente día 27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presente recurso de inconstitucionalidad, interpuesto por el Defensor del Pueblo, se dirige contra el párrafo tercero del nuevo apartado 7 del art. 5 de la Ley 5/1984, de 26 de marzo, reguladora del derecho de asilo y de la condición de refugiado (en adelante, LDA), añadido por el apartado 8 de la Ley 9/1994, de 19 de mayo, de modificación de la LDA (en adelante, Ley 9/1994), que dice así: “Durante la tramitación de la admisión a trámite de la solicitud y, en su caso, de la petición de reexamen, el solicitante permanecerá </w:t>
      </w:r>
      <w:r>
        <w:lastRenderedPageBreak/>
        <w:t>en el puesto fronterizo, habilitándose al efecto unas dependencias adecuadas para ello”. Dos precisiones preliminares son necesarias en relación con la norma impugnada:</w:t>
      </w:r>
    </w:p>
    <w:p w:rsidR="0025129F" w:rsidRDefault="0025129F" w:rsidP="0025129F">
      <w:pPr>
        <w:pStyle w:val="TextoNormal"/>
      </w:pPr>
      <w:r>
        <w:t>a) El recurso de inconstitucionalidad únicamente se dirige contra este párrafo 3 del art. 5.7 LDA. Ahora bien, la norma impugnada sólo cobra pleno sentido si se integra su contenido con lo dispuesto en los párrafos 1, 2 y 4 del mismo art. 5.7 LDA.  Según el art. 5.7.1 LDA, la resolución de inadmisión a trámite de la petición de asilo ha de ser notificada al peticionario en el plazo máximo de cuatro días desde su presentación; ante una primera resolución de inadmisión a trámite el art. 5.7.2 LDA prevé que el extranjero solicite —en el plazo de veinticuatro horas— el reexamen de su petición, lo que habrá de ser resuelto y notificado en un plazo máximo de dos días. Por último, el art. 5.7.4 LDA dispone que el transcurso de aquellos plazos máximos (de cuatro y dos días) sin resolución expresa de la Administración supondrá la admisión a trámite de la petición de asilo, con la consiguiente autorización de entrada del extranjero en territorio español. De una comprensión sistemática del art. 5.7.3 LDA resulta, en última instancia, que quien solicita asilo en frontera debe permanecer en “dependencias adecuadas” del puesto fronterizo mientras se resuelve sobre la admisión a trámite de la petición; esa permanencia obligada en el puesto fronterizo es por un máximo de cuatro días. Si se inadmite a trámite la solicitud, la expulsión del extranjero (que es en principio lo procedente conforme al art. 17.1 LDA) puede quedar en suspenso mediante una petición de reexamen; esa petición ha de ser resuelta en un máximo de dos días, plazo durante el cual el extranjero esperará en las “dependencia adecuadas” del puesto fronterizo.</w:t>
      </w:r>
    </w:p>
    <w:p w:rsidR="0025129F" w:rsidRDefault="0025129F" w:rsidP="0025129F">
      <w:pPr>
        <w:pStyle w:val="TextoNormal"/>
      </w:pPr>
      <w:r>
        <w:t>b) En el recurso interpuesto por el Defensor del Pueblo únicamente se pide la declaración de inconstitucionalidad del art. 5.7.3 LDA. Ahora bien, en la fundamentación del recurso se hace referencia a hipotéticas restricciones de libertad, también en el puesto fronterizo, después de inadmitida a trámite una petición de asilo. Se hace referencia expresa, en este sentido, a posibles situaciones de permanencia en el puesto fronterizo derivadas del art. 5.6 e) y f) LDA. Esas hipotéticas privaciones de libertad ninguna relación directa guardan con el precepto impugnado en este proceso constitucional: el art. 5.7.3 LDA sólo se refiere a la permanencia en dependencias adecuadas del puesto fronterizo durante la tramitación de la admisión a trámite de la solicitud de asilo (y, en su caso, de la petición de reexamen), pero nada dice de la situación del peticionario de asilo una vez inadmitida a trámite su solicitud de asilo. En consecuencia, el análisis de esas otras situaciones necesariamente ha de quedar fuera de este proceso.</w:t>
      </w:r>
    </w:p>
    <w:p w:rsidR="0025129F" w:rsidRDefault="0025129F" w:rsidP="0025129F">
      <w:pPr>
        <w:pStyle w:val="TextoNormal"/>
      </w:pPr>
    </w:p>
    <w:p w:rsidR="0025129F" w:rsidRDefault="0025129F" w:rsidP="0025129F">
      <w:pPr>
        <w:pStyle w:val="TextoNormal"/>
      </w:pPr>
      <w:r w:rsidRPr="0025129F">
        <w:rPr>
          <w:rStyle w:val="NumeroAFNegritaCaracter"/>
        </w:rPr>
        <w:t>2</w:t>
      </w:r>
      <w:r>
        <w:t>. A juicio del Defensor del Pueblo, el art. 5.7.3 LDA vulnera en su contenido esencial (art. 53.1 CE) el derecho a la libertad personal del art. 17 CE, en particular, las garantías judiciales y el tiempo máximo de detención que establece el art. 17.2 CE; y también el art. 81.1 CE, por cuanto la Ley 9/1994 carece del rango de orgánica pese a establecer una nueva causa de privación de libertad, lo que constituye un desarrollo directo del art. 17.1 CE. Por su parte, el Abogado del Estado refuta los argumentos del Defensor del Pueblo y aduce que el extranjero que solicita asilo en frontera aún no ha entrado en territorio del Estado y, en esa medida, no ha perfeccionado su derecho a la libertad personal del art. 17 CE, que sólo disfrutará con plenitud una vez acceda efectivamente a territorio español. En consecuencia, sigue argumentando el Abogado del Estado en sus alegaciones, el art. 17 CE no se aplica en toda su extensión a estos casos, de forma que lo único exigible al legislador es que la retención en frontera del peticionario de asilo, que no reúne los requisitos legalmente requeridos para la entrada y permanencia en España, y la duración de esa retención, sean proporcionadas al fin perseguido y al tiempo necesario para resolver sobre la admisi</w:t>
      </w:r>
      <w:r>
        <w:lastRenderedPageBreak/>
        <w:t>bilidad de su petición. A su juicio, la Ley impugnada respeta esa proporcionalidad, máxime cuando la retención en frontera es un acto debido e impuesto por la Ley y sobre el que carece de todo sentido establecer control judicial alguno fruto del automatismo de dicha medida. Por último, también niega que el precepto impugnado deba revestir la forma de Ley Orgánica, en la medida en que, en tanto el extranjero sometido a la retención en frontera aún no ha perfeccionado la titularidad del derecho a la libertad personal, la regulación de su situación personal no puede tenerse por un desarrollo del derecho fundamental del art. 17.1 CE.</w:t>
      </w:r>
    </w:p>
    <w:p w:rsidR="0025129F" w:rsidRDefault="0025129F" w:rsidP="0025129F">
      <w:pPr>
        <w:pStyle w:val="TextoNormal"/>
      </w:pPr>
    </w:p>
    <w:p w:rsidR="0025129F" w:rsidRDefault="0025129F" w:rsidP="0025129F">
      <w:pPr>
        <w:pStyle w:val="TextoNormal"/>
      </w:pPr>
      <w:r w:rsidRPr="0025129F">
        <w:rPr>
          <w:rStyle w:val="NumeroAFNegritaCaracter"/>
        </w:rPr>
        <w:t>3</w:t>
      </w:r>
      <w:r>
        <w:t>. Nuestro juicio de constitucionalidad debe ir precedido de dos consideraciones preliminares: una referida al Derecho europeo sobre inmigración y asilo en cuyo contexto cobra sentido el precepto impugnado; la otra consideración consiste en una descripción elemental del estatuto constitucional de quien solicita asilo en algún puesto fronterizo de España. En lo que hace al Derecho europeo debemos destacar dos aspectos relevantes y complementarios: la importancia que para la institución del asilo presenta la progresiva desaparición de fronteras en el seno de la Unión Europea (con las nuevas cuestiones de seguridad y control que de ahí resultan); y, en segundo lugar, la progresiva configuración del derecho de asilo como derecho de la Unión Europea.</w:t>
      </w:r>
    </w:p>
    <w:p w:rsidR="0025129F" w:rsidRDefault="0025129F" w:rsidP="0025129F">
      <w:pPr>
        <w:pStyle w:val="TextoNormal"/>
      </w:pPr>
      <w:r>
        <w:t>a) El Acuerdo relativo a la supresión gradual de los controles en las fronteras comunes, firmado en Schengen el 14 de junio de 1985 y al que España se adhirió por Protocolo de 25 de junio de 1991 (BOE de 30 de julio), impulsó la libre circulación de personas entre varios países europeos mediante el progresivo levantamiento de sus fronteras interiores. Ese progresivo levantamiento tiene como consecuencia un traslado de los controles a las fronteras externas de los países signatarios del Acuerdo de Schengen; de forma tal que las fronteras externas de los Estados europeos son al tiempo las fronteras externas de los demás Estados partes en aquel Acuerdo. Por esa razón, el art. 20 del Acuerdo de Schengen encomendó a las Partes “la armonización de sus políticas en materia de visados, así como las condiciones de entrada en sus territorios”. Ese mandato de armonización tuvo pronta respuesta en la regulación de asilo: varios Estados de la Comunidad Europea firmaron el Convenio relativo a la determinación del Estado responsable del examen de las solicitudes de asilo presentadas en los Estados miembros de las Comunidades Europeas, hecho en Dublín el 15 de junio de 1990 (BOE de 1 de agosto de 1997). En este Convenio se establece el examen único de cada solicitud de asilo (art. 3.2) y se fijan criterios para determinar qué Estado es en cada caso el competente para conocer de las peticiones de asilo (arts.  4 a 8). Posteriormente el Tratado de Amsterdam (BOE de 7 de mayo de 1999) modificó el art. 2 del Tratado de la Unión Europea (de 1992) introduciendo como objetivo de la Unión “mantener y desarrollar la Unión como un espacio de libertad, seguridad y justicia en el que esté garantizada la libre circulación de personas conjuntamente con medidas adecuadas respecto al control de las fronteras exteriores, el asilo, la inmigración y la prevención y la lucha contra la delincuencia”. De esta forma quedaba nítidamente trabada la relación entre la institución del asilo y las políticas sobre seguridad y control de entrada de extranjeros.</w:t>
      </w:r>
    </w:p>
    <w:p w:rsidR="0025129F" w:rsidRDefault="0025129F" w:rsidP="0025129F">
      <w:pPr>
        <w:pStyle w:val="TextoNormal"/>
      </w:pPr>
      <w:r>
        <w:t xml:space="preserve">b) La conexión entre asilo y seguridad en la Unión Europea no ha sido óbice para que la Carta de derechos fundamentales de la Unión Europea —solemnemente proclamada en Niza el 7 de diciembre de 2000— incluya entre las “Libertades” del Capítulo II tanto el derecho de asilo (art. 18) como el derecho a no ser expulsado, extraditado o devuelto a un Estado donde haya grave riesgo de ser sometido a pena de muerte, tortura o a otras penas o tratos inhumanos o degradantes (art. 19). De esta forma la íntima conexión entre asilo, </w:t>
      </w:r>
      <w:r>
        <w:lastRenderedPageBreak/>
        <w:t>control de la inmigración y seguridad europea —a la que se ha hecho referencia más arriba— no se produce a costa del derecho de asilo sino, antes bien, partiendo de su necesaria vigencia en el seno de la Unión.</w:t>
      </w:r>
    </w:p>
    <w:p w:rsidR="0025129F" w:rsidRDefault="0025129F" w:rsidP="0025129F">
      <w:pPr>
        <w:pStyle w:val="TextoNormal"/>
      </w:pPr>
      <w:r>
        <w:t>Por lo demás, en el ámbito del Derecho internacional general, la configuración del derecho de asilo se encuentra básicamente en la Convención de Ginebra sobre el estatuto de los refugiados de 28 de julio de 1951 (al que España se adhirió por Instrumento de 22 de julio de 1978, BOE de 21 de octubre), al que de forma expresa se remiten los arts. 18 y 19 de la Carta de los derechos fundamentales de la Unión Europea. Pues bien, el art. 33.1 de la Convención recoge el principio internacional de non refoulement en los siguientes términos: “Ningún Estado contratante podrá, por expulsión o devolución, poner en modo alguno a un refugiado en las fronteras de territorios donde su vida o su libertad peligre por causa de su raza, religión, nacionalidad, pertenencia a determinado grupo social o de sus opiniones políticas”.</w:t>
      </w:r>
    </w:p>
    <w:p w:rsidR="0025129F" w:rsidRDefault="0025129F" w:rsidP="0025129F">
      <w:pPr>
        <w:pStyle w:val="TextoNormal"/>
      </w:pPr>
    </w:p>
    <w:p w:rsidR="0025129F" w:rsidRDefault="0025129F" w:rsidP="0025129F">
      <w:pPr>
        <w:pStyle w:val="TextoNormal"/>
      </w:pPr>
      <w:r w:rsidRPr="0025129F">
        <w:rPr>
          <w:rStyle w:val="NumeroAFNegritaCaracter"/>
        </w:rPr>
        <w:t>4</w:t>
      </w:r>
      <w:r>
        <w:t>. También debemos precisar, con carácter preliminar, cuál es el estatuto constitucional del peticionario de asilo. Comencemos por precisar el régimen del asilo en el art. 13.4 CE. Si bien es cierto que el art. 13.4 CE reconoce el derecho de asilo, hay que subrayar que el mismo precepto constitucional remite al legislador ordinario —y sobre esto último volveremos en el FJ 14— los “términos en que los ciudadanos de otros países y los apátridas podrán gozar del derecho de asilo en España”. Estamos entonces ante una remisión al legislador ordinario para configurar el régimen de disfrute de este derecho constitucionalmente reconocido a quienes solicitan asilo en España. Atendiendo a la ubicación sistemática del precepto en el texto constitucional (Capítulo I del Título I: “De los españoles y los extranjeros”) fácilmente se colige que no estamos ante un derecho fundamental de los enunciados en el Capítulo II del mismo Título I de la Constitución.  Estamos, propiamente, ante un mandato constitucional para que el legislador configure el estatuto de quienes se dicen perseguidos y piden asilo en España. Los derechos del solicitante de asilo —o del ya asilado— serán, entonces, los que establezca la Ley. Obviamente, la Ley que regule el régimen de los extranjeros asilados —o peticionarios de asilo— ha de respetar plenamente los demás preceptos de la Constitución y, en especial, los derechos fundamentales que amparan a los extranjeros. Pero ningún precepto constitucional exige que esa Ley de configuración del derecho de asilo se apruebe con forma de ley orgánica. Hecha esta aclaración conviene que nos detengamos en precisar en qué términos los peticionarios de asilo disfrutan de los derechos fundamentales enunciados en los arts. 17 y 19 CE.</w:t>
      </w:r>
    </w:p>
    <w:p w:rsidR="0025129F" w:rsidRDefault="0025129F" w:rsidP="0025129F">
      <w:pPr>
        <w:pStyle w:val="TextoNormal"/>
      </w:pPr>
      <w:r>
        <w:t xml:space="preserve">a) Ninguna duda hay, en primer lugar, de que el solicitante de asilo, en tanto extranjero, sólo disfruta del derecho fundamental a entrar y circular libremente por España (art. 19 CE) en los términos que disponen los Tratados y la Ley. Así está dicho en la jurisprudencia de este Tribunal (SSTC 94/1993, de 22 de marzo, FJ 3; 86/1996, de 21 de mayo, FJ 2; 174/1999, de 27 de septiembre, FJ 4). En la actualidad el derecho de los extranjeros a entrar en España está condicionado, con carácter general, al cumplimiento de los requisitos del art. 25.1 y 2 de la Ley Orgánica 4/2000, de 11 de enero, sobre derechos y libertades de los extranjeros en España y su integración social (parcialmente reformada por la Ley Orgánica 8/2000, de 22 de diciembre).  Como excepción, el art. 5.7.3 LDA prevé también que quien solicita asilo en frontera —y que no cumple con los requisitos del art. 25. 1 y 2 de la Ley Orgánica 4/2000— pueda entrar en España (supuesto que la permanencia en las “dependencias adecuadas” del puesto fronterizo pueda considerarse tal), si bien de forma limitada y provisional, mientras sobre la petición de asilo recae una primera resolución de admisión a trámite. De esta forma el Estado español protege, conforme a lo dispuesto en el </w:t>
      </w:r>
      <w:r>
        <w:lastRenderedPageBreak/>
        <w:t>art.  33.1 de la Convención de Ginebra de 1951, a quienes acceden a un puesto fronterizo y en él denuncian un temor fundado de ser perseguidos. El amparo o protección del Estado español se cifra, conforme al art. 5.7.3 LDA, en la permanencia del extranjero en el puesto fronterizo; sólo en esos precisos y limitados términos autoriza la Ley la entrada provisional en España de extranjeros solicitantes de asilo. Fuera de esas condiciones el solicitante de asilo en frontera carece de todo derecho, ni constitucional ni legal, a entrar o circular por España.</w:t>
      </w:r>
    </w:p>
    <w:p w:rsidR="0025129F" w:rsidRDefault="0025129F" w:rsidP="0025129F">
      <w:pPr>
        <w:pStyle w:val="TextoNormal"/>
      </w:pPr>
      <w:r>
        <w:t>b) Durante el tiempo en que el solicitante de asilo permanece en “dependencias adecuadas” del puesto fronterizo rigen, por principio, los derechos fundamentales derivados de la dignidad de la persona que la Constitución reconoce a todas las personas sometidas a los actos de los poderes públicos españoles. Los solicitantes de asilo disfrutan, por tanto, del derecho a la libertad que el art. 17.1 CE reconoce a todas las personas (STC 115/1987, de 7 de julio, FJ 1). Lo relevante aquí no es la concreta ubicación territorial de las “dependencias adecuadas” a que se refiere el art. 5.7.3 LDA, y que será bien distinta según que la entrada en España sea por tierra, mar o aire. Lo determinante es, desde la perspectiva propia de los derechos fundamentales, la existencia de una situación legal de sometimiento de los solicitantes de asilo a un poder público español. Este es el criterio que resulta tanto de la jurisprudencia de este Tribunal (por todas: STC 21/1997, de 10 de febrero, FJ 3) como del art. 1 CEDH (relevante para la interpretación de nuestros derechos fundamentales, conforme al art. 10.2 CE) y de la jurisprudencia del Tribunal Europeo de Derechos Humanos (así, en un caso de retención de solicitantes de asilo en zona aeroportuaria, en la STEDH de 25 de junio de 1996, caso Amuur c. Francia). Dicho esto, desde ahora debemos advertir y destacar que la permanencia del solicitante de asilo en las “dependencias adecuadas” de frontera en ningún caso impide que ese mismo extranjero abandone aquel lugar de espera cuando lo considere conveniente, aunque no, por supuesto, para entrar incondicionalmente en España, ámbito éste en el que no disfruta del derecho fundamental a “entrar y salir libremente de España”(art. 19 CE), sólo reconocido constitucionalmente a los españoles.</w:t>
      </w:r>
    </w:p>
    <w:p w:rsidR="0025129F" w:rsidRDefault="0025129F" w:rsidP="0025129F">
      <w:pPr>
        <w:pStyle w:val="TextoNormal"/>
      </w:pPr>
    </w:p>
    <w:p w:rsidR="0025129F" w:rsidRDefault="0025129F" w:rsidP="0025129F">
      <w:pPr>
        <w:pStyle w:val="TextoNormal"/>
      </w:pPr>
      <w:r w:rsidRPr="0025129F">
        <w:rPr>
          <w:rStyle w:val="NumeroAFNegritaCaracter"/>
        </w:rPr>
        <w:t>5</w:t>
      </w:r>
      <w:r>
        <w:t>. Acabamos de recordar que los extranjeros solicitantes de asilo disfrutan del derecho a la libertad (art. 17.1 CE) frente a los poderes públicos de España. Ahora bien, ese derecho fundamental no es absoluto e ilimitado (SSTC 178/1985, de 19 de diciembre, FJ 3; 341/1993, de 18 de noviembre, FJ 6); el propio art. 17.1 CE prevé supuestos de privación de libertad “con la observancia de lo establecido en este artículo y en los casos y en la forma previstos en la ley”. No estamos aquí, propiamente, ante un mandato de configuración legal, pues el legislador no ha recibido el encargo de regular con carácter general el derecho a la libertad. Estamos, simplemente, ante la previsión constitucional de leyes que —con los límites que derivan de la propia Constitución— pueden establecer ciertas restricciones en el disfrute o ejercicio del derecho a la libertad personal. Al Tribunal Constitucional corresponde ahora determinar si una de esas restricciones —la del art. 5.7.3 LDA— se ha excedido de los límites que la propia Constitución marca a la Ley. De dos clases son los límites a que se refiere el art. 17.1 CE: en primer lugar, los referidos expresamente en los distintos párrafos del art. 17 CE; en segundo lugar, otros límites compartidos con los demás derechos fundamentales: exigencia de certidumbre y proporcionalidad en la limitación. Empecemos por referirnos a los límites expresos del art. 17 CE.</w:t>
      </w:r>
    </w:p>
    <w:p w:rsidR="0025129F" w:rsidRDefault="0025129F" w:rsidP="0025129F">
      <w:pPr>
        <w:pStyle w:val="TextoNormal"/>
      </w:pPr>
    </w:p>
    <w:p w:rsidR="0025129F" w:rsidRDefault="0025129F" w:rsidP="0025129F">
      <w:pPr>
        <w:pStyle w:val="TextoNormal"/>
      </w:pPr>
      <w:r w:rsidRPr="0025129F">
        <w:rPr>
          <w:rStyle w:val="NumeroAFNegritaCaracter"/>
        </w:rPr>
        <w:t>6</w:t>
      </w:r>
      <w:r>
        <w:t>. Es claro, en primer lugar, que no se puede oponer al art. 5.7.3 LDA el plazo máximo de detención de setenta y dos horas que establece el art. 17.2 CE; y tampoco, por consi</w:t>
      </w:r>
      <w:r>
        <w:lastRenderedPageBreak/>
        <w:t>guiente, la exigencia de puesta a disposición judicial del detenido en el mismo plazo máximo de setenta y dos horas. Este Tribunal viene declarando desde la STC 341/1993, FJ 6, que el “detenido” a que se refiere el art. 17.2 CE es, en principio, el afectado por una medida cautelar de privación de libertad de carácter penal; y por lo mismo, el límite máximo de setenta y dos horas no es aplicable cuando la privación de libertad sirve a un fin radicalmente distinto, como es la protección de quien se dice perseguido con simultáneo aseguramiento de que la entrada y estancia de los extranjeros en España se hacen con pleno respeto a la Ley. Ahora bien, desde la misma STC 341/1993 también venimos diciendo que del art. 17.2 CE se induce que toda privación de libertad, aun no siendo detención, ha de ser limitada en el tiempo. Este criterio fue reiterado en las SSTC 174/1999, FJ 4, y 179/2000, de 26 de junio, FJ 2, ambas referidas a la expulsión de extranjeros desde la zona de tránsito aeroportuaria. Debe advertirse desde este momento que ese límite temporal frente a toda privación de libertad —distinta de la detención para la persecución penal— no es necesariamente uniforme, sino que ha de adecuarse —por supuesto sin concesiones arbitrarias a las autoridades gubernativas— a las finalidades que en cada caso persigue la privación de libertad. Pues bien, ninguna duda hay sobre los límites temporales que el art. 5.7.3 LDA fija a la permanencia o espera de los peticionarios de asilo en “dependencias adecuadas”: hasta cuatro días y, en caso de que se pida el reexamen de una solicitud inadmitida a trámite, hasta dos días más. Tampoco hay duda alguna sobre el carácter máximo de esos plazos y sobre la consecuencia (supuesto que no se dicte denegación expresa) que sigue a su cumplimiento: el derecho a entrar provisionalmente en España, más allá de las “dependencias adecuadas” del puesto fronterizo y sin más límite que las posibles restricciones en la fijación de residencia que prevé el art. 4.3 LDA. De lo expuesto hasta aquí resulta que la supuesta privación de libertad del art.  5.7.3 LDA tiene límites temporales claramente definidos. Dejamos para más adelante (FJ 8) el juicio de proporcionalidad en relación con esos límites temporales máximos.</w:t>
      </w:r>
    </w:p>
    <w:p w:rsidR="0025129F" w:rsidRDefault="0025129F" w:rsidP="0025129F">
      <w:pPr>
        <w:pStyle w:val="TextoNormal"/>
      </w:pPr>
    </w:p>
    <w:p w:rsidR="0025129F" w:rsidRDefault="0025129F" w:rsidP="0025129F">
      <w:pPr>
        <w:pStyle w:val="TextoNormal"/>
      </w:pPr>
      <w:r w:rsidRPr="0025129F">
        <w:rPr>
          <w:rStyle w:val="NumeroAFNegritaCaracter"/>
        </w:rPr>
        <w:t>7</w:t>
      </w:r>
      <w:r>
        <w:t>. Ya hemos avanzado más arriba, con cita de nuestra STC 341/1993, FJ 5, que toda restricción a la libertad ha de ser cierta y previsible, pues en otro caso la Ley perdería su función de garantía del propio derecho fundamental al que afecta y sometería el ejercicio del derecho a la voluntad de quien ha de aplicar la Ley. Pues bien, ninguna incertidumbre hay sobre el alcance de las supuestas restricciones a la libertad establecidas en el art. 5.7.3 LDA. Veámoslo de forma analítica:</w:t>
      </w:r>
    </w:p>
    <w:p w:rsidR="0025129F" w:rsidRDefault="0025129F" w:rsidP="0025129F">
      <w:pPr>
        <w:pStyle w:val="TextoNormal"/>
      </w:pPr>
      <w:r>
        <w:t>a) El art. 5.7.3 LDA establece con precisión un máximo de permanencia o espera en las “dependencias adecuadas” del puesto fronterizo: cuatro días (y dos días más en el caso de que inadmitida la solicitud de asilo se paralice la expulsión del extranjero mediante una petición de reexamen).</w:t>
      </w:r>
    </w:p>
    <w:p w:rsidR="0025129F" w:rsidRDefault="0025129F" w:rsidP="0025129F">
      <w:pPr>
        <w:pStyle w:val="TextoNormal"/>
      </w:pPr>
      <w:r>
        <w:t>b) Tampoco hay indeterminación alguna sobre el régimen de la permanencia: impide la libre entrada en España, pero no se opone a que el extranjero regrese a su lugar de procedencia o a un tercer Estado.</w:t>
      </w:r>
    </w:p>
    <w:p w:rsidR="0025129F" w:rsidRDefault="0025129F" w:rsidP="0025129F">
      <w:pPr>
        <w:pStyle w:val="TextoNormal"/>
      </w:pPr>
      <w:r>
        <w:t xml:space="preserve">c) Lo mismo cabe decir del sentido de la permanencia del extranjero en el puesto fronterizo, que consiste en la protección del Estado a quien se dice perseguido, pues de la propia redacción del art. 5.7.3 LDA, en su inciso final, se desprende una obligación prestacional de la Administración en cuanto a habilitar “dependencias adecuadas” en las que tiene lugar la espera — que no la detención— del peticionario de asilo. Además, es necesario distinguir con claridad entres dos situaciones diferentes: durante los cuatro días de permanencia en las “dependencias adecuadas” de frontera se ofrece protección provisional a quien se dice perseguido, mientras se tramita —con celeridad— su petición de asilo; </w:t>
      </w:r>
      <w:r>
        <w:lastRenderedPageBreak/>
        <w:t>además, la permanencia adicional del extranjero en el puesto fronterizo (por un máximo de dos días) para resolver sobre su petición de reexamen supone una garantía extraordinaria para el solicitante de asilo, en la medida en que altera la regla general de ejecutoriedad de las resoluciones recurridas en vía administrativa (art. 111.1 de la Ley 30/1992, de 26 de noviembre, en adelante LPC), evitándose así la salida inmediata del extranjero cuya petición de asilo ha sido inadmitida a trámite. O dicho de otra forma, durante los primeros cuatro días la situación jurídica del peticionario de asilo pende de la resolución que se de a su solicitud, que puede ser: 1) de admisión a trámite (en cuyo caso se le permite el acceso al territorio nacional, sujeto a las medidas cautelares que se adopten); 2) silencio administrativo con efectos positivos, lo que remite al supuesto anterior; y 3) inadmisión a trámite o denegación, lo que lleva consigo —conforme al art. 17.1 LDA— el rechazo o expulsión del extranjero. El art. 5.7.2 LDA admite, sin embargo, que el peticionario de asilo en situación jurídica de rechazo o expulsión solicite, con efectos suspensivos, el reexamen de su petición de asilo, lo que ha de resolverse en el plazo máximo de dos días. Es obvio que los dos días que se conceden a la Administración para contestar —y al peticionario de asilo para prolongar su espera en las “dependencias adecuadas” del puesto fronterizo— no pueden calificarse como simple alargamiento de su privación de libertad: quien pide el reexamen es un extranjero en situación de expulsión cuya ejecución queda momentáneamente en suspenso (lo que obviamente no le impide volver a su país de origen o dirigirse a un tercer país que tenga por conveniente). En estos términos es claro que las restricciones del art.  5.7.3 LDA son conformes con las exigencias constitucionales de certeza y previsibilidad.</w:t>
      </w:r>
    </w:p>
    <w:p w:rsidR="0025129F" w:rsidRDefault="0025129F" w:rsidP="0025129F">
      <w:pPr>
        <w:pStyle w:val="TextoNormal"/>
      </w:pPr>
    </w:p>
    <w:p w:rsidR="0025129F" w:rsidRDefault="0025129F" w:rsidP="0025129F">
      <w:pPr>
        <w:pStyle w:val="TextoNormal"/>
      </w:pPr>
      <w:r w:rsidRPr="0025129F">
        <w:rPr>
          <w:rStyle w:val="NumeroAFNegritaCaracter"/>
        </w:rPr>
        <w:t>8</w:t>
      </w:r>
      <w:r>
        <w:t>. Las restricciones a la libertad también deben ser proporcionadas. Esto es: idóneas, necesarias y ponderadas (entre las recientes, SSTC 265/2000, de 13 de noviembre, FJ 8; 103/2001, de 23 de abril, FJ 10). En cuanto a lo primero —la idoneidad de la restricción para el fin que persigue— es innegable que la permanencia de los peticionarios de asilo en “dependencias adecuadas” evita eficazmente que, por vía de la protección al perseguido, se eludan las leyes que regulan la entrada, residencia y circulación de los extranjeros en España. En segundo lugar, y por lo que hace a la exigencia de necesariedad, no se percibe con claridad qué otra medida menos restrictiva de la libertad puede alcanzar el mismo nivel de eficacia en la aplicación del régimen ordinario de entrada de extranjeros que la permanencia o espera de los solicitantes en “dependencias adecuadas” de frontera; téngase en cuenta, en todo caso, que la autorización de entrada provisional (a la espera de la admisión a trámite de la petición de asilo) claramente presenta dificultades aplicativas en caso de inadmisión definitiva de la petición de asilo: tanto por la necesaria localización del solicitante como por la necesidad de un traslado físico al puesto fronterizo.</w:t>
      </w:r>
    </w:p>
    <w:p w:rsidR="0025129F" w:rsidRDefault="0025129F" w:rsidP="0025129F">
      <w:pPr>
        <w:pStyle w:val="TextoNormal"/>
      </w:pPr>
      <w:r>
        <w:t xml:space="preserve">De otro lado, tampoco puede considerarse en abstracto y a priori que los plazos máximos de permanencia en las “dependencias adecuadas” del puesto fronterizo excedan de lo estrictamente necesario. El lapso máximo de cuatro días guarda clara relación con el tiempo mínimo que requiere la tramitación y resolución fundada de una petición de asilo; lo mismo se puede decir respecto del lapso máximo de dos días para el reexamen. Hay que tener en cuenta, en este sentido, que, conforme al art. 5.7.1 LDA, en el plazo máximo de cuatro días habrá de informarse de la solicitud de asilo al representante en España del Alto Comisionado de las Naciones Unidas para los Refugiados, quien podrá entrevistarse —si lo desea— con el peticionario. En el mismo plazo máximo de cuatro días habrá de dictarse una primera resolución de admisión o inadmisión (motivada conforme el art. 54.1 LPC) y notificarse al solicitante de asilo con las formalidades del art. 59 LPC. Si el extranjero pide </w:t>
      </w:r>
      <w:r>
        <w:lastRenderedPageBreak/>
        <w:t>el reexamen de su solicitud (para lo cual disfruta de un plazo de veinticuatro horas) el plazo máximo para resolver y notificar se limita a tan sólo dos días, lapso en el que ha de darse audiencia al representante del Alto Comisionado de las Naciones Unidas para los Refugiados, audiencia en todo caso previa a la resolución definitiva del Ministro del Interior (art. 5.7.2 LDA). A la vista de la regulación legal del trámite de admisión de la petición de asilo no puede considerarse que los plazos máximos de restricción a la libertad del solicitante de asilo excedan de lo estrictamente necesario.</w:t>
      </w:r>
    </w:p>
    <w:p w:rsidR="0025129F" w:rsidRDefault="0025129F" w:rsidP="0025129F">
      <w:pPr>
        <w:pStyle w:val="TextoNormal"/>
      </w:pPr>
    </w:p>
    <w:p w:rsidR="0025129F" w:rsidRDefault="0025129F" w:rsidP="0025129F">
      <w:pPr>
        <w:pStyle w:val="TextoNormal"/>
      </w:pPr>
      <w:r w:rsidRPr="0025129F">
        <w:rPr>
          <w:rStyle w:val="NumeroAFNegritaCaracter"/>
        </w:rPr>
        <w:t>9</w:t>
      </w:r>
      <w:r>
        <w:t>. Por último, tampoco se puede afirmar que la regulación del art. 5.7.3 LDA sea contraria al mandato de ponderación, también comprendido en el principio de proporcionalidad. Siguiendo la indicación metodológica a que nos referimos en la STC 103/2001, de 23 de abril, FJ 10, el mandato de ponderación exige: en primer lugar, la identificación de un bien o interés de relevancia constitucional al cual sirve la limitación de otro bien constitucional; y en segundo lugar, identificar las condiciones en que un interés constitucional prevalece sobre otro. En cuanto a lo primero, la restricción a la libertad del art. 5.7.3 LDA tiene por fin asegurar el cumplimiento de la legislación sobre entrada de los extranjeros en España —cuya relevancia para los demás países de la Unión Europea ya fue expuesta en el FJ 3— sin que con ello se ponga en riesgo la vida o la integridad de quien se dice perseguido, de acuerdo con lo que establece el Derecho internacional de los derechos humanos. El cumplimiento de la ley —en especial de la legislación de extranjería- es un bien constitucional con asiento en los arts. 10.1 y 13.1 CE: expresamente se refiere el art. 10.1 CE al “respeto a la ley” como fundamento del orden político y de la paz social.  Además, el art. 13.1 CE expresamente remite a la Ley el régimen de libertades de los extranjeros en España. Por lo dicho, ninguna duda puede caber de que el respeto a la legislación sobre entrada, estancia y residencia en España goza de relevancia constitucional.</w:t>
      </w:r>
    </w:p>
    <w:p w:rsidR="0025129F" w:rsidRDefault="0025129F" w:rsidP="0025129F">
      <w:pPr>
        <w:pStyle w:val="TextoNormal"/>
      </w:pPr>
    </w:p>
    <w:p w:rsidR="0025129F" w:rsidRDefault="0025129F" w:rsidP="0025129F">
      <w:pPr>
        <w:pStyle w:val="TextoNormal"/>
      </w:pPr>
      <w:r w:rsidRPr="0025129F">
        <w:rPr>
          <w:rStyle w:val="NumeroAFNegritaCaracter"/>
        </w:rPr>
        <w:t>10</w:t>
      </w:r>
      <w:r>
        <w:t>. Identificada la existencia de un bien constitucional al que sirve la restricción del art.  5.7.3 LDA también debemos declarar que el respeto a la Ley (así, a la de extranjería) sólo permite restricciones limitadas, controladas y ciertas sobre un bien constitucional (la libertad personal) que goza de una posición constitucional preeminente en su doble vertiente de derecho fundamental (art. 17 CE) y valor superior del ordenamiento jurídico (art. 1.1 CE). Esta “regla de prevalencia condicionada” entre los bienes constitucionales en concurrencia tiene, por lo demás, claro respaldo en el art. 5.1 f) del Convenio europeo de derechos humanos (CEDH), que expresamente contempla como posible causa legal de restricción de la libertad personal el impedimento de la entrada ilegal en el territorio del país.</w:t>
      </w:r>
    </w:p>
    <w:p w:rsidR="0025129F" w:rsidRDefault="0025129F" w:rsidP="0025129F">
      <w:pPr>
        <w:pStyle w:val="TextoNormal"/>
      </w:pPr>
      <w:r>
        <w:t xml:space="preserve">Sentado lo anterior, y a la vista de cuanto venimos razonando en esta Sentencia, debemos concluir que la limitación a la libertad contemplada en el art. 5.7.3 LDA es ponderada. Se trata — en primer lugar— de una restricción cierta (según razonamos ya más arriba, FJ 7). Es, además, una restricción claramente limitada: tanto en relación con los sujetos afectados (únicamente los extranjeros peticionarios de asilo cuya solicitud aún no ha sido admitida a trámite) como en el tiempo (un máximo de cuatro días, y dos días más si, inadmitida la solicitud, se paraliza la expulsión del extranjero por medio de una petición de reexamen), en el espacio (no impide el retorno del extranjero a su lugar de procedencia o su entrada en otro Estado) y en el modo de la restricción (ausencia de régimen penitenciario o disciplinario). Y es también, por último, una limitación a la libertad plenamente controlada: ora en forma administrativa (el art. 5.7.1 LDA prevé —incluso— una posible </w:t>
      </w:r>
      <w:r>
        <w:lastRenderedPageBreak/>
        <w:t>visita de un representante del Alto Comisionado de Naciones Unidas para los Refugiados) como judicial.</w:t>
      </w:r>
    </w:p>
    <w:p w:rsidR="0025129F" w:rsidRDefault="0025129F" w:rsidP="0025129F">
      <w:pPr>
        <w:pStyle w:val="TextoNormal"/>
      </w:pPr>
    </w:p>
    <w:p w:rsidR="0025129F" w:rsidRDefault="0025129F" w:rsidP="0025129F">
      <w:pPr>
        <w:pStyle w:val="TextoNormal"/>
      </w:pPr>
      <w:r w:rsidRPr="0025129F">
        <w:rPr>
          <w:rStyle w:val="NumeroAFNegritaCaracter"/>
        </w:rPr>
        <w:t>11</w:t>
      </w:r>
      <w:r>
        <w:t>. Debemos llamar la atención, con especial intensidad, sobre las garantías judiciales que asisten al solicitante de asilo. El hecho de que el solicitante de asilo no sea un “detenido” (en los términos del art. 17.2 CE) en forma alguna le priva de la tutela judicial. Recordemos, en primer lugar, que conforme a la doctrina de este Tribunal el derecho al procedimiento de habeas corpus (art. 17.4 CE) rige en todos los supuestos de privación de libertad no acordada por el Juez (entre las últimas, STC 179/2000, FJ 5). Esta garantía tiene especial sentido ante situaciones en las que, bajo la apariencia de protección del extranjero al amparo del art. 5.7.3 LDA, se pudieran producir verdaderas detenciones o privaciones de libertad contrarias al art.  17 CE; aquí habría que incluir la alusión del Defensor del Pueblo a supuestos de permanencia del extranjero en el puesto fronterizo después de la inadmisión a trámite de la petición de asilo; o, también en hipótesis, la retención en el puesto fronterizo del extranjero cuya petición de asilo ya hubiera sido admitida a trámite por silencio administrativo positivo. De otro lado, ante una resolución administrativa de inadmisión a trámite de la solicitud de asilo, el extranjero disfruta de tutela judicial reforzada en el orden contencioso-administrativo: el art. 21.1 LDA establece que el recurso contencioso-administrativo contra las resoluciones de inadmisión tendrá tramitación preferente; y el art. 21.2 LDA dispone que el recurso tiene carácter suspensivo en el caso de que el extranjero así lo haya solicitado y el Alto Comisionado de las Naciones Unidas para los Refugiados hubiera informado favorablemente la petición de asilo.</w:t>
      </w:r>
    </w:p>
    <w:p w:rsidR="0025129F" w:rsidRDefault="0025129F" w:rsidP="0025129F">
      <w:pPr>
        <w:pStyle w:val="TextoNormal"/>
      </w:pPr>
    </w:p>
    <w:p w:rsidR="0025129F" w:rsidRDefault="0025129F" w:rsidP="0025129F">
      <w:pPr>
        <w:pStyle w:val="TextoNormal"/>
      </w:pPr>
      <w:r w:rsidRPr="0025129F">
        <w:rPr>
          <w:rStyle w:val="NumeroAFNegritaCaracter"/>
        </w:rPr>
        <w:t>12</w:t>
      </w:r>
      <w:r>
        <w:t>. En lo razonado hasta aquí hemos concluido que el art. 5.7.3 LDA no es contrario a los límites materiales que la Constitución establece frente a toda posible restricción en el disfrute de la libertad personal ex art. 17.1 CE. Nos corresponde ahora abordar un segundo reproche, de carácter formal. A juicio del Defensor del Pueblo, el art. 5.7.3 LDA debía tomar la forma de ley orgánica, de ahí también la inconstitucionalidad del precepto impugnado. En relación con la reserva de ley orgánica (art.  81.1 CE) este Tribunal viene acogiendo, desde la STC 5/1981, de 13 de febrero, un criterio de interpretación estricto. Tanto en lo que se refiere al término “desarrollar” como a la “materia” objeto de reserva. Se trata, con ese criterio estricto, de evitar petrificaciones del ordenamiento jurídico y de preservar la regla de las mayorías parlamentarias no cualificadas (entre otras, SSTC 173/1998, de 23 de julio, FJ 7; 129/1999, de 1 de julio, FJ 2). Precisando aún más esta doctrina, en la STC 292/2000, de 30 de noviembre, FJ 11, analizamos con detenimiento cuándo la imposición de límites a un derecho fundamental cae en la reserva de ley orgánica (art.  81.1 CE) y cuándo se puede considerar una regulación del ejercicio del derecho (art.  53.1 CE) no reservado a aquella forma legal. Dijimos entonces que los límites legales o bien pueden ser restricciones directas del derecho fundamental mismo, o bien pueden ser restricciones al modo, tiempo o lugar de ejercicio del derecho fundamental. En el primer caso, regular esos límites es una forma de desarrollo del derecho fundamental. En el segundo, los límites que se fijan lo son a la forma concreta en la que cabe ejercer el haz de facultades que compone el contenido del derecho fundamental en cuestión, constituyendo una manera de regular su ejercicio, lo que puede hacer el legislador ordinario a tenor de lo dispuesto en el art. 53.1 CE.</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13</w:t>
      </w:r>
      <w:r>
        <w:t>. Cierto es que en anteriores ocasiones este Tribunal ha considerado que determinadas privaciones de libertad debían calificarse como “desarrollo” del art. 17.1 CE y, por tanto, sólo podían establecerse en Ley Orgánica conforme al art. 81.1 CE. Así ha ocurrido en relación con la tipificación de ilícitos penales (SSTC 140/1986, de 11 de noviembre, FJ 5; 160/1986, de 16 de diciembre, FJ 3; 119/1992, de 18 de septiembre, FJ 2); también llegamos a dicha conclusión — aun no siendo ratio decidendi del caso— en relación con el internamiento de personas con trastornos psíquicos (STC 129/1999, de 1 de julio, FJ 2). Se trataba, en los casos enjuiciados, de normas que preveían privaciones de libertad especialmente gravosas: bien por su duración (dilatada, en el caso de las penas; indefinida, en el caso de internamiento del enajenado), bien porque la privación de libertad tenía lugar en régimen penitenciario. Se trataba, además, de privaciones de libertad que podían afectar a cualquier sujeto, con sólo concurrir el supuesto de hecho abstracto de la norma punitiva o de internamiento. Eran, en suma, privaciones de libertad cuya generalidad e intensidad las equiparaban a un tratamiento frontal o “desarrollo” del art. 17.1 CE; de ahí la exigencia de Ley Orgánica ex art. 81.1 CE. Ahora bien, nada lleva a concluir que también en el caso presente nos hallamos ante afectaciones de la libertad que, por su generalidad e intensidad, puedan ser calificadas como “restricciones directas” del derecho fundamental a la libertad personal (art. 17.1 CE).</w:t>
      </w:r>
    </w:p>
    <w:p w:rsidR="0025129F" w:rsidRDefault="0025129F" w:rsidP="0025129F">
      <w:pPr>
        <w:pStyle w:val="TextoNormal"/>
      </w:pPr>
    </w:p>
    <w:p w:rsidR="0025129F" w:rsidRDefault="0025129F" w:rsidP="0025129F">
      <w:pPr>
        <w:pStyle w:val="TextoNormal"/>
      </w:pPr>
      <w:r w:rsidRPr="0025129F">
        <w:rPr>
          <w:rStyle w:val="NumeroAFNegritaCaracter"/>
        </w:rPr>
        <w:t>14</w:t>
      </w:r>
      <w:r>
        <w:t xml:space="preserve">. Empecemos por señalar que el precepto hoy impugnado modifica el régimen de admisión de solicitudes de asilo que figura en una Ley no orgánica, como es la Ley 5/1984, de 26 de marzo. Cierto es que esta Ley responde a un mandato expreso de regulación contenido en el art. 13.4 CE. Pero igualmente cierto es que ninguna norma constitucional exigía que aquella Ley se tramitara y aprobara como orgánica ni, por supuesto, esto sea lo que se deduce del art. 13.4 CE, en el que se remite a la Ley ordinaria la regulación de los términos en que los ciudadanos de otros países y los apátridas podrán gozar del derecho de asilo en España. Sentado lo anterior aún debemos profundizar en si el nuevo párrafo 7.3, incluido en el art. 5 de la Ley 5/1984, soporta una exigencia específica de aprobación con la forma de ley orgánica. Debemos declarar, en este sentido, que el art. 5.7.3 LDA no contiene “restricciones directas” al derecho fundamental enunciado en el art. 17.1 CE, sino restricciones singulares sobre el modo, tiempo y lugar en que determinados extranjeros que intentan asilarse en España gozan de la libertad personal que reconoce la Constitución. Es importante destacar que el art. 18 LDA reconoce a los ya asilados el pleno disfrute del derecho a la libertad sin más restricciones que las posibles “medidas cautelares” previstas en el art. 18.2 LDA, y lo mismo se puede concluir —conforme a los arts. 4.2 y 5.1 LDA— en relación con los extranjeros cuya solicitud de asilo ya ha sido admitida a trámite (de forma expresa o por silencio administrativo). Cabe afirmar, entonces, que el art. 5.7.3 LDA ni desarrolla ni regula de forma directa y general el derecho a la libertad personal de los extranjeros; ni siquiera el derecho a la libertad de un grupo concreto de extranjeros (los solicitantes de asilo en frontera). El art. 5.7.3 LDA impone —en el marco de una regulación eminentemente protectora del extranjero, como es la Ley de Asilo— ciertas limitaciones temporales y espaciales a aquellos extranjeros que se encuentran en una situación provisional de espera perfectamente identificada en la Ley. Se trata de una restricción de la libertad de movimientos —respecto a su pretensión de entrar libremente en España— por un máximo de cuatro días (y a lo sumo dos días más si, inadmitida la solicitud, se paraliza la expulsión del extranjero por medio de una petición de reexamen) que en ningún  caso impide el libre retorno del recurrente a su lugar de procedencia o, en su caso, la marcha hacia un tercer Estado con distinto régimen de entrada. Con lo </w:t>
      </w:r>
      <w:r>
        <w:lastRenderedPageBreak/>
        <w:t>dicho debemos concluir que estamos ante modulaciones provisionales y limitadas a la forma en que ciertos sujetos disfrutan, en circunstancias muy determinadas y no generalizables, de su derecho a la libertad personal.</w:t>
      </w:r>
    </w:p>
    <w:p w:rsidR="0025129F" w:rsidRDefault="0025129F" w:rsidP="0025129F">
      <w:pPr>
        <w:pStyle w:val="TextoNormal"/>
      </w:pPr>
      <w:r>
        <w:t>La regulación del art. 5.7.3. LDA no constituye un desarrollo frontal del derecho a la libertad personal, ni las restricciones que establece suponen una limitación esencial de aquella libertad personal, que son los supuestos en que —de acuerdo con el art.  81.1 CE— se exige reserva de ley orgánica. En tales términos debemos concluir que no es exigible la aprobación del art. 5.7.3 LDA conforme a las exigencias procedimentales propias de la ley orgánica.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presente recurso de inconstitucionalidad.</w:t>
      </w:r>
    </w:p>
    <w:p w:rsidR="0025129F" w:rsidRDefault="0025129F" w:rsidP="0025129F">
      <w:pPr>
        <w:pStyle w:val="TextoNormal"/>
      </w:pPr>
    </w:p>
    <w:p w:rsidR="0025129F" w:rsidRDefault="0025129F" w:rsidP="0025129F">
      <w:pPr>
        <w:pStyle w:val="TextoNormal"/>
      </w:pPr>
      <w:r>
        <w:t>Madrid, a veintisiete de febrero de dos mil dos.</w:t>
      </w:r>
    </w:p>
    <w:p w:rsidR="0025129F" w:rsidRDefault="0025129F" w:rsidP="0025129F">
      <w:pPr>
        <w:pStyle w:val="ParrafoNormal"/>
      </w:pPr>
    </w:p>
    <w:p w:rsidR="0025129F" w:rsidRDefault="0025129F" w:rsidP="0025129F">
      <w:pPr>
        <w:pStyle w:val="TextoNormalNegritaCentrado"/>
        <w:keepNext/>
      </w:pPr>
      <w:r>
        <w:t>Voto particular que formulan los Magistrados don Tomás S. Vives Antón, don Guillermo Jiménez Sánchez y don Javier Delgado Barrio, respecto de la fundamentación jurídica de la Sentencia dictada en el recurso de inconstitucionalidad 2994/94.</w:t>
      </w:r>
    </w:p>
    <w:p w:rsidR="0025129F" w:rsidRDefault="0025129F" w:rsidP="0025129F">
      <w:pPr>
        <w:pStyle w:val="TextoNormalNegritaCentrado"/>
        <w:keepNext/>
      </w:pPr>
    </w:p>
    <w:p w:rsidR="0025129F" w:rsidRDefault="0025129F" w:rsidP="0025129F">
      <w:pPr>
        <w:pStyle w:val="TextoNormal"/>
      </w:pPr>
      <w:r>
        <w:t>1. Sentido del voto que se formula.</w:t>
      </w:r>
    </w:p>
    <w:p w:rsidR="0025129F" w:rsidRDefault="0025129F" w:rsidP="0025129F">
      <w:pPr>
        <w:pStyle w:val="TextoNormal"/>
      </w:pPr>
      <w:r>
        <w:t>Haciendo uso de la facultad atribuida a los Magistrados del Tribunal Constitucional por el apartado 2 del art. 90 LOTC, reflejamos en este Voto particular algunas reflexiones defendidas en la deliberación del Pleno respecto de la fundamentación jurídica sobre la que se basa el fallo de la Sentencia dictada en el recurso de inconstitucionalidad 2994/94.</w:t>
      </w:r>
    </w:p>
    <w:p w:rsidR="0025129F" w:rsidRDefault="0025129F" w:rsidP="0025129F">
      <w:pPr>
        <w:pStyle w:val="TextoNormal"/>
      </w:pPr>
      <w:r>
        <w:t>Estas reflexiones, que no implican un disentimiento respecto del fallo de dicha Sentencia, cuyo contenido dispositivo, al menos en cuanto al resultado de constitucionalidad del precepto, compartimos, se formulan desde luego con el mayor respeto a las opiniones expresadas por la mayoría para fundamentarlo. Pero ese respeto no nos impide dejar constancia de que, de haber admitido la fundamentación adoptada por la mayoría y aceptado, por tanto, que la Ley impugnada establece una restricción de los derechos de libertad proclamados en el art. 17 de la Constitución, habríamos tenido que pronunciarnos por un fallo diferente, al menos en un punto, pues, según doctrina constitucional clara y reiterada, las limitaciones del contenido de los derechos fundamentales son desarrollo de los mismos que ha de ser llevado a cabo mediante Ley Orgánica.</w:t>
      </w:r>
    </w:p>
    <w:p w:rsidR="0025129F" w:rsidRDefault="0025129F" w:rsidP="0025129F">
      <w:pPr>
        <w:pStyle w:val="TextoNormal"/>
      </w:pPr>
      <w:r>
        <w:t>2. La redacción dada al párrafo tercero del apartado séptimo del artículo quinto de la Ley 5/1984, de 26 de marzo, por el apartado octavo del artículo único de la Ley 9/1994, de 19 de mayo, no establece una restricción al derecho a la libertad consagrado en el artículo 17 de la Constitución.</w:t>
      </w:r>
    </w:p>
    <w:p w:rsidR="0025129F" w:rsidRDefault="0025129F" w:rsidP="0025129F">
      <w:pPr>
        <w:pStyle w:val="TextoNormal"/>
      </w:pPr>
      <w:r>
        <w:lastRenderedPageBreak/>
        <w:t>Lo primero que sorprende en la fundamentación adoptada por la mayoría y de la que aquí disentimos es que se afirma que el art. 5.7.3. LDA, objeto específico de la tacha de inconstitucionalidad que se aduce por el Defensor del Pueblo, comporta una restricción de libertad sin llevar a cabo una interpretación cumplida del precepto. Parece darse por sentado que al supuesto de hecho de la norma cuestionada le es de aplicación la doctrina sentada por el Tribunal Europeo de Derechos Humanos en el caso Amuur c. Francia. Sin embargo para extraer tal conclusión es preciso un análisis detenido tanto de la doctrina sentada por el Tribunal Europeo de Derechos Humanos en la referida resolución como del sentido y alcance del precepto impugnado.  Y la Sentencia de que disentimos no hace ni una cosa ni otra.</w:t>
      </w:r>
    </w:p>
    <w:p w:rsidR="0025129F" w:rsidRDefault="0025129F" w:rsidP="0025129F">
      <w:pPr>
        <w:pStyle w:val="TextoNormal"/>
      </w:pPr>
      <w:r>
        <w:t>Comenzando por el análisis de la doctrina del Tribunal Europeo hemos de partir de nuestras Sentencias 174/1999, de 27 de septiembre, y 179/2000, de 26 de junio. En ambos casos se trataba de extranjeros detenidos para expulsión y en ambos dijimos que la situación en que se hallaban “debe ser considerada como una privación de libertad, sin que el hecho de que quepa la posibilidad de que el extranjero pueda voluntariamente abandonar el país” enerve tal conclusión, pues lo cierto es que se halla custodiado por la policía y constreñido a un único espacio limitado y cerrado, lo que conlleva una limitación de su libertad ambulatoria (SSTC 174/1999, FJ 4, y 179/2000, FJ 2).</w:t>
      </w:r>
    </w:p>
    <w:p w:rsidR="0025129F" w:rsidRDefault="0025129F" w:rsidP="0025129F">
      <w:pPr>
        <w:pStyle w:val="TextoNormal"/>
      </w:pPr>
      <w:r>
        <w:t>En el caso Amuur c. Francia se contempla la situación de extranjeros solicitantes de asilo retenidos en la zona internacional de un aeropuerto. “Seguramente”, dice el Tribunal Europeo de Derechos Humanos, “la retención de extranjeros en la zona internacional comporta una restricción de la libertad, pero que no podría ser asimilada del todo a la sufrida en los centros de retención de extranjeros en espera de expulsión o de conducción a la frontera”. Pero esa afirmación presupone la existencia de una “decisión de retención” (§ 43). Al llevarla a cabo la Corte constató que durante la mayor parte del período comprendido entre 9 y 24 de marzo de 1992 “los interesados se encontraron abandonados a sí mismos; colocados bajo una vigilancia policial estricta y constante; no se beneficiaron de ninguna asistencia jurídica y social para cumplir las formalidades de la petición del estatuto de refugiado político hasta el 24 de marzo, fecha en la que una asociación humanitaria informada entretanto de su presencia en la zona les puso en contacto con un Abogado. Por lo demás, ni la duración ni la necesidad de esta retención fueron objeto de control judicial antes del 26 de marzo” (§ 45).</w:t>
      </w:r>
    </w:p>
    <w:p w:rsidR="0025129F" w:rsidRDefault="0025129F" w:rsidP="0025129F">
      <w:pPr>
        <w:pStyle w:val="TextoNormal"/>
      </w:pPr>
      <w:r>
        <w:t xml:space="preserve">Las diferencias del supuesto de hecho que contempla la decisión del Tribunal Europeo con los presupuestos de la legislación española que aquí se examina son notables. Comienzan porque la norma impugnada no prevé y, por tanto, no autoriza una actuación del Estado que ordene y controle la permanencia del solicitante de asilo en el puesto fronterizo; sino que, al disponer que permanecerá en el puesto fronterizo, según especifica el art. 20.1 b) del Reglamento, “exclusivamente al efecto de que se le notifique la resolución recaída sobre su solicitud, hasta un plazo máximo de 72 horas desde la presentación de la misma”, se limita a realizar una indicación a efectos de facilitar la tramitación del expediente que no resulta obligatoria para el peticionario de asilo. Y continúan porque, según establece el art. 19.2 del Reglamento, “el funcionario del Cuerpo Nacional de Policía responsable o, en su caso, de la Oficina de Asilo y Refugio, ante quien se formulara una petición de asilo, informará al interesado de sus derechos en los términos establecidos en el artículo 5 del presente Reglamento, y facilitará al interesado un formulario para solicitar asilo con arreglo al artículo 8.2, así como asistencia letrada e intérprete en los términos del artículo 8.4”.  De modo que, de una parte, la norma impugnada no autoriza ninguna clase de actuación de los poderes públicos españoles en orden a la restricción de la libertad del </w:t>
      </w:r>
      <w:r>
        <w:lastRenderedPageBreak/>
        <w:t>peticionario de asilo. Y, de otra, tomando en consideración la situación de constreñimiento en que puede hallarse el peticionario de asilo, sí contiene un serie de medidas dirigidas a que su dignidad y derechos no queden menoscabados. Eso es lo que puede afirmarse en el plano normativo, único que nos corresponde tomar en consideración en el marco de un recurso de inconstitucionalidad, interpretando el precepto impugnado, al que se contrae el objeto de este proceso, según la Constitución y el contexto reglamentario que lo desarrolla y sin perjuicio de lo que de hecho ocurra en los casos a los que es de aplicación.</w:t>
      </w:r>
    </w:p>
    <w:p w:rsidR="0025129F" w:rsidRDefault="0025129F" w:rsidP="0025129F">
      <w:pPr>
        <w:pStyle w:val="TextoNormal"/>
      </w:pPr>
      <w:r>
        <w:t>Así entendida, la regulación establecida en la redacción dada al párrafo tercero del apartado séptimo del artículo quinto de la Ley 5/1984, de 26 de marzo, por el apartado octavo del artículo único de la Ley 9/1994, de 19 de mayo, no supone una imposición coactiva de los poderes públicos de España de una restricción de libertad a los solicitantes de asilo. La doctrina sentada por el Tribunal Europeo de Derechos Humanos en el caso Amuur c. Francia contempla un supuesto que, en aspectos esenciales, difiere del presupuesto de la norma aquí cuestionada y no puede, por consiguiente, recibir el mismo tratamiento. El precepto impugnado no comporta ninguna actuación por parte de los poderes públicos españoles que, por acción u omisión, suponga una privación o restricción de libertad: al solicitante de asilo únicamente se le impide la entrada en territorio español hasta tanto sea admitida a trámite su solicitud o se den las condiciones exigidas por la Ley para permitirle tal entrada, lo que como limitación a la libertad de circular que es, no afecta a la libertad individual reconocida en el art. 17 CE y 5 del Convenio de Roma (Caso Amuur c. Francia, § 42).</w:t>
      </w:r>
    </w:p>
    <w:p w:rsidR="0025129F" w:rsidRDefault="0025129F" w:rsidP="0025129F">
      <w:pPr>
        <w:pStyle w:val="TextoNormal"/>
      </w:pPr>
      <w:r>
        <w:t>3. Al no incidir sobre el derecho a la libertad reconocido en el art. 17 CE la regulación contenida en la redacción dada al párrafo tercero del apartado séptimo del artículo quinto de la Ley 5/1984, de 26 de marzo, por el apartado octavo del artículo único de la Ley 9/1994, de 19 de mayo, no requiere ser establecida por una Ley Orgánica.</w:t>
      </w:r>
    </w:p>
    <w:p w:rsidR="0025129F" w:rsidRDefault="0025129F" w:rsidP="0025129F">
      <w:pPr>
        <w:pStyle w:val="TextoNormal"/>
      </w:pPr>
      <w:r>
        <w:t>Como consecuencia de lo anteriormente indicado, la regulación contenida en la redacción dada al párrafo tercero del apartado séptimo del artículo quinto de la Ley 5/1984, de 26 de marzo, por el apartado octavo del artículo único de la Ley 9/1994, de 19 de mayo, no requiere ser establecida por una Ley Orgánica. Tal requisito sí sería inexcusable en el caso de que dicha regulación impusiera una “privación o restricción de libertad” subsumible en el concepto o esquema básico al que responde el régimen de garantías estatuido por el art. 17 CE.</w:t>
      </w:r>
    </w:p>
    <w:p w:rsidR="0025129F" w:rsidRDefault="0025129F" w:rsidP="0025129F">
      <w:pPr>
        <w:pStyle w:val="TextoNormal"/>
      </w:pPr>
      <w:r>
        <w:t>En efecto, de acuerdo a lo prevenido por el art. 81.1 CE, las disposiciones “relativas al desarrollo de los derechos fundamentales y de las libertades públicas” habrán de contenerse en Leyes Orgánicas. Y, desde luego, el establecimiento de un régimen que suponga la privación o restricción de libertad de una persona no puede menos que considerarse que incide, y decisivamente, en la configuración del marco en el desarrollo del derecho fundamental a la libertad, porque, indudablemente, limita su contenido, y tanto nuestra doctrina como el propio texto de la Constitución española (el art. 20.4 explicita la relación del “desarrollo” con los “límites”) llevan a la conclusión de que la limitación del contenido de un derecho implica desarrollo del mismo, por lo que no puede imponerse sino por una Ley Orgánica.</w:t>
      </w:r>
    </w:p>
    <w:p w:rsidR="0025129F" w:rsidRDefault="0025129F" w:rsidP="0025129F">
      <w:pPr>
        <w:pStyle w:val="TextoNormal"/>
      </w:pPr>
      <w:r>
        <w:t xml:space="preserve">Pero al no ser, como queda indicado, reconducible al plano del derecho fundamental a la libertad personal tutelado por la normativa establecida en el art. 17 CE, el sistema de restricción de la libertad de acceso al territorio nacional aplicable a los solicitantes de asilo en España no constituye contenido propio (ni posible) de una Ley Orgánica, pues aquí, en el ámbito del art. 19 CE, los extranjeros no son titulares de un derecho fundamental con un </w:t>
      </w:r>
      <w:r>
        <w:lastRenderedPageBreak/>
        <w:t>contenido que la Ley pudiera limitar; sino que es la Ley, junto a los Tratados, la que ex art. 13.1 CE determina el contenido del derecho.</w:t>
      </w:r>
    </w:p>
    <w:p w:rsidR="0025129F" w:rsidRDefault="0025129F" w:rsidP="0025129F">
      <w:pPr>
        <w:pStyle w:val="TextoNormal"/>
      </w:pPr>
      <w:r>
        <w:t>Por ello ha de concluirse que la inclusión del precepto impugnado en una Ley ordinaria es conforme a la Constitución.</w:t>
      </w:r>
    </w:p>
    <w:p w:rsidR="0025129F" w:rsidRDefault="0025129F" w:rsidP="0025129F">
      <w:pPr>
        <w:pStyle w:val="TextoNormal"/>
      </w:pPr>
      <w:r>
        <w:t>Madrid, a veintisiete de febrero de dos mil dos.</w:t>
      </w:r>
    </w:p>
    <w:p w:rsidR="0025129F" w:rsidRDefault="0025129F" w:rsidP="0025129F">
      <w:pPr>
        <w:pStyle w:val="TextoNormal"/>
      </w:pPr>
    </w:p>
    <w:p w:rsidR="0025129F" w:rsidRDefault="0025129F" w:rsidP="0025129F">
      <w:pPr>
        <w:pStyle w:val="TextoNormalNegritaCentrado"/>
        <w:keepNext/>
      </w:pPr>
      <w:r>
        <w:t>Voto particular que suscribe el Magistrado don Pablo Cachón Villar en relación con la Sentencia dictada en el recurso de inconstitucionalidad núm. 2994/94.</w:t>
      </w:r>
    </w:p>
    <w:p w:rsidR="0025129F" w:rsidRDefault="0025129F" w:rsidP="0025129F">
      <w:pPr>
        <w:pStyle w:val="TextoNormalNegritaCentrado"/>
        <w:keepNext/>
      </w:pPr>
    </w:p>
    <w:p w:rsidR="0025129F" w:rsidRDefault="0025129F" w:rsidP="0025129F">
      <w:pPr>
        <w:pStyle w:val="TextoNormal"/>
      </w:pPr>
      <w:r>
        <w:t>El presente Voto particular, que expreso con el máximo respeto para los demás Magistrados que integran el Pleno, se refiere a un concreto extremo de la mencionada Sentencia, según la exposición que sigue.</w:t>
      </w:r>
    </w:p>
    <w:p w:rsidR="0025129F" w:rsidRDefault="0025129F" w:rsidP="0025129F">
      <w:pPr>
        <w:pStyle w:val="TextoNormal"/>
      </w:pPr>
      <w:r>
        <w:t>1. Dice la Sentencia que la norma impugnada —expresada en el párrafo tercero del nuevo apartado 7 del art. 5 de la Ley 5/1984, de 26 de marzo (LDA), añadido por el apartado 8 de la Ley 9/1994, de 19 de mayo— “sólo cobra pleno sentido si se integra su contenido con lo dispuesto en los párrafos 1, 2 y 4 del mismo art. 5.7 LDA” [FJ 1 a)]. Lo dispuesto en tales párrafos sirve para establecer —amén de los efectos del silencio administrativo— el tiempo de permanencia del peticionario de asilo en las “dependencias adecuadas”, que es, según se dice en el FJ 6, de “hasta cuatro días y, en caso de que se pida el reexamen de una solicitud inadmitida a trámite, hasta dos días más” (en realidad, hasta tres días más, si se tiene en cuenta que la petición de reexamen puede solicitarse en el plazo de veinticuatro horas desde la notificación de la resolución de inadmisión a trámite).</w:t>
      </w:r>
    </w:p>
    <w:p w:rsidR="0025129F" w:rsidRDefault="0025129F" w:rsidP="0025129F">
      <w:pPr>
        <w:pStyle w:val="TextoNormal"/>
      </w:pPr>
      <w:r>
        <w:t>Concluye dicho FJ 6 afirmando “el carácter máximo de esos plazos” y señalando que “la supuesta privación de libertad del art. 5.7.3 LDA tiene límites temporales claramente definidos”.  No creo que sea ésta una conclusión acertada, atendiendo a los términos de la Ley, ya que el precepto impugnado también ha de integrarse [para que cobre “pleno sentido”, usando los términos del FJ 1 a)] con el art. 21.2, según la redacción dada por la Ley 9/1994. A ello me refiero seguidamente.</w:t>
      </w:r>
    </w:p>
    <w:p w:rsidR="0025129F" w:rsidRDefault="0025129F" w:rsidP="0025129F">
      <w:pPr>
        <w:pStyle w:val="TextoNormal"/>
      </w:pPr>
      <w:r>
        <w:t>2. Entiendo, a la vista de los términos del texto legal, que la permanencia del peticionario de asilo en las “dependencias adecuadas” puede, en principio, prolongarse de modo indeterminado, más allá de los cuatro o siete días mencionados. Es el caso del peticionario de asilo que recurre en vía contencioso-administrativa contra la resolución denegatoria de su solicitud.  Basta transcribir el texto del art. 21.2: “La interposición por el solicitante del asilo de recurso contencioso-administrativo contra el acto que decida la petición de reexamen a que se refiere el artículo 5.7 suspenderá el acto administrativo cuando el actor así lo haya solicitado y la representación en España del Alto Comisionado de las Naciones Unidas para los refugiados hubiera informado favorablemente la admisión a trámite de la solicitud de asilo”.</w:t>
      </w:r>
    </w:p>
    <w:p w:rsidR="0025129F" w:rsidRDefault="0025129F" w:rsidP="0025129F">
      <w:pPr>
        <w:pStyle w:val="TextoNormal"/>
      </w:pPr>
      <w:r>
        <w:t>Siendo el acto administrativo recurrido la respuesta denegatoria a lo solicitado con la petición de reexamen, es claro –—a mi entender— que la suspensión de dicho acto (suspensión prevista por el transcrito art. 21.2) es la suspensión de la orden de salida o expulsión (efecto propio de la decisión denegatoria de la admisión a trámite de la solicitud de asilo, sin perjuicio de las previsiones del art. 17 de la Ley).</w:t>
      </w:r>
    </w:p>
    <w:p w:rsidR="0025129F" w:rsidRDefault="0025129F" w:rsidP="0025129F">
      <w:pPr>
        <w:pStyle w:val="TextoNormal"/>
      </w:pPr>
      <w:r>
        <w:t xml:space="preserve">Pues bien, al no decir más el texto de la Ley –—y ateniéndonos a sus términos— la consecuencia, una vez suspendido el efecto de expulsión, sería que el peticionario recurrente habría de continuar en las “dependencias adecuadas” en tanto no se resolviese el </w:t>
      </w:r>
      <w:r>
        <w:lastRenderedPageBreak/>
        <w:t>recurso contencioso-administrativo, y ello por tiempo indeterminado por ser desconocida la duración del recurso. Es evidente que tal situación no se corresponde con la doctrina de este Tribunal que, en relación con el art. 17 CE para supuestos de restricción de libertad excluyentes de la detención preventiva, se expone en la Sentencia: la expresada indeterminación temporal no se adecúa a las exigencias, entre otras, de proporcionalidad y limitación en el tiempo contenidas en dicha doctrina.</w:t>
      </w:r>
    </w:p>
    <w:p w:rsidR="0025129F" w:rsidRDefault="0025129F" w:rsidP="0025129F">
      <w:pPr>
        <w:pStyle w:val="TextoNormal"/>
      </w:pPr>
      <w:r>
        <w:t>La obligada adecuación de la Ley a las previsiones constitucionales exige algo más. No es suficiente la posibilidad de acudir al proceso de habeas corpus, pues éste elimina una previa situación de inconstitucionalidad; pero precisamente se trata de evitar que se genere una situación contraria a la Constitución. Por otra parte, nada prevé el precepto sobre la intervención de la autoridad judicial en tal situación. Ninguna otra previsión establece la Ley.</w:t>
      </w:r>
    </w:p>
    <w:p w:rsidR="0025129F" w:rsidRDefault="0025129F" w:rsidP="0025129F">
      <w:pPr>
        <w:pStyle w:val="TextoNormal"/>
      </w:pPr>
      <w:r>
        <w:t>No cabe señalar –—a mi entender— que estas consideraciones quedan fuera de lugar en el contexto de este recurso por razón de no haber sido objeto del mismo el precitado art. 21. Si estas consideraciones se hacen es porque entiendo, como ya he señalado, que el precepto impugnado “cobra pleno sentido” integrándolo no sólo con los párrafos 1, 2 y 4 del art. 5.7 (como se hace en la Sentencia) sino también con dicho art. 21.2.</w:t>
      </w:r>
    </w:p>
    <w:p w:rsidR="0025129F" w:rsidRDefault="0025129F" w:rsidP="0025129F">
      <w:pPr>
        <w:pStyle w:val="TextoNormal"/>
      </w:pPr>
      <w:r>
        <w:t>3. De la exposición precedente parece que ha de concluirse, en principio, que el precepto cuestionado es inconstitucional: concretamente, en la medida en que no prevé –—aun integrándolo con los demás preceptos de la Ley— una solución acorde con las exigencias constitucionales para situaciones como las contempladas en el precitado art. 21.2.</w:t>
      </w:r>
    </w:p>
    <w:p w:rsidR="0025129F" w:rsidRDefault="0025129F" w:rsidP="0025129F">
      <w:pPr>
        <w:pStyle w:val="TextoNormal"/>
      </w:pPr>
      <w:r>
        <w:t>Ahora bien, antes de adoptar una conclusión definitiva hemos de examinar la normativa reglamentaria de desarrollo de la Ley. Me refiero al Real Decreto 203/1995, de 10 de febrero, por el que se aprueba el Reglamento de aplicación de la Ley 5/1984, de 26 de marzo, reguladora del derecho de asilo y de la condición de refugiado, modificada por la Ley 9/1994, de 19 de mayo.  Estimo que son precisamente tales previsiones normativas las que salvan la constitucionalidad de la legalidad vigente sobre la materia en el particular objeto del presente examen, según expongo a continuación.</w:t>
      </w:r>
    </w:p>
    <w:p w:rsidR="0025129F" w:rsidRDefault="0025129F" w:rsidP="0025129F">
      <w:pPr>
        <w:pStyle w:val="TextoNormal"/>
      </w:pPr>
      <w:r>
        <w:t>4. Dispone el art. 39.2 del Reglamento lo siguiente: “Cuando el ACNUR hubiera informado favorablemente la admisión a trámite de una solicitud de asilo en frontera y el solicitante manifestase su intención de interponer recurso contencioso-administrativo contra la inadmisión, deberá expresarlo por escrito en documento que se adjuntará al expediente. En este supuesto, se autorizará la entrada del solicitante en el territorio y su permanencia hasta tanto el órgano jurisdiccional competente resuelva sobre la suspensión del acto administrativo”.</w:t>
      </w:r>
    </w:p>
    <w:p w:rsidR="0025129F" w:rsidRDefault="0025129F" w:rsidP="0025129F">
      <w:pPr>
        <w:pStyle w:val="TextoNormal"/>
      </w:pPr>
      <w:r>
        <w:t>Añade dicho precepto que, “transcurrido el plazo de dos meses sin que se hubiera interpuesto el recurso contencioso-administrativo contra la inadmisión a trámite por parte del interesado, se aplicarán los efectos de la misma previstos en el art. 23”.  Es oportuno señalar que este art. 23, amén de remitirse al art. 17 de la Ley, prevé la posibilidad de permanencia en España del solicitante de asilo no admitido, concurriendo determinados supuestos (reunir los requisitos exigidos por la legislación general de extranjería, apreciación de razones humanitarias o de interés público).</w:t>
      </w:r>
    </w:p>
    <w:p w:rsidR="0025129F" w:rsidRDefault="0025129F" w:rsidP="0025129F">
      <w:pPr>
        <w:pStyle w:val="TextoNormal"/>
      </w:pPr>
      <w:r>
        <w:t xml:space="preserve">Las disposiciones del art. 39.2 del Reglamento (me refiero a las transcritas en el primer párrafo de este apartado cuarto, que son las que interesan al presente examen) constituyen, respecto de las previsiones del art. 21.2 de la Ley, un desarrollo acorde con los principios constitucionales. Mas interesa destacar que los escuetos términos de este precepto legal –—me refiero al mencionado art. 21.2— ni son por sí solos adecuados a las exigencias de </w:t>
      </w:r>
      <w:r>
        <w:lastRenderedPageBreak/>
        <w:t>la Constitución (como ya queda indicado) ni de suyo abocan necesariamente al expresado desarrollo reglamentario.</w:t>
      </w:r>
    </w:p>
    <w:p w:rsidR="0025129F" w:rsidRDefault="0025129F" w:rsidP="0025129F">
      <w:pPr>
        <w:pStyle w:val="TextoNormal"/>
      </w:pPr>
      <w:r>
        <w:t>5. Por todo ello era necesario, a mi entender, para afirmar la constitucionalidad del precepto cuestionado (art. 5.7, párrafo tercero, de la Ley 5/1984) proceder en los siguientes términos, lo que no ha hecho la Sentencia: a) en primer lugar, integrarlo, entre otros preceptos, con las previsiones del art. 21.2 de la Ley; b) en segundo lugar, y respecto de las situaciones generadas por la aplicación de este último precepto, hacer una interpretación conforme, en la que se incluyese la referencia a la normativa reglamentaria vigente que lo desarrolla, a que acabo de referirme.</w:t>
      </w:r>
    </w:p>
    <w:p w:rsidR="0025129F" w:rsidRDefault="0025129F" w:rsidP="0025129F">
      <w:pPr>
        <w:pStyle w:val="TextoNormal"/>
      </w:pPr>
      <w:r>
        <w:t>Con lo expuesto suscribo el presente Voto particular en Madrid, a veintisiete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7" w:name="SENTENCIA_2002_54"/>
      <w:r>
        <w:lastRenderedPageBreak/>
        <w:t>SENTENCIA 54/2002, de 27 de febrero de 2002</w:t>
      </w:r>
    </w:p>
    <w:bookmarkEnd w:id="57"/>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80, de 3 de abril de 2002)</w:t>
      </w:r>
    </w:p>
    <w:p w:rsidR="0025129F" w:rsidRDefault="0025129F" w:rsidP="0025129F">
      <w:pPr>
        <w:pStyle w:val="TtuloBOE"/>
      </w:pPr>
    </w:p>
    <w:p w:rsidR="0025129F" w:rsidRDefault="0025129F" w:rsidP="0025129F">
      <w:pPr>
        <w:pStyle w:val="SntesisDescriptiva"/>
      </w:pPr>
      <w:r>
        <w:t>ECLI:ES:TC:2002:54</w:t>
      </w:r>
    </w:p>
    <w:p w:rsidR="0025129F" w:rsidRDefault="0025129F" w:rsidP="0025129F">
      <w:pPr>
        <w:pStyle w:val="SntesisDescriptiva"/>
      </w:pPr>
    </w:p>
    <w:p w:rsidR="0025129F" w:rsidRDefault="0025129F" w:rsidP="0025129F">
      <w:pPr>
        <w:pStyle w:val="SntesisDescriptiva"/>
      </w:pPr>
      <w:r>
        <w:t>Recurso de inconstitucionalidad 3550/1998. Promovido por el Presidente del Gobierno de la Nación contra el artículo único, apartado 1, de la Ley del Parlamento Vasco 11/1998, de 20 de abril, que modificó la Ley de participación de la comunidad en las plusvalías generadas por la acción urbanística.</w:t>
      </w:r>
    </w:p>
    <w:p w:rsidR="0025129F" w:rsidRDefault="0025129F" w:rsidP="0025129F">
      <w:pPr>
        <w:pStyle w:val="SntesisDescriptiva"/>
      </w:pPr>
    </w:p>
    <w:p w:rsidR="0025129F" w:rsidRDefault="0025129F" w:rsidP="0025129F">
      <w:pPr>
        <w:pStyle w:val="SntesisAnaltica"/>
      </w:pPr>
      <w:r>
        <w:t>Competencias sobre urbanismo y derecho de propiedad: cesión del aprovechamiento urbanístico en suelo urbano consolidado (Sentencia 164/2001). Nulidad del precepto autonómico.</w:t>
      </w:r>
    </w:p>
    <w:p w:rsidR="0025129F" w:rsidRDefault="0025129F" w:rsidP="0025129F">
      <w:pPr>
        <w:pStyle w:val="SntesisAnaltica"/>
      </w:pPr>
    </w:p>
    <w:p w:rsidR="0025129F" w:rsidRDefault="0025129F" w:rsidP="0025129F">
      <w:pPr>
        <w:pStyle w:val="Extracto"/>
      </w:pPr>
      <w:r>
        <w:t>1.</w:t>
      </w:r>
      <w:r>
        <w:tab/>
        <w:t>La disposición vasca impugnada, que impone el deber de cesión de aprovechamiento urbanístico a todos los propietarios de suelo urbano, sin distinción alguna entre el suelo «consolidado» y el «no consolidado» por la urbanización, contradice las «condiciones básicas» contenidas en una Ley dictada por el Estado al amparo del art. 149.1.1 CE [FJ 5].</w:t>
      </w:r>
    </w:p>
    <w:p w:rsidR="0025129F" w:rsidRDefault="0025129F" w:rsidP="0025129F">
      <w:pPr>
        <w:pStyle w:val="Extracto"/>
      </w:pPr>
    </w:p>
    <w:p w:rsidR="0025129F" w:rsidRDefault="0025129F" w:rsidP="0025129F">
      <w:pPr>
        <w:pStyle w:val="Extracto"/>
      </w:pPr>
      <w:r>
        <w:t>2.</w:t>
      </w:r>
      <w:r>
        <w:tab/>
        <w:t>Las normas estatales de «condiciones básicas» ya fueron enjuiciadas por este Tribunal en la Sentencia 164/2001 (FFJJ 20 y 19) [FJ 4].</w:t>
      </w:r>
    </w:p>
    <w:p w:rsidR="0025129F" w:rsidRDefault="0025129F" w:rsidP="0025129F">
      <w:pPr>
        <w:pStyle w:val="Extracto"/>
      </w:pPr>
    </w:p>
    <w:p w:rsidR="0025129F" w:rsidRDefault="0025129F" w:rsidP="0025129F">
      <w:pPr>
        <w:pStyle w:val="Extracto"/>
      </w:pPr>
      <w:r>
        <w:t>3.</w:t>
      </w:r>
      <w:r>
        <w:tab/>
        <w:t>La singularidad constitucional de las «condiciones básicas» (del art. 149.1.1 CE) no impide considerarlas como normas delimitadoras de los ámbitos competenciales del Estado y las Comunidades Autónomas (STC 173/1998) [FJ 3].</w:t>
      </w:r>
    </w:p>
    <w:p w:rsidR="0025129F" w:rsidRDefault="0025129F" w:rsidP="0025129F">
      <w:pPr>
        <w:pStyle w:val="Extracto"/>
      </w:pPr>
    </w:p>
    <w:p w:rsidR="0025129F" w:rsidRDefault="0025129F" w:rsidP="0025129F">
      <w:pPr>
        <w:pStyle w:val="Extracto"/>
      </w:pPr>
      <w:r>
        <w:t>4.</w:t>
      </w:r>
      <w:r>
        <w:tab/>
        <w:t>Resulta conveniente enmarcar el precepto vasco cuestionado en el contexto reciente de la legislación de suelo del Estado y del ordenamiento urbanístico de la propia Comunidad Autónoma [FJ 2].</w:t>
      </w:r>
    </w:p>
    <w:p w:rsidR="0025129F" w:rsidRDefault="0025129F" w:rsidP="0025129F">
      <w:pPr>
        <w:pStyle w:val="Extracto"/>
      </w:pPr>
    </w:p>
    <w:p w:rsidR="0025129F" w:rsidRDefault="0025129F" w:rsidP="0025129F">
      <w:pPr>
        <w:pStyle w:val="Extracto"/>
      </w:pPr>
      <w:r>
        <w:t>5.</w:t>
      </w:r>
      <w:r>
        <w:tab/>
        <w:t>Nuestro fallo ha de restringirse a declarar la inconstitucionalidad y nulidad de aquella parte inválida del precepto legal impugnado (SSTC 45/1989, 235/1999) [ FJ 7].</w:t>
      </w:r>
    </w:p>
    <w:p w:rsidR="0025129F" w:rsidRDefault="0025129F" w:rsidP="0025129F">
      <w:pPr>
        <w:pStyle w:val="Extracto"/>
      </w:pPr>
    </w:p>
    <w:p w:rsidR="0025129F" w:rsidRDefault="0025129F" w:rsidP="0025129F">
      <w:pPr>
        <w:pStyle w:val="Extracto"/>
      </w:pPr>
      <w:r>
        <w:t>6.</w:t>
      </w:r>
      <w:r>
        <w:tab/>
        <w:t>La declaración de invalidez de un precepto legal, por vulneración del orden constitucional de competencias, no puede ser a costa de un sacrificio desproporcionado en la efectividad de otras normas constitucionales [FJ 8].</w:t>
      </w:r>
    </w:p>
    <w:p w:rsidR="0025129F" w:rsidRDefault="0025129F" w:rsidP="0025129F">
      <w:pPr>
        <w:pStyle w:val="Extracto"/>
      </w:pPr>
    </w:p>
    <w:p w:rsidR="0025129F" w:rsidRDefault="0025129F" w:rsidP="0025129F">
      <w:pPr>
        <w:pStyle w:val="Extracto"/>
      </w:pPr>
      <w:r>
        <w:t>7.</w:t>
      </w:r>
      <w:r>
        <w:tab/>
        <w:t>El principio de seguridad jurídica (art. 9.3 CE) reclama la intangibilidad de las situaciones jurídicas consolidadas; no sólo las decididas con fuerza de cosa juzgada, sino también las situaciones administrativas firmes (SSTC 45/1989, 180/2000), 289/2000) [FJ 9].</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lastRenderedPageBreak/>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inconstitucionalidad núm. 3550/98, interpuesto por el Presidente del Gobierno de la Nación contra el art. único, apartado 1, de la Ley del Parlamento Vasco 11/1998, de 20 de abril. Han intervenido el Letrado del Parlamento Vasco y el Letrado de los Servicios Jurídicos Centrales de la Administración de la Comunidad Autónoma del País Vasco. Ha sido Ponente la Magistrada doña Elisa Pérez Vera, quien expresa el parecer del Tribunal.</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el día 30 de julio de 1998 en el Registro de este Tribunal, el Abogado del Estado interpuso recurso de inconstitucionalidad contra el art. único, apartado 1, de la Ley del Parlamento Vasco 11/1998, de 20 de abril, de modificación de la Ley 3/1997, de 25 de abril, por la que se determina la participación de la comunidad en las plusvalías generadas por la acción urbanística.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Comienza el Abogado del Estado precisando los límites de la competencia estatal ex art. 149.1.1 CE. A tal fin se remite a la doctrina de la STC 61/1997, FFJJ 9 y 10. De la mencionada Sentencia resultaría, a juicio del Letrado impugnante, que el art. 149.1.1 CE abarca la competencia estatal para fijar las condiciones básicas que aseguren la igualdad de los españoles en el disfrute de la propiedad urbana y en el cumplimiento en los deberes inherentes a la propiedad del suelo. Al fin igualador dispuesto en el art. 149.1.1 CE servirían dos preceptos de la Ley 6/1998, de 13 de abril, sobre régimen del suelo y valoraciones (en adelante, LRSV): </w:t>
      </w:r>
    </w:p>
    <w:p w:rsidR="0025129F" w:rsidRDefault="0025129F" w:rsidP="0025129F">
      <w:pPr>
        <w:pStyle w:val="TextoNormal"/>
      </w:pPr>
      <w:r>
        <w:t xml:space="preserve">a) De un lado, el art. 14 LRSV igualaría a los propietarios de suelo urbano en dos grupos: los que son titulares de suelo urbano consolidado y aquellos cuyo suelo aún no está consolidado por la urbanización. Para todos los propietarios de suelo urbano consolidado habría dispuesto el art. 14 LRSV la inexistencia de deberes de cesión de aprovechamiento urbanístico; en cambio, la propiedad del suelo urbano no consolidado soportaría un deber de cesión de hasta el 10 por 100 del aprovechamiento urbanístico. La explicación de este régimen diferenciado estaría en que sólo en el suelo aún no consolidado existirían propiamente plusvalías derivadas de la acción urbanística pública. </w:t>
      </w:r>
    </w:p>
    <w:p w:rsidR="0025129F" w:rsidRDefault="0025129F" w:rsidP="0025129F">
      <w:pPr>
        <w:pStyle w:val="TextoNormal"/>
      </w:pPr>
      <w:r>
        <w:lastRenderedPageBreak/>
        <w:t>b) Por otro lado, también el art. 28 LRSV, referido a las valoraciones del suelo, sería expresión de la competencia estatal de igualación ex art. 149.1.1 CE, sin perjuicio de que las valoraciones también sean reconducibles —en los términos de la STC 61/1997— a la competencia estatal sobre expropiación forzosa enunciada en el art. 149.1.18 CE. Destaca el Abogado del Estado que el mencionado art. 28 LRSV distingue, a efectos de valoraciones urbanísticas, entre el suelo urbano consolidado por la urbanización y el suelo urbano en el que aún no concurre esta última circunstancia.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Tras las precisiones en torno al art. 149.1.1 CE y a los preceptos estatales de “condiciones básicas” en que se concreta, el Abogado del Estado pasa a comparar lo dispuesto en los arts. 14 y 28 LRSV con lo establecido en el art. único, apartado 1, de la Ley del Parlamento Vasco 11/1998. De esa comparación concluye que el precepto vasco impugnado no respeta la distinción, a efectos de deberes y valoraciones urbanísticas, entre suelo urbano consolidado y no consolidado (por la urbanización) que contienen los arts. 14 y 28 LRSV. De esta forma, el precepto vasco habría impuesto un deber de cesión de aprovechamiento urbanístico (del 10 por 100) en todo el suelo urbano, cuando el art. 14 LRSV había limitado ese deber de cesión al suelo urbano no consolidado. De otro lado, también el precepto vasco habría infringido el art. 28 LRSV. Este precepto establece, a juicio del Letrado, que en la valoración del suelo urbano consolidado ha de integrarse la totalidad del aprovechamiento urbanístico otorgado por el plan; en opinión del mismo Letrado esta previsión sería infringida al reducir el precepto vasco impugnado un 10 por 100 del valor de esa clase de suelo. Esta conclusión sería aún más clara en los casos de rehabilitación urbanística en suelo urbano consolidado. </w:t>
      </w:r>
    </w:p>
    <w:p w:rsidR="0025129F" w:rsidRDefault="0025129F" w:rsidP="0025129F">
      <w:pPr>
        <w:pStyle w:val="TextoNormal"/>
      </w:pPr>
      <w:r>
        <w:t>Finalmente, el Abogado del Estado invoca el art. 161.2 CE para la suspensión de eficacia del precepto en cuestión.</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19 de agosto de 1998, se acordó admitir a trámite el recurso de inconstitucionalidad núm. 3550/98 y, en su consecuencia, en aplicación del art. 34 LOTC, dar traslado de la demanda y documentos presentados al Congreso de los Diputados y al Senado, así como al Gobierno y Parlamento vascos, por conducto de sus Presidentes, a fin de que en el plazo común de quince días pudieran personarse y hacer las alegaciones que estimasen convenientes. En la misma providencia se acordó tener por invocado el art. 161.2 CE, con el efecto establecido en el art. 30 LOTC, que consiste en la suspensión de vigencia del precepto impugnado desde la fecha de interposición del recurso (30 de julio de 1998) para las partes, y desde su publicación en el “Boletín Oficial del Estado” para los terceros. Por último, se acordó publicar la incoación del recurso y la suspensión acordada en el “Boletín Oficial del Estado” y en el del País Vasco.</w:t>
      </w:r>
    </w:p>
    <w:p w:rsidR="0025129F" w:rsidRDefault="0025129F" w:rsidP="0025129F">
      <w:pPr>
        <w:pStyle w:val="TextoNormal"/>
      </w:pPr>
    </w:p>
    <w:p w:rsidR="0025129F" w:rsidRDefault="0025129F" w:rsidP="0025129F">
      <w:pPr>
        <w:pStyle w:val="TextoNormal"/>
      </w:pPr>
      <w:r w:rsidRPr="0025129F">
        <w:rPr>
          <w:rStyle w:val="NumeroAFNegritaCaracter"/>
        </w:rPr>
        <w:t>5</w:t>
      </w:r>
      <w:r>
        <w:t>. Mediante escrito registrado el 3 de septiembre de 1998, el Letrado de los Servicios Jurídicos Centrales de la Administración de la Comunidad Autónoma del País Vasco solicitó una prórroga en el plazo para formular alegaciones. A esta petición siguió la providencia de 7 de septiembre de 1998 en la que se concedía una prórroga de ocho días en el mencionado plazo.</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Letrado de la Administración del País Vasco interpuso, por escrito registrado el 4 de septiembre de 1998, recurso de súplica contra la providencia de este Tribunal de 19 de agosto de 1998 en la medida en que extendía la suspensión ex art. 161.2 CE a todo el art. </w:t>
      </w:r>
      <w:r>
        <w:lastRenderedPageBreak/>
        <w:t>único, apartado 1, de la Ley del Parlamento Vasco 11/1998, siendo lo cierto que aquel precepto exige cesiones de aprovechamiento en todo el suelo urbano (tanto el consolidado como el no consolidado) y ninguna controversia se ha planteado en relación con la exigencia de cesiones de aprovechamiento urbanístico en el suelo urbano no consolidado; en consecuencia, el Letrado recurrente en súplica pedía que se excluyera de la suspensión de vigencia y aplicación la referencia del precepto impugnado al suelo urbano no consolidado. Por providencia de 7 de septiembre de 1998 se concedió al Abogado del Estado y a la representación procesal del Parlamento Vasco un plazo de tres días para formular alegaciones en relación con el mencionado recurso de súplica. El Abogado del Estado, en escrito registrado el 10 de septiembre de 1998, rectificó un error material advertido en su escrito de impugnación y, seguidamente, se opuso a lo pedido en el recurso de súplica, toda vez que el efecto suspensivo procedería directamente del art. 161.2 CE, que lo extiende a todo el precepto impugnado, con independencia de los concretos términos de la controversia.</w:t>
      </w:r>
    </w:p>
    <w:p w:rsidR="0025129F" w:rsidRDefault="0025129F" w:rsidP="0025129F">
      <w:pPr>
        <w:pStyle w:val="TextoNormal"/>
      </w:pPr>
    </w:p>
    <w:p w:rsidR="0025129F" w:rsidRDefault="0025129F" w:rsidP="0025129F">
      <w:pPr>
        <w:pStyle w:val="TextoNormal"/>
      </w:pPr>
      <w:r w:rsidRPr="0025129F">
        <w:rPr>
          <w:rStyle w:val="NumeroAFNegritaCaracter"/>
        </w:rPr>
        <w:t>7</w:t>
      </w:r>
      <w:r>
        <w:t>. El 10 de septiembre de 1998 tuvo entrada en este Tribunal un escrito remitido por el Letrado del Parlamento Vasco en el que, luego de personarse, pedía —conforme al art. 34.2 LOTC— prórroga del plazo para formular alegaciones en el recurso de inconstitucionalidad. Por providencia de 11 de septiembre de 1998, se tuvo por personado al Letrado del Parlamento Vasco y se le concedió una prórroga de ocho días para formular alegaciones. Posteriormente, por providencia de 8 de octubre de 1998 se concedió un nuevo plazo de alegaciones —de tres días— al Letrado del Parlamento Vasco. Finalmente, por Auto de 11 de noviembre de 1998 el Pleno del Tribunal Constitucional desestimó el recurso de súplica interpuesto en relación con la suspensión de vigencia y aplicación derivada del art. 161.2 CE.</w:t>
      </w:r>
    </w:p>
    <w:p w:rsidR="0025129F" w:rsidRDefault="0025129F" w:rsidP="0025129F">
      <w:pPr>
        <w:pStyle w:val="TextoNormal"/>
      </w:pPr>
    </w:p>
    <w:p w:rsidR="0025129F" w:rsidRDefault="0025129F" w:rsidP="0025129F">
      <w:pPr>
        <w:pStyle w:val="TextoNormal"/>
      </w:pPr>
      <w:r w:rsidRPr="0025129F">
        <w:rPr>
          <w:rStyle w:val="NumeroAFNegritaCaracter"/>
        </w:rPr>
        <w:t>8</w:t>
      </w:r>
      <w:r>
        <w:t>. Por escrito registrado el 16 de septiembre de 1998, el Presidente del Congreso de los Diputados comunicó al Tribunal que la Cámara no se personaría en el procedimiento, ni formularía alegaciones.</w:t>
      </w:r>
    </w:p>
    <w:p w:rsidR="0025129F" w:rsidRDefault="0025129F" w:rsidP="0025129F">
      <w:pPr>
        <w:pStyle w:val="TextoNormal"/>
      </w:pPr>
    </w:p>
    <w:p w:rsidR="0025129F" w:rsidRDefault="0025129F" w:rsidP="0025129F">
      <w:pPr>
        <w:pStyle w:val="TextoNormal"/>
      </w:pPr>
      <w:r w:rsidRPr="0025129F">
        <w:rPr>
          <w:rStyle w:val="NumeroAFNegritaCaracter"/>
        </w:rPr>
        <w:t>9</w:t>
      </w:r>
      <w:r>
        <w:t>. Por medio de escrito que tuvo su entrada en este Tribunal el 17 de septiembre de 1998, el Presidente del Senado solicitó la personación de aquella Cámara en el presente proceso y ofreció su colaboración a los efectos del art. 88.1 LOTC.</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Las alegaciones del Parlamento Vasco fueron registradas en este Tribunal el 25 de septiembre de 1998. En ellas se sostiene la conformidad constitucional del precepto impugnado, con un razonamiento que gira en torno a dos ejes: contestación de las premisas interpretativas erróneas, a juicio del Letrado del Parlamento Vasco, de las que parte el Abogado del Estado; y cuestionamiento de la legislación estatal con la que se contrasta el precepto vasco. En concreto, el escrito se desarrolla como sigue: </w:t>
      </w:r>
    </w:p>
    <w:p w:rsidR="0025129F" w:rsidRDefault="0025129F" w:rsidP="0025129F">
      <w:pPr>
        <w:pStyle w:val="TextoNormal"/>
      </w:pPr>
      <w:r>
        <w:t xml:space="preserve">a) A juicio del Letrado del Parlamento Vasco, el Abogado del Estado parte del error de considerar que en el suelo urbano consolidado por la urbanización no existen plusvalías urbanísticas, razón por la cual estaría justificada la inexistencia de un deber de cesión de aprovechamiento urbanístico. Sostiene el Letrado del Parlamento Vasco que la “acción urbanística” generadora de plusvalías, a la que se refiere el art. 47 CE, comprende el planeamiento urbanístico, y así resultaba con toda claridad del art. 2 de la Ley del Suelo de 1956 y de los arts. 2 y 3 del texto refundido de la Ley del Suelo de 1992. Dado que el contenido urbanístico de la propiedad del suelo depende de lo que en cada momento disponga </w:t>
      </w:r>
      <w:r>
        <w:lastRenderedPageBreak/>
        <w:t xml:space="preserve">el planeamiento urbanístico, el simple mantenimiento de las determinaciones del plan, aun sin obra alguna de urbanización, llevaría implícita la asignación de plusvalías urbanísticas a los propietarios de suelo urbano consolidado por la urbanización. En consecuencia, concluye el Letrado del Parlamento Vasco, es errónea la conclusión de que en suelo urbano consolidado no hay plusvalías urbanísticas en las que, por haber sido creadas por la acción pública, debe participar la comunidad en los términos del art. 47 CE. </w:t>
      </w:r>
    </w:p>
    <w:p w:rsidR="0025129F" w:rsidRDefault="0025129F" w:rsidP="0025129F">
      <w:pPr>
        <w:pStyle w:val="TextoNormal"/>
      </w:pPr>
      <w:r>
        <w:t xml:space="preserve">b) También contesta el Letrado del Parlamento Vasco la asimilación que —a su juicio— realiza el Abogado del Estado entre determinación y valoración fiscal del aprovechamiento urbanístico. De ahí que no sea adecuada, a juicio de ese Letrado, la confrontación entre una norma sobre aprovechamiento urbanístico (como el precepto vasco impugnado) y una norma estatal sobre valoraciones del suelo (como el art. 28 LRSV). No contesta el Letrado del Parlamento Vasco la conexión entre fijación y valoración del aprovechamiento urbanístico en cada clase de suelo, expresamente enunciada en la STC 61/1997, FJ 20 a), pero niega que ambas funciones públicas referidas al aprovechamiento urbanístico lleguen a confundirse. A juicio del Letrado del Parlamento Vasco, la cuantificación del aprovechamiento urbanístico es una tarea propiamente urbanística que se concreta en tres fases: fijación de “condiciones básicas” (que sería competencia del Estado ex art. 149.1.1 CE); modulaciones de aquellas “condiciones básicas” y selección de las técnicas urbanísticas para la cuantificación del aprovechamiento, que correspondería a cada Comunidad Autónoma; y decisiones concretas de planeamiento urbanístico. Bien distinta de la anterior sería la valoración (fiscal) del aprovechamiento urbanístico previamente delimitado, tarea ésta reconducible a la competencia estatal sobre expropiación forzosa (art. 149.1.18 CE). </w:t>
      </w:r>
    </w:p>
    <w:p w:rsidR="0025129F" w:rsidRDefault="0025129F" w:rsidP="0025129F">
      <w:pPr>
        <w:pStyle w:val="TextoNormal"/>
      </w:pPr>
      <w:r>
        <w:t>c) El Letrado del Parlamento Vasco también cuestiona la interpretación que de los supuestos de rehabilitación urbanística (expresamente referidos en el precepto impugnado) hace el Abogado del Estado. A juicio del Letrado del Parlamento Vasco, la norma impugnada no distingue entre rehabilitación voluntaria y obligatoria; el precepto se limita a especificar que hay deber de cesión de aprovechamiento urbanístico cuando en el edificio en proceso de rehabilitación concurre un aumento de aprovechamiento.</w:t>
      </w:r>
    </w:p>
    <w:p w:rsidR="0025129F" w:rsidRDefault="0025129F" w:rsidP="0025129F">
      <w:pPr>
        <w:pStyle w:val="TextoNormal"/>
      </w:pPr>
    </w:p>
    <w:p w:rsidR="0025129F" w:rsidRDefault="0025129F" w:rsidP="0025129F">
      <w:pPr>
        <w:pStyle w:val="TextoNormal"/>
      </w:pPr>
      <w:r w:rsidRPr="0025129F">
        <w:rPr>
          <w:rStyle w:val="NumeroAFNegritaCaracter"/>
        </w:rPr>
        <w:t>11</w:t>
      </w:r>
      <w:r>
        <w:t>. Tras las precisiones anteriores, dirigidas a combatir las premisas impugnatorias del Abogado del Estado, el Letrado del Parlamento Vasco sostiene que la inexistencia de deber de cesión de aprovechamiento urbanístico en suelo urbano consolidado (conforme a la Ley estatal 6/1998) es contraria al orden constitucional de competencias, por dos razones: Primero, porque la distinción misma entre suelo urbano consolidado y no consolidado es netamente urbanística y a los meros efectos de gestión o ejecución, por lo que se trataría de un ámbito vedado a la legislación estatal; en este sentido el Letrado del Parlamento Vasco expone la evolución normativa de la distinción urbanística (a efectos de gestión) entre actuaciones sistemáticas (esto es, por medio de polígonos o unidades de ejecución) y actuaciones asistemáticas (parcela a parcela, sin unidades de ejecución); y dado que la distinción entre suelo urbano consolidado y no consolidado expresaría la distinción urbanística entre actuaciones asistemáticas o sistemáticas en suelo urbano, el Letrado concluye que la distinción contenida en la Ley 6/1998 es inconstitucional. De otro lado también sostiene el Letrado del Parlamento Vasco que la Ley 6/1998, en la medida en que impide la recuperación de plusvalías urbanísticas en suelo urbano consolidado, estaría impidiendo todo margen normativo autonómico, lo que excedería de la competencia estatal definida en el art. 149.1.1 CE, en los términos que resultan de la STC 61/1997, FJ 17 c).</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12</w:t>
      </w:r>
      <w:r>
        <w:t>. El 25 de septiembre de 1998 fue registrado en este Tribunal el escrito de alegaciones formulado por el Letrado de los Servicios Jurídicos Centrales de la Administración de la Comunidad Autónoma del País Vasco. Este escrito es prácticamente idéntico, párrafo por párrafo, al redactado por el Letrado del Parlamento Vasco. Insiste ahora el Letrado del Gobierno Vasco en que el art. 14.1 LRSV excede de la competencia estatal ex art. 149.1.1 CE, por lo que no puede servir de canon para enjuiciar el precepto legal vasco hoy impugnado.</w:t>
      </w:r>
    </w:p>
    <w:p w:rsidR="0025129F" w:rsidRDefault="0025129F" w:rsidP="0025129F">
      <w:pPr>
        <w:pStyle w:val="TextoNormal"/>
      </w:pPr>
    </w:p>
    <w:p w:rsidR="0025129F" w:rsidRDefault="0025129F" w:rsidP="0025129F">
      <w:pPr>
        <w:pStyle w:val="TextoNormal"/>
      </w:pPr>
      <w:r w:rsidRPr="0025129F">
        <w:rPr>
          <w:rStyle w:val="NumeroAFNegritaCaracter"/>
        </w:rPr>
        <w:t>13</w:t>
      </w:r>
      <w:r>
        <w:t>. Por providencia de 10 de noviembre de 1998 se acordó oír a las partes personadas en relación con el mantenimiento o levantamiento de la suspensión de vigencia y aplicación del precepto impugnado. El Abogado del Estado pidió, por medio de escrito registrado en este Tribunal el 17 de noviembre de 1998, el mantenimiento de la suspensión que afectaba al art. único, apartado 1, de la Ley del Parlamento Vasco 11/1998. Por medio de escrito presentado el 18 de noviembre de 1998 el Letrado del Parlamento Vasco se adhirió a lo pedido por el Gobierno Vasco. Esta referencia ha de entenderse hecha al escrito formulado por el Letrado de la Administración de la Comunidad Autónoma del País Vasco registrado el día 19 de noviembre de 1999 y en el que se pedía el alzamiento —total o parcial— de la suspensión que afectaba al precepto vasco impugnado. El Pleno del Tribunal acordó, por Auto de 15 de diciembre de 1998, levantar la suspensión de vigencia del mencionado precepto.</w:t>
      </w:r>
    </w:p>
    <w:p w:rsidR="0025129F" w:rsidRDefault="0025129F" w:rsidP="0025129F">
      <w:pPr>
        <w:pStyle w:val="TextoNormal"/>
      </w:pPr>
    </w:p>
    <w:p w:rsidR="0025129F" w:rsidRDefault="0025129F" w:rsidP="0025129F">
      <w:pPr>
        <w:pStyle w:val="TextoNormal"/>
      </w:pPr>
      <w:r w:rsidRPr="0025129F">
        <w:rPr>
          <w:rStyle w:val="NumeroAFNegritaCaracter"/>
        </w:rPr>
        <w:t>14</w:t>
      </w:r>
      <w:r>
        <w:t>. Por providencia de 26 de febrero de 2002, se acordó señalar para deliberación y votación de la presente Sentencia el día 27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medio del recurso de inconstitucionalidad núm. 3550/98 el Presidente del Gobierno de la Nación cuestiona la constitucionalidad del art. único, apartado 1, de la Ley del Parlamento Vasco 11/1998, de 20 de abril, de modificación de la Ley 3/1997, de 25 de abril, por la que se determina la participación de la comunidad en las plusvalías generadas por la acción urbanística.  Establece el mencionado precepto lo siguiente: “La participación de la comunidad en las plusvalías generadas por la acción urbanística de los entes públicos se llevará a efecto en la siguiente forma: 1. Los propietarios de suelo urbano deberán ceder obligatoria y gratuitamente al Ayuntamiento el diez por ciento del aprovechamiento urbanístico lucrativo del ámbito correspondiente libre de cargas de urbanización. En el supuesto de obras de rehabilitación, únicamente corresponderá al Ayuntamiento el diez por ciento del incremento del aprovechamiento urbanístico sobre el anteriormente edificado”.</w:t>
      </w:r>
    </w:p>
    <w:p w:rsidR="0025129F" w:rsidRDefault="0025129F" w:rsidP="0025129F">
      <w:pPr>
        <w:pStyle w:val="TextoNormal"/>
      </w:pPr>
      <w:r>
        <w:t xml:space="preserve">A juicio del Abogado del Estado, la disposición vasca impugnada contradice lo dispuesto en dos preceptos de “condiciones básicas” dictados por el Estado al amparo del art.  149.1.1 CE: el art. 14 de la Ley 6/1998, de 13 de abril, sobre régimen del suelo y valoraciones (en adelante, LRSV), relativo a los deberes urbanísticos de los propietarios de suelo urbano, donde se distingue con nitidez entre el suelo urbano “consolidado” y el “no consolidado” por la urbanización; y el art. 28 LRSV, que establece los criterios de valoración del suelo urbano, y donde se vuelve a distinguir entre el suelo urbano “consolidado” y el “no consolidado” por la urbanización. Tanto el Letrado del Parlamento Vasco como el de </w:t>
      </w:r>
      <w:r>
        <w:lastRenderedPageBreak/>
        <w:t>los Servicios Jurídicos Centrales de la Administración de la Comunidad Autónoma del País Vasco defienden la constitucionalidad del precepto impugnado y cuestionan, en cambio, la constitucionalidad de las normas de la LRSV que excluyen todo deber de cesión de aprovechamiento urbanístico en suelo urbano “consolidado”.</w:t>
      </w:r>
    </w:p>
    <w:p w:rsidR="0025129F" w:rsidRDefault="0025129F" w:rsidP="0025129F">
      <w:pPr>
        <w:pStyle w:val="TextoNormal"/>
      </w:pPr>
    </w:p>
    <w:p w:rsidR="0025129F" w:rsidRDefault="0025129F" w:rsidP="0025129F">
      <w:pPr>
        <w:pStyle w:val="TextoNormal"/>
      </w:pPr>
      <w:r w:rsidRPr="0025129F">
        <w:rPr>
          <w:rStyle w:val="NumeroAFNegritaCaracter"/>
        </w:rPr>
        <w:t>2</w:t>
      </w:r>
      <w:r>
        <w:t>. Con carácter previo al enjuiciamiento del precepto impugnado resulta conveniente enmarcar el precepto vasco cuestionado en el contexto reciente de la legislación de suelo del Estado y del ordenamiento urbanístico de la propia Comunidad Autónoma del País Vasco. Este encuadre normativo se va a realizar con un criterio cronológico, enlazando así las normas dictadas por el Estado con las aprobadas por la Comunidad Autónoma del País Vasco. En lo que ahora importa la secuencia legislativa se inicia con la Ley 8/1990, de 25 de julio, sobre reforma del régimen urbanístico y valoraciones del suelo, en cuyo cumplimiento se dictó el Real Decreto Legislativo 1/1992, de 26 de junio, por el que se aprueba el texto refundido de la Ley sobre régimen del suelo y ordenación urbana (en adelante, LS). Este Real Decreto Legislativo asignaba a los propietarios de suelo urbano —sin distinción alguna— el 85 por 100 del aprovechamiento urbanístico correspondiente a sus respectivas fincas (art. 27.1 y 4 LS). Estando impugnado aquel texto refundido ante este Tribunal, el Gobierno dictó el Real Decreto-ley 5/1996, de 7 de junio, por el que se modificaba parcialmente el citado texto refundido de 1992; en lo que ahora importa, el art. 2.1 del Real Decreto-ley 5/1996 establecía lo siguiente: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De forma tal que a una parte de los propietarios de suelo urbano (aquél que, por estar ya transformado no precisaba de actuaciones de ejecución urbanística) se les descargaba del deber de cesión (del 15 por 100 del aprovechamiento urbanístico) que sobre ellos pesaba.</w:t>
      </w:r>
    </w:p>
    <w:p w:rsidR="0025129F" w:rsidRDefault="0025129F" w:rsidP="0025129F">
      <w:pPr>
        <w:pStyle w:val="TextoNormal"/>
      </w:pPr>
      <w:r>
        <w:t>Casi un año después, nuestra STC 61/1997, de 20 de marzo (BOE de 25 de abril), declaró inconstitucional, entre otros muchos preceptos, el art. 27.1 y 4 LS. La declaración de inconstitucionalidad no afectó al Real Decreto-ley 5/1996, no impugnado en aquel proceso constitucional. Pero incluso antes de la publicación de nuestra STC 61/1997 en el “Boletín Oficial del Estado”, las Cortes Generales aprobaron la Ley 7/1997, de 14 de abril, de medidas liberalizadoras en materia de suelo y colegios profesionales (BOE de 15 de abril), cuyo art. 2.1 reproducía íntegramente la exclusión de todo deber de cesión de aprovechamiento urbanístico en suelo urbano no incluido en unidades de ejecución, tal y como había establecido previamente el art. 2.1 del Real Decreto-ley 5/1996.</w:t>
      </w:r>
    </w:p>
    <w:p w:rsidR="0025129F" w:rsidRDefault="0025129F" w:rsidP="0025129F">
      <w:pPr>
        <w:pStyle w:val="TextoNormal"/>
      </w:pPr>
      <w:r>
        <w:t>Una vez publicada nuestra STC 61/1997, de 20 de marzo, el Parlamento Vasco aprobó la Ley 3/1997, de 25 de abril (BOPV de 26 de abril), en cuyo art. único, apartado 1, se establecía: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w:t>
      </w:r>
    </w:p>
    <w:p w:rsidR="0025129F" w:rsidRDefault="0025129F" w:rsidP="0025129F">
      <w:pPr>
        <w:pStyle w:val="TextoNormal"/>
      </w:pPr>
      <w:r>
        <w:t>Al año siguiente el Estado aprobó la Ley 6/1998, de 13 de abril, sobre régimen del suelo y valoraciones (BOE de 14 de abril), en cuyo art. 14.1 únicamente se prevén dos deberes urbanísticos para los propietarios de suelo urbano “consolidado por la urbanización”: completar la urbanización hasta alcanzar la condición de solar; y edificar en plazo. El art. 14.1 LRSV no incluye deber alguno de cesión de aprovechamiento urbanístico, a diferencia del art. 14.2 c) LRSV, donde se impone a los propietarios de suelo urbano “no consolidado por la urbanización” un deber de cesión de —como máximo— el suelo correspon</w:t>
      </w:r>
      <w:r>
        <w:lastRenderedPageBreak/>
        <w:t>diente al 10 por 100 del aprovechamiento urbanístico del correspondiente ámbito. La diferencia de régimen entre el suelo urbano “consolidado” y el “no consolidado” se traslada también a las normas sobre valoraciones expropiatorias del art.  28 LRSV.</w:t>
      </w:r>
    </w:p>
    <w:p w:rsidR="0025129F" w:rsidRDefault="0025129F" w:rsidP="0025129F">
      <w:pPr>
        <w:pStyle w:val="TextoNormal"/>
      </w:pPr>
      <w:r>
        <w:t>Finalmente, el art. único, apartado 1, de la Ley del Parlamento Vasco 11/1998, de 20 de abril (BOPV de 4 de mayo), modificó parcialmente el texto de la Ley 3/1997 y dispuso lo siguiente: “Los propietarios de suelo urbano deberán ceder obligatoria y gratuitamente al Ayuntamiento el diez por ciento del aprovechamiento urbanístico lucrativo del ámbito correspondiente libre de cargas de urbanización. En el supuesto de obras de rehabilitación, únicamente corresponderá al Ayuntamiento el diez por ciento del incremento del aprovechamiento urbanístico sobre el anteriormente edificado”. El precepto recién transcrito, que es el impugnado en este proceso constitucional, impone el deber de cesión de aprovechamiento urbanístico a todos los propietarios de suelo urbano, sin distinción alguna entre el suelo “consolidado” y el “no consolidado” por la urbanización.</w:t>
      </w:r>
    </w:p>
    <w:p w:rsidR="0025129F" w:rsidRDefault="0025129F" w:rsidP="0025129F">
      <w:pPr>
        <w:pStyle w:val="TextoNormal"/>
      </w:pPr>
    </w:p>
    <w:p w:rsidR="0025129F" w:rsidRDefault="0025129F" w:rsidP="0025129F">
      <w:pPr>
        <w:pStyle w:val="TextoNormal"/>
      </w:pPr>
      <w:r w:rsidRPr="0025129F">
        <w:rPr>
          <w:rStyle w:val="NumeroAFNegritaCaracter"/>
        </w:rPr>
        <w:t>3</w:t>
      </w:r>
      <w:r>
        <w:t>. En el recurso de inconstitucionalidad interpuesto por el Abogado del Estado se coteja el precepto vasco cuestionado con dos preceptos de la Ley 6/1998: los arts. 14 y 28 LRSV. En los dos casos considera el Abogado del Estado que se trata de normas de “condiciones básicas” dictadas al amparo del art. 149.1.1 CE. Sin perjuicio de lo que luego se dirá, ninguna objeción hay para que este Tribunal enjuicie la constitucionalidad del art. único, apartado 1, de la Ley del Parlamento Vasco 11/1998 a la luz de dichos preceptos de la LRSV. Cierto es que, como se ha subrayado en las SSTC 61/1997, de 20 de marzo (FFJJ 7 y 8), sobre el texto refundido de la Ley del Suelo de 1992; y 164/2001, de 11 de julio (FJ 5), sobre la Ley 6/1998, las normas de “condiciones básicas” a que se refiere el art. 149.1.1 CE no son propiamente “bases” normativas. Ahora bien, la singularidad constitucional de las “condiciones básicas” (del art. 149.1.1 CE) no impide considerarlas como normas delimitadoras de los ámbitos competenciales del Estado y las Comunidades Autónomas. En la STC 173/1998, de 23 de julio, sobre la Ley vasca de asociaciones, expresamente hizo referencia este Tribunal a que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(FJ 9, párrafo 3). Conforme a lo expuesto, en este proceso constitucional debemos partir de que las normas de “condiciones básicas” completan —en los términos del art. 28.1 LOTC— el canon de constitucionalidad competencial.</w:t>
      </w:r>
    </w:p>
    <w:p w:rsidR="0025129F" w:rsidRDefault="0025129F" w:rsidP="0025129F">
      <w:pPr>
        <w:pStyle w:val="TextoNormal"/>
      </w:pPr>
      <w:r>
        <w:t>Ahora bien, al igual que hemos dicho en relación con las normas básicas, o “bases” [STC 48/1988, de 22 de marzo, FJ 3 d), sobre las Leyes de Cajas de Ahorro de Cataluña y Galicia; y, más recientemente, STC 192/2000, de 13 de julio, FJ 5, en relación con las funciones de los Tribunales Económico-Administrativos de Extremadura], este Tribunal debe, antes de enjuiciar la conformidad de una norma autonómica con una norma de “condiciones básicas” verificar con carácter preliminar si la propia norma estatal es conforme con el orden constitucional de competencias: esto es, si prima facie tiene cobijo en los límites formales y materiales del art. 149.1.1 CE y —complementariamente— si no contiene una injerencia o restricción de la competencia autonómica (STC 164/2001, FJ 4).</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En el caso que nos ocupa, el art. 14.1 LRSV, aducido como canon complementario de constitucionalidad por el Abogado del Estado, ya fue enjuiciado por este Tribunal en la </w:t>
      </w:r>
      <w:r>
        <w:lastRenderedPageBreak/>
        <w:t>STC 164/2001, de 11 de julio, FJ 20. Desde la perspectiva del derecho a la igualdad ya dijimos en aquella ocasión que “la inexistencia de deberes de cesión de suelo (en el urbano consolidado) no constituye discriminación alguna entre personas y por circunstancias subjetivas, que es lo prohibido por el art. 14 CE, sino distintas regulaciones abstractas del derecho de propiedad urbano”. Por otra parte, y desde una perspectiva competencial, también dijimos en aquella ocasión que “para la participación de la comunidad en las plusvalías urbanísticas (mediante la regulación de las condiciones básicas de ejercicio del derecho de propiedad) el Estado dispone de un amplio margen de configuración”; a lo que también añadimos entonces que “el art. 47 CE no impide, en este sentido, que la participación en las plusvalías se concentre en determinadas clases de suelo. De esta forma, la hipotética existencia de plusvalías urbanísticas en suelo urbano consolidado, cuya realidad no corresponde dilucidar a este Tribunal, no excluye a priori una norma estatal que alivie de cesiones de aprovechamiento a sus propietarios”.</w:t>
      </w:r>
    </w:p>
    <w:p w:rsidR="0025129F" w:rsidRDefault="0025129F" w:rsidP="0025129F">
      <w:pPr>
        <w:pStyle w:val="TextoNormal"/>
      </w:pPr>
      <w:r>
        <w:t>También el art. 28 LRSV, donde se regula la valoración expropiatoria del suelo urbano, fue enjuiciado por este Tribunal desde una perspectiva competencial y en razón de su conexión de sentido con el art. 14 LRSV; dijimos en la STC 164/2001, FJ 19, que “contiene el art. 28 LRSV criterios para la valoración del suelo urbano, y para ello distingue entre el consolidado y el no consolidado. El criterio distintivo de la consolidación se encuentra aquí amparado por el art.  149.1.1 CE, sin que en el ejercicio de esa competencia sea evidenciable, según ya se ha dicho, condicionamiento alguno de las competencias urbanísticas autonómicas”. Desde esta perspectiva la utilización de determinadas nociones basadas en la realidad (en el caso concreto, las de suelo “consolidado” y “no consolidado”) como presupuestos de aplicación de ciertas “condiciones básicas” no supone invasión de la competencia material (el urbanismo) sobre la que tales “condiciones” se proyectan. De donde hay que concluir que ambos preceptos son conformes con el orden constitucional de competencias.</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Sentado lo anterior, basta con la lectura del art. único, apartado 1, de la Ley del Parlamento Vasco 11/1998 para concluir que contradice las “condiciones básicas” contenidas en el art. 14 LRSV. En efecto, el art. 14.2 c) LRSV, según se acaba de recordar, únicamente prevé deberes de cesión de aprovechamiento urbanístico en suelo urbano “no consolidado por la urbanización”. En cambio, el art. 14.1 LRSV se limita a establecer, como deberes específicos de los propietarios de terrenos en suelo urbano “consolidado”, el de completar a su costa la urbanización hasta que alcancen la condición de solar y el de edificarlos en los plazos establecidos por el planeamiento. Ello implica, como se razonó en el FJ 20 de la STC 164/2001 que,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De otro lado, todas las partes personadas en este proceso constitucional coinciden en tal interpretación que, en última instancia, resulta también de los antecedentes normativos: tanto el art. 2.1 del Real Decreto-ley 5/1996 como el art.  2.1 de la Ley 7/1997, antecedentes directos del art. 14.1 LRSV, establecían expresamente que a los propietarios de suelo urbano no incluido en unidades de ejecución correspondía todo el aprovechamiento urbanístico proyectable sobre sus fincas (ora el fijado directamente por las normas urbanísticas, ora el resultante de un instrumento de equidistribución como el “área de reparto”). Tenemos, así, que la norma de “condiciones básicas” del art. 14.1 LRSV, dentro del amplio margen de configuración de que dispone el Estado y en línea con las determinaciones expresas de sus antecedentes normativos, </w:t>
      </w:r>
      <w:r>
        <w:lastRenderedPageBreak/>
        <w:t>determina que todos los propietarios de suelo urbano “consolidado” de España patrimonializan el 100 por 100 del aprovechamiento urbanístico correspondiente a cada parcela o solar.</w:t>
      </w:r>
    </w:p>
    <w:p w:rsidR="0025129F" w:rsidRDefault="0025129F" w:rsidP="0025129F">
      <w:pPr>
        <w:pStyle w:val="TextoNormal"/>
      </w:pPr>
      <w:r>
        <w:t>Este régimen uniforme en el disfrute de la propiedad urbana se quiebra en el territorio del País Vasco, donde según el art. único, apartado 1, de la Ley del Parlamente Vasco 11/1998 los propietarios de suelo urbano “consolidado” deben —al igual que los propietarios de suelo urbano “no consolidado”— ceder obligatoria y gratuitamente el 10 por 100 del aprovechamiento asignado a sus parcelas o solares (o, en el caso de obras de rehabilitación, el 10 por 100 del incremento de aprovechamiento urbanístico).</w:t>
      </w:r>
    </w:p>
    <w:p w:rsidR="0025129F" w:rsidRDefault="0025129F" w:rsidP="0025129F">
      <w:pPr>
        <w:pStyle w:val="TextoNormal"/>
      </w:pPr>
      <w:r>
        <w:t>Subrayemos aquí que en la estructura normativa del art. 14 LRSV las cesiones obligatorias de aprovechamiento no son un mínimo superable por cada Comunidad Autónoma sino, justamente, un máximo reducible en cada Comunidad; así resulta claramente del enunciado literal del art. 14.2 c) LRSV. En este sentido, la exclusión de toda cesión obligatoria de aprovechamiento urbanístico en el suelo urbano “consolidado” no admite modalización alguna de origen autonómico. Pues si la igualación de todos los propietarios de suelo urbano “consolidado” reside tanto en los deberes positivos a que se ha hecho referencia como en la inexistencia de deberes de cesión de aprovechamiento urbanístico —y sentado que aquélla es una opción estatal válida, según razonamos en el FJ 4—, la imposición de deberes de cesión de aprovechamiento urbanístico por las Comunidades Autónomas frustraría el fin igualador buscado por los arts.  149.1.1 CE y 14.1 LRSV. Con lo expuesto en nada se cuestionan ni limitan, claro es, las competencias de cada Comunidad Autónoma para precisar, en su ámbito territorial y “en los límites de la realidad” qué debe entenderse por suelo urbano “consolidado” (STC 164/2001, FFJJ 19 y 20), ni cuál sea la fórmula de determinación del aprovechamiento urbanístico que rija en su territorio (STC 164/2001, FJ 22).</w:t>
      </w:r>
    </w:p>
    <w:p w:rsidR="0025129F" w:rsidRDefault="0025129F" w:rsidP="0025129F">
      <w:pPr>
        <w:pStyle w:val="TextoNormal"/>
      </w:pPr>
    </w:p>
    <w:p w:rsidR="0025129F" w:rsidRDefault="0025129F" w:rsidP="0025129F">
      <w:pPr>
        <w:pStyle w:val="TextoNormal"/>
      </w:pPr>
      <w:r w:rsidRPr="0025129F">
        <w:rPr>
          <w:rStyle w:val="NumeroAFNegritaCaracter"/>
        </w:rPr>
        <w:t>6</w:t>
      </w:r>
      <w:r>
        <w:t>. El Gobierno de la Nación también había denunciado en el recurso de inconstitucionalidad la contradicción del art. único, apartado 1, de la Ley del Parlamento Vasco 11/1998 respecto del art. 28 LRSV. Como quedó expuesto más arriba (FJ 2), el art. 28 LRSV establece el método de valoración del suelo urbano, distinguiendo entre el “consolidado” y el “no consolidado”. Ahora bien, frente a lo pretendido por el Abogado del Estado, el art. 28 LRSV nada dispone ni sobre la titularidad ni sobre la cuantía del aprovechamiento urbanístico objeto de valoración. Los diferentes métodos de valoración contenidos en el art. 28 LRSV sirven — en el contexto de actuaciones expropiatorias— para traducir en dinero el aprovechamiento urbanístico correspondiente al titular de cada finca, pero nada establecen sobre cuál sea ese aprovechamiento urbanístico ni sobre qué parte corresponde al propietario y cuál otra debe ser cedida al Municipio. En estos términos es claro que el precepto hoy impugnado, que establece la cuantía del aprovechamiento urbanístico correspondiente a los propietarios de suelo urbano “consolidado”, en nada contradice otro precepto (el art. 28.3 LRSV) que fija el procedimiento o método para la valoración —a efectos expropiatorios— de aquel aprovechamiento urbanístico. Ha de concluirse, pues, que el precepto impugnado no contradice el art. 28 LRSV.</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Llegados a este punto se hacen necesarias varias precisiones sobre las consecuencias a que debe llevar el juicio de inconstitucionalidad anunciado en el fundamento jurídico 5 supra. El punto de partida en el presente caso es que la declaración de inconstitucionalidad debe conducir también a la de nulidad, conforme al criterio general sentado por el art. 39.1 </w:t>
      </w:r>
      <w:r>
        <w:lastRenderedPageBreak/>
        <w:t>LOTC. Ahora bien, tal declaración de nulidad debe ser precisada, tanto en cuanto al texto normativo declarado nulo, como en cuanto a sus efectos en el tiempo.</w:t>
      </w:r>
    </w:p>
    <w:p w:rsidR="0025129F" w:rsidRDefault="0025129F" w:rsidP="0025129F">
      <w:pPr>
        <w:pStyle w:val="TextoNormal"/>
      </w:pPr>
      <w:r>
        <w:t>En relación con el primer punto empecemos por precisar el alcance de la declaración de nulidad sobre la disposición legal impugnada. Según ha quedado señalado, el art. único, apartado 1, de la Ley del Parlamento Vasco 11/1998 somete al régimen de cesiones de aprovechamiento todo el suelo urbano, tanto el “consolidado” como el “no consolidado” por la urbanización. Por consiguiente, la declaración de inconstitucionalidad sólo alcanza al precepto descrito en tanto comprende al suelo urbano “consolidado”; el resto del precepto (el deber de cesión de aprovechamiento urbanístico en el suelo urbano “no consolidado”) no ha sido ni impugnado ni enjuiciado por este Tribunal. Dado que sólo una de las dos normas contenidas en el precepto vasco de referencia es contraria al orden constitucional de competencias, nuestro fallo ha de restringirse, necesariamente, a declarar la inconstitucionalidad y nulidad de aquella parte inválida del precepto legal impugnado. Así lo ha hecho este Tribunal en anteriores ocasiones, como en la STC 45/1989, de 20 de febrero (FJ 11), relativa a la Ley del impuesto sobre la renta de las personas físicas; en la STC 87/1991, de 25 de abril (FJ 8), sobre la Ley de procedimiento laboral de 1980; en la STC 235/1999, de 16 de diciembre (FJ 12), sobre la Ley de disciplina e intervención de las entidades de crédito; o, también en relación con normas urbanísticas, en la STC 11/1999, de 11 de febrero (FJ 5), sobre la Ley asturiana de disciplina urbanística.</w:t>
      </w:r>
    </w:p>
    <w:p w:rsidR="0025129F" w:rsidRDefault="0025129F" w:rsidP="0025129F">
      <w:pPr>
        <w:pStyle w:val="TextoNormal"/>
      </w:pPr>
    </w:p>
    <w:p w:rsidR="0025129F" w:rsidRDefault="0025129F" w:rsidP="0025129F">
      <w:pPr>
        <w:pStyle w:val="TextoNormal"/>
      </w:pPr>
      <w:r w:rsidRPr="0025129F">
        <w:rPr>
          <w:rStyle w:val="NumeroAFNegritaCaracter"/>
        </w:rPr>
        <w:t>8</w:t>
      </w:r>
      <w:r>
        <w:t>. También es necesario, en segundo lugar, delimitar el alcance de la declaración de nulidad del art. único, apartado 1, de la Ley del Parlamento Vasco 11/1998, en la medida en que impone deberes de cesión de aprovechamiento urbanístico en suelo urbano “consolidado”. La declaración de nulidad de una norma legal —a lo que se refiere el art.  39.1 LOTC— ha de tenerse por una forma adecuada de reparación o superación de la situación de inconstitucionalidad constatada y declarada por este Tribunal, cuyo efecto inmediato es que el precepto inconstitucional y nulo quede definitivamente expulsado del ordenamiento jurídico (STC 19/1987, de 17 de febrero, FJ 6) y que, por lo mismo, resulte inaplicable desde que la declaración de nulidad se publica en el “Boletín Oficial del Estado” (STC 45/1989, de 20 de febrero, FJ 11).</w:t>
      </w:r>
    </w:p>
    <w:p w:rsidR="0025129F" w:rsidRDefault="0025129F" w:rsidP="0025129F">
      <w:pPr>
        <w:pStyle w:val="TextoNormal"/>
      </w:pPr>
      <w:r>
        <w:t>Ahora bien, la declaración de nulidad no ha de presentar siempre y necesariamente el mismo alcance. En efecto, la vigencia simultánea de los diversos preceptos constitucionales nos exige que, al determinar el alcance de la declaración de nulidad de una Ley, prestemos también atención a las consecuencias que esa misma declaración de nulidad puede proyectar sobre los diversos bienes constitucionales. Así, en el caso que nos ocupa, la declaración de invalidez de un precepto legal, por vulneración del orden constitucional de competencias, no puede ser a costa de un sacrificio desproporcionado en la efectividad de otras normas constitucionales. Por ello, más allá de la consecuencia inmediata de la declaración de nulidad, esto es, la inaplicación a nuevos supuestos, el Tribunal Constitucional debe ponderar qué consecuencias adicionales puede contener la declaración de nulidad para evitar que resulten injustificadamente perjudicados otros bienes constitucionales.</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En el asunto que nos ocupa debemos traer a colación, a la hora de precisar el alcance en el tiempo de nuestra declaración de nulidad,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w:t>
      </w:r>
      <w:r>
        <w:lastRenderedPageBreak/>
        <w:t>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En efecto, al igual que dijimos en las SSTC 45/1989, de 20 de febrero (FJ 11), 180/2000, de 29 de junio (FJ 7), sobre la Ley riojana 2/1993, de presupuestos, y 289/2000, de 30 de noviembre (FJ 7), sobre Ley balear reguladora del impuesto sobre instalaciones que incidan en el medio ambiente, entre otras, el principio de seguridad jurídica (art. 9.3 CE) reclama la intangibilidad de las situaciones jurídicas consolidadas; no sólo las decididas con fuerza de cosa juzgada, sino también las situaciones administrativas firmes. Esta conclusión se refuerza si se tiene en cuenta, además, que dotar de eficacia ex tunc a nuestra declaración de nulidad distorsionaría gravemente la actividad de gestión urbanística desarrollada al amparo de la norma que se declara inconstitucional, tanto por los Municipios vascos como por los particulares, transcendiendo, incluso, las previsibles consecuencias económicas adversas que la revisión de las cesiones obligatorias ya firmes supondrían para los Municipios, con el consiguiente riesgo de quiebra del principio de suficiencia financiera de las Haciendas locales a que se refiere el art. 142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Declarar la inconstitucionalidad y nulidad del art. único, apartado 1, de la Ley del Parlamento Vasco 11/1998, de 20 de abril, de modificación de la Ley 3/1997, de 25 de abril, sólo en la medida en que establece para los propietarios de suelo urbano consolidado por la urbanización un deber de cesión del 10 por 100 del aprovechamiento urbanístico lucrativo o, en el supuesto de obras de rehabilitación, el 10 por 100 del incremento del aprovechamiento urbanístico. Esta declaración de nulidad tendrá los efectos señalados en el fundamento jurídico 9.</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veintisiete de febrero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8" w:name="SENTENCIA_2002_55"/>
      <w:r>
        <w:lastRenderedPageBreak/>
        <w:t>SENTENCIA 55/2002, de 11 de marzo de 2002</w:t>
      </w:r>
    </w:p>
    <w:bookmarkEnd w:id="58"/>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ECLI:ES:TC:2002:55</w:t>
      </w:r>
    </w:p>
    <w:p w:rsidR="0025129F" w:rsidRDefault="0025129F" w:rsidP="0025129F">
      <w:pPr>
        <w:pStyle w:val="SntesisDescriptiva"/>
      </w:pPr>
    </w:p>
    <w:p w:rsidR="0025129F" w:rsidRDefault="0025129F" w:rsidP="0025129F">
      <w:pPr>
        <w:pStyle w:val="SntesisDescriptiva"/>
      </w:pPr>
      <w:r>
        <w:t>Recurso de amparo 3502/1997. Promovido por don Oswaldo García Bielsa frente a Auto de aclaración dictado por la Audiencia Provincial de Tarragona en un juicio de faltas por accidente de tráfico.</w:t>
      </w:r>
    </w:p>
    <w:p w:rsidR="0025129F" w:rsidRDefault="0025129F" w:rsidP="0025129F">
      <w:pPr>
        <w:pStyle w:val="SntesisDescriptiva"/>
      </w:pPr>
    </w:p>
    <w:p w:rsidR="0025129F" w:rsidRDefault="0025129F" w:rsidP="0025129F">
      <w:pPr>
        <w:pStyle w:val="SntesisAnaltica"/>
      </w:pPr>
      <w:r>
        <w:t>Vulneración del derecho a la tutela judicial efectiva (inmodificabilidad de las resoluciones judiciales firmes): alteración de los intereses legales debidos por el Consorcio de Compensación de Seguros.</w:t>
      </w:r>
    </w:p>
    <w:p w:rsidR="0025129F" w:rsidRDefault="0025129F" w:rsidP="0025129F">
      <w:pPr>
        <w:pStyle w:val="SntesisAnaltica"/>
      </w:pPr>
    </w:p>
    <w:p w:rsidR="0025129F" w:rsidRDefault="0025129F" w:rsidP="0025129F">
      <w:pPr>
        <w:pStyle w:val="Extracto"/>
      </w:pPr>
      <w:r>
        <w:t>1.</w:t>
      </w:r>
      <w:r>
        <w:tab/>
        <w:t>El Auto que aclara la Sentencia de la Audiencia Provincial reconoce que no se trata de un error material manifiesto, sino «conceptual». Pues bien, con independencia de lo bienintencionada que pueda haber sido la actuación del órgano judicial, es lo cierto que la rectificación llevada a cabo entraña una nueva operación de valoración, interpretación o apreciación del Derecho, que excede de los límites del art. 267 LOPJ y vulnera el derecho a la tutela judicial efectiva [FJ 4].</w:t>
      </w:r>
    </w:p>
    <w:p w:rsidR="0025129F" w:rsidRDefault="0025129F" w:rsidP="0025129F">
      <w:pPr>
        <w:pStyle w:val="Extracto"/>
      </w:pPr>
    </w:p>
    <w:p w:rsidR="0025129F" w:rsidRDefault="0025129F" w:rsidP="0025129F">
      <w:pPr>
        <w:pStyle w:val="Extracto"/>
      </w:pPr>
      <w:r>
        <w:t>2.</w:t>
      </w:r>
      <w:r>
        <w:tab/>
        <w:t>Tampoco puede admitirse que el Auto impugnado haya servido para preservar el carácter subsidiario del  recurso de amparo [FJ 5].</w:t>
      </w:r>
    </w:p>
    <w:p w:rsidR="0025129F" w:rsidRDefault="0025129F" w:rsidP="0025129F">
      <w:pPr>
        <w:pStyle w:val="Extracto"/>
      </w:pPr>
    </w:p>
    <w:p w:rsidR="0025129F" w:rsidRDefault="0025129F" w:rsidP="0025129F">
      <w:pPr>
        <w:pStyle w:val="Extracto"/>
      </w:pPr>
      <w:r>
        <w:t>3.</w:t>
      </w:r>
      <w:r>
        <w:tab/>
        <w:t>Doctrina constitucional sobre intangibilidad, invariabilidad o inmodificabilidad de las resoluciones judiciales [FJ 2].</w:t>
      </w:r>
    </w:p>
    <w:p w:rsidR="0025129F" w:rsidRDefault="0025129F" w:rsidP="0025129F">
      <w:pPr>
        <w:pStyle w:val="Extracto"/>
      </w:pPr>
    </w:p>
    <w:p w:rsidR="0025129F" w:rsidRDefault="0025129F" w:rsidP="0025129F">
      <w:pPr>
        <w:pStyle w:val="Extracto"/>
      </w:pPr>
      <w:r>
        <w:t>4.</w:t>
      </w:r>
      <w:r>
        <w:tab/>
        <w:t>El llamado recurso de aclaración (arts. 267 LOPJ y 161 LECrim) no permite alterar los elementos esenciales de la decisión judicial, debiendo limitarse a la función específica reparadora para la que se ha establecido (SSTC 69/2000, 216/2000)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3502/97, interpuesto por don Oswaldo García Bielsa, representado por el Procurador don César de Frías Benito y asistido por el Letrado don José Antonio Jiménez González, contra el Auto de 20 de junio de 1997, dictado por la Sección Tercera de la Audiencia Provincial de Tarragona, constituida en tribunal unipersonal, en aclaración de la Sentencia de 12 de junio de 1997 del mismo órgano judicial, que, a su vez, había resuelto los recursos de apelación formulados contra la Sentencia del Juzgado de Instrucción núm. 5 de Tarragona de 25 de enero de 1997, recaída en el juicio de faltas núm. 53/94. Ha sido parte "AGF- Unión Fénix, S.A.", representada por el Procurador don Antonio del Castillo-Olivares Cebrián y defendida por el Letrado don José María Morales. Han comparecido y formulado alegaciones el Abogado del Estado y el Ministerio Fiscal.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 de agosto de 1997, el Procurador de los Tribunales don César de Frías Benito, actuando en nombre y representación de don Oswaldo García Bielsa, interpuso recurso de amparo constitucional contra la resolución judicial de la que se hace mérito en el encabezamiento de la presente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 amparo se basa sustancialmente en los hechos que seguidamente se relacionan. </w:t>
      </w:r>
    </w:p>
    <w:p w:rsidR="0025129F" w:rsidRDefault="0025129F" w:rsidP="0025129F">
      <w:pPr>
        <w:pStyle w:val="TextoNormal"/>
      </w:pPr>
      <w:r>
        <w:t xml:space="preserve">a) A raíz de un accidente de tráfico acaecido el 1 de agosto de 1993 en el que resultó lesionado el ahora solicitante de amparo, se celebró el correspondiente juicio de faltas, tramitado con el núm. 53/94, que dio lugar a la Sentencia del Juzgado de Instrucción núm. 5 de Tarragona de 25 de enero de 1997, cuya parte dispositiva es del tenor literal siguiente: "Que debo condenar y condeno a Francisco Conde Barahona como autor responsable de una falta de imprudencia simple con resultado de lesiones y daños a la pena de cincuenta mil pesetas de multa, sufriendo en caso de impago diez días de arresto sustitutorio, retención temporal del permiso de conducir por un mes y pago de costas; y debo acordar y acuerdo diferir la cuestión civil a la jurisdicción correspondiente, con reserva de las acciones civiles a los perjudicados, a fin de que, una vez se resuelva el procedimiento penal seguido por el delito de falsedad, puedan éstos ejercitar la oportuna acción". </w:t>
      </w:r>
    </w:p>
    <w:p w:rsidR="0025129F" w:rsidRDefault="0025129F" w:rsidP="0025129F">
      <w:pPr>
        <w:pStyle w:val="TextoNormal"/>
      </w:pPr>
      <w:r>
        <w:t xml:space="preserve">b) Frente a esta resolución judicial se formuló recurso de apelación por las representaciones procesales de la mercantil "AGF-Unión Fénix, S.A."; de don Oswaldo García Bielsa, don Manuel García Gargallo y doña María Luisa Bielsa; del Instituto Catalán de la Salud; y de don Francisco Conde Barahona. </w:t>
      </w:r>
    </w:p>
    <w:p w:rsidR="0025129F" w:rsidRDefault="0025129F" w:rsidP="0025129F">
      <w:pPr>
        <w:pStyle w:val="TextoNormal"/>
      </w:pPr>
      <w:r>
        <w:t xml:space="preserve">A su vez, el Abogado del Estado Sustituto, actuando en nombre y representación del Consorcio de Compensación de Seguros, se adhirió a los siguientes recursos: a) al interpuesto por "AGF-Unión Fénix, S.A.", en lo referente a la forma de producirse el siniestro y a la valoración de las secuelas padecidas por el Sr. García Bielsa; b) al interpuesto por don Oswaldo García Bielsa, en relación con la existencia de contrato de seguro entre la entidad "AGF-Unión Fénix, S.A." y el Sr. Conde; c) al interpuesto por don Francisco Conde Barahona, respecto de la forma de producirse el accidente; y d) al interpuesto por el Instituto Catalán de la Salud, en cuanto a la responsabilidad civil de "AGF-Unión Fénix, </w:t>
      </w:r>
      <w:r>
        <w:lastRenderedPageBreak/>
        <w:t xml:space="preserve">S.A.". Concluyó su escrito solicitando se dicte Sentencia "en la que se exonere de cualquier tipo de responsabilidad al Consorcio de Compensación de Seguros". </w:t>
      </w:r>
    </w:p>
    <w:p w:rsidR="0025129F" w:rsidRDefault="0025129F" w:rsidP="0025129F">
      <w:pPr>
        <w:pStyle w:val="TextoNormal"/>
      </w:pPr>
      <w:r>
        <w:t xml:space="preserve">Por su parte la "Mutua Pelayo de Seguros" se adhirió al recurso presentado por don Oswaldo García Bielsa, don Manuel García Gargallo y doña María Luisa Bielsa, impugnando los interpuestos por la mercantil "AGF-Unión Fénix, S.A." y por don Francisco Conde Barahona. </w:t>
      </w:r>
    </w:p>
    <w:p w:rsidR="0025129F" w:rsidRDefault="0025129F" w:rsidP="0025129F">
      <w:pPr>
        <w:pStyle w:val="TextoNormal"/>
      </w:pPr>
      <w:r>
        <w:t xml:space="preserve">c) Con fecha 12 de junio de 1997 la Sección Tercera de la Audiencia Provincial de Tarragona, constituida en tribunal unipersonal, dictó Sentencia resolutoria de todos estos recursos, tramitados en el rollo de apelación núm. 65/97. </w:t>
      </w:r>
    </w:p>
    <w:p w:rsidR="0025129F" w:rsidRDefault="0025129F" w:rsidP="0025129F">
      <w:pPr>
        <w:pStyle w:val="TextoNormal"/>
      </w:pPr>
      <w:r>
        <w:t xml:space="preserve">En lo pertinente a los fines del presente proceso de amparo interesa reproducir el fundamento jurídico octavo. Su tenor literal es el siguiente: "Respecto del interés del 20% para el Consorcio de Compensación de Seguros, procede condenar a éste a su pago desde el día del accidente, por cuanto, sin perjuicio de que haya habido dudas de su responsabilidad, lo cierto es que su carácter de garante última de la víctima, su obligación era, desde el momento en que surgieron serias dudas sobre la existencia de Cia. de Seguros, haber pagado o, al menos, consignado. Por otro lado, había indicios más que razonables de que la propuesta con Fénix Peninsular (AGF) podía ser falsa, prueba de lo cual es que hay un procedimiento abreviado sobre la cuestión, y en última instancia la absolución de los acusados no necesariamente implicaría la autenticidad del contrato o propuesta, por lo que sus posibilidades de resultar al final condenado eran bastante altas, por lo que no puede ampararse en la indeterminación de su obligación por no haber, por lo menos, consignado". </w:t>
      </w:r>
    </w:p>
    <w:p w:rsidR="0025129F" w:rsidRDefault="0025129F" w:rsidP="0025129F">
      <w:pPr>
        <w:pStyle w:val="TextoNormal"/>
      </w:pPr>
      <w:r>
        <w:t xml:space="preserve">La parte dispositiva de la Sentencia dice lo siguiente: "Que debo declarar y declaro no haber lugar al recurso de apelación interpuesto por AGF Unión y el Fénix S.A., ni al de Vicente Conde Barahona y Vicente Conde Cuadrado, habiendo lugar a estimar en parte los interpuestos por Oswaldo García Bielsa, Manuel García Gargallo y María Luisa Bielsa, de un lado, I.C.S. de otro, estimando asimismo parcialmente la adhesión de Mutua Pelayo y desestimando la del Abogado del Estado, contra la Sentencia dictada el 25 de enero de 1997, por el Juzgado de Instrucción nº 5 de Tarragona, cuya resolución revoco en parte y, en su consecuencia, debo, confirmando el pronunciamiento penal, condenar a Vicente Conde Barahona a que pague a Oswaldo García Bielsa 21.929.163 pts., al I.C.S. 2.655.520 y al Hospital Clínico de Zaragoza 1.506.470 pts, siendo responsable civil subsidiario Francisco Conde Cuadrado y responsable de forma conjunta y solidaria, dentro de los límites del seguro obligatorio, el Consorcio de Compensación de Seguros, debiendo los condenados satisfacer el interés legal incrementado en dos puntos desde la Sentencia y el Consorcio el 20% desde el 1.8.93, respecto de las cantidades de que responde.- Procede reservar a los perjudicados el derecho de reclamar a AGF-Unión y el Fénix S.A. las diferencias entre las cantidades fijadas y aquellas de las que responde el Consorcio, y a éste el derecho a repetir contra aquélla por las cantidades que satisfaga, en caso de que al final resulte ser aseguradora del condenado.- No procede hacer expresa condena de las costas de la alzada". </w:t>
      </w:r>
    </w:p>
    <w:p w:rsidR="0025129F" w:rsidRDefault="0025129F" w:rsidP="0025129F">
      <w:pPr>
        <w:pStyle w:val="TextoNormal"/>
      </w:pPr>
      <w:r>
        <w:t xml:space="preserve">d) Por escrito presentado el 18 de junio de 1997 la mercantil "AGF-Unión Fénix, S.A.", invocando el art. 267 de la Ley Orgánica del Poder Judicial (LOPJ) y, con carácter subsidiario, el art. 363 de la entonces vigente Ley de Enjuiciamiento Civil, interesó la aclaración de la Sentencia, a fin de que se expresaran los criterios de valoración de las lesiones y secuelas y se precisara el derecho de repetición consignado en el segundo párrafo del fallo antes reproducido. Mediante Auto de 20 de junio de 1997 se rechazó la aclaración. </w:t>
      </w:r>
    </w:p>
    <w:p w:rsidR="0025129F" w:rsidRDefault="0025129F" w:rsidP="0025129F">
      <w:pPr>
        <w:pStyle w:val="TextoNormal"/>
      </w:pPr>
      <w:r>
        <w:t xml:space="preserve">e) Mediante escrito también presentado el 18 de junio de 1997 el Instituto Catalán de la Salud solicitó la aclaración de la meritada Sentencia en el sentido de que se le reservaran </w:t>
      </w:r>
      <w:r>
        <w:lastRenderedPageBreak/>
        <w:t xml:space="preserve">las acciones civiles, al no haberse condenado a la Compañía de Seguros "AGF-Unión Fénix, S.A.", contra la que se había ejercitado la acción civil. Por Auto de fecha 20 de junio de 1997 se declaró que no había lugar a hacer la aclaración interesada. </w:t>
      </w:r>
    </w:p>
    <w:p w:rsidR="0025129F" w:rsidRDefault="0025129F" w:rsidP="0025129F">
      <w:pPr>
        <w:pStyle w:val="TextoNormal"/>
      </w:pPr>
      <w:r>
        <w:t xml:space="preserve">f) Por escrito presentado el 19 de junio de 1997 el Abogado del Estado, invocando al efecto el art. 267 LOPJ, instó asimismo aclaración de la Sentencia en el sentido de que "no será de imposición al Consorcio de Compensación de Seguros el interés del 20% desde la fecha del siniestro, primero porque no ha sido solicitado por ninguna de las partes, y en segundo lugar porque está excluido de forma expresa cuando actúe como fondo de garantía", citando, sobre este último particular, lo dispuesto por la disposición adicional tercera de la Ley Orgánica 3/1989. </w:t>
      </w:r>
    </w:p>
    <w:p w:rsidR="0025129F" w:rsidRDefault="0025129F" w:rsidP="0025129F">
      <w:pPr>
        <w:pStyle w:val="TextoNormal"/>
      </w:pPr>
      <w:r>
        <w:t xml:space="preserve">Esta solicitud fue satisfecha por Auto de 20 de junio de 1997, en cuyo fundamento jurídico único se dice lo siguiente: "Aunque el art. 267 LOPJ está pensado para aclarar conceptos oscuros o rectificar errores materiales manifiestos, procede no obstante realizar la rectificación interesada, pese a tratarse de un error conceptual, motivado por la actual derogación de la citada Disp. Adicional 3ª y su sustitución por la nueva redacción del art. 20 LCS, dado lo evidente del mismo y la conveniencia de evitar demora por recursos en un asunto que ya tiene demasiada antigüedad, debiendo satisfacer el Consorcio el mismo interés que el autor del hecho, debiéndose rechazar la otra alegación, en cuanto sí fue pedido, ya que se pidió subsidiariamente, en defecto de la responsabilidad de AGF, la responsabilidad del Consorcio, que debe serlo en la misma medida que aquella, y siempre dentro de los límites legales, por lo que son estos últimos y no la falta de petición, los que obligan a realizar la rectificación." </w:t>
      </w:r>
    </w:p>
    <w:p w:rsidR="0025129F" w:rsidRDefault="0025129F" w:rsidP="0025129F">
      <w:pPr>
        <w:pStyle w:val="TextoNormal"/>
      </w:pPr>
      <w:r>
        <w:t xml:space="preserve">La parte dispositiva del expresado Auto es del tenor literal siguiente: "Que donde dice 'debiendo los condenados satisfacer el interés legal incrementado en dos puntos desde la sentencia y el Consorcio el 20% desde el 1-8-93, respecto de las cantidades que responde', debe decir 'debiendo los condenados, incluido el Consorcio, responder del interés legal incrementado en dos puntos desde la presente sentencia, respecto de las cantidades por las que cada uno debe responder'". </w:t>
      </w:r>
    </w:p>
    <w:p w:rsidR="0025129F" w:rsidRDefault="0025129F" w:rsidP="0025129F">
      <w:pPr>
        <w:pStyle w:val="TextoNormal"/>
      </w:pPr>
      <w:r>
        <w:t>g) Mediante escrito de 14 de julio de 1997 don Oswaldo García Bielsa solicitó la declaración de "nulidad de pleno derecho de oficio por la Audiencia Provincial del Auto de fecha 20 de junio de 1997, por el cual se da lugar a la modificación del fallo solicitado por el Abogado del Estado, en nombre y representación del Consorcio de Compensación de Seguros, por las razones y motivos indicados en el cuerpo de este escrito, dictándose seguidamente la inmediata firmeza y ejecutividad plena de la Sentencia dictada el día doce de junio de 1997, en todos sus extremos". Por Auto de 22 de julio de 1997 la Audiencia Provincial acordó "inadmitir el escrito de 14 de julio de 1997 presentado por la representación de Oswaldo García Bielsa, instando la nulidad del auto de aclaración de 20 de junio de 1997".</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recurrente denuncia en la demanda de amparo que la rectificación del contenido de la Sentencia de 12 junio de 1997 llevada a cabo mediante el Auto de 20 de junio de 1997 vulnera su derecho a la tutela judicial efectiva (art. 24.1 CE) toda vez que se ha conculcado el principio de intangibilidad de las resoluciones judiciales. En defensa de sus tesis invoca la doctrina elaborada por este Tribunal Constitucional acerca de dicho principio, particularmente en relación con el alcance y naturaleza del denominado recurso de aclaración, extractada en las SSTC 16/1991, de 28 de enero, FJ 3; 82/1995, de 5 de junio, FJ 4 c), y 122/1996, de 8 de julio, FJ 4. El recurrente recuerda que en dichas resoluciones este Tribunal advirtió de que la vía de aclaración no puede utilizarse como remedio de la </w:t>
      </w:r>
      <w:r>
        <w:lastRenderedPageBreak/>
        <w:t>falta de fundamentación de la que pueda adolecer la resolución judicial aclarada, ni tampoco para corregir errores judiciales de calificación jurídica o subvertir las conclusiones probatorias previamente mantenidas. Consecuentemente, solicita de este Tribunal se dicte Sentencia otorgando el amparo solicitado, "decretando la nulidad del Auto de Aclaración de Sentencia de fecha 20 de junio de 1997, dictado por la Sección Tercera de la Audiencia Provincial de Tarragona en Rollo 65/97, dimanante de juicio de faltas 53/94 del Juzgado de Instrucción número 5 de Tarragona, por infracción del principio constitucional de tutela efectiva, restableciendo al recurrente en la integridad de su derecho".</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19 de enero de 1998 la Sección Tercera de este Tribunal acordó admitir a trámite la demanda de amparo y, a tenor de lo dispuesto en el art. 51 LOTC, dirigir atentas comunicaciones a la Sección Tercera de la Audiencia Provincial de Tarragona y al Juzgado de Instrucción núm. 5 de dicha ciudad a fin de que, en plazo que no excediera de diez días, remitieran certificación o fotocopia adverada de las actuaciones correspondientes al rollo de apelación núm. 65/97 y al juicio de faltas núm. 53/94, respectivamente, interesándose al propio tiempo el emplazamiento de quienes habían sido parte en el procedimiento, con excepción del recurrente en amparo, para que en el plazo de diez días pudieran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El 13 de febrero de 1998 tuvo entrada en el Registro General de este Tribunal Constitucional un escrito del Procurador de los Tribunales don Antonio del Castillo-Olivares Cebrián solicitando se le tuviera por comparecido y parte en nombre de "AGF Unión Fénix, S.A.".</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30 de marzo de 1998 la Sección Cuarta de este Tribunal acordó tener por personado y parte al mencionado Procurador en nombre y representación de la compañía "AGF Unión Fénix, S.A.". Igualmente, al no haberse recibido el testimonio de las actuaciones y emplazamientos interesado al Juzgado de Instrucción núm. 5 de Tarragona, se dispuso que se le dirigiera nuevamente atenta comunicación a fin de que, a la mayor brevedad posible, remitiese a esta Sala el meritado testimonio.</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nuevo proveído de 21 de septiembre de 1998 la indicada Sección, al no especificarse claramente en las comunicaciones remitidas por el Juzgado de Instrucción núm. 5 de Tarragona que hubieran sido emplazados todos los que habían sido parte en las actuaciones correspondientes al juicio de faltas núm. 53/94, conforme se había interesado con anterioridad, constando únicamente los emplazamientos del Abogado del Estado, en nombre y representación del Consorcio de Compensación de Seguros, del Letrado don Enric Balagué, en nombre y representación de don Francisco Conde Barahona y don Vicente Conde Cuadrado, del Letrado Sr. Pamplona, en nombre y representación del Instituto Catalán de la Salud y de don Gabriel Sesma Sancho, acordó dirigir nueva comunicación al mencionado órgano judicial para que, a la mayor brevedad posible, se expidiese certificación en la que se hiciera constar si habían sido emplazadas todas las partes, con excepción del recurrente en amparo.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22 de octubre de 1998 se acordó unir a las presentes actuaciones la certificación expedida, con fecha 5 de octubre de 1998, por el Secretario del Juzgado de Instrucción núm. 5 de Tarragona, en la que se daba fe de que habían sido emplazadas to</w:t>
      </w:r>
      <w:r>
        <w:lastRenderedPageBreak/>
        <w:t>das las partes intervinientes en el juicio de faltas 53/94. Igualmente, se dio vista de las actuaciones recibidas a las partes personadas, al Abogado del Estado y al Ministerio Fiscal por un plazo común de veinte días, durante el cual podían formular las alegaciones que estimaran pertinentes conforme a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Abogado del Estado presentó su escrito de alegaciones el 19 de noviembre de 1998. El representante y defensor del Consorcio de Compensación de Seguros comienza enumerando las que califica como "algunas circunstancias relevantes" para defender que no ha existido la vulneración constitucional que de contrario se denuncia. Así, recuerda que en la Sentencia del Juzgado de Instrucción núm. 5 de Tarragona de 25 de enero de 1997 se decidió reservar las acciones civiles a los perjudicados. Igualmente, destaca que en su recurso de apelación la representación del ahora solicitante de amparo se ratificó en la petición de que se condenara a la aseguradora AGF a abonar el interés legalmente establecido del 20 por 100, en perfecta coherencia con lo solicitado en el juicio oral. Por su parte, la Sentencia de apelación, en parte estimatoria de dicho recurso, condenó al Consorcio de Compensación de Seguros al pago de las indemnizaciones en los límites del seguro obligatorio y con obligación de satisfacer un interés del 20 por 100 desde el 1 de agosto de 1993. De otro lado, apunta que con la solicitud de aclaración formulada por el Abogado del Estado Sustituto trataba de evitarse la interposición de un recurso de amparo constitucional, tanto porque nadie había solicitado esa condena, como porque se había incurrido en un error patente al imponerla, pues la Disposición adicional tercera de la Ley Orgánica 3/1989, aplicable ratione temporis al caso enjuiciado, excluía al Consorcio de Compensación de Seguros del pago de dichos intereses cuando actuase como fondo de garantía. El Auto de 20 de junio de 1997 rectifica la Sentencia no tanto porque no se hubieran pedido los intereses cuanto porque, en efecto, se había incurrido en un error patente al haberlos concedido, aun aceptando que se trataba de un "error conceptual". Por último, recuerda el Abogado del Estado que el demandante intentó la declaración de nulidad del Auto de aclaración, lo que le fue inadmitido justamente en aplicación de la doctrina constitucional conforme a la cual el derecho a la intangibilidad de las resoluciones judiciales no incluye el de beneficiarse de errores patentes. </w:t>
      </w:r>
    </w:p>
    <w:p w:rsidR="0025129F" w:rsidRDefault="0025129F" w:rsidP="0025129F">
      <w:pPr>
        <w:pStyle w:val="TextoNormal"/>
      </w:pPr>
      <w:r>
        <w:t xml:space="preserve">A continuación expone el Abogado del Estado las razones por las que, en su opinión, procede denegar el amparo solicitado. Al respecto, hace hincapié en la literalidad del art. 161 LECrim, que faculta excepcionalmente a los órganos judiciales para que modifiquen sus resoluciones a los solos efectos de aclarar algún concepto oscuro, suplir omisiones o rectificar equivocaciones importantes en las que hayan podido incurrir. Este precepto legal no coincide plenamente con el art. 267 LOPJ, sin que de este hecho pueda inferirse la existencia de contradicción entre ambos, pues el sentido de este último artículo no puede ser más que el de establecer el mínimo común a todos los órdenes jurisdiccionales en materia de aclaración y rectificación, sin por ello privar de vigencia a las normas especiales que puedan existir en las leyes procesales especiales. De aquí concluye que, con arreglo al tenor del art. 161 LECrim, las Sentencias penales pueden ser depuradas, por vía de aclaración, de errores no sólo materiales stricto sensu, siempre que resulte evidente que se trata de auténticas equivocaciones y que son de importancia. </w:t>
      </w:r>
    </w:p>
    <w:p w:rsidR="0025129F" w:rsidRDefault="0025129F" w:rsidP="0025129F">
      <w:pPr>
        <w:pStyle w:val="TextoNormal"/>
      </w:pPr>
      <w:r>
        <w:t xml:space="preserve">Para el Abogado del Estado no es preciso emprender una indagación exhaustiva sobre la interpretación más razonable de las palabras "equivocación importante" que emplea el art. 161 LECrim Sin embargo, parece que debe concluirse que comprenden lo que la doctrina constitucional denomina "error patente", que en sí mismo representa una violación del derecho a la tutela judicial efectiva (SSTC 63/1998, de 17 de marzo, FJ 2; 112/1998, </w:t>
      </w:r>
      <w:r>
        <w:lastRenderedPageBreak/>
        <w:t xml:space="preserve">de 1 de junio, FJ 2, y 180/1998, de 17 de septiembre, FJ 3). La inmediata verificabilidad y el carácter incontrovertible aproximan el error patente al meramente material y justifican un posible tratamiento común en su rectificación cuando así lo disponga el legislador, como parece haberse hecho en el art. 161 LECrim. Por lo demás, resulta inconcuso que en esta ocasión el error padecido (condenar al Consorcio de Compensación de Seguros a los intereses legales del 20 por 100) era manifiesto, inmediatamente comprobable e indiscutible, pues el autor de la Sentencia había hecho caso omiso del párrafo final de la Disposición adicional tercera de la Ley Orgánica 3/1989, de 21 de junio. Esta equivocación era importante porque, atendida la fecha de iniciación del devengo de los intereses, suponía una crecida cantidad que duplicaba el principal de la responsabilidad civil. </w:t>
      </w:r>
    </w:p>
    <w:p w:rsidR="0025129F" w:rsidRDefault="0025129F" w:rsidP="0025129F">
      <w:pPr>
        <w:pStyle w:val="TextoNormal"/>
      </w:pPr>
      <w:r>
        <w:t>Finalmente, el Abogado del Estado recuerda que en reiteradas ocasiones este Tribunal ha proclamado que el art. 24.1 CE no reconoce el derecho a beneficiarse de las equivocaciones evidentes de los juzgadores (entre otras, SSTC 23/1994, de 27 de enero, FJ 1, y 180/1997, de 27 de octubre, FJ 2). Esta doctrina alcanza a los errores meramente materiales, pero puede comprender los errores patentes en el sentido que esta expresión tiene en la doctrina constitucional cuando el tenor de un precepto legal lo autorice, función que aquí viene a cumplir el mencionado art. 161 LECrim. La rectificación es el medio más rápido y expedito para eliminar esta infracción constitucional preservando la subsidiariedad del recurso de amparo, algo que comprendieron tanto el Abogado del Estado que interesó la rectificación como el órgano judicial que accedió a ella.</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escrito de alegaciones del demandante se presentó el día 20 de noviembre de 1998. Dicho escrito comienza con unas consideraciones relativas al objeto de este recurso de amparo, recalcándose que éste se ciñe al Auto de la Audiencia Provincial (Sección Tercera) de Tarragona de 20 de junio de 1997, dictado en aclaración de la Sentencia recaída en el rollo de apelación núm. 65/97, por lo que cualquier otra alegación fáctica o jurídica que directa o indirectamente persiguiera la impugnación de los restantes actos jurisdiccionales o de trámite dictados en el proceso judicial excedería dicho objeto. </w:t>
      </w:r>
    </w:p>
    <w:p w:rsidR="0025129F" w:rsidRDefault="0025129F" w:rsidP="0025129F">
      <w:pPr>
        <w:pStyle w:val="TextoNormal"/>
      </w:pPr>
      <w:r>
        <w:t xml:space="preserve">Sentado esto, recuerda que la cuestión ha de centrarse en determinar si el Auto impugnado se limitó a "aclarar algún concepto oscuro o suplir cualquier omisión que contenga sobre punto discutido en el litigio" (arts. 363 LEC y 267.1 LOPJ) o, por el contrario, modificó sustancialmente los fundamentos jurídicos y la parte dispositiva de la Sentencia. Pues bien, al respecto destaca el recurrente que en el fundamento octavo de la Sentencia de 12 de junio de 1997 se razona expresamente la imposición del interés del 20 por 100 de la Disposición adicional tercera de la Ley Orgánica 3/1989, de 21 de junio, al Consorcio de Compensación de Seguros, lo que luego se lleva al fallo, donde figura tanto el referido porcentaje como el dies a quo de devengo de los intereses. La Sentencia en cuestión era definitiva y firme en virtud de lo establecido en el art. 977 LECrim, pues no existía frente a ella recurso ordinario alguno. </w:t>
      </w:r>
    </w:p>
    <w:p w:rsidR="0025129F" w:rsidRDefault="0025129F" w:rsidP="0025129F">
      <w:pPr>
        <w:pStyle w:val="TextoNormal"/>
      </w:pPr>
      <w:r>
        <w:t xml:space="preserve">En esta situación, el Consorcio de Compensación de Seguros, que intervino en todo momento asistido y representado por el Abogado del Estado, renunció voluntariamente a la interposición de recurso de amparo, por lo demás de muy dudosa admisibilidad, e instó la vía de la aclaración ante el propio Magistrado que dictó la Sentencia, con alegaciones de carácter sustantivo atinentes a una pretendida infracción de normas del Ordenamiento jurídico, suplicando la modificación de la Sentencia en lo relativo al interés del 20 por 100 de la Ley Orgánica 3/1989. A su vez, el indicado Magistrado, desconociendo lo dispuesto en los arts. 367 y 977 LEC y 267.1 LOPJ y, en especial, 24.1 CE, dictó un Auto en el que, escudándose en una reinterpretación del Derecho transitorio, modifica sustancialmente una </w:t>
      </w:r>
      <w:r>
        <w:lastRenderedPageBreak/>
        <w:t>resolución judicial definitiva. Para ello llevó a cabo una interpretación de la legalidad aplicable que se contradice radicalmente con la expresada en la Sentencia aclarada. Ello pone de manifiesto, siempre en opinión del demandante de amparo, que el Auto cuya anulación postula ha conculcado su derecho a la ejecución de la totalidad del fallo alcanzado en la Sentencia de 12 de junio de 1997.</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El 20 de noviembre de 1998 el Ministerio Fiscal presentó su escrito de alegaciones interesando la concesión del amparo. Al respecto recuerda que, desde antiguo, la doctrina viene afirmando que las resoluciones judiciales no pueden ser modificadas al margen del sistema de recursos legalmente establecido, con la sola excepción del recurso de aclaración y, tras la Ley Orgánica 5/1997, el recurso de nulidad de actuaciones del art. 240.3 LOPJ. </w:t>
      </w:r>
    </w:p>
    <w:p w:rsidR="0025129F" w:rsidRDefault="0025129F" w:rsidP="0025129F">
      <w:pPr>
        <w:pStyle w:val="TextoNormal"/>
      </w:pPr>
      <w:r>
        <w:t xml:space="preserve">El alcance modesto de la aclaración se deriva de los términos empleados en los arts. 267 LOPJ y 363 LEC, que constriñen la modificación a supuestos errores manifiestos o aritméticos, aclaración de puntos oscuros o suplencia de cualquier omisión, sin que ello autorice la modificación de la fundamentación de la Sentencia o del sentido del fallo. No obstante, en sus últimas resoluciones (v.gr. SSTC 23/1994, de 27 de enero, y 19/1995, de 24 de enero) este Tribunal ha entendido que no lesiona el derecho fundamental la actividad judicial que por vía de aclaración modifica el fallo, pero sólo en los supuestos en los que de forma evidente se deduzca del propio texto de la Sentencia, sin necesidad de hipótesis, deducciones e interpretaciones, que el órgano judicial se equivocó al trasladar al fallo el resultado de su juicio. Porque guarda relación con el caso aquí contemplado, puede invocarse la STC 208/1996, de 17 de diciembre, en la que se otorgó el amparo en un supuesto en el que por vía de aclaración se incluían en el fallo unos intereses de demora no tenidos en cuenta en la Sentencia; supuesto conectado igualmente con la aplicabilidad de la Ley Orgánica 3/1989. </w:t>
      </w:r>
    </w:p>
    <w:p w:rsidR="0025129F" w:rsidRDefault="0025129F" w:rsidP="0025129F">
      <w:pPr>
        <w:pStyle w:val="TextoNormal"/>
      </w:pPr>
      <w:r>
        <w:t>El Ministerio Público, después de transcribir el fundamento jurídico octavo de la Sentencia de la Audiencia Provincial de Tarragona de 12 de junio de 1997, en el que se concluye sobre la procedencia de imponer al Consorcio de Compensación de Seguros la condena a satisfacer los intereses del 20 por 100, y tras señalar que la parte dispositiva de la Sentencia, en coherencia con tal argumentación, recogía dicha condena, concluye que la modificación producida, respecto del fallo, por el Auto de 20 de junio de 1997, ahora recurrido, lesiona, por su propia entidad, el derecho fundamental a la intangibilidad de las resoluciones judiciales firmes. Y ello porque por vía de aclaración se ha operado un cambio de calificación jurídica (consistente en una nueva selección de la norma aplicable, que pasa a ser el art. 20 de la Ley de Contrato de Seguro en lugar de la Disposición adicional tercera de la Ley Orgánica 3/1989, que se entiende derogada), una minoración en la responsabilidad del Consorcio de Compensación de Seguros (que pasa del 20 por 100 al interés legal del dinero incrementado en dos puntos) y, por último, una minoración derivada de los efectos temporales de los intereses, pasando a ser el dies a quo no la fecha del accidente (acaecido el 1 de agosto de 1993), sino la de la Sentencia (dictada el 12 de junio de 1997). Tales modificaciones exceden con mucho la rectificación de un error aritmético o material, la corrección de una omisión o la aclaración de un concepto oscuro y tampoco cabe admitir que se trate de subsanar un desajuste entre la fundamentación jurídica y el fallo alcanzado en la Sentencia objeto de rectificación. Consecuentemente, para el Ministerio Fiscal ha de concluirse que se ha vulnerado el derecho fundamental invocado, que ha de reestablecerse mediante la anulación de la resolución judicial impugnada.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12</w:t>
      </w:r>
      <w:r>
        <w:t>. Por diligencia de 14 de diciembre de 1998, una vez transcurrido el plazo para formular alegaciones, se hace constar que no ha presentado el correspondiente escrito el Procurador Sr. del Castillo-Olivares en la representación que ostenta.</w:t>
      </w:r>
    </w:p>
    <w:p w:rsidR="0025129F" w:rsidRDefault="0025129F" w:rsidP="0025129F">
      <w:pPr>
        <w:pStyle w:val="TextoNormal"/>
      </w:pPr>
    </w:p>
    <w:p w:rsidR="0025129F" w:rsidRDefault="0025129F" w:rsidP="0025129F">
      <w:pPr>
        <w:pStyle w:val="TextoNormal"/>
      </w:pPr>
      <w:r w:rsidRPr="0025129F">
        <w:rPr>
          <w:rStyle w:val="NumeroAFNegritaCaracter"/>
        </w:rPr>
        <w:t>13</w:t>
      </w:r>
      <w:r>
        <w:t>. Por providencia de 7 de marzo de 2002 se señaló para deliberación y votación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el Auto dictado el 20 de junio de 1997 por la Sección Tercera de la Audiencia Provincial de Tarragona, constituida en tribunal unipersonal, que, atendiendo a petición deducida por el Abogado del Estado en representación del Consorcio de Compensación de Seguros, aclaró la Sentencia del mencionado órgano judicial, de fecha 12 de junio de 1997, recaída en el rollo de apelación núm. 65/97.</w:t>
      </w:r>
    </w:p>
    <w:p w:rsidR="0025129F" w:rsidRDefault="0025129F" w:rsidP="0025129F">
      <w:pPr>
        <w:pStyle w:val="TextoNormal"/>
      </w:pPr>
      <w:r>
        <w:t>La expresada Sentencia había establecido la responsabilidad civil del Consorcio de Compensación de Seguros en el marco del seguro obligatorio, incrementada en un 20 por 100, a computar desde el 1 de agosto de 1993. Este extremo del fallo fue rectificado por el Auto de 20 de junio de 1997, el cual limitó la responsabilidad del Consorcio al interés legal incrementado en dos puntos desde la fecha de la Sentencia de referencia.</w:t>
      </w:r>
    </w:p>
    <w:p w:rsidR="0025129F" w:rsidRDefault="0025129F" w:rsidP="0025129F">
      <w:pPr>
        <w:pStyle w:val="TextoNormal"/>
      </w:pPr>
      <w:r>
        <w:t>El recurrente y el Ministerio Fiscal solicitan el otorgamiento del amparo porque entienden que la rectificación de la Sentencia de 12 de junio de 1997 llevada a cabo mediante el Auto antes mencionado ha vulnerado el derecho a la tutela judicial efectiva (art. 24.1 CE) del primero al quebrantar el principio de intangibilidad de las resoluciones judiciales. Más concretamente, señalan que en dicho Auto el órgano judicial no se limitó a aclarar algún concepto oscuro o suplir las omisiones en que pudiera haber incurrido la Sentencia, sino que, en evidente exceso respecto de las limitaciones que se establecen en el art. 267 LOPJ, procedió a variar sustancialmente su fundamentación jurídica y parte dispositiva.</w:t>
      </w:r>
    </w:p>
    <w:p w:rsidR="0025129F" w:rsidRDefault="0025129F" w:rsidP="0025129F">
      <w:pPr>
        <w:pStyle w:val="TextoNormal"/>
      </w:pPr>
      <w:r>
        <w:t>Por el contrario, el Abogado del Estado, en la representación que ostenta del Consorcio de Compensación de Seguros, afirma que el órgano judicial se limitó a hacer uso de la facultad que excepcionalmente le atribuye el art. 161 LECrim, cuya literalidad no coincide enteramente con la del art. 267 LOPJ, pues aquél amplía las posibilidades del órgano judicial en el sentido de que puede "rectificar alguna equivocación importante" de la sentencia penal. A este respecto, indica que cabe entender como "equivocación importante" todo error patente, del que es claro ejemplo la condena del Consorcio al abono de los intereses fijados en la Sentencia de la que trae causa el presente proceso constitucional. Se trata, siempre en la tesis del Abogado del Estado, de un error manifiesto, inmediatamente comprobable e indiscutible, pues el órgano judicial hizo caso omiso de lo establecido en el párrafo final de la Disposición adicional tercera de la Ley Orgánica 3/1989, de 21 de junio, conforme al cual el Consorcio no viene obligado a satisfacer el interés anual del 20 por 100 "cuando responda como fondo de garantía". Habiéndose incurrido en un "error conceptual" (según calificación dada por el propio Auto ahora impugnado), sostiene el Abogado del Estado que la rectificación ha servido como medio idóneo para evitar que la contraparte pudiera beneficiarse de una equivocación evidente del juzgador, preservando al propio tiempo la subsidiariedad del recurso de amparo.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2</w:t>
      </w:r>
      <w:r>
        <w:t>. Una vez expuestos los términos en los que se plantea la cuestión suscitada en este recurso de amparo, parece pertinente sintetizar la doctrina constitucional sobre intangibilidad, invariabilidad o inmodificabilidad de las resoluciones judiciales, relevante para la resolución del caso.</w:t>
      </w:r>
    </w:p>
    <w:p w:rsidR="0025129F" w:rsidRDefault="0025129F" w:rsidP="0025129F">
      <w:pPr>
        <w:pStyle w:val="TextoNormal"/>
      </w:pPr>
      <w:r>
        <w:t>a) Este Tribunal se ha referido reiteradamente a la vinculación dogmática que la protección de la integridad de las resoluciones judiciales firmes mantiene con la seguridad jurídica garantizada por el art. 9.3 de nuestra Constitución, así como con el derecho a la tutela judicial efectiva que proclama el art. 24.1 CE [por todas, SSTC 48/1999, de 22 de marzo, FJ 2; 69/2000, de 13 de marzo, FJ 2, y 216/2001, de 29 de octubre, FJ 2 a)]. En los expresivos términos empleados en la STC 69/2000, de 13 de marzo, FJ 2,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al albur de las partes o del propio órgano judicial el resultado final de los procesos judiciales".</w:t>
      </w:r>
    </w:p>
    <w:p w:rsidR="0025129F" w:rsidRDefault="0025129F" w:rsidP="0025129F">
      <w:pPr>
        <w:pStyle w:val="TextoNormal"/>
      </w:pPr>
      <w:r>
        <w:t>b) Por lo que específicamente se refiere a la consideración del principio de intangibilidad de las sentencias y demás resoluciones judiciales firmes como parte integrante del contenido del derecho fundamental a la tutela judicial efectiva proclamado en el art. 24.1 CE, ésta se proyecta en una doble vertiente. La primera asegura a quienes han sido parte en un proceso que las resoluciones judiciales definitivas dictadas en su seno no han de ser alteradas o modificadas al margen de los cauces legales establecidos para ello (SSTC 122/1996, de 8 de julio, FJ 4; 180/1997, de 27 de octubre, FJ 2, y 112/1999, de 14 de junio, FJ 3). La segunda se concreta en la constatación de que si el derecho garantizado por el art. 24.1 CE comprende la ejecución de los fallos judiciales, su presupuesto lógico e insoslayable ha de ser el principio de inmodificabilidad de las resoluciones judiciales firmes [entre otras, SSTC 23/1996, de 13 de febrero, FJ 2; 111/2000, de 5 de mayo, FJ 12, y 216/2001, de 29 de octubre, FJ 2 a)].</w:t>
      </w:r>
    </w:p>
    <w:p w:rsidR="0025129F" w:rsidRDefault="0025129F" w:rsidP="0025129F">
      <w:pPr>
        <w:pStyle w:val="TextoNormal"/>
      </w:pPr>
      <w:r>
        <w:t>c) Nada hay que oponer, desde la perspectiva de la plena efectividad del principio de invariabilidad o inmodificabilidad de las resoluciones judiciales firmes, al hecho de que el legislador haya arbitrado con carácter general en el art. 267 LOPJ --y, por lo que al orden jurisdiccional penal se refiere, en el art. 161 LECrim- un mecanismo excepcional que permite a los órganos judiciales aclarar algún concepto oscuro, suplir omisiones o corregir determinados errores, siempre que este mecanismo se entienda limitado a la estricta función reparadora para la que se ha establecido. En efecto, siendo el expresado principio, a la par, manifestación e instrumento de la efectividad de la tutela judicial, no estará de más recordar que no integra este derecho el beneficiarse de oscuridades, omisiones o errores materiales que con toda certeza pueden deducirse del propio texto de la resolución judicial (entre las más recientes, SSTC 286/2000, de 27 de noviembre, FJ 2, y 140/2001, de 18 de junio, FJ 3). Dicho de otro modo, una cabal comprensión del art. 24.1 CE ha de rechazar la absurda conclusión de que extienda su protección a aquello que no fue decidido por el órgano judicial en el seno del proceso.</w:t>
      </w:r>
    </w:p>
    <w:p w:rsidR="0025129F" w:rsidRDefault="0025129F" w:rsidP="0025129F">
      <w:pPr>
        <w:pStyle w:val="TextoNormal"/>
      </w:pPr>
    </w:p>
    <w:p w:rsidR="0025129F" w:rsidRDefault="0025129F" w:rsidP="0025129F">
      <w:pPr>
        <w:pStyle w:val="TextoNormal"/>
      </w:pPr>
      <w:r w:rsidRPr="0025129F">
        <w:rPr>
          <w:rStyle w:val="NumeroAFNegritaCaracter"/>
        </w:rPr>
        <w:t>3</w:t>
      </w:r>
      <w:r>
        <w:t>. Pasando a un análisis más detenido del significado del llamado recurso de aclaración, hemos de resaltar que éste no permite alterar los elementos esenciales de la decisión judicial, debiendo limitarse a la función específica reparadora para la que se ha establecido [STC 216/2001, de 29 de octubre, FJ 2 b)].</w:t>
      </w:r>
    </w:p>
    <w:p w:rsidR="0025129F" w:rsidRDefault="0025129F" w:rsidP="0025129F">
      <w:pPr>
        <w:pStyle w:val="TextoNormal"/>
      </w:pPr>
      <w:r>
        <w:lastRenderedPageBreak/>
        <w:t>Respecto de los extremos mencionados en el apartado primero del art. 267 LOPJ ("aclarar algún concepto oscuro" o "suplir cualquier omisión"), que también menciona el art. 161 LECrim, este Tribunal ha declarado que, por definición, excluyen el cambio de sentido y espíritu del fallo, toda vez que el órgano judicial, al explicar el sentido de sus palabras o adicionar lo que falta, debe moverse en el marco interpretativo de lo anteriormente manifestado o razonado [SSTC 23/1996, de 13 de febrero, FJ 2; 140/2001, de 18 de junio, FJ 7, y 216/2001, de 29 de octubre, FJ 2 c)].</w:t>
      </w:r>
    </w:p>
    <w:p w:rsidR="0025129F" w:rsidRDefault="0025129F" w:rsidP="0025129F">
      <w:pPr>
        <w:pStyle w:val="TextoNormal"/>
      </w:pPr>
      <w:r>
        <w:t>Por lo que se refiere a la rectificación de errores materiales manifiestos y aritméticos (posibilidad contemplada en el apartado segundo del art. 267 LOPJ), deben tenerse por tales aquellos errores cuya corrección no requiere la realización de un nuevo juicio valorativo, ni exige operaciones de calificación jurídica o nuevas y distintas apreciaciones de prueba, ni supone resolver cuestiones discutibles u opinables, ya que se trata de casos en los que el error se evidencia directamente al deducirse, con toda certeza, del propio texto de la sentencia, sin necesidad de hipótesis, deducciones o interpretaciones; esto es, cuando resulta evidente que el órgano judicial simplemente se equivocó al dar una cifra, al calcularla o al trasladar el resultado del juicio al fallo (por todas, STC 69/2000, de 30 de octubre, FJ 3).</w:t>
      </w:r>
    </w:p>
    <w:p w:rsidR="0025129F" w:rsidRDefault="0025129F" w:rsidP="0025129F">
      <w:pPr>
        <w:pStyle w:val="TextoNormal"/>
      </w:pPr>
      <w:r>
        <w:t>El art. 161 LECrim alude expresamente a la posibilidad de "rectificar alguna equivocación importante". Como dijimos en la STC 262/2000, de 30 de octubre, FJ 2, se trata de una expresión "de mayor ambigüedad, pero que ha de ser entendida en el sentido que se deriva del anterior contexto", contexto que --en la expresada Sentencia- era equivalente al de la exposición precedente, contenida en el presente fundamento jurídico y en el anterior. En igual sentido, en la STC 138/1985, de 18 de octubre, FJ 9, hemos afirmado que el remedio pretendido con el art. 161 LECrim no puede dirigirse "a que se altere radicalmente la misma fundamentación de la Sentencia". Y en las SSTC 159/2000, de 12 de junio, FJ 3, y 112/1999, de 14 de junio, FJ 3, que conocieron de sendos recursos de amparo formulados contra Autos de aclaración de Sentencias dictadas en juicio de faltas (al igual que en el presente caso), dijimos --bien que con explícita referencia al art. 267 LOPJ, por estimarlo de aplicación- que en ningún caso el remedio procesal de la aclaración puede consentir la rectificación de lo que se deriva de los antecedentes de hecho, fundamentos jurídicos y sentido del fallo.</w:t>
      </w:r>
    </w:p>
    <w:p w:rsidR="0025129F" w:rsidRDefault="0025129F" w:rsidP="0025129F">
      <w:pPr>
        <w:pStyle w:val="TextoNormal"/>
      </w:pPr>
      <w:r>
        <w:t>En definitiva, cuando la rectificación entrañe una nueva operación de valoración, interpretación o apreciación en Derecho, el órgano jurisdiccional se habrá excedido de los estrechos límites que posibilita el llamado recurso de aclaración y habrá vulnerado el derecho a la tutela judicial efectiva de las partes en el proceso.</w:t>
      </w:r>
    </w:p>
    <w:p w:rsidR="0025129F" w:rsidRDefault="0025129F" w:rsidP="0025129F">
      <w:pPr>
        <w:pStyle w:val="TextoNormal"/>
      </w:pPr>
      <w:r>
        <w:t>Por otro lado, el hecho de que la posibilidad de contradicción se erija en una de las "reglas esenciales del desarrollo del proceso", sin cuya concurrencia la idea misma de juicio justo se torna en pura entelequia (SSTC 180/1997, de 27 de octubre, FJ 2, y 143/2001, de 18 de junio, FJ 3), fundamenta la necesidad de limitar al máximo el recurso a unas facultades que, como las ofrecidas por el art. 267 LOPJ, se actúan --a instancia de parte o de oficio- al margen de cualquier trámite de audiencia o impugnación de las demás partes del proceso (STC 180/1997, de 27 de octubre, FJ 2).</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En el presente caso se cuestiona la rectificación que la Sección Tercera de la Audiencia Provincial de Tarragona, constituida en tribunal unipersonal, efectuó de la Sentencia de 12 de junio de 1997 en el punto atinente a la cuantía del interés que venía obligado a soportar el Consorcio de Compensación de Seguros y la fecha de su devengo. Concretamente, mientras que en la meritada Sentencia dicho interés se elevaba hasta el 20 por 100, </w:t>
      </w:r>
      <w:r>
        <w:lastRenderedPageBreak/>
        <w:t>a satisfacer desde el 1 de agosto de 1993, fecha del accidente que dio origen al proceso judicial, a resultas del Auto ahora impugnado, de 20 de junio de 1997, el interés se sitúa en el legal incrementado en dos puntos, al tiempo que se desplaza el dies a quo al momento del pronunciamiento de la Sentencia.</w:t>
      </w:r>
    </w:p>
    <w:p w:rsidR="0025129F" w:rsidRDefault="0025129F" w:rsidP="0025129F">
      <w:pPr>
        <w:pStyle w:val="TextoNormal"/>
      </w:pPr>
      <w:r>
        <w:t>El reseñado Auto de 20 de junio de 1997 resolvió la solicitud de aclaración formulada por el Abogado del Estado, en representación del Consorcio de Compensación de Seguros. El fundamento jurídico único de dicho Auto dice lo siguiente: "Aunque el art.  267 LOPJ está pensado para aclarar conceptos oscuros o rectificar errores materiales manifiestos, procede no obstante realizar la rectificación interesada, pese a tratarse de un error conceptual, motivado por la actual derogación de la citada Disp.  Adicional 3ª y su sustitución por la nueva redacción del art.  20 LCS, dado lo evidente del mismo y la conveniencia de evitar demora por recursos en un asunto que ya tiene demasiada antigüedad, debiendo satisfacer el Consorcio el mismo interés que el autor del hecho, debiéndose rechazar la otra alegación, en cuanto sí fue pedido, ya que se pidió subsidiariamente, en defecto de la responsabilidad de AGF, la responsabilidad del Consorcio, que debe serlo en la misma medida que aquella, y siempre dentro de los límites legales, por lo que son estos últimos y no la falta de petición, los que obligan a realizar la rectificación".</w:t>
      </w:r>
    </w:p>
    <w:p w:rsidR="0025129F" w:rsidRDefault="0025129F" w:rsidP="0025129F">
      <w:pPr>
        <w:pStyle w:val="TextoNormal"/>
      </w:pPr>
      <w:r>
        <w:t>Como puede apreciarse, el propio órgano judicial reconoce que no se trata de un error material manifiesto, sino "conceptual", que concreta en la selección de la norma aplicable al caso sometido a su consideración. Según resulta del texto transcrito, la rectificación se justifica en lo evidente del error -que denomina "conceptual"- que habría padecido el órgano judicial y en la conveniencia de evitar nuevas demoras "en un asunto que ya tiene demasiada antigüedad".</w:t>
      </w:r>
    </w:p>
    <w:p w:rsidR="0025129F" w:rsidRDefault="0025129F" w:rsidP="0025129F">
      <w:pPr>
        <w:pStyle w:val="TextoNormal"/>
      </w:pPr>
      <w:r>
        <w:t>Pues bien, con independencia de lo bienintencionada que pueda haber sido la actuación del órgano judicial, debemos convenir en que la rectificación operada infringió el derecho a la tutela judicial efectiva del ahora solicitante de amparo. Abstracción hecha de que los motivos por los que se modifica la Sentencia no se corresponden con los aducidos por el Abogado del Estado (que apuntaba a una incorrecta lectura del párrafo segundo de la Disposición adicional tercera de la Ley Orgánica 3/1989, de 21 de junio) y de que no corresponde a este Tribunal pronunciarse sobre la concurrencia o no del error, es lo cierto que la rectificación llevada a cabo entraña "una nueva operación de valoración, interpretación o apreciación del Derecho", que excede de los límites del art. 267 LOPJ y vulnera el mencionado derecho fundamental.</w:t>
      </w:r>
    </w:p>
    <w:p w:rsidR="0025129F" w:rsidRDefault="0025129F" w:rsidP="0025129F">
      <w:pPr>
        <w:pStyle w:val="TextoNormal"/>
      </w:pPr>
    </w:p>
    <w:p w:rsidR="0025129F" w:rsidRDefault="0025129F" w:rsidP="0025129F">
      <w:pPr>
        <w:pStyle w:val="TextoNormal"/>
      </w:pPr>
      <w:r w:rsidRPr="0025129F">
        <w:rPr>
          <w:rStyle w:val="NumeroAFNegritaCaracter"/>
        </w:rPr>
        <w:t>5</w:t>
      </w:r>
      <w:r>
        <w:t>. La conclusión alcanzada, que conlleva el otorgamiento del amparo solicitado, no resulta afectada por los argumentos empleados por el Abogado del Estado. Arguye éste principalmente que el órgano judicial se habría limitado en este caso a hacer uso de la facultad excepcional que le reconoce el art. 161 LECrim --del que ya se ha hecho cita- y que el error rectificado merece la calificación de patente (esto es, manifiesto, inmediatamente comprobable e indiscutible), de modo que su corrección sirvió para reparar una infracción constitucional, pues en otro caso la contraparte se habría beneficiado de una equivocación evidente del Juzgador, al tiempo que se preservó la subsidiariedad del recurso de amparo.</w:t>
      </w:r>
    </w:p>
    <w:p w:rsidR="0025129F" w:rsidRDefault="0025129F" w:rsidP="0025129F">
      <w:pPr>
        <w:pStyle w:val="TextoNormal"/>
      </w:pPr>
      <w:r>
        <w:t xml:space="preserve">Ya se ha aludido en esta Sentencia a las alegadas diferencias existentes en la redacción de los arts. 267 LOPJ y 161 LECrim, y a la correcta interpretación de ambos preceptos en el marco constitucional, que conducen a conclusiones contrarias a las pretendidas por el Abogado del Estado. Al respecto, es oportuno insistir en lo ya indicado de que, desde la perspectiva del art. 24.1 CE que se invoca como vulnerado, el cauce excepcional ahora examinado impide efectuar una nueva selección de las normas aplicables al caso o una </w:t>
      </w:r>
      <w:r>
        <w:lastRenderedPageBreak/>
        <w:t>nueva valoración o interpretación del derecho aplicable, con la inadmisible consecuencia de que se cambie lo ya decidido mediante Sentencia firme y definitiva, que es lo que aquí ha hecho el órgano judicial.</w:t>
      </w:r>
    </w:p>
    <w:p w:rsidR="0025129F" w:rsidRDefault="0025129F" w:rsidP="0025129F">
      <w:pPr>
        <w:pStyle w:val="TextoNormal"/>
      </w:pPr>
      <w:r>
        <w:t>Tampoco puede acogerse la caracterización del alegado error como patente. Basta señalar que en el fundamento jurídico octavo de la Sentencia (transcrito en los antecedentes de la presente resolución) se razona sobre la fijación de los intereses del 20 por 100 desde el día del accidente en unos términos acerca de cuya corrección no nos corresponde pronunciarnos, pero que en todo caso impiden considerar que la conclusión alcanzada --y fijada en la parte dispositiva de dicha Sentencia- sea manifestación de un error patente, entendido éste en el sentido establecido por la doctrina de este Tribunal, de que se ha hecho mérito en el fundamento jurídico tercero de la presente Sentencia.</w:t>
      </w:r>
    </w:p>
    <w:p w:rsidR="0025129F" w:rsidRDefault="0025129F" w:rsidP="0025129F">
      <w:pPr>
        <w:pStyle w:val="TextoNormal"/>
      </w:pPr>
      <w:r>
        <w:t>Para concluir, tampoco puede admitirse que el Auto impugnado haya servido para preservar el carácter subsidiario del recurso de amparo. Ni el Abogado del Estado invocó derecho fundamental alguno en defensa de su pretensión revisora del contenido del fallo de la Sentencia, ni el cauce abierto por los arts. 267 LOPJ y 161 LECrim podía servir en este caso para obtener lo que, por otra parte, no era posible conseguir en vía de amparo (aquí, una aplicación de la norma que condujese al pronunciamiento de un fallo diferente en materia de intereses), por tratarse de cuestiones de legalidad ordinaria cuya resolución corresponde a los órganos judiciales.</w:t>
      </w:r>
    </w:p>
    <w:p w:rsidR="0025129F" w:rsidRDefault="0025129F" w:rsidP="0025129F">
      <w:pPr>
        <w:pStyle w:val="TextoNormal"/>
      </w:pPr>
      <w:r>
        <w:t>En consecuencia, procede la estimación del recurso de amparo, con la consiguiente anulación de la resolución judicial impugnada.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consecuencia:</w:t>
      </w:r>
    </w:p>
    <w:p w:rsidR="0025129F" w:rsidRDefault="0025129F" w:rsidP="0025129F">
      <w:pPr>
        <w:pStyle w:val="TextoNormal"/>
      </w:pPr>
      <w:r>
        <w:t>1º Declarar que se ha vulnerado el derecho fundamental de don Oswaldo García Bielsa a la tutela judicial efectiva, comprensivo del derecho a la inmodificabilidad de las resoluciones judiciales firmes (art. 24.1 CE).</w:t>
      </w:r>
    </w:p>
    <w:p w:rsidR="0025129F" w:rsidRDefault="0025129F" w:rsidP="0025129F">
      <w:pPr>
        <w:pStyle w:val="TextoNormal"/>
      </w:pPr>
      <w:r>
        <w:t>2º Anular el Auto de la Sección Tercera de la Audiencia Provincial de Tarragona, constituida como tribunal unipersonal, de fecha 20 de junio de 1997, de aclaración y rectificación de la Sentencia de 12 de junio de 1997 que, dictada en el rollo núm.  65/97, resolvió los recursos de apelación interpuestos contra la Sentencia del Juzgado de Instrucción núm. 5 de Tarragona, de fecha 25 de enero de 1997, recaída en el juicio de faltas núm. 53/1994.</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59" w:name="SENTENCIA_2002_56"/>
      <w:r>
        <w:lastRenderedPageBreak/>
        <w:t>SENTENCIA 56/2002, de 11 de marzo de 2002</w:t>
      </w:r>
    </w:p>
    <w:bookmarkEnd w:id="59"/>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ECLI:ES:TC:2002:56</w:t>
      </w:r>
    </w:p>
    <w:p w:rsidR="0025129F" w:rsidRDefault="0025129F" w:rsidP="0025129F">
      <w:pPr>
        <w:pStyle w:val="SntesisDescriptiva"/>
      </w:pPr>
    </w:p>
    <w:p w:rsidR="0025129F" w:rsidRDefault="0025129F" w:rsidP="0025129F">
      <w:pPr>
        <w:pStyle w:val="SntesisDescriptiva"/>
      </w:pPr>
      <w:r>
        <w:t>Recurso de amparo 1130/1998. Promovido por la Universidad de Sevilla frente a Auto de aclaración dictado por la Sala de lo Contencioso-Administrativo del Tribunal Superior de Justicia de Andalucía en proceso sobre reclamación del abono de trienios por parte de un profesor.</w:t>
      </w:r>
    </w:p>
    <w:p w:rsidR="0025129F" w:rsidRDefault="0025129F" w:rsidP="0025129F">
      <w:pPr>
        <w:pStyle w:val="SntesisDescriptiva"/>
      </w:pPr>
    </w:p>
    <w:p w:rsidR="0025129F" w:rsidRDefault="0025129F" w:rsidP="0025129F">
      <w:pPr>
        <w:pStyle w:val="SntesisAnaltica"/>
      </w:pPr>
      <w:r>
        <w:t>Vulneración del derecho a la tutela judicial efectiva (inmodificabilidad de las resoluciones judiciales firmes): titularidad de derechos fundamentales por entes públicos; sustitución de Sentencia por error informático.</w:t>
      </w:r>
    </w:p>
    <w:p w:rsidR="0025129F" w:rsidRDefault="0025129F" w:rsidP="0025129F">
      <w:pPr>
        <w:pStyle w:val="SntesisAnaltica"/>
      </w:pPr>
    </w:p>
    <w:p w:rsidR="0025129F" w:rsidRDefault="0025129F" w:rsidP="0025129F">
      <w:pPr>
        <w:pStyle w:val="Extracto"/>
      </w:pPr>
      <w:r>
        <w:t>1.</w:t>
      </w:r>
      <w:r>
        <w:tab/>
        <w:t>La Sala de lo Contencioso-Administrativo, aduciendo que había apreciado la existencia de un error informático, procedió de oficio a aclarar su Sentencia y a sustituirla por otra en la que, tras realizar una nueva valoración jurídica de la cuestión planteada en el recurso, modifica el sentido del fallo. Ha traspasado los límites en los que la vía de la aclaración es constitucionalmente legítima, vulnerando el derecho de la Universidad recurrente en amparo a la tutela judicial efectiva en su manifestación de derecho a la intangibilidad de las resoluciones judiciales firmes [FJ 5].</w:t>
      </w:r>
    </w:p>
    <w:p w:rsidR="0025129F" w:rsidRDefault="0025129F" w:rsidP="0025129F">
      <w:pPr>
        <w:pStyle w:val="Extracto"/>
      </w:pPr>
    </w:p>
    <w:p w:rsidR="0025129F" w:rsidRDefault="0025129F" w:rsidP="0025129F">
      <w:pPr>
        <w:pStyle w:val="Extracto"/>
      </w:pPr>
      <w:r>
        <w:t>2.</w:t>
      </w:r>
      <w:r>
        <w:tab/>
        <w:t>Doctrina sobre la intangibilidad, inmodificabilidad o invariabilidad de las resoluciones judiciales [FJ 4].</w:t>
      </w:r>
    </w:p>
    <w:p w:rsidR="0025129F" w:rsidRDefault="0025129F" w:rsidP="0025129F">
      <w:pPr>
        <w:pStyle w:val="Extracto"/>
      </w:pPr>
    </w:p>
    <w:p w:rsidR="0025129F" w:rsidRDefault="0025129F" w:rsidP="0025129F">
      <w:pPr>
        <w:pStyle w:val="Extracto"/>
      </w:pPr>
      <w:r>
        <w:t>3.</w:t>
      </w:r>
      <w:r>
        <w:tab/>
        <w:t>Doctrina sobre la titularidad del derecho a la tutela judicial efectiva de las personas jurídicas de Derecho público (STC 175/2001) [FJ 3].</w:t>
      </w:r>
    </w:p>
    <w:p w:rsidR="0025129F" w:rsidRDefault="0025129F" w:rsidP="0025129F">
      <w:pPr>
        <w:pStyle w:val="Extracto"/>
      </w:pPr>
    </w:p>
    <w:p w:rsidR="0025129F" w:rsidRDefault="0025129F" w:rsidP="0025129F">
      <w:pPr>
        <w:pStyle w:val="Extracto"/>
      </w:pPr>
      <w:r>
        <w:t>4.</w:t>
      </w:r>
      <w:r>
        <w:tab/>
        <w:t>En este caso, el incidente de nulidad de actuaciones no puede considerarse un recurso procedente, de conformidad con lo establecido en el art. 240.3 LOPJ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1130/98, promovido por la Universidad de Sevilla, representada por el Procurador de los Tribunales don Fernando Aragón Martín y asistida por su Letrada doña Carmen Regli Crivell, contra el Auto de la Sección Segunda de la Sala de lo Contencioso-Administrativo del Tribunal Superior de Justicia de Andalucía, con sede en Sevilla, de 2 de febrero de 1998, de aclaración de Sentencia. Ha sido parte don Agustín de Vicente Pérez, representado por la Procuradora doña Teresa de Jesús Castro Rodríguez y asistido por el Letrado don Aurelio Garnica Díez. Ha intervenido el Ministerio Fiscal. Ha sido Ponente el Magistrado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16 de marzo de 1998, el Procurador de los Tribunales don Fernando Aragón Martín, en nombre y representación de la Universidad de Sevilla, interpuso recurso de amparo contra el Auto de 2 de febrero de 1998 de la Sección Segunda de la Sala de lo Contencioso- Administrativo del Tribunal Superior de Justicia de Andalucía, con sede en Sevilla, por el que, al apreciar la existencia de un error informático, se aclara de oficio la Sentencia de 7 de noviembre de 1997 y se sustituye por la que se acompaña al referido Auto.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en síntesis, los siguientes: </w:t>
      </w:r>
    </w:p>
    <w:p w:rsidR="0025129F" w:rsidRDefault="0025129F" w:rsidP="0025129F">
      <w:pPr>
        <w:pStyle w:val="TextoNormal"/>
      </w:pPr>
      <w:r>
        <w:t xml:space="preserve">a) El 11 de mayo de 1994 se interpuso por don Agustín de Vicente Pérez recurso contencioso-administrativo contra la Universidad de Sevilla por el que se le reclamaba el abono de los trienios correspondientes por aplicación del régimen estatutario a su plaza vinculada (fisioterapeuta del Hospital Universitario Virgen del Rocío y Profesor Titular Interino de la Escuela Universitaria de Ciencias de la Salud). </w:t>
      </w:r>
    </w:p>
    <w:p w:rsidR="0025129F" w:rsidRDefault="0025129F" w:rsidP="0025129F">
      <w:pPr>
        <w:pStyle w:val="TextoNormal"/>
      </w:pPr>
      <w:r>
        <w:t xml:space="preserve">b) Por Sentencia de 7 noviembre de 1997 se desestimó el recurso. </w:t>
      </w:r>
    </w:p>
    <w:p w:rsidR="0025129F" w:rsidRDefault="0025129F" w:rsidP="0025129F">
      <w:pPr>
        <w:pStyle w:val="TextoNormal"/>
      </w:pPr>
      <w:r>
        <w:t xml:space="preserve">c) El 2 de febrero de 1998, la Sala, de oficio, dictó un Auto por el que se aclaraba la anterior Sentencia de 7 de noviembre de 1997 y la sustituía por otra que modifica la parte dispositiva de la misma (el fallo pasa de ser desestimatorio a estimatorio) y parte de su fundamentación jurídica. El Auto de aclaración fundamenta su decisión en que se había advertido un error informático. </w:t>
      </w:r>
    </w:p>
    <w:p w:rsidR="0025129F" w:rsidRDefault="0025129F" w:rsidP="0025129F">
      <w:pPr>
        <w:pStyle w:val="TextoNormal"/>
      </w:pPr>
      <w:r>
        <w:t>d) Contra este Auto se interpone recurso de amparo.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de amparo se aduce que el Auto impugnado vulnera el derecho que consagra el art. 24.1 CE al haber modificado la Sentencia de 7 de noviembre de 1997 sustituyéndola por otra distinta. A juicio de la Universidad recurrente, la Sala ha utilizado el procedimiento de aclaración de Sentencia para modificar radicalmente su contenido, lo que, en su opinión, supone un uso incorrecto del procedimiento de aclaración, pues considera que este procedimiento, de conformidad con lo previsto en el art. 87 LJCA, en relación con el art. 363 LEC, permite aclarar conceptos oscuros, adicionar algún pronunciamiento omitido o subsanar errores materiales, pero no modificar fundamentos de derecho o el propio fallo de la Sentencia, máxime cuando la modificación se ha producido de oficio y, en este caso, el Auto impugnado no se ha limitado a corregir un error material, sino </w:t>
      </w:r>
      <w:r>
        <w:lastRenderedPageBreak/>
        <w:t xml:space="preserve">que ha modificado una Sentencia firme introduciendo nuevos fundamentos de derecho en los que se realiza una distinta calificación jurídica de los hechos que lleva a modificar el fallo de la Sentencia. Así, mientras que en la Sentencia dictada originariamente se consideraba que el reclamante, a pesar de ser fisioterapeuta vinculado con plaza asistencial en propiedad, no tenía derecho al abono de trienios por su carácter de interino frente a la Universidad, en la Sentencia que se dicta en sustitución de aquélla se llega a la conclusión contraria, al considerar que se trataba de una situación irregular regulada por sus propias normas y que tenía derecho al abono de tal concepto retributivo. </w:t>
      </w:r>
    </w:p>
    <w:p w:rsidR="0025129F" w:rsidRDefault="0025129F" w:rsidP="0025129F">
      <w:pPr>
        <w:pStyle w:val="TextoNormal"/>
      </w:pPr>
      <w:r>
        <w:t>La Universidad recurrente aduce también que la sustitución de una Sentencia por otra no obedece a la existencia de un error informático -que es en lo que se fundamenta el Auto de aclaración ahora impugnado- pues la mera lectura de las dos Sentencias pone de manifiesto que lo que ha existido es una diferente apreciación del objeto del recurso. También señala que este Tribunal en las SSTC 142/1989, 119/1988, 23/1994 y 23/1996 ha considerado que se produce indefensión y, por tanto, vulneración del derecho fundamental a la tutela judicial efectiva cuando un Tribunal, mediante la figura de la aclaración, no se limita a aclarar conceptos oscuros o a corregir un error material, sino que modifica una Sentencia ya firme introduciendo un nuevo análisis jurídico y alterando el fallo.</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Primera, por providencia de 30 de noviembre de 1998, acordó admitir a trámite la demanda de amparo y, en virtud de lo dispuesto en el art. 51 de la LOTC, requerir a la Sección Segunda de la Sala de lo Contencioso-Administrativo del Tribunal Superior de Justicia de Andalucía para que en un plazo que no excediera de diez días remitiera testimonio del recurso contencioso-administrativo núm. 1043/94 y para que en el mismo plazo emplazara a los que hubieran sido parte en el procedimiento, con excepción del recurrente en amparo, para que, si lo deseaban, pudieran comparecer en el presente proceso.</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registrado el 18 de enero de 1999 en este Tribunal, la Procuradora de los Tribunales doña Teresa Castro Rodríguez se personó en este recurso de amparo en nombre y representación de don Agustín de Vicente Pérez.</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la Sección Primera de 8 de marzo de 1999 se tuvo por personada y parte a la Procuradora de los Tribunales doña Teresa Castro Rodríguez en nombre y representación de don Agustín de Vicente Pérez y se acordó dar vista de las actuaciones recibidas al solicitante de amparo, al Ministerio Fiscal y a la Procuradora doña Teresa Castro Rodríguez por plazo común de veinte días para que dentro de dicho plazo, si lo estimaban conveniente, formularan alegaciones.</w:t>
      </w:r>
    </w:p>
    <w:p w:rsidR="0025129F" w:rsidRDefault="0025129F" w:rsidP="0025129F">
      <w:pPr>
        <w:pStyle w:val="TextoNormal"/>
      </w:pPr>
    </w:p>
    <w:p w:rsidR="0025129F" w:rsidRDefault="0025129F" w:rsidP="0025129F">
      <w:pPr>
        <w:pStyle w:val="TextoNormal"/>
      </w:pPr>
      <w:r w:rsidRPr="0025129F">
        <w:rPr>
          <w:rStyle w:val="NumeroAFNegritaCaracter"/>
        </w:rPr>
        <w:t>7</w:t>
      </w:r>
      <w:r>
        <w:t>. El 17 de marzo de 1999, la Universidad demandante de amparo presentó en el Registro de este Tribunal su escrito de alegaciones, por el que se remitía a las formuladas en su escrito de demanda.</w:t>
      </w:r>
    </w:p>
    <w:p w:rsidR="0025129F" w:rsidRDefault="0025129F" w:rsidP="0025129F">
      <w:pPr>
        <w:pStyle w:val="TextoNormal"/>
      </w:pPr>
    </w:p>
    <w:p w:rsidR="0025129F" w:rsidRDefault="0025129F" w:rsidP="0025129F">
      <w:pPr>
        <w:pStyle w:val="TextoNormal"/>
      </w:pPr>
      <w:r w:rsidRPr="0025129F">
        <w:rPr>
          <w:rStyle w:val="NumeroAFNegritaCaracter"/>
        </w:rPr>
        <w:t>8</w:t>
      </w:r>
      <w:r>
        <w:t>. Por escrito registrado en este Tribunal el 6 de abril de 1999 la representación procesal de don Agustín de Vicente Pérez formuló sus alegaciones. Aduce en primer lugar que el recurso de amparo es inadmisible en virtud de lo dispuesto el art. 44.1 a) en relación con el art. 50.1 a) LOTC al no haber agotado todos los recursos utilizables dentro de la vía judicial. A juicio de esta parte, la Universidad recurrente debió plantear el incidente de nulidad de actuaciones previsto en el art. 240.3 LOPJ contra el Auto de aclaración de Sen</w:t>
      </w:r>
      <w:r>
        <w:lastRenderedPageBreak/>
        <w:t>tencia que se impugna en amparo para hacer valer los derechos que estima vulnerados. En segundo lugar, pone de manifiesto que contra la Sentencia originaria interpuso un incidente de nulidad de actuaciones al amparo del citado art. 240.3 LOPJ, del que desistió a la vista del contenido del Auto que se impugna en este recurso de amparo. Por ello considera que, en el caso de que no se estimara su anterior alegación y se otorgara el amparo solicitado por la Universidad de Sevilla, debería permitirse el mantenimiento del incidente de nulidad de actuaciones frente a la Sentencia originaria.</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Por escrito registrado en este Tribunal el 9 de abril de 1999, el Ministerio Fiscal presentó su escrito de alegaciones. El Fiscal aduce que el Auto impugnado no hace referencia al art. 267 LOPJ, que ofrece posibilidades de rectificación de errores materiales manifiestos, sino que se acoge a la previsión de aclaración de Sentencias ofrecida por los entonces vigentes arts. 87 LJCA y 363 LEC. También señala que este Auto contiene una motivación extremadamente parca, pues no se sabe si el error informático se debió a la firma como Sentencia de un borrador de la misma, a un error en la elección del fichero informático que incorpora una resolución judicial distinta o a otras causas. Alega también que en la Sentencia de este Tribunal 48/1998, de 22 de marzo, se resuelve un asunto que presenta cierta similitud con el de este recurso de amparo. De la doctrina establecida en la Sentencia citada en su fundamento jurídico tercero se deduce que, para que la rectificación de errores materiales sea compatible con el derecho que consagra el art. 24.1 CE, es preciso que el error sea manifiesto y para ello debe poder ser apreciado desde el texto de la resolución sin necesidad de realizar interpretaciones o deducciones valorativas; circunstancias que no se dan en este caso, ya que se sustituye la fundamentación jurídica de la Sentencia por otra que desemboca en un fallo de signo contrario, sin que pueda apreciarse a simple vista dónde radicaba el error manifiesto. </w:t>
      </w:r>
    </w:p>
    <w:p w:rsidR="0025129F" w:rsidRDefault="0025129F" w:rsidP="0025129F">
      <w:pPr>
        <w:pStyle w:val="TextoNormal"/>
      </w:pPr>
      <w:r>
        <w:t>Las anteriores consideraciones, unidas al hecho de que la propia Sala califica este caso como "aclaración" y no como una "rectificación de errores", sin que, por otra parte, precise en qué consistió el error informático padecido, llevan al Ministerio Fiscal a interesar el otorgamiento del amparo, pues entiende que en este caso no nos encontramos ante una "apariencia de Sentencia", sino ante una resolución que resuelve motivadamente el fondo de la pretensión deducida y que - de oficio y sin audiencia de parte alguna- es aclarada hasta el punto de cambiar su signo.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fecha 7 de marzo de 2002 se acordó señalar para deliberación y votación de esta Sentencia el día 11 siguiente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cuestión que se plantea en este recurso de amparo consiste en determinar si la Sala de lo Contencioso- Administrativo del Tribunal Superior de Justicia de Andalucía, con sede en Sevilla, al apreciar de oficio la existencia de un error informático en su Sentencia de 7 de noviembre de 1997 y aclararla a través del Auto ahora impugnado, en el que se acuerda sustituir dicha Sentencia por otra de fallo distinto (en la primera, la Sala desestimó el recurso en el que se reclamaba a la Universidad de Sevilla el pago de trienios y en la que la sustituye se estima el recurso y se declara el derecho del actor al pago de aquéllos), con una diferente fundamentación jurídica, ha vulnerado el derecho a la tutela judicial efectiva de la Universidad recurrente en amparo.</w:t>
      </w:r>
    </w:p>
    <w:p w:rsidR="0025129F" w:rsidRDefault="0025129F" w:rsidP="0025129F">
      <w:pPr>
        <w:pStyle w:val="TextoNormal"/>
      </w:pPr>
    </w:p>
    <w:p w:rsidR="0025129F" w:rsidRDefault="0025129F" w:rsidP="0025129F">
      <w:pPr>
        <w:pStyle w:val="TextoNormal"/>
      </w:pPr>
      <w:r w:rsidRPr="0025129F">
        <w:rPr>
          <w:rStyle w:val="NumeroAFNegritaCaracter"/>
        </w:rPr>
        <w:t>2</w:t>
      </w:r>
      <w:r>
        <w:t>. No obstante, antes de entrar en el estudio de si concurre la vulneración constitucional invocada debemos examinar, en primer lugar, la causa de inadmisibilidad alegada por la representación procesal de don Agustín de Vicente Pérez. Como se ha indicado en los antecedentes, esta parte solicita la inadmisión del presente recurso de amparo al considerar que la Universidad recurrente, al no haber formulado el incidente de nulidad de actuaciones contra el Auto por el que se aclara la Sentencia, no ha agotado todos los recursos utilizables dentro de la vía judicial y, en consecuencia, concurre la causa de inadmisión prevista en el art. 50.1 a) en relación con el art. 44.1 a) LOTC.</w:t>
      </w:r>
    </w:p>
    <w:p w:rsidR="0025129F" w:rsidRDefault="0025129F" w:rsidP="0025129F">
      <w:pPr>
        <w:pStyle w:val="TextoNormal"/>
      </w:pPr>
      <w:r>
        <w:t>Es doctrina reiterada de este Tribunal que los recursos de utilización previa obligada sólo son aquéllos cuya procedencia se desprenda de modo claro y terminante del tenor de las previsiones legales y, que, además, dada su naturaleza y finalidad, sean adecuados para reparar la lesión presuntamente sufrida (por todas, STC 168/2001, de 16 julio, FJ 2).</w:t>
      </w:r>
    </w:p>
    <w:p w:rsidR="0025129F" w:rsidRDefault="0025129F" w:rsidP="0025129F">
      <w:pPr>
        <w:pStyle w:val="TextoNormal"/>
      </w:pPr>
      <w:r>
        <w:t>En este caso, el incidente de nulidad de actuaciones no puede considerarse un recurso procedente, pues, de conformidad con lo establecido en el art. 240.3 LOPJ, tal incidente sólo puede fundamentarse en defectos de forma que causen indefensión o en la incongruencia del fallo, por lo que, al no basarse el recurso de amparo en ninguna de estas infracciones, aquel cauce procesal no puede reputarse un medio idóneo para reparar la lesión supuestamente padecida, de suerte que su promoción no sólo no resulta exigible a efectos de agotar la vía judicial previa al recurso de amparo, sino que, de haberse formulado, al tratarse de un remedio manifiestamente improcedente, ello hubiera determinado la extemporaneidad del amparo.</w:t>
      </w:r>
    </w:p>
    <w:p w:rsidR="0025129F" w:rsidRDefault="0025129F" w:rsidP="0025129F">
      <w:pPr>
        <w:pStyle w:val="TextoNormal"/>
      </w:pPr>
    </w:p>
    <w:p w:rsidR="0025129F" w:rsidRDefault="0025129F" w:rsidP="0025129F">
      <w:pPr>
        <w:pStyle w:val="TextoNormal"/>
      </w:pPr>
      <w:r w:rsidRPr="0025129F">
        <w:rPr>
          <w:rStyle w:val="NumeroAFNegritaCaracter"/>
        </w:rPr>
        <w:t>3</w:t>
      </w:r>
      <w:r>
        <w:t>. Y, dado que la aquí recurrente es una persona jurídica pública, la primera cuestión que tenemos que abordar, antes de entrar a examinar si concurre la infracción del derecho fundamental a la tutela judicial efectiva en la que se fundamenta el amparo, es si nos encontramos ante uno de los supuestos excepcionales en los que nuestra jurisprudencia ha reconocido a este tipo de personas jurídicas la titularidad de aquel derecho.</w:t>
      </w:r>
    </w:p>
    <w:p w:rsidR="0025129F" w:rsidRDefault="0025129F" w:rsidP="0025129F">
      <w:pPr>
        <w:pStyle w:val="TextoNormal"/>
      </w:pPr>
      <w:r>
        <w:t>Es doctrina de este Tribunal que el derecho a la tutela judicial efectiva, como derecho fundamental, protege, antes que nada, a los individuos frente al poder, de ahí que ya en la STC 64/1988, de 12 de abril, FJ 1, mantuviéramos "que no se puede efectuar una íntegra traslación a las personas jurídicas de Derecho Público de las doctrinas jurisprudenciales elaboradas en el desarrollo del citado derecho fundamental en contemplación directa de derechos fundamentales de los ciudadanos" (doctrina reiterada en otras posteriores, entre otras muchas, SSTC 175/2001, de 26 de julio, FJ 4; 239/2001, de 18 de diciembre, FJ 3, y 240/2001, de 18 de diciembre, FJ 3).</w:t>
      </w:r>
    </w:p>
    <w:p w:rsidR="0025129F" w:rsidRDefault="0025129F" w:rsidP="0025129F">
      <w:pPr>
        <w:pStyle w:val="TextoNormal"/>
      </w:pPr>
      <w:r>
        <w:t>Tales consideraciones nos han llevado a señalar en la STC 175/2001, FJ 5, que "sólo en supuestos excepcionales una organización jurídico-pública disfruta -ante los órganos judiciales del Estado- del derecho fundamental a la tutela judicial efectiva y, por lo mismo, sólo excepcionalmente podemos considerar el recurso de amparo como cauce idóneo para que las personas públicas denuncien una defectuosa tutela de los Jueces y Tribunales".</w:t>
      </w:r>
    </w:p>
    <w:p w:rsidR="0025129F" w:rsidRDefault="0025129F" w:rsidP="0025129F">
      <w:pPr>
        <w:pStyle w:val="TextoNormal"/>
      </w:pPr>
      <w:r>
        <w:t xml:space="preserve">Y ya con el punto de partida que es esa excepcionalidad, será de señalar que la citada STC 175/2001 (FJ 8) extiende "singulares garantías procesales" a las personas públicas en atención "al interés objetivo en que el proceso sirva de forma idónea a la función jurisdiccional atribuida por la Constitución a Jueces y Tribunales (art. 117.1 CE)", con alusión expresa a "la estabilidad de las resoluciones que pongan fin al proceso". Este es el caso que ahora se examina, pues la lesión constitucional alegada por la Universidad demandante es precisamente la sustitución, por vía de aclaración, de una Sentencia firme, es decir, </w:t>
      </w:r>
      <w:r>
        <w:lastRenderedPageBreak/>
        <w:t>una Sentencia "pasada en autoridad de cosa juzgada" -art. 408 de la Ley de Enjuiciamiento Civil vigente a la sazón, hoy art. 207, 3 y 4-, por otra de contenido -fundamentación y fallo- diferente. Y la "autoridad" de la cosa juzgada que, en lo que ahora importa, implica la vinculación del órgano jurisdiccional a sus propias decisiones, resulta esencial para que la institución procesal, en la medida en que obedece a las exigencias del principio de seguridad jurídica -art. 9.3 CE-, pueda cumplir la relevante función que le corresponde para el mantenimiento de la paz social -art. 10,1 CE-.</w:t>
      </w:r>
    </w:p>
    <w:p w:rsidR="0025129F" w:rsidRDefault="0025129F" w:rsidP="0025129F">
      <w:pPr>
        <w:pStyle w:val="TextoNormal"/>
      </w:pPr>
      <w:r>
        <w:t>De todo ello deriva que las personas públicas, una vez que han asumido la condición de parte en el proceso, han de estar amparadas, en la expresa dicción de la STC 175/2001, por la "singular garantía procesal" que es la "estabilidad de las resoluciones que pongan fin al proceso" para que éste "sirva de forma idónea a la función jurisdiccional".</w:t>
      </w:r>
    </w:p>
    <w:p w:rsidR="0025129F" w:rsidRDefault="0025129F" w:rsidP="0025129F">
      <w:pPr>
        <w:pStyle w:val="TextoNormal"/>
      </w:pPr>
      <w:r>
        <w:t>En conclusión, los fines mismos de la institución procesal reclaman que la cosa juzgada, más concretamente, en lo que ahora importa, la invariabilidad de las Sentencias, haya de extender sus consecuencias a todas las partes en el proceso, con independencia de su condición de persona pública o privada.</w:t>
      </w:r>
    </w:p>
    <w:p w:rsidR="0025129F" w:rsidRDefault="0025129F" w:rsidP="0025129F">
      <w:pPr>
        <w:pStyle w:val="TextoNormal"/>
      </w:pPr>
      <w:r>
        <w:t>Por todo ello, ha de concluirse que, en el caso que ahora se examina, la persona jurídica pública recurrente en amparo sí que es titular del derecho fundamental a la tutela judicial efectiva y, en consecuencia, procede examinar si la Sala de lo Contencioso-Administrativo ha vulnerado este derecho fundamental en su manifestación de derecho a la intangibilidad de las resoluciones judiciales, que es la vulneración constitucional que se invoca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4</w:t>
      </w:r>
      <w:r>
        <w:t>. Es doctrina reiterada de este Tribunal que el principio de intangibilidad, inmodificabilidad o invariabilidad de las resoluciones judiciales, que impide a los Jueces y Tribunales variar o revisar sus resoluciones definitivas al margen de los supuestos y cauces taxativamente previstos en la Ley, incluso en la hipótesis de que con posterioridad entendieran que la decisión adoptada no es ajustada a la legalidad, además de ser una exigencia del principio de seguridad jurídica, constituye una manifestación del derecho a la tutela judicial efectiva que consagra el art. 24.1 CE (entre otras muchas, SSTC 48/1999, de 22 de marzo, FJ 2; 286/2000, de 27 de noviembre, FJ 2; 140/2001, de 18 de junio, FJ 3), ya que de otro modo la tutela judicial otorgada no sería efectiva (SSTC 23/1994, de 27 de enero, FJ 1; en el mismo sentido, entre otras muchas, 23/1996, de 13 de febrero, FJ 2, y 140/2001, FJ 3).</w:t>
      </w:r>
    </w:p>
    <w:p w:rsidR="0025129F" w:rsidRDefault="0025129F" w:rsidP="0025129F">
      <w:pPr>
        <w:pStyle w:val="TextoNormal"/>
      </w:pPr>
      <w:r>
        <w:t>No obstante, también hemos declarado que ni la seguridad jurídica ni la efectividad de la tutela judicial alcanzan a integrar un supuesto derecho a beneficiarse de simples errores materiales o de evidentes omisiones en la redacción o transcripción de la Sentencia que puedan deducirse, con toda certeza, del propio texto de la misma (SSTC 286/2000, de 27 de noviembre, FJ 2; 140/2001, FJ 3). Por ello, hemos mantenido que el llamado recurso de aclaración -remedio procesal previsto con carácter general en el art. 267 LOPJ- es compatible con el derecho fundamental que consagra el art. 24.1 CE.</w:t>
      </w:r>
    </w:p>
    <w:p w:rsidR="0025129F" w:rsidRDefault="0025129F" w:rsidP="0025129F">
      <w:pPr>
        <w:pStyle w:val="TextoNormal"/>
      </w:pPr>
      <w:r>
        <w:t xml:space="preserve">Ahora bien, esta vía de aclaración debe ser utilizada únicamente en los concretos casos para los que está prevista, esto es, para aclarar conceptos oscuros,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Por ello hemos admitido la posibilidad de que, a través de este cauce procesal, se pueda rectificar el error </w:t>
      </w:r>
      <w:r>
        <w:lastRenderedPageBreak/>
        <w:t>consistente en haber certificado como una Sentencia lo que no era tal, sino un simple borrador (STC 187/1992, de 16 de noviembre); que se pueda llegar a modificar el sentido del fallo en aquellos casos en los que sea evidente, por deducirse con toda certeza del propio texto de la Sentencia, sin necesidad de hipótesis, deducciones e interpretaciones, que el órgano judicial simplemente se equivocó al trasladar el resultado de su juicio al fallo (SSTC 23/1994, de 27 de enero, FJ 1; 59/2001, de 26 de febrero, FJ 4); o, incluso, en un supuesto en el que el órgano judicial, como consecuencia de un error informático, había incorporado a la Sentencia una fundamentación jurídica y un fallo relativos a otro procedimiento, hemos admitido que por esta vía se sustituyeran el fallo y la fundamentación, al tratarse de un caso en el que la existencia del error en el que se basaba la rectificación podía apreciarse desde el mismo texto de la Sentencia sin necesidad de efectuar valoración o interpretación jurídica alguna, ya que sus fundamentos de derecho y fallo se referían a un acto administrativo distinto del que se impugnó en ese recurso contencioso-administrativo (STC 48/1999).</w:t>
      </w:r>
    </w:p>
    <w:p w:rsidR="0025129F" w:rsidRDefault="0025129F" w:rsidP="0025129F">
      <w:pPr>
        <w:pStyle w:val="TextoNormal"/>
      </w:pPr>
    </w:p>
    <w:p w:rsidR="0025129F" w:rsidRDefault="0025129F" w:rsidP="0025129F">
      <w:pPr>
        <w:pStyle w:val="TextoNormal"/>
      </w:pPr>
      <w:r w:rsidRPr="0025129F">
        <w:rPr>
          <w:rStyle w:val="NumeroAFNegritaCaracter"/>
        </w:rPr>
        <w:t>5</w:t>
      </w:r>
      <w:r>
        <w:t>. En el presente caso, la Sala de lo Contencioso-Administrativo, aduciendo que había apreciado la existencia de un error informático, procedió de oficio a aclarar su Sentencia de 7 de noviembre de 1997 y a sustituirla por otra con un fallo distinto -como ya se ha señalado, pasa de ser desestimatorio a ser estimatorio- y con una fundamentación jurídica también diferente -en el fundamento jurídico cuarto de la Sentencia que se dicta en sustitución de la dictada originariamente se exponen las razones por las que se considera que el recurrente sí tenía derecho a que se le abonaran los trienios solicitados, cuando en la Sentencia originaria, en ese mismo fundamento jurídico, se exponían los motivos por los que se entendía que el recurrente no tenía derecho a percibir tal concepto retributivo-. Así las cosas, a pesar de que la Sala basa la aclaración efectuada en la existencia de un error informático, este error no puede considerarse como un error material manifiesto, ya que su existencia no puede apreciarse, a simple vista, desde el texto de la Sentencia que ha sido objeto de aclaración (STC 48/1999, de 22 de marzo, FJ 3), sin que, por otra parte, la Sala haya expuesto razón alguna que ponga de manifiesto que la rectificación del error advertido no conlleva una nueva valoración jurídica de la cuestión resuelta por la Sentencia que se pretende aclarar. Y será de advertir que, mientras que el texto originario de la Sentencia, antes de la aclaración, se refiere al Sr. de Vicente, que era quien había interpuesto el recurso contencioso-administrativo que se fallaba -en el fundamento jurídico 2 alude "al actor" y en el 4 se refiere a él como "profesor titular interino"-, la nueva redacción, derivada del Auto de aclaración, va dirigida a persona inequívocamente distinta -en el fundamento jurídico 4 menciona a "la actora ATS", "funcionaria de carrera", "funcionaria interina", "profesora interina"-, de suerte que más parece fruto del error informático la segunda versión que la primera.</w:t>
      </w:r>
    </w:p>
    <w:p w:rsidR="0025129F" w:rsidRDefault="0025129F" w:rsidP="0025129F">
      <w:pPr>
        <w:pStyle w:val="TextoNormal"/>
      </w:pPr>
      <w:r>
        <w:t>Por todo ello, debemos concluir que la Sala de lo Contencioso-Administrativo, al sustituir la Sentencia de 7 de noviembre de 1997 por otra en la que, tras realizar una nueva valoración jurídica de la cuestión planteada en el recurso, modifica el sentido del fallo, ha traspasado los límites en los que la vía de la aclaración es constitucionalmente legítima, vulnerando el derecho de la Universidad recurrente en amparo a la tutela judicial efectiva en su manifestación de derecho a la intangibilidad de las resoluciones judiciales firmes.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Debe señalarse, por último, que no procede acceder a la petición formulada por la representación procesal de don Agustín de Vicente Pérez por la que se solicita que, en el caso de que se estime el recurso de amparo, se acuerde mantener el incidente de nulidad </w:t>
      </w:r>
      <w:r>
        <w:lastRenderedPageBreak/>
        <w:t>de actuaciones que instó respecto de la Sentencia originariamente dictada y del que desistió al haberse dictado el Auto ahora impugnado en amparo, pues a este Tribunal corresponde adoptar las medidas apropiadas para el restablecimiento del recurrente en la integridad de su derecho -art. 55.1 c) LOTC-, quedando en el ámbito de la jurisdicción ordinaria la determinación de las consecuencias de un desistimiento planteado ante ella por la parte aquí demandada.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consecuencia:</w:t>
      </w:r>
    </w:p>
    <w:p w:rsidR="0025129F" w:rsidRDefault="0025129F" w:rsidP="0025129F">
      <w:pPr>
        <w:pStyle w:val="TextoNormal"/>
      </w:pPr>
      <w:r>
        <w:t>1º Reconocer el derecho de la recurrente a la tutela judicial efectiva en su manifestación de derecho a la intangibilidad de las resoluciones judiciales firmes.</w:t>
      </w:r>
    </w:p>
    <w:p w:rsidR="0025129F" w:rsidRDefault="0025129F" w:rsidP="0025129F">
      <w:pPr>
        <w:pStyle w:val="TextoNormal"/>
      </w:pPr>
      <w:r>
        <w:t>2º Declarar la nulidad del Auto de la Sección Segunda de la Sala de lo Contencioso- Administrativo del Tribunal Superior de Justicia de Andalucía, con sede en Sevilla, de 2 de febrero de 1998, de aclaración de Sentencia.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0" w:name="SENTENCIA_2002_57"/>
      <w:r>
        <w:lastRenderedPageBreak/>
        <w:t>SENTENCIA 57/2002, de 11 de marzo de 2002</w:t>
      </w:r>
    </w:p>
    <w:bookmarkEnd w:id="60"/>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ECLI:ES:TC:2002:57</w:t>
      </w:r>
    </w:p>
    <w:p w:rsidR="0025129F" w:rsidRDefault="0025129F" w:rsidP="0025129F">
      <w:pPr>
        <w:pStyle w:val="SntesisDescriptiva"/>
      </w:pPr>
    </w:p>
    <w:p w:rsidR="0025129F" w:rsidRDefault="0025129F" w:rsidP="0025129F">
      <w:pPr>
        <w:pStyle w:val="SntesisDescriptiva"/>
      </w:pPr>
      <w:r>
        <w:t>Recurso de amparo 2622/1998. Promovido por don Jesús Amantes Arnaiz frente a Sentencias de la Sala de lo Penal del Tribunal Supremo y de la Audiencia Nacional que le condenaron por varios delitos de homicidio, estragos y lesiones.</w:t>
      </w:r>
    </w:p>
    <w:p w:rsidR="0025129F" w:rsidRDefault="0025129F" w:rsidP="0025129F">
      <w:pPr>
        <w:pStyle w:val="SntesisDescriptiva"/>
      </w:pPr>
    </w:p>
    <w:p w:rsidR="0025129F" w:rsidRDefault="0025129F" w:rsidP="0025129F">
      <w:pPr>
        <w:pStyle w:val="SntesisAnaltica"/>
      </w:pPr>
      <w:r>
        <w:t>Supuesta vulneración de los derechos a la igualdad, un proceso con todas las garantías y la presunción de inocencia: condena fundada en la declaración de un coimputado, contrastada en el juicio oral y corroborada.</w:t>
      </w:r>
    </w:p>
    <w:p w:rsidR="0025129F" w:rsidRDefault="0025129F" w:rsidP="0025129F">
      <w:pPr>
        <w:pStyle w:val="SntesisAnaltica"/>
      </w:pPr>
    </w:p>
    <w:p w:rsidR="0025129F" w:rsidRDefault="0025129F" w:rsidP="0025129F">
      <w:pPr>
        <w:pStyle w:val="Extracto"/>
      </w:pPr>
      <w:r>
        <w:t>1.</w:t>
      </w:r>
      <w:r>
        <w:tab/>
        <w:t>La declaración del coimputado, cuya veracidad debe ser externamente corroborada, no se produjo de forma aislada, sino en el curso de una completa confesión de su integración en una banda terrorista, a través de la cual facilitó datos que permitieron identificar y detener a otros cinco integrantes o informadores del comando, a los que la policía intervino diverso material, armas y diferente documentación acreditativa de la veracidad de dichas imputaciones [ FJ 4].</w:t>
      </w:r>
    </w:p>
    <w:p w:rsidR="0025129F" w:rsidRDefault="0025129F" w:rsidP="0025129F">
      <w:pPr>
        <w:pStyle w:val="Extracto"/>
      </w:pPr>
    </w:p>
    <w:p w:rsidR="0025129F" w:rsidRDefault="0025129F" w:rsidP="0025129F">
      <w:pPr>
        <w:pStyle w:val="Extracto"/>
      </w:pPr>
      <w:r>
        <w:t>2.</w:t>
      </w:r>
      <w:r>
        <w:tab/>
        <w:t>Las declaraciones de los coimputados, que no están prohibidas por la ley procesal, pueden valorarse como pruebas aptas para destruir la presunción de inocencia. Sin embargo, se trata de una prueba intrínsecamente sospechosa, por lo que su veracidad ha de verse avalada por algún hecho, dato o circunstancia externa (SSTC 68/2000, 2/2002) [FJ 4].</w:t>
      </w:r>
    </w:p>
    <w:p w:rsidR="0025129F" w:rsidRDefault="0025129F" w:rsidP="0025129F">
      <w:pPr>
        <w:pStyle w:val="Extracto"/>
      </w:pPr>
    </w:p>
    <w:p w:rsidR="0025129F" w:rsidRDefault="0025129F" w:rsidP="0025129F">
      <w:pPr>
        <w:pStyle w:val="Extracto"/>
      </w:pPr>
      <w:r>
        <w:t>3.</w:t>
      </w:r>
      <w:r>
        <w:tab/>
        <w:t>No es exigible una corroboración plena, sino que la declaración quede mínimamente corroborada o que se añada a las declaraciones del coimputado algún dato que corrobore mínimamente su contenido (SSTC 153/1997, 115/1998) [FJ 4].</w:t>
      </w:r>
    </w:p>
    <w:p w:rsidR="0025129F" w:rsidRDefault="0025129F" w:rsidP="0025129F">
      <w:pPr>
        <w:pStyle w:val="Extracto"/>
      </w:pPr>
    </w:p>
    <w:p w:rsidR="0025129F" w:rsidRDefault="0025129F" w:rsidP="0025129F">
      <w:pPr>
        <w:pStyle w:val="Extracto"/>
      </w:pPr>
      <w:r>
        <w:t>4.</w:t>
      </w:r>
      <w:r>
        <w:tab/>
        <w:t>La declaración sumarial cuyo contenido fue utilizado para fundar la condena del recurrente no se prestó en dependencias policiales, sino ante el Juez de Instrucción en presencia del Letrado del coimputado y del Ministerio Fiscal, y se incorporó al acto del juicio oral con la necesaria contradicción, inmediación y oralidad, tal y como el art. 714 LECrim exige, de modo que fue respetado el derecho a un proceso con todas las garantías [FJ 2].</w:t>
      </w:r>
    </w:p>
    <w:p w:rsidR="0025129F" w:rsidRDefault="0025129F" w:rsidP="0025129F">
      <w:pPr>
        <w:pStyle w:val="Extracto"/>
      </w:pPr>
    </w:p>
    <w:p w:rsidR="0025129F" w:rsidRDefault="0025129F" w:rsidP="0025129F">
      <w:pPr>
        <w:pStyle w:val="Extracto"/>
      </w:pPr>
      <w:r>
        <w:t>5.</w:t>
      </w:r>
      <w:r>
        <w:tab/>
        <w:t>Habiendo sido incorporada al acto del juicio oral en condiciones de plena contradicción, la declaración sumarial incriminatoria del coimputado prestada ante el Juez de Instrucción con asistencia de su Letrado es constitucionalmente apta para desvituar la presunción de inocencia [FJ 3].</w:t>
      </w:r>
    </w:p>
    <w:p w:rsidR="0025129F" w:rsidRDefault="0025129F" w:rsidP="0025129F">
      <w:pPr>
        <w:pStyle w:val="Extracto"/>
      </w:pPr>
    </w:p>
    <w:p w:rsidR="0025129F" w:rsidRDefault="0025129F" w:rsidP="0025129F">
      <w:pPr>
        <w:pStyle w:val="Extracto"/>
      </w:pPr>
      <w:r>
        <w:t>6.</w:t>
      </w:r>
      <w:r>
        <w:tab/>
        <w:t>El juicio sobre si una determinada prueba es suficiente para establecer, más allá de toda duda razonable, la culpabilidad del acusado, compete a los Jueces y Tribunales ordinarios en su función exclusiva ex art. 117.1 CE (STC 81/1998) [FJ 2].</w:t>
      </w:r>
    </w:p>
    <w:p w:rsidR="0025129F" w:rsidRDefault="0025129F" w:rsidP="0025129F">
      <w:pPr>
        <w:pStyle w:val="Extracto"/>
      </w:pPr>
    </w:p>
    <w:p w:rsidR="0025129F" w:rsidRDefault="0025129F" w:rsidP="0025129F">
      <w:pPr>
        <w:pStyle w:val="Extracto"/>
      </w:pPr>
      <w:r>
        <w:lastRenderedPageBreak/>
        <w:t>7.</w:t>
      </w:r>
      <w:r>
        <w:tab/>
        <w:t>Que un órgano judicial otorgue mayor valor a un testimonio que a otro forma parte de la valoración judicial de la prueba, y no guarda  relación ni con el principio de igualdad ni con el derecho fundamental a la presunción de inocencia (STC 11/1995)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2622/98, promovido por don Jesús Amantes Arnaiz, representado por el Procurador de los Tribunales don José Manuel Dorremochea Aramburu y asistido por el Letrado don Iñaki Goyoaga Llano, contra la Sentencia núm. 620/1998, de 6 de mayo de 1998, dictada por la Sala Segunda del Tribunal Supremo, que desestimó el recurso de casación formulado contra la Sentencia núm. 16/1997 de la Sección Segunda de la Sala de lo Penal de la Audiencia Nacional, dictada en el sumario núm. 51/83 (rollo núm. 72/83), seguido por varios delitos de homicidio, estragos y lesiones. Ha intervenido el Ministerio Fiscal. Ha sido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la sede de este Tribunal el 12 de junio de 1998 el Procurador don Jose Manuel Dorremochea Aramburu interpuso recurso de amparo en nombre y representación de don Jesús Amantes Arnaiz contra las resoluciones mencionadas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 amparo se fundamenta en los hechos que a continuación se resumen, según se deduce de las actuaciones y, singularmente, del relato de hechos probados: </w:t>
      </w:r>
    </w:p>
    <w:p w:rsidR="0025129F" w:rsidRDefault="0025129F" w:rsidP="0025129F">
      <w:pPr>
        <w:pStyle w:val="TextoNormal"/>
      </w:pPr>
      <w:r>
        <w:t xml:space="preserve">a) El recurrente fue condenado a penas que suman 61 años, 6 meses y 10 días de privación de libertad (con las accesorias de inhabilitación absoluta y suspensión de cargo público durante el tiempo de condena) en Sentencia dictada el 6 de marzo de 1997 por la Sección Segunda de la Sala de lo Penal de la Audiencia Nacional, que le declaró autor de un delito de homicidio en concurso con otro de estragos, dos delitos de homicidio, tres de lesiones graves, dos de lesiones leves y una falta de lesiones. El límite máximo de cumplimiento de las penas impuestas se fijó en 30 años de privación de libertad. </w:t>
      </w:r>
    </w:p>
    <w:p w:rsidR="0025129F" w:rsidRDefault="0025129F" w:rsidP="0025129F">
      <w:pPr>
        <w:pStyle w:val="TextoNormal"/>
      </w:pPr>
      <w:r>
        <w:t xml:space="preserve">El relato de hechos probados de la Sentencia condenatoria declaró lo siguiente: </w:t>
      </w:r>
    </w:p>
    <w:p w:rsidR="0025129F" w:rsidRDefault="0025129F" w:rsidP="0025129F">
      <w:pPr>
        <w:pStyle w:val="TextoNormal"/>
      </w:pPr>
      <w:r>
        <w:t>"I.- El acusado Jesús Amantes Arnaiz, ... en unión del ya condenado en esta causa Juan Carlos Echeandía Zorroza y un tercero, pertenecía en el comienzo del año 1983 a un co</w:t>
      </w:r>
      <w:r>
        <w:lastRenderedPageBreak/>
        <w:t xml:space="preserve">mando de la organización terrorista ETA, y proyectan la colocación de un artilugio dotado del explosivo goma-dos en la oficina central del Banco de Vizcaya sito en la Gran Vía de Bilbao, al efecto que la explosión ocasionara alarma y destrozos. Una vez que la dirección de ETA autorizó, desde Francia, el mentado proyecto, el acusado, Echeandía y el tercero acuerdan ponerlo en práctica, y para el mejor éxito de lo planeado el tercero no juzgado entró en el establecimiento bancario portando un paquete de libros con una pieza metálica en su interior, lo que le permitió comprobar que no existían detectores de metales. Pocos días después el acusado y Echeandía fueron también al Banco para decidir el lugar idóneo de colocación del explosivo. Después de estos preparativos se reúnen el acusado y los otros dos en el barrio de Deusto, y deciden que la persona no juzgada construya el artefacto explosivo y lo esconda dentro de un maletín, en tanto que el acusado se encargaría de colocarlo en el departamento de moneda extranjera situado en el primer piso, siendo la misión de Echeandía quedarse en el exterior del edificio en función de vigilancia y armado, como el acusado y el tercero, con una pistola. </w:t>
      </w:r>
    </w:p>
    <w:p w:rsidR="0025129F" w:rsidRDefault="0025129F" w:rsidP="0025129F">
      <w:pPr>
        <w:pStyle w:val="TextoNormal"/>
      </w:pPr>
      <w:r>
        <w:t xml:space="preserve">II.- El día 3 de febrero de 1983 en una nueva reunión celebrada en un local de la plaza Zabalburu, la persona no juzgada mostró al acusado y a Echeandía el artefacto ya confeccionado, indicándoles que una vez depositado, escondido dentro del maletín, y activado al quitársele el seguro, explotaría en tiempo de veinticinco minutos en caso de mover el maletín y de trece minutos si se intentaba la apertura del maletín. </w:t>
      </w:r>
    </w:p>
    <w:p w:rsidR="0025129F" w:rsidRDefault="0025129F" w:rsidP="0025129F">
      <w:pPr>
        <w:pStyle w:val="TextoNormal"/>
      </w:pPr>
      <w:r>
        <w:t xml:space="preserve">III.- El día 5 del mismo mes y año, acuden los tres a una cafetería de la calle Colón de Larreategui, en la que el tercero hace entrega al acusado del maletín preparado con el artefacto explosivo, y se dirigen los tres al banco elegido como objetivo, todos armados con sendas pistolas, y al llegar al banco Echeandía se quedó fuera, penetrando en la entidad bancaria, por diferentes accesos, Plaza de España y Gran Vía respectivamente, el tercero y el acusado. Este último, antes de las nueve y media de la mañana, pudo advertir que en el banco, al ser horas de atención al público, estaban ya los empleados del mismo en las diferentes dependencias y en concreto en el departamento de moneda extranjera, pese a lo cual depositó disimuladamente el maletín en dicho departamento, sin que ningún empleado advirtiera su acción. Pasados unos minutos desde que entraron en el banco el acusado y el tercero, Echeandía observó que este último lo abandonaba pero no así el acusado, por lo que Echeandía entró en el banco y vio al acusado, quien le hizo una señal para que se marchara, lo que hizo Echeandía y poco después el acusado. </w:t>
      </w:r>
    </w:p>
    <w:p w:rsidR="0025129F" w:rsidRDefault="0025129F" w:rsidP="0025129F">
      <w:pPr>
        <w:pStyle w:val="TextoNormal"/>
      </w:pPr>
      <w:r>
        <w:t xml:space="preserve">IV.-En dicho momento Echeandía, según lo convenido anteriormente, telefoneó al establecimiento bancario, diciendo 'habla ETA- Militar, en la Central del Banco de Vizcaya se ha colocado una bomba, desalojen en diez minutos y procuren no tocar ningún objeto sospechoso'. Acto seguido hizo otra llamada semejante al diario Egin y otra, que resultó infructuosa, al periódico Deia. En el interior del banco una telefonista, que a las nueve treinta horas recibió el reseñado aviso, lo comunicó al Jefe de Seguridad del edificio, quien ordenó a un vigilante que procediera a la revisión de los servicios y el resto de las plantas baja y primera, por ser las de libre circulación en la entidad bancaria, lo que inició el vigilante en unión de otro. </w:t>
      </w:r>
    </w:p>
    <w:p w:rsidR="0025129F" w:rsidRDefault="0025129F" w:rsidP="0025129F">
      <w:pPr>
        <w:pStyle w:val="TextoNormal"/>
      </w:pPr>
      <w:r>
        <w:t xml:space="preserve">V.-Entretanto, en el departamento de moneda extranjera, algunos empleados se dieron cuenta de la presencia del maletín, e ignorantes de su contenido lo movieron y bromearon con la posibilidad de que fuese una bomba y sobre las nueve cuarenta y cinco horas se produjo el estallido del artilugio escondido en el maletín, que originó grandes destrozos en la planta y, por la onda expansiva, derribos y lanzamientos de materiales." </w:t>
      </w:r>
    </w:p>
    <w:p w:rsidR="0025129F" w:rsidRDefault="0025129F" w:rsidP="0025129F">
      <w:pPr>
        <w:pStyle w:val="TextoNormal"/>
      </w:pPr>
      <w:r>
        <w:lastRenderedPageBreak/>
        <w:t xml:space="preserve">A causa de la explosión fallecieron tres personas (el cajero del departamento, un empleado del banco y otra más), y otras once resultaron con heridas o traumatismos de diversa consideración. </w:t>
      </w:r>
    </w:p>
    <w:p w:rsidR="0025129F" w:rsidRDefault="0025129F" w:rsidP="0025129F">
      <w:pPr>
        <w:pStyle w:val="TextoNormal"/>
      </w:pPr>
      <w:r>
        <w:t xml:space="preserve">b) En su fundamento jurídico segundo, la Sentencia condenatoria declaró que la participación del recurrente en los hechos había quedado probada por "la declaración judicial que, en presencia de Letrado, prestó el ya condenado Juan Carlos Echeandía Zorroza, que obra en los folios 247 a 250 inclusive, y en concreto, en lo que afecta al hecho de autos, en la última línea del folio 248 y primer párrafo del folio siguiente". Se consideró, además, que dicha prueba de cargo quedó completada, en lo objetivo (características del artilugio explosivo, resultados mortales y lesivos y producción de estragos), con los correspondientes informes periciales emitidos durante el proceso. </w:t>
      </w:r>
    </w:p>
    <w:p w:rsidR="0025129F" w:rsidRDefault="0025129F" w:rsidP="0025129F">
      <w:pPr>
        <w:pStyle w:val="TextoNormal"/>
      </w:pPr>
      <w:r>
        <w:t xml:space="preserve">c) En la citada declaración, prestada el 26 de mayo de 1983 ante el Juez Central de Instrucción, don Juan Carlos Echeandía Zorroza, que después sería condenado como autor de los mismos hechos en un proceso precedente al que ha dado lugar a esta demanda, afirmó pertenecer al comando "José Martí"de la organización terrorista ETA militar, en el que estarían también integrados el recurrente y una tercera persona. Y en relación a los hechos imputados al recurrente en la Sentencia condenatoria, manifestó lo siguiente: </w:t>
      </w:r>
    </w:p>
    <w:p w:rsidR="0025129F" w:rsidRDefault="0025129F" w:rsidP="0025129F">
      <w:pPr>
        <w:pStyle w:val="TextoNormal"/>
      </w:pPr>
      <w:r>
        <w:t xml:space="preserve">"Que en relación a la colocación [de] a un artefacto explosivo en Bilbao al Banco de Vizcaya, obrante al folio 5 vuelto, 6 y 6 vuelto de la declaración policial que expresamente le es leída, manifiesta que está de acuerdo con su contenido en todo lo referente a personas, lugares, fechas y circunstancias, con excepción de que desconoce totalmente la composición y características del artefacto explosivo, ni tampoco el mecanismo exacto de percusión, y quiere manifestar que el objeto de la cita en el Bar Lerchundi de Bilbao no es el de comer, porque a nadie le entraba la comida" </w:t>
      </w:r>
    </w:p>
    <w:p w:rsidR="0025129F" w:rsidRDefault="0025129F" w:rsidP="0025129F">
      <w:pPr>
        <w:pStyle w:val="TextoNormal"/>
      </w:pPr>
      <w:r>
        <w:t>d) El condenado interpuso recurso de casación contra la anterior resolución, que fue desestimado por la Sala Segunda del Tribunal Supremo mediante Sentencia de fecha 6 de mayo de 1998.</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su demanda solicita el actor que se le otorgue amparo y se declare "su libre absolución con todos los pronunciamientos favorables, al no haber pruebas de cargo contra ellos obtenidas de forma válida y aportadas debidamente al procedimiento". </w:t>
      </w:r>
    </w:p>
    <w:p w:rsidR="0025129F" w:rsidRDefault="0025129F" w:rsidP="0025129F">
      <w:pPr>
        <w:pStyle w:val="TextoNormal"/>
      </w:pPr>
      <w:r>
        <w:t xml:space="preserve">Afirma el actor, en primer lugar, que las resoluciones impugnadas han vulnerado su derecho a la presunción de inocencia, por cuanto ha sido condenado sin que exista prueba de cargo en su contra, pues no tendría tal consideración la declaración sumarial inculpatoria que ha servido para fundar su condena, prestada en el mes de mayo de 1983 por don Juan Carlos Echeandía, uno de los co-acusados de haber participado en los hechos. El recurrente destaca que, pese a sus iniciales afirmaciones, el coimputado Sr. Echeandía no ratificó en la vista oral (celebrada catorce años después), la declaración sumarial, sino que se retractó de sus imputaciones y desmintió su contenido, pese a que entonces, al haber sido ya condenado por los mismos hechos, declaró como testigo. Pone el acento el recurrente, además, en que dicha declaración incriminatoria no fue prestada en el acto del juicio oral, momento en el que las pruebas han de practicarse a fin de que los acusados puedan contradecirlas, sino en fase sumarial, cuando no estaba personado en las actuaciones, por lo que su Letrado no pudo asistir a las mismas ni, por tanto, ejercer frente a ellas su derecho de defensa. Se afirma también que tal declaración ha sido obtenida ilícitamente con vulneración de derechos fundamentales, porque vino precedida de un periodo de siete días de detención policial en situación de incomunicación, y no fue sino una simple ratificación de la anterior declaración policial. Por último, cuestiona la credibilidad de tal declaración, por </w:t>
      </w:r>
      <w:r>
        <w:lastRenderedPageBreak/>
        <w:t xml:space="preserve">cuanto es contradictoria por otros elementos de prueba practicados en el proceso que desmentirían algunas de las conclusiones establecidas en el relato de hechos probados. </w:t>
      </w:r>
    </w:p>
    <w:p w:rsidR="0025129F" w:rsidRDefault="0025129F" w:rsidP="0025129F">
      <w:pPr>
        <w:pStyle w:val="TextoNormal"/>
      </w:pPr>
      <w:r>
        <w:t xml:space="preserve">Utilizando una argumentación semejante a la ya expuesta denuncia también el recurrente la supuesta vulneración de los arts. 9, 17 y 24.2 de la Constitución, que se habría producido al fundar la condena en la declaración sumarial del coimputado cuando la misma vino precedida, según se afirma, de malos tratos y "signos evidentes de vulneración de derechos" durante el período de detención. Dichas vulneraciones se derivan, en la demanda, del hecho de haber sido condenado el recurrente con base en la declaración del coimputado, sin que exista ninguna comprobación del contenido de la misma ni datos que la avalen, y del hecho de haberse prestado dicha declaración en fase sumarial, con lo cual, se dice, todo el período de instrucción y el propio juicio oral queda reducido a una garantía formal. </w:t>
      </w:r>
    </w:p>
    <w:p w:rsidR="0025129F" w:rsidRDefault="0025129F" w:rsidP="0025129F">
      <w:pPr>
        <w:pStyle w:val="TextoNormal"/>
      </w:pPr>
      <w:r>
        <w:t>Por último, considera que han resultado infringidos también los arts. 1.1, 9.2 y 14 de la Constitución por haberse dado mayor credibilidad a la declaración inculpatoria del coimputado Sr. Echeandía que a las posteriores que la rectificaron y a las prestadas por el actor, que siempre desmintió su participación en el hecho del que se le acusa.</w:t>
      </w:r>
    </w:p>
    <w:p w:rsidR="0025129F" w:rsidRDefault="0025129F" w:rsidP="0025129F">
      <w:pPr>
        <w:pStyle w:val="TextoNormal"/>
      </w:pPr>
    </w:p>
    <w:p w:rsidR="0025129F" w:rsidRDefault="0025129F" w:rsidP="0025129F">
      <w:pPr>
        <w:pStyle w:val="TextoNormal"/>
      </w:pPr>
      <w:r w:rsidRPr="0025129F">
        <w:rPr>
          <w:rStyle w:val="NumeroAFNegritaCaracter"/>
        </w:rPr>
        <w:t>4</w:t>
      </w:r>
      <w:r>
        <w:t>. Tras oír al recurrente y al Ministerio Fiscal sobre la supuesta carencia de contenido constitucional de la pretensión de amparo, esta Sala, mediante providencia de fecha 30 de abril de 1999, acordó admitir a trámite la demanda y requerir a los órganos judiciales que habían dictado las resoluciones impugnadas que remitieran las actuaciones practicadas y emplazaran a quienes hubieran sido parte en el proceso judicial para que, si lo deseaban, pudieran comparecer en el recurso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Una vez recibida copia certificada de las actuaciones del Tribunal Supremo y de la Audiencia Nacional, la Sala dictó providencia de fecha 5 de julio de 1999 en la que acordó dar vista de las mismas a la parte recurrente y al Ministerio Fiscal, por plazo común de veinte días, para que dentro de dicho plazo pudieran presentar las alegaciones que estimasen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La representación procesal del recurrente presentó su escrito de alegaciones el 30 de julio de 1999, reiterando en lo sustancial los argumentos ya expresados en la demanda de amparo y en su posterior escrito de alegaciones.</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La representante del Ministerio Fiscal presentó sus alegaciones el 2 de noviembre de 1999, solicitando que se dictara Sentencia denegando el amparo solicitado. Tras resumir los hechos y las alegaciones del demandante resaltó que la declaración sumarial en la que la resolución impugnada justificó su decisión de condena fue prestada por el coacusado Sr. Echeandía de forma voluntaria, con todas las garantías, ante el Juez de Instrucción y con asistencia letrada, por lo que constituye una declaración independiente de las anteriores, aunque, naturalmente, basada en las mismas. Su contenido incriminatorio fue sometido, además, a plena contradicción en el juicio oral, lo que la convierte en constitucionalmente legítima y apta para desvirtuar la presunción de inocencia. </w:t>
      </w:r>
    </w:p>
    <w:p w:rsidR="0025129F" w:rsidRDefault="0025129F" w:rsidP="0025129F">
      <w:pPr>
        <w:pStyle w:val="TextoNormal"/>
      </w:pPr>
      <w:r>
        <w:t xml:space="preserve">Destaca en su escrito también que, en el presente supuesto, el ahora recurrente se puso en fuga una vez conoció la detención del Sr. Echeandía. Añade que este último compareció como testigo en el plenario y prestó testimonio y fue interrogado acerca del contenido de la declaración cuestionada, de las razones que la motivaron y de las que motivaron su </w:t>
      </w:r>
      <w:r>
        <w:lastRenderedPageBreak/>
        <w:t xml:space="preserve">rectificación, y todo ello con la intervención activa del Letrado del recurrente. El análisis de tal declaración en el juicio oral permite afirmar que el Sr. Echeandía ratificó en todo su anterior declaración, salvo en el extremo referido a la participación del recurrente, sustituyéndole por una tercera persona ya fallecida, y una cuarta persona de la que no facilitó dato identificativo alguno. </w:t>
      </w:r>
    </w:p>
    <w:p w:rsidR="0025129F" w:rsidRDefault="0025129F" w:rsidP="0025129F">
      <w:pPr>
        <w:pStyle w:val="TextoNormal"/>
      </w:pPr>
      <w:r>
        <w:t xml:space="preserve">Para el Ministerio Fiscal, la Sala acudió a dos tipos de corroboraciones para ratificar la veracidad de la declaración sumarial inculpatoria: la primera de ellas deriva de que lo narrado por el coimputado aparece ratificado, en lo objetivo, por la existencia de hechos coincidentes con tal narración (artilugio explosivo, forma de colocación, lugar exacto, etc.), datos éstos que quedaron corroborados por los informes periciales practicados. A ello se añade que las declaraciones prestadas por el recurrente, tendentes a su exculpación, no acreditaron tal extremo, por cuanto se referían a períodos de tiempo plenamente compatibles con su participación en la realización de la acción reseñada. En definitiva: "junto a la declaración incriminatoria del coacusado, que no aparecía bajo sospecha dado el carácter de propia acusación de la misma, que determinó su propia condena, las buenas relaciones de amistad existentes antes y después de la misma, la nula verosimilitud de la declaración exculpatoria, la corroboración objetiva de que lo narrado en la declaración era cierto en cuanto a la existencia de los hechos corroborados por multitud de pruebas de toda índole, la imposibilidad de cualquier otra prueba, y el resultado adverso de la prueba de descargo realizada a instancia del recurrente, permiten constatar un enlace lógico y suficiente entre la actividad probatoria practicada y el relato de hechos probados". </w:t>
      </w:r>
    </w:p>
    <w:p w:rsidR="0025129F" w:rsidRDefault="0025129F" w:rsidP="0025129F">
      <w:pPr>
        <w:pStyle w:val="TextoNormal"/>
      </w:pPr>
      <w:r>
        <w:t xml:space="preserve">Por las razones ya expuestas rechaza la representante del Ministerio Fiscal que tengan contenido el resto de quejas del recurrente, a través de las cuales aduce la violación de los arts. 1.1. 9.2, 14. 17 y 24.2 de la Constitución, pues, ni aparece indicio alguno de la existencia de malos tratos que justifican la queja, ni éstos trascenderían a la declaración judicial del coimputado, que, como se dijo, se prestó de forma voluntaria y en presencia de su Letrado. Tampoco tiene contenido la queja referida a la supuesta violación del principio de igualdad en la aplicación de la ley, pues no se vulnera éste cuando, como en este caso, se da mayor credibilidad a la declaración de uno de los testigos sobre la del recurrente, pues, formando parte tal posibilidad de la facultad de valoración inherente a los órganos judiciales, la misma se ha ejercido de forma razonada en la Sentencia condenatoria. </w:t>
      </w:r>
    </w:p>
    <w:p w:rsidR="0025129F" w:rsidRDefault="0025129F" w:rsidP="0025129F">
      <w:pPr>
        <w:pStyle w:val="TextoNormal"/>
      </w:pPr>
      <w:r>
        <w:t>Por todo ello el Ministerio Fiscal concluye interesando que el Tribunal Constitucional dicte Sentencia denegando el amparo.</w:t>
      </w:r>
    </w:p>
    <w:p w:rsidR="0025129F" w:rsidRDefault="0025129F" w:rsidP="0025129F">
      <w:pPr>
        <w:pStyle w:val="TextoNormal"/>
      </w:pPr>
    </w:p>
    <w:p w:rsidR="0025129F" w:rsidRDefault="0025129F" w:rsidP="0025129F">
      <w:pPr>
        <w:pStyle w:val="TextoNormal"/>
      </w:pPr>
      <w:r w:rsidRPr="0025129F">
        <w:rPr>
          <w:rStyle w:val="NumeroAFNegritaCaracter"/>
        </w:rPr>
        <w:t>8</w:t>
      </w:r>
      <w:r>
        <w:t>. Mediante escrito de fecha 8 de octubre de 2001, el recurrente solicitó la suspensión de la ejecución de las resoluciones impugnadas. Por providencia de fecha 18 de octubre de 2001, se ordenó formar la pieza separada para tramitar el incidente de suspensión. Tras las alegaciones de las partes, el incidente se decidió por Auto de la Sala Segunda de este Tribunal, de 26 de noviembre de 2001, en el sentido de denegar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7 de marzo de 2002, se señaló el día 11 siguiente. para la votación y fallo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recurrente demanda el amparo de este Tribunal frente a la Sentencia de la Sala de lo Penal de la Audiencia Nacional, y la posterior de la Sala Segunda del Tribunal Supremo </w:t>
      </w:r>
      <w:r>
        <w:lastRenderedPageBreak/>
        <w:t>que desestimó su recurso de casación, que le declaró autor de un delito de homicidio en concurso con otro de estragos, dos delitos de homicidio, tres de lesiones graves, dos de lesiones leves y una falta de lesiones, al considerarlo coautor de la colocación de un artefacto explosivo en una sucursal bancaria de Bilbao cuya deflagración provocó la muerte de tres personas y graves heridas a varias más. Por su participación en este hecho, reivindicado por la banda terrorista ETA, fue condenado a varias penas privativas de libertad cuyo límite temporal máximo de cumplimiento se fijó en 30 años.</w:t>
      </w:r>
    </w:p>
    <w:p w:rsidR="0025129F" w:rsidRDefault="0025129F" w:rsidP="0025129F">
      <w:pPr>
        <w:pStyle w:val="TextoNormal"/>
      </w:pPr>
      <w:r>
        <w:t>Considera el actor que la decisión de condena no ha sido fundada en pruebas de cargo obtenidas con todas las garantías, pues no lo sería la declaración sumarial incriminatoria prestada por el coimputado Sr.  Echeandía Zorroza, pese a que su contenido se incorporó al juicio oral, con posibilidad de plena contradicción, al contrastar su testimonio con el entonces prestado en fase sumarial. Al justificar su queja afirma el actor que la valoración judicial de aquel testimonio sumarial incriminatorio no es constitucionalmente legítima, por cuanto el mismo vino precedido de siete días de detención policial incomunicada, no fue sometido a contradicción en el momento de prestarse, no ha sido reproducido sino retractado en el acto del juicio oral, es incompatible con el resultado de otras diligencias de prueba practicadas en el proceso, no ha sido corroborado por pruebas complementarias y está en flagrante contradicción con las manifestaciones del recurrente, por lo que no cabe dar mayor credibilidad a las del coimputado sin vulnerar su derecho a recibir un trato no discriminatorio.</w:t>
      </w:r>
    </w:p>
    <w:p w:rsidR="0025129F" w:rsidRDefault="0025129F" w:rsidP="0025129F">
      <w:pPr>
        <w:pStyle w:val="TextoNormal"/>
      </w:pPr>
      <w:r>
        <w:t>Para el Ministerio Fiscal, por contra, la condena no lesiona ninguno de los derechos fundamentales alegados que son susceptibles de amparo, pues se basó en una actividad probatoria lícitamente obtenida y susceptible de ser valorada por el órgano sentenciador, al haber sido reproducida en el acto del juicio oral en condiciones que posibilitan su plena contradicción, sin que pueda impugnarse en amparo la valoración probatoria efectuada dado que los órganos judiciales han fundado su decisión en pruebas de cargo obtenidas con todas las garantías, razonando en la Sentencia extensamente acerca de su verosimilitud.</w:t>
      </w:r>
    </w:p>
    <w:p w:rsidR="0025129F" w:rsidRDefault="0025129F" w:rsidP="0025129F">
      <w:pPr>
        <w:pStyle w:val="TextoNormal"/>
      </w:pPr>
    </w:p>
    <w:p w:rsidR="0025129F" w:rsidRDefault="0025129F" w:rsidP="0025129F">
      <w:pPr>
        <w:pStyle w:val="TextoNormal"/>
      </w:pPr>
      <w:r w:rsidRPr="0025129F">
        <w:rPr>
          <w:rStyle w:val="NumeroAFNegritaCaracter"/>
        </w:rPr>
        <w:t>2</w:t>
      </w:r>
      <w:r>
        <w:t>. El recurrente, que durante todo el proceso penal previo ha negado su participación en la colocación del artefacto explosivo, admitiendo únicamente haber tenido cierta relación con otras actividades del Sr. Echeandía, entiende que la resolución impugnada ha vulnerado su derecho fundamental a la igualdad (art. 14 CE), a la libertad personal (art. 17.1 CE), a un proceso con todas las garantías y a la presunción de inocencia (art. 24.2 CE), al haber sido condenado en virtud de una actividad probatoria -la declaración sumarial del coimputado- que, considera inválida y carente de consistencia plena para desvirtuar aquella presunción. Como se ha expuesto, todos los motivos de impugnación del recurrente giran en torno a la pretendida invalidez e insuficiencia de la prueba que las Sentencias condenatorias han considerado esencial para fundar su condena: la reproducción en el juicio oral de la declaración sumarial incriminatoria prestada por el coimputado Sr. Echeandía Zorroza, que, en la vista oral, declaró como testigo al haber sido precedentemente condenado por los mismos hechos.</w:t>
      </w:r>
    </w:p>
    <w:p w:rsidR="0025129F" w:rsidRDefault="0025129F" w:rsidP="0025129F">
      <w:pPr>
        <w:pStyle w:val="TextoNormal"/>
      </w:pPr>
      <w:r>
        <w:t>El análisis de la queja (que se articula en la demanda en diversas pretensiones de amparo que citan los arts. 1.1, 9.2, 14, 17 y 24.2 CE como vulnerados), exige descartar, ab initio, ex art. 41 LOTC, aquéllas a través de las cuales se aduce la lesión de preceptos constitucionales no susceptibles de amparo (singularmente, las basadas en los arts. 1.1 y 9.2 CE).</w:t>
      </w:r>
    </w:p>
    <w:p w:rsidR="0025129F" w:rsidRDefault="0025129F" w:rsidP="0025129F">
      <w:pPr>
        <w:pStyle w:val="TextoNormal"/>
      </w:pPr>
      <w:r>
        <w:lastRenderedPageBreak/>
        <w:t>De la misma manera deben ser rechazadas las pretensiones que se limitan a cuestionar la valoración de la prueba efectuada por los órganos judiciales pretendiendo a través de esta vía imponer una nueva y distinta valoración probatoria, pues basta recordar que, como hemos afirmado reiteradamente (SSTC 174/1985, de 17 de diciembre, FJ 5; 63/1993, de 1 de marzo, FJ 5; 244/1994, de 15 de septiembre, FJ 2, y 81/1998, de 2 de abril, FJ 3, entre otras muchas), este Tribunal no puede valorar las pruebas. De modo que el juicio sobre si una determinada prueba es más o menos verosímil, y, en concreto, el de si es suficiente para establecer, "más allá de toda duda razonable", la culpabilidad del acusado, compete a los Jueces y Tribunales ordinarios en su función exclusiva ex art. 117.1 CE. Al Tribunal Constitucional sólo le corresponde conocer en amparo de las posibles vulneraciones de la presunción de inocencia cuando no exista "una actividad probatoria de cargo válida de la que, de modo no arbitrario, pueda inferirse la culpabilidad" (STC 81/1998, de 2 de abril, FJ 3). Por lo tanto, dichas quejas, tal como han sido formuladas, han de ser desestimadas (STC 68/2001, de 17 de marzo, FJ 5).</w:t>
      </w:r>
    </w:p>
    <w:p w:rsidR="0025129F" w:rsidRDefault="0025129F" w:rsidP="0025129F">
      <w:pPr>
        <w:pStyle w:val="TextoNormal"/>
      </w:pPr>
      <w:r>
        <w:t>Por la misma razón ha de ser desestimada la supuesta vulneración del principio constitucional de igualdad invocado por el recurrente como motivo del presente recurso de amparo. En su demanda denuncia que los órganos judiciales han valorado de distinta manera su declaración y la del coimputado Sr. Echeandía, lo que sostiene que representa un trato discriminatorio respecto de él. Sin embargo, la queja nada tiene que ver con el principio de igualdad. Como dijimos en la STC 11/1995, de 16 de enero, FJ 7: "... el que un órgano judicial otorgue mayor valor a un testimonio que a otro forma parte de la valoración judicial de la prueba (SSTC 169/1990, 211/1991, 229/1991, 283/1993, entre otras muchas) y no guarda relación ni con el principio de igualdad ni con el derecho fundamental a la presunción de inocencia. La credibilidad concedida por el órgano judicial al testimonio del denunciante es un problema de valoración de la prueba, no revisable por este Tribunal, que, sabido es, no puede actuar como una tercera instancia (SSTC 174/1985, 160/1988 y 138/1992, por todas)."</w:t>
      </w:r>
    </w:p>
    <w:p w:rsidR="0025129F" w:rsidRDefault="0025129F" w:rsidP="0025129F">
      <w:pPr>
        <w:pStyle w:val="TextoNormal"/>
      </w:pPr>
      <w:r>
        <w:t>A idéntica conclusión desestimatoria cabe llegar desde la perspectiva del derecho fundamental a un proceso con todas las garantías, aducido en relación con las supuestas presiones, coacciones, amenazas o malos tratos a las que, según la demanda, se habría visto sometido el coimputado Sr. Echeandía durante su detención policial, pues las mismas en ningún caso han sido declaradas probadas en el proceso judicial precedente. Además de carecer dicha queja de todo sustento fáctico, ha de añadirse que, tal y como las resoluciones impugnadas ponen de relieve, la declaración sumarial cuyo contenido fue utilizado para fundar la condena del recurrente no se prestó en dependencias policiales, sino ante el Juez de Instrucción en presencia del Letrado del detenido y del Ministerio Fiscal, y se incorporó al acto del juicio oral con la necesaria contradicción, inmediación y oralidad, tal y como el art. 714 LECrim exige. En dicho acto tuvo el Tribunal sentenciador oportunidad de oír las explicaciones o retractaciones ofrecidas por el declarante y formarse una opinión sobre su mayor o menor credibilidad y, en definitiva, sobre los hechos. Ni tan siquiera el Sr. Echeandía denunció haber implicado al recurrente como consecuencia de haber sufrido esos supuestos malos tratos, sino que dio otra explicación (su intención de proteger a otra supuesta integrante del comando terrorista) que, a criterio de los Tribunales que la enjuiciaron, no ha resultado verosímil, pero ello no permite afirmar su invalidez.</w:t>
      </w:r>
    </w:p>
    <w:p w:rsidR="0025129F" w:rsidRDefault="0025129F" w:rsidP="0025129F">
      <w:pPr>
        <w:pStyle w:val="TextoNormal"/>
      </w:pPr>
    </w:p>
    <w:p w:rsidR="0025129F" w:rsidRDefault="0025129F" w:rsidP="0025129F">
      <w:pPr>
        <w:pStyle w:val="TextoNormal"/>
      </w:pPr>
      <w:r w:rsidRPr="0025129F">
        <w:rPr>
          <w:rStyle w:val="NumeroAFNegritaCaracter"/>
        </w:rPr>
        <w:t>3</w:t>
      </w:r>
      <w:r>
        <w:t>. Descartadas así las anteriores quejas, resta por analizar las referidas a la validez constitucional y suficiencia de las pruebas que, en las Sentencias impugnadas, han servido para dar por desvirtuada la presunción de inocencia.</w:t>
      </w:r>
    </w:p>
    <w:p w:rsidR="0025129F" w:rsidRDefault="0025129F" w:rsidP="0025129F">
      <w:pPr>
        <w:pStyle w:val="TextoNormal"/>
      </w:pPr>
      <w:r>
        <w:lastRenderedPageBreak/>
        <w:t>En relación con la validez de la prueba utilizada para justificar su condena denuncia el recurrente que la misma se apoya en una declaración sumarial a la que no asistió su Letrado, pues, cuando fue emitida, en mayo de 1983, no estaba aún personado en el proceso, ni después la misma ha sido ratificada en la vista oral. De estas dos circunstancias deduce que su valoración no es conforme con las exigencias constitucionalmente impuestas por los principios de contradicción, oralidad, inmediación y publicidad (art. 24.2 CE).</w:t>
      </w:r>
    </w:p>
    <w:p w:rsidR="0025129F" w:rsidRDefault="0025129F" w:rsidP="0025129F">
      <w:pPr>
        <w:pStyle w:val="TextoNormal"/>
      </w:pPr>
      <w:r>
        <w:t>En cuanto a la supuesta falta de contradicción en fase sumarial, que en la demanda se anuda al hecho de no haber asistido a la misma el Letrado del recurrente por no estar personado en el proceso cuando se llevó a cabo, cabe recordar, que, conforme a las exigencias dimanantes del art. 24.2 CE (interpretado conforme al art. 6.3.d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Kostovsky c.  Holanda, § 41; de 27 de septiembre de 1990, caso Windisch c. Austria, § 26; de 19 de febrero de 1991, caso Isgro c. Italia, § 34; de 20 de septiembre de 1993, caso Saïdi c. Francia, § 43; y la más reciente, de 27 de febrero de 2001, caso Luca c. Italia, § 40). Si no pudo interrogarle en fase sumarial fue por hallarse huido de la acción de la Justicia, como el recurrente ha reconocido en sus manifestaciones en el juicio oral; sin embargo, en el acto del juicio oral la posibilidad de contradicción fue plena, pues el Sr. Echeandía declaró en el mismo como testigo. Por tanto, en este caso, desde la perspectiva cuestionada, ha de afirmarse que, por su forma de incorporarse al juicio oral, con plena posibilidad de interrogar a su autor y de poner de manifiesto sus posibles contradicciones, las manifestaciones sumariales del Sr. Echeandía fueron prestadas en condiciones que permitieron al recurrente oponerse a su contenido, poniendo de relieve su credibilidad ante el Tribunal sentenciador.  Por lo expuesto, la declaración sumarial incriminatoria, pese a ser obtenida en fase sumarial sin contradicción, se incorporó al juicio oral con plena posibilidad de contradicción (a diferencia del supuesto analizado en la STEDH de 6 de diciembre de 1988, caso Barberá, Messegué y Jabardo c. España, § 84 a 86).</w:t>
      </w:r>
    </w:p>
    <w:p w:rsidR="0025129F" w:rsidRDefault="0025129F" w:rsidP="0025129F">
      <w:pPr>
        <w:pStyle w:val="TextoNormal"/>
      </w:pPr>
      <w:r>
        <w:t xml:space="preserve">Es cierto que este Tribunal, desde la STC 31/1981, de 28 de julio, FJ 3, al analizar los requisitos constitucionales de validez de las pruebas capaces de desvirtuar la presunción de inocencia, ha establecido una regla general, conforme a la cual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No obstante hemos añadido también que dicha regla general admite excepciones (STC 80/1986, de 17 de junio, FJ 1), a través de las cuales es conforme a la Constitución, en limitadas ocasiones, integrar en la valoración probatoria el resultado de diligencias sumariales de investigación (específicamente en los supuestos recogidos en los arts. 714 y 730 LECrim). Y, singularmente en lo que se refiere a las diligencias sumariales cuyo resultado se pretende integrar en la valoración probatoria (tal y como ha ocurrido en este supuesto), al analizar la aplicación judicial de lo previsto en los arts. 714 y 730 LECrim, hemos admitido su legitimidad constitucional si en estos supuestos, dado el carácter secreto de la fase sumarial, el contenido de la diligencia sumarial se reproduce en el acto del juicio oral para que </w:t>
      </w:r>
      <w:r>
        <w:lastRenderedPageBreak/>
        <w:t>así, ante la rectificación o retractación del testimonio operada en el acto del juicio oral (art. 714 LECrim), el resultado de la diligencia acceda al debate procesal público, pudiendo la defensa impugnar su contenido y hacer sobre ellas las alegaciones que tenga por oportunas para que el órgano sentenciador pueda fundadamente dar verosimilitud a uno u otro testimonio (SSTC 150/1987, de 1 de octubre, FJ 2; 137/1988, de 7 de julio, FJ 3; 93/1994, de 21 de marzo, FJ 4; 14/2001, de 29 de enero, FJ 7, y 2/2002, de 14 de enero, FJ 5).</w:t>
      </w:r>
    </w:p>
    <w:p w:rsidR="0025129F" w:rsidRDefault="0025129F" w:rsidP="0025129F">
      <w:pPr>
        <w:pStyle w:val="TextoNormal"/>
      </w:pPr>
      <w:r>
        <w:t>En definitiva, habiendo sido incorporada al acto del juicio oral en condiciones de plena contradicción, la declaración sumarial incriminatoria del coimputado prestada ante el Juez de Instrucción con asistencia de su Letrado es constitucionalmente apta para desvirtuar la presunción de inocencia, pudiendo el órgano sentenciador dar mayor credibilidad a su contenido que a la retractación expresada catorce años después en el acto de la vista oral. Cuestión distinta, que abordamos a continuación, es si la misma, por proceder de un coimputado, tiene entidad suficiente para justificar una condena.</w:t>
      </w:r>
    </w:p>
    <w:p w:rsidR="0025129F" w:rsidRDefault="0025129F" w:rsidP="0025129F">
      <w:pPr>
        <w:pStyle w:val="TextoNormal"/>
      </w:pPr>
    </w:p>
    <w:p w:rsidR="0025129F" w:rsidRDefault="0025129F" w:rsidP="0025129F">
      <w:pPr>
        <w:pStyle w:val="TextoNormal"/>
      </w:pPr>
      <w:r w:rsidRPr="0025129F">
        <w:rPr>
          <w:rStyle w:val="NumeroAFNegritaCaracter"/>
        </w:rPr>
        <w:t>4</w:t>
      </w:r>
      <w:r>
        <w:t>. De acuerdo con la doctrina constitucional (resumida recientemente en la STC 2/2002, de 14 de enero) las declaraciones de los coimputados, que no están prohibidas por la ley procesal, pueden valorarse como pruebas aptas para destruir la presunción de inocencia (AATC 479/1986, de 4 de junio, FJ 1; 293/1987, de 11 de marzo, FJ único y 343/1987, de 18 de marzo, FJ 2.a, así como SSTC. 137/1988, de 7 de julio, FJ 4; 98/1990, de 24 de mayo, FJ 2; 50/1992, de 2 de abril, FJ 3, y 51/1995, de 23 de febrero, FJ 4).</w:t>
      </w:r>
    </w:p>
    <w:p w:rsidR="0025129F" w:rsidRDefault="0025129F" w:rsidP="0025129F">
      <w:pPr>
        <w:pStyle w:val="TextoNormal"/>
      </w:pPr>
      <w:r>
        <w:t>Sin embargo, hemos afirmado también que, tanto por la posición que ocupa el coimputado en el proceso, cuanto porque no se le exige legalmente decir verdad, se trata de una prueba intrínsecamente sospechosa (STC 68/2000, de 17 de marzo, FJ 5), no sólo por su escasa fiabilidad, derivada de la posibilidad de que en su manifestación concurran móviles espurios (entre los que es relevante el de autoexculpación o reducción de su responsabilidad), sino, ya desde la perspectiva constitucional del derecho de defensa, porque se trata de un testimonio que sólo de forma muy limitada puede someterse a contradicción, dado que el acusado, a diferencia del testigo, no sólo no tiene obligación legal de decir la verdad, sino que puede callar total o parcialmente en virtud del derecho a no declarar contra sí mismo y a no confesarse culpable, reconocido expresamente en el art. 24.2 CE, que es una garantía instrumental del más amplio derecho a la defensa en cuanto reconoce a todo ciudadano el derecho a no contribuir a su propia incriminación (SSTC 29/1995, de 6 de febrero; 197/1995, de 21 de diciembre; 153/1997, de 29 de septiembre; 49 y 115/1998, de 2 de marzo y 1 de junio; en el mismo sentido, las SSTEDH de 25 de febrero de 1993, caso Funke c Francia, § 44; de 17 de diciembre de 1996, caso Saunders c. Reino Unido, § 68; y la ya citada de 27 de febrero de 2001, caso Luca c. Italia, § 33, han señalado que, pese a no venir expresamente recogido en el art. 6 CEDH, el derecho a no contribuir a la propia incriminación forma parte de la noción misma de proceso justo consagrada en dicho precepto).</w:t>
      </w:r>
    </w:p>
    <w:p w:rsidR="0025129F" w:rsidRDefault="0025129F" w:rsidP="0025129F">
      <w:pPr>
        <w:pStyle w:val="TextoNormal"/>
      </w:pPr>
      <w:r>
        <w:t>Precisamente dicho déficit de contradicción, que es consustancial a la declaración de cualquier coimputado en nuestro Ordenamiento jurídico, es el que justifica que sus manifestaciones, cuando son prueba única, no adquieran entidad suficiente para desvirtuar la presunción constitucional de inocencia, por lo que su veracidad ha de verse avalada por algún hecho, dato o circunstancia externa (STC 68/2000, de 17 de marzo, antes citada).</w:t>
      </w:r>
    </w:p>
    <w:p w:rsidR="0025129F" w:rsidRDefault="0025129F" w:rsidP="0025129F">
      <w:pPr>
        <w:pStyle w:val="TextoNormal"/>
      </w:pPr>
      <w:r>
        <w:t>El análisis de las Sentencias impugnadas y, más allá de ellas, el de las actuaciones remitidas, pone de relieve que la declaración del Sr. Echeandía, cuya veracidad debe ser externamente corroborada, no se produjo en el vacío, de forma aislada, sino en el curso de una completa confesión de su integración en una banda terrorista, a través de la cual facili</w:t>
      </w:r>
      <w:r>
        <w:lastRenderedPageBreak/>
        <w:t>tó datos que permitieron identificar y detener a otros cinco integrantes o informadores del comando, a los que la policía intervino diverso material, armas y diferente documentación acreditativa de la veracidad de dichas imputaciones. Algunos de ellos (los Sres. Lamiquiz Landabaso y Martín Mardones), admitieron su colaboración con el comando terrorista o el conocimiento de sus actividades, y también implicaron en sus actividades al recurrente. El Sr. Echeandía describió la forma en que se introdujo el artefacto explosivo en la entidad bancaria y el lugar donde se colocó, lo que ha sido confirmado por los informes periciales emitidos al efecto.  Informó también del lugar que utilizaba el comando como buzón para el intercambio de información, de las características del automóvil de otro de los supuestos miembros del comando (el Sr. Toledo Gaviria) y de que en el mismo había un hueco oculto para las armas (lo que resultó cierto y fue acreditado con la incautación del vehículo y la declaración de su novia). Describió también las características del vehículo del recurrente y de la lonja donde en alguna ocasión se ocultaron los miembros del comando, lo que confirmó el recurrente en su declaración. A estos datos objetivos ha de anudarse otro más: el recurrente reconoció en su declaración en juicio haber huido de España inmediatamente después de la detención del Sr. Echeandía, lo que imposibilitó la suya propia, pese a registrarse su domicilio y el de sus padres; y huido ha permanecido en Francia durante muchos años, hasta su extradición, acordada en 1994.</w:t>
      </w:r>
    </w:p>
    <w:p w:rsidR="0025129F" w:rsidRDefault="0025129F" w:rsidP="0025129F">
      <w:pPr>
        <w:pStyle w:val="TextoNormal"/>
      </w:pPr>
      <w:r>
        <w:t>Pues bien, basta esa somera exposición de cuanto hemos dicho al respecto para, a la vista de los elementos de corroboración expuestos y los apreciados por la Sala sentenciadora, llegar a la conclusión de que la alegación que analizamos, tal y como se halla formulada, debe desestimarse.</w:t>
      </w:r>
    </w:p>
    <w:p w:rsidR="0025129F" w:rsidRDefault="0025129F" w:rsidP="0025129F">
      <w:pPr>
        <w:pStyle w:val="TextoNormal"/>
      </w:pPr>
      <w:r>
        <w:t>A tal efecto, hemos de partir de que, en sede de amparo constitucional, no es exigible una corroboración plena, pues determinar si unas pruebas o datos corroboran plenamente una declaración implica una valoración de tales pruebas o datos que a esta jurisdicción resulta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de 29 de septiembre, y 49/1998, de 2 de marzo) o que se añada a las declaraciones del coimputado "algún dato que corrobore mínimamente su contenido" (STC 115/1998, de 1 de junio), dejando, como no puede ser de otro modo, a la casuística la determinación de lo que deba ser entendido por corroboración (STC 68/2000, de 17 de marzo).</w:t>
      </w:r>
    </w:p>
    <w:p w:rsidR="0025129F" w:rsidRDefault="0025129F" w:rsidP="0025129F">
      <w:pPr>
        <w:pStyle w:val="TextoNormal"/>
      </w:pPr>
      <w:r>
        <w:t>Aplicando la anterior doctrina al caso enjuiciado, cabe afirmar que los hechos y datos que han sido expuestos no afectan meramente a la coherencia interna y a la credibilidad de la declaración sumarial del Sr.  Echeandía, sino que atañen también a su correspondencia con lo que el Tribunal apreció como realmente ocurrido: la participación del recurrente en los hechos declarados probados. De este modo, dejando a un lado la virtualidad en orden a la corroboración que quepa atribuir a cada uno de los elementos de corroboración considerado aisladamente en relación con la participación del recurrente en la colocación del artefacto explosivo, mal puede negarse que, en este caso, tomados en conjunto, constituyan esa corroboración mínima que nuestra jurisprudencia exige. Se trata de un conjunto de indicios convergentes de los que los órganos judiciales han extraído la conclusión de que la declaración sumarial analizada respondía a la verdad, siendo la prestada en el acto del juicio oral un mero intento de proteger a su compañero de comando. Se supera así el umbral mínimo que abre paso a la libre valoración judicial de la prueba practicada, por lo que hemos de concluir, también, en la desestimación del amparo por este último motivo.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recurso de amparo interpuesto por don Jesús Amantes Arnaiz.</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1" w:name="SENTENCIA_2002_58"/>
      <w:r>
        <w:lastRenderedPageBreak/>
        <w:t>SENTENCIA 58/2002, de 11 de marzo de 2002</w:t>
      </w:r>
    </w:p>
    <w:bookmarkEnd w:id="61"/>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ECLI:ES:TC:2002:58</w:t>
      </w:r>
    </w:p>
    <w:p w:rsidR="0025129F" w:rsidRDefault="0025129F" w:rsidP="0025129F">
      <w:pPr>
        <w:pStyle w:val="SntesisDescriptiva"/>
      </w:pPr>
    </w:p>
    <w:p w:rsidR="0025129F" w:rsidRDefault="0025129F" w:rsidP="0025129F">
      <w:pPr>
        <w:pStyle w:val="SntesisDescriptiva"/>
      </w:pPr>
      <w:r>
        <w:t>Recurso de amparo 4177/1998. Promovido por doña Carmen Tamayo Pérez frente a Sentencias de la Sala de lo Social del Tribunal Superior de Justicia de Andalucía y de un Juzgado de lo Social que desestimaron su demanda contra Confitería La Crema, S.L., por despido.</w:t>
      </w:r>
    </w:p>
    <w:p w:rsidR="0025129F" w:rsidRDefault="0025129F" w:rsidP="0025129F">
      <w:pPr>
        <w:pStyle w:val="SntesisDescriptiva"/>
      </w:pPr>
    </w:p>
    <w:p w:rsidR="0025129F" w:rsidRDefault="0025129F" w:rsidP="0025129F">
      <w:pPr>
        <w:pStyle w:val="SntesisAnaltica"/>
      </w:pPr>
      <w:r>
        <w:t>Vulneración del derecho a la tutela judicial efectiva (acceso a la justicia): inadmisión de demanda por intentar la conciliación previa ante un órgano administrativo incompetente.</w:t>
      </w:r>
    </w:p>
    <w:p w:rsidR="0025129F" w:rsidRDefault="0025129F" w:rsidP="0025129F">
      <w:pPr>
        <w:pStyle w:val="SntesisAnaltica"/>
      </w:pPr>
    </w:p>
    <w:p w:rsidR="0025129F" w:rsidRDefault="0025129F" w:rsidP="0025129F">
      <w:pPr>
        <w:pStyle w:val="Extracto"/>
      </w:pPr>
      <w:r>
        <w:t>1.</w:t>
      </w:r>
      <w:r>
        <w:tab/>
        <w:t>En el presente caso la finalidad de la conciliación se había cumplido materialmente. Desde esta perspectiva, la apreciación de los órganos judiciales sobre la decisiva relevancia a efectos del acceso al proceso de la competencia del órgano administrativo (por lo demás, no discutida por éste) resulta a todas luces absolutamente desproporcionada y ajena a la función que cumple en el proceso laboral el instituto de la conciliación [FJ 3].</w:t>
      </w:r>
    </w:p>
    <w:p w:rsidR="0025129F" w:rsidRDefault="0025129F" w:rsidP="0025129F">
      <w:pPr>
        <w:pStyle w:val="Extracto"/>
      </w:pPr>
    </w:p>
    <w:p w:rsidR="0025129F" w:rsidRDefault="0025129F" w:rsidP="0025129F">
      <w:pPr>
        <w:pStyle w:val="Extracto"/>
      </w:pPr>
      <w:r>
        <w:t>2.</w:t>
      </w:r>
      <w:r>
        <w:tab/>
        <w:t>El derecho a la tutela judicial efectiva (art. 24.1 CE) tiene como primer contenido el acceso a la jurisdicción (SSTC 108/2000, 89/2001) [FJ 2].</w:t>
      </w:r>
    </w:p>
    <w:p w:rsidR="0025129F" w:rsidRDefault="0025129F" w:rsidP="0025129F">
      <w:pPr>
        <w:pStyle w:val="Extracto"/>
      </w:pPr>
    </w:p>
    <w:p w:rsidR="0025129F" w:rsidRDefault="0025129F" w:rsidP="0025129F">
      <w:pPr>
        <w:pStyle w:val="Extracto"/>
      </w:pPr>
      <w:r>
        <w:t>3.</w:t>
      </w:r>
      <w:r>
        <w:tab/>
        <w:t>Como consecuencia de la mayor intensidad con la que se proyecta el principio pro actione, el control constitucional ha sido especialmente riguroso en relación con decisiones judiciales que decretaron el archivo de las actuaciones o, en general, no dieron una respuesta sobre el fondo de la pretensión formulada (STC 16/1999)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4177/98, promovido por doña Carmen Tamayo Pérez, representada por la Procuradora de los Tribunales doña Adela Gilsanz Madroño y asistida del Letrado don Gregorio Pérez Borrego, contra la Sentencia de la Sala de lo Social del </w:t>
      </w:r>
      <w:r>
        <w:lastRenderedPageBreak/>
        <w:t>Tribunal Superior de Justicia de Andalucía, con sede en Sevilla, de 17 de julio de 1998, recaída en suplicación (recurso núm. 416/98) frente a la dictada en procedimiento sobre despido por el Juez de lo Social de Algeciras, de 28 de octubre de 1997 (autos núm. 799/96), así como contra esta última. Han intervenido el Ministerio Fiscal y el Abogado del Estado.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día 7 de octubre de 1998, la Procuradora doña Adela Gilsanz Madroño, en nombre y representación de doña Carmen Tamayo Pérez, interpuso demanda de amparo constitucional contra las resoluciones judiciales de que se hace mérito en el encabezamiento por entender que vulneran el art. 24.1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 amparo tiene su origen en los siguientes hechos: </w:t>
      </w:r>
    </w:p>
    <w:p w:rsidR="0025129F" w:rsidRDefault="0025129F" w:rsidP="0025129F">
      <w:pPr>
        <w:pStyle w:val="TextoNormal"/>
      </w:pPr>
      <w:r>
        <w:t xml:space="preserve">a) Con fecha de 31 de octubre de 1996 la empresa Confitería La Crema, S.L., comunicó a doña Carmen Tamayo Pérez, recurrente en amparo, su despido por causas económicas, conforme a lo dispuesto en el art. 52.c del Estatuto de los Trabajadores de 1995. </w:t>
      </w:r>
    </w:p>
    <w:p w:rsidR="0025129F" w:rsidRDefault="0025129F" w:rsidP="0025129F">
      <w:pPr>
        <w:pStyle w:val="TextoNormal"/>
      </w:pPr>
      <w:r>
        <w:t xml:space="preserve">b) Disconforme con la decisión empresarial de extinguir su contrato de trabajo, con fecha 14 de noviembre de 1996 la ahora recurrente en amparo intentó conciliación previa ante el Centro de Mediación, Arbitraje y Conciliación de Cádiz, finalizando el acto con el resultado de intentado y sin efecto por incomparecencia de la empresa demandada. </w:t>
      </w:r>
    </w:p>
    <w:p w:rsidR="0025129F" w:rsidRDefault="0025129F" w:rsidP="0025129F">
      <w:pPr>
        <w:pStyle w:val="TextoNormal"/>
      </w:pPr>
      <w:r>
        <w:t xml:space="preserve">c) Con fecha 7 de diciembre de 1996 la parte recurrente interpuso demanda ante el Juzgado de lo Social de Algeciras solicitando que se declarase la nulidad de su despido, por entender que éste no había obedecido a necesidades económicas de la empresa que hicieran precisa la amortización de su puesto de trabajo, sino que había tenido por causa su reciente baja maternal. </w:t>
      </w:r>
    </w:p>
    <w:p w:rsidR="0025129F" w:rsidRDefault="0025129F" w:rsidP="0025129F">
      <w:pPr>
        <w:pStyle w:val="TextoNormal"/>
      </w:pPr>
      <w:r>
        <w:t xml:space="preserve">d) Por providencia de 20 de diciembre de 1996 se admitió a trámite la demanda y se citó a las partes para que compareciesen a los actos de conciliación y juicio el día 6 de marzo de 1997, fecha ésta en la cual, ante la posibilidad de que las partes llegasen a un acuerdo, se suspendió el acto, volviéndolas a citar para el 23 de septiembre siguiente, día en el que definitivamente se celebró el juicio. </w:t>
      </w:r>
    </w:p>
    <w:p w:rsidR="0025129F" w:rsidRDefault="0025129F" w:rsidP="0025129F">
      <w:pPr>
        <w:pStyle w:val="TextoNormal"/>
      </w:pPr>
      <w:r>
        <w:t xml:space="preserve">e) Por Sentencia de 28 de octubre de 1997 el Juez de lo Social de Algeciras desestimó la demanda de la actora al entender que su acción había caducado. En este sentido sostuvo que se había incumplido lo dispuesto en el art. 63 de la Ley de Procedimiento Laboral de 1995 (LPL), que exige como requisito previo al proceso laboral que se intente la conciliación ante el "servicio administrativo correspondiente", el cual, conforme al art. 5.1 del Real Decreto 2756/79, de 23 de noviembre, es el del lugar de prestación de servicios o el del domicilio de cualquiera de los interesados, a elección del solicitante. Puesto que la actora prestaba servicios en la Línea de la Concepción, lugar en el que también estaban domiciliadas ambas partes, la conciliación previa se debió intentar ante el servicio administrativo ubicado en la ciudad de Algeciras, y, no habiéndose hecho así, la presentación de la solicitud de la conciliación no podía suspender el cómputo del plazo de caducidad de la acción contra el despido, por lo que, en consecuencia, cuando se presentó la demanda ante el órgano judicial la acción ya había caducado. </w:t>
      </w:r>
    </w:p>
    <w:p w:rsidR="0025129F" w:rsidRDefault="0025129F" w:rsidP="0025129F">
      <w:pPr>
        <w:pStyle w:val="TextoNormal"/>
      </w:pPr>
      <w:r>
        <w:t xml:space="preserve">f) Contra la anterior Sentencia la parte actora interpuso recurso de suplicación, en el cual alegaba que la resolución recurrida había lesionado su derecho a la tutela judicial </w:t>
      </w:r>
      <w:r>
        <w:lastRenderedPageBreak/>
        <w:t>efectiva (art. 24.1 CE) por haber interpretado de forma restrictiva el requisito legal de intento de conciliación previa ante el servicio administrativo correspondiente (art. 63 LPL) como presupuesto para poder acceder a la vía judicial. Este recurso fue desestimado por Sentencia de la Sala de lo Social del Tribunal Superior de Justicia de Andalucía, con sede en Sevilla, de 17 de julio de 1998, que confirmó la Sentencia de instancia.</w:t>
      </w:r>
    </w:p>
    <w:p w:rsidR="0025129F" w:rsidRDefault="0025129F" w:rsidP="0025129F">
      <w:pPr>
        <w:pStyle w:val="TextoNormal"/>
      </w:pPr>
    </w:p>
    <w:p w:rsidR="0025129F" w:rsidRDefault="0025129F" w:rsidP="0025129F">
      <w:pPr>
        <w:pStyle w:val="TextoNormal"/>
      </w:pPr>
      <w:r w:rsidRPr="0025129F">
        <w:rPr>
          <w:rStyle w:val="NumeroAFNegritaCaracter"/>
        </w:rPr>
        <w:t>3</w:t>
      </w:r>
      <w:r>
        <w:t>. Con fundamento en ese itinerario procesal la parte recurrente alega en su demanda de amparo que, tanto la Sentencia del Juez de lo Social de Algeciras, de 28 de octubre de 1997, como la dictada por la Sala de lo Social del Tribunal Superior de Justicia de Andalucía, de 17 de julio de 1998, han vulnerado su derecho a la tutela judicial efectiva (art. 24.1 CE) al haber realizado una interpretación restrictiva de los presupuestos de acceso al proceso declarando caducada la acción de despido de forma indebida. Aduce la parte actora que el Centro de Mediación, Arbitraje y Conciliación (CEMAC) de Cádiz (organismo ante el cual se presentó la papeleta de conciliación) era competente para tramitar su solicitud, conforme a lo dispuesto en el Decreto 91/1983 de la Junta de Andalucía, y que la Sección del CEMAC de Algeciras (ante la cual se debió intentar la conciliación, según las Sentencias impugnadas) no era más que una Sección delegada del organismo primeramente citado. No obstante lo cual mantiene que, de haber sido realmente incompetente aquel organismo, se le tenía que haber indicado a cuál debía dirigirse, o, en todo caso, entiende que se debía haber remitido su solicitud al competente para que conociese de ella. Sin embargo, el CEMAC de Cádiz, considerándose competente, dio curso a su solicitud, citó a las partes en sus respectivos domicilios y certificó que el acto se había intentado sin efecto. Por su parte, tampoco los órganos judiciales le dieron la oportunidad de subsanar ese posible defecto, y con base a una interpretación restrictiva y excesivamente rigorista de los presupuestos de acceso al proceso le negaron el derecho a obtener una resolución sobre el fondo de su pretensión (art. 24.1 CE).</w:t>
      </w:r>
    </w:p>
    <w:p w:rsidR="0025129F" w:rsidRDefault="0025129F" w:rsidP="0025129F">
      <w:pPr>
        <w:pStyle w:val="TextoNormal"/>
      </w:pPr>
    </w:p>
    <w:p w:rsidR="0025129F" w:rsidRDefault="0025129F" w:rsidP="0025129F">
      <w:pPr>
        <w:pStyle w:val="TextoNormal"/>
      </w:pPr>
      <w:r w:rsidRPr="0025129F">
        <w:rPr>
          <w:rStyle w:val="NumeroAFNegritaCaracter"/>
        </w:rPr>
        <w:t>4</w:t>
      </w:r>
      <w:r>
        <w:t>. La Sala Segunda de este Tribunal, por providencia de 2 de julio de 1999, admitió a trámite la demanda y, en aplicación del art. 51 LOTC, acordó dirigir comunicación a la Sala de lo Social del Tribunal Superior de Justicia de Andalucía, con sede en Sevilla, y al Juzgado de lo Social de Algeciras a fin de que, en el plazo de diez días, remitiesen certificación o fotocopia adverada de las actuaciones correspondientes, así como para que se emplazara a quienes hubiesen sido parte en el procedimiento, excepto la parte recurrente en amparo, a los efectos de que, en el plazo de diez días, pudieran comparecer en el recurso de amparo y defender sus derechos.</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de 8 de octubre de 1999 se personó el Abogado del Estado en la representación que ostenta, y por providencia de la Sala Segunda, de 19 de octubre de 1999, se le tuvo por personado y parte en el procedimiento, acordando, conforme al art. 52.1 LOTC, dar vista de las actuaciones recibidas a las partes y al Ministerio Fiscal por plazo común de veinte días.</w:t>
      </w:r>
    </w:p>
    <w:p w:rsidR="0025129F" w:rsidRDefault="0025129F" w:rsidP="0025129F">
      <w:pPr>
        <w:pStyle w:val="TextoNormal"/>
      </w:pPr>
    </w:p>
    <w:p w:rsidR="0025129F" w:rsidRDefault="0025129F" w:rsidP="0025129F">
      <w:pPr>
        <w:pStyle w:val="TextoNormal"/>
      </w:pPr>
      <w:r w:rsidRPr="0025129F">
        <w:rPr>
          <w:rStyle w:val="NumeroAFNegritaCaracter"/>
        </w:rPr>
        <w:t>6</w:t>
      </w:r>
      <w:r>
        <w:t>. Con fecha de 22 de noviembre de 1999 la representación procesal de la parte recurrente presentó su escrito de alegaciones, ratificándose en las mantenidas con anterioridad en su recurso de amparo.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7</w:t>
      </w:r>
      <w:r>
        <w:t>. Por escrito de 16 de noviembre de 1999 el Ministerio Fiscal presentó su escrito de alegaciones, en el cual comienza diciendo que la creación de "Secciones Delegadas" de los Centros de Mediación, Arbitraje y Conciliación (CEMAC) está prevista en el art. 11 del Decreto 91/1983 del Consejo de Gobierno de la Junta de Andalucía, y que, conforme a tal norma, el Centro situado en Algeciras constituye una delegación del organismo administrativo ubicado en Cádiz, por lo que, conforme al art. 13.4 de la Ley 30/92, de 26 de noviembre, de Régimen Jurídico de las Administraciones Públicas y del Procedimiento Administrativo Común, sus funciones no pueden considerarse más que dictadas por el órgano delegante. Sentado lo anterior, recuerda que el requisito de la conciliación previa regulado en el art. 63 de la Ley de Procedimiento Laboral de 1995 carece de valor autónomo, al tratarse de un requisito ordenado a la finalidad de permitir la iniciación del proceso. Por tal motivo entiende que su defectuoso cumplimiento no puede determinar la grave consecuencia de declarar la caducidad de la acción sin que previamente se haya dado oportunidad de proceder a su subsanación, pues, de no ser así, se estaría aplicando una causa legal de manera incompatible con la obligación de procurar la mayor efectividad del derecho a la tutela judicial efectiva. Manifiesta asimismo que la parte actora actuó con evidente buena fe y diligencia, y que su falta se podría haber evitado de no haber incurrido la Administración en el supuesto error de no reconocer la incompetencia que más tarde declararon los órganos judiciales, por lo que concluye sosteniendo la vulneración del derecho a la tutela judicial efectiva de la recurrente en amparo (art. 24.1 CE) y solicitando que se estime su demanda.</w:t>
      </w:r>
    </w:p>
    <w:p w:rsidR="0025129F" w:rsidRDefault="0025129F" w:rsidP="0025129F">
      <w:pPr>
        <w:pStyle w:val="TextoNormal"/>
      </w:pPr>
    </w:p>
    <w:p w:rsidR="0025129F" w:rsidRDefault="0025129F" w:rsidP="0025129F">
      <w:pPr>
        <w:pStyle w:val="TextoNormal"/>
      </w:pPr>
      <w:r w:rsidRPr="0025129F">
        <w:rPr>
          <w:rStyle w:val="NumeroAFNegritaCaracter"/>
        </w:rPr>
        <w:t>8</w:t>
      </w:r>
      <w:r>
        <w:t>. Con fecha 22 de noviembre de 1999 el Abogado del Estado presentó su escrito de alegaciones, en el que solicita la denegación del recurso de amparo al entender que no puede reputarse de irrazonable la interpretación que de las normas laborales han efectuado las Sentencias impugnadas, conforme a lo mantenido en la STS de 16 de febrero de 1984 y STC 202/1998.</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7 de marzo de 2002 se señaló para deliberación y fallo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La demanda de amparo se dirige contra las dos resoluciones judiciales indicadas en el encabezamiento al entender que lesionan el derecho a la tutela judicial efectiva (art. 24.1 CE), por interpretación restrictiva de los presupuestos de acceso al proceso, al haber declarado que, dado que el intento de conciliación previa se había efectuado ante un organismo incompetente (el Centro de Mediación, Arbitraje y Conciliación de Cádiz, en lugar del de Algeciras), el cómputo del plazo de caducidad previsto legalmente para la acción de despido (art. 59.3 LET; 103 LPL) no se había suspendido, por lo que en el momento de presentación de la demanda ante el órgano judicial la acción ya había caducado. La parte actora mantiene que, con independencia de que el centro de conciliación al que se había dirigido resultaba competente, conforme a lo dispuesto en el Decreto 91/1983 del Consejo de Gobierno de la Junta de Andalucía, de no ser así se le tenía que haber dado la oportunidad de poder subsanar el defecto en el cual hipotéticamente hubiera incurrido, pues de ello dependía su derecho a promover la actividad jurisdiccional. Sin embargo, entiende que la </w:t>
      </w:r>
      <w:r>
        <w:lastRenderedPageBreak/>
        <w:t>interpretación efectuada por los órganos judiciales fue poco respetuosa con el derecho fundamental a la tutela judicial efectiva, pues, aun cuando se había satisfecho claramente la finalidad del intento de conciliación previa, se tuvo éste por incumplido al considerar intrascendente la celebración del acto de conciliación, desconociéndose que las normas jurídicas deben interpretarse siempre de manera que se potencie en lo posible la eficacia de los derechos fundamentales.</w:t>
      </w:r>
    </w:p>
    <w:p w:rsidR="0025129F" w:rsidRDefault="0025129F" w:rsidP="0025129F">
      <w:pPr>
        <w:pStyle w:val="TextoNormal"/>
      </w:pPr>
      <w:r>
        <w:t>El Ministerio Fiscal interesa el otorgamiento del amparo al estimar que las decisiones judiciales recurridas vulneraron el derecho a la tutela judicial efectiva (art. 24.1 CE) por haber interpretado de manera rígidamente formalista la exigencia del intento de conciliación previsto en el art. 63 LPL, pues, dado su carácter instrumental, su defectuoso cumplimiento no puede determinar la grave consecuencia de declarar la caducidad de la acción sin previamente haber dado oportunidad a la parte de repararlo. Además, señala que la falta en la que incurrió la parte actora se podía haber evitado de no haber incurrido la propia Administración en el supuesto error de no reconocer la incompetencia que más tarde declararon los órganos judiciales.</w:t>
      </w:r>
    </w:p>
    <w:p w:rsidR="0025129F" w:rsidRDefault="0025129F" w:rsidP="0025129F">
      <w:pPr>
        <w:pStyle w:val="TextoNormal"/>
      </w:pPr>
      <w:r>
        <w:t>Por su parte, el Abogado del Estado solicita la denegación del amparo al entender que no puede reputarse irrazonable la interpretación de las normas laborales efectuada por las Sentencias impugnadas.</w:t>
      </w:r>
    </w:p>
    <w:p w:rsidR="0025129F" w:rsidRDefault="0025129F" w:rsidP="0025129F">
      <w:pPr>
        <w:pStyle w:val="TextoNormal"/>
      </w:pPr>
    </w:p>
    <w:p w:rsidR="0025129F" w:rsidRDefault="0025129F" w:rsidP="0025129F">
      <w:pPr>
        <w:pStyle w:val="TextoNormal"/>
      </w:pPr>
      <w:r w:rsidRPr="0025129F">
        <w:rPr>
          <w:rStyle w:val="NumeroAFNegritaCaracter"/>
        </w:rPr>
        <w:t>2</w:t>
      </w:r>
      <w:r>
        <w:t>. Delimitado así el objeto del presente recurso, nuestro enjuiciamiento debe centrarse en determinar si la interpretación judicial efectuada en este caso del requisito del "intento de conciliación previa" resulta reprochable desde el prisma constitucional por ser lesiva del derecho fundamental invocado, debiendo quedar fuera del ámbito de nuestro análisis el problema de qué organismo administrativo era el realmente competente, al ser ésta una cuestión perteneciente al plano de la legalidad y de exclusiva incumbencia de la jurisdicción ordinaria.</w:t>
      </w:r>
    </w:p>
    <w:p w:rsidR="0025129F" w:rsidRDefault="0025129F" w:rsidP="0025129F">
      <w:pPr>
        <w:pStyle w:val="TextoNormal"/>
      </w:pPr>
      <w:r>
        <w:t>Para afrontar el examen que nos es propio resulta preciso recordar, una vez más, la doctrina de este Tribunal conforme a la cual el derecho a la tutela judicial efectiva (art. 24.1 CE) tiene como primer contenido el acceso a la jurisdicción (que es donde se sitúa la vulneración constitucional alegada en el presente supuesto) sin limitación de garantías ni impedimentos para alegar y demostrar en el proceso los propios derechos y mediante la obtención de una respuesta judicial razonada, motivada y fundada en Derecho, tanto si resuelve acerca del fondo de la pretensión de las partes como si inadmite la acción en virtud de la aplicación razonada y no arbitraria de una causa legal debidamente acreditada (por todas, SSTC 108/2000, de 5 de mayo, FJ 3; 198/2000, de 24 de julio, FJ 2; 71/2001, de 26 de marzo, FJ 3; 88/2001, de 2 de abril, FJ 3, y 89/2001, de 2 de abril, FJ 3). Ahora bien, cuando la decisión judicial cuestionada cierra el acceso a la jurisdicción, el control de constitucionalidad ha de realizarse de modo más riguroso, puesto que estamos ante el derecho que constituye el núcleo de la tutela judicial efectiva (por todas, SSTC 154/1992, de 19 de octubre, FJ 2; 112/1997, de 3 de junio, FJ 3, y 16/1999, de 22 de febrero, FJ 2).</w:t>
      </w:r>
    </w:p>
    <w:p w:rsidR="0025129F" w:rsidRDefault="0025129F" w:rsidP="0025129F">
      <w:pPr>
        <w:pStyle w:val="TextoNormal"/>
      </w:pPr>
      <w:r>
        <w:t>Como hemos dicho en anteriores ocasiones, aunque la verificación de la concurrencia de los presupuestos y requisitos procesales constituye una cuestión de estricta legalidad ordinaria, cuya resolución compete exclusivamente a los órganos judiciales en el ejercicio de la potestad que privativamente les confiere el art. 117.3 CE, a este Tribunal le corresponde revisar aquellas decisiones judiciales en las que tales presupuestos procesales se hayan interpretado de forma arbitraria, manifiestamente irrazonable o incurriendo en un error patente; y, cuando del acceso a la jurisdicción se trata, en los casos en que la normativa procesal se haya interpretado de forma rigorista, excesivamente formalista o despro</w:t>
      </w:r>
      <w:r>
        <w:lastRenderedPageBreak/>
        <w:t>porcionada en relación con los fines que preserva y los intereses que se sacrifican (por todas, SSTC 119/1998, de 4 de junio; 39/1999, de 22 de marzo, FJ 3; 122/1999, de 28 de junio, FJ 2; 285/2000, de 27 de noviembre, FJ 4; 16/2001, de 29 de enero, FJ 4, y 71/2001, de 26 de marzo, FJ 3).  Tratándose, pues, de acceso a la jurisdicción, y estando consecuentemente en juego la obtención de una primera decisión judicial, los cánones de control de constitucionalidad se amplían como consecuencia de la mayor intensidad con la que se proyecta el principio pro actione, con el objeto de evitar que determinadas aplicaciones o interpretaciones de los presupuestos procesales eliminen u obstaculicen injustificadamente el derecho a que un órgano judicial conozca y resuelva en Derecho sobre la pretensión a él sometida (SSTC 158/2000, de 12 de junio, FJ 5, y 10/2001, de 29 de enero, FJ 4, entre otras muchas).</w:t>
      </w:r>
    </w:p>
    <w:p w:rsidR="0025129F" w:rsidRDefault="0025129F" w:rsidP="0025129F">
      <w:pPr>
        <w:pStyle w:val="TextoNormal"/>
      </w:pPr>
      <w:r>
        <w:t>También hay que tener en cuenta que tales requisitos formales de acceso al proceso no constituyen valores autónomos con sustantividad propia, sino que únicamente suponen instrumentos para conseguir una finalidad legítima, por lo que su incumplimiento no presenta siempre igual valor obstativo, con independencia de la trascendencia práctica que revista.  Antes al contrario, los requisitos formales han de examinarse teniendo en cuenta la finalidad que con ellos se pretende, para, de existir defectos, proceder a una justa adecuación de las consecuencias jurídicas por la entidad real del defecto apreciado, pues debe existir proporcionalidad entre éste y aquéllas (por todas, SSTC 63/1999, de 26 de abril, FJ 2, y 285/2000, de 27 de noviembre, FJ 4).  En aplicación de tal doctrina, el control constitucional ha sido especialmente riguroso en relación con decisiones judiciales que, constatando la existencia de irregularidades formales en las demandas, decretaron el archivo de las actuaciones, o, en general, no dieron una respuesta sobre el fondo de la pretensión formulada (entre otras, STC 16/1999, de 22 de abril, FJ 4).</w:t>
      </w:r>
    </w:p>
    <w:p w:rsidR="0025129F" w:rsidRDefault="0025129F" w:rsidP="0025129F">
      <w:pPr>
        <w:pStyle w:val="TextoNormal"/>
      </w:pPr>
    </w:p>
    <w:p w:rsidR="0025129F" w:rsidRDefault="0025129F" w:rsidP="0025129F">
      <w:pPr>
        <w:pStyle w:val="TextoNormal"/>
      </w:pPr>
      <w:r w:rsidRPr="0025129F">
        <w:rPr>
          <w:rStyle w:val="NumeroAFNegritaCaracter"/>
        </w:rPr>
        <w:t>3</w:t>
      </w:r>
      <w:r>
        <w:t>. Aplicando la doctrina anteriormente expuesta al presente caso, hemos de partir de la base de que la recurrente en amparo, que pretendía demandar a la empresa para la que trabajaba por haber sido, a su juicio, objeto de un despido discriminatorio, como requisito previo para poder acceder a la vía judicial presentó dentro de plazo la papeleta de conciliación ante el Centro de Mediación, Arbitraje y Conciliación que consideró competente (el de la ciudad de Cádiz) a los efectos de cumplir con la exigencia del intento de conciliación previa exigido legalmente en el art. 63 LPL; y, teniéndose por competente, tal órgano administrativo admitió la solicitud, fijó fecha para la celebración del acto, citó a las partes y, finalmente, tras el intento de conciliación, expidió la certificación pertinente que más tarde debía acompañarse a la demanda judicial.</w:t>
      </w:r>
    </w:p>
    <w:p w:rsidR="0025129F" w:rsidRDefault="0025129F" w:rsidP="0025129F">
      <w:pPr>
        <w:pStyle w:val="TextoNormal"/>
      </w:pPr>
      <w:r>
        <w:t xml:space="preserve">De este modo, el convencimiento de la parte actora de que cumplía debidamente con el requisito legal de intentar la conciliación previa presentando la solicitud ante el servicio administrativo correspondiente no se vio en modo alguno desvirtuado por la actuación del órgano ante el cual se cumplimentó, pues éste se limitó a dar curso al trámite requerido sin objetar nada sobre su eventual incompetencia. Posteriormente, cuando la actora acudió a la vía judicial, ni recibió observación alguna al respecto del Juez, ni éste, primero, ni la Sala de lo Social, después, incurriendo en una interpretación lesiva del derecho fundamental a la tutela judicial efectiva, ponderaron adecuadamente la entidad del defecto advertido, su incidencia en la consecución de la finalidad perseguida por la norma infringida, su trascendencia para las garantías procesales de las demás partes del proceso, ni, finalmente, la voluntad y grado de diligencia procesal apreciada en la parte en orden al cumplimiento del requisito procesal que se consideró incumplido o irregularmente observado (por todas, SSTC 108/2000, de 5 de mayo, FJ 2; 193/2000, de 18 de julio, FJ 2, y 285/2000, de 27 de </w:t>
      </w:r>
      <w:r>
        <w:lastRenderedPageBreak/>
        <w:t>noviembre, FJ 4). En efecto, es de todo punto evidente que en el presente caso la finalidad de la conciliación se había cumplido materialmente, puesto que las partes tuvieron la oportunidad de lograr una avenencia extraprocesal, certificándolo así el Centro de Mediación, Arbitraje y Conciliación ante el cual se celebró el acto.</w:t>
      </w:r>
    </w:p>
    <w:p w:rsidR="0025129F" w:rsidRDefault="0025129F" w:rsidP="0025129F">
      <w:pPr>
        <w:pStyle w:val="TextoNormal"/>
      </w:pPr>
      <w:r>
        <w:t>Desde esta perspectiva, la apreciación de los órganos judiciales sobre la decisiva relevancia a efectos del acceso al proceso de la competencia del órgano administrativo (por lo demás, no discutida por éste) resulta a todas luces absolutamente desproporcionada y ajena a la función que cumple en el proceso laboral el instituto de la conciliación. Ni está previsto que el trámite sea ineficaz a efectos procesales de no promoverse ante el órgano administrativo competente, ni estamos aquí ante un supuesto similar al examinado por el Tribunal Supremo en la Sentencia de 16 de febrero de 1984, citada por la Sala de lo Social del Tribunal Superior de Andalucía, con sede en Sevilla, frente a la que se demanda amparo, pues el caso considerado en aquella Sentencia se refería a la celebración de un acto de conciliación ante órganos distintos del IMAC, mientras que en el que ahora nos ocupa el acto de conciliación se llevó a cabo ante un Centro del cual era una Sección Delegada aquella dependencia ante la que se dice hubiera debido practicarse.</w:t>
      </w:r>
    </w:p>
    <w:p w:rsidR="0025129F" w:rsidRDefault="0025129F" w:rsidP="0025129F">
      <w:pPr>
        <w:pStyle w:val="TextoNormal"/>
      </w:pPr>
      <w:r>
        <w:t>Por otro lado, es evidente que, aun cuando se admitiera que hubiese incurrido en una cierta negligencia la parte actora, ésta no podría revestir la trascendencia que se le atribuye, habida cuenta de que, como ya se ha dicho, la ahora recurrente en amparo mostró su voluntad de cumplir correctamente con el trámite exigido en el art. 63 LPL para tener con ello expedita la vía judicial en orden a hacer valer su pretensión.</w:t>
      </w:r>
    </w:p>
    <w:p w:rsidR="0025129F" w:rsidRDefault="0025129F" w:rsidP="0025129F">
      <w:pPr>
        <w:pStyle w:val="TextoNormal"/>
      </w:pPr>
      <w:r>
        <w:t>A la vista de lo anterior, y en aplicación de la doctrina citada, resulta obligado concluir que la interpretación judicial efectuada por las Sentencias recurridas al considerar incumplido en este caso el intento de conciliación previa ha vulnerado el derecho a la tutela judicial efectiva reconocido en el art. 24.1 CE por resultar desproporcionada, excesivamente rigurosa y contraria al principio pro actione, que se proyecta en este caso con una mayor intensidad al tratarse de un supuesto en el que se ha negado el derecho de acceso a la jurisdicción.</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doña Carmen Tamayo Pérez, y, en consecuencia:</w:t>
      </w:r>
    </w:p>
    <w:p w:rsidR="0025129F" w:rsidRDefault="0025129F" w:rsidP="0025129F">
      <w:pPr>
        <w:pStyle w:val="TextoNormal"/>
      </w:pPr>
      <w:r>
        <w:t>1º Declarar que ha sido vulnerado el derecho de la recurrente a la tutela judicial efectiva (art.  24.1 CE).</w:t>
      </w:r>
    </w:p>
    <w:p w:rsidR="0025129F" w:rsidRDefault="0025129F" w:rsidP="0025129F">
      <w:pPr>
        <w:pStyle w:val="TextoNormal"/>
      </w:pPr>
      <w:r>
        <w:t>2º Restablecerla en la integridad de su derecho y, a tal fin, anular la Sentencia de la Sala de lo Social del Tribunal Superior de Justicia de Andalucía, con sede en Sevilla, de 17 de julio de 1998, y la del Juez de lo Social de Algeciras de 28 de octubre de 1997, debiéndose retrotraer las actuaciones al momento inmediatamente anterior al de dictarse la última Sentencia mencionada para que el Juez de lo Social de Algeciras, con respeto a la efectividad del derecho a la tutela judicial efectiva, resuelva finalmente sobre el fondo de la pretensión ejercitada en el proceso.</w:t>
      </w:r>
    </w:p>
    <w:p w:rsidR="0025129F" w:rsidRDefault="0025129F" w:rsidP="0025129F">
      <w:pPr>
        <w:pStyle w:val="TextoNormal"/>
      </w:pPr>
    </w:p>
    <w:p w:rsidR="0025129F" w:rsidRDefault="0025129F" w:rsidP="0025129F">
      <w:pPr>
        <w:pStyle w:val="TextoNormal"/>
      </w:pPr>
      <w:r>
        <w:lastRenderedPageBreak/>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2" w:name="SENTENCIA_2002_59"/>
      <w:r>
        <w:lastRenderedPageBreak/>
        <w:t>SENTENCIA 59/2002, de 11 de marzo de 2002</w:t>
      </w:r>
    </w:p>
    <w:bookmarkEnd w:id="62"/>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ECLI:ES:TC:2002:59</w:t>
      </w:r>
    </w:p>
    <w:p w:rsidR="0025129F" w:rsidRDefault="0025129F" w:rsidP="0025129F">
      <w:pPr>
        <w:pStyle w:val="SntesisDescriptiva"/>
      </w:pPr>
    </w:p>
    <w:p w:rsidR="0025129F" w:rsidRDefault="0025129F" w:rsidP="0025129F">
      <w:pPr>
        <w:pStyle w:val="SntesisDescriptiva"/>
      </w:pPr>
      <w:r>
        <w:t>Recurso de amparo 4411/1998. Promovido por Tenerife Appartementhaus, GmbH &amp; Co. KG, respecto a la Sentencia de un Juzgado de Primera Instancia del Puerto de la Cruz que declaró la propiedad de un apartamento sito en la urbanización “La Paz”.</w:t>
      </w:r>
    </w:p>
    <w:p w:rsidR="0025129F" w:rsidRDefault="0025129F" w:rsidP="0025129F">
      <w:pPr>
        <w:pStyle w:val="SntesisDescriptiva"/>
      </w:pPr>
    </w:p>
    <w:p w:rsidR="0025129F" w:rsidRDefault="0025129F" w:rsidP="0025129F">
      <w:pPr>
        <w:pStyle w:val="SntesisAnaltica"/>
      </w:pPr>
      <w:r>
        <w:t>Supuesta vulneración del derecho a la tutela judicial sin indefensión: emplazamiento y citaciones judiciales realizados con la debida diligencia; indicios de que la actora tuvo conocimiento del proceso.</w:t>
      </w:r>
    </w:p>
    <w:p w:rsidR="0025129F" w:rsidRDefault="0025129F" w:rsidP="0025129F">
      <w:pPr>
        <w:pStyle w:val="SntesisAnaltica"/>
      </w:pPr>
    </w:p>
    <w:p w:rsidR="0025129F" w:rsidRDefault="0025129F" w:rsidP="0025129F">
      <w:pPr>
        <w:pStyle w:val="Extracto"/>
      </w:pPr>
      <w:r>
        <w:t>1.</w:t>
      </w:r>
      <w:r>
        <w:tab/>
        <w:t>Aun cuando no se efectuaron el emplazamiento y los actos de comunicación procesal de forma directa y personal con la sociedad mercantil demandante del amparo, el Juzgado actuó con la debida diligencia a la hora de practicar dichos actos, existiendo indicios suficientes que permiten concluir que la entidad ahora recurrente tuvo conocimiento de la existencia del procedimiento [FJ 4].</w:t>
      </w:r>
    </w:p>
    <w:p w:rsidR="0025129F" w:rsidRDefault="0025129F" w:rsidP="0025129F">
      <w:pPr>
        <w:pStyle w:val="Extracto"/>
      </w:pPr>
    </w:p>
    <w:p w:rsidR="0025129F" w:rsidRDefault="0025129F" w:rsidP="0025129F">
      <w:pPr>
        <w:pStyle w:val="Extracto"/>
      </w:pPr>
      <w:r>
        <w:t>2.</w:t>
      </w:r>
      <w:r>
        <w:tab/>
        <w:t>Cuando la indefensión que se invoque sea imputable al propio interesado, no cabe apreciar la vulneración del derecho a la tutela judicial (SSTC 43/1989, 74/2001) [FJ 2].</w:t>
      </w:r>
    </w:p>
    <w:p w:rsidR="0025129F" w:rsidRDefault="0025129F" w:rsidP="0025129F">
      <w:pPr>
        <w:pStyle w:val="Extracto"/>
      </w:pPr>
    </w:p>
    <w:p w:rsidR="0025129F" w:rsidRDefault="0025129F" w:rsidP="0025129F">
      <w:pPr>
        <w:pStyle w:val="Extracto"/>
      </w:pPr>
      <w:r>
        <w:t>3.</w:t>
      </w:r>
      <w:r>
        <w:tab/>
        <w:t>El derecho de defensa, incluido en el derecho a la tutela judicial efectiva sin indefensión, impone a los órganos judiciales un especial deber de diligencia en la realización de los actos de comunicación procesal [FJ 2].</w:t>
      </w:r>
    </w:p>
    <w:p w:rsidR="0025129F" w:rsidRDefault="0025129F" w:rsidP="0025129F">
      <w:pPr>
        <w:pStyle w:val="Extracto"/>
      </w:pPr>
    </w:p>
    <w:p w:rsidR="0025129F" w:rsidRDefault="0025129F" w:rsidP="0025129F">
      <w:pPr>
        <w:pStyle w:val="Extracto"/>
      </w:pPr>
      <w:r>
        <w:t>4.</w:t>
      </w:r>
      <w:r>
        <w:tab/>
        <w:t>La indefensión que proscribe el art. 24.1 CE no es la meramente formal, sino la material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4411/98, promovido por Tenerife Appartementhaus GmbH &amp; Co. KG, representada por el Procurador de los Tribunales don Saturnino Estévez </w:t>
      </w:r>
      <w:r>
        <w:lastRenderedPageBreak/>
        <w:t>Rodríguez y asistido por el Abogado don Jon Eric Spiegel, contra Sentencia de 22 de diciembre de 1992 del Juzgado de Primera Instancia núm. 1 del Puerto de la Cruz (Santa Cruz de Tenerife), dictada en el juicio de menor cuantía 118/92. Ha intervenido el Ministerio Fiscal y ha sido parte don Jaime Belmonte Plaza, representado por la Procuradora doña María-Angeles Almanza Sanz y bajo la dirección del Letrado don Carlos-Enrique Valenciano Pío.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Por escrito registrado en este Tribunal el 23 de octubre de 1998, presentado en el Juzgado de guardia el día anterior, se interpuso el recurso de amparo que se deja mencionado en el encabezamiento y que se fundamenta en los siguientes hechos: </w:t>
      </w:r>
    </w:p>
    <w:p w:rsidR="0025129F" w:rsidRDefault="0025129F" w:rsidP="0025129F">
      <w:pPr>
        <w:pStyle w:val="TextoNormal"/>
      </w:pPr>
      <w:r>
        <w:t xml:space="preserve">a) Con fecha de 15 de abril de 1992 don Jaime Belmonte Plaza formuló demanda de juicio ordinario de menor cuantía contra la entidad de nacionalidad alemana Tenerife Appartementhaus GmbH. &amp; Co. KG, y contra las sociedades Boca, S.A.," y Hoteles Riu, S.A., designándose en la demanda como domicilio donde podían ser emplazadas las demandadas el del Hotel Interpalace y el Hotel Bonanza Palace, antes Eurotel segunda fase, sitos ambos en la Urbanización La Paz de la ciudad del Puerto de la Cruz. </w:t>
      </w:r>
    </w:p>
    <w:p w:rsidR="0025129F" w:rsidRDefault="0025129F" w:rsidP="0025129F">
      <w:pPr>
        <w:pStyle w:val="TextoNormal"/>
      </w:pPr>
      <w:r>
        <w:t xml:space="preserve">Se afirma en el recurso de amparo que "al parecer es bajo esa dirección en donde se consigue emplazar a Hoteles Riu S.A.", pero no a las otras codemandadas, "en relación a las cuales se practican dos cédulas de citación en cada caso, resultando ser en ambos casos negativas las primeras notificaciones, mientras que las segundas citaciones se entregan a una señora denominada Ariane Pliberschnig, que nada tiene que ver con mi representada". Añade que "otro tanto ocurrió con la citación de las partes demandadas para practicar la confesión judicial solicitada por la adversa". </w:t>
      </w:r>
    </w:p>
    <w:p w:rsidR="0025129F" w:rsidRDefault="0025129F" w:rsidP="0025129F">
      <w:pPr>
        <w:pStyle w:val="TextoNormal"/>
      </w:pPr>
      <w:r>
        <w:t xml:space="preserve">b) En la demanda se ejercitaba la acción reivindicatoria respecto de un apartamento sito en la Urbanización La Paz citada, solicitando, en síntesis, que se declarase que el actor es el propietario y legítimo titular de la finca litigiosa y que se condenase a los demandados a entregar el inmueble al demandante y a las entidades Boca, S.A. y Tenerife Appartementhaus GmbH &amp; Co. KG, solidariamente, a entregar al actor los beneficios obtenidos por la explotación del apartamento litigioso y percibido por Hoteles Unidos S.A. (HUSA) y Hoteles Riu, S.A., previa la oportuna rendición de cuentas. </w:t>
      </w:r>
    </w:p>
    <w:p w:rsidR="0025129F" w:rsidRDefault="0025129F" w:rsidP="0025129F">
      <w:pPr>
        <w:pStyle w:val="TextoNormal"/>
      </w:pPr>
      <w:r>
        <w:t xml:space="preserve">c) El Jugado de Primera Instancia núm. 1 del Puerto de la Cruz (autos 118/92), por providencia de 24 de abril de 1992, admitió a trámite la demanda y ordenó el emplazamiento de los demandados. </w:t>
      </w:r>
    </w:p>
    <w:p w:rsidR="0025129F" w:rsidRDefault="0025129F" w:rsidP="0025129F">
      <w:pPr>
        <w:pStyle w:val="TextoNormal"/>
      </w:pPr>
      <w:r>
        <w:t xml:space="preserve">Con fecha 29 de abril de 1992 se emplazó a Hoteles Riu, S.A., entendiéndose la diligencia con quien dijo ser empleada de la entidad, que estampó su firma. Con fecha 27 de mayo de 1992 se practicó el emplazamiento de Boca ,S.A., y Tenerife Appartementhaus GmbH &amp; Co. KG, entendiéndose la diligencia con doña Arianne Pliberschnig, que se negó a firmarla. </w:t>
      </w:r>
    </w:p>
    <w:p w:rsidR="0025129F" w:rsidRDefault="0025129F" w:rsidP="0025129F">
      <w:pPr>
        <w:pStyle w:val="TextoNormal"/>
      </w:pPr>
      <w:r>
        <w:t xml:space="preserve">d) Transcurrido el término concedido sin que los demandados compareciesen fueron declarados en rebeldía por providencia de 29 de junio de 1992. </w:t>
      </w:r>
    </w:p>
    <w:p w:rsidR="0025129F" w:rsidRDefault="0025129F" w:rsidP="0025129F">
      <w:pPr>
        <w:pStyle w:val="TextoNormal"/>
      </w:pPr>
      <w:r>
        <w:t xml:space="preserve">e) Seguido el procedimiento en el que se intentó la citación para confesión de los demandados, sólo se consiguió obtener la confesión del representante legal de "Hoteles Riu, S.A." </w:t>
      </w:r>
    </w:p>
    <w:p w:rsidR="0025129F" w:rsidRDefault="0025129F" w:rsidP="0025129F">
      <w:pPr>
        <w:pStyle w:val="TextoNormal"/>
      </w:pPr>
      <w:r>
        <w:lastRenderedPageBreak/>
        <w:t xml:space="preserve">f) Con fecha de 22 de diciembre de 1992 se dictó Sentencia en la que se estimó la demanda en los términos solicitados con imposición de las costas a los demandados. </w:t>
      </w:r>
    </w:p>
    <w:p w:rsidR="0025129F" w:rsidRDefault="0025129F" w:rsidP="0025129F">
      <w:pPr>
        <w:pStyle w:val="TextoNormal"/>
      </w:pPr>
      <w:r>
        <w:t xml:space="preserve">Intentada la notificación personal de la Sentencia el 14 de abril de 1993 en el hotel señalado en la demanda, por un empleado se manifestó que Tenerife Appartementhaus GmbH Co. KG se encuentra en Madrid. El 24 de mayo de 1993 se practicó la notificación con un vecino que trabajaba en la misma planta de la demandada Boca, S.A., que se negó a firmar. </w:t>
      </w:r>
    </w:p>
    <w:p w:rsidR="0025129F" w:rsidRDefault="0025129F" w:rsidP="0025129F">
      <w:pPr>
        <w:pStyle w:val="TextoNormal"/>
      </w:pPr>
      <w:r>
        <w:t xml:space="preserve">El 8 de julio de 1993 se notificó la Sentencia a un empleado de Hoteles Riu, S.A., extendiéndose la notificación también para Tenerife Appartementhaus, negándose también aquél a firmar la diligencia. </w:t>
      </w:r>
    </w:p>
    <w:p w:rsidR="0025129F" w:rsidRDefault="0025129F" w:rsidP="0025129F">
      <w:pPr>
        <w:pStyle w:val="TextoNormal"/>
      </w:pPr>
      <w:r>
        <w:t>g) Instada la ejecución de la sentencia y realizadas diversas actuaciones, las entidades Tenerife Appartementhaus GmbH &amp; Co. KG y Boca, S.A., actuando representadas por el mismo Procurador y bajo la misma asistencia letrada, dirigieron escrito al Juzgado en fecha 30 de septiembre de 1998 interesando la suspensión de la ejecución y comunicando su decisión de interponer recurso de amparo. Previamente, en noviembre de 1997, se había personado en la ejecución de dicho procedimiento de menor cuantía la sociedad Boca, S.A..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entidad recurrente denuncia en la demanda de amparo la vulneración del derecho a la tutela judicial efectiva (art. 24.1 CE), que, a juicio de la solicitante del amparo, se ha producido por la indefensión sufrida a causa de que, según afirma, no fue emplazada en el juicio de menor cuantía seguido contra ella y otras dos sociedades mercantiles, pues el emplazamiento y otros actos de comunicación procesal fueron realizados con personas ajenas a la recurrente. </w:t>
      </w:r>
    </w:p>
    <w:p w:rsidR="0025129F" w:rsidRDefault="0025129F" w:rsidP="0025129F">
      <w:pPr>
        <w:pStyle w:val="TextoNormal"/>
      </w:pPr>
      <w:r>
        <w:t xml:space="preserve">Dice la recurrente que "es una entidad mercantil con domicilio social en Alemania y que no tiene designado un domicilio o representante en territorio español para recibir notificaciones judiciales o de otra índole". Y señala, al efecto, que su domicilio se halla en Kramerstrasse, 10, 30159, Hannover, República Federal de Alemania, según consta tanto en el Registro Mercantil de Madrid como en el Registro Mercantil de Hannover. Añade asimismo que "el Juez de Primera Instancia se ha limitado a seguir las indicaciones de la parte contraria y, por lo tanto, a remitir cédulas de citación y notificaciones a personas que ninguna relación tienen con la empresa citada, por lo que cabe afirmar que no ha actuado con la diligencia debida en el presente caso". Indica, por último, que tuvo conocimiento de la Sentencia ahora impugnada en virtud de un fax remitido el 28 de septiembre de 1998 "por parte de la Letrada de la entidad mercantil de nacionalidad española Boca, S.A."; y señala, al respecto, que la notificación a ella de la Sentencia "la recibe al parecer un empleado de Hoteles Riu S.A., ya que por lo visto, y según la lógica del Juzgado, el domicilio social de ambas sociedades resulta ser el mismo". </w:t>
      </w:r>
    </w:p>
    <w:p w:rsidR="0025129F" w:rsidRDefault="0025129F" w:rsidP="0025129F">
      <w:pPr>
        <w:pStyle w:val="TextoNormal"/>
      </w:pPr>
      <w:r>
        <w:t>La demanda de amparo termina con la súplica de que se dicte Sentencia "por la que se otorgue a la recurrente el amparo solicitado, declarando la nulidad de la Sentencia dictada por el Juzgado de Primera Instancia número 1 del Puerto de la Cruz el día 22 de diciembre de 1992 en juicio de menor cuantía número 118/92, y de todo lo actuado en el procedimiento en cuestión, reconociendo expresamente el derecho de la recurrente a la defensa en litigio en que se ventila la restitución de la posesión de una finca a un tercero, cuando la titularidad de la misma corresponde a mi representada". Asimismo solicita por otrosí la suspensión de la ejecución de la Sentencia impugnada.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3</w:t>
      </w:r>
      <w:r>
        <w:t>. Por diligencia de ordenación de 20 de mayo de 1999 se acordó que, antes de pasar a resolver sobre la admisibilidad del recurso, se requiriese al Juzgado de Primera Instancia núm. 1 del Puerto de la Cruz a que remitiera testimonio de los autos del juicio de menor cuantía 118/92.</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8 de noviembre de 1999 se acordó abrir el trámite del art. 50.3 LOTC, dando vista de las actuaciones recibidas a la entidad demandante y al Ministerio Fiscal, por el plazo común de diez días, para que formularan las alegaciones que estimasen pertinentes en relación con la carencia manifiesta de contenido constitucional de la demanda: art. 50.1.c LOTC.</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registrado el 10 de diciembre de 1999 la demandante formuló sus alegaciones interesando el amparo y el Ministerio Fiscal, por escrito registrado el 16 de diciembre de 1999, manifestó que la demanda no carecía manifiestamente de contenido, por lo que procedía su admisión.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Por providencia de 8 de febrero de 2000, la Sala acordó admitir a trámite el recurso y requerir al Juzgado de Primera Instancia núm. 1 del Puerto de la Cruz a fin de que emplazase, por término de diez días, a quienes hubieran sido parte en el juicio de menor cuantía 118/92, con excepción de la recurrente, para que pudieran comparecer en este proceso constitucional. </w:t>
      </w:r>
    </w:p>
    <w:p w:rsidR="0025129F" w:rsidRDefault="0025129F" w:rsidP="0025129F">
      <w:pPr>
        <w:pStyle w:val="TextoNormal"/>
      </w:pPr>
      <w:r>
        <w:t>Asimismo, por providencia de igual fecha se acordó formar la pertinente pieza para tramitar el incidente de suspensión de la Sentencia.</w:t>
      </w:r>
    </w:p>
    <w:p w:rsidR="0025129F" w:rsidRDefault="0025129F" w:rsidP="0025129F">
      <w:pPr>
        <w:pStyle w:val="TextoNormal"/>
      </w:pPr>
    </w:p>
    <w:p w:rsidR="0025129F" w:rsidRDefault="0025129F" w:rsidP="0025129F">
      <w:pPr>
        <w:pStyle w:val="TextoNormal"/>
      </w:pPr>
      <w:r w:rsidRPr="0025129F">
        <w:rPr>
          <w:rStyle w:val="NumeroAFNegritaCaracter"/>
        </w:rPr>
        <w:t>7</w:t>
      </w:r>
      <w:r>
        <w:t>. Por Auto de 26 de junio de 2000 se acordó denegar la suspensión solicitada de la Sentencia recurrida en amparo.</w:t>
      </w:r>
    </w:p>
    <w:p w:rsidR="0025129F" w:rsidRDefault="0025129F" w:rsidP="0025129F">
      <w:pPr>
        <w:pStyle w:val="TextoNormal"/>
      </w:pPr>
    </w:p>
    <w:p w:rsidR="0025129F" w:rsidRDefault="0025129F" w:rsidP="0025129F">
      <w:pPr>
        <w:pStyle w:val="TextoNormal"/>
      </w:pPr>
      <w:r w:rsidRPr="0025129F">
        <w:rPr>
          <w:rStyle w:val="NumeroAFNegritaCaracter"/>
        </w:rPr>
        <w:t>8</w:t>
      </w:r>
      <w:r>
        <w:t>. Por diligencia de ordenación de 10 de julio de 2000 se acordó tener por personado y parte en el procedimiento a la Procuradora Sra. Almansa Sanz, en nombre y representación de don Jaime Belmonte Plaza, y dar vista de las actuaciones a las partes y al Ministerio Fiscal por plazo común de veinte días a fin de que pudieran formular las alegaciones que tuvieran por conveniente, de conformidad con el art. 52.1 LOTC.</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Por escrito registrado el 8 de septiembre de 2000, la recurrente presenta sus alegaciones, en las que reitera la solicitud de amparo. Señala que el procedimiento judicial en que recaen las resoluciones afectadas por vicio de inconstitucionalidad se inicia en virtud de demanda promovida por don Jaime Belmonte Plaza contra las entidades mercantiles Hoteles Riu, S.A., Boca, S.A., y Tenerife Appartementhaus GmbH &amp; Co. KG, en la que el actor solicita que se las emplace en los Hoteles Interpalace y Bonanza Palace, de la Urbanización La Paz del Puerto de la Cruz. </w:t>
      </w:r>
    </w:p>
    <w:p w:rsidR="0025129F" w:rsidRDefault="0025129F" w:rsidP="0025129F">
      <w:pPr>
        <w:pStyle w:val="TextoNormal"/>
      </w:pPr>
      <w:r>
        <w:t xml:space="preserve">Afirma que, tratándose de dos hoteles explotados por la cadena Riu, la codemandada Hoteles Riu, S.A. fue emplazada correctamente, pues, pese a no coincidir el domicilio señalado por el actor con el domicilio social de la misma, en la conserjería del hotel un empleado o dependiente de la citada empresa se hizo cargo de la cédula, en virtud de lo que dispone el art. 268 LEC. </w:t>
      </w:r>
    </w:p>
    <w:p w:rsidR="0025129F" w:rsidRDefault="0025129F" w:rsidP="0025129F">
      <w:pPr>
        <w:pStyle w:val="TextoNormal"/>
      </w:pPr>
      <w:r>
        <w:lastRenderedPageBreak/>
        <w:t xml:space="preserve">Se dice asimismo en dicho escrito de alegaciones que por el Juzgado se procedió a emplazar a las sociedades Boca, S.A., y Tenerife Appartamenthaus GmbH &amp; Co. KG en los expresados hoteles y en personas totalmente ajenas a las empresas demandadas, sin tener en consideración que el domicilio a efectos de notificaciones y emplazamientos de las compañías mercantiles se encuentra en su domicilio social (art. 66 LEC), sin perjuicio de que aquéllas que disponen de sucursales pudieran ser emplazadas allá donde fuera posible ser halladas, circunstancia que en el supuesto que nos ocupa no se produce. La recurrente en amparo es una compañía mercantil de nacionalidad alemana, domiciliada en 30159-Hannover, Kramerstrasse 10, desde su constitución hace más de veinte años, como reseñan su escritura de constitución y el Registro Mercantil de su domicilio, siendo ésta una información pública y que tanto el actor como el Juzgado de Primera Instancia núm. 1 del Puerto de la Cruz han tenido a su libre y plena disposición a lo largo de todo el proceso. Por lo que se refiere a Boca, S.A., es una sociedad española, cuyo domicilio social ha sido siempre, desde su constitución, el de 28010, Madrid, calle Marqués de Riscal núm. 11, y esta información no sólo es la que se extrae de su historial en el Registro Mercantil de Madrid, sino que es pública y notoria en el mismo Juzgado de Primera Instancia núm. 1 del Puerto de la Cruz, donde se siguen diversos procedimientos en los que es actora o demandada. </w:t>
      </w:r>
    </w:p>
    <w:p w:rsidR="0025129F" w:rsidRDefault="0025129F" w:rsidP="0025129F">
      <w:pPr>
        <w:pStyle w:val="TextoNormal"/>
      </w:pPr>
      <w:r>
        <w:t xml:space="preserve">Pese a tratarse de información tan sencilla y tan accesible al Juzgado y al actor, en el presente procedimiento no se intentó en ningún momento el emplazamiento de las sociedades codemandadas en su domicilio social, ni por medio de un exhorto a los Juzgados de Madrid para emplazar a Boca, S.A., ni por la remisión de una comisión rogatoria a la autoridad alemana competente para emplazar a la recurrente en amparo en Hannover, ni se hizo la más mínima gestión judicial para averiguar su paradero. Se limitó el Juzgado a tener por cumplimentado el emplazamiento por medio de la entrega de las cédulas en la conserjería de un hotel a persona no vinculada con las empresas demandadas, para después declararlas en rebeldía. En fecha de 28 de septiembre de 1998, cuando por medios extraprocesales esta parte --dice la recurrente- tuvo conocimiento de la existencia del juicio declarativo, no sólo se la había declarado en rebeldía, sino que se la había condenado en la misma rebeldía, y se estaba ejecutando su patrimonio, sin posibilidad de promover recurso ordinario alguno, ni tampoco el recurso de audiencia al litigante rebelde del art. 771 y ss. LEC por haberse cumplido todos los plazos de que dispone el rebelde para promoverlo. </w:t>
      </w:r>
    </w:p>
    <w:p w:rsidR="0025129F" w:rsidRDefault="0025129F" w:rsidP="0025129F">
      <w:pPr>
        <w:pStyle w:val="TextoNormal"/>
      </w:pPr>
      <w:r>
        <w:t>Se afirma, en definitiva, que todo el proceso se ha regido por la absoluta indefensión de dicha parte recurrente, habiéndose seguido sin su participación procesal, habiéndola privado de defender su derecho al haberse dictado todas las resoluciones inaudita parte, y todo ello por la negligencia del órgano judicial, que no realizó ninguna actividad tendente a que el emplazamiento de la recurrente se practicara con las mínimas garantías de eficacia y seriedad, en persona que tuviera alguna vinculación con la empresa demandada, y en domicilio en el que dicha codemandada pudiera ser previsiblemente hallada.</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Mediante escrito registrado el 8 de septiembre de 2000 la representación procesal de don Jaime Belmonte Plaza interesa la denegación del amparo. Afirma dicha parte que el emplazamiento de la ahora recurrente se efectuó legalmente, cumpliendo todas las formalidades establecidas en la Ley de Enjuiciamiento Civil, en la persona de una empleada de la misma, de la misma forma que se hizo con las otras codemandadas, una de las cuales se personó y contestó la demanda, declarándose en rebeldía a dicha parte recurrente y a la otra codemandada Boca, S.A., que no es parte en este recurso. Añade que, según la recurrente, la primera noticia que ésta tuvo de los autos de juicio de menor cuantía núm. </w:t>
      </w:r>
      <w:r>
        <w:lastRenderedPageBreak/>
        <w:t xml:space="preserve">118/92 del Juzgado de Primera Instancia núm. 1 del Puerto de la Cruz fue mediante un fax remitido por otra de las codemandadas, Boca, S.A., que fue emplazada en el mismo lugar que la anterior, donde ambas tenían y tienen oficina abierta. Mas ello, afirma dicha parte, es de todo punto incierto, dado que en dicha oficina del hotel, cuya explotación es el único objeto de la recurrente, estaba una empleada de la misma, que se hizo cargo de la cédula correspondiente, al igual que, en su día, de la citación para la confesión judicial y de la notificación de la Sentencia, como así consta en autos. </w:t>
      </w:r>
    </w:p>
    <w:p w:rsidR="0025129F" w:rsidRDefault="0025129F" w:rsidP="0025129F">
      <w:pPr>
        <w:pStyle w:val="TextoNormal"/>
      </w:pPr>
      <w:r>
        <w:t xml:space="preserve">Amén de la denominación de la sociedad, con una clara y expresa referencia a Tenerife, según se desprende de los propios documentos aportados de adverso con su escrito de recurso, concretamente en la nota registral acompañada como documento núm. tres, el objeto social de la recurrente es "... la explotación de un hotel en Tenerife", habiendo sido en ese hotel en el que se hicieron los emplazamientos y notificaciones. De acuerdo tanto con la Ley de Sociedades Anónimas como con la Ley de Sociedades Limitadas, las sociedades deben fijar su domicilio en el lugar en que se halle el centro de su efectiva administración y dirección, o en que radique su principal establecimiento o explotación, y, en caso de discordancia entre el domicilio registral y el que correspondería conforme al apartado anterior, los terceros podrán considerar como domicilio cualquiera de ellos. Pues bien, tratándose de una sociedad que ostenta en su denominación el nombre de Tenerife y cuyo objeto es la explotación de un hotel en Tenerife, ha sido en este hotel -en el que tiene, o al menos tenía en el momento de efectuar los emplazamientos, citaciones y notificaciones, una oficina abierta- en donde se efectuaron tales diligencias en la persona de una empleada de la recurrente que se hizo cargo de aquéllas, como así consta en autos. </w:t>
      </w:r>
    </w:p>
    <w:p w:rsidR="0025129F" w:rsidRDefault="0025129F" w:rsidP="0025129F">
      <w:pPr>
        <w:pStyle w:val="TextoNormal"/>
      </w:pPr>
      <w:r>
        <w:t>Concluye manifestando que, debiendo darse el mismo trato a entidades nacionales o extranjeras, también en lo referente a su domicilio, no cabe pretender que no se recibieron tales emplazamientos y notificaciones, cuando una empleada que se identificó debidamente se hizo cargo de las mismas. Habiéndose practicado tales emplazamientos en la forma establecida en la Ley de Enjuiciamiento Civil y en lugar idóneo y con persona hábil, no puede alegarse en modo alguno indefensión, debiendo estimarse que no se ha vulnerado en la tramitación del procedimiento por el Juzgado de Primera Instancia del Puerto de la Cruz el art. 24.1 CE.</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Por escrito registrado el 20 de septiembre de 2000 el Ministerio Fiscal expone sus alegaciones, en las que interesa la denegación del amparo. La solución del presente caso debe venir del estudio, a la luz de los autos, de las conexiones entre las empresas demandadas a base del estudio de personas y lugares en que se notifica la existencia del proceso. Este análisis se impone habida cuenta de que si un examen detenido, racional y ponderado de los autos nos lleva al hecho de que la aquí demandante de amparo ha podido tener conocimiento extraprocesal de la existencia de la reclamación contra ella dirigida, se impondría la denegación del amparo, toda vez que el recurso de amparo, nacido para protección de derechos fundamentales, no puede constituirse en vehículo para la evasión de deberes relacionados con la lealtad procesal. Estos indicios que llevan a suponer que existió un conocimiento del pleito por el conjunto de las circunstancias que lo rodean ha servido en reiteradas ocasiones al Tribunal Constitucional para precaverse de demandas que, al cobijo del art. 24.1, impiden la realización de la tutela judicial efectiva, a la que tiene igual derecho la contraparte en su vertiente directa de derecho a la ejecución y en la oblicua del derecho a un proceso sin dilaciones indebidas. Desde el principio hay que contrastar lo que se dice en la demanda de amparo y lo que resulta de las actuaciones, ya que se desprenden algunas disparidades relevantes, que seguidamente se indican. </w:t>
      </w:r>
    </w:p>
    <w:p w:rsidR="0025129F" w:rsidRDefault="0025129F" w:rsidP="0025129F">
      <w:pPr>
        <w:pStyle w:val="TextoNormal"/>
      </w:pPr>
      <w:r>
        <w:lastRenderedPageBreak/>
        <w:t xml:space="preserve">a) Siendo cierto que los tres demandados son citados en el mismo domicilio, e incluso aceptando que el domicilio formal de la recurrente en amparo se halle en Alemania, no lo es que exista una desvinculación con el domicilio del codemandado Hoteles Riu S.A., Así, la persona con la que se entiende la diligencia de emplazamiento --Arianne Pliberschnig- está vinculada a la demandante de amparo. Esto resulta de la documentación obrante en las actuaciones, como lo es el embargo practicado el 14 de octubre de 1994, en que Arianne manifiesta el domicilio de Boca, S.A., empresa representante de los intereses de la ahora recurrente. La citada señora figura como presentante en el Registro de la Propiedad del Puerto de la Cruz de copia de escritura de venta de apartamentos en el hotel de lugar de citación (Edificio Eurotel Interpalace). En la citada inscripción aparecen conexionados el demandante y los demandados. </w:t>
      </w:r>
    </w:p>
    <w:p w:rsidR="0025129F" w:rsidRDefault="0025129F" w:rsidP="0025129F">
      <w:pPr>
        <w:pStyle w:val="TextoNormal"/>
      </w:pPr>
      <w:r>
        <w:t xml:space="preserve">b) El domicilio de Boca, S.A., empresa representante de los interese de la ahora recurrente, no es el señalado en la demanda de amparo, es decir, el de la calle Marqués de Riscal de Madrid 11, 5º, toda vez que, según resulta de diligencia de embargo practicada en tal lugar el 12 de diciembre de 1994, el citado local es el despacho de un abogado. El emplazamiento en tal despacho de Boca, S.A., así como el embargo hubieran resultado frustrados. Existen indicios de que el verdadero domicilio de Boca, S.A., (legal representante de los intereses de la recurrente en amparo en España) lo es aquél en que se efectuó el emplazamiento, es decir, el Hotel Interpalace. Así resulta de los extremos que a continuación se relacionan: 1) requerimiento notarial hecho en el citado hotel, en donde se hallan reunidos los Sres. del Barrio por Hoteles Riu S.A., y Jort por Boca, S.A., que se niegan "a ser molestados" (sic) cuando acude el notario al lugar; 2) La documentación fiscal obrante en las actuaciones, en las que aparece como domicilio de Boca, S.A., el del Puerto de la Cruz, Urbanización La Paz 13, Hotel Interpalace. </w:t>
      </w:r>
    </w:p>
    <w:p w:rsidR="0025129F" w:rsidRDefault="0025129F" w:rsidP="0025129F">
      <w:pPr>
        <w:pStyle w:val="TextoNormal"/>
      </w:pPr>
      <w:r>
        <w:t>De todo lo anterior cabe deducir que "Tenerife Appartementhaus" era conocedor del pleito contra él dirigido, puesto que su legal representante en España fue puntualmente emplazado para los actos a que debía concurrir, contestación a la demanda, confesión, etc., sin que acudiera a los mismos, a pesar de estar citada en personas de su representación. De otro lado, de las actuaciones se deriva que existe una conexión comercial entre los tres demandados en la forma que consta en el hecho tercero de la demanda en el Juzgado, de modo que el apartamento cuestionado por el actor Sr. Belmonte estaba explotado por Hoteles Riu, S.A., pero los beneficios los percibía la entidad Boca, S.A., como representante de la recurrente en amparo. El concepto de indefensión constitucionalmente relevante se refiere a privación sustancial de actos de alegación y prueba y exige como requisito sine qua non que no se deba a negligencia de la parte. En este caso, la no intervención en el proceso de la aquí recurrente en amparo no obedece a un acto del poder judicial que intentó su emplazamiento o citación para actos procesales, sino a la incuria de su representante legal, que se automarginó del proceso a pesar de tener conocimiento puntual del mismo.</w:t>
      </w:r>
    </w:p>
    <w:p w:rsidR="0025129F" w:rsidRDefault="0025129F" w:rsidP="0025129F">
      <w:pPr>
        <w:pStyle w:val="TextoNormal"/>
      </w:pPr>
    </w:p>
    <w:p w:rsidR="0025129F" w:rsidRDefault="0025129F" w:rsidP="0025129F">
      <w:pPr>
        <w:pStyle w:val="TextoNormal"/>
      </w:pPr>
      <w:r w:rsidRPr="0025129F">
        <w:rPr>
          <w:rStyle w:val="NumeroAFNegritaCaracter"/>
        </w:rPr>
        <w:t>12</w:t>
      </w:r>
      <w:r>
        <w:t>. Por providencia de 7 de marzo de 2002 se fijó para la deliberación y fallo del presente recurso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recurso de amparo se dirige contra la Sentencia dictada el 22 de diciembre de 1992 por el Juzgado de Primera Instancia del Puerto de la Cruz (Santa Cruz de Tenerife) en el juicio de menor cuantía núm. 118/92, seguido a instancia de don Jaime Belmonte </w:t>
      </w:r>
      <w:r>
        <w:lastRenderedPageBreak/>
        <w:t>Plaza contra la entidad ahora recurrente en amparo Tenerife Appartementhaus GmbH &amp; Co. KG, declarada en rebeldía, y contra las entidades mercantiles Boca, S.A., también declarada en rebeldía, y Hoteles Riu, S.A., sobre reivindicación de propiedad y reclamación de cantidad. Dicha Sentencia estimó íntegramente la demanda.</w:t>
      </w:r>
    </w:p>
    <w:p w:rsidR="0025129F" w:rsidRDefault="0025129F" w:rsidP="0025129F">
      <w:pPr>
        <w:pStyle w:val="TextoNormal"/>
      </w:pPr>
      <w:r>
        <w:t>Se alega en el recurso de amparo la vulneración del derecho a la tutela judicial efectiva sin indefensión (art. 24.1 CE) por no haber sido emplazada debidamente la entidad recurrente, lo que impidió que ésta hubiera podido ejercer adecuadamente el derecho de defensa, según con más detalle se expresa en el antecedente segundo de esta Sentencia.</w:t>
      </w:r>
    </w:p>
    <w:p w:rsidR="0025129F" w:rsidRDefault="0025129F" w:rsidP="0025129F">
      <w:pPr>
        <w:pStyle w:val="TextoNormal"/>
      </w:pPr>
      <w:r>
        <w:t>La representación procesal de don Jaime Belmonte Plaza solicita, en su correspondiente escrito de alegaciones, la desestimación del recurso de amparo, ya que, en su opinión, el emplazamiento en el juicio de menor cuantía de la ahora recurrente en amparo se efectuó de conformidad con las previsiones legales.</w:t>
      </w:r>
    </w:p>
    <w:p w:rsidR="0025129F" w:rsidRDefault="0025129F" w:rsidP="0025129F">
      <w:pPr>
        <w:pStyle w:val="TextoNormal"/>
      </w:pPr>
      <w:r>
        <w:t>El Ministerio Fiscal interesa que se dicte Sentencia que desestime el recurso de amparo.  Sostiene, al efecto, que "la no intervención en el proceso de la aquí recurrente en amparo no obedece a un acto del poder judicial que intentó su emplazamiento o citación para actos procesales sino a la incuria de su representante legal, que se automarginó del proceso a pesar de tener conocimiento puntual del mismo".</w:t>
      </w:r>
    </w:p>
    <w:p w:rsidR="0025129F" w:rsidRDefault="0025129F" w:rsidP="0025129F">
      <w:pPr>
        <w:pStyle w:val="TextoNormal"/>
      </w:pPr>
    </w:p>
    <w:p w:rsidR="0025129F" w:rsidRDefault="0025129F" w:rsidP="0025129F">
      <w:pPr>
        <w:pStyle w:val="TextoNormal"/>
      </w:pPr>
      <w:r w:rsidRPr="0025129F">
        <w:rPr>
          <w:rStyle w:val="NumeroAFNegritaCaracter"/>
        </w:rPr>
        <w:t>2</w:t>
      </w:r>
      <w:r>
        <w:t>. Como hemos dicho en la Sentencia 158/2001, de 2 de julio, FJ 2, "este Tribunal ha declarado reiteradamente que el derecho de defensa, incluido en el derecho a la tutela judicial efectiva sin indefensión, que reconoce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de 26 de octubre; 103/1993, de 22 de marzo; 316/1993, de 25 de octubre; 317/1993, de 25 de octubre; 334/1993, de 15 de noviembre; 108/1994, de 11 de abril; 186/1997, de 10 de noviembre)".</w:t>
      </w:r>
    </w:p>
    <w:p w:rsidR="0025129F" w:rsidRDefault="0025129F" w:rsidP="0025129F">
      <w:pPr>
        <w:pStyle w:val="TextoNormal"/>
      </w:pPr>
      <w:r>
        <w:t>Ahora bien, hemos declarado asimismo que la indefensión que proscribe el art. 24.1 CE no es la meramente formal, sino la material, es decir, aquélla que haya causado al demandado un real y efectivo menoscabo de sus posibilidades de defensa. Y hemos afirmado, en este sentido, que la indefensión ha de ser consecuencia de una acción u omisión atribuible al órgano judicial. Por ello, cuando la indefensión que se invoque sea imputable al propio interesado, al no haber actuado con la diligencia exigible para comparecer en el proceso tras conocer su existencia -aunque sea por otros medios distintos del emplazamiento-, adoptando una actitud pasiva con el fin de marginarse voluntariamente del procedimiento, no cabe apreciar la vulneración del derecho a la tutela judicial garantizado en el art. 24.1 CE, ya que no es admisible constitucionalmente una queja de indefensión de quien con su conducta propició o coadyuvó a la incomparecencia en el proceso (SSTC 43/1989, de 20 de febrero; 123/1989, de 6 de julio; 101/1990, de 4 de junio; 105/1995, de 3 de julio; 118/1997, de 23 de junio; 72/1999, 26 de abril, 74/2001, de 26 de marzo, entre otras muchas).</w:t>
      </w:r>
    </w:p>
    <w:p w:rsidR="0025129F" w:rsidRDefault="0025129F" w:rsidP="0025129F">
      <w:pPr>
        <w:pStyle w:val="TextoNormal"/>
      </w:pPr>
    </w:p>
    <w:p w:rsidR="0025129F" w:rsidRDefault="0025129F" w:rsidP="0025129F">
      <w:pPr>
        <w:pStyle w:val="TextoNormal"/>
      </w:pPr>
      <w:r w:rsidRPr="0025129F">
        <w:rPr>
          <w:rStyle w:val="NumeroAFNegritaCaracter"/>
        </w:rPr>
        <w:t>3</w:t>
      </w:r>
      <w:r>
        <w:t>. En el presente caso, el examen de la certificación del Registro Mercantil que se aporta con la demanda de amparo revela que tanto la denominación social de la recurrente (Tenerife Appartementhaus"), como su objeto social ("la adquisición de apartamentos ho</w:t>
      </w:r>
      <w:r>
        <w:lastRenderedPageBreak/>
        <w:t>teleros y la explotación de un hotel en Tenerife"), tienen una clara conexión con el lugar en el que se practicaron los actos de comunicación procesal. En efecto, el emplazamiento (al igual que, posteriormente, la citación a confesión judicial) se realizó en el domicilio que para todos los demandados designó el actor de la litis en la demanda (que había señalado el Hotel Interpalace y el Hotel Bonanza Palace, antes Eurotel, 2ª Fase, sitos en la Urbanización La Paz del Puerto de la Cruz), y precisamente el apartamento litigioso se halla situado --según la escritura de compraventa y certificación del Registro de la Propiedad- en "la planta 4ª del Hotel Eurotel segunda fase, ahora Hotel Bonanza Palace, sita en Urb. La Paz, calle Aceviños del Puerto de la Cruz". Esta circunstancia permite concluir que era razonable y adecuado el practicar los actos de comunicación procesal en el lugar en el que efectivamente se realizaron, pues la vinculación de la entidad recurrente en amparo con tal lugar, así como la conexión empresarial o comercial existente entre las demandadas en la litis de procedencia resultan de diversos datos obrantes en las actuaciones, según se expone a continuación.</w:t>
      </w:r>
    </w:p>
    <w:p w:rsidR="0025129F" w:rsidRDefault="0025129F" w:rsidP="0025129F">
      <w:pPr>
        <w:pStyle w:val="TextoNormal"/>
      </w:pPr>
      <w:r>
        <w:t>En primer lugar, en documento acompañado a la demanda de la litis, y con membrete propio de la entidad recurrente en amparo, consta un escrito de 27 de julio de 1990 en el que ésta actúa, según indica en el encabezamiento, en la condición de "Administración de la Comunidad de Propietarios del Puerto de la Cruz (Tenerife)". En el cuerpo de dicho escrito, al hacer diversas consideraciones (entre ellas que "los miembros de la comunidad son propietarios de apartamentos particulares dentro del Hotel Interpalace"), reitera que las hace "en calidad de administradores de la Comunidad de Propietarios Interpalace, Acevino, 23, Puerto de la Cruz"</w:t>
      </w:r>
    </w:p>
    <w:p w:rsidR="0025129F" w:rsidRDefault="0025129F" w:rsidP="0025129F">
      <w:pPr>
        <w:pStyle w:val="TextoNormal"/>
      </w:pPr>
      <w:r>
        <w:t>En segundo lugar, la persona con la que se entienden las diligencias de emplazamiento y citación de Boca, S.A., y de la recurrente en amparo es doña Ariane Pliberschning, que se negó a firmar, la cual es --según resulta de certificación del Registro de la Propiedad de 28 de noviembre de 1995- la persona que presentó en el Registro en fecha 3 de noviembre de 1995 copia de escritura de venta de apartamentos del "edificio Eurotel Interpalace (primera fase)" y "del edificio Eurotel (segunda fase)".</w:t>
      </w:r>
    </w:p>
    <w:p w:rsidR="0025129F" w:rsidRDefault="0025129F" w:rsidP="0025129F">
      <w:pPr>
        <w:pStyle w:val="TextoNormal"/>
      </w:pPr>
      <w:r>
        <w:t>En tercer lugar, y en lo que se refiere al domicilio de Boca, S.A., -codemandada en la litis y de la que se dice que representaba los intereses de la recurrente en amparo-, no consta que sea el señalado en la demanda de amparo, y que es el que, a su vez, había indicado la Sra.  Pliberschning en diligencia practicada el 14 de octubre de 1994 (Madrid, calle Marqués de Riscal, 11-5º), toda vez que, según aparece en diligencia de embargo de 12 de diciembre de 1994, en dicho local está ubicado un despacho de abogados, lo que motivó la suspensión de esta última diligencia. Hay, en cambio, datos de los que puede inferirse que su domicilio se halla en el lugar en donde se efectuó el emplazamiento. Así: a) en la certificación del Registro de la Propiedad, antes citada, consta la condición de propietaria de Boca, S.A., respecto de determinados apartamentos sitos en el edificio Eurotel, segunda fase; b) con fecha 20 de junio de 1989, y a instancias del que había de ser actor en el precitado juicio de menor cuantía, se hizo requerimiento notarial a los legales representantes de Hoteles Unidos, S.A., y Boca, S.A., el cual se llevó a efecto en el Hotel Interpalace, cuyo subdirector, una vez informado del contenido del requerimiento y recibidas las cédulas de notificación, manifestó que aquéllos "estaban en una reunión y que no se les podía molestar"; c) en documentación fiscal correspondiente al mes de noviembre de 1989 se dice que el domicilio fiscal de dicha sociedad se halla sito en Santa Cruz de Tenerife, concretamente en Pto de la Cruz, Urb. La Paz, 13, Hotel Interpalace.</w:t>
      </w:r>
    </w:p>
    <w:p w:rsidR="0025129F" w:rsidRDefault="0025129F" w:rsidP="0025129F">
      <w:pPr>
        <w:pStyle w:val="TextoNormal"/>
      </w:pPr>
      <w:r>
        <w:t>En cuarto lugar, y según queda ya indicado, en el expresado juicio de menor cuantía se atribuye a la sociedad Boca, S.A., la condición de representante de los intereses de la enti</w:t>
      </w:r>
      <w:r>
        <w:lastRenderedPageBreak/>
        <w:t>dad recurrente en amparo. Pues bien, en dicho procedimiento hay documentos indicativos de la vinculación existente entre ambas sociedades. Así, entre los documentos aportados al procedimiento obra uno de la compañía de seguros Crédito y Caución, de fecha 3 de agosto de 1989, en el que se dice que intervino en la contratación a que el mismo se refiere "la entidad Boca S.A., en su calidad ésta de representante de Tenerife Appartementhaus CmbH &amp; Co.  KG., para garantizar el percibo por la última de la renta mínima correspondiente a la última anualidad del arrendamiento" de la explotación convenida contractualmente. En diligencia negativa de embargo de fecha 24 de abril de 1995 consta que tienen el mismo apoderado, según resulta de su propio texto, conforme al cual, "constituida la comisión judicial en el domicilio de los codemandados, hubo de ser suspendida la presente por no encontrarse en el mismo al apoderado de las entidades Tenerife Appartementhaus y Boca S.A., informándosenos en recepción que éste es el Sr. Becker". Debe señalarse también que con fecha 30 de septiembre de 1998 la representación procesal de Boca, S.A., (que se había personado en el procedimiento en noviembre de 1997) dirigió escrito al Juzgado, invocando también la representanción de Tenerife Appartementhaus GmbH &amp; Co. KG (y actuando ambas con la misma asistencia letrada) comunicando la decisión de interponer recurso de amparo y solicitando de él, al mismo tiempo, la suspensión de la ejecución.</w:t>
      </w:r>
    </w:p>
    <w:p w:rsidR="0025129F" w:rsidRDefault="0025129F" w:rsidP="0025129F">
      <w:pPr>
        <w:pStyle w:val="TextoNormal"/>
      </w:pPr>
      <w:r>
        <w:t>Por último, es oportuno indicar que ningún dato ha aportado la entidad recurrente en amparo del que pudiera inferirse, siquiera fuera de modo indiciario, que, contra lo que resulta de los datos expuestos, ninguna de sus actividades mercantiles se desarrolla en Santa Cruz de Tenerife o que, en otro caso, éstas se desarrollan en lugares, urbanizaciones u hoteles diferentes de los relacionados en la demanda y en los documentos o actuaciones judiciales de que se ha hecho mención.</w:t>
      </w:r>
    </w:p>
    <w:p w:rsidR="0025129F" w:rsidRDefault="0025129F" w:rsidP="0025129F">
      <w:pPr>
        <w:pStyle w:val="TextoNormal"/>
      </w:pPr>
    </w:p>
    <w:p w:rsidR="0025129F" w:rsidRDefault="0025129F" w:rsidP="0025129F">
      <w:pPr>
        <w:pStyle w:val="TextoNormal"/>
      </w:pPr>
      <w:r w:rsidRPr="0025129F">
        <w:rPr>
          <w:rStyle w:val="NumeroAFNegritaCaracter"/>
        </w:rPr>
        <w:t>4</w:t>
      </w:r>
      <w:r>
        <w:t>. La exposición precedente pone de manifiesto tanto la vinculación existente entre la ahora recurrente en amparo y la entidad Boca, S.A., como la efectiva realización de las actividades de explotación hotelera de una y otra en la precitada urbanización y, más concretamente, en los hoteles designados a efectos de domicilio para emplazamiento. De ello se concluye, en primer término, que, aun cuando no se efectuaron el emplazamiento y los actos de comunicación procesal de forma directa y personal con la sociedad mercantil demandante del amparo, el Juzgado actuó con la debida diligencia a la hora de practicar dichos actos y, en segundo término, que, como señala el Ministerio Fiscal, existen indicios suficientes que permiten concluir que la entidad ahora recurrente tuvo conocimiento de la existencia del procedimiento, pese a lo cual se marginó voluntariamente del juicio, lo que impide se le pueda otorgar el amparo que solicita.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la entidad "Tenerife Appartementhaus GmbH &amp; Co.  KG".</w:t>
      </w:r>
    </w:p>
    <w:p w:rsidR="0025129F" w:rsidRDefault="0025129F" w:rsidP="0025129F">
      <w:pPr>
        <w:pStyle w:val="TextoNormal"/>
      </w:pPr>
    </w:p>
    <w:p w:rsidR="0025129F" w:rsidRDefault="0025129F" w:rsidP="0025129F">
      <w:pPr>
        <w:pStyle w:val="TextoNormal"/>
      </w:pPr>
      <w:r>
        <w:lastRenderedPageBreak/>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3" w:name="SENTENCIA_2002_60"/>
      <w:r>
        <w:lastRenderedPageBreak/>
        <w:t>SENTENCIA 60/2002, de 11 de marzo de 2002</w:t>
      </w:r>
    </w:p>
    <w:bookmarkEnd w:id="63"/>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ECLI:ES:TC:2002:60</w:t>
      </w:r>
    </w:p>
    <w:p w:rsidR="0025129F" w:rsidRDefault="0025129F" w:rsidP="0025129F">
      <w:pPr>
        <w:pStyle w:val="SntesisDescriptiva"/>
      </w:pPr>
    </w:p>
    <w:p w:rsidR="0025129F" w:rsidRDefault="0025129F" w:rsidP="0025129F">
      <w:pPr>
        <w:pStyle w:val="SntesisDescriptiva"/>
      </w:pPr>
      <w:r>
        <w:t>Recurso de amparo 5208/1998. Promovido por don Epifanio López Gutiérrez frente a los Autos de las Salas de lo Contencioso-Administrativo del Tribunal Supremo y del Tribunal Superior de Justicia de Cantabria que inadmitieron su recurso el Ayuntamiento de Campoo de Yuso, sobre demolición de obras.</w:t>
      </w:r>
    </w:p>
    <w:p w:rsidR="0025129F" w:rsidRDefault="0025129F" w:rsidP="0025129F">
      <w:pPr>
        <w:pStyle w:val="SntesisDescriptiva"/>
      </w:pPr>
    </w:p>
    <w:p w:rsidR="0025129F" w:rsidRDefault="0025129F" w:rsidP="0025129F">
      <w:pPr>
        <w:pStyle w:val="SntesisAnaltica"/>
      </w:pPr>
      <w:r>
        <w:t>Supuesta vulneración del derecho a la tutela judicial efectiva (acceso a la justicia y al recurso legal): inadmisión de demanda contra acto administrativo que reproduce un acto anterior firme y consentido; cuantía del recurso de casación.</w:t>
      </w:r>
    </w:p>
    <w:p w:rsidR="0025129F" w:rsidRDefault="0025129F" w:rsidP="0025129F">
      <w:pPr>
        <w:pStyle w:val="SntesisAnaltica"/>
      </w:pPr>
    </w:p>
    <w:p w:rsidR="0025129F" w:rsidRDefault="0025129F" w:rsidP="0025129F">
      <w:pPr>
        <w:pStyle w:val="Extracto"/>
      </w:pPr>
      <w:r>
        <w:t>1.</w:t>
      </w:r>
      <w:r>
        <w:tab/>
        <w:t>El recurrente no justifica que el órgano judicial impidiera el pleno disfrute del derecho de acceso a la jurisdicción al inadmitir su recurso por considerar que la resolución municipal impugnada era reproducción de un acto administrativo anterior firme no recurrido [FJ 4].</w:t>
      </w:r>
    </w:p>
    <w:p w:rsidR="0025129F" w:rsidRDefault="0025129F" w:rsidP="0025129F">
      <w:pPr>
        <w:pStyle w:val="Extracto"/>
      </w:pPr>
    </w:p>
    <w:p w:rsidR="0025129F" w:rsidRDefault="0025129F" w:rsidP="0025129F">
      <w:pPr>
        <w:pStyle w:val="Extracto"/>
      </w:pPr>
      <w:r>
        <w:t>2.</w:t>
      </w:r>
      <w:r>
        <w:tab/>
        <w:t>El órgano judicial determinó la cuantía del asunto por referencia al proyecto de obra autorizado en la licencia municipal. En forma alguna se puede concluir que la determinación de la cuantía por el órgano judicial contenga un error patente y relevante ex art. 24.1 CE [FJ 5].</w:t>
      </w:r>
    </w:p>
    <w:p w:rsidR="0025129F" w:rsidRDefault="0025129F" w:rsidP="0025129F">
      <w:pPr>
        <w:pStyle w:val="Extracto"/>
      </w:pPr>
    </w:p>
    <w:p w:rsidR="0025129F" w:rsidRDefault="0025129F" w:rsidP="0025129F">
      <w:pPr>
        <w:pStyle w:val="Extracto"/>
      </w:pPr>
      <w:r>
        <w:t>3.</w:t>
      </w:r>
      <w:r>
        <w:tab/>
        <w:t>Doctrina sobre el derecho a la tutela judicial efectiva en sus vertientes de acceso a la jurisdicción y al recurso legal [FJ 3].</w:t>
      </w:r>
    </w:p>
    <w:p w:rsidR="0025129F" w:rsidRDefault="0025129F" w:rsidP="0025129F">
      <w:pPr>
        <w:pStyle w:val="Extracto"/>
      </w:pPr>
    </w:p>
    <w:p w:rsidR="0025129F" w:rsidRDefault="0025129F" w:rsidP="0025129F">
      <w:pPr>
        <w:pStyle w:val="Extracto"/>
      </w:pPr>
      <w:r>
        <w:t>4.</w:t>
      </w:r>
      <w:r>
        <w:tab/>
        <w:t>La exigencia de invocación del derecho fundamental ante los órganos judiciales se rige por un criterio flexible (STC 34/1999)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5208/98, promovido por don Epifanio López Gutiérrez, representado por el Procurador don Ignacio Argós Linares y asistido por el Abogado don </w:t>
      </w:r>
      <w:r>
        <w:lastRenderedPageBreak/>
        <w:t>José Antonio Fernández Prieto, contra tres resoluciones judiciales: Auto de la Sala de lo Contencioso- Administrativo del Tribunal Superior de Justicia de Cantabria, de fecha 6 de noviembre de 1996, por el que se declaraba la inadmisibilidad del recurso núm. 526/96, entablado en relación con una orden de demolición de obras dictada por el Ayuntamiento de Campoo de Yuso; Auto del mismo órgano judicial de 1 de abril de 1997, que confirmó el anterior, desestimando el recurso de súplica; y Auto de la Sección Primera de la Sala Tercera del Tribunal Supremo, de 26 de octubre de 1998, que decretó la inadmisión del recurso de casación núm. 7887/97 planteado frente a las resoluciones judiciales antes indicadas. Han intervenido el Ministerio Fiscal y el Ayuntamiento de Campoo de Yuso, representado por el Procurador don Isidoro Argós Simón, y asistido del Abogado don Francisco Javier Fernández González. Ha sido Ponente el Magistrado don Roberto García-Calvo y Montiel,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día 11 de diciembre de 1998 tuvo entrada en el Registro General de este Tribunal escrito de don Epifanio López Gutiérrez, representado por el Procurador don Ignacio Argós Linares y asistido por el Letrado don José Antonio Fernández Prieto, por el que se interponía recurso de amparo constitucional contra las resoluciones identificadas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Sucintamente expuestos, los hechos en que se basa la pretensión de amparo son los siguientes: </w:t>
      </w:r>
    </w:p>
    <w:p w:rsidR="0025129F" w:rsidRDefault="0025129F" w:rsidP="0025129F">
      <w:pPr>
        <w:pStyle w:val="TextoNormal"/>
      </w:pPr>
      <w:r>
        <w:t xml:space="preserve">a) Con fecha 18 de enero de 1995 el ahora demandante de amparo solicitó licencia municipal de obras para la reparación del tejado y la apertura de seis ventanas en un edificio de su propiedad sito en Villasuso (Municipio de Campoo de Yuso). El presupuesto del proyecto de obras ascendía a 502.200 pesetas. Otorgada la licencia y durante el transcurso de las obras se habría producido el derrumbe de la práctica totalidad de la fachada del edificio y de su estructura interior. Iniciada la reconstrucción del inmueble, el Ayuntamiento ordenó la paralización de las obras e instó al interesado para que solicitase nueva licencia, puesto que en la licencia anteriormente concedida no se contemplaban las obras precisas para llevar a cabo dicha reconstrucción. Pedida nueva licencia, ésta fue denegada por Acuerdo del Pleno del Ayuntamiento de 23 de noviembre de 1995. Con fecha 12 de diciembre de 1995, el Alcalde del Ayuntamiento de Campoo de Yuso ordenó la suspensión inmediata de las obras y la demolición de lo ilegalmente construido. </w:t>
      </w:r>
    </w:p>
    <w:p w:rsidR="0025129F" w:rsidRDefault="0025129F" w:rsidP="0025129F">
      <w:pPr>
        <w:pStyle w:val="TextoNormal"/>
      </w:pPr>
      <w:r>
        <w:t xml:space="preserve">b) La orden de paralización y demolición fue reiterada por el Alcalde el 9 de abril de 1996, interponiéndose frente a ella recurso contencioso-administrativo ante la Sala competente del Tribunal Superior de Justicia de Cantabria. Tramitado con el núm. 526/96, dicho recurso se inadmitió mediante Auto de 6 de noviembre de 1996. La inadmisión fue decretada al apreciar el órgano judicial actuante la concurrencia del óbice procesal previsto en el art. 82 c), en relación con el art. 40 a), ambos de la LJCA de 1956, aducido por la representación procesal de quien compareció como codemandado. A juicio del órgano judicial, el acto impugnado (orden de paralización y derribo de lo construido, de 9 de abril de 1996) reproducía un acto administrativo anterior (la orden de paralización y demolición de 12 de diciembre de 1995), acto éste que, al no ser impugnado, había adquirido firmeza. </w:t>
      </w:r>
    </w:p>
    <w:p w:rsidR="0025129F" w:rsidRDefault="0025129F" w:rsidP="0025129F">
      <w:pPr>
        <w:pStyle w:val="TextoNormal"/>
      </w:pPr>
      <w:r>
        <w:t xml:space="preserve">c) Interpuesto recurso de súplica, fue desestimado por nuevo Auto de 1 de abril de 1997. Con posterioridad, se preparó recurso de casación, que fue inadmitido mediante </w:t>
      </w:r>
      <w:r>
        <w:lastRenderedPageBreak/>
        <w:t>Auto dictado el 26 de octubre de 1998 por la Sala Tercera (Sección Primera) del Tribunal Supremo, por defecto de cuantía al no superarse la establecida en el art. 93.2 b) LJCA.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de amparo se pretende la declaración de nulidad de las resoluciones judiciales mencionadas, por estimarlas contrarias al derecho a la tutela judicial efectiva y a no padecer indefensión (art. 24.1 y 2 CE) con los siguientes argumentos: </w:t>
      </w:r>
    </w:p>
    <w:p w:rsidR="0025129F" w:rsidRDefault="0025129F" w:rsidP="0025129F">
      <w:pPr>
        <w:pStyle w:val="TextoNormal"/>
      </w:pPr>
      <w:r>
        <w:t xml:space="preserve">a) Entiende el actor, en primer lugar, que la decisión del Tribunal a quo de inadmitir el recurso contencioso-administrativo debe calificarse de manifiestamente irrazonable y que no resulta acorde con la efectividad del principio pro actione y del derecho a no sufrir indefensión. Funda su reproche el recurrente en que la Sala apreció indebidamente el carácter confirmatorio y consentido del acto administrativo impugnado, y ello por considerar plenamente eficaz un previo acto administrativo que, a juicio del demandante, no le fue notificado en tiempo y forma. Según el demandante, el "decreto por el que se denegaba la licencia de obras" no le fue notificado con los requisitos del art. 59 LPC, sino sólo de forma verbal y por parte del "técnico municipal"; y no siendo eficaz esa notificación, no podría afirmarse luego que la resolución impugnada fuera confirmatoria de otra previa --la indebidamente notificada- definitiva y firme. De ahí que el órgano judicial, al apreciar la causa de inadmisión del art. 82 c) LJCA (en relación con el art. 40 a), hubiera incurrido en una infracción del art. 24 CE. En apoyo de su alegato el recurrente cita las SSTC 70/1984 y 48/1986. </w:t>
      </w:r>
    </w:p>
    <w:p w:rsidR="0025129F" w:rsidRDefault="0025129F" w:rsidP="0025129F">
      <w:pPr>
        <w:pStyle w:val="TextoNormal"/>
      </w:pPr>
      <w:r>
        <w:t>b) Respecto del Auto del Tribunal Supremo de 26 de octubre de 1998, también impugnado, el recurrente alega que contiene un "error evidente y manifiesto" al fijar la cuantía del asunto en 502.200 pesetas, pues en el proyecto técnico presentado para la petición de nueva licencia el presupuesto de obras ascendía a 7.588.670 pesetas.</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escrito de 3 de marzo de 1999, don Epifanio López Gutiérrez comunicó al Tribunal Constitucional que había recibido una nueva resolución de la Alcaldía del Ayuntamiento de Campoo de Yuso, de fecha 24 de febrero anterior, por la que se le concedía el plazo de un mes para que procediera al derribo del alzado ilegal de la cubierta del edificio de su propiedad, dejando la altura del tejado al mismo nivel original que mantenía con la vivienda colindante, procediéndose, en otro caso, a la ejecución subsidiaria de lo ordenado. Conforme a lo dispuesto en el art. 56 LOTC, solicitó la suspensión de la ejecución de la mencionada orden de demolición, puesto que su cumplimiento causaría un evidente perjuicio al demandante, al tiempo que haría perder al amparo su finalidad. La petición de suspensión fue desestimada por Auto de la Sala Primera fechado el 20 de diciembre de 1999.</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25 de octubre de 1999, la Sección Segunda de este Tribunal acordó: tener por recibidas las actuaciones remitidas por las Salas de lo Contencioso-Administrativo del Tribunal Superior de Justicia de Cantabria y del Tribunal Supremo; la admisión a trámite de la demanda formulada por don Epifanio López Gutiérrez; y, a tenor de lo previsto en el art. 51 LOTC, requerir atentamente a la Sala de lo Contencioso-Administrativo del Tribunal Superior de Justicia de Cantabria interesándose que se emplazara a quienes fueron parte en el procedimiento núm. 526/96, con excepción del recurrente en amparo, para que, en el plazo de diez días, pudieran comparecer en este proceso constitucional, con traslado a dicho efecto de copia de la demanda presentada.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El Ministerio Fiscal, por escrito registrado el 18 de noviembre de 1999, pidió que se reclamara del Ayuntamiento de Campoo de Yuso testimonio íntegro del expediente administrativo previo al proceso contencioso. Por diligencia de ordenación de 29 de noviembre de 1999 se concedió al Ayuntamiento de Campoo Ayuso un plazo de diez días para la remisión del referido expediente.</w:t>
      </w:r>
    </w:p>
    <w:p w:rsidR="0025129F" w:rsidRDefault="0025129F" w:rsidP="0025129F">
      <w:pPr>
        <w:pStyle w:val="TextoNormal"/>
      </w:pPr>
    </w:p>
    <w:p w:rsidR="0025129F" w:rsidRDefault="0025129F" w:rsidP="0025129F">
      <w:pPr>
        <w:pStyle w:val="TextoNormal"/>
      </w:pPr>
      <w:r w:rsidRPr="0025129F">
        <w:rPr>
          <w:rStyle w:val="NumeroAFNegritaCaracter"/>
        </w:rPr>
        <w:t>7</w:t>
      </w:r>
      <w:r>
        <w:t>. Por diligencia de ordenación de 3 de mayo de 2000 se tuvo por personado en el presente proceso al Ayuntamiento de Campoo de Yuso, representado por el Procurador don Isidoro Argós Simón, a los efectos del art. 52 LOTC. En la misma providencia se ordenó dar vista de las actuaciones por un plazo común de veinte días al Ministerio Fiscal, al Procurador don Ignacio Argós Linares y al Procurador don Isidoro Argós Simón.</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escrito de alegaciones del Ministerio Fiscal fue registrado en este Tribunal el 31 de mayo de 2000. En ese escrito se rechazan los dos motivos de amparo: </w:t>
      </w:r>
    </w:p>
    <w:p w:rsidR="0025129F" w:rsidRDefault="0025129F" w:rsidP="0025129F">
      <w:pPr>
        <w:pStyle w:val="TextoNormal"/>
      </w:pPr>
      <w:r>
        <w:t xml:space="preserve">a) Alega el Ministerio Fiscal, en primer lugar, que el recurrente no invocó el derecho fundamental a acceder al proceso ni en el recurso de súplica ni en el recurso de casación; en ambos escritos habría denunciado ciertas irregularidades en la notificación de actos administrativos, pero no la lesión de un derecho fundamental. De ahí que ese primer motivo de amparo deba ser, a juicio del Ministerio Fiscal, inadmitido ex art. 44.1 a) LOTC. En todo caso, prosigue el Ministerio Público, la denuncia del recurrente carecería de contenido constitucional. Precisa el Ministerio alegante que la Sala de lo Contencioso-Administrativo de Cantabria había considerado que el acto administrativo en cuestión había sido notificado personalmente al recurrente, basándose para ello en el testimonio del técnico municipal obrante en el expediente; de la realidad de aquella notificación personal resultaría la conclusión de que el acto administrativo luego impugnado era reproductorio de otro anterior. Lo discutido por el recurrente sería, precisamente, la realidad de la notificación personal y su relevancia para la apreciación de una causa de inadmisión del recurso contencioso, cuestiones éstas sobre las que el Tribunal Constitucional ha de limitarse a apreciar que la decisión de inadmisión se encuentra razonada y fundada. </w:t>
      </w:r>
    </w:p>
    <w:p w:rsidR="0025129F" w:rsidRDefault="0025129F" w:rsidP="0025129F">
      <w:pPr>
        <w:pStyle w:val="TextoNormal"/>
      </w:pPr>
      <w:r>
        <w:t>b) También rechaza el Ministerio Fiscal la denuncia de infracción del art. 24.1 CE en el Auto de inadmisión de la casación por falta de cuantía. Destaca en este sentido el Ministerio Fiscal que en la causa no hubo incidente de determinación de cuantía (ni solicitud al respecto en la instancia) y que la cuantía fue fijada de oficio de forma razonada y fundada por el Tribunal Supremo [art. 93.2 b) LJCA] atendiendo al presupuesto consignado en la solicitud de licencia.</w:t>
      </w:r>
    </w:p>
    <w:p w:rsidR="0025129F" w:rsidRDefault="0025129F" w:rsidP="0025129F">
      <w:pPr>
        <w:pStyle w:val="TextoNormal"/>
      </w:pPr>
    </w:p>
    <w:p w:rsidR="0025129F" w:rsidRDefault="0025129F" w:rsidP="0025129F">
      <w:pPr>
        <w:pStyle w:val="TextoNormal"/>
      </w:pPr>
      <w:r w:rsidRPr="0025129F">
        <w:rPr>
          <w:rStyle w:val="NumeroAFNegritaCaracter"/>
        </w:rPr>
        <w:t>9</w:t>
      </w:r>
      <w:r>
        <w:t>. Por escrito registrado en este Tribunal el 2 de junio de 2000 el recurrente reiteró los hechos de que trae causa su demanda de amparo.</w:t>
      </w:r>
    </w:p>
    <w:p w:rsidR="0025129F" w:rsidRDefault="0025129F" w:rsidP="0025129F">
      <w:pPr>
        <w:pStyle w:val="TextoNormal"/>
      </w:pPr>
    </w:p>
    <w:p w:rsidR="0025129F" w:rsidRDefault="0025129F" w:rsidP="0025129F">
      <w:pPr>
        <w:pStyle w:val="TextoNormal"/>
      </w:pPr>
      <w:r w:rsidRPr="0025129F">
        <w:rPr>
          <w:rStyle w:val="NumeroAFNegritaCaracter"/>
        </w:rPr>
        <w:t>10</w:t>
      </w:r>
      <w:r>
        <w:t>. El escrito de alegaciones del Ayuntamiento de Campoo de Yuso tuvo entrada en este Tribunal el 2 de junio de 2000. En él se hace hincapié en que lo impugnado en el proceso contencioso-administrativo fue la orden de demolición de 12 de diciembre de 1995 y que el propio recurrente reconoce que el técnico municipal le comunicó aquella resolución, con el contenido que resultaría del propio expediente administrativo. A la vista de este efectivo conocimiento de la resolución municipal, rechaza el Ayuntamiento alegante la denuncia de indefensión formulada por el recurrente. De otro lado, en relación con la inadmisión del recurso de casación, alega el Ayuntamiento personado que el Tribunal Su</w:t>
      </w:r>
      <w:r>
        <w:lastRenderedPageBreak/>
        <w:t>premo determinó la cuantía en razón del proyecto de obra autorizado y en relación con el cual se produjo el exceso que dio lugar a la orden de demolición; esta forma de fijación de la cuantía en forma alguna sería causante de indefensión para el recurrente.</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7 de febrero de 2002 se señaló el día 11 del mismo mes y año para la deliberación y fallo del presente recurso de amparo, día en el que comenzó, habiendo terminado en el día de hoy.</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demandante de amparo denuncia que los tres Autos de inadmisión impugnados (dos de la Sala de lo Contencioso-Administrativo del Tribunal Superior de Justicia de Cantabria y otro de la misma Sala del Tribunal Supremo, Sección Primera) infringen el derecho a la tutela judicial efectiva sin indefensión. El recurrente alude expresamente al art. 24.1 y 2 CE, si bien el derecho fundamental propiamente invocado se enuncia en el art. 24.1 CE. A juicio del recurrente, los dos Autos dictados por el órgano judicial de instancia habrían vulnerado el art. 24 CE al apreciar de forma "formalista" y "desproporcionada" que la orden de demolición impugnada --dictada por el Alcalde de Campoo de Yuso- era reproducción de otra anterior consentida y firme. De otro lado, el Auto del Tribunal Supremo habría incurrido en un "error evidente y manifiesto" al determinar la cuantía del asunto litigioso y concluir que no alcanzaba la summa gravaminis de seis millones de pesetas que para la casación exigía el art. 93.2 b) LJCA (de 1956). Tanto el Ministerio Fiscal como el Ayuntamiento de Campoo de Yuso se oponen a ambos motivos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Con carácter preliminar debemos detenernos en una causa de inadmisión parcial alegada por el Ministerio Fiscal en su escrito de alegaciones. A juicio del Ministerio Público, quien hoy recurre en amparo no había denunciado la infracción del art.  24.1 CE ante los órganos judiciales.  El recurrente no habría agotado la vía judicial previa frente al Auto de 6 de noviembre de 1996, por lo que concurriría la causa de inadmisión del art. 44.1 a) LOTC, en relación con el art. 50.1 a) LOTC. Este Tribunal tiene reiteradamente declarado que la exigencia de invocación del derecho fundamental ante los órganos judiciales se rige por un criterio flexible, no siendo exigible la cita del ordinal del derecho fundamental en cuestión, ni siquiera del nomen iuris que lo designe (entre muchas, SSTC 34/1999, de 22 de marzo, FJ 1; 99/1999, de 31 de mayo, FJ 2 b). Lo verdaderamente relevante es que la invocación haya permitido que el órgano judicial conociese de la lesión del derecho fundamental cuya protección luego se pide en amparo (SSTC 36/1999, de 22 de marzo, FJ 2; 200/1999, de 8 de noviembre, FJ 2; 108/2000, de 5 de mayo, FJ 2, entre otras). En el caso que nos ocupa, el recurrente se quejó ante la propia Sala de instancia y ante el Tribunal Supremo de que el Auto de inadmisión de 6 de noviembre de 1996 impedía la defensa de sus derechos e intereses ante los Tribunales. Esta queja del recurrente dio ocasión a que los dos órganos judiciales hicieran posible el acceso del demandante a la jurisdicción. De forma tal que los órgano judiciales tuvieron ocasión de tutelar el derecho fundamental cuya vulneración se denuncia en el presente recurso de amparo. De ahí que debamos rechazar la causa de inadmisibilidad parcial formulada por el Ministerio Fiscal. En consecuencia, procede entrar a considera las dos infracciones del art. 24.1 CE, en el acceso a la jurisdicción y en el acceso a la casación, denunciadas por el recurrente.</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3</w:t>
      </w:r>
      <w:r>
        <w:t>. Es reiterada doctrina de este Tribunal que el derecho a la tutela judicial efectiva (art.  24.1 CE) se satisface con una resolución de inadmisión, siempre que ésta esté fundada en la falta de un requisito o presupuesto procesal legalmente establecido que impida entrar en el fondo del asunto y que la apreciación de ese defecto procesal no sea en sí misma contraria al art. 24.1 CE, ya que el derecho a la tutela judicial efectiva es un derecho de naturaleza prestacional de configuración legal cuyo ejercicio está supeditado a la concurrencia de los presupuestos y requisitos procesales que, en cada caso, haya establecido el legislador (SSTC 8/1998, de 13 de enero, FJ 3; 115/1999, de 14 de junio, FJ 2; 122/1999, de 28 de junio, FJ 2; 108/2000, de 5 de mayo, FJ 3; 158/2000, de 12 de junio, FJ 5; 252/2000, de 30 de octubre, FJ 2 y 3/2001, de 15 de enero, FJ 5).</w:t>
      </w:r>
    </w:p>
    <w:p w:rsidR="0025129F" w:rsidRDefault="0025129F" w:rsidP="0025129F">
      <w:pPr>
        <w:pStyle w:val="TextoNormal"/>
      </w:pPr>
      <w:r>
        <w:t>De otro lado, así como el acceso a la jurisdicción es un elemento esencial del contenido del derecho a la tutela judicial efectiva, el sistema de recursos frente a las diferentes resoluciones judiciales ha de incorporarse al mencionado derecho fundamental proclamado en el artículo 24.1 CE en la concreta configuración que reciba en cada una de las leyes de enjuiciamiento que regulan los distintos órdenes jurisdiccionales, con la excepción del orden jurisdiccional penal. De tal suerte que, mientras que el principio pro actione despliega toda su efectividad cuando se trata del acceso a la jurisdicción, cuando se trata del acceso a los recursos, con la excepción del derecho al doble grado de jurisdicción en la vía penal, el control constitucional de las decisiones judiciales que declaran la inadmisibilidad de los recursos ha de ceñirse en el resto de los órdenes jurisdiccionales al análisis de si la resolución judicial de inadmisión ha incurrido en error patente, arbitrariedad o manifiesta irrazonabilidad (SSTC 162/1998, de 14 de julio, FJ 2; 192/1998, de 29 de septiembre, FJ 2; 216/1998, de 16 de noviembre, FJ 2, 10/1999, de 8 de febrero, FJ, 23/1999, de 8 de marzo, FJ 2; 121/1999, de 28 de junio, FJ 3, 94/2000, de 10 de abril, FJ 5, 116/2000, de 5 de mayo, FJ 3; 252/2000, de 30 de octubre, FFJJ 3 y 4; 251/2000, de 30 de octubre, FJ 3, y 218/2001, de 31 de octubre, FJ 3, in fine). Precisados así los cánones de constitucionalidad, procede su aplicación a los dos motivos de amparo planteados.</w:t>
      </w:r>
    </w:p>
    <w:p w:rsidR="0025129F" w:rsidRDefault="0025129F" w:rsidP="0025129F">
      <w:pPr>
        <w:pStyle w:val="TextoNormal"/>
      </w:pPr>
    </w:p>
    <w:p w:rsidR="0025129F" w:rsidRDefault="0025129F" w:rsidP="0025129F">
      <w:pPr>
        <w:pStyle w:val="TextoNormal"/>
      </w:pPr>
      <w:r w:rsidRPr="0025129F">
        <w:rPr>
          <w:rStyle w:val="NumeroAFNegritaCaracter"/>
        </w:rPr>
        <w:t>4</w:t>
      </w:r>
      <w:r>
        <w:t>. En el Auto de inadmisión de 6 de noviembre de 1996, luego confirmado en súplica por otro Auto de 1 de abril de 1997, se apreciaba la concurrencia de la causa de inadmisibilidad enunciada en el art. 40 a) LJCA (de 1956). A juicio del órgano judicial, la resolución municipal impugnada (de 9 de abril de 1996) era reproducción de un acto administrativo anterior firme: el Decreto del Alcalde, de 12 de diciembre de 1995, por el que se ordenaba la demolición de lo indebidamente construido. El recurrente alude reiteradamente a que el primer acto administrativo le fue comunicado sólo en forma verbal, y por tanto no con las garantías del art. 59 LPC.</w:t>
      </w:r>
    </w:p>
    <w:p w:rsidR="0025129F" w:rsidRDefault="0025129F" w:rsidP="0025129F">
      <w:pPr>
        <w:pStyle w:val="TextoNormal"/>
      </w:pPr>
      <w:r>
        <w:t xml:space="preserve">En relación con lo anterior debemos subrayar que la Sala de lo Contencioso- Administrativo consideró acreditado que el acuerdo municipal de 12 de diciembre de 1995 "había sido notificado al interesado personalmente por el aparejador municipal Sr.  Gutiérrez Polanco". Y siendo ésta la conclusión a la que llega el órgano judicial, en forma alguna ha justificado el recurrente que el razonamiento judicial se haya formulado con infracción del art. 24.1 CE. Antes bien, basta con la lectura de los documentos obrantes en el expediente administrativo para identificar qué circunstancias de hecho justifican la conclusión alcanzada por la Sala. En el expediente administrativo se contiene una copia de la resolución de 12 de diciembre de 1995 (con expresa indicación sobre los posibles recursos judiciales), en la que bajo la rúbrica del Alcalde y el sello del Ayuntamiento se dice expresamente "copia del original enviado a don Epifanio López Gutiérrez". En el mismo expediente se contiene un documento firmado por don José R. Gutiérrez Polanco, a la sazón Técnico del </w:t>
      </w:r>
      <w:r>
        <w:lastRenderedPageBreak/>
        <w:t>Ayuntamiento de Campoo de Yuso, en el que textualmente se dice "INFORMO: Que el día 14 de diciembre de 1995, entregué a D. Epifanio López Gutiérrez, un comunicado de este Ayuntamiento en el que se le comunicaba la paralización de las obras que está realizando en Villasuso, amparándose en que dichas obras no se ajustan a la Licencia Municipal concedida". Este informe viene acompañado del "Visto Bueno" del Alcalde (con rúbrica y estampillado del Ayuntamiento).</w:t>
      </w:r>
    </w:p>
    <w:p w:rsidR="0025129F" w:rsidRDefault="0025129F" w:rsidP="0025129F">
      <w:pPr>
        <w:pStyle w:val="TextoNormal"/>
      </w:pPr>
      <w:r>
        <w:t>Cierto es que en las actuaciones judiciales figura un acta notarial --fechada el 4 de febrero de 1997- en la que don José Ramón Gutiérrez Polanco expresamente manifiesta que "el día 14 de diciembre último encontró a don Epifanio López Gutiérrez y le comunicó verbalmente que el Ayuntamiento le iba a denegar la licencia y a derribarle lo construido" y que "en ningún momento entregó ningún documento, ni notificación al citado señor López Gutiérrez, limitándose a informarle del acuerdo había tomado el Sr. Alcalde". Cierto es también que el contenido del acta notarial de manifestaciones contradice lo previamente dicho por el mismo Técnico municipal en el "Informe" mencionado más arriba. Pero sentado lo anterior, y absteniéndose este Tribunal de conocer de los hechos que motivan este proceso de amparo, según impone el art. 44.1 b) LOTC, debemos concluir que de la simple contradicción entre parte de los documentos mencionados más arriba ningún reproche ex art. 24.1 CE puede deducirse frente al órgano judicial. La Sala de lo Contencioso-Administrativo concluye -teniendo incluso a la vista los documentos ya mencionados al resolver el recurso de súplica-que sí hubo notificación personal del acuerdo municipal de 12 de diciembre de 1995. Respecto de esta conclusión el recurrente insiste en que la comunicación fue meramente "verbal" y que se infringió el art. 59 LPC, pero en forma alguna justifica que el órgano judicial, al vista de los documentos ya mencionados, haya ejercido su función jurisdiccional impidiendo el pleno disfrute del derecho de acceso a la jurisdicción, contenido en el art. 24.1 CE.</w:t>
      </w:r>
    </w:p>
    <w:p w:rsidR="0025129F" w:rsidRDefault="0025129F" w:rsidP="0025129F">
      <w:pPr>
        <w:pStyle w:val="TextoNormal"/>
      </w:pPr>
      <w:r>
        <w:t>Más aún, el recurrente impugna el Auto de 6 de noviembre de 1996 sin tan siquiera prestar la debida atención a los términos en que se fundamenta aquella resolución. En efecto, el acto administrativo al que se refiere el recurrente en su demanda de amparo no es el que la Sala de lo Contencioso-Administrativo consideró reproducido y firme. El órgano judicial había considerado que el acto administrativo impugnado (de 9 de abril de 1996) reproducía un previo Decreto del Alcalde fechado el 12 de diciembre de 1995; según se expuso ya en los antecedentes, en aquel Decreto del Alcalde, de 1995, se ordenaba la demolición de todo lo construido sin cobertura en la previa licencia municipal de obras. En cambio, el recurrente se refiere expresamente en su recurso de amparo (fundamento de derecho primero) al "decreto por el que se denegaba la licencia de obras"; esta resolución -a la que también se hizo alusión en los antecedentes- fue dictada por el Pleno del Ayuntamiento el 23 de noviembre de 1995, y en ella no se ordena la demolición de lo construido, sino que se deniega la nueva petición de licencia solicitada por el recurrente. Basta con lo dicho hasta ahora para concluir que el argumento impugnatorio del recurrente ni tan siquiera se atiene a la fundamentación del Auto impugnado. En estos términos debemos reiterar que carece de todo fundamento el reproche de "formalismo" y "desproporción" que, con invocación del art. 24.1 CE, formula el recurrente.</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El demandante de amparo también ha impugnado el Auto de la Sala de lo Contencioso- Administrativo del Tribunal Supremo, Sección Primera, de 26 de octubre de 1998, por la que se inadmite el recurso de casación preparado contra los Autos de inadmisión dictados por la Sala de instancia. Denuncia el recurrente un "error evidente y manifiesto" del Tribunal Supremo al fijar la cuantía litigiosa en 502.200 pesetas. En relación con este </w:t>
      </w:r>
      <w:r>
        <w:lastRenderedPageBreak/>
        <w:t>motivo de amparo debemos empezar por recordar que, según tiene reiteradamente declarado el Tribunal Constitucional, es error patente "aquél inmediatamente verificable de forma incontrovertible a partir de las actuaciones judiciales" (STC 96/2000, de 10 de abril, FJ 5, entre otras). En el presente caso, el recurrente alega que la cuantía del asunto debía haber quedado fijada en 7.588.670 pesetas, pero no alcanza a justificar el supuesto error patente denunciado. Téngase en cuenta que el órgano judicial determinó la cuantía del asunto por referencia al proyecto de obra autorizado en la licencia municipal. La posterior orden de demolición (de 12 de diciembre de 1995, reiterada el 6 de abril de 1996) se dicta precisamente por falta de ajuste de lo construido al proyecto de obra efectivamente autorizado.  Dada la conexión evidente entre la resolución municipal impugnada (de 6 de abril de 1996) y el proyecto de obra original, en forma alguna se puede concluir que la determinación de la cuantía por el órgano judicial contenga un error patente y relevante ex art. 24.1 CE.  En consecuencia, este segundo motivo de amparo también debe ser desestimado.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pedido.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4" w:name="SENTENCIA_2002_61"/>
      <w:r>
        <w:lastRenderedPageBreak/>
        <w:t>SENTENCIA 61/2002, de 11 de marzo de 2002</w:t>
      </w:r>
    </w:p>
    <w:bookmarkEnd w:id="64"/>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ECLI:ES:TC:2002:61</w:t>
      </w:r>
    </w:p>
    <w:p w:rsidR="0025129F" w:rsidRDefault="0025129F" w:rsidP="0025129F">
      <w:pPr>
        <w:pStyle w:val="SntesisDescriptiva"/>
      </w:pPr>
    </w:p>
    <w:p w:rsidR="0025129F" w:rsidRDefault="0025129F" w:rsidP="0025129F">
      <w:pPr>
        <w:pStyle w:val="SntesisDescriptiva"/>
      </w:pPr>
      <w:r>
        <w:t>Recurso de amparo 111/1999. Promovido por don Martín Ramiro Cuende Campomar frente a la Sentencia de la Sala de lo Social del Tribunal Superior de Justicia de Canarias que, estimando el recurso del INSS, desestimó su demanda sobre pensión de jubilación.</w:t>
      </w:r>
    </w:p>
    <w:p w:rsidR="0025129F" w:rsidRDefault="0025129F" w:rsidP="0025129F">
      <w:pPr>
        <w:pStyle w:val="SntesisDescriptiva"/>
      </w:pPr>
    </w:p>
    <w:p w:rsidR="0025129F" w:rsidRDefault="0025129F" w:rsidP="0025129F">
      <w:pPr>
        <w:pStyle w:val="SntesisAnaltica"/>
      </w:pPr>
      <w:r>
        <w:t>Vulneración del derecho a la tutela judicial efectiva sin indefensión y a un proceso con todas las garantías: imposibilidad de acreditar las cotizaciones a la Seguridad Social (STC 227/1991).</w:t>
      </w:r>
    </w:p>
    <w:p w:rsidR="0025129F" w:rsidRDefault="0025129F" w:rsidP="0025129F">
      <w:pPr>
        <w:pStyle w:val="SntesisAnaltica"/>
      </w:pPr>
    </w:p>
    <w:p w:rsidR="0025129F" w:rsidRDefault="0025129F" w:rsidP="0025129F">
      <w:pPr>
        <w:pStyle w:val="Extracto"/>
      </w:pPr>
      <w:r>
        <w:t>1.</w:t>
      </w:r>
      <w:r>
        <w:tab/>
        <w:t>El Instituto Nacional de la Seguridad Social se ha limitado a manifestar la imposibilidad de aportar las cotizaciones respecto a un determinado período de tiempo de la vida laboral del recurrente. Dicha conducta de la entidad gestora debió ser corregida por el órgano judicial procurando la aportación de todo el material probatorio, exigiéndoselo así a través de las diligencias para mejor proveer, también utilizables en el recurso de suplicación. Al no hacerlo así se ha vulnerado el derecho a un proceso con todas las garantías en conexión con el derecho a la tutela judicial efectiva sin indefensión [FJ 5].</w:t>
      </w:r>
    </w:p>
    <w:p w:rsidR="0025129F" w:rsidRDefault="0025129F" w:rsidP="0025129F">
      <w:pPr>
        <w:pStyle w:val="Extracto"/>
      </w:pPr>
    </w:p>
    <w:p w:rsidR="0025129F" w:rsidRDefault="0025129F" w:rsidP="0025129F">
      <w:pPr>
        <w:pStyle w:val="Extracto"/>
      </w:pPr>
      <w:r>
        <w:t>2.</w:t>
      </w:r>
      <w:r>
        <w:tab/>
        <w:t>El hecho de que la entidad gestora sólo traiga a las actuaciones la documental que obra en su poder genera un grave perjuicio para la parte actora que le resulta prácticamente imposible de corregir [FJ 5].</w:t>
      </w:r>
    </w:p>
    <w:p w:rsidR="0025129F" w:rsidRDefault="0025129F" w:rsidP="0025129F">
      <w:pPr>
        <w:pStyle w:val="Extracto"/>
      </w:pPr>
    </w:p>
    <w:p w:rsidR="0025129F" w:rsidRDefault="0025129F" w:rsidP="0025129F">
      <w:pPr>
        <w:pStyle w:val="Extracto"/>
      </w:pPr>
      <w:r>
        <w:t>3.</w:t>
      </w:r>
      <w:r>
        <w:tab/>
        <w:t>En un proceso social como es el laboral los órganos judiciales han de estar especialmente comprometidos en el descubrimiento de la totalidad de la relación jurídico-material debatida (SSTC 227/1991, 140/1994, 116/1995) [FFJJ 3 y 5].</w:t>
      </w:r>
    </w:p>
    <w:p w:rsidR="0025129F" w:rsidRDefault="0025129F" w:rsidP="0025129F">
      <w:pPr>
        <w:pStyle w:val="Extracto"/>
      </w:pPr>
    </w:p>
    <w:p w:rsidR="0025129F" w:rsidRDefault="0025129F" w:rsidP="0025129F">
      <w:pPr>
        <w:pStyle w:val="Extracto"/>
      </w:pPr>
      <w:r>
        <w:t>4.</w:t>
      </w:r>
      <w:r>
        <w:tab/>
        <w:t>Dada la naturaleza excepcional del recurso de casación para la unificación de doctrina, su inadmisión no impide entender cumplidos los requisitos legales para la formalización del recurso de amparo  (arts. 44.1.a y 44.2 LOTC; STC 285/2000)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111/99, promovido por don Martín Ramiro Cuende Campomar, representado por el Procurador de los Tribunales don Juan Antonio García San Miguel y Orueta y asistido por el Letrado don Manuel Álvarez de la Rosa, contra el Auto de la Sala de lo Social del Tribunal Supremo de 26 de noviembre de 1998, recaído en el recurso de casación para la unificación de doctrina núm. 255/98, y contra la Sentencia de la Sala de lo Social del Tribunal Superior de Justicia de Canarias (sede de Santa Cruz de Tenerife), de 20 de octubre de 1997, estimatoria del recurso de suplicación en proceso sobre pensión de jubilación. Han sido parte el Instituto Nacional de la Seguridad Social, representado por el Procurador de los Tribunales don Eduardo Morales Price y asistido por la Letrada de la Administración de la Seguridad Social doña María Luisa Dorranzo Fábregas, y el Ministerio Fiscal.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12 de enero de 1999, don Juan Antonio García San Miguel y Orueta, Procurador de los Tribunales, en nombre y representación de don Martín Ramiro Cuende Campomar, interpuso recurso de amparo contra el Auto de la Sala de lo Social del Tribunal Supremo de 26 de noviembre de 1998 que declara la inadmisión del recurso de casación para la unificación de doctrina interpuesto contra la Sentencia de la Sala de lo Social del Tribunal Superior de Justicia de Canarias, con sede en Santa Cruz de Tenerife, de 20 de octubre de 1997, en el recurso de suplicación núm. 437/97, interpuesto por el Instituto Nacional de la Seguridad Social frente a la Sentencia del Juzgado de lo Social núm. 3 de Santa Cruz de Tenerife de 12 de febrero de 1997 en el procedimiento núm. 368/96.</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más relevantes, de los que trae causa la demanda, son los siguientes: </w:t>
      </w:r>
    </w:p>
    <w:p w:rsidR="0025129F" w:rsidRDefault="0025129F" w:rsidP="0025129F">
      <w:pPr>
        <w:pStyle w:val="TextoNormal"/>
      </w:pPr>
      <w:r>
        <w:t xml:space="preserve">a) El recurrente estuvo afiliado a la Seguridad Social y en alta en su Régimen General durante el período de 1 de octubre de 1955 a 19 de enero de 1982 y en el Régimen Especial de Autónomos desde el 1 de noviembre de 1992 al 30 de noviembre de 1995. </w:t>
      </w:r>
    </w:p>
    <w:p w:rsidR="0025129F" w:rsidRDefault="0025129F" w:rsidP="0025129F">
      <w:pPr>
        <w:pStyle w:val="TextoNormal"/>
      </w:pPr>
      <w:r>
        <w:t xml:space="preserve">b) En fecha 12 de octubre de 1995 solicitó pensión de jubilación. Al no reunir los requisitos necesarios en ninguno de los dos regímenes independientemente considerados, y por aplicación del cómputo recíproco de cotizaciones, le fue reconocida la pensión por el Régimen General, al ser en éste donde había efectuado un mayor número de cotizaciones (Resolución de la Dirección Provincial del Instituto de la Seguridad Social de Santa Cruz de Tenerife, de 4 de enero de 1996). La base reguladora de la pensión ascendía a 66.970 pesetas y fue calculada computando las cotizaciones correspondientes a los ocho años inmediatamente anteriores al hecho causante, esto es, al 30 de noviembre de 1995, por las bases por las que cotizó al RETA durante los tres años y 30 días de afiliación al mismo y las mínimas del Régimen General, con integración de lagunas para el período restante anterior. </w:t>
      </w:r>
    </w:p>
    <w:p w:rsidR="0025129F" w:rsidRDefault="0025129F" w:rsidP="0025129F">
      <w:pPr>
        <w:pStyle w:val="TextoNormal"/>
      </w:pPr>
      <w:r>
        <w:t xml:space="preserve">c) Contra dicha Resolución el recurrente interpuso reclamación previa alegando que el cálculo efectuado debía ser realizado sobre la base reguladora de las cotizaciones al Régimen General, aplicando las revalorizaciones correspondientes. Dicha pretensión fue estimada parcialmente por Resolución de 26 de marzo de 1996, si bien al realizarse sobre las </w:t>
      </w:r>
      <w:r>
        <w:lastRenderedPageBreak/>
        <w:t xml:space="preserve">"únicas" cotizaciones que constaban en el Régimen General, el resultado de la pensión resultaba inferior a la que el actor venía percibiendo, ya que el porcentaje del 100 por 100 quedaba calculado sobre una base reguladora de 64.521 pesetas. </w:t>
      </w:r>
    </w:p>
    <w:p w:rsidR="0025129F" w:rsidRDefault="0025129F" w:rsidP="0025129F">
      <w:pPr>
        <w:pStyle w:val="TextoNormal"/>
      </w:pPr>
      <w:r>
        <w:t xml:space="preserve">d) Contra esta nueva Resolución el ahora recurrente interpuso demanda reclamando una pensión de jubilación en cuantía de 104.959 pesetas, resultantes de tomar como correctas las bases por las que el actor decía que había cotizado la última empresa para la que trabajó cuando estaba en el Régimen General ("Guanche, S.A."). A tal fin, solicitó como prueba anticipada que se requiriera al INSS para que aportase certificación de las cotizaciones efectuadas por dicha empresa con respecto a la parte actora. </w:t>
      </w:r>
    </w:p>
    <w:p w:rsidR="0025129F" w:rsidRDefault="0025129F" w:rsidP="0025129F">
      <w:pPr>
        <w:pStyle w:val="TextoNormal"/>
      </w:pPr>
      <w:r>
        <w:t xml:space="preserve">e) El día del juicio la entidad gestora aportó la certificación solicitada, en la que constaban las cotizaciones relativas al año 1981 y a los cinco últimos meses de 1980, pero sin que se reflejara cotización alguna en el periodo anterior. Constituye un hecho probado (hecho probado sexto de la Sentencia de instancia) que el INSS no disponía de información de las bases de cotización del actor referidas al período de enero de 1974 a julio de 1980, por lo que el cálculo de la base de cotización se efectuó por la entidad gestora teniendo en cuenta la mínima para su categoría. </w:t>
      </w:r>
    </w:p>
    <w:p w:rsidR="0025129F" w:rsidRDefault="0025129F" w:rsidP="0025129F">
      <w:pPr>
        <w:pStyle w:val="TextoNormal"/>
      </w:pPr>
      <w:r>
        <w:t xml:space="preserve">f) La Sentencia del Juzgado de lo Social núm. 3 de Santa Cruz de Tenerife estimó la demanda condenando al INSS a abonar al actor la pensión de jubilación solicitada y en la cuantía propuesta por éste. En particular, pese a reconocer expresamente que el organismo demandado no se había negado a aportar la documental requerida y que tan sólo había aportado aquélla que obraba en su poder, la Sentencia declaró aplicable el art. 94.2 LPL y la ficta probatio en él contenida, habida cuenta de la dificultad que para el actor suponía acreditar las cotizaciones realizadas por su empresa y del grave perjuicio que generaba su falta de aportación al resultar prácticamente imposible de corregir por mucha eficacia probatoria que el actor desplegase. </w:t>
      </w:r>
    </w:p>
    <w:p w:rsidR="0025129F" w:rsidRDefault="0025129F" w:rsidP="0025129F">
      <w:pPr>
        <w:pStyle w:val="TextoNormal"/>
      </w:pPr>
      <w:r>
        <w:t xml:space="preserve">g) Contra esta Sentencia recurrió el INSS alegando vulneración de los arts. 94.2 y 97.2 LPL por no existir en ningún hecho o fundamento de derecho, ni constar en los autos, ni en documento alguno, dato del que inferir la base reguladora concedida por la Sentencia de instancia, así como porque el art. 94.2 LPL tiene como presupuesto que, sin causa justificada, una de las partes no aporte al proceso los medios de prueba propuestos por la parte contraria, lo que, en el presente caso, sin embargo, no se produjo. La Sala de lo Social del Tribunal Superior de Justicia de Canarias dictó Sentencia el 20 de octubre de 1997 estimando el recurso interpuesto por no poder considerarse existente la cotización declarada entre enero de 1974 a julio de 1980 sobre la base del art. 94.2 LPL cuando el organismo demandado no sólo no se negó a aportar la documental solicitada, sino que "aportó el expediente de jubilación del actor donde constaban todas las cotizaciones efectuadas por el actor al Régimen de Autónomos", pero no así las correspondientes al Régimen General del periodo controvertido "por no tener en su poder tales datos", pues, "sobre tales cotizaciones no existe ni constancia, ni soporte documental de las mismas". </w:t>
      </w:r>
    </w:p>
    <w:p w:rsidR="0025129F" w:rsidRDefault="0025129F" w:rsidP="0025129F">
      <w:pPr>
        <w:pStyle w:val="TextoNormal"/>
      </w:pPr>
      <w:r>
        <w:t>h) Contra la Sentencia de suplicación el ahora recurrente interpuso recurso de casación para la unificación de doctrina, que fue inadmitido por falta de relación precisa y circunstanciada de la contradicción y de esta misma por Auto de la Sala de lo Social del Tribunal Supremo de 26 de noviembre de 1998.</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solicitante de amparo alega que las resoluciones judiciales antedichas vulneran el derecho a una tutela judicial efectiva sin indefensión (art. 24.1 CE) y a un proceso con todas las garantías (art. 24.2 CE). </w:t>
      </w:r>
    </w:p>
    <w:p w:rsidR="0025129F" w:rsidRDefault="0025129F" w:rsidP="0025129F">
      <w:pPr>
        <w:pStyle w:val="TextoNormal"/>
      </w:pPr>
      <w:r>
        <w:lastRenderedPageBreak/>
        <w:t>El recurrente discrepa de la inaplicación por la Sentencia de suplicación de lo dispuesto en el art. 94.2 LPL y entiende que los pronunciamientos contenidos en la STC 227/1991 son aplicables a su caso, ya que, tal y como ocurrió en el supuesto resuelto en aquélla en sentido estimatorio, también él solicitó del INSS la correspondiente certificación, reiterándola mediante el trámite de la prueba anticipada, sin que la entidad gestora aportase la totalidad de los datos requeridos, pero reconociendo, sin embargo, que han existido cotizaciones durante el período en el cual no le constan, puesto que, a falta de datos, le aplica la base reguladora mínima. Todo ello, alega el recurrente, le deja indefenso a la hora de acreditar la cuantía de las cotizaciones, por lo que entiende que el órgano judicial debió haber esclarecido los motivos por los cuales el INSS no pudo aportar la totalidad de los datos cuando, además, no se le solicitó a él la acreditación de la efectiva cotización por otros medios de prueba. En consecuencia, el recurrente entiende que la decisión judicial supuso exigirle una actividad imposible e incompatible con el art. 24.1 CE, teniendo presente que el INSS tenía una situación hegemónica en fase probatoria.</w:t>
      </w:r>
    </w:p>
    <w:p w:rsidR="0025129F" w:rsidRDefault="0025129F" w:rsidP="0025129F">
      <w:pPr>
        <w:pStyle w:val="TextoNormal"/>
      </w:pPr>
    </w:p>
    <w:p w:rsidR="0025129F" w:rsidRDefault="0025129F" w:rsidP="0025129F">
      <w:pPr>
        <w:pStyle w:val="TextoNormal"/>
      </w:pPr>
      <w:r w:rsidRPr="0025129F">
        <w:rPr>
          <w:rStyle w:val="NumeroAFNegritaCaracter"/>
        </w:rPr>
        <w:t>4</w:t>
      </w:r>
      <w:r>
        <w:t>. El 17 de enero de 2000, la Sección Segunda de este Tribunal dictó providencia por la que acordó admitir a trámite la demanda presentada por el Procurador don Juan Antonio García San Miguel y Orueta, en nombre y representación de don Martín Ramiro Cuende Campomar, y, en aplicación de lo dispuesto en el art. 51 LOTC, dirigir atenta comunicación al Juzgado de lo Social núm. 3 de Santa Cruz de Tenerife, a la Sala de lo Social del Tribunal Superior de Justicia de Canarias y a la Sala de lo Social del Tribunal Supremo para que, en el plazo de diez días, remitieran testimonio de los autos núm. 368/96, recurso de suplicación núm. 437/97 y recurso de casación núm. 255/98, respectivamente. Al propio tiempo se interesó que se emplazara a quienes hubiesen sido parte en el procedimiento, a excepción de la parte recurrente en amparo, para que pudieran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El 14 de septiembre de 2000 compareció ante este Tribunal don Eduardo Morales Price, Procurador de los Tribunales y del Instituto Nacional de la Seguridad Social, solicitando que se le tuviera personado como parte recurrida.</w:t>
      </w:r>
    </w:p>
    <w:p w:rsidR="0025129F" w:rsidRDefault="0025129F" w:rsidP="0025129F">
      <w:pPr>
        <w:pStyle w:val="TextoNormal"/>
      </w:pPr>
    </w:p>
    <w:p w:rsidR="0025129F" w:rsidRDefault="0025129F" w:rsidP="0025129F">
      <w:pPr>
        <w:pStyle w:val="TextoNormal"/>
      </w:pPr>
      <w:r w:rsidRPr="0025129F">
        <w:rPr>
          <w:rStyle w:val="NumeroAFNegritaCaracter"/>
        </w:rPr>
        <w:t>6</w:t>
      </w:r>
      <w:r>
        <w:t>. Por diligencia de ordenación de 19 de septiembre de 2000, la Sala Primera de este Tribunal tuvo por recibidos los testimonios de las actuaciones remitidas por el Juzgado de lo Social núm. 3 de Santa Cruz de Tenerife, las de la Sala de lo Social del Tribunal Superior de Justicia de Canarias y las de la Sala de lo Social del Tribunal Supremo, acusando recibo de los mismos. En este mismo acto se tuvo por personado y parte al Procurador don Eduardo Morales Price, en nombre y representación del Instituto Nacional de la Seguridad Social. Igualmente, y en cumplimiento del art. 52.1 LOTC, se acordó al mismo tiempo dar vista de las actuaciones recibidas a todas las partes personadas y al Ministerio Fiscal, por plazo común de veinte días, a fin de que pudieran presentar las alegaciones que, en su caso, estimaran pertinentes.</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25 de octubre de 2000, don Juan Antonio García San Miguel y Orueta, Procurador de los Tribunales y de don Martín Ramiro Cuende Campomar, se ratificó en su demanda de amparo y dio por reproducidas todas las alegaciones y fundamentos de derecho. En este escrito, no obstante, alega que aportó al acto del juicio todos los medios de prueba de que pudo valerse y que, en cambio, fue el organismo demandado quien no aportó las </w:t>
      </w:r>
      <w:r>
        <w:lastRenderedPageBreak/>
        <w:t>cotizaciones correspondientes al período controvertido por no disponer de datos informáticos sobre el mismo y que no lo hizo pese a haber sido requerido para ello, primero de modo directo y, más tarde, a través del Juzgado de lo Social como prueba anticipada. Asimismo, esgrime que la no utilización de la facultad que concede al órgano judicial el art. 94.2 LPL lesiona su derecho a un proceso con todas las garantías del art. 24.2 CE, pues el hecho de que la prueba de informes se encontrara en poder de una de las partes, unido a la obligación constitucional de colaboración con los Jueces en el curso del proceso (art. 118 CE), determinaba que, en materia probatoria, la parte emisora del informe estuviera especialmente obligada a aportar al proceso con fidelidad, exactitud y exhaustividad, la totalidad de los datos requeridos; por lo que, al no hacerlo así, la resolución impugnada vulneró el principio de igualdad de armas.</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27 de octubre de 2000, don Eduardo Morales Price, Procurador de los Tribunales, presentó alegaciones en este Tribunal, en representación del Instituto Nacional de la Seguridad Social, para oponerse al otorgamiento del amparo solicitado por el recurrente. </w:t>
      </w:r>
    </w:p>
    <w:p w:rsidR="0025129F" w:rsidRDefault="0025129F" w:rsidP="0025129F">
      <w:pPr>
        <w:pStyle w:val="TextoNormal"/>
      </w:pPr>
      <w:r>
        <w:t xml:space="preserve">En primer lugar, niega que se haya producido una vulneración del derecho a un proceso con todas las garantías, ya que,en ningún momentose ha acreditado que se hayan inadmitido pruebas propuestas por el actor o se le haya limitado la facultad de utilizar los medios de prueba de los que hubiera podido valerse. </w:t>
      </w:r>
    </w:p>
    <w:p w:rsidR="0025129F" w:rsidRDefault="0025129F" w:rsidP="0025129F">
      <w:pPr>
        <w:pStyle w:val="TextoNormal"/>
      </w:pPr>
      <w:r>
        <w:t>En segundo lugar, el escrito rechaza que pueda considerarse vulnerado el derecho a la tutela judicial efectiva cuando un Tribunal superior revoca una Sentencia de instancia por considerar infringidos los arts. 94.2 y 97.2 LPL y niega la ficta probatio cuando no se infiere de ningún documento, hecho o fundamento de derecho la existencia de base de cotización ni de período efectivamente cotizado durante el período controvertido. Máxime cuando esta figura es excepcional y no puede aplicarse a un caso como el presente en el que la entidad gestora sí aporta el expediente, pero en el que no constan las cotizaciones por no tener en su poder tales datos ni existir constancia sobre su existencia. Alega, igualmente, que la cuantía de la base reguladora reconocida en la Sentencia de instancia, sin que conste en los hechos probados ni en los fundamentos ningún dato de cómo se efectuó su cálculo y sin que el actor justificara en la demanda cómo realizó el mismo y cuáles fueron las cantidades que computó como bases de cotización, obliga a concluir que no existe ninguna prueba acreditativa, no sólo de si se cotizó, sino, incluso, de cuáles fueron las cuantías de las bases de cotización de dicho período y su incidencia en la cuantificación de la base reguladora. En todo caso, concluye el INSS, la pretendida aplicación del art. 94.2 LPL podría llevar a considerar como probado que ha cotizado en el período discutido, como determinó la STC 227/1992, de 28 de noviembre, pero no a considerar sin más probada la cuantía de la pensión solicitada por el actor, por lo que la solución adoptada por la resolución recurrida es conforme a Derecho y no implica vulneración alguna del principio de igualdad en la administración de la prueba ni de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Ministerio Fiscal, en escrito registrado el 27 de octubre de 2000, interesa que se otorgue el amparo solicitado. </w:t>
      </w:r>
    </w:p>
    <w:p w:rsidR="0025129F" w:rsidRDefault="0025129F" w:rsidP="0025129F">
      <w:pPr>
        <w:pStyle w:val="TextoNormal"/>
      </w:pPr>
      <w:r>
        <w:t xml:space="preserve">En primer lugar, recuerda que no es función de este Tribunal la de determinar cuáles deben ser las reglas que deben presidir la distribución de la carga de la prueba al ser, en principio, una cuestión de legalidad ordinaria que corresponde a los órganos judiciales (art. 117.3 CE), por lo que sus decisiones en esta materia no pueden ser revisadas a través del recurso de amparo, salvo que entrañen la vulneración de un derecho fundamental, lo que ocurre cuando se exige a una de las partes una prueba imposible o diabólica causando </w:t>
      </w:r>
      <w:r>
        <w:lastRenderedPageBreak/>
        <w:t xml:space="preserve">indefensión por no poder justificar procesalmente sus derechos e intereses legítimos mediante el ejercicio de los medios probatorios pertinentes para su defensa (STC 14/1992, de 10 de febrero, FJ 2), o cuando se adoptan reglas de distribución de la carga de la prueba que producen situaciones de supremacía o privilegio de alguna de las partes en la traída de los hechos al proceso, pues el art. 24.2 CE garantiza la igualdad efectiva de las posibilidades y cargas del actor y del demandado en la alegación y prueba de los hechos controvertidos para lograr la plenitud del resultado probatorio (STC 227/1991, de 28 de noviembre, FJ 5). Se trata, en definitiva, destaca el Ministerio Fiscal, de evitar la indefensión como noción material caracterizada por suponer una privación o minoración sustancial del derecho de defensa y del principio de contradicción, por lo que ante una situación en la que las fuentes de prueba se encuentran en poder de una de las partes, la obligación constitucional de colaboración con los Jueces y Tribunales en el curso del proceso (art. 118 CE) determina como lógica consecuencia que la parte emisora del informe esté especialmente obligada a aportar al proceso con fidelidad, exactitud y exhaustividad la totalidad de los datos requeridos a fin de que el órgano judicial pueda conocer la verdad, pues en otro caso se vulneraría el principio de igualdad de armas en la administración o ejecución de la prueba (STC 116/1995, de 17 de julio, FJ 3). Esta doctrina resulta excepcionada únicamente en los supuestos de imposibilidad de aportación a los que alude la STC 140/1994, de 16 de septiembre, FJ 4, en los que los datos no son aportados por el INSS porque ha desaparecido el expediente administrativo, el informe de cotización y la ficha del retiro obrero. </w:t>
      </w:r>
    </w:p>
    <w:p w:rsidR="0025129F" w:rsidRDefault="0025129F" w:rsidP="0025129F">
      <w:pPr>
        <w:pStyle w:val="TextoNormal"/>
      </w:pPr>
      <w:r>
        <w:t>Aplicando esta doctrina al caso, el Ministerio Fiscal concluye que ha de otorgarse el amparo solicitado cuando la discrepancia estriba en el cálculo de la base reguladora y el INSS sólo aporta las cotizaciones relativas al año 1981 y a los últimos cinco meses de 1980, "no aportando más, al carecer de información de las bases de cotización del actor referidas a los períodos de enero de 1974 a julio de 1980". Señala el Ministerio Fiscal que no constan las razones por las que "las cotizaciones efectuadas por el actor en el período discutido no figuran en los archivos de la Tesorería General de la Seguridad Social y, en concreto, en sus bases de datos, habiendo aludido el INSS en su recurso de suplicación a su ajenidad a tal cuestión, pues tales datos deben obrar con carácter general en poder de la Tesorería y que en el presente caso la TGSS sólo aportó los datos a que se ha hecho alusión, habiéndose limitado el INSS a efectuar el cálculo de la base reguladora en base a los mismos". Asimismo, entiende que la desestimación de la pretensión del actor por la Sala de suplicación basándola en que el organismo demandado no había aportado los datos sobre las cotizaciones por no tener en su poder los mismos y en la inexistencia de constancia ni soporte documental de las mismas, no tiene en cuenta que los documentos aportados por el INSS participan de la naturaleza de la prueba de informes y exigen una especial obligación de aportación al proceso para que el órgano judicial pueda descubrir la verdad y no se vulnere el principio de igualdad de armas en la administración de la prueba. Concluye señalando que es ésta la conducta que cabe apreciar en el supuesto de autos, donde, al socaire de determinados datos y con olvido de que debió haber bases de cotización y que, inexistentes, el organismo debió adoptar las medidas ejecutivas procedentes, pues el trabajador carecía de la mínima posibilidad de acreditación respecto a su existencia y cuantía (por obrar en exclusivo poder de la empresa), el INSS realiza el cómputo de la base reguladora atendiendo a los mínimos de categoría inferiores en vez de a los que constaban como efectivamente cotizados en el período del que sí se conservaban los datos, haciendo recaer en el pensionista las deficiencias existentes en el sistema, cuando, sin embargo, es ajeno a las mismas.</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10</w:t>
      </w:r>
      <w:r>
        <w:t>. Por providencia de 21 de febrero de 2002 se señaló para deliberación y votación de la presente Sentencia el día 25 del mismo mes y año, fecha en que se inició el trámite que ha finalizado el día de la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cuestión litigiosa que se dirime en el presente recurso de amparo es la de si vulnera el derecho a una tutela judicial efectiva sin indefensión (art. 24.1 CE) y a un proceso con todas las garantías y con igualdad de armas (art. 24.2 CE) una resolución judicial que deniega la aplicación de la ficta confessio en relación con la concreta cuantía de unas cotizaciones cuando el Instituto Nacional de la Seguridad Social certifica su inexistencia en el periodo litigioso (1974-1980) en que el recurrente estuvo dado de alta en el Régimen General de la Seguridad Social.</w:t>
      </w:r>
    </w:p>
    <w:p w:rsidR="0025129F" w:rsidRDefault="0025129F" w:rsidP="0025129F">
      <w:pPr>
        <w:pStyle w:val="TextoNormal"/>
      </w:pPr>
      <w:r>
        <w:t>El recurrente aduce que ambos derechos se han visto vulnerados por la Sentencia de la Sala de lo Social del Tribunal Superior de Justicia de Canarias, de 20 de octubre de 1997, habida cuenta de que no tiene que ser él quien soporte la falta de información del INSS sobre las cotizaciones realizadas por la empresa, al tratarse de una prueba de informes a la que no sólo no tiene acceso, sino respecto de cuya elaboración no participa y que, por ende, resulta decisiva para acreditar las cotizaciones litigiosas.  En particular, reproduce la doctrina de la STC 227/1991, de 28 de noviembre, por entenderla plenamente aplicable.</w:t>
      </w:r>
    </w:p>
    <w:p w:rsidR="0025129F" w:rsidRDefault="0025129F" w:rsidP="0025129F">
      <w:pPr>
        <w:pStyle w:val="TextoNormal"/>
      </w:pPr>
      <w:r>
        <w:t>El INSS, por el contrario, además de rechazar que la mencionada doctrina pueda aplicarse en el presente caso, niega que se haya vulnerado el art. 24 CE y que se haya producido indefensión, pues durante todo el proceso el recurrente ha podido alegar y probar lo que estimó oportuno. Por ello, entiende que, en realidad, el litigio versa tan sólo sobre una cuestión de mera interpretación de la legalidad ordinaria, cual es la de determinar la concreta cuantía de las bases de cotización durante el período discutido en un supuesto en el que no constan en las actuaciones dato ni prueba alguna de la que inferir que son ciertas las simplemente alegadas por el recurrente.</w:t>
      </w:r>
    </w:p>
    <w:p w:rsidR="0025129F" w:rsidRDefault="0025129F" w:rsidP="0025129F">
      <w:pPr>
        <w:pStyle w:val="TextoNormal"/>
      </w:pPr>
      <w:r>
        <w:t>El Ministerio Fiscal interesa la concesión del amparo por estimar vulnerados los derechos del recurrente a la tutela judicial efectiva y a un proceso público con todas las garantías, con la consiguiente anulación de la Sentencia del Tribunal Superior de Justicia de Canarias impugnada y retroacción de las actuaciones.</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examinar el fondo de la cuestión debatida resulta pertinente delimitar con precisión el objeto del recurso de amparo sometido a nuestra consideración.</w:t>
      </w:r>
    </w:p>
    <w:p w:rsidR="0025129F" w:rsidRDefault="0025129F" w:rsidP="0025129F">
      <w:pPr>
        <w:pStyle w:val="TextoNormal"/>
      </w:pPr>
      <w:r>
        <w:t xml:space="preserve">Constituye el objeto de la presente demanda de amparo únicamente la Sentencia dictada por la Sala de lo Social del Tribunal Superior de Justicia de Canarias el 20 de octubre de 1997, que estimó el recurso de suplicación promovido por el INSS, revocando la Sentencia de instancia, favorable al demandante de amparo, y absolviendo al INSS de las pretensiones en su contra formuladas. Pues, si bien la demanda se dirige formalmente también contra el Auto de la Sala de lo Social del Tribunal Supremo de 18 de diciembre de 1998, cuya anulación se solicita por declarar la firmeza de la Sentencia de suplicación, no lo hace de forma autónoma, por cuanto dicho Auto se limitó a inadmitir el recurso de casación para la unificación de doctrina interpuesto por falta de contradicción entre la Sentencia impugnada y la aportada como término de contraste y de la relación precisa y circunstanciada de la misma (arts. 217 y 222 LPL), inadmisión que, no obstante, dada la naturaleza excepcional del recurso de casación para la unificación de doctrina, no impide </w:t>
      </w:r>
      <w:r>
        <w:lastRenderedPageBreak/>
        <w:t>entender cumplidos los requisitos legales (arts. 44.1.a y 44.2 LOTC) para la formalización del recurso de amparo (SSTC 57/1999, de 12 de abril, FJ 2; 4/2000, de 17 de enero, FJ 2, y demás decisiones allí citadas; 53/2000, de 28 de febrero, FJ 2, y 110/2000, de 5 de mayo, FJ 4). Como dijimos en nuestra STC 285/2000, de 27 de noviembre, FJ 1, "de la interposición de este recurso y de la decisión de inadmisión de la Sala de lo Social del Tribunal Supremo no cabe erigir, en este supuesto, óbice procesal alguno que impida el examen de la cuestión de fondo planteada en la demanda de amparo, consistente, bien en la posible falta de agotamiento de la vía judicial previa [art. 44.1 a) LOTC], al haberse promovido el recurso de casación para la unificación de doctrina sin observar los requisitos procesales, bien en la extemporaneidad de la demanda de amparo (art. 44.2 LOTC), por haberse interpuesto un recurso improcedente. Los requisitos contemplados en ambos preceptos de la LOTC deben entenderse cumplidos, de acuerdo con la jurisprudencia del Tribunal Constitucional sobre las objeciones procesales a las demandas de amparo vinculadas a la interposición defectuosa del recurso de casación para la unificación de doctrina o a su falta de interposición, informada por el principio pro actione, salvo cuando su inadmisión estuviera fundada en la interposición extemporánea del recurso, y el carácter restrictivo de la noción de recurso improcedente a los efectos del art. 44.1 a) LOTC, pues en este caso la decisión de inadmisión del recurso  no se basó únicamente en el incumplimiento del requisito procesal de recoger y exponer la relación precisa y circunstanciada de la contradicción alegada, sino también en la falta de contradicción doctrinal entre la resolución recurrida y la seleccionada como término de contraste, lo que constituye un requisito y, por, tanto, un pronunciamiento de fondo y no meramente procesal."</w:t>
      </w:r>
    </w:p>
    <w:p w:rsidR="0025129F" w:rsidRDefault="0025129F" w:rsidP="0025129F">
      <w:pPr>
        <w:pStyle w:val="TextoNormal"/>
      </w:pPr>
      <w:r>
        <w:t>No imputando el recurrente ninguna vulneración de derechos fundamentales al mencionado Auto de inadmisión de la Sala de lo Social del Tribunal Supremo, su análisis ha de quedar fuera de nuestro enjuiciamiento (SSTC 82/1997, de 22 de abril, FJ 1; 140/1999, de 20 de julio, FJ 9; 168/1999, de 27 de septiembre, FJ 2; 191/1999, de 25 de octubre, FFJJ 2 y 3, y 153/2000, de 12 de junio, FJ 1). Lo que no impedirá, sin embargo, que, en caso de estimar el amparo, hayamos de proceder también a su anulación en cuanto que declara la firmeza de la Sentencia de suplicación impugnada.</w:t>
      </w:r>
    </w:p>
    <w:p w:rsidR="0025129F" w:rsidRDefault="0025129F" w:rsidP="0025129F">
      <w:pPr>
        <w:pStyle w:val="TextoNormal"/>
      </w:pPr>
    </w:p>
    <w:p w:rsidR="0025129F" w:rsidRDefault="0025129F" w:rsidP="0025129F">
      <w:pPr>
        <w:pStyle w:val="TextoNormal"/>
      </w:pPr>
      <w:r w:rsidRPr="0025129F">
        <w:rPr>
          <w:rStyle w:val="NumeroAFNegritaCaracter"/>
        </w:rPr>
        <w:t>3</w:t>
      </w:r>
      <w:r>
        <w:t>. La correcta resolución del presente supuesto exige partir de la doctrina establecida y mantenida en las SSTC 227/1991, de 28 de noviembre, 116/1995, de 17 de julio, y 140/1994, de 16 de septiembre, en casos parecidos al que aquí se debate.</w:t>
      </w:r>
    </w:p>
    <w:p w:rsidR="0025129F" w:rsidRDefault="0025129F" w:rsidP="0025129F">
      <w:pPr>
        <w:pStyle w:val="TextoNormal"/>
      </w:pPr>
      <w:r>
        <w:t xml:space="preserve">En las citadas Sentencias declaramos que en el proceso laboral "los órganos judiciales han de estar especialmente comprometidos en el descubrimiento de la totalidad de la relación jurídico- material debatida, a cuyo fin deben ser también exhaustivos en la introducción del material probatorio ... a fin de obtener dicha plenitud del material instructorio sobre los hechos controvertidos en el proceso" (STC 227/1991, de 28 de noviembre, FJ 4). De ahí que, ante situaciones en las que "las fuentes de prueba se encuentran en poder de una de las partes, la obligación constitucional de colaboración con los Jueces y Tribunales en el curso del proceso (art.  118 de la Constitución)" determine como lógica consecuencia que, en materia probatoria, "la parte emisora del informe esté especialmente obligada a aportar al proceso con fidelidad, exactitud y exhaustividad la totalidad de los datos requeridos, a fin de que el órgano judicial pueda descubrir la verdad, pues en otro caso se vulneraría el principio de igualdad de armas en la administración o ejecución de la prueba", sin que "las deficiencias y carencias en el funcionamiento de un órgano administrativo" puedan "repercutir en perjuicio del solicitante de amparo, porque a nadie es lícito beneficiarse </w:t>
      </w:r>
      <w:r>
        <w:lastRenderedPageBreak/>
        <w:t>de la propia torpeza" (STC 227/1991, de 28 de noviembre, FJ 3, y STC 116/1995, de 17 de julio, FJ 1).</w:t>
      </w:r>
    </w:p>
    <w:p w:rsidR="0025129F" w:rsidRDefault="0025129F" w:rsidP="0025129F">
      <w:pPr>
        <w:pStyle w:val="TextoNormal"/>
      </w:pPr>
      <w:r>
        <w:t>La doctrina reproducida atiende a la finalidad de evitar la indefensión, entendida como "limitación de los medios de defensa producida por una indebida actuación de los órganos judiciales" (SSTC 98/1987, de 10 de junio, FJ 3, y 26/1993, de 25 de enero, FJ 4), en que puede hallarse una parte cuando se le exige un comportamiento probatorio imposible o la prueba de hechos negativos en los casos en que resulta más simple la del acto positivo contrario por parte del otro litigante, "pues esta prueba imposible o diabólica es susceptible de causar indefensión al no poder justificar procesalmente las circunstancias relativas a sus derechos e intereses legítimos" (SSTC 116/1995, de 17 de julio FJ 3, y 140/1994, de 9 de mayo, FJ 4). Indefensión que se produce cuando el INSS se prevale de su situación hegemónica en fase probatoria y niega la aportación de la certificación de cotizaciones reiteradamente solicitada (STC 116/1995, de 17 de julio), o cuando el certificado que aporta es de carácter negativo, pero la ausencia de cotizaciones no está basada "en una indubitada falta de cotización durante el citado período, sino más bien en las dificultades e incluso en la imposibilidad de acceder a los datos correspondientes", es decir, cuando la certificación negativa está justificada "no en una falta pura y simple de cotización, sino en la existencia de obstáculos y dificultades que a la sazón el INSS tenía para comprobar si las cotizaciones se habían o no efectuado" (STC 227/1991, de 28 de noviembre). Por el contrario, la indefensión proscrita no se produce cuando el resultado judicial es consecuencia de la falta de prueba de un hecho positivo, lo que ocurre cuando el beneficiario en el proceso sólo se opone a la demanda del INSS de reintegro de prestaciones alegando lo que a su derecho convino pero sin proponer prueba alguna, pues "la existencia o no de la afiliación y cotización necesarias para tener derecho a las prestaciones de vejez SOVI y su antecedente, el haber trabajado en una o más empresas, constituyen hechos de carácter positivo y su acreditación, por tanto, no resultaba imposible prima facie" (STC 140/1994, de 9 de mayo, FJ 3).</w:t>
      </w:r>
    </w:p>
    <w:p w:rsidR="0025129F" w:rsidRDefault="0025129F" w:rsidP="0025129F">
      <w:pPr>
        <w:pStyle w:val="TextoNormal"/>
      </w:pPr>
    </w:p>
    <w:p w:rsidR="0025129F" w:rsidRDefault="0025129F" w:rsidP="0025129F">
      <w:pPr>
        <w:pStyle w:val="TextoNormal"/>
      </w:pPr>
      <w:r w:rsidRPr="0025129F">
        <w:rPr>
          <w:rStyle w:val="NumeroAFNegritaCaracter"/>
        </w:rPr>
        <w:t>4</w:t>
      </w:r>
      <w:r>
        <w:t>. Aunque con soluciones diversas, la doctrina contenida en las Sentencias citadas se articula sobre dos elementos combinados entre sí. De un lado, la diligencia del recurrente no sólo respecto a la obtención de la prueba frustrada (certificado de cotizaciones) y en la aportación de la prueba que razonablemente le pueda ser exigible a la vista de las circunstancias concurrentes; de otro, el examen de las razones por las que el INSS justifica la no aportación de la prueba requerida o de las cotizaciones discutidas.</w:t>
      </w:r>
    </w:p>
    <w:p w:rsidR="0025129F" w:rsidRDefault="0025129F" w:rsidP="0025129F">
      <w:pPr>
        <w:pStyle w:val="TextoNormal"/>
      </w:pPr>
      <w:r>
        <w:t xml:space="preserve">El examen conjunto de ambos elementos causantes, en definitiva, de la existencia de una situación de indefensión real y efectiva como consecuencia de la vulneración del principio de igualdad de armas ha determinado la concesión del amparo solicitado por infracción del derecho a obtener una tutela judicial efectiva sin indefensión (art. 24.1 CE) y, en conexión con el mismo, del derecho a un proceso con todas las garantías (art. 24.2 CE). De este modo, hemos declarado que se producen las señaladas vulneraciones de derechos fundamentales cuando la beneficiaria no solicita el certificado de cotizaciones por tener en su poder un informe de cotizaciones proporcionado por el INSS, pero éste niega su valor vinculante y aporta un certificado negativo de cotizaciones basado, no en su inexistencia, sino exclusivamente en las dificultades internas que tiene para obtenerlas (STC 227/1991); o cuando, pese a la diligencia del solicitante de amparo requiriendo al INSS el certificado de cotizaciones, éste se resiste a lo largo del proceso sin justificación alguna y con clara arbitrariedad (STC 116/1995). Por el contrario, y en aplicación de los criterios mencionados, hemos negado el amparo cuando el INSS demuestra la imposibilidad de aportar los </w:t>
      </w:r>
      <w:r>
        <w:lastRenderedPageBreak/>
        <w:t>datos requeridos y es la parte interesada en que se le reconozca la pensión quien no realiza actividad probatoria sobre la que fundamentar los hechos positivos que alega (STC 140/1994).</w:t>
      </w:r>
    </w:p>
    <w:p w:rsidR="0025129F" w:rsidRDefault="0025129F" w:rsidP="0025129F">
      <w:pPr>
        <w:pStyle w:val="TextoNormal"/>
      </w:pPr>
    </w:p>
    <w:p w:rsidR="0025129F" w:rsidRDefault="0025129F" w:rsidP="0025129F">
      <w:pPr>
        <w:pStyle w:val="TextoNormal"/>
      </w:pPr>
      <w:r w:rsidRPr="0025129F">
        <w:rPr>
          <w:rStyle w:val="NumeroAFNegritaCaracter"/>
        </w:rPr>
        <w:t>5</w:t>
      </w:r>
      <w:r>
        <w:t>. La proyección de esta doctrina a la controversia de la que trae su causa el presente recurso de amparo aboca a estimar el mismo.</w:t>
      </w:r>
    </w:p>
    <w:p w:rsidR="0025129F" w:rsidRDefault="0025129F" w:rsidP="0025129F">
      <w:pPr>
        <w:pStyle w:val="TextoNormal"/>
      </w:pPr>
      <w:r>
        <w:t>En el presente caso, el recurrente solicitó el certificado de cotizaciones antes de interponer la demanda y reiteró la petición en vía judicial como prueba anticipada, por lo que, en este punto, la diligencia procesal exigida resulta incuestionable.  Asimismo, pese a la práctica imposibilidad de un esfuerzo probatorio para determinar la cuantía exacta de las cotizaciones durante el período litigioso, el beneficiario aportó aquellos documentos que, pese a no tener la obligación de conservar habida cuenta del tiempo transcurrido, ponían de manifiesto la cuantía de la base reguladora del período inmediatamente posterior al discutido (nóminas y TC1 y TC2) y demostraban la fecha de alta en la empresa desde el año 1972, reconocida por el propio INSS.</w:t>
      </w:r>
    </w:p>
    <w:p w:rsidR="0025129F" w:rsidRDefault="0025129F" w:rsidP="0025129F">
      <w:pPr>
        <w:pStyle w:val="TextoNormal"/>
      </w:pPr>
      <w:r>
        <w:t>Por el contrario, el INSS se ha limitado a manifestar la imposibilidad de aportar las cotizaciones respecto a un determinado periodo de tiempo de la vida laboral del recurrente que había de influir en la base reguladora de la pensión y, consecuentemente, en su cuantía. Y aunque no aporta la totalidad de los datos, sin embargo, reconoce, y esto es lo relevante en este caso, que han existido cotizaciones durante el período en el cual no le constan, como demuestra el hecho de que le aplique la base reguladora mínima, colocando al recurrente en una situación de indefensión en orden a la acreditación de la cuantía de aquéllas. Y aunque resulta obligado reconocer que, en el caso, la entidad gestora no se ha negado a emitir la certificación de cotizaciones, ni ha privado de toda eficacia al período discutido, tales extremos en nada influyen sobre la situación probatoria en la que se deja al recurrente, puesto que, si bien es cierto que ante la falta de datos concluyentes no existen argumentos sólidos para dar por buenas las cifras manifestadas por aquél, no lo es menos que no puede hacerse recaer sobre él la carga de asumir en su perjuicio el supuesto resultado probatorio de una prueba inexistente. Aplicando en este punto la doctrina de nuestra STC 227/1991, de 28 de noviembre, al órgano judicial le resultaba exigible, con independencia del resultado al que después llegara al valorar la prueba, averiguar, incluso, en su caso, mediante diligencias para mejor proveer, si los datos desaparecidos podían obtenerse mediante otro tipo de pruebas, así como los motivos reales del INSS para no aportar aquéllos, ya que, según nuestra doctrina, no tiene la misma relevancia la acreditación de una imposibilidad definitiva de obtenerlos que la mera dificultad para conseguirlos. El hecho de que no quede acreditada la imposibilidad definitiva de obtener los datos controvertidos y que, por el contrario, como señala el Ministerio Fiscal, el INSS no aporte más por "carecer de información de las bases de cotización del actor referidas a los períodos de enero de 1974 a julio de 1980", pero sin que consten las razones por las que las cotizaciones efectuadas por el actor en el período discutido no figuran en los archivos de la Tesorería General de la Seguridad Social, así como el hecho de que por parte del propio INSS se reconozca su "ajenidad" a tal cuestión por obrar las mismas en poder de la Tesorería, no puede hacer recaer en el beneficiario la carga de asumir el perjuicio de dicha falta de datos.</w:t>
      </w:r>
    </w:p>
    <w:p w:rsidR="0025129F" w:rsidRDefault="0025129F" w:rsidP="0025129F">
      <w:pPr>
        <w:pStyle w:val="TextoNormal"/>
      </w:pPr>
      <w:r>
        <w:t>En efecto, la desestimación de la pretensión del actor por la Sala de suplicación, basándola en que el organismo demandado no había aportado los datos sobre las cotizaciones por no tener en su poder los mismos y en la inexistencia de constancia ni soporte documental de las mismas, no tiene en cuenta que los documentos aportados por el INSS participan de la naturaleza de la prueba de informes y exigen una especial obligación de apor</w:t>
      </w:r>
      <w:r>
        <w:lastRenderedPageBreak/>
        <w:t>tación al proceso para que el órgano judicial pueda descubrir la verdad y no se vulnere el principio de igualdad de armas en la administración de la prueba. Aunque, en efecto, el art. 94.2 LPL no puede sin más ser aplicado a todos los supuestos y es competencia del órgano judicial decidir cuándo se dan o no sus presupuestos, no se ha de olvidar que, conforme dijimos en la STC 227/1991, de 28 de noviembre, en un proceso social como es el laboral los órganos judiciales han de estar especialmente comprometidos en el descubrimiento de la totalidad de la relación jurídico-material debatida. En el caso, una relación de cotización que nace con el comienzo de la prestación de trabajo y se mantiene mientras el trabajador está en alta, que se sustenta en la responsabilidad directa del empresario del ingreso de la totalidad de la cuota, tanto la propia como la del trabajador a su servicio, y respecto de la cual, en caso de incumplimiento por parte del empresario de su obligación de ingresar la cuota, queda en la facultad de los entes competentes proceder por la vía ejecutiva. Este incumplimiento genera la responsabilidad empresarial en orden al pago de las prestaciones, habiéndose establecido en ciertos supuestos por el legislador el llamado principio de automaticidad de las prestaciones, en virtud del cual corresponde a la entidad gestora otorgar la prestación al beneficiario, subrogándose en los derechos y acciones que a este último puedan corresponder frente al empresario.</w:t>
      </w:r>
    </w:p>
    <w:p w:rsidR="0025129F" w:rsidRDefault="0025129F" w:rsidP="0025129F">
      <w:pPr>
        <w:pStyle w:val="TextoNormal"/>
      </w:pPr>
      <w:r>
        <w:t>De lo anterior se infiere que, dadas las específicas circunstancias concurrentes en el presente caso, en que el causante estuvo efectivamente en situación de alta, según se reconoce en los hechos probados de la Sentencia de instancia, existió la obligación de cotizar a lo largo del período controvertido y que si, no obstante, las cotizaciones no fueron efectivamente ingresadas, ello sólo pudo deberse a un incumplimiento empresarial frente al que no reaccionaron las entidades públicas competentes.  Por ello, habiendo reconocido el INSS el alta en la empresa durante el período litigioso, aunque no la existencia de bases de cotización ni que, inexistente la cotización, debió adoptar las medidas ejecutivas procedentes, el trabajador carecía de la posibilidad de acreditación tanto respecto de su existencia como de su cuantía (por obrar en exclusivo poder de la empresa y no producirse la sustitución efectiva del sistema de bases tarifadas por el de cotización sobre salarios reales hasta 1979) y, pese a ello, el INSS realizó el cómputo de la base reguladora atendiendo a los mínimos de categoría en vez de a las cantidades que constaban como efectivamente cotizadas en el período del que sí se conservaban los datos, haciendo recaer en el pensionista las deficiencias existentes en el sistema cuando, sin embargo, es ajeno a las mismas y vulnerando, de este modo, su derecho a una tutela judicial efectiva sin indefensión.</w:t>
      </w:r>
    </w:p>
    <w:p w:rsidR="0025129F" w:rsidRDefault="0025129F" w:rsidP="0025129F">
      <w:pPr>
        <w:pStyle w:val="TextoNormal"/>
      </w:pPr>
      <w:r>
        <w:t>Asimismo, y en conexión con lo anterior, el hecho de que la entidad gestora dejara de suministrar los datos acerca de las cotizaciones interesadas, pese a obrar tales antecedentes fácticos exclusivamente en su poder, situó a ésta en una situación hegemónica en la fase probatoria. Dicha conducta es contraria al principio procesal de igualdad, que ha de estar también presente en la fase probatoria como una de las garantías esenciales protegidas por el art. 24.2 CE, pues, en el diseño del proceso establecido en dicha norma fundamental, la evidencia, presupuesto ineludible de la Sentencia, ha de obtenerse evitando las situaciones de supremacía o de privilegio de alguna de las partes en la traída de los hechos al proceso o, lo que es lo mismo, garantizando la igualdad efectiva de las posibilidades y cargas del actor y del demandado en la alegación y prueba de los hechos controvertidos para lograr la plenitud del resultado probatorio. Como señala la Sentencia de instancia, el hecho de que la entidad gestora sólo traiga a las actuaciones la documental que obra en su poder, genera "un grave perjuicio para la parte actora que le resulta prácticamente imposible de corregir, en cuanto que, por mucha eficacia probatoria que despliegue, será enormemente dificulto</w:t>
      </w:r>
      <w:r>
        <w:lastRenderedPageBreak/>
        <w:t>so para la misma la aportación a las actuaciones de la documental referida, sobre todo por no haber tenido participación directa en su formación".</w:t>
      </w:r>
    </w:p>
    <w:p w:rsidR="0025129F" w:rsidRDefault="0025129F" w:rsidP="0025129F">
      <w:pPr>
        <w:pStyle w:val="TextoNormal"/>
      </w:pPr>
      <w:r>
        <w:t>Dicha conducta de la entidad gestora debió ser corregida por el órgano judicial procurando la aportación de todo el material probatorio, exigiéndoselo así a través de las diligencias para mejor proveer, también utilizables en el recurso de suplicación.  Al no hacerlo así se ha vulnerado el art. 24.2 en conexión con el art. 24.1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Martín Ramiro Cuende Campomar y, en consecuencia:</w:t>
      </w:r>
    </w:p>
    <w:p w:rsidR="0025129F" w:rsidRDefault="0025129F" w:rsidP="0025129F">
      <w:pPr>
        <w:pStyle w:val="TextoNormal"/>
      </w:pPr>
      <w:r>
        <w:t>1º Reconocer su derecho a la tutela judicial efectiva y a un proceso con todas las garantías.</w:t>
      </w:r>
    </w:p>
    <w:p w:rsidR="0025129F" w:rsidRDefault="0025129F" w:rsidP="0025129F">
      <w:pPr>
        <w:pStyle w:val="TextoNormal"/>
      </w:pPr>
      <w:r>
        <w:t>2º Declarar la nulidad del Auto del Tribunal Supremo de 26 de noviembre de 1998 dictado en el recurso de casación en unificación de doctrina núm. 255/98, así como de la Sentencia de la Sala de lo Social del Tribunal Superior de Justicia de Canarias de 20 de octubre de 1997 y la consiguiente firmeza de la Sentencia del Juzgado de lo Social núm. 3 de Santa Cruz de Tenerife de 12 de febrero de 1997.</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5" w:name="SENTENCIA_2002_62"/>
      <w:r>
        <w:lastRenderedPageBreak/>
        <w:t>SENTENCIA 62/2002, de 11 de marzo de 2002</w:t>
      </w:r>
    </w:p>
    <w:bookmarkEnd w:id="65"/>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ECLI:ES:TC:2002:62</w:t>
      </w:r>
    </w:p>
    <w:p w:rsidR="0025129F" w:rsidRDefault="0025129F" w:rsidP="0025129F">
      <w:pPr>
        <w:pStyle w:val="SntesisDescriptiva"/>
      </w:pPr>
    </w:p>
    <w:p w:rsidR="0025129F" w:rsidRDefault="0025129F" w:rsidP="0025129F">
      <w:pPr>
        <w:pStyle w:val="SntesisDescriptiva"/>
      </w:pPr>
      <w:r>
        <w:t>Recurso de amparo 2387/1999. Promovido por don José Luque Flores frente a providencia de un Juzgado de lo Social de Córdoba que inadmitió su recurso de reposición en ejecución de una Sentencia sobre despido.</w:t>
      </w:r>
    </w:p>
    <w:p w:rsidR="0025129F" w:rsidRDefault="0025129F" w:rsidP="0025129F">
      <w:pPr>
        <w:pStyle w:val="SntesisDescriptiva"/>
      </w:pPr>
    </w:p>
    <w:p w:rsidR="0025129F" w:rsidRDefault="0025129F" w:rsidP="0025129F">
      <w:pPr>
        <w:pStyle w:val="SntesisAnaltica"/>
      </w:pPr>
      <w:r>
        <w:t>Vulneración del derecho a la tutela judicial efectiva (acceso al recurso legal): inadmisión rigorista y desproporcionada de recurso de reposición por no citar el precepto infringido.</w:t>
      </w:r>
    </w:p>
    <w:p w:rsidR="0025129F" w:rsidRDefault="0025129F" w:rsidP="0025129F">
      <w:pPr>
        <w:pStyle w:val="SntesisAnaltica"/>
      </w:pPr>
    </w:p>
    <w:p w:rsidR="0025129F" w:rsidRDefault="0025129F" w:rsidP="0025129F">
      <w:pPr>
        <w:pStyle w:val="Extracto"/>
      </w:pPr>
      <w:r>
        <w:t>1.</w:t>
      </w:r>
      <w:r>
        <w:tab/>
        <w:t>En el recurso de reposición frente a la providencia que denegó extender la ejecución dineraria del crédito del trabajador, se hallaban entrelazadas dos cuestiones, una procesal y otra sustantiva o de fondo. Siendo ello así, la exigencia de la cita expresa del precepto infringido de la Ley de enjuiciamiento civil incurre en un rigorismo formal excesivo y desproporcionado, que lesiona el derecho el derecho a la tutela judicial efectiva (STC 225/1999) [FFJJ 3 y 4].</w:t>
      </w:r>
    </w:p>
    <w:p w:rsidR="0025129F" w:rsidRDefault="0025129F" w:rsidP="0025129F">
      <w:pPr>
        <w:pStyle w:val="Extracto"/>
      </w:pPr>
    </w:p>
    <w:p w:rsidR="0025129F" w:rsidRDefault="0025129F" w:rsidP="0025129F">
      <w:pPr>
        <w:pStyle w:val="Extracto"/>
      </w:pPr>
      <w:r>
        <w:t>2.</w:t>
      </w:r>
      <w:r>
        <w:tab/>
        <w:t>Cuando el recurso de reposición se fundamente exclusivamente en la infracción de preceptos sustantivos, no existe obligación alguna de citar normas procesales que no han sido vulneradas (SSTC 10/1999, 233/2001) [FJ  2].</w:t>
      </w:r>
    </w:p>
    <w:p w:rsidR="0025129F" w:rsidRDefault="0025129F" w:rsidP="0025129F">
      <w:pPr>
        <w:pStyle w:val="Extracto"/>
      </w:pPr>
    </w:p>
    <w:p w:rsidR="0025129F" w:rsidRDefault="0025129F" w:rsidP="0025129F">
      <w:pPr>
        <w:pStyle w:val="Extracto"/>
      </w:pPr>
      <w:r>
        <w:t>3.</w:t>
      </w:r>
      <w:r>
        <w:tab/>
        <w:t>Derecho a la tutela judicial efectiva en su vertiente de acceso a los recursos legales (STC 207/1998)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 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2387/99, promovido por don José Luque Flores, representado por el Procurador de los Tribunales don Antonio de Palma Villalón y asistido por el Abogado don Filomeno Aparicio Lobo, contra la providencia de 10 de mayo de 1999 del Juzgado de lo Social núm. 1 de los de Córdoba, en los autos 504/97, ejecución 128/97. Han intervenido el Ministerio Fiscal y las entidades financieras "Caja Rural de Córdoba, S.C.A." y "Banco Urquijo, S.A.", mediante los Procuradores de los Tribunales don José </w:t>
      </w:r>
      <w:r>
        <w:lastRenderedPageBreak/>
        <w:t>Luis Pinto Marabotto y don Manuel Lanchares Larre y asistidos de los Letrados don Francisco Navarrete Casas y don José Carlos López Ollero, respectivamente. Ha sido Ponente don Pablo García Manzano,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4 de junio de 1999, don Antonio de Palma Villalón, Procurador de los Tribunales, en nombre y representación de don José Luque Flores, interpuso recurso de amparo contra la providencia del Juzgado de lo Social núm. 1 de los de Córdoba de 10 de mayo de 1999, en los autos 504/97, ejecución 128/97, por la que se declara "de plano y sin ulterior recurso no haber lugar a proveer respecto del recurso de reposición que se formula".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en síntesis, los siguientes: </w:t>
      </w:r>
    </w:p>
    <w:p w:rsidR="0025129F" w:rsidRDefault="0025129F" w:rsidP="0025129F">
      <w:pPr>
        <w:pStyle w:val="TextoNormal"/>
      </w:pPr>
      <w:r>
        <w:t xml:space="preserve">a) El recurrente, don José Luque Flores, trabajaba para la empresa "INCAMASA, S.A.", y, tras ser despedido, llegó a avenencia en el acto de conciliación celebrado ante el Centro de Mediación, Arbitraje y Conciliación (CMAC) de Córdoba en fecha 7 de noviembre de 1995, en virtud de la cual la empresa reconocía la improcedencia del despido y se obligaba a abonar al mismo la suma de 1.900.000 pesetas en determinados plazos. </w:t>
      </w:r>
    </w:p>
    <w:p w:rsidR="0025129F" w:rsidRDefault="0025129F" w:rsidP="0025129F">
      <w:pPr>
        <w:pStyle w:val="TextoNormal"/>
      </w:pPr>
      <w:r>
        <w:t xml:space="preserve">b) Habiéndose incumplido parcialmente el citado compromiso, puesto que la empresa dejó de abonar un total de 1.320.000 pesetas, don José Luque Flores solicitó la ejecución de lo convenido mediante escrito presentado el 24 de abril de 1997. </w:t>
      </w:r>
    </w:p>
    <w:p w:rsidR="0025129F" w:rsidRDefault="0025129F" w:rsidP="0025129F">
      <w:pPr>
        <w:pStyle w:val="TextoNormal"/>
      </w:pPr>
      <w:r>
        <w:t xml:space="preserve">c) El Juzgado de lo Social núm. 1 de Córdoba dictó Auto en fecha 7 de mayo de 1998 por el que se declaraba a la empresa ejecutada "INCAMASA, S.A.", insolvente total en dicho procedimiento. </w:t>
      </w:r>
    </w:p>
    <w:p w:rsidR="0025129F" w:rsidRDefault="0025129F" w:rsidP="0025129F">
      <w:pPr>
        <w:pStyle w:val="TextoNormal"/>
      </w:pPr>
      <w:r>
        <w:t xml:space="preserve">d) El recurrente tuvo conocimiento de que las entidades financieras "Banco Urquijo, S.A." y "Caja Rural de Córdoba, S.C.A." se habían adjudicado la totalidad de los bienes que comprendían la empresa deudora "INCAMASA, S.A.", produciéndose una subrogación empresarial, y de que dichas entidades financieras ya habían sido condenadas solidariamente con la empresa en otros procesos, promovidos por trabajadores de dicha empresa, por Sentencias de los Juzgados de lo Social núm. 1 y 2 de Córdoba de 7 y 27 de julio de 1998. Por tal motivo, mediante escrito presentado el 27 de abril de 1999, solicitó al Juzgado continuar con la ejecución, mediante la extensión de la responsabilidad a las dos entidades financieras que entendía se habían subrogado empresarialmente en las obligaciones de "INCAMASA, S.A." </w:t>
      </w:r>
    </w:p>
    <w:p w:rsidR="0025129F" w:rsidRDefault="0025129F" w:rsidP="0025129F">
      <w:pPr>
        <w:pStyle w:val="TextoNormal"/>
      </w:pPr>
      <w:r>
        <w:t xml:space="preserve">e) Por providencia de 29 de abril de 1999, el Juzgado declaró no haber lugar a lo solicitado, "toda vez que el título ejecutivo que sirvió para tramitar la ejecución es sólo contra la empresa INCAMASA". </w:t>
      </w:r>
    </w:p>
    <w:p w:rsidR="0025129F" w:rsidRDefault="0025129F" w:rsidP="0025129F">
      <w:pPr>
        <w:pStyle w:val="TextoNormal"/>
      </w:pPr>
      <w:r>
        <w:t xml:space="preserve">f) El trabajador recurrió en reposición dicha providencia al amparo del art. 184.1 LPL, por entender que era contraria a Derecho, ya que en fase de ejecución era posible solicitar la extensión de responsabilidad a empresas subrogadas y porque, al no haberlo entendido así el Juzgado en su providencia de 29 de abril de 1999, se habían infringido los arts. 44 y 51.11 del Estatuto de los Trabajadores. En particular, alegaba que era lógico que el título ejecutivo sólo condenara a la empresa INCAMASA, ya que si se trataba de una extensión de responsabilidad por vía de ejecución contra empresas no directamente obligadas, estas empresas nunca habrían figurado en el título que sirvió de base a la ejecución, pues de otra </w:t>
      </w:r>
      <w:r>
        <w:lastRenderedPageBreak/>
        <w:t xml:space="preserve">forma no se pediría la extensión, sino la ejecución en sus propios términos. En el escrito se añadía que lo discutido era si una obligación contraída por una empresa podía extenderse posteriormente a otras, en fase de ejecución, cuando se han subrogado en las obligaciones de la primera por concurrir el presupuesto de los arts. 44 y 51.11 LET. Asimismo, se reconocía que el aspecto procesal no era pacífico en la doctrina de los Tribunales, pero se aportaba una Sentencia de la Sala de lo Social del Tribunal Superior de Andalucía con sede en Sevilla, de 15-9-1997, y se citaba otra del Tribunal Superior de Justicia de Cataluña, en las que ya se había mantenido que la extensión de la responsabilidad por subrogación debía hacerse a través de un incidente de ejecución y no mediante el ejercicio de una acción declarativa o incluso de condena en un proceso ordinario. Finalmente, se alegaba que la falta de motivación de la providencia vulneraba el art. 24.1 CE. </w:t>
      </w:r>
    </w:p>
    <w:p w:rsidR="0025129F" w:rsidRDefault="0025129F" w:rsidP="0025129F">
      <w:pPr>
        <w:pStyle w:val="TextoNormal"/>
      </w:pPr>
      <w:r>
        <w:t>g) Mediante providencia dictada el 10 de mayo de 1999, notificada el día 14 siguiente, el Juzgado de lo Social núm. 1 de Córdoba resolvió que "no citándose la disposición de la Ley de Procedimiento Laboral ni de Enjuiciamiento Civil que ha sido infringida, se declara de plano y sin ulterior recurso no haber lugar a proveer respecto al recurso de reposición que se formula".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Contra dicha providencia el recurrente interpuso recurso de amparo alegando vulneración del derecho fundamental a obtener tutela judicial efectiva consagrado en el art. 24.1 CE. </w:t>
      </w:r>
    </w:p>
    <w:p w:rsidR="0025129F" w:rsidRDefault="0025129F" w:rsidP="0025129F">
      <w:pPr>
        <w:pStyle w:val="TextoNormal"/>
      </w:pPr>
      <w:r>
        <w:t>El recurrente afirma, en primer lugar, que se ha vulnerado su derecho de acceso a los recursos, pues si en lugar de inadmitir el recurso de reposición, como se ha hecho, se hubiera desestimado el mismo por motivos de fondo, y ello mediante un Auto, cabría haber interpuesto un recurso de suplicación por ir en contra de lo ejecutoriado en virtud de lo establecido en el art. 189.2 de la Ley de Procedimiento Laboral. Ahora bien, al haberse inadmitido "de plano y sin ulterior recurso" el recurso de reposición, la providencia ha conculcado ese derecho fundamental a obtener la tutela judicial efectiva. Además, entiende que la "fundamentación" de la providencia (la falta de cita de precepto procesal infringido) es evidente que resulta incorrecta, toda vez que, dado que el recurso de reposición abordaba claramente una cuestión sustantiva y no trataba de combatir ninguna cuestión procesal que hubiera sido infringida por el Juzgado en la providencia contra la que se interpuso, mal podía citarse como infringido un precepto que no lo había sido. Al respecto recuerda la doctrina del Tribunal Constitucional para supuestos similares al que se contempla en este recurso (SSTC 113/1986, 69/1987, 162/1990, 213/1993, 199/1997, 4/1998) y en la que se declara que el último inciso del art. 377 de la Ley de Enjuiciamiento Civil ha de ser interpretado "de conformidad con el sentido y finalidad del precepto, de forma que, como cabe impugnar una misma resolución por razones no sólo de forma, sino también de fondo, en este último caso se convierte en inútil la cita del precepto procesal que no ha sido infringido o cuestionado", y que la Ley de Enjuiciamiento Civil "sólo habrá de ser citada expresamente cuando el motivo de impugnación tenga naturaleza procesal, porque afirmar lo contrario significaría obligar al recurrente a citar imaginarios preceptos procesales infringidos. Por consiguiente, cuando el recurso se fundamente exclusivamente en la infracción de preceptos sustantivos, no existe obligación alguna de citar normas procesales que no han sido vulneradas" (STC 4/1998). Por todo ello, solicita de este Tribunal que se le reconozca su derecho a la tutela judicial efectiva, se anule la providencia dictada el 10 de mayo de 1999 por el Juez de lo Social núm. 1 de Córdoba, y se retrotraigan las actuaciones al momento anterior al de dictarse la misma a fin de que se pronuncie sobre el recurso de reposición interpuesto.</w:t>
      </w:r>
    </w:p>
    <w:p w:rsidR="0025129F" w:rsidRDefault="0025129F" w:rsidP="0025129F">
      <w:pPr>
        <w:pStyle w:val="TextoNormal"/>
      </w:pPr>
    </w:p>
    <w:p w:rsidR="0025129F" w:rsidRDefault="0025129F" w:rsidP="0025129F">
      <w:pPr>
        <w:pStyle w:val="TextoNormal"/>
      </w:pPr>
      <w:r w:rsidRPr="0025129F">
        <w:rPr>
          <w:rStyle w:val="NumeroAFNegritaCaracter"/>
        </w:rPr>
        <w:t>4</w:t>
      </w:r>
      <w:r>
        <w:t>. Tras conceder un plazo de diez días al recurrente para presentar copias de la providencia de 29 de abril de 1999 dictada por el Juzgado de lo Social núm. 1 de Córdoba, el 5 de mayo de 2000, la Sección Primera dictó providencia por la que acordó admitir a trámite la demanda presentada y, en aplicación de lo dispuesto en el art. 51 LOTC, dirigir atenta comunicación al Juzgado de lo Social núm. 1 de Córdoba para que en el plazo de diez días remitiera testimonio de los autos núm. 504/97 y de la ejecutoria 128/97. Al propio tiempo, se interesó que se emplazara a quienes hubiesen sido parte en el procedimiento, a excepción de la parte recurrente en amparo, para que pudieran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Por diligencia de ordenación de 7 de septiembre de 2000, la Sala Primera de este Tribunal tuvo por personados y partes a los Procuradores de los Tribunales don José Luis Pinto Marabotto y don Manuel Lanchares Larre, en nombre y representación de "Caja Rural de Córdoba, S.C.A." y "Banco Urquijo, S.A.", y acordó dar vista de las actuaciones recibidas a todas las partes personadas y al Ministerio Fiscal por plazo común de veinte días, a fin de que pudieran presentar las alegaciones que, en su caso, estimaran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20 de septiembre de 2000, el Ministerio Fiscal interesó que se estime el amparo solicitado. </w:t>
      </w:r>
    </w:p>
    <w:p w:rsidR="0025129F" w:rsidRDefault="0025129F" w:rsidP="0025129F">
      <w:pPr>
        <w:pStyle w:val="TextoNormal"/>
      </w:pPr>
      <w:r>
        <w:t>El Ministerio Fiscal comienza recordando la doctrina de este Tribunal sobre el derecho a la tutela judicial efectiva en su vertiente de acceso al recurso, así como la relativa a que la exigencia establecida en el art. 377 LEC tiene únicamente sentido cuando el recurso de reposición se fundamenta en infracciones de carácter procesal, pero no cuando se fundamenta en motivos sustantivos o de fondo, ya que, en tal caso, al no fundarse el recurso en ningún precepto de carácter procesal, el cumplimiento de esta exigencia legal resulta imposible; imposibilidad que obliga a considerar que exigir su cumplimiento constituye una interpretación irrazonable por desproporcionada y contraria al art. 24.1 CE (SSTC 161/2000 y 205/2000). Sobre esta base, entiende que el recurso de reposición del recurrente, en el que se solicitaba la continuación de la ejecución contra dos entidades financieras por entender que había una subrogación empresarial, cumple los requisitos exigidos por la doctrina de este Tribunal para otorgar el amparo, al tratarse de un escrito que combatía la anterior resolución del Juzgado por motivos de fondo, atinentes a la existencia de una subrogación empresarial, siendo de aplicación el art. 44 y 51 LET, y que no perseguía denunciar, en consecuencia, la vulneración de ningún precepto procesal.</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13 de septiembre de 2000, don José Luis Pinto Marabotto, Procurador de los Tribunales y de la de "Caja Rural de Córdoba, S.C.A.", comunicó a este Tribunal que esta entidad iba a ser asistida por el Letrado don Francisco Navarrete Casas. Por escrito de 3 de octubre del mismo año dicha entidad presentó alegaciones solicitando la denegación del amparo solicitado. Tras realizar algunas consideraciones sobre la cuestión de fondo pero de legalidad ordinaria y negar la existencia de la subrogación empresarial pretendida, aduce que, al no existir pronunciamiento judicial sobre el fondo del asunto en torno a la subrogación, el recurso de reposición interpuesto contra la providencia mal podía combatir el fondo de la cuestión. En particular, señala que la citada resolución no entraba a analizar la procedencia o improcedencia de la pretendida extensión de responsabilidad, por lo que no puede decirse que la resolución se recurriera por razones sustantivas, cuando la citada </w:t>
      </w:r>
      <w:r>
        <w:lastRenderedPageBreak/>
        <w:t>resolución no está basada en ninguna norma de derecho material que permita su impugnación; máxime cuando lo pretendido con la impugnación era sustituir la providencia por un Auto que le permitiera acceder a un recurso de suplicación, tal y como reconoce el propio demandante de amparo. Concluye señalando que es de aplicación la doctrina de este Tribunal alegada por el recurrente, pero en sentido contrario, pues la resolución que se impugna no ha entrado para nada en el fondo del asunto, sino que ha rechazado la petición del reclamante por razones estrictamente de índole procesal, con cita de la STC 64/1998, de 17 de marzo.</w:t>
      </w:r>
    </w:p>
    <w:p w:rsidR="0025129F" w:rsidRDefault="0025129F" w:rsidP="0025129F">
      <w:pPr>
        <w:pStyle w:val="TextoNormal"/>
      </w:pPr>
    </w:p>
    <w:p w:rsidR="0025129F" w:rsidRDefault="0025129F" w:rsidP="0025129F">
      <w:pPr>
        <w:pStyle w:val="TextoNormal"/>
      </w:pPr>
      <w:r w:rsidRPr="0025129F">
        <w:rPr>
          <w:rStyle w:val="NumeroAFNegritaCaracter"/>
        </w:rPr>
        <w:t>8</w:t>
      </w:r>
      <w:r>
        <w:t>. Por escrito registrado el 2 de octubre de 2000, don Manuel Lanchares Larre, Procurador de los Tribunales y de "Banco Urquijo, S.A.", compareció ante este Tribunal y presentó sus alegaciones oponiéndose al otorgamiento del amparo solicitado por el recurrente. En su escrito deja constancia de que no ha sido parte en el procedimiento judicial en el que se dictó la providencia recurrida en amparo, sin que tenga nada que ver la indefensión que haya podido sufrir el recurrente con otras resoluciones judiciales que se han pronunciado como consecuencia de la adquisición por "Banco Urquijo, S.A.", y Caja Rural de Córdoba de ciertos inmuebles propiedad de INCAMASA, en el ejercicio de una acción judicial provocada por el incumplimiento de un préstamo por parte de la entidad hipotecante, como demuestra el hecho de que las resoluciones citadas por el recurrente hayan sido revocadas en suplicación. Al entender que, en consecuencia, es parte en el procedimiento sólo como consecuencia del emplazamiento efectuado por este Tribunal, entiende que no es procedente efectuar alegaciones a favor o en contra de la petición formulada, ya que ni se beneficia ni perjudica de la misma.</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7 de marzo de 2002 se acordó señalar para la deliberación y votación de esta Sentencia el siguiente día 11.</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Una vez más se suscita por vía de amparo constitucional la cuestión, aquí contraída al proceso laboral en fase de ejecución, del alcance de la exigencia contenida en el art. 377 de la Ley de Enjuiciamiento Civil, a la sazón aplicable, de la cita o mención expresa, en el recurso de reposición contra providencias dictadas por los Juzgados, de los preceptos de dicha Ley que se reputan infringidos por tales resoluciones judiciales. En el caso, la providencia de 29 de abril de 1999, del Juzgado de lo Social núm. 1 de Córdoba, denegó la solicitud del trabajador ejecutante, Sr. Luque Flores, demandante de amparo, de extender la ejecución dineraria de su crédito (al resultar fallida su efectividad frente al deudor inicial, la empresa para la que prestó servicios, INCAMASA) a las entidades financieras a las que se atribuía la sucesión empresarial y consiguiente subrogación en la deuda ("Banco Urquijo, S.A.", y "Caja Rural de Córdoba, S.C.A."). Tal denegación se fundó, escuetamente, en que "el título ejecutivo que sirvió para tramitar la ejecución es sólo contra la empresa INCAMASA". Contra dicha providencia, denegatoria de la solicitud de extensión de la ejecución a las citadas entidades financieras, el ejecutante promovió, conforme a lo prevenido en el art. 184.1 de la Ley de Procedimiento Laboral (en adelante, LPL), el oportuno recurso de reposición, regido en cuanto a su tramitación por las normas de la Ley procesal civil (art. 186 de la LPL), recayendo a dicho recurso de reposición la providencia de 10 de mayo de 1999, por la que se inadmite el mismo de plano y sin ulterior recurso, por no citarse </w:t>
      </w:r>
      <w:r>
        <w:lastRenderedPageBreak/>
        <w:t>"la disposición de la Ley de Procedimiento Laboral ni de Enjuiciamiento Civil que ha sido infringida".</w:t>
      </w:r>
    </w:p>
    <w:p w:rsidR="0025129F" w:rsidRDefault="0025129F" w:rsidP="0025129F">
      <w:pPr>
        <w:pStyle w:val="TextoNormal"/>
      </w:pPr>
      <w:r>
        <w:t>Se aduce por el demandante en amparo que esta resolución judicial inadmisoria contraviene su derecho fundamental de acceso al recurso (art. 24.1 CE), al exigir de manera rigorista y desproporcionada el indicado requisito del art. 377 LEC, siendo así que la discrepancia versaba sobre una cuestión sustantiva o material, como era la asignación de la cualidad de ejecutados, en el incidente al efecto sustanciado ante el Juzgado de lo Social, a las entidades financieras que, por la alegada sucesión empresarial, se habrían subrogado en la deuda dineraria cuya efectividad se pretendía por el trabajador ejecutante, el ahora demandante de amparo. Se afirma por éste, en consecuencia, la inexigibilidad del requisito formal de la cita expresa de precepto procesal, conforme a una consolidada doctrina constitucional, con la consiguiente lesión del derecho fundamental por impedírsele el acceso a los recursos legalmente previstos.</w:t>
      </w:r>
    </w:p>
    <w:p w:rsidR="0025129F" w:rsidRDefault="0025129F" w:rsidP="0025129F">
      <w:pPr>
        <w:pStyle w:val="TextoNormal"/>
      </w:pPr>
      <w:r>
        <w:t>Este parecer es compartido por el Ministerio Fiscal, por entender que la cita de preceptos de carácter procesal no es requisito exigible cuando, como aquí ocurre, la resolución judicial es impugnada por motivos sustantivos o de fondo, como son los atinentes a la alegada subrogación empresarial en la posición del deudor originario, por lo que era bastante para fundar formalmente la reposición la cita expresa de los arts. 44 y 51.11 del Estatuto de los Trabajadores (en adelante, LET), contenida en el escrito de interposición del indicado recurso.</w:t>
      </w:r>
    </w:p>
    <w:p w:rsidR="0025129F" w:rsidRDefault="0025129F" w:rsidP="0025129F">
      <w:pPr>
        <w:pStyle w:val="TextoNormal"/>
      </w:pPr>
    </w:p>
    <w:p w:rsidR="0025129F" w:rsidRDefault="0025129F" w:rsidP="0025129F">
      <w:pPr>
        <w:pStyle w:val="TextoNormal"/>
      </w:pPr>
      <w:r w:rsidRPr="0025129F">
        <w:rPr>
          <w:rStyle w:val="NumeroAFNegritaCaracter"/>
        </w:rPr>
        <w:t>2</w:t>
      </w:r>
      <w:r>
        <w:t>. Para abordar esta cuestión debe recordarse que es doctrina constitucional reiterada que, salvo en los recursos penales, en el acceso a los recursos legalmente establecidos no resulta de aplicación como canon de constitucionalidad el principio pro actione entendido como "interdicción de aquellas decisiones de inadmisión que por su rigorismo, por su formalismo excesivo o por cualquier otra razón revelen una clara desproporción entre los fines que aquellas causas preservan y los intereses que sacrifican" (STC 88/1997, de 17 de marzo). El derecho de acceso a los recursos constituye una vertiente del derecho fundamental a la tutela judicial efectiva que, por ser un derecho de configuración legal, se encuentra en su ejercicio condicionado al cumplimiento de los requisitos legalmente establecidos para ello, de suerte que la valoración de su cumplimiento o incumplimiento corresponde en exclusiva a los Tribunales ordinarios y la decisión de inadmisión sólo puede ser revisada por este Tribunal en los casos en que la apreciación de la causa se haya llevado a cabo de forma inmotivada, irrazonable o arbitraria, incursa en error de hecho patente o como consecuencia de una interpretación rigorista y excesivamente formal que quiebre la proporción entre la finalidad del requisito incumplido y las consecuencias para el derecho fundamental (SSTC 162/1995, de 7 de noviembre; 38/1996, de 11 de marzo; 160/1996, de 15 de octubre; 93/1997, de 8 de mayo; 112/1997, de 3 de junio; y 207/1998, de 26 de octubre, entre otras).</w:t>
      </w:r>
    </w:p>
    <w:p w:rsidR="0025129F" w:rsidRDefault="0025129F" w:rsidP="0025129F">
      <w:pPr>
        <w:pStyle w:val="TextoNormal"/>
      </w:pPr>
      <w:r>
        <w:t xml:space="preserve">Sobre esta base, hemos declarado que, precisamente, este último impedimento puede producirse en algunos de los casos en los que la inadmisión del recurso de reposición se justifica en la ausencia de cita del precepto procesal infringido, como disponía el art. 377 de la anterior LEC y respecto del que este Tribunal se ha pronunciado en numerosas ocasiones. La doctrina que se ha sentado en esta materia señala la necesidad de interpretar el último inciso del mencionado art. 377 LEC ("y citarse la disposición de esta Ley que haya sido infringida") de conformidad con el sentido o finalidad del precepto, de forma que, dado que cabe impugnar una misma resolución por razones no sólo de forma, sino también de fondo, la "disposición de esta Ley" a la que se refería el art. 377 de la propia Ley de </w:t>
      </w:r>
      <w:r>
        <w:lastRenderedPageBreak/>
        <w:t>Enjuiciamiento Civil sólo había de ser citada expresamente cuando el motivo impugnatorio revestía naturaleza procesal, pues afirmar lo contrario significaría obligar al recurrente a citar imaginarios preceptos procesales infringidos. En consecuencia, cuando el recurso de reposición se fundamente exclusivamente en la infracción de preceptos sustantivos, no existe obligación alguna de citar normas procesales que no han sido vulneradas. En tales casos, la inadmisión del recurso vulnera el art. 24.1 CE, porque la exigencia de un requisito pensado para otra finalidad rompe la correspondencia entre aquélla y las consecuencias que se siguen para el derecho a la tutela judicial efectiva, produciendo un resultado desproporcionado e injustificado como consecuencia de una aplicación inadecuada de la exigencia legal. Así lo hemos declarado, entre otras muchas y por citar las más recientes, en las SSTC 10/1999, de 8 de febrero; 100/1999, de 31 de mayo; 213/1999, de 29 de noviembre; 221/1999, de 29 de noviembre; 9/2000, de 17 de enero; 205/2000, de 24 de julio, y 233/2001, de 10 de diciembre.</w:t>
      </w:r>
    </w:p>
    <w:p w:rsidR="0025129F" w:rsidRDefault="0025129F" w:rsidP="0025129F">
      <w:pPr>
        <w:pStyle w:val="TextoNormal"/>
      </w:pPr>
    </w:p>
    <w:p w:rsidR="0025129F" w:rsidRDefault="0025129F" w:rsidP="0025129F">
      <w:pPr>
        <w:pStyle w:val="TextoNormal"/>
      </w:pPr>
      <w:r w:rsidRPr="0025129F">
        <w:rPr>
          <w:rStyle w:val="NumeroAFNegritaCaracter"/>
        </w:rPr>
        <w:t>3</w:t>
      </w:r>
      <w:r>
        <w:t>. A diferencia de otros casos sometidos a nuestro enjuiciamiento, el presente no presenta contornos claros y precisos que determinen una aplicación simple, por mera traslación, de la doctrina constitucional antes enunciada.  Habremos, pues, de efectuar algunas concreciones, relativas a las circunstancias concurrentes, antes de emitir nuestro pronunciamiento.</w:t>
      </w:r>
    </w:p>
    <w:p w:rsidR="0025129F" w:rsidRDefault="0025129F" w:rsidP="0025129F">
      <w:pPr>
        <w:pStyle w:val="TextoNormal"/>
      </w:pPr>
      <w:r>
        <w:t>Ha de tenerse en cuenta, en primer término, que si bien la pretensión ejecutiva del trabajador que hoy nos demanda amparo planteaba al Juzgado de lo Social un problema de índole material o sustantiva, cual era el de la extensión de la responsabilidad del empresario originario (la empresa INCAMASA, como deudora ejecutada) a otros, como sucesores empresariales de ésta y subrogados en la relación obligacional (tal como las entidades financieras de constante referencia: "Banco Urquijo, S.A." y "Caja Rural de Córdoba, S.C.A."), si bien, decimos, era ésta la cuestión de fondo sometida al Juzgado de lo Social núm. 1 de Córdoba, no cabe olvidar que el propio ejecutante partía de la premisa de que tal pretensión podía ser ejercitada, como cauce procesal idóneo, en el incidente de ejecución iniciado en virtud de su solicitud (rectius: de su acción ejecutiva), premisa de orden procesal que aquél respaldaba con invocación de la Sentencia dictada, el 15 de septiembre de 1997, por la Sala de lo Social del Tribunal Superior de Justicia de Andalucía, con sede en Sevilla, al efecto aportada a las actuaciones.</w:t>
      </w:r>
    </w:p>
    <w:p w:rsidR="0025129F" w:rsidRDefault="0025129F" w:rsidP="0025129F">
      <w:pPr>
        <w:pStyle w:val="TextoNormal"/>
      </w:pPr>
      <w:r>
        <w:t>Pues bien, así las cosas, la respuesta denegatoria del órgano jurisdiccional a tal pretensión ejecutiva de extensión de responsabilidad de la deuda dineraria impagada a otros empresarios, supuestamente subrogados en la misma se producía en los literales y escuetos términos ya expuestos, y que ahora recordamos: "toda vez que el título ejecutivo que sirvió para tramitar la ejecución es sólo contra la empresa INCAMASA". Esta tan escueta como imprecisa dicción permite razonablemente entender que el rechazo a la pretensión de llamar al procedimiento ejecutivo a las mencionadas entidades financieras no lo fundó el órgano jurisdiccional, de modo claro y unívoco, en la improcedencia de que en dicho cauce procesal pudiera tal pretensión ser solventada.</w:t>
      </w:r>
    </w:p>
    <w:p w:rsidR="0025129F" w:rsidRDefault="0025129F" w:rsidP="0025129F">
      <w:pPr>
        <w:pStyle w:val="TextoNormal"/>
      </w:pPr>
      <w:r>
        <w:t xml:space="preserve">Así las cosas, el órgano judicial, al resolver la cuestión planteada por el trabajador ejecutante en los indicados términos, impidió la prosecución de la vía ejecutiva, cancelada mediante la declaración de insolvencia total de la empresa ejecutada, "INCAMASA, S.A.", y que aquél intentaba reabrir con su pretensión de extensión de responsabilidad a que venimos aludiendo. Se hallan, pues, en el presente caso entrelazadas dos cuestiones de diferente naturaleza: el aspecto procesal de la adecuación del incidente de ejecución para formular una tal pretensión y la dimensión sustantiva, o de fondo, de si se había realmente </w:t>
      </w:r>
      <w:r>
        <w:lastRenderedPageBreak/>
        <w:t>producido una sucesión empresarial de las entidades financieras en el lugar del inicial empresario ejecutado, de tal manera que ambos aspectos concurrían al momento de interponer el recurso de reposición frente a la providencia denegatoria de 29 de abril de 1999. Siendo ello así, la exigencia formal de la cita expresa del precepto infringido de la Ley de Enjuiciamiento Civil, o de la de Procedimiento Laboral, entendiendo insuficiente la mención expresa en dicho recurso de los arts. 44 y 51.11 del Estatuto de los Trabajadores, a los efectos de admitir y sustanciar el recurso de reposición formulado, no resulta acomodada a la finalidad que inspira el art. 377 LEC, incurriendo por ello en un rigorismo formal excesivo y desproporcionado, con la consiguiente lesión del art. 24.1 CE, en su vertiente de derecho de acceso a los recursos legalmente previstos.</w:t>
      </w:r>
    </w:p>
    <w:p w:rsidR="0025129F" w:rsidRDefault="0025129F" w:rsidP="0025129F">
      <w:pPr>
        <w:pStyle w:val="TextoNormal"/>
      </w:pPr>
    </w:p>
    <w:p w:rsidR="0025129F" w:rsidRDefault="0025129F" w:rsidP="0025129F">
      <w:pPr>
        <w:pStyle w:val="TextoNormal"/>
      </w:pPr>
      <w:r w:rsidRPr="0025129F">
        <w:rPr>
          <w:rStyle w:val="NumeroAFNegritaCaracter"/>
        </w:rPr>
        <w:t>4</w:t>
      </w:r>
      <w:r>
        <w:t>. No es obstáculo a la conclusión así alcanzada el argumento invocado por "Caja Rural de Córdoba, S.C.A." en sus alegaciones, de que la providencia impugnada en reposición no implicaba un pronunciamiento judicial sobre el fondo del asunto, es decir, sobre la procedencia o no de la pretendida sucesión empresarial, por lo que la reposición se fundaba realmente en la infracción de un precepto de naturaleza procesal (si bien no cita ni concreta precepto alguno la entidad financiera compareciente), concluyendo en la corrección jurídica de la exigencia formal de dicho requisito de cita o mención expresa de un precepto de dicha naturaleza o carácter.</w:t>
      </w:r>
    </w:p>
    <w:p w:rsidR="0025129F" w:rsidRDefault="0025129F" w:rsidP="0025129F">
      <w:pPr>
        <w:pStyle w:val="TextoNormal"/>
      </w:pPr>
      <w:r>
        <w:t>Pues bien, importa a estos efectos discernir lo que es una cuestión procedimental de lo que constituyen problemas o cuestiones procesales propiamente dichas, con el fin de esclarecer la finalidad de la exigencia del controvertido requisito, partiendo de los antecedentes del precepto de la Ley de Enjuiciamiento Civil (en la versión anterior a la vigente Ley 1/2000, de 7 de enero) en que tal exigencia se contiene, y de la línea emprendida por nuestra STC 225/1999, de 13 de diciembre.</w:t>
      </w:r>
    </w:p>
    <w:p w:rsidR="0025129F" w:rsidRDefault="0025129F" w:rsidP="0025129F">
      <w:pPr>
        <w:pStyle w:val="TextoNormal"/>
      </w:pPr>
      <w:r>
        <w:t>En efecto, la redacción del art. 376 LEC, antes de su modificación por la Ley 34/1984, de 6 de agosto, establecía en su primer párrafo que "Contra las providencias de mera tramitación que dicten los Jueces de primera instancia no se dará otro recurso que el de reposición, sin perjuicio del cual se llevará a efecto la providencia". Era el segundo párrafo del precepto el que disponía: "Para que sea admisible este recurso deberá interponerse dentro del tercer día y citarse la disposición de esta Ley que haya sido infringida". Finalmente, el último párrafo del indicado precepto determinaba la inadmisión del recurso ("no haber lugar a proveer") si se incumplían alguno de estos dos requisitos. Pues bien, la reforma operada por la citada Ley 34/1984 se refiere en el art. 376 tan sólo a las providencias, y prescribe en el art. 377 los dos indicados requisitos, con idéntica consecuencia de que su falta determina inadmisión de plano y sin ulterior recurso. Con ello, y aunque la redacción vigente aluda genéricamente a las providencias, sin especificar las de mera tramitación, se parte de que este tipo de resoluciones (art. 369 LEC y art. 245.1.a) LOPJ) se constriñen a ordenar trámites procedimentales, tal como vienen dispuestos para los diversos procesos por concretas normas de dicha Ley de enjuiciar, y ello explica la exigencia de su cita concreta y expresa, pues solamente conociendo el Juez el trámite infringido, es decir, la violación procedimental cometida, podrá en su caso corregirla y seguir el trámite prescrito por la Ley, avanzando en el pleito conforme a lo en ella dispuesto.</w:t>
      </w:r>
    </w:p>
    <w:p w:rsidR="0025129F" w:rsidRDefault="0025129F" w:rsidP="0025129F">
      <w:pPr>
        <w:pStyle w:val="TextoNormal"/>
      </w:pPr>
      <w:r>
        <w:t>En tal sentido, cuando el contenido de la providencia cuya revisión se pretende mediante el recurso de reposición trascienda este ámbito de lo estrictamente procedimental o adjetivo, que tiene su correlato normativo en los concretos preceptos que pautan los diversos trámites por los que se desarrolla el pleito y, excediendo este concreto ámbito, decida sobre cuestiones sustantivas o materiales, o bien se pronuncie sobre aspectos de índole pro</w:t>
      </w:r>
      <w:r>
        <w:lastRenderedPageBreak/>
        <w:t>cesal pero no limitadas a la ordenación del procedimiento, la exigencia del requisito formal de la cita expresa del precepto o disposición de la Ley de Enjuiciamiento Civil (o de la correspondiente Ley reguladora del proceso, en este caso la de Procedimiento Laboral) no se acomoda a la finalidad inspiradora del mencionado requisito y carece de sentido o razón de ser, pues en tales casos no nos hallamos ante una eventual infracción cometida por una resolución judicial encaminada a la ordenación del procedimiento (providencias de mera tramitación, en la terminología del art. 376 en su inicial redacción), sino ante resoluciones judiciales recaídas en materias o aspectos que no encuentran su correlato normativo en concretas disposiciones de la Ley Procesal aplicable.</w:t>
      </w:r>
    </w:p>
    <w:p w:rsidR="0025129F" w:rsidRDefault="0025129F" w:rsidP="0025129F">
      <w:pPr>
        <w:pStyle w:val="TextoNormal"/>
      </w:pPr>
    </w:p>
    <w:p w:rsidR="0025129F" w:rsidRDefault="0025129F" w:rsidP="0025129F">
      <w:pPr>
        <w:pStyle w:val="TextoNormal"/>
      </w:pPr>
      <w:r w:rsidRPr="0025129F">
        <w:rPr>
          <w:rStyle w:val="NumeroAFNegritaCaracter"/>
        </w:rPr>
        <w:t>5</w:t>
      </w:r>
      <w:r>
        <w:t>. Habida cuenta de ello, y por lo que al caso enjuiciado concierne, el aspecto o dimensión procesal, en sentido estricto, en la que se enmarcaba la pretensión ejecutiva de extensión de responsabilidad formulada por el trabajador que pide amparo no era otra sino la de determinar si tal pretensión podía eficazmente ejercitarse en el seno del propio incidente de ejecución en su día iniciado, o si aquélla había de reconducirse por la vía del correspondiente proceso declarativo regulado en la Ley de Procedimiento Laboral; alternativa ésta, así enunciada, que muestra con claridad que su dilucidación excede de los límites de lo meramente procedimental en el sentido antes expresado, y reviste suficiente entidad para concluir que no estaba en controversia una resolución judicial de trámite o de carácter procedimental meramente adjetivo, sino la de una opción entre cauces procesales alternativos, en relación instrumental con la cuestión de fondo o sustantiva -extensión de responsabilidad a terceros subrogados en la deuda que intentaba hacerse definitiva-, de tal modo que su decisión no aparece vinculada por la aplicación de concretos preceptos o disposiciones contenidos en la Ley de Procedimiento Laboral ni en la supletoria Ley de Enjuiciamiento Civil aplicable al caso, de los que pudiera predicarse su eventual infracción.</w:t>
      </w:r>
    </w:p>
    <w:p w:rsidR="0025129F" w:rsidRDefault="0025129F" w:rsidP="0025129F">
      <w:pPr>
        <w:pStyle w:val="TextoNormal"/>
      </w:pPr>
      <w:r>
        <w:t>En conclusión, procede otorgar el amparo que se recaba, por cuanto la inadmisión del recurso de reposición promovido por el Sr. Luque Flores, con base en la exigencia del requisito formal controvertido, produjo un resultado desproporcionado e injustificado, con el resultado de indefensión, lesionando su derecho fundamental a la tutela judicial efectiva (art. 24.1 CE), en la vertiente o proyección del derecho de acceso del litigante a los recursos legalmente previstos.</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José Luque Flores y, en su virtud:</w:t>
      </w:r>
    </w:p>
    <w:p w:rsidR="0025129F" w:rsidRDefault="0025129F" w:rsidP="0025129F">
      <w:pPr>
        <w:pStyle w:val="TextoNormal"/>
      </w:pPr>
      <w:r>
        <w:t>1º Reconocer al recurrente su derecho a la tutela judicial efectiva (art. 24.1 CE).</w:t>
      </w:r>
    </w:p>
    <w:p w:rsidR="0025129F" w:rsidRDefault="0025129F" w:rsidP="0025129F">
      <w:pPr>
        <w:pStyle w:val="TextoNormal"/>
      </w:pPr>
      <w:r>
        <w:t>2º Anular la providencia del Juzgado de lo Social núm. 1 de Córdoba de 10 de mayo de 1999, dictada en los autos 504/97, ejecución 128/97.</w:t>
      </w:r>
    </w:p>
    <w:p w:rsidR="0025129F" w:rsidRDefault="0025129F" w:rsidP="0025129F">
      <w:pPr>
        <w:pStyle w:val="TextoNormal"/>
      </w:pPr>
      <w:r>
        <w:t>3º Retrotraer las actuaciones al momento procesal anterior al de dictarse tal providencia, a fin de que por dicho Juzgado se proceda a tramitar el recurso de reposición interpuesto por el demandante de amparo contra la providencia de 29 de abril de 1999.</w:t>
      </w:r>
    </w:p>
    <w:p w:rsidR="0025129F" w:rsidRDefault="0025129F" w:rsidP="0025129F">
      <w:pPr>
        <w:pStyle w:val="TextoNormal"/>
      </w:pPr>
    </w:p>
    <w:p w:rsidR="0025129F" w:rsidRDefault="0025129F" w:rsidP="0025129F">
      <w:pPr>
        <w:pStyle w:val="TextoNormal"/>
      </w:pPr>
      <w:r>
        <w:lastRenderedPageBreak/>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6" w:name="SENTENCIA_2002_63"/>
      <w:r>
        <w:lastRenderedPageBreak/>
        <w:t>SENTENCIA 63/2002, de 11 de marzo de 2002</w:t>
      </w:r>
    </w:p>
    <w:bookmarkEnd w:id="66"/>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ECLI:ES:TC:2002:63</w:t>
      </w:r>
    </w:p>
    <w:p w:rsidR="0025129F" w:rsidRDefault="0025129F" w:rsidP="0025129F">
      <w:pPr>
        <w:pStyle w:val="SntesisDescriptiva"/>
      </w:pPr>
    </w:p>
    <w:p w:rsidR="0025129F" w:rsidRDefault="0025129F" w:rsidP="0025129F">
      <w:pPr>
        <w:pStyle w:val="SntesisDescriptiva"/>
      </w:pPr>
      <w:r>
        <w:t>Recurso de amparo 4185/1999. Promovido por el Consejo General de Colegios de Diplomados en Enfermería de España frente a los Autos de la Audiencia Provincial de Valencia y de un Juzgado de Instrucción que sobreseyeron unas diligencias por delito de falsedad en documento público.</w:t>
      </w:r>
    </w:p>
    <w:p w:rsidR="0025129F" w:rsidRDefault="0025129F" w:rsidP="0025129F">
      <w:pPr>
        <w:pStyle w:val="SntesisDescriptiva"/>
      </w:pPr>
    </w:p>
    <w:p w:rsidR="0025129F" w:rsidRDefault="0025129F" w:rsidP="0025129F">
      <w:pPr>
        <w:pStyle w:val="SntesisAnaltica"/>
      </w:pPr>
      <w:r>
        <w:t>Vulneración del derecho a la tutela judicial efectiva (acción penal): titularidad de derechos fundamentales por las corporaciones de Derecho público; sobreseimiento de una causa por falsedad electoral tras la anulación de las elecciones en sede contencioso-administrativa.</w:t>
      </w:r>
    </w:p>
    <w:p w:rsidR="0025129F" w:rsidRDefault="0025129F" w:rsidP="0025129F">
      <w:pPr>
        <w:pStyle w:val="SntesisAnaltica"/>
      </w:pPr>
    </w:p>
    <w:p w:rsidR="0025129F" w:rsidRDefault="0025129F" w:rsidP="0025129F">
      <w:pPr>
        <w:pStyle w:val="Extracto"/>
      </w:pPr>
      <w:r>
        <w:t>1.</w:t>
      </w:r>
      <w:r>
        <w:tab/>
        <w:t>La existencia o no de una infracción penal sólo puede ser determinada en un proceso penal. Afirmar la posibilidad de que un procedimiento penal pierda su objeto por haberse dictado resolución en un proceso contencioso-administrativo implica la subversión de la prioridad y supremacía del orden y jurisdicción penal que se desprende del diseño constitucional (art. 25 CE) [FJ 4].</w:t>
      </w:r>
    </w:p>
    <w:p w:rsidR="0025129F" w:rsidRDefault="0025129F" w:rsidP="0025129F">
      <w:pPr>
        <w:pStyle w:val="Extracto"/>
      </w:pPr>
    </w:p>
    <w:p w:rsidR="0025129F" w:rsidRDefault="0025129F" w:rsidP="0025129F">
      <w:pPr>
        <w:pStyle w:val="Extracto"/>
      </w:pPr>
      <w:r>
        <w:t>2.</w:t>
      </w:r>
      <w:r>
        <w:tab/>
        <w:t>Este Tribunal incurriría en exceso de formalismo si admitiese como decisiones motivadas y razonadas aquellas que parten de premisas inexistentes o patentemente erróneas (STC 214/1999) [FJ 4].</w:t>
      </w:r>
    </w:p>
    <w:p w:rsidR="0025129F" w:rsidRDefault="0025129F" w:rsidP="0025129F">
      <w:pPr>
        <w:pStyle w:val="Extracto"/>
      </w:pPr>
    </w:p>
    <w:p w:rsidR="0025129F" w:rsidRDefault="0025129F" w:rsidP="0025129F">
      <w:pPr>
        <w:pStyle w:val="Extracto"/>
      </w:pPr>
      <w:r>
        <w:t>3.</w:t>
      </w:r>
      <w:r>
        <w:tab/>
        <w:t>El ejercicio de la acción penal no comporta, en el marco del art. 24.1 CE, un derecho incondicionado a la apertura y plena substanciación del proceso penal ( SSTC 148/1987, 178/2001) [FJ 3].</w:t>
      </w:r>
    </w:p>
    <w:p w:rsidR="0025129F" w:rsidRDefault="0025129F" w:rsidP="0025129F">
      <w:pPr>
        <w:pStyle w:val="Extracto"/>
      </w:pPr>
    </w:p>
    <w:p w:rsidR="0025129F" w:rsidRDefault="0025129F" w:rsidP="0025129F">
      <w:pPr>
        <w:pStyle w:val="Extracto"/>
      </w:pPr>
      <w:r>
        <w:t>4.</w:t>
      </w:r>
      <w:r>
        <w:tab/>
        <w:t>La posición procesal de la corporación de Derecho público fue equivalente a la de las personas privadas, dado que acudió en defensa de un interés propio y legítimo, siendo en estos casos las personas jurídicas públicas titulares del derecho a la tutela judicial efectiva sin indefensión (STC 175/2001)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4185/99, promovido por el Consejo General de Colegios de Diplomados en Enfermería de España, representado por la Procuradora de los Tribunales doña Mercedes Marín Iribarren y asistido por el Letrado don Francisco Corpas Arce, contra el Auto de la Sección Primera de la Audiencia Provincial de Valencia, de 21 de junio de 1999, dictado en el rollo de apelación núm. 272/99, y contra el Auto del Juzgado de Instrucción núm. 9 de Valencia, de 14 de mayo de 1999, recaído en las diligencias previas núm. 518/98, que acordó el sobreseimiento y archivo de las actuaciones. Han intervenido el Ministerio Fiscal y el Colegio Oficial de Enfermería de Valencia, representado por el Procurador de los Tribunales don Manuel Sánchez-Puelles y González-Carvajal y asistido por el Letrado don Esteban Mestre Delgado.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11 de octubre de 1999, doña Mercedes Marín Iribarren, Procuradora de los Tribunales, en nombre y representación del Consejo General de Colegios de Diplomados en Enfermería de España, interpuso demanda de amparo contra el Auto de la Sección Primera de la Audiencia Provincial de Valencia de 21 de junio de 1999, que resolvió en apelación el recurso planteado contra el Auto de 14 de mayo de 1999 del Juzgado de Instrucción núm. 9 de Valencia, que acordó el sobreseimiento y archivo de las diligencias previas núm. 518/98, seguidas en dicho Juzgado por delito de falsedad en documento público.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y circunstancias procesales más relevantes para la resolución del presente amparo son los que a continuación se detallan: </w:t>
      </w:r>
    </w:p>
    <w:p w:rsidR="0025129F" w:rsidRDefault="0025129F" w:rsidP="0025129F">
      <w:pPr>
        <w:pStyle w:val="TextoNormal"/>
      </w:pPr>
      <w:r>
        <w:t xml:space="preserve">a) Por Acuerdo del Colegio de Enfermería de Valencia de 11 de febrero de 1997 se convocaron elecciones para la renovación parcial de cargos de su Junta de Gobierno. Varios colegiados recurrieron dicho Acuerdo en vía contencioso-administrativa al amparo de la Ley 62/1978, de protección jurisdiccional de los derechos fundamentales de la persona, obteniendo Sentencia estimatoria de la Sección Primera de la Sala de lo Contencioso-Administrativo del Tribunal Superior de Justicia de la Comunidad de Valencia de 17 de febrero de 1998. El fundamento de esta resolución residió en la vulneración de los arts. 14 y 22 CE, dado que el procedimiento establecido en el Acuerdo impugnado no permitía presentar candidaturas en condiciones de igualdad a todos los colegiados. Aunque el Colegio de Enfermería de Valencia preparó el recurso de casación contra dicha Sentencia, en sesión del 12 de marzo de 1998 el Colegio acordó desistir del recurso, alcanzando firmeza la Sentencia del Tribunal Superior de Justicia. </w:t>
      </w:r>
    </w:p>
    <w:p w:rsidR="0025129F" w:rsidRDefault="0025129F" w:rsidP="0025129F">
      <w:pPr>
        <w:pStyle w:val="TextoNormal"/>
      </w:pPr>
      <w:r>
        <w:t>b) El 7 de enero de 1998 tuvo entrada en el Juzgado de Instrucción núm. 7 de Valencia la querella presentada por doña Rosario Arroyo Cabria, Procuradora de los Tribunales, en nombre del Consejo General de Colegios de Diplomados en Enfermería de España, por presunto delito de falsedad en documento público contra diversos colegiados del Colegio de Enfermería de Valencia, al haber recibido una denuncia de algunos colegiales sobre la posible manipulación de los votos emitidos por correo en el proceso electoral iniciado por el Acuerdo de 11 de febrero de 1997 y recibidos en dicho Colegio hasta abril de 1997, fecha en la que estaban previstas las elecciones. Esta querella fue admitida a trámite, dan</w:t>
      </w:r>
      <w:r>
        <w:lastRenderedPageBreak/>
        <w:t xml:space="preserve">do lugar a la apertura de las diligencias previas núm. 518/98 en el Juzgado de Instrucción núm. 9 de Valencia. </w:t>
      </w:r>
    </w:p>
    <w:p w:rsidR="0025129F" w:rsidRDefault="0025129F" w:rsidP="0025129F">
      <w:pPr>
        <w:pStyle w:val="TextoNormal"/>
      </w:pPr>
      <w:r>
        <w:t xml:space="preserve">c) El Juzgado de Instrucción dictó Auto de 14 de mayo de 1999 por el que acordó el sobreseimiento y archivo de las actuaciones con base en los siguientes razonamientos: </w:t>
      </w:r>
    </w:p>
    <w:p w:rsidR="0025129F" w:rsidRDefault="0025129F" w:rsidP="0025129F">
      <w:pPr>
        <w:pStyle w:val="TextoNormal"/>
      </w:pPr>
      <w:r>
        <w:t xml:space="preserve">"I. HECHOS/... Realizada la instrucción de la causa no existen elementos que acrediten la realización del ilícito penal". </w:t>
      </w:r>
    </w:p>
    <w:p w:rsidR="0025129F" w:rsidRDefault="0025129F" w:rsidP="0025129F">
      <w:pPr>
        <w:pStyle w:val="TextoNormal"/>
      </w:pPr>
      <w:r>
        <w:t xml:space="preserve">II. FUNDAMENTOS JURÍDICOS/... Los presuntos delitos que se imputan se realizaron en el proceso electoral convocado por el Colegio Oficial de Enfermería de Valencia en sesión de 11 de febrero de 1997 de la Junta de Gobierno./La Sección Primera de la Sala de lo Contencioso-Administrativo del Tribunal Superior de Justicia de la Comunidad Valenciana ha dictado Sentencia en autos de 617/97, declarando nula y sin efecto la convocatoria electoral. En consecuencia, la presente causa carece de objeto./ Atendiendo a lo dispuesto en el art. 789-5-1 procederá acordar el sobreseimiento y archivo de las actuaciones." </w:t>
      </w:r>
    </w:p>
    <w:p w:rsidR="0025129F" w:rsidRDefault="0025129F" w:rsidP="0025129F">
      <w:pPr>
        <w:pStyle w:val="TextoNormal"/>
      </w:pPr>
      <w:r>
        <w:t xml:space="preserve">d) Recurrida en apelación ante la Audiencia Provincial por el querellante, la Sección Primera de la Audiencia Provincial de Valencia confirmó la resolución recurrida en Auto de 21 de julio de 1999 con la siguiente fundamentación: </w:t>
      </w:r>
    </w:p>
    <w:p w:rsidR="0025129F" w:rsidRDefault="0025129F" w:rsidP="0025129F">
      <w:pPr>
        <w:pStyle w:val="TextoNormal"/>
      </w:pPr>
      <w:r>
        <w:t>"Pretende el apelante en esta alzada que se revoque el sobreseimiento y archivo de las actuaciones dispuesto en la resolución recurrida, de 14 de mayo de 1999, por entender que se ha infringido el artículo 24.1 de la Constitución Española, así como se ha incurrido en una indebida aplicación de lo preceptuado en el artículo 789.5 de la Ley de Enjuiciamiento Criminal. Se trata en el presente supuesto, de la comisión de un delito continuado de falsedad en documento público del artículo 390.3 del Código Penal, al haberse practicado un fraude electoral por parte de los querellados. No obstante, el auto recurrido no entraba en el fondo de la cuestión suscitada, sino que hacía referencia a que los hechos por los que se abrieron estas Diligencias Previas, se produjeron en un proceso electoral convocado por el Colegio Oficial de Enfermería de Valencia, en sesión de 11 de febrero de 1997, convocatoria que ha sido anulada y dejada sin efecto por Sentencia dictada por la Sala Primera de lo Contencioso-Administrativo del Tribunal Superior de Justicia de esta comunidad, en autos 617/97, por lo que en plena conformidad con el Auto de instrucción que se recurre, se debe entender que 'la presente causa carece de objeto', y por ello ha de prosperar el sobreseimiento y el consiguiente archivo de las actuaciones".</w:t>
      </w:r>
    </w:p>
    <w:p w:rsidR="0025129F" w:rsidRDefault="0025129F" w:rsidP="0025129F">
      <w:pPr>
        <w:pStyle w:val="TextoNormal"/>
      </w:pPr>
    </w:p>
    <w:p w:rsidR="0025129F" w:rsidRDefault="0025129F" w:rsidP="0025129F">
      <w:pPr>
        <w:pStyle w:val="TextoNormal"/>
      </w:pPr>
      <w:r w:rsidRPr="0025129F">
        <w:rPr>
          <w:rStyle w:val="NumeroAFNegritaCaracter"/>
        </w:rPr>
        <w:t>3</w:t>
      </w:r>
      <w:r>
        <w:t>. El demandante de amparo alega la vulneración del derecho a la tutela judicial efectiva sin indefensión (art. 24.1 CE), entendiendo que las resoluciones impugnadas han negado su derecho a la acción penal sin una fundamentación fundada en Derecho. Argumenta, en primer término, que si, como las resoluciones reconocen expresamente haber hecho, no se entra en el fondo de la cuestión suscitada, no se puede aplicar el art. 789.5.1 LECrim. En segundo término, se sostiene que la fundamentación jurídica de los Autos recurridos es totalmente insostenible y contraria a Derecho, ya que la anulación de la convocatoria de elecciones por el Tribunal Superior de Justicia de la Comunidad Valenciana no puede conllevar que la causa penal carezca de objeto. Ello es así por cuanto el Derecho penal es una disciplina autónoma tanto en el establecimiento de sus presupuestos, como en la fijación de sus consecuencias, que tiene prioridad sobre los demás campos del Derecho. De modo que la revocación de unos actos administrativos ni priva ni puede privar de punición a los hechos cometidos con ocasión de los mismos, pues el criterio mantenido por las resoluciones recurridas llevaría al absurdo de dejar a la suerte de los órganos administrativos la exoneración de la responsabilidad penal.</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29 de enero de 2001, la Sección Segunda de este Tribunal acordó admitir a trámite la demanda de amparo y, a tenor de lo dispuesto en el art. 51 LOTC, requerir a la Sección Primera de la Audiencia Provincial de Valencia y al Juzgado de Instrucción núm. 9 de dicha capital para que, en el plazo de diez días, remitiesen, respectivamente, testimonio del rollo de apelación núm. 272/99 y de las diligencias previas núm. 518/98, interesándose al propio tiempo el emplazamiento de quienes hubieran sido parte en el mencionado procedimiento, con excepción del recurrente de amparo, para que, en el plazo de diez días, pudieran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Por diligencia de ordenación de la Secretaria de Justicia de la Sala Primera de este Tribunal de 23 de abril de 2001 se tuvieron por recibidos los testimonios de las actuaciones solicitados, por personado y parte al Procurador don Manuel Sánchez-Puelles y González-Carvajal en nombre y representación del Ilustre Colegio Oficial de Enfermería de Valencia y, a tenor de lo dispuesto en el art. 52 LOTC, dar vista de las actuaciones, en la Secretaria de la Sala, por plazo común de veinte días, al Ministerio Fiscal y a los Procuradores doña Mercedes Marín Iribarren y don Manuel Sánchez-Puelles y González-Carvajal, para que, dentro de dicho término, efectuaren las alegaciones que estimaren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Por escrito registrado en este Tribunal el 23 de mayo de 2001, en trámite de alegaciones, la Procuradora doña Mercedes Marín Iribarren, en nombre del Consejo General de Colegios de Diplomados en Enfermería de España, reiteró las pretensiones de la demanda y su fundamentación.</w:t>
      </w:r>
    </w:p>
    <w:p w:rsidR="0025129F" w:rsidRDefault="0025129F" w:rsidP="0025129F">
      <w:pPr>
        <w:pStyle w:val="TextoNormal"/>
      </w:pPr>
    </w:p>
    <w:p w:rsidR="0025129F" w:rsidRDefault="0025129F" w:rsidP="0025129F">
      <w:pPr>
        <w:pStyle w:val="TextoNormal"/>
      </w:pPr>
      <w:r w:rsidRPr="0025129F">
        <w:rPr>
          <w:rStyle w:val="NumeroAFNegritaCaracter"/>
        </w:rPr>
        <w:t>7</w:t>
      </w:r>
      <w:r>
        <w:t>. Por escrito registrado en este Tribunal el 23 de mayo de 2001, el Procurador don Manuel Sánchez-Puelles y González-Carvajal,en nombre del Ilustre Colegio Oficial de Enfermería de Valencia, en trámite de alegaciones, instó la desestimación de la demanda. Se argumenta que la demanda plantea una cuestión de legalidad ordinaria, la aplicación indebida del art. 789.5.1 LECrim, y que, con ello se pretende la revisión de la decisión judicial por el Tribunal Constitucional como si se tratara de una tercera instancia, que no es. Con abundante y precisa cita de jurisprudencia constitucional, se sostiene que la demanda aduce un derecho a la obtención de una Sentencia sobre el fondo del asunto que no existe en nuestro ordenamiento, como tampoco existiría un derecho incondicionado a la apertura y plena sustanciación del proceso penal. Se razona también que el derecho de acceso al proceso tampoco ampararía la pretensión de mantener un proceso abierto, y menos una causa penal, a discreción de quien lo inicia o impulsa. En definitiva, se sostiene que las resoluciones recurridas en amparo habrían valorado "correcta y motivadamente las pruebas practicadas, y aplicaron con idéntica corrección técnica el Derecho, justificando de manera precisa las causas exactas por las que procedía el sobreseimiento y archivo de las actuaciones".</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escrito registrado en este Tribunal el 24 de mayo de 2001, el Ministerio Fiscal, interesó la desestimación de la demanda de amparo con base en los siguientes argumentos. Solicita, en primer término, la integración de la fundamentación del Auto que decretó el sobreseimiento y archivo de las actuaciones con la de otro Auto dictado el mismo día. A juicio del Fiscal, debe integrarse porque es la fundamentación que, conforme al mismo Auto, lleva a concluir la causa, porque es la argumentación que se discute en el recurso de </w:t>
      </w:r>
      <w:r>
        <w:lastRenderedPageBreak/>
        <w:t>apelación interpuesto y que se defiende en las alegaciones del Colegio de Enfermería de Valencia, y porque es, finalmente, la argumentación basada en la declaración de nulidad del procedimiento electoral que confirma la Audiencia Provincial. Sostiene, además, el Fiscal que la fundamentación del sobreseimiento de las actuaciones consistente en que la declaración de nulidad del procedimiento electoral deja inexistentes y sin efecto jurídico alguno todos los actos de ese procedimiento cumple los requisitos para que haya existido una efectiva tutela judicial para el querellante. De un lado, argumenta el Ministerio Fiscal que la determinación del alcance de los supuestos de existencia, nulidad y anulabilidad en el Derecho Administrativo y su influencia para los requisitos del delito de falsedad constituye una cuestión de legalidad ordinaria que compete a Jueces y Tribunales ex art. 117.3 CE. De otro, afirma que esta argumentación no es arbitraria, irrazonable o manifiestamente errónea. En su opinión, "una inexistencia radical a efectos jurídicos y una total falta de efectos jurídicos de los actos del proceso electoral, conlleva que no se ha podido lesionar ni poner en peligro el tráfico jurídico" que constituiría el bien jurídico protegido en este delito, según jurisprudencia reiterada de la Sala Segunda del Tribunal Supremo. En definitiva, la argumentación de la demanda de amparo sobre el alcance penal que estima que debe darse a la Sentencia de la jurisdicción contencioso-administrativa se dirige a lograr un pronunciamiento del Tribunal Constitucional sobre materia de legalidad ordinaria, convirtiéndolo en una tercera instancia, lo que ha sido reprobado por este Tribunal de forma reiterada.</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7 de marzo de 2002 se señaló para deliberación y votación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se dirige contra el Auto de la Sección Primera de la Audiencia Provincial de Valencia de 21 de junio de 1999, que resolvió en apelación el recurso planteado contra el Auto de 14 de mayo de 1999 del Juzgado de Instrucción núm. 9 de la citada ciudad, que acordó el sobreseimiento y archivo de las diligencias previas núm. 518/98, seguidas en dicho Juzgado por delito de falsedad en documento público. El demandante de amparo alega la vulneración del derecho a la tutela judicial efectiva de sus legítimos intereses (art. 24.1 CE) por entender que el fundamento de las decisiones impugnadas, consistente en la pérdida de objeto del proceso penal, no constituye una resolución fundada en Derecho. A dicha pretensión de amparo se oponen tanto el Ministerio Fiscal como el Colegio Oficial de Enfermería de Valencia, como se ha dejado constancia en los antecedentes.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El examen de la pretensión de la demanda requiere precisar, en primer término, que, si bien el demandante de amparo, el Consejo General de Colegios Diplomados en Enfermería, es una Corporación de Derecho público --art. 9.1 de la Ley 2/1974, de 13 de febrero, de Colegios Profesionales-, de dicha naturaleza no deriva en el caso analizado restricción alguna del contenido del derecho a la tutela judicial efectiva sin indefensión (art. 24.1 CE). Pues, de un lado, como este Tribunal ha declarado, estas Corporaciones tienen una naturaleza mixta --pública y privada-, dado que persiguen tanto fines privados como públicos (STC 89/1999, de 11 de mayo, FJ 4). De otro, ha de tenerse en cuenta que la posición procesal de la misma en el procedimiento penal fue equivalente a la de las personas </w:t>
      </w:r>
      <w:r>
        <w:lastRenderedPageBreak/>
        <w:t>privadas, dado que al mismo acudió en defensa de un interés propio y legítimo, siendo en estos casos las personas jurídicas públicas titulares del derecho a la tutela judicial efectiva sin indefensión sin restricciones (por todas STC 175/2001, de 26 de julio, FJ 8). En efecto, ello deriva de los hechos mismos por los que se querelló el demandante de amparo -la presunta falsificación de votos emitidos por correo en un proceso de elecciones a la Junta de Gobierno de uno de los Colegios de Enfermería-, y su conexión con los fines y funciones de los Consejos Generales de Colegios Profesionales --arts. 5 y 9.1 de la Ley 2/1974, de 13 de febrero, de Colegios Profesionales-. Al instar el procedimiento penal para la depuración de las eventuales responsabilidades penales en que habrían incurrido algunos miembros de la Junta de Gobierno del Colegio de Enfermería de Valencia en el proceso de elecciones, el Consejo General actuó en defensa de sus propios intereses no sólo al defender el interés de los colegiados que denunciaron los hechos en el correcto funcionamiento del Colegio de Valencia, sino también el suyo propio como Consejo General de Colegios de Diplomados en Enfermería.</w:t>
      </w:r>
    </w:p>
    <w:p w:rsidR="0025129F" w:rsidRDefault="0025129F" w:rsidP="0025129F">
      <w:pPr>
        <w:pStyle w:val="TextoNormal"/>
      </w:pPr>
      <w:r>
        <w:t>Por otra parte, hemos de precisar asimismo que, aunque el órgano judicial no efectuó pronunciamiento expreso sobre el tipo de acción ejercitada en el procedimiento penal por el Consejo General de Colegios de Diplomados en Enfermería, ha de entenderse que el Juzgado de Instrucción consideró al hoy demandante de amparo acusación particular, ya que no le impuso la fianza requerida por los arts. 280 y 281 LECrim para quien ejercita la acción popular y excluida por los citados preceptos legales tan sólo para quien, por ser el perjudicado por el delito, ejercita la acusación particular. Por consiguiente, no resulta de aplicación al caso la doctrina constitucional sobre el ámbito limitado de protección constitucional de la acción popular en el marco del art.  24.1 CE (por todas, SSTC 50/1998, de 2 de marzo, FFJJ 4 y 5, y 64/1999, de 26 de abril, FFJJ 3 y 4).</w:t>
      </w:r>
    </w:p>
    <w:p w:rsidR="0025129F" w:rsidRDefault="0025129F" w:rsidP="0025129F">
      <w:pPr>
        <w:pStyle w:val="TextoNormal"/>
      </w:pPr>
    </w:p>
    <w:p w:rsidR="0025129F" w:rsidRDefault="0025129F" w:rsidP="0025129F">
      <w:pPr>
        <w:pStyle w:val="TextoNormal"/>
      </w:pPr>
      <w:r w:rsidRPr="0025129F">
        <w:rPr>
          <w:rStyle w:val="NumeroAFNegritaCaracter"/>
        </w:rPr>
        <w:t>3</w:t>
      </w:r>
      <w:r>
        <w:t>. Una vez realizadas estas precisiones, que sitúan la demanda que hemos de enjuiciar en el contexto del derecho a la tutela judicial efectiva de quien ejerce privadamente la acción penal como acusación particular, hemos de realizar una ulterior puntualización. En el caso analizado, no se trata de que el órgano judicial haya denegado la personación del Consejo General de Colegios de Enfermería en el proceso penal, ni tampoco de que haya inadmitido la querella por otras razones, puesto que la querella se admitió y el procedimiento estuvo abierto algo más de un año, practicándose algunas diligencias instructoras. Por consiguiente, no nos encontramos ante la impugnación de una resolución de denegación del acceso a la jurisdicción, sino ante la impugnación de una resolución que pone fin de forma anticipada al procedimiento penal. En este contexto, procede recordar que ni la Constitución otorga un derecho a obtener condenas penales (entre muchas, SSTC 199/1996, de 3 de diciembre, FJ 5; 41/1997, de 10 de marzo, FJ 4, y 163/2001, de 11 de julio, FJ 2), ni puede confundirse el derecho a la jurisdicción penal, como instrumento para la aplicación del ius puniendi, con el derecho material a penar, de exclusiva naturaleza pública y cuya titularidad corresponde al Estado (SSTC 157/1990, de 18 de octubre, FJ 4; 31/1996, de 27 de febrero, FJ 10, y 115/2001, de 10 de mayo, FJ 11).</w:t>
      </w:r>
    </w:p>
    <w:p w:rsidR="0025129F" w:rsidRDefault="0025129F" w:rsidP="0025129F">
      <w:pPr>
        <w:pStyle w:val="TextoNormal"/>
      </w:pPr>
      <w:r>
        <w:t xml:space="preserve">Hemos de reiterar que el ejercicio de la acción penal no comporta en el marco del art. 24.1 CE un derecho incondicionado a la apertura y plena substanciación del proceso penal, sino sólo a obtener un pronunciamiento motivado del Juez en la fase instructora sobre la calificación jurídica que le merecen los hechos, expresando las razones por las que inadmite su tramitación, o acuerda el sobreseimiento y archivo de las actuaciones. De modo que las exigencias derivadas del derecho a la tutela judicial efectiva se verán satisfechas por la resolución de inadmisión si se fundamenta de forma razonable en la exclusión ab </w:t>
      </w:r>
      <w:r>
        <w:lastRenderedPageBreak/>
        <w:t>initio del carácter delictivo de los hechos imputados, y, si se admite la querella, por la resolución que acuerda la terminación anticipada del proceso penal, sin apertura de la fase de plenario, en caso de que se sustente razonablemente en la concurrencia de los motivos legalmente previstos de sobreseimiento libre o provisional de conformidad con los arts. 637, 641 y 789.5.1 LECrim (entre otras muchas, SSTC 148/1987, de 28 de septiembre, FJ 2; 175/1989, de 30 de octubre, FJ1; 297/1994, de 14 de noviembre, FJ 6; 111/1995, de 4 de julio, FJ 3; 31/1996, de 27 de febrero, FJ 10; 177/1996, de 11 de noviembre, FJ 11; 138/1997, de 4 de junio, FJ 5; 115/2001, de 10 de mayo, FJ 11; 129/2001, de 4 de junio, FJ 2, y 178/2001, de 17 de septiembre, FJ 2.b).</w:t>
      </w:r>
    </w:p>
    <w:p w:rsidR="0025129F" w:rsidRDefault="0025129F" w:rsidP="0025129F">
      <w:pPr>
        <w:pStyle w:val="TextoNormal"/>
      </w:pPr>
    </w:p>
    <w:p w:rsidR="0025129F" w:rsidRDefault="0025129F" w:rsidP="0025129F">
      <w:pPr>
        <w:pStyle w:val="TextoNormal"/>
      </w:pPr>
      <w:r w:rsidRPr="0025129F">
        <w:rPr>
          <w:rStyle w:val="NumeroAFNegritaCaracter"/>
        </w:rPr>
        <w:t>4</w:t>
      </w:r>
      <w:r>
        <w:t>. De lo aquí expuesto se deduce que el análisis de la demanda de amparo se ciñe a la cuestión de si las resoluciones judiciales de terminación anticipada del procedimiento penal se fundaron de forma razonable, no arbitraria, ni incursa en error patente en alguna de las causas legalmente previstas en los arts. 637, 641, o, en su caso, 789.5.1 LECrim. A tal efecto, es obligado partir de la motivación expresa de dichas resoluciones, que, como ha quedado dicho en los antecedentes, en sus respectivos fundamentos jurídicos únicos se refieren a la pérdida de objeto del procedimiento penal debido a que se había dictado Sentencia por la jurisdicción contencioso- administrativa anulando la convocatoria de elecciones a la Junta de Gobierno del Colegio de Enfermería de Valencia.</w:t>
      </w:r>
    </w:p>
    <w:p w:rsidR="0025129F" w:rsidRDefault="0025129F" w:rsidP="0025129F">
      <w:pPr>
        <w:pStyle w:val="TextoNormal"/>
      </w:pPr>
      <w:r>
        <w:t>El Auto del Juzgado de Instrucción núm. 9 de Valencia de 14 de mayo de 1999 se limitó a decir lo siguiente en su fundamento jurídico único: "Los presuntos delitos que se imputan se realizaron en el proceso electoral convocado por el Colegio Oficial de Enfermería de Valencia en sesión de 11 de febrero de 1997 de la Junta de Gobierno. La Sección Primera de la Sala de lo Contencioso-Administrativo del Tribunal Superior de Justicia de la Comunidad Valenciana ha dictado Sentencia en autos 617/97, declarando nula y sin efecto la convocatoria electoral. En consecuencia la presente causa carece de objeto. Atendiendo a lo dispuesto en el art.  789-5-1 procederá acordar el sobreseimiento y archivo de las actuaciones."</w:t>
      </w:r>
    </w:p>
    <w:p w:rsidR="0025129F" w:rsidRDefault="0025129F" w:rsidP="0025129F">
      <w:pPr>
        <w:pStyle w:val="TextoNormal"/>
      </w:pPr>
      <w:r>
        <w:t>Por su parte, el Auto de la Sección Primera de la Audiencia Provincial desestimó el recurso de apelación del Consejo General de Colegios de Diplomados en Enfermería de España, razonando su "plena conformidad con el Auto de instrucción que se recurre", por lo que "se debe entender que 'la presente causa carece de objeto', y por ello ha de prosperar el sobreseimiento y el consiguiente archivo de las actuaciones."</w:t>
      </w:r>
    </w:p>
    <w:p w:rsidR="0025129F" w:rsidRDefault="0025129F" w:rsidP="0025129F">
      <w:pPr>
        <w:pStyle w:val="TextoNormal"/>
      </w:pPr>
      <w:r>
        <w:t>El demandante sostiene que se le ha privado de una resolución sobre el fondo de la pretensión suscitada y que, sin entrar en el fondo de la misma, no puede aplicarse el art. 789.5.1. LECrim. Alega, de otra parte, que la pérdida de objeto del procedimiento penal en curso, en atención a la anulación del proceso electoral en el marco del cual se emitieron los votos cuya falsedad se imputa, no constituye una fundamentación en Derecho, pues el Derecho penal constituye una disciplina autónoma para el establecimiento de sus presupuestos y la fijación de sus consecuencias, que tiene prioridad sobre los demás órdenes jurídicos. En definitiva, la revocación de un acto administrativo ni priva ni puede privar de punición a los hechos cometidos con ocasión de los mismos, pues ello tendría como consecuencia el absurdo de dejar a la suerte de los órganos administrativos la exoneración de la responsabilidad penal.</w:t>
      </w:r>
    </w:p>
    <w:p w:rsidR="0025129F" w:rsidRDefault="0025129F" w:rsidP="0025129F">
      <w:pPr>
        <w:pStyle w:val="TextoNormal"/>
      </w:pPr>
      <w:r>
        <w:t xml:space="preserve">Pues bien, le asiste la razón al recurrente cuando denuncia la irrazonabilidad de la fundamentación dirigida a sustentar el sobreseimiento de la causa en la pérdida de objeto del proceso penal. Como este Tribunal ha declarado en numerosas Sentencias, "para que quepa admitir, desde la perspectiva constitucional, que una resolución judicial está razonada </w:t>
      </w:r>
      <w:r>
        <w:lastRenderedPageBreak/>
        <w:t>es necesario que el razonamiento en ella contenido no sea arbitrario, ni irrazonable, ni incurra en un error patente...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w:t>
      </w:r>
    </w:p>
    <w:p w:rsidR="0025129F" w:rsidRDefault="0025129F" w:rsidP="0025129F">
      <w:pPr>
        <w:pStyle w:val="TextoNormal"/>
      </w:pPr>
      <w:r>
        <w:t>En efecto, si la pérdida de objeto implica la satisfacción de las pretensiones deducidas en el procedimiento, en el caso que aquí analizamos significaría que la pretensión punitiva objeto de la acción penal ejercitada habría sido satisfecha en el proceso contencioso-administrativo, lo que no sólo es incorrecto en el caso concreto a la luz del objeto de aquel procedimiento -tramitado al amparo de la Ley 62/1978, y que ni siquiera era un procedimiento sancionador, sino, como sostiene el demandante de amparo, imposible en abstracto a la luz de la autonomía del Derecho penal y de la autonomía de la pretensión de punición penal.</w:t>
      </w:r>
    </w:p>
    <w:p w:rsidR="0025129F" w:rsidRDefault="0025129F" w:rsidP="0025129F">
      <w:pPr>
        <w:pStyle w:val="TextoNormal"/>
      </w:pPr>
      <w:r>
        <w:t>Pero, además, la existencia o no de una infracción penal sólo puede ser determinada en un proceso penal (arts. 9.3, 10, 44 LOPJ, art. 3 CP), de manera que la mera hipótesis de considerar satisfecha la pretensión de sanción penal en un procedimiento contencioso-administrativo conllevaría la eventual vulneración del derecho al juez predeterminado por la ley, pues éste es siempre uno de los integrados en la jurisdicción penal.</w:t>
      </w:r>
    </w:p>
    <w:p w:rsidR="0025129F" w:rsidRDefault="0025129F" w:rsidP="0025129F">
      <w:pPr>
        <w:pStyle w:val="TextoNormal"/>
      </w:pPr>
      <w:r>
        <w:t>Finalmente, afirmar la posibilidad de que un procedimiento penal pierda su objeto por haberse dictado resolución en un proceso contencioso-administrativo implica la subversión de la prioridad y supremacía del orden y jurisdicción penal que se desprende del diseño constitucional (art. 25 CE) y que se manifiesta, entre otros extremos, en que, si hubiere cuestiones prejudiciales o dos procedimientos sancionadores en curso, son los procedimientos no penales los que, con carácter general, deben paralizarse (art. 10.1 LOPJ).</w:t>
      </w:r>
    </w:p>
    <w:p w:rsidR="0025129F" w:rsidRDefault="0025129F" w:rsidP="0025129F">
      <w:pPr>
        <w:pStyle w:val="TextoNormal"/>
      </w:pPr>
    </w:p>
    <w:p w:rsidR="0025129F" w:rsidRDefault="0025129F" w:rsidP="0025129F">
      <w:pPr>
        <w:pStyle w:val="TextoNormal"/>
      </w:pPr>
      <w:r w:rsidRPr="0025129F">
        <w:rPr>
          <w:rStyle w:val="NumeroAFNegritaCaracter"/>
        </w:rPr>
        <w:t>5</w:t>
      </w:r>
      <w:r>
        <w:t>. Alega el Ministerio Fiscal la necesidad de proceder a la integración de la fundamentación del Auto que decretó el sobreseimiento y archivo de las actuaciones con la de otro Auto del Juzgado de Instrucción núm. 9 de Valencia, dictado también el 14 de mayo de 1999, por el que se dejó sin efecto una providencia y se denegaron diligencias de prueba, un requerimiento y una ampliación de querella. Ahora bien, y con independencia de la razonabilidad de la argumentación del Fiscal sobre la incidencia que pueda tener la anulación del proceso electoral en la posibilidad de lesionar el bien jurídico protegido en el delito de falsedad documental, es lo cierto que dicha razón no ha quedado plasmada expresamente en las resoluciones impugnadas, ni se deduce de ellas de forma implícita completando éstas con el otro Auto dictado por el Juzgado de Instrucción núm. 9 de Valencia el mismo día 14 de mayo de 1999.</w:t>
      </w:r>
    </w:p>
    <w:p w:rsidR="0025129F" w:rsidRDefault="0025129F" w:rsidP="0025129F">
      <w:pPr>
        <w:pStyle w:val="TextoNormal"/>
      </w:pPr>
      <w:r>
        <w:t xml:space="preserve">En este Auto, resolutorio de un recurso de reforma interpuesto contra una providencia denegatoria de pruebas y denegatoria de una ampliación de la querella, el Juzgado, tras señalar los hitos procesales y afirmar que la Sentencia dictada en el recurso contencioso-administrativo había adquirido firmeza dado que, aunque se había preparado el recurso de casación el 10 de marzo de 1998, el Colegio de Enfermería de Valencia había desistido del mismo el 12 de marzo, razona que: "Es por ello que se entiende, al haberse cometido los presuntos delitos que se imputan en dicho proceso electoral, que ha sido declarado nulo, y </w:t>
      </w:r>
      <w:r>
        <w:lastRenderedPageBreak/>
        <w:t>por lo tanto inexistente a efectos jurídicos, la presente causa carece de objeto, y reclama no sólo la denegación de las diligencias, sino el cierre de la propia causa" (FJ 2).</w:t>
      </w:r>
    </w:p>
    <w:p w:rsidR="0025129F" w:rsidRDefault="0025129F" w:rsidP="0025129F">
      <w:pPr>
        <w:pStyle w:val="TextoNormal"/>
      </w:pPr>
      <w:r>
        <w:t>Como es fácil advertir, en el reproducido fundamento jurídico 2 no sólo no se exponen los argumentos apuntados por el Ministerio Fiscal, sino que se razona la pérdida de objeto en que los presuntos delitos se habrían cometido en un proceso electoral declarado nulo por Sentencia contencioso-administrativa. Por ello resulta de aplicación a dicho razonamiento lo anteriormente expuesto, y sólo resta añadir que la Sala Segunda del Tribunal Supremo, en la Sentencia 10 de mayo de 2001, ha confirmado una condena por delito de falsedad en documento público por emisión de votos por correo falsos en unas elecciones a la Junta de Gobierno del Colegio de Enfermería de Barcelona, elecciones que también habían sido anuladas en un proceso contencioso-administrativo.</w:t>
      </w:r>
    </w:p>
    <w:p w:rsidR="0025129F" w:rsidRDefault="0025129F" w:rsidP="0025129F">
      <w:pPr>
        <w:pStyle w:val="TextoNormal"/>
      </w:pPr>
    </w:p>
    <w:p w:rsidR="0025129F" w:rsidRDefault="0025129F" w:rsidP="0025129F">
      <w:pPr>
        <w:pStyle w:val="TextoNormal"/>
      </w:pPr>
      <w:r w:rsidRPr="0025129F">
        <w:rPr>
          <w:rStyle w:val="NumeroAFNegritaCaracter"/>
        </w:rPr>
        <w:t>6</w:t>
      </w:r>
      <w:r>
        <w:t>. Sin embargo, la representación del Colegio de Enfermería de Valencia, que, como ha quedado dicho, interesa la desestimación de la demanda de amparo, alega que los órganos judiciales han valorado la inexistencia de prueba sobre los hechos denunciados y que dicha fundamentación no es ajena a las resoluciones impugnadas.</w:t>
      </w:r>
    </w:p>
    <w:p w:rsidR="0025129F" w:rsidRDefault="0025129F" w:rsidP="0025129F">
      <w:pPr>
        <w:pStyle w:val="TextoNormal"/>
      </w:pPr>
      <w:r>
        <w:t>En efecto, el Auto de 14 de mayo de 1999, de sobreseimiento de la causa, en el apartado "hechos" dice: "Realizada la instrucción de la causa no existen elementos que acrediten la realización del ilícito penal". Sin embargo, de la existencia de dicha expresión en el Auto de 14 de mayo no puede derivarse que el órgano judicial adoptara una resolución de acuerdo con el art. 789.5.1 LECrim. De un lado, tanto su incorrecta ubicación en el apartado correspondiente a los hechos y no a la fundamentación jurídica de la resolución, como su laconismo, evidencian que ni en ella reside el fundamento de la decisión, ni constituye una fundamentación razonada de la misma. Por otra parte, los términos del Auto de la Audiencia Provincial que resolvió la apelación impiden realizar una interpretación del citado párrafo distinta a la que ha quedado expuesta. En efecto, la Audiencia Provincial sostiene que "el Auto recurrido no entraba en el fondo de la cuestión suscitada, sino que hacía referencia a que los hechos por los que se abrieron estas Diligencias Previas se produjeron en un proceso electoral convocado por el Colegio Oficial de Enfermería de Valencia, en sesión de 11 de febrero de 1997, convocatoria que ha sido anulada y dejada sin efecto por Sentencia dictada por la Sala Primera de lo Contencioso-Administrativo del Tribunal Superior de Justicia de esta Comunidad, en autos núm. 617/97, por lo que en plena conformidad con el Auto de instrucción que se recurre, se debe entender que 'la presente causa carece de objeto', y por ello ha de prosperar el sobreseimiento y el consiguiente archivo de las actuaciones". De modo que la interpretación de la Audiencia Provincial de la fundamentación del Auto recurrido no sólo excluye la posibilidad de considerar existente en el párrafo analizado una fundamentación de fondo, en el sentido de la toma en consideración de las causas legalmente previstas para el sobreseimiento, sino que al interpretarlo en dichos términos excluye paralelamente que su propia resolución pueda ser interpretada en tal sentido. Por consiguiente, tal entendimiento del Auto del Juzgado de Instrucción no permitiría en ningún caso salvar la falta de fundamentación del Auto de la Audiencia Provincial también recurrido en amparo.</w:t>
      </w:r>
    </w:p>
    <w:p w:rsidR="0025129F" w:rsidRDefault="0025129F" w:rsidP="0025129F">
      <w:pPr>
        <w:pStyle w:val="TextoNormal"/>
      </w:pPr>
      <w:r>
        <w:t>Por todo ello, hemos de declarar lesionado el derecho a la tutela judicial efectiva sin indefensión del Consejo General de Colegios de Enfermería y anular los Autos recurridos.  Ahora bien, dichas declaración y anulación, naturalmente, no impiden que el órgano judicial pueda adoptar la resolución que estime pertinente a propósito de la continuación o cierre de la causa, siempre que se ajuste al contenido del derecho a la tutela judicial efectiva sin indefensión.</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la presente demanda de amparo, y, en su virtud,</w:t>
      </w:r>
    </w:p>
    <w:p w:rsidR="0025129F" w:rsidRDefault="0025129F" w:rsidP="0025129F">
      <w:pPr>
        <w:pStyle w:val="TextoNormal"/>
      </w:pPr>
      <w:r>
        <w:t>1º Declarar la vulneración del derecho a la tutela judicial efectiva sin indefensión (art. 24.1 CE) del demandante de amparo.</w:t>
      </w:r>
    </w:p>
    <w:p w:rsidR="0025129F" w:rsidRDefault="0025129F" w:rsidP="0025129F">
      <w:pPr>
        <w:pStyle w:val="TextoNormal"/>
      </w:pPr>
      <w:r>
        <w:t>2º Anular el Auto de 14 de mayo de 1999 del Juzgado de Instrucción núm. 9 de Valencia recaído en las diligencias previas núm. 518/98 y el Auto de 21 de junio de 1999 de la Sección Primera de la Audiencia Provincial de Valencia desestimatorio del anterior.</w:t>
      </w:r>
    </w:p>
    <w:p w:rsidR="0025129F" w:rsidRDefault="0025129F" w:rsidP="0025129F">
      <w:pPr>
        <w:pStyle w:val="TextoNormal"/>
      </w:pPr>
      <w:r>
        <w:t>3º Retrotraer las actuaciones al Juzgado de Instrucción núm. 9 de Valencia al momento anterior al de dictar el Auto anulado a los efectos expuestos en el fundamento jurídico sexto de la presente Sentencia.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7" w:name="SENTENCIA_2002_64"/>
      <w:r>
        <w:lastRenderedPageBreak/>
        <w:t>SENTENCIA 64/2002, de 11 de marzo de 2002</w:t>
      </w:r>
    </w:p>
    <w:bookmarkEnd w:id="67"/>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ECLI:ES:TC:2002:64</w:t>
      </w:r>
    </w:p>
    <w:p w:rsidR="0025129F" w:rsidRDefault="0025129F" w:rsidP="0025129F">
      <w:pPr>
        <w:pStyle w:val="SntesisDescriptiva"/>
      </w:pPr>
    </w:p>
    <w:p w:rsidR="0025129F" w:rsidRDefault="0025129F" w:rsidP="0025129F">
      <w:pPr>
        <w:pStyle w:val="SntesisDescriptiva"/>
      </w:pPr>
      <w:r>
        <w:t>Recurso de amparo 3019-2000. Promovido por don Francisco Rodríguez Sánchez y otros frente al Acuerdo de la Mesa del Congreso de los Diputados por el que se denegó la constitución del Grupo Parlamentario Galego (BNG).</w:t>
      </w:r>
    </w:p>
    <w:p w:rsidR="0025129F" w:rsidRDefault="0025129F" w:rsidP="0025129F">
      <w:pPr>
        <w:pStyle w:val="SntesisDescriptiva"/>
      </w:pPr>
    </w:p>
    <w:p w:rsidR="0025129F" w:rsidRDefault="0025129F" w:rsidP="0025129F">
      <w:pPr>
        <w:pStyle w:val="SntesisAnaltica"/>
      </w:pPr>
      <w:r>
        <w:t>Supuesta vulneración del derecho a acceder en condiciones de igualdad a los cargos públicos: respaldo electoral de las distintas formaciones políticas cuyos Diputados forman un grupo parlamentario.</w:t>
      </w:r>
    </w:p>
    <w:p w:rsidR="0025129F" w:rsidRDefault="0025129F" w:rsidP="0025129F">
      <w:pPr>
        <w:pStyle w:val="SntesisAnaltica"/>
      </w:pPr>
    </w:p>
    <w:p w:rsidR="0025129F" w:rsidRDefault="0025129F" w:rsidP="0025129F">
      <w:pPr>
        <w:pStyle w:val="Extracto"/>
      </w:pPr>
      <w:r>
        <w:t>1.</w:t>
      </w:r>
      <w:r>
        <w:tab/>
        <w:t>Mal se compacede con la finalidad del art. 23.1, segundo inciso, del Reglamento del Congreso de los Diputados, en cuanto excepción a la regla general de constitución de grupos parlamentarios, que el porcentaje de votos obtenido por las candidaturas presentadas por una formación política sea utilizado por otros Diputados elegidos en las candidaturas de esa misma formación política para constitutir un grupo parlamentario diferente [FJ 6].</w:t>
      </w:r>
    </w:p>
    <w:p w:rsidR="0025129F" w:rsidRDefault="0025129F" w:rsidP="0025129F">
      <w:pPr>
        <w:pStyle w:val="Extracto"/>
      </w:pPr>
    </w:p>
    <w:p w:rsidR="0025129F" w:rsidRDefault="0025129F" w:rsidP="0025129F">
      <w:pPr>
        <w:pStyle w:val="Extracto"/>
      </w:pPr>
      <w:r>
        <w:t>2.</w:t>
      </w:r>
      <w:r>
        <w:tab/>
        <w:t>Los términos de comparación aportados por los recurrentes no son válidos a efectos del art. 23.2 CE, en su vertiente de derecho a un ejercicio igual de sus funciones dentro de la legalidad parlamentaria [FJ 7].</w:t>
      </w:r>
    </w:p>
    <w:p w:rsidR="0025129F" w:rsidRDefault="0025129F" w:rsidP="0025129F">
      <w:pPr>
        <w:pStyle w:val="Extracto"/>
      </w:pPr>
    </w:p>
    <w:p w:rsidR="0025129F" w:rsidRDefault="0025129F" w:rsidP="0025129F">
      <w:pPr>
        <w:pStyle w:val="Extracto"/>
      </w:pPr>
      <w:r>
        <w:t>3.</w:t>
      </w:r>
      <w:r>
        <w:tab/>
        <w:t>La exigencia del porcentaje de votos que establece el segundo inciso del art. 23.1 RCD debe entenderse referido a las candidaturas presentadas por las formaciones políticas en las circunscripciones en que las que hubieran concurrido a la contienda electoral y en las que han resultado elegidos los Diputados que manifiestan su voluntad de constituir grupo parlamentario (STC 75/1985) [FJ 5].</w:t>
      </w:r>
    </w:p>
    <w:p w:rsidR="0025129F" w:rsidRDefault="0025129F" w:rsidP="0025129F">
      <w:pPr>
        <w:pStyle w:val="Extracto"/>
      </w:pPr>
    </w:p>
    <w:p w:rsidR="0025129F" w:rsidRDefault="0025129F" w:rsidP="0025129F">
      <w:pPr>
        <w:pStyle w:val="Extracto"/>
      </w:pPr>
      <w:r>
        <w:t>4.</w:t>
      </w:r>
      <w:r>
        <w:tab/>
        <w:t>La Mesa de la Cámara, a la vista de los Acuerdos impugnados y de las actas de las sesiones en que fueron adoptados, motivó la aplicación de las normas que limitan el ejercicio de derechos o facultades de los representantes políticos, aunque tal satisfacción formal no basta [FJ 4].</w:t>
      </w:r>
    </w:p>
    <w:p w:rsidR="0025129F" w:rsidRDefault="0025129F" w:rsidP="0025129F">
      <w:pPr>
        <w:pStyle w:val="Extracto"/>
      </w:pPr>
    </w:p>
    <w:p w:rsidR="0025129F" w:rsidRDefault="0025129F" w:rsidP="0025129F">
      <w:pPr>
        <w:pStyle w:val="Extracto"/>
      </w:pPr>
      <w:r>
        <w:t>5.</w:t>
      </w:r>
      <w:r>
        <w:tab/>
        <w:t>Doctrina constitucional sobre el ejercicio de la función representativa parlamentaria (art. 23 CE; SSTC 38/1999, 107/2001, 203/2001)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3019-2000, promovido por Francisco Rodríguez Sánchez, don Guillerme Vázquez Vázquez, don Carlos Ignacio Aymerich Cano, don Josu Erkoreka Gervasio y don Jordi Martí i Galbis, representados por el Procurador de los Tribunales don Jaime Briones Méndez y asistidos por la Letrada doña María José Rodríguez Jiménez, contra el Acuerdo de la Mesa del Congreso de los Diputados, de 17 de abril de 2000, desestimatorio de la solicitud de reconsideración contra el anterior Acuerdo de 12 de abril de 2000, por el que se denegó la constitución del Grupo Parlamentario Galego (BNG). Han comparecido y formulado alegaciones el Congreso de los Diputados, representado por el Letrado de las Cortes Generales don Fernando Sainz Moreno, y el Ministerio Fiscal. Ha actuado como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Registro General del Tribunal Constitucional el día 25 de mayo de 2000, don Jaime Briones Méndez, Procurador de los Tribunales, en nombre y representación de don Francisco Rodríguez Sánchez, don Guillerme Vázquez Vázquez, don Carlos Ignacio Aymerich Cano, don Josu Erkoreka Gervasio y don Jordi Martí i Galbis, interpuso recurso de amparo contra los Acuerdos de la Mesa del Congreso de los Diputados a los que se ha hecho mención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son, sucintamente expuestos, los siguientes: </w:t>
      </w:r>
    </w:p>
    <w:p w:rsidR="0025129F" w:rsidRDefault="0025129F" w:rsidP="0025129F">
      <w:pPr>
        <w:pStyle w:val="TextoNormal"/>
      </w:pPr>
      <w:r>
        <w:t xml:space="preserve">a) En fecha 6 de abril de 2000 don Francisco Rodríguez Sánchez, don Carlos Ignacio Aymerich Cano, Diputados por A Coruña elegidos en la lista del Bloque Nacionalista Galego, don Guillerme Vázquez Vázquez, Diputado por Pontevedra elegido en la lista del Bloque Nacionalista Galego, don Josu Erkoreka Gervasio, Diputado por Vizcaya elegido en la lista del Partido Nacionalista Vasco, y don Jordi Martí i Galbis, Diputado por Barcelona elegido en la lista de Convergencia i Unió, presentaron ante la Mesa del Congreso de los Diputados escrito de constitución del Grupo Parlamentario Galego (BNG), designando como Portavoz titular a don Francisco Rodríguez Sánchez y como adjunto a don Guillerme Vázquez Vázquez. </w:t>
      </w:r>
    </w:p>
    <w:p w:rsidR="0025129F" w:rsidRDefault="0025129F" w:rsidP="0025129F">
      <w:pPr>
        <w:pStyle w:val="TextoNormal"/>
      </w:pPr>
      <w:r>
        <w:t xml:space="preserve">b) La Mesa del Congreso de los Diputados, en su sesión de 12 de abril de 2000, por cinco votos a favor y cuatro en contra, adoptó el Acuerdo de denegar la constitución del Grupo Parlamentario que se pretendía, con base en la motivación que, a continuación, literalmente se transcribe: </w:t>
      </w:r>
    </w:p>
    <w:p w:rsidR="0025129F" w:rsidRDefault="0025129F" w:rsidP="0025129F">
      <w:pPr>
        <w:pStyle w:val="TextoNormal"/>
      </w:pPr>
      <w:r>
        <w:t xml:space="preserve">"...considerando que resulta de aplicación el párrafo segundo del apartado uno del artículo 23 del Reglamento y, en concreto, la regla conforme a la cual pueden formar Grupo Parlamentario los Diputados de una o varias formaciones políticas que, aun sin reunir el </w:t>
      </w:r>
      <w:r>
        <w:lastRenderedPageBreak/>
        <w:t xml:space="preserve">mínimo de quince Diputados, hubieran obtenido un número de escaños no inferior a cinco y, al menos, el quince por ciento de los votos correspondientes a las circunscripciones en que hubieran presentado candidatura; considerando que, conforme a la expresión literal del citado precepto, además de haber obtenido un mínimo de cinco escaños, las formaciones políticas a las que pertenecen los Diputados que pretenden formar Grupo Parlamentario deben cumplir la condición de haber obtenido el quince por ciento de los votos correspondientes a las circunscripciones en que hubieran presentado candidatura; considerando que, en el presente caso, se cumple la primera condición citada, pero no así la segunda, condición que sólo reúne el Bloque Nacionalista Galego en las circunscripciones en que ha presentado candidatura, no siendo posible verificar su cumplimiento respecto de las otras dos formaciones políticas en presencia" </w:t>
      </w:r>
    </w:p>
    <w:p w:rsidR="0025129F" w:rsidRDefault="0025129F" w:rsidP="0025129F">
      <w:pPr>
        <w:pStyle w:val="TextoNormal"/>
      </w:pPr>
      <w:r>
        <w:t xml:space="preserve">c) Los demandantes de amparo solicitaron la reconsideración del Acuerdo de la Mesa del Congreso de los Diputados de 12 de abril de 2000, por el que se denegó la constitución del Grupo Parlamentario Galego (BNG), invocando como vulnerados los derechos fundamentales reconocidos en los arts. 14 y 23.1 y 2 CE y rebatiendo la fundamentación del mismo. </w:t>
      </w:r>
    </w:p>
    <w:p w:rsidR="0025129F" w:rsidRDefault="0025129F" w:rsidP="0025129F">
      <w:pPr>
        <w:pStyle w:val="TextoNormal"/>
      </w:pPr>
      <w:r>
        <w:t xml:space="preserve">d) La Mesa del Congreso de los Diputados, en su sesión de 17 de abril de 2000, tras oír a la Junta de Portavoces, acordó desestimar, por cinco votos a favor y cuatro en contra, la solicitud de reconsideración formulada, con base en la motivación que a continuación literalmente se transcribe: </w:t>
      </w:r>
    </w:p>
    <w:p w:rsidR="0025129F" w:rsidRDefault="0025129F" w:rsidP="0025129F">
      <w:pPr>
        <w:pStyle w:val="TextoNormal"/>
      </w:pPr>
      <w:r>
        <w:t xml:space="preserve">"Considerando que, como los propios recurrentes reconocen, las formaciones políticas a las que pertenecen los Diputados que pretenden formar Grupo Parlamentario deben, además de haber obtenido un mínimo de cinco escaños, cumplir la condición de haber obtenido un quince por ciento de los votos correspondientes a las circunscripciones en que hubieran presentado candidatura, todo ello conforme a la expresión literal del párrafo segundo del apartado 1 del art. 23 del Reglamento. </w:t>
      </w:r>
    </w:p>
    <w:p w:rsidR="0025129F" w:rsidRDefault="0025129F" w:rsidP="0025129F">
      <w:pPr>
        <w:pStyle w:val="TextoNormal"/>
      </w:pPr>
      <w:r>
        <w:t xml:space="preserve">Considerando que ha de reiterarse que la condición aludida sólo la reúne el Bloque Nacionalista Galego en las circunscripciones en las que ha presentado candidatura, al no poderse computar el porcentaje de los votos obtenidos por las formaciones a las que pertenecen el Sr. Erkoreka Gervasio y el Sr. Martí i Galbis, esto es, el Partido Nacionalista Vasco y Convergencia y Unió, respectivamente, porcentaje que ha sido ya utilizado para la constitución de los respectivos Grupos o, dicho en otros términos, al no ser posible invocar la obtención de un mismo porcentaje para la constitución de Grupos diferentes. </w:t>
      </w:r>
    </w:p>
    <w:p w:rsidR="0025129F" w:rsidRDefault="0025129F" w:rsidP="0025129F">
      <w:pPr>
        <w:pStyle w:val="TextoNormal"/>
      </w:pPr>
      <w:r>
        <w:t xml:space="preserve">Considerando que la reiterada interpretación es respetuosa con el principio de igualdad, que impide tratar de modo igual los supuestos que son diferentes, y con los precedentes de constitución de los Grupos Parlamentarios, en concreto los de la V y VI Legislaturas, en los que no se discutió la interpretación literal de los requisitos contenidos en el art. 23.1 del Reglamento, interpretación que precisamente busca preservar el acuerdo impugnado. </w:t>
      </w:r>
    </w:p>
    <w:p w:rsidR="0025129F" w:rsidRDefault="0025129F" w:rsidP="0025129F">
      <w:pPr>
        <w:pStyle w:val="TextoNormal"/>
      </w:pPr>
      <w:r>
        <w:t>La Mesa acuerda desestimar la solicitud de reconsideración del acuerdo por el que se deniega la constitución del Grupo Parlamentario Galego (BNG), comunicándolo al primer firmante del escrito".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cuanto a la fundamentación jurídica de la demanda de amparo, se invoca en ésta, frente a los Acuerdos impugnados, la vulneración del derecho a acceder en condiciones de igualdad a las funciones y cargos públicos (art. 23.2 CE), en conexión con el derecho de los ciudadanos a participar por medio de representantes en los asuntos públicos (art. 23.1 CE), y la infracción del principio de igualdad que proclama el art. 14 CE. </w:t>
      </w:r>
    </w:p>
    <w:p w:rsidR="0025129F" w:rsidRDefault="0025129F" w:rsidP="0025129F">
      <w:pPr>
        <w:pStyle w:val="TextoNormal"/>
      </w:pPr>
      <w:r>
        <w:lastRenderedPageBreak/>
        <w:t xml:space="preserve">a) En relación con el primero de los derechos fundamentales que los recurrentes en amparo consideran lesionados por los Acuerdos impugnados, en la demanda de amparo se reproduce una reiterada doctrina constitucional, con cita de diversos pasajes de las SSTC 214/1998, de 11 de noviembre; 38/1999, de 22 de marzo; 148/1999, de 4 de agosto, y 27/2000, de 31 de enero, sobre el ámbito material del referido derecho cuando de representantes políticos se trata y su conexión con el derecho de los ciudadanos a participar por medio de representantes en los asuntos públicos (art. 23.1 CE), afirmándose que el derecho a constituir Grupo Parlamentario, de acuerdo con los requisitos que se señalan en el Reglamento de la Cámara, se inserta en el núcleo esencial del ius in officium del cargo de Diputado y tiene además un valor determinante, en la medida en que, cuando se imposibilita el ejercicio de aquel derecho, se restringen de manera sustancial y grave las restantes facultades que los parlamentarios afectados pudieran ejercer durante la duración de su mandato. </w:t>
      </w:r>
    </w:p>
    <w:p w:rsidR="0025129F" w:rsidRDefault="0025129F" w:rsidP="0025129F">
      <w:pPr>
        <w:pStyle w:val="TextoNormal"/>
      </w:pPr>
      <w:r>
        <w:t xml:space="preserve">b) A continuación se analiza en la demanda el sentido de los preceptos del Reglamento del Congreso de los Diputados (RCD), su interpretación sistemática y secundum Constitutionem, que regulan la constitución de los Grupos Parlamentarios, una vez sentada la premisa de que la decisión de la Mesa por la que se aceptan las correspondientes declaraciones de voluntad o se deniega la constitución de un determinado Grupo Parlamentario es una decisión con valor declarativo, y no constitutivo, de modo que la Mesa de la Cámara, de acuerdo con la doctrina constitucional de la que se ha dejado constancia, no puede tomar en consideración otros límites que aquéllos que con toda claridad se deduzcan de los referidos preceptos. </w:t>
      </w:r>
    </w:p>
    <w:p w:rsidR="0025129F" w:rsidRDefault="0025129F" w:rsidP="0025129F">
      <w:pPr>
        <w:pStyle w:val="TextoNormal"/>
      </w:pPr>
      <w:r>
        <w:t xml:space="preserve">El derecho a constituirse en Grupo Parlamentario, como se repite en cada uno de los tres supuestos previstos en el art. 23.1 RCD, es un derecho de los Diputados y, de conformidad con dicho precepto, pueden constituir Grupo Parlamentario un mínimo de quince Diputados, o un mínimo de cinco Diputados que hubieran obtenido al menos el 15 por 100 de los votos correspondientes a las circunscripciones en que hubieren presentado candidatura, o un mínimo de cinco Diputados que hubieran obtenido el cinco por ciento de los votos emitidos en el conjunto de la Nación. En cualquiera de las tres fórmulas contempladas en el mencionado precepto reglamentario, los Diputados que se computan pueden pertenecer a una o varias formaciones políticas (arts. 23.1 y 24 RCD). </w:t>
      </w:r>
    </w:p>
    <w:p w:rsidR="0025129F" w:rsidRDefault="0025129F" w:rsidP="0025129F">
      <w:pPr>
        <w:pStyle w:val="TextoNormal"/>
      </w:pPr>
      <w:r>
        <w:t xml:space="preserve">En concreto, de acuerdo con el segundo de los supuestos recogidos en dicho artículo, que es el que en este caso interesa, tienen derecho a constituirse en Grupo Parlamentario "los Diputados de una o varias formaciones políticas que ... hubieren obtenido un número de escaños no inferior a cinco y, al menos, el quince por ciento de los votos correspondientes a las circunscripciones en que hubieren presentado candidatura". Se establecen, pues, en el precepto en cuestión, y en relación con dicho supuesto, dos cosas distintas que conviene resaltar: en primer lugar, que son los Diputados los titulares del derecho a constituirse en Grupo Parlamentario y no, por consiguiente, los partidos o formaciones políticas; en segundo lugar, que los Diputados que decidan constituirse en Grupo Parlamentario pueden pertenecer a "una o varias formaciones políticas". De modo que ni en el art. 23 RCD ni en ningún otro precepto reglamentario se dice que sean los partidos o formaciones políticas los que pueden constituirse en Grupos Parlamentarios. </w:t>
      </w:r>
    </w:p>
    <w:p w:rsidR="0025129F" w:rsidRDefault="0025129F" w:rsidP="0025129F">
      <w:pPr>
        <w:pStyle w:val="TextoNormal"/>
      </w:pPr>
      <w:r>
        <w:t>Los requisitos que el art. 23.1 RCD exige en el caso que ahora nos interesa para constituir Grupo Parlamentario son los siguientes: a) "un número de escaños no inferior a cinco" y b) "al menos, el 15 por 100 de los votos correspondientes a las circunscripciones en que hubieren presentado candidatura". Tales requisitos se imponen, como no podría ser de otra forma, a quienes, teniendo derecho, manifiestan su voluntad de constituirse en Grupo Par</w:t>
      </w:r>
      <w:r>
        <w:lastRenderedPageBreak/>
        <w:t xml:space="preserve">lamentario y no, obviamente, a terceros. De modo que, siendo los Diputados, y sólo ellos, los que constituyen el Grupo, ha de entenderse que son los Diputados quienes han de cumplir los mencionados requisitos y no, por consiguiente, las formaciones políticas en cuyas listas hubieran sido elegidos. En otras palabras, no son las formaciones políticas, sino los Diputados los que tienen que disponer de los escaños y votos suficientes para constituir Grupo Parlamentario. Es evidente, de acuerdo con la CE y el RCD, que el escaño no es del partido, sino del Diputado, y sería ridículo pretender que el escaño lo tiene, porque lo obtiene, el Diputado, pero que los votos que hacen acreedor al mismo no los obtiene el Diputado, sino el partido, que luego se los presta al Diputado para que pueda obtener el correspondiente escaño. </w:t>
      </w:r>
    </w:p>
    <w:p w:rsidR="0025129F" w:rsidRDefault="0025129F" w:rsidP="0025129F">
      <w:pPr>
        <w:pStyle w:val="TextoNormal"/>
      </w:pPr>
      <w:r>
        <w:t xml:space="preserve">En este contexto, las dos prohibiciones contenidas en el art. 23.2 RCD para la constitución de Grupos Parlamentarios han de analizarse por separado, dado que es distinta la relación que una y otra tienen con el supuesto que nos ocupa. La primera de ellas estriba en que "en ningún caso pueden constituir Grupo Parlamentario separado Diputados que pertenezcan a un mismo partido". Esta prohibición se introdujo en el año 1982, durante las discusiones del Proyecto de Reforma del Reglamento Provisional, con el propósito claro y definido de evitar que un mismo partido se fraccionase en la Cámara en varios Grupos Parlamentarios. De ninguna forma puede aplicarse, como norma prohibitiva que es, a ningún otro caso de aquél o aquéllos que con absoluta claridad fuesen subsumibles en el supuesto de hecho que la norma contempla. Puesto que el único supuesto que la mencionada norma ha querido prohibir es el de la fragmentación de un partido político en distintos Grupos Parlamentarios, constituidos todos ellos por Diputados de un mismo partido, de ninguna manera se puede extender su aplicación al caso en que el Diputado elegido en las listas de un partido político decida constituir Grupo Parlamentario con Diputados elegidos en las listas de otro u otros partidos distintos. Que un Diputado pueda integrarse en un Grupo Parlamentario constituido con Diputados elegidos en listas de otro u otros partidos distintos de aquél en cuya lista él hubiera sido elegido es algo que está expresamente admitido por los arts. 23.1 y 27.1 RCD, sin más limitaciones que las expresamente establecidas al respecto. De hecho, una propuesta en sentido contrario a esta interpretación fue retirada durante la discusión del Proyecto de Reglamento, al suprimirse del texto que la Ponencia elevó a la Comisión, en el sentido de prohibir la constitución de Grupo Parlamentario separado o integrarse en un Grupo Parlamentario distinto a los Diputados que pertenecieran a un mismo partido, el inciso "o integrarse en un Grupo Parlamentario distinto" por entrar en abierta contradicción con el derecho explícitamente reconocido a los Diputados en el art. 27.1 RCD. </w:t>
      </w:r>
    </w:p>
    <w:p w:rsidR="0025129F" w:rsidRDefault="0025129F" w:rsidP="0025129F">
      <w:pPr>
        <w:pStyle w:val="TextoNormal"/>
      </w:pPr>
      <w:r>
        <w:t xml:space="preserve">La segunda prohibición que establece el art. 23.2 RCD radica en que "tampoco podrán formar Grupo Parlamentario separado los Diputados que, al tiempo de las elecciones, pertenecieran a formaciones políticas que no se hayan enfrentado ante el electorado". </w:t>
      </w:r>
    </w:p>
    <w:p w:rsidR="0025129F" w:rsidRDefault="0025129F" w:rsidP="0025129F">
      <w:pPr>
        <w:pStyle w:val="TextoNormal"/>
      </w:pPr>
      <w:r>
        <w:t>Esta prohibición está pensada para el caso de diversas fuerzas políticas que hubieran presentado en coalición una sola candidatura o para el caso de miembros de una determinada fuerza política que, a falta de lista propia, se hubieran presentado en las listas de otro partido. Pero no puede extenderse a los Diputados elegidos en listas de partidos nacionalistas de distintas Comunidades Autónomas, que, por definición, no compiten entre sí. Lo contrario supondría una clara discriminación de los Diputados elegidos en listas de partidos que concurren a las elecciones en el ámbito de una sola Comunidad Autónoma con respecto a los elegidos en las listas de partidos que presentan candidaturas en todas las circunscripciones. Esta prohibición sí afecta, por el contrario, al Grupo Parlamentario de Coalición Canaria, integrado, en ésta y en la anterior Legislatura, además de por Dipu</w:t>
      </w:r>
      <w:r>
        <w:lastRenderedPageBreak/>
        <w:t xml:space="preserve">tados de ese partido, por Diputados de Unión del Pueblo Navarro, formación que ni ahora ni hace cuatro años se había enfrentado al Partido Popular. </w:t>
      </w:r>
    </w:p>
    <w:p w:rsidR="0025129F" w:rsidRDefault="0025129F" w:rsidP="0025129F">
      <w:pPr>
        <w:pStyle w:val="TextoNormal"/>
      </w:pPr>
      <w:r>
        <w:t xml:space="preserve">c) En la decisión de la Mesa del Congreso de los Diputados de denegar la constitución del Grupo Parlamentario Galego (BNG), los demandantes de amparo distinguen el primer Acuerdo, de 12 de abril de 2000, del segundo Acuerdo, de 17 de abril de 2000, desestimatorio de la solicitud de reconsideración, por entender que se apoyan en argumentos claramente distintos. </w:t>
      </w:r>
    </w:p>
    <w:p w:rsidR="0025129F" w:rsidRDefault="0025129F" w:rsidP="0025129F">
      <w:pPr>
        <w:pStyle w:val="TextoNormal"/>
      </w:pPr>
      <w:r>
        <w:t xml:space="preserve">El Acuerdo de 12 de abril de 2000 se basa como único fundamento en que no es posible verificar respecto a las otras dos formaciones políticas en presencia el cumplimiento del requisito de haber obtenido el 15 por 100 de los votos correspondientes a las circunscripciones en que hubieran presentado candidatura. Careciendo en el lenguaje jurídico el término verificar de un significado distinto al que tiene en el uso cotidiano de la lengua y le confiere el Diccionario de la Real Academia Española, los demandantes de amparo sostienen que para la constitución del Grupo Parlamentario Galego se exige un requisito cuyo cumplimiento, a juicio de la propia Mesa de la Cámara, es imposible probar. Es obvio que exigir un requisito cuyo cumplimiento se considera, al mismo tiempo, de imposible verificación es un mandato que cae extramuros del campo del Derecho y que pasa de ser un requisito o condición a convertirse en un auténtico impedimento. De modo que el único y escueto razonamiento del Acuerdo impugnado no es, en definitiva, un argumento, sino una mera contradicción que no puede servir para fundamentar decisión alguna, o una inadmisible interpretación de la norma mediante la que se pretende convertir, por las razones que fuere, un simple requisito, con retorcida y discriminatoria interpretación, en un obstáculo insalvable. </w:t>
      </w:r>
    </w:p>
    <w:p w:rsidR="0025129F" w:rsidRDefault="0025129F" w:rsidP="0025129F">
      <w:pPr>
        <w:pStyle w:val="TextoNormal"/>
      </w:pPr>
      <w:r>
        <w:t xml:space="preserve">En el mencionado Acuerdo se habla de "las otras dos formaciones políticas en presencia", cuando es sabido que a la constitución del Grupo Parlamentario Galego, además de los tres Diputados elegidos en las listas del Bloque Nacionalista Galego, no concurren "otras dos formaciones políticas", sino otros dos Diputados. Dada esta confusión entre otras formaciones políticas y los dos Diputados que concurrían a la constitución del Grupo Parlamentario, no aparece claro en el texto del Acuerdo si el requisito del 15 por 100 que resultaba de imposible verificación se refiere a "las dos restantes formaciones políticas" o a "los dos restantes Diputados". </w:t>
      </w:r>
    </w:p>
    <w:p w:rsidR="0025129F" w:rsidRDefault="0025129F" w:rsidP="0025129F">
      <w:pPr>
        <w:pStyle w:val="TextoNormal"/>
      </w:pPr>
      <w:r>
        <w:t xml:space="preserve">Pues bien, el cumplimiento de los requisitos del art. 23.1 RCD sólo procede exigirlo, como antes se ha señalado, a quienes manifiestan su voluntad de constituir un Grupo Parlamentario, es decir, a los Diputados, careciendo de sentido que se exija su cumplimiento, no a ellos, sino a las formaciones políticas en cuyas listas hubieran resultado elegidos. Pero es que, además, el requisito del 15 por 100 que la Mesa considera "imposible de verificar" se cumplía en este caso tanto respecto a "las otras dos formaciones políticas" como por "los otros dos Diputados", según sencillamente puede comprobarse. En efecto, difícilmente puede sostenerse que es imposible verificar el porcentaje de votos obtenidos en las correspondientes circunscripciones por las que se denominan en el Acuerdo "las otras dos formaciones políticas", si por tales se entienden el Partido Nacionalista Vasco y Convergencia y Unió. E igual ocurre si el porcentaje se entiende referido a los "dos restantes Diputados", ya que, averiguado el porcentaje que corresponde a "las otras dos formaciones políticas", nada hay que hacer para averiguar el que corresponde "a los otros dos Diputados", pues es el mismo que el obtenido por aquéllas en la circunscripción en las que concurrieron con las respectivas listas en las que éstos fueron candidatos, es decir, por las correspondientes listas de "las otras dos formaciones políticas". </w:t>
      </w:r>
    </w:p>
    <w:p w:rsidR="0025129F" w:rsidRDefault="0025129F" w:rsidP="0025129F">
      <w:pPr>
        <w:pStyle w:val="TextoNormal"/>
      </w:pPr>
      <w:r>
        <w:lastRenderedPageBreak/>
        <w:t xml:space="preserve">En efecto, el voto ciudadano en un sistema proporcional de listas cerradas y bloqueadas, como el que rige para las elecciones al Congreso de los Diputados, es un voto plurinominal, un voto a todos y cada uno de los candidatos que integran la lista. El sistema proporcional con listas cerradas y bloqueadas limita el derecho del ciudadano a elegir entre las diferentes listas presentadas, pero trae automáticamente consigo el derecho del elector a votar, con la lista que elige, a tantos candidatos como escaños correspondan a la circunscripción. En otras palabras, el voto plurinominal da derecho en nuestro sistema a votar tantos candidatos como escaños se eligen en la circunscripción, pero no permite hacer distinción alguna entre los candidatos de la lista elegida. Es claro, por lo tanto, que en las elecciones al Congreso de los Diputados todos los candidatos incluidos en la lista de una formación política, desde el primero hasta el último, reciben siempre idéntico número de votos válidos. Así pues, los otros dos Diputados que, junto con los Diputados elegidos en las listas del Bloque Nacionalista Galego, han pretendido constituir el Grupo Parlamentario Galego (BNG) han obtenido cada uno de ellos exactamente el mismo número de votos que los obtenidos por las correspondientes listas en las que han sido elegidos, la del Partido Nacionalista Vasco en Vizcaya y la de Convergencia i Unió en Barcelona. Un porcentaje holgadamente superior al 15 por 100. </w:t>
      </w:r>
    </w:p>
    <w:p w:rsidR="0025129F" w:rsidRDefault="0025129F" w:rsidP="0025129F">
      <w:pPr>
        <w:pStyle w:val="TextoNormal"/>
      </w:pPr>
      <w:r>
        <w:t xml:space="preserve">En definitiva, el Acuerdo de la Mesa del Congreso de los Diputados de 12 de abril de 2000 es una decisión infundada, sin motivación jurídica alguna, que limita arbitraria y discriminatoriamente el derecho fundamental de los demandantes de amparo a acceder en condiciones de igualdad a las funciones y cargos públicos con los requisitos que señalen las leyes (art. 23.2 CE). </w:t>
      </w:r>
    </w:p>
    <w:p w:rsidR="0025129F" w:rsidRDefault="0025129F" w:rsidP="0025129F">
      <w:pPr>
        <w:pStyle w:val="TextoNormal"/>
      </w:pPr>
      <w:r>
        <w:t xml:space="preserve">Por su parte, el Acuerdo de 17 de abril de 2000, desestimatorio de la solicitud de reconsideración del Acuerdo anterior, aunque formalmente se presenta como mera ratificación de éste, se basa, sin embargo, en una motivación sustancialmente distinta, aunque igualmente discriminatoria y lesiva, por lo tanto, de aquel derecho fundamental. </w:t>
      </w:r>
    </w:p>
    <w:p w:rsidR="0025129F" w:rsidRDefault="0025129F" w:rsidP="0025129F">
      <w:pPr>
        <w:pStyle w:val="TextoNormal"/>
      </w:pPr>
      <w:r>
        <w:t xml:space="preserve">En relación con el único requisito que la Mesa de la Cámara discute, el 15 por 100 de los votos, no se dice ahora, como acontecía en el Acuerdo anterior, que no es posible verificarlo, sino que no puede computarse "el porcentaje de votos obtenidos por las formaciones a las que pertenecen el Sr. Erkoreka Gervasio y el Sr. Martí i Galbis, esto es, el Partido Nacionalista Vasco y Convergencia i Unió, respectivamente, porcentaje que ya se ha utilizado para la constitución de los respectivos Grupos o, dicho en otros términos, al no ser posible invocar la obtención de un mismo porcentaje para la constitución de Grupos diferentes". </w:t>
      </w:r>
    </w:p>
    <w:p w:rsidR="0025129F" w:rsidRDefault="0025129F" w:rsidP="0025129F">
      <w:pPr>
        <w:pStyle w:val="TextoNormal"/>
      </w:pPr>
      <w:r>
        <w:t>Pues bien, las razones esgrimidas por la Mesa de la Cámara en este segundo Acuerdo son pura y simplemente falsas, pues Convergencia i Unió ni invocó ni pudo utilizar para la constitución de su Grupo Parlamentario el porcentaje de votos del Sr. Martí i Galbis, por la sencilla razón de que éste no figuraba en la lista de Diputados que constituyeron el mencionado Grupo Parlamentario, ni el Sr. Martí i Galbis invocó ni pudo utilizar el porcentaje de votos obtenidos por Convergencia i Unió, porque era él y no Convergencia i Unió quien, junto con otros Diputados, constituía el Grupo Parlamentario Galego (BNG). Que los votos obtenidos por el Sr. Martí i Galbis en Barcelona sean exactamente los mismos que los obtenidos por la lista de Convergencia i Unió en esta circunscripción es una consecuencia inevitable del sistema de listas cerradas y bloqueadas para el Congreso de los Diputados, pero de esa consecuencia no cabe deducir, como se hace en el Acuerdo impugnado, que Convergencia i Unió y el Sr. Martí i Galbis hayan utilizado "un mismo porcentaje" para constituir Grupos Parlamentarios distintos, sino que cada uno utiliza su propio porcentaje. Asimismo debe dejarse claro que el Grupo Parlamentario de Conver</w:t>
      </w:r>
      <w:r>
        <w:lastRenderedPageBreak/>
        <w:t xml:space="preserve">gencia i Unió no se ha constituido ni con los votos ni con los porcentajes obtenidos en Barcelona, sino, como exige el RCD, con los "correspondientes a las circunscripciones en que hubiera presentado candidaturas", por lo que, incluso si, como mero ejercicio práctico, se siguiera la interpretación que propone la Mesa, a Convergencia i Unió le sobrarían votos para constituir su propio Grupo Parlamentario, aunque se le descontase la parte alícuota de los votos obtenidos en Barcelona por el Sr. Martí i Galbis. Además ha de recordarse que Convergencia i Unió ni constituye ni puede constituir Grupo Parlamentario, sino, y con ese nombre, los Diputados elegidos en las listas del mencionado partido. Y lo mismo cabe decir en relación con el Sr. Erkoreka Gervasio y el Grupo Parlamentario Vasco. </w:t>
      </w:r>
    </w:p>
    <w:p w:rsidR="0025129F" w:rsidRDefault="0025129F" w:rsidP="0025129F">
      <w:pPr>
        <w:pStyle w:val="TextoNormal"/>
      </w:pPr>
      <w:r>
        <w:t xml:space="preserve">Así pues, el Acuerdo de la Mesa se apoya en un presupuesto falso, cual es que los votos obtenidos en las elecciones pertenecen al partido o formación política que presenta las listas, y de él deduce que los Diputados elegidos en las listas de un determinado partido o formación que luego pretendan formar Grupo Parlamentario con Diputados elegidos en las listas de otras formaciones políticas van, sin embargo, "desnudos de votos", con lo que evidentemente no se pueden computar éstos para la determinación de los mínimos que establece el art. 23.1 RCD. </w:t>
      </w:r>
    </w:p>
    <w:p w:rsidR="0025129F" w:rsidRDefault="0025129F" w:rsidP="0025129F">
      <w:pPr>
        <w:pStyle w:val="TextoNormal"/>
      </w:pPr>
      <w:r>
        <w:t xml:space="preserve">d) La decisión de la Mesa de la Cámara, además, altera bruscamente ex post ipso para un caso único la línea interpretativa hasta ahora seguida en el Congreso de los Diputados en materia de constitución de Grupos Parlamentarios. Desde el primer al último caso planteado en la Cámara, siempre que se ha suscitado un auténtico problema de interpretación de los preceptos que regulan la constitución de los Grupos Parlamentarios, la Mesa ha optado por una interpretación favorable a la constitución del correspondiente Grupo Parlamentario, al contrario de lo que ha acontecido en el presente supuesto. </w:t>
      </w:r>
    </w:p>
    <w:p w:rsidR="0025129F" w:rsidRDefault="0025129F" w:rsidP="0025129F">
      <w:pPr>
        <w:pStyle w:val="TextoNormal"/>
      </w:pPr>
      <w:r>
        <w:t xml:space="preserve">En el primer caso conflictivo, el del Grupo Parlamentario Andalucista en 1979, no fue sólo la Mesa, sino el Pleno de la Cámara el que hizo todo lo posible para facilitar la constitución del mencionado Grupo. El Partido Andalucista había obtenido en las elecciones generales cinco Diputados, y el Reglamento Provisional entonces vigente exigía para poder formar Grupo Parlamentario haber alcanzado un mínimo de quince Diputados o un 20 por 100 de los escaños de las circunscripciones en que se hubiesen presentado candidaturas, requisito este último que tampoco cumplía el Partido Andalucista. La Mesa de la Cámara no tuvo inconveniente en esperar a que el Pleno llevase a cabo, el 3 de mayo, una reforma ad hoc del art. 20 RCD por la que se estableció que para formar Grupo Parlamentario bastaba con haber obtenido cinco Diputados, para, acto seguido, en su reunión del mismo día, declarar constituido el mencionado Grupo. </w:t>
      </w:r>
    </w:p>
    <w:p w:rsidR="0025129F" w:rsidRDefault="0025129F" w:rsidP="0025129F">
      <w:pPr>
        <w:pStyle w:val="TextoNormal"/>
      </w:pPr>
      <w:r>
        <w:t xml:space="preserve">En la V Legislatura, la Mesa del Congreso de los Diputados, en su sesión de 27 de julio de 1993, rechazó la propuesta de declaración de caducidad del Grupo Parlamentario de Coalición Canaria, constituido en un primer momento por cuatro Diputados de Coalición Canaria y uno del Partido Aragonés Regionalista, como consecuencia del abandono por el Diputado de este último partido del Grupo Parlamentario de Coalición Canaria y su integración en el Grupo Parlamentario Mixto, al considerar el Informe de la Secretaría General en el que se advertía de que de los precedentes pudiera resultar "un principio tendente a favorecer la constitución de Grupos Parlamentarios". </w:t>
      </w:r>
    </w:p>
    <w:p w:rsidR="0025129F" w:rsidRDefault="0025129F" w:rsidP="0025129F">
      <w:pPr>
        <w:pStyle w:val="TextoNormal"/>
      </w:pPr>
      <w:r>
        <w:t>En la VI Legislatura, la Mesa del Congreso de los Diputados, en su sesión de 9 de abril de 1996, declaró constituido el Grupo Parlamentario de Coalición Canaria, integrado por cuatro Diputados de Coalición Canaria y dos de Unión del Pueblo Navarro, a pesar de que, según el Informe de la Secretaría General, podría entenderse que Unión del Pueblo Navarro y Partido Popular eran formaciones políticas que no se habían enfrentado ante el electorado, por lo que Unión del Pueblo Navarro no podía formar Grupo Parlamentario distin</w:t>
      </w:r>
      <w:r>
        <w:lastRenderedPageBreak/>
        <w:t xml:space="preserve">to al Partido Popular (art. 23.1 RCD). En el Acuerdo de la Mesa de la Cámara se hacía expresa referencia a una "interpretación finalista del art. 23.2 del Reglamento, en el sentido de que éste impide que formaciones políticas que no se han enfrentado ante el electorado formen Grupos Parlamentarios separados, pero no que alguna de ellas ceda sus Diputados a otra formación para el cumplimiento de los mínimos previstos en el párrafo primero de dicho precepto". </w:t>
      </w:r>
    </w:p>
    <w:p w:rsidR="0025129F" w:rsidRDefault="0025129F" w:rsidP="0025129F">
      <w:pPr>
        <w:pStyle w:val="TextoNormal"/>
      </w:pPr>
      <w:r>
        <w:t xml:space="preserve">En la VII y presente Legislatura, dado el precedente que acaba de referirse, la declaración de voluntad de los Diputados que constituyen el Grupo Parlamentario de Coalición Canaria, integrado por cuatro Diputados de Coalición Canaria y tres de Unión del Pueblo Navarro, fue aceptada sin discusión alguna por la Mesa de la Cámara. </w:t>
      </w:r>
    </w:p>
    <w:p w:rsidR="0025129F" w:rsidRDefault="0025129F" w:rsidP="0025129F">
      <w:pPr>
        <w:pStyle w:val="TextoNormal"/>
      </w:pPr>
      <w:r>
        <w:t xml:space="preserve">A la vista del precedente de la VI Legislatura y del Acuerdo de la Mesa de la Cámara de 12 de abril de 2000 de aceptar la constitución del Grupo Parlamentario de Coalición Canaria, resulta evidente que si una formación política puede "ceder sus Diputados", con igual o mayor razón podrá ceder "alguno de sus Diputados" a otra formación para el cumplimiento de los mínimos previstos en el párrafo primero del art. 23.1 RCD. Sin embargo, la Mesa de la Cámara, que, con base en el precedente de la VI Legislatura, da por buena la constitución del Grupo Parlamentario de Coalición Canaria, deniega ese mismo día la constitución del Grupo Parlamentario Galego, el cual ni siquiera prima facie se encuentra incurso en la prohibición del art. 23.2 RCD. Así pues, la Mesa en la misma sesión descarta expresamente, en un caso, una interpretación literal, y apoya, en otro, una interpretación finalista del art. 23.2 RCD, en tanto que, en relación con la constitución del Grupo Parlamentario Galego, se aferra a una particularísima interpretación del art. 23.1 RCD y de su expresión literal acaba deduciendo lo que el precepto no dice ni hubiera podido decir nunca, esto es, que los Diputados electos no tienen votos y que éstos son de los partidos en cuyas listas hubieran resultado elegidos, impidiendo que en este caso, y sólo en éste, el Partido Nacionalista Vasco y Convergencia i Unió "cedan" algún Diputado a otra formación política para la consecución de los mínimos exigidos por el art. 23.1 RCD. </w:t>
      </w:r>
    </w:p>
    <w:p w:rsidR="0025129F" w:rsidRDefault="0025129F" w:rsidP="0025129F">
      <w:pPr>
        <w:pStyle w:val="TextoNormal"/>
      </w:pPr>
      <w:r>
        <w:t xml:space="preserve">e) Los demandantes de amparo aducen, finalmente, que la discriminación de la que han sido objeto puede tener su origen exclusivamente en razones de orden ideológico, dada la clamorosa ausencia de razones jurídicas en los Acuerdos impugnados y la ostentosa diferencia de trato con respecto a la constitución del Grupo Parlamentario de Coalición Canaria, uno de cuyos miembros, el Sr. del Burgo, elegido en la lista de Unión del Pueblo Navarro, fue nombrado al día siguiente de dicha constitución Portavoz adjunto del Grupo Parlamentario del Partido Popular, lo que hace pensar que la mayoría de la Mesa de la Cámara ha actuado en perfecta sintonía con el partido político al que pertenece, ignorando el Reglamento, dejando a un lado la Constitución y adoptando una decisión política basada en razones de orden ideológico. </w:t>
      </w:r>
    </w:p>
    <w:p w:rsidR="0025129F" w:rsidRDefault="0025129F" w:rsidP="0025129F">
      <w:pPr>
        <w:pStyle w:val="TextoNormal"/>
      </w:pPr>
      <w:r>
        <w:t>Concluye la demanda suplicando del Tribunal Constitucional que, tras los trámites oportunos, dicte Sentencia en la que se otorgue el amparo solicitado y se declare la nulidad de los Acuerdos impugnados, restableciéndose a los recurrentes en la integridad de su derecho mediante la retroacción del procedimiento parlamentario a la Mesa de la Cámara para que acepte su manifiesta voluntad de constituirse en el Grupo Parlamentario Galego (BNG).</w:t>
      </w:r>
    </w:p>
    <w:p w:rsidR="0025129F" w:rsidRDefault="0025129F" w:rsidP="0025129F">
      <w:pPr>
        <w:pStyle w:val="TextoNormal"/>
      </w:pPr>
    </w:p>
    <w:p w:rsidR="0025129F" w:rsidRDefault="0025129F" w:rsidP="0025129F">
      <w:pPr>
        <w:pStyle w:val="TextoNormal"/>
      </w:pPr>
      <w:r w:rsidRPr="0025129F">
        <w:rPr>
          <w:rStyle w:val="NumeroAFNegritaCaracter"/>
        </w:rPr>
        <w:t>4</w:t>
      </w:r>
      <w:r>
        <w:t>. La Sala Segunda del Tribunal Constitucional, por providencia de 25 de julio de 2000, acordó admitir a trámite la demanda y, de conformidad con lo dispuesto en el art. 51 LOTC, requerir atentamente a la Excma. Sra. Presidenta del Congreso de los Diputados para que, en el plazo de diez días, remitiese testimonio de los antecedentes que dieron lu</w:t>
      </w:r>
      <w:r>
        <w:lastRenderedPageBreak/>
        <w:t>gar a los Acuerdos de la Mesa del Congreso de los Diputados de 12 y 17 de abril de 2000, por los que se denegó la constitución del Grupo Parlamentario Galego, pudiendo en el referido plazo comparecer en el proceso constitucional de amparo esa Presidencia, a cuyos efectos se le dio traslado de la copia de la demanda presentada.</w:t>
      </w:r>
    </w:p>
    <w:p w:rsidR="0025129F" w:rsidRDefault="0025129F" w:rsidP="0025129F">
      <w:pPr>
        <w:pStyle w:val="TextoNormal"/>
      </w:pPr>
    </w:p>
    <w:p w:rsidR="0025129F" w:rsidRDefault="0025129F" w:rsidP="0025129F">
      <w:pPr>
        <w:pStyle w:val="TextoNormal"/>
      </w:pPr>
      <w:r w:rsidRPr="0025129F">
        <w:rPr>
          <w:rStyle w:val="NumeroAFNegritaCaracter"/>
        </w:rPr>
        <w:t>5</w:t>
      </w:r>
      <w:r>
        <w:t>. Por diligencia de ordenación de la Secretaría de la Sala Segunda del Tribunal Constitucional, de 6 de octubre de 2000, se tuvo por personado y parte en el procedimiento al Congreso de los Diputados y se acordó dar vista de las actuaciones recibidas a las partes personadas y al Ministerio Fiscal, por plazo común de veinte días, para que pudieran presentar las alegaciones que tuvieran por conveniente, de conformidad con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t>6</w:t>
      </w:r>
      <w:r>
        <w:t>. La representación procesal de los recurrentes en amparo evacuó el trámite de alegaciones conferido mediante escrito presentado en el Registro General de este Tribunal el día 2 de noviembre de 2000, en el que dio por reiteradas las efectuadas en el escrito de demanda.</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Letrado de las Cortes Generales que compareció en nombre del Congreso de los Diputados evacuó el trámite de alegaciones conferido mediante escrito presentado en el Registro General del Tribunal Constitucional el día 3 de noviembre de 2000, que, en lo sustancial, a continuación se extracta: </w:t>
      </w:r>
    </w:p>
    <w:p w:rsidR="0025129F" w:rsidRDefault="0025129F" w:rsidP="0025129F">
      <w:pPr>
        <w:pStyle w:val="TextoNormal"/>
      </w:pPr>
      <w:r>
        <w:t xml:space="preserve">a) En primer término califica de artificiosa e inconsistente la incongruencia que los demandantes de amparo denuncian entre la motivación de los Acuerdos de la Mesa del Congreso de los Diputados de 12 y 17 de abril de 2000, pues uno y otro coinciden sustancialmente en su argumento principal de que no es posible "verificar" o "computar" el porcentaje de votos obtenidos por las formaciones a las que pertenecen el Sr. Erkoreka Gervasio y el Sr. Martí i Galbis. En este caso, los verbos "verificar" y "computar" se usan con un mismo significado, son sinónimos, ya que así lo permite, en primer lugar, nuestra lengua, y porque así se deduce, en segundo lugar, sin la menor duda, del contexto en que se emplean. De modo que no es cierto, como se afirma en la demanda de amparo, que el argumento principal del Acuerdo de 12 de abril de 2000 consista en que la Mesa de la Cámara haya sido "incapaz de verificar cuál es el tanto por ciento obtenido por las otras dos formaciones políticas", esto es, que no haya sido capaz de comprobar cuál es el verdadero porcentaje de esas formaciones. La expresión "verificar", como es sabido, tiene un doble significado: en unos casos, verificar es "probar que una cosa que se dudaba es verdadera", "comprobar o examinar la verdad de una cosa", pero en otros, verificar es "realizar, efectuar", como así lo define el Diccionario de la Real Academia Española y otros diccionarios más actualizados. </w:t>
      </w:r>
    </w:p>
    <w:p w:rsidR="0025129F" w:rsidRDefault="0025129F" w:rsidP="0025129F">
      <w:pPr>
        <w:pStyle w:val="TextoNormal"/>
      </w:pPr>
      <w:r>
        <w:t xml:space="preserve">Pero más importante aún, por ser realmente decisivo, es el debate de la Mesa del Congreso de los Diputados previo al Acuerdo de 12 de abril de 2000, en el que no se discutió ningún problema de verificación, entendida esta expresión como prueba de un hecho incierto, sino sólo de verificación en el sentido de cómputo de un porcentaje. </w:t>
      </w:r>
    </w:p>
    <w:p w:rsidR="0025129F" w:rsidRDefault="0025129F" w:rsidP="0025129F">
      <w:pPr>
        <w:pStyle w:val="TextoNormal"/>
      </w:pPr>
      <w:r>
        <w:t xml:space="preserve">Es evidente, pues, que la decisión que se adoptó tuvo su fundamento en el argumento jurídico de la imposibilidad de computar, a los efectos del art. 23.1 RCD, el porcentaje de votos obtenidos por el Partido Nacionalista Vasco y por Convergencia i Unió al haber sido ya utilizado para la constitución de sus respectivos Grupos Parlamentarios. De modo que, </w:t>
      </w:r>
      <w:r>
        <w:lastRenderedPageBreak/>
        <w:t xml:space="preserve">si en el texto del Acuerdo de 12 de abril de 2000 no se utilizó el verbo "computar", ello se debió sólo a razones de estilo y no a razones de fondo. </w:t>
      </w:r>
    </w:p>
    <w:p w:rsidR="0025129F" w:rsidRDefault="0025129F" w:rsidP="0025129F">
      <w:pPr>
        <w:pStyle w:val="TextoNormal"/>
      </w:pPr>
      <w:r>
        <w:t xml:space="preserve">b) El argumento principal de los Acuerdos impugnados radica en el incumplimiento de la segunda de las condiciones que establece el art. 23.1 RCD para poder constituir Grupo Parlamentario, esto es, proceder los Diputados que pretendan constituirse en Grupo Parlamentario de una o varias formaciones políticas que hubieran obtenido, al menos, el 15 por 100 de los votos correspondientes a las circunscripciones en que hubieren presentado candidaturas. </w:t>
      </w:r>
    </w:p>
    <w:p w:rsidR="0025129F" w:rsidRDefault="0025129F" w:rsidP="0025129F">
      <w:pPr>
        <w:pStyle w:val="TextoNormal"/>
      </w:pPr>
      <w:r>
        <w:t xml:space="preserve">La tesis que prevaleció en la Mesa de la Cámara en la interpretación del mencionado precepto reglamentario es la de que el cumplimiento de este segundo requisito sirve para formar un Grupo Parlamentario, no para formar varios Grupos Parlamentarios en el caso de que los Diputados procedentes de la formación política que ha obtenido el porcentaje indicado decidan distribuirse en distintos Grupos Parlamentarios, es decir, un mismo porcentaje no se puede invocar para la constitución de Grupos diferentes. Así pues, mientras que la Mesa de la Cámara mantiene que el indicado porcentaje se agota en el momento en que se ha constituido el Grupo Parlamentario correspondiente a la formación política que ha obtenido los escaños, los demandantes de amparo consideran que ese porcentaje se multiplica por el número de Diputados, de modo que éstos pueden utilizarlo para la constitución de nuevos Grupos Parlamentarios aunque ya se haya constituido el primer Grupo. </w:t>
      </w:r>
    </w:p>
    <w:p w:rsidR="0025129F" w:rsidRDefault="0025129F" w:rsidP="0025129F">
      <w:pPr>
        <w:pStyle w:val="TextoNormal"/>
      </w:pPr>
      <w:r>
        <w:t xml:space="preserve">En defensa de la tesis de la Mesa de la Cámara, el Letrado de las Cortes Generales alega que la constitución de los Grupos Parlamentarios, cuya correlación con las formaciones políticas o partidos políticos no sólo es evidente, sino deseable, tal como ha reconocido la doctrina especializada, refleja el resultado de las elecciones, en las que los Diputados son elegidos a través del sistema de listas cerradas. Ello significa que los electores votan a las listas y no a cada Diputado singularmente considerado, sin perjuicio de que después se proceda a la distribución de escaños por el procedimiento previsto en la Ley Orgánica 5/1985, de 19 de junio, del Régimen Electoral General (art. 163). En un sistema de listas como el vigente en nuestro ordenamiento electoral no cabe hablar de votos recibidos por candidatos singularmente considerados. En este sentido el Tribunal Constitucional tiene declarado en la STC 75/1985, de 21 de junio, que "No es aceptable, por último, el argumento de que la discriminación se produce por referencia a las personas que integran las distintas candidaturas, esto es, si se tiene en cuenta que el número de votos que corresponde a candidatos incluidos en la lista que no han rebasado el límite del 3 por 100 y, por tanto, no llegan a ser proclamados electos, puede ser, no obstante, superior, como sucede en los casos que nos ocupan, al número de votos correspondientes a candidatos que obtienen esa proclamación al figurar en listas que sí han superado dicho límite. La comparación es inviable, pues nos encontramos ante magnitudes cualitativamente diversas. En un caso, el total de los votos conseguidos por ciertas candidaturas (las excluidas del reparto de escaños), en el otro caso, uno o varios cocientes, que no son, y aquí está la diferencia esencial, votos efectivamente obtenidos, sino más bien resultados convencionales deducidos, a efectos del reparto, del número total de votos de cada candidatura. Y es que, en un sistema de listas como el vigente en nuestro ordenamiento electoral, no cabe hablar de votos recibidos por candidatos singularmente considerados, sino, con relación a éstos, de cocientes, que son resultados de la operación prevista para determinar, entre las listas que han superado el límite legal, los escaños que corresponden a cada una de ellas". </w:t>
      </w:r>
    </w:p>
    <w:p w:rsidR="0025129F" w:rsidRDefault="0025129F" w:rsidP="0025129F">
      <w:pPr>
        <w:pStyle w:val="TextoNormal"/>
      </w:pPr>
      <w:r>
        <w:t>La aplicación de la doctrina constitucional transcrita a lo dispuesto en el art. 23.1 RCD no ofrece lugar a duda: el porcentaje del 15 por 100 de votos obtenidos por una o varias formaciones políticas permite a cinco o más Diputados de éstas constituir un Grupo Par</w:t>
      </w:r>
      <w:r>
        <w:lastRenderedPageBreak/>
        <w:t xml:space="preserve">lamentario, aunque, por lo tanto, no hayan alcanzado la cifra establecida como límite general de quince Diputados. El art. 23.1 RCD, interpretado conforme a la mencionada doctrina constitucional, configura el porcentaje del 15 por 100 de los votos obtenidos por una o varias formaciones políticas como una condición que permite a éstas, siempre que hayan logrado, al menos, cinco escaños, formar un Grupo Parlamentario. Ésta es la finalidad de la citada condición, de modo que, una vez alcanzado su objetivo, la constitución de Grupo Parlamentario correspondiente a las formaciones políticas que lo han constituido, la condición agota su eficacia, ya que su sentido es obviamente el de permitir la creación de ese Grupo Parlamentario sin haber alcanzado el límite general de los quince Diputados y no, en cambio, el de multiplicar la creación de pequeños Grupos Parlamentarios. Ésta es, sin duda, la interpretación jurídica y conforme a la Constitución del art. 23 RCD. </w:t>
      </w:r>
    </w:p>
    <w:p w:rsidR="0025129F" w:rsidRDefault="0025129F" w:rsidP="0025129F">
      <w:pPr>
        <w:pStyle w:val="TextoNormal"/>
      </w:pPr>
      <w:r>
        <w:t xml:space="preserve">Resulta, pues, inadmisible la afirmación que se efectúa en la demanda de amparo de que los Acuerdos impugnados carecen de "fundamento jurídico alguno" e incluso que sufren una "clamorosa ausencia de razones jurídicas", pues basta leer los debates de la Mesa de la Cámara y de la Junta de Portavoces para advertir que nos encontramos ante una cuestión jurídica, para algunos quizá opinable, pero, sin la menor duda, resuelta jurídicamente en el marco de la Constitución. </w:t>
      </w:r>
    </w:p>
    <w:p w:rsidR="0025129F" w:rsidRDefault="0025129F" w:rsidP="0025129F">
      <w:pPr>
        <w:pStyle w:val="TextoNormal"/>
      </w:pPr>
      <w:r>
        <w:t xml:space="preserve">c) El Letrado de las Cortes Generales rechaza también que los Acuerdos impugnados infrinjan el art. 14 CE, por incurrir supuestamente en una discriminación por razones ideológicas, pues se advierte con claridad que los cuatro casos invocados como referentes son supuestos sustancialmente distintos al ahora considerado, en los que no concurría en la constitución de los Grupos Parlamentarios la circunstancia impeditiva que no ha hecho posible la constitución del Grupo Parlamentario Galego (BNG). </w:t>
      </w:r>
    </w:p>
    <w:p w:rsidR="0025129F" w:rsidRDefault="0025129F" w:rsidP="0025129F">
      <w:pPr>
        <w:pStyle w:val="TextoNormal"/>
      </w:pPr>
      <w:r>
        <w:t xml:space="preserve">La mención a la constitución del Grupo Parlamentario Andalucista en 1979 se realiza, sin duda, para aumentar el número de casos, pero no porque guarde relación con el supuesto que se examina. En aquella ocasión el problema consistía en que el Partido Andalucista había obtenido en las elecciones generales cinco Diputados y el Reglamento Provisional entonces vigente exigía para formar Grupo Parlamentario haber obtenido un mínimo de quince Diputados o un 20 por 100 de los escaños en las circunscripciones en que se hubiesen presentado candidaturas, requisito, este último, que tampoco cumplía el Partido Andalucista. Los recurrentes alegan que en aquel momento la Mesa de la Cámara esperó a que el Pleno reformarse el art. 20 RCD rebajando a cinco el número de Diputados exigidos para constituir Grupo Parlamentario, por lo que se trata de un supuesto totalmente distinto al que ahora se aborda. </w:t>
      </w:r>
    </w:p>
    <w:p w:rsidR="0025129F" w:rsidRDefault="0025129F" w:rsidP="0025129F">
      <w:pPr>
        <w:pStyle w:val="TextoNormal"/>
      </w:pPr>
      <w:r>
        <w:t xml:space="preserve">El Acuerdo de la Mesa del Congreso de los Diputados de 27 de junio de 1993, que rechazó la propuesta de declarar la caducidad del Grupo Parlamentario de Coalición Canaria por el hecho de que, una vez constituido, uno de sus Diputados abandonara el Grupo Parlamentario, reduciéndose a cuatro el número de sus componentes, es también un supuesto distinto. La cuestión entonces debatida era la de si había habido o no fraude en la constitución del Grupo, pero para nada se trató la necesidad de reunir determinado porcentaje de votos para la constitución del mismo. En todo caso, está claro que la formación política a la que pertenecía ese Diputado en el momento de la constitución del Grupo Parlamentario, Partido Aragonés Regionalista (PAR) no había formado, por su parte, ningún Grupo Parlamentario al haber obtenido un solo escaño. </w:t>
      </w:r>
    </w:p>
    <w:p w:rsidR="0025129F" w:rsidRDefault="0025129F" w:rsidP="0025129F">
      <w:pPr>
        <w:pStyle w:val="TextoNormal"/>
      </w:pPr>
      <w:r>
        <w:t xml:space="preserve">El Acuerdo de la Mesa del Congreso de los Diputados de 9 de abril de 1996, que declaró constituido el Grupo Parlamentario de Coalición Canaria por cuatro Diputados de esa Coalición y dos de la coalición electoral Unión del Pueblo Navarrro-PP, es un caso totalmente distinto al presente, porque en aquella ocasión tampoco la formación política de la </w:t>
      </w:r>
      <w:r>
        <w:lastRenderedPageBreak/>
        <w:t xml:space="preserve">que procedían esos dos Diputados había formado un Grupo Parlamentario y, por tanto, no había agotado el porcentaje de votos previsto en el art. 23.1 RCD. </w:t>
      </w:r>
    </w:p>
    <w:p w:rsidR="0025129F" w:rsidRDefault="0025129F" w:rsidP="0025129F">
      <w:pPr>
        <w:pStyle w:val="TextoNormal"/>
      </w:pPr>
      <w:r>
        <w:t xml:space="preserve">Exactamente lo mismo sucede con el Acuerdo de la Mesa del Congreso de los Diputados de 12 de abril de 2000, que declaró constituido el Grupo Parlamentario de Coalición Canaria con cuatro Diputados procedentes de esta Coalición y tres de la Unión del Pueblo Navarro-PP, ya que ninguna de las dos coaliciones han constituido tampoco otro Grupo Parlamentario utilizando su porcentaje de votos. </w:t>
      </w:r>
    </w:p>
    <w:p w:rsidR="0025129F" w:rsidRDefault="0025129F" w:rsidP="0025129F">
      <w:pPr>
        <w:pStyle w:val="TextoNormal"/>
      </w:pPr>
      <w:r>
        <w:t xml:space="preserve">Así pues, ninguno de los cuatro supuestos citados en los que se pretende sustentar la denunciada violación del art. 14 CE guarda relación directa con el cumplimiento de la condición que se debate en este caso, esto es, la utilización del porcentaje del 15 por 100 de los votos obtenidos para la constitución de un Grupo Parlamentario y el agotamiento de la eficacia de esa condición una vez constituido el Grupo Parlamentario. No cabe, por lo tanto, apreciar en los Acuerdos impugnados una ruptura de la línea interpretativa hasta ahora seguida en el Congreso de los Diputados en materia de constitución de Grupos Parlamentarios, pues nunca se había presentado un caso similar al ahora debatido, esto es, un supuesto en que los Diputados que coadyuvan a la formación de un Grupo Parlamentario procedan de formaciones políticas que ya ha creado su propio Grupo Parlamentario y que, en consecuencia, ya han agotado la eficacia de la condición del porcentaje del 15 por 100 de los votos. </w:t>
      </w:r>
    </w:p>
    <w:p w:rsidR="0025129F" w:rsidRDefault="0025129F" w:rsidP="0025129F">
      <w:pPr>
        <w:pStyle w:val="TextoNormal"/>
      </w:pPr>
      <w:r>
        <w:t>Concluye su escrito de alegaciones solicitando del Tribunal Constitucional la desestimación de la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Ministerio Fiscal evacuó el trámite de alegaciones conferido mediante escrito presentado en el Registro General de este Tribunal el día 13 de noviembre de 2000, en el que interesó la desestimación de la demanda de amparo. </w:t>
      </w:r>
    </w:p>
    <w:p w:rsidR="0025129F" w:rsidRDefault="0025129F" w:rsidP="0025129F">
      <w:pPr>
        <w:pStyle w:val="TextoNormal"/>
      </w:pPr>
      <w:r>
        <w:t xml:space="preserve">a) Tras afirmar que la decisión relativa a la constitución o no de un Grupo Parlamentario puede incidir en el art. 23.2 CE, dadas las diferentes atribuciones que al mismo, independientemente de cada uno de los Diputados que forman parte de él, atribuye el RCD (arts. 40, 56, por ejemplo), entiende que es idéntica la fundamentación de los dos Acuerdos impugnados, esto es, la imposibilidad de computar los votos obtenidos por las formaciones políticas Partido Nacionalista Vasco y Convergencia i Unió en las circunscripciones en que presentaron candidaturas, ya que dicho porcentaje fue tenido en cuenta para la constitución de sus respectivos Grupos Parlamentarios. </w:t>
      </w:r>
    </w:p>
    <w:p w:rsidR="0025129F" w:rsidRDefault="0025129F" w:rsidP="0025129F">
      <w:pPr>
        <w:pStyle w:val="TextoNormal"/>
      </w:pPr>
      <w:r>
        <w:t xml:space="preserve">El art. 23 RCD ofrece, en su opinión, como aspecto claro que el porcentaje de votos se refiere a las formaciones políticas, dado que son éstas las que presentan las candidaturas (art. 44 LOREG). Por su parte, la justificación ofrecida por la Mesa de la Cámara viene a traslucir implícitamente la prohibición establecida en el primer inciso del número 2 del mencionado art. 23 RCD de que Diputados del mismo partido formen grupos separados, cuya redacción literal incluye tanto el supuesto al que aluden los demandantes de amparo --impedir que en la I Legislatura se constituyeran tres Grupos Parlamentarios Socialistas- como el presente, en tanto en cuanto el Grupo Parlamentario Galego es, evidentemente, un Grupo Parlamentario distinto del Nacionalista Vasco y del Catalán. </w:t>
      </w:r>
    </w:p>
    <w:p w:rsidR="0025129F" w:rsidRDefault="0025129F" w:rsidP="0025129F">
      <w:pPr>
        <w:pStyle w:val="TextoNormal"/>
      </w:pPr>
      <w:r>
        <w:t xml:space="preserve">b) De otra parte, los términos de comparación aportados por los demandantes no son válidos. No lo es el referido a la constitución del Grupo Parlamentario Andalucista --3 de mayo de 1979--, porque en aquel caso se esperó a una reforma del Reglamento del Congreso que permitiera a los Diputados de dicho partido formar Grupo Parlamentario independiente, lo que, evidentemente, no ha sucedido en el presente caso. </w:t>
      </w:r>
    </w:p>
    <w:p w:rsidR="0025129F" w:rsidRDefault="0025129F" w:rsidP="0025129F">
      <w:pPr>
        <w:pStyle w:val="TextoNormal"/>
      </w:pPr>
      <w:r>
        <w:lastRenderedPageBreak/>
        <w:t xml:space="preserve">Tampoco lo es el relativo a Izquierda Unida-Esquerra Catalana --22 de julio de 1996-, porque en este caso no se permitió la constitución del Grupo Parlamentario, al no cumplir los requisitos previstos en el Reglamento. </w:t>
      </w:r>
    </w:p>
    <w:p w:rsidR="0025129F" w:rsidRDefault="0025129F" w:rsidP="0025129F">
      <w:pPr>
        <w:pStyle w:val="TextoNormal"/>
      </w:pPr>
      <w:r>
        <w:t xml:space="preserve">Finalmente, tampoco son válidas las referencias a la constitución del Grupo Parlamentario de Coalición Canaria en las V, VI y VII Legislaturas si, como se desprende de las actuaciones, se integró en dicho Grupo Parlamentario para alcanzar los mínimos exigidos, en la V Legislatura, el único Diputado del Partido Aragonés Regionalista y, en las VI y VII Legislaturas, todos los Diputados de Unión del Pueblo Navarro. Es evidente la diferencia de estos supuestos, en que Diputados de diferentes partidos --ninguno de los cuales podía formar Grupo Parlamentario propio- se ponen de acuerdo para formar uno para evitar el pase de todos ello al Grupo Parlamentario Mixto, del caso objeto de consideración ahora, en que partidos políticos que han constituido Grupos Parlamentarios propios "prestan" uno de sus Diputados a una formación política distinta para que ésta pueda formar otro Grupo Parlamentario. </w:t>
      </w:r>
    </w:p>
    <w:p w:rsidR="0025129F" w:rsidRDefault="0025129F" w:rsidP="0025129F">
      <w:pPr>
        <w:pStyle w:val="TextoNormal"/>
      </w:pPr>
      <w:r>
        <w:t xml:space="preserve">Asimismo no puede extraerse una conclusión favorable a la pretensión de amparo del hecho de que, respecto de Unión del Pueblo Navarro, no se apreciase la imposibilidad de constitución de un Grupo Parlamentario separado respecto del Partido Popular, ya que, en el supuesto objeto de enjuiciamiento en este proceso, no es la segunda prohibición del art. 23.2 RCD la que está en juego, sino, en su caso, la primera. </w:t>
      </w:r>
    </w:p>
    <w:p w:rsidR="0025129F" w:rsidRDefault="0025129F" w:rsidP="0025129F">
      <w:pPr>
        <w:pStyle w:val="TextoNormal"/>
      </w:pPr>
      <w:r>
        <w:t xml:space="preserve">c) Es cierto que, de conformidad con lo dispuesto en el art. 76.2 CE, "los miembros de las Cortes Generales no estarán ligados por mandado imperativo", y que ello puede predicarse tanto respecto del electorado como con relación al partido político al que pertenecen o en cuya listas hayan sido elegidos, pero tal norma no puede considerarse contradicha por la prohibición de formar Grupo Parlamentario separado, ni, en consecuencia, por la negativa a computar dos veces el porcentaje de votos obtenido por la correspondiente formación política. </w:t>
      </w:r>
    </w:p>
    <w:p w:rsidR="0025129F" w:rsidRDefault="0025129F" w:rsidP="0025129F">
      <w:pPr>
        <w:pStyle w:val="TextoNormal"/>
      </w:pPr>
      <w:r>
        <w:t xml:space="preserve">Finalmente, cabe observar que la decisión de la Mesa del Congreso de los Diputados se traduce en que los Diputados elegidos por el Bloque Nacionalista Galego pasan a integrarse al Grupo Parlamentario Mixto, con los efectos que ello conlleva, y que únicamente significan ciertas restricciones respecto de lo que sucedería si hubiesen podido constituir un Grupo Parlamentario propio, lo que no supone, en tanto que la decisión está basada en el RCD, una lesión del art. 23.2 CE. En definitiva, cabe una interpretación finalista favorable a la constitución de un Grupo Parlamentario cuando existen ciertas dudas interpretativas en relación con aspectos no esenciales de los requisitos exigidos por el Reglamento de la Cámara, pero tal interpretación no es factible en contra de las disposiciones expresas del mismo. </w:t>
      </w:r>
    </w:p>
    <w:p w:rsidR="0025129F" w:rsidRDefault="0025129F" w:rsidP="0025129F">
      <w:pPr>
        <w:pStyle w:val="TextoNormal"/>
      </w:pPr>
      <w:r>
        <w:t>Por otrosí, el Ministerio Fiscal interesó, de conformidad con lo dispuesto en el art. 88 LOTC, que se recabase de la Presidencia del Congreso de los Diputados certificación acreditativa del número de Diputados del Partido Aragonés Regionalista en la V Legislatura y de la Unión del Pueblo Navarro en las VI y VII Legislaturas y en qué Grupo Parlamentario quedaron integrados, respectivamente.</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La Sala Segunda del Tribunal Constitucional, por providencia de 21 de noviembre de 2000, acordó, de conformidad con lo interesado por el Ministerio Fiscal, dirigir atenta comunicación a la Excma. Sra. Presidenta el Congreso de los Diputados a fin de que, con la mayor brevedad posible, remitiese certificación acreditativa del número de Diputados del Partido Aragonés Regionalista en la V Legislatura y de Unión del Pueblo Navarro en </w:t>
      </w:r>
      <w:r>
        <w:lastRenderedPageBreak/>
        <w:t xml:space="preserve">las VI y VII Legislaturas y en qué Grupo Parlamentario quedaron integrados, respectivamente. </w:t>
      </w:r>
    </w:p>
    <w:p w:rsidR="0025129F" w:rsidRDefault="0025129F" w:rsidP="0025129F">
      <w:pPr>
        <w:pStyle w:val="TextoNormal"/>
      </w:pPr>
      <w:r>
        <w:t>Por diligencia de ordenación de la Sala Segunda del Tribunal Constitucional, de 5 de diciembre de 2000, se acordó unir a las actuaciones el escrito presentado por el Letrado de las Cortes Generales que comparece en este proceso en nombre y representación del Congreso de los Diputados, al que se adjunta certificación expedida por el Secretario General de la Cámara sobre los extremos requeridos, así como entregar copia de dicho escrito y certificación a las partes personadas en el presente recurso de amparo.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7 de marzo de 2002, se señaló para la deliberación y votación de la presente Sentencia el día 11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tiene por objeto la impugnación del Acuerdo de la Mesa del Congreso de los Diputados, de 12 de abril de 2000, por el que se denegó a los Diputados ahora recurrentes en amparo la constitución del Grupo Parlamentario Galego (BNG), así como la del posterior Acuerdo, de 17 de abril de 2000, que desestimó la solicitud de reconsideración contra el Acuerdo anterior y confirmó éste.</w:t>
      </w:r>
    </w:p>
    <w:p w:rsidR="0025129F" w:rsidRDefault="0025129F" w:rsidP="0025129F">
      <w:pPr>
        <w:pStyle w:val="TextoNormal"/>
      </w:pPr>
      <w:r>
        <w:t>Los demandantes de amparo, tres de ellos elegidos Diputados en las candidaturas presentadas por el Bloque Nacionalista Galego en las provincias de A Coruña y Pontevedra, y los otros dos en las candidaturas presentadas por el Partido Nacionalista Vasco y Convergencia i Unió en las provincias, respectivamente, de Vizcaya y Barcelona, imputan a los Acuerdos recurridos, en primer término, la lesión de su derecho a acceder en condiciones de igualdad a los cargos y funciones públicos (art. 23.2 CE), en relación con el derecho de los ciudadanos a participar en los asuntos públicos (art. 23.1 CE). La vulneración del mencionado derecho fundamental la sustentan en un doble orden de razones: de un lado, entienden que han cumplido los requisitos establecidos en el art. 23.1 del Reglamento del Congreso de los Diputados (RCD) para constituir el Grupo Parlamentario Galego (BNG), calificando de infundada, carente de motivación jurídica, arbitraria y discriminatoria la decisión de la Mesa de la Cámara de denegar la constitución del Grupo Parlamentario pretendido; de otro lado, consideran que esta decisión altera bruscamente, ex post y para un caso único, la línea interpretativa hasta ahora seguida en el Congreso de los Diputados en materia de constitución de Grupos Parlamentarios, apartándose sin explicación ni motivación alguna de los precedentes parlamentarios. En segundo lugar, los demandantes de amparo reprochan a los Acuerdos impugnados la conculcación del principio de igualdad (art. 14 CE), ya que estiman que la discriminación de la que han sido objeto tiene su origen exclusivamente en razones de orden ideológico, dada la clamorosa ausencia de razones jurídicas en los mismos y la ostentosa diferencia de trato que han padecido en relación con la constitución del Grupo Parlamentario de Coalición Canaria.</w:t>
      </w:r>
    </w:p>
    <w:p w:rsidR="0025129F" w:rsidRDefault="0025129F" w:rsidP="0025129F">
      <w:pPr>
        <w:pStyle w:val="TextoNormal"/>
      </w:pPr>
      <w:r>
        <w:t>Por su parte, el Letrado de las Cortes Generales que actúa en representación del Congreso de los Diputados y el Ministerio Fiscal se oponen, con base en la argumentación de la que se ha dejado constancia en los antecedentes de esta Sentencia, a la estimación de la demanda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Delimitadas en los términos expuestos las cuestiones suscitadas en el recurso de amparo, debemos abordar, en primer término, siguiendo el orden lógico de su planteamiento, </w:t>
      </w:r>
      <w:r>
        <w:lastRenderedPageBreak/>
        <w:t>si la decisión de la Mesa del Congreso de los Diputados de denegar a los demandantes de amparo la constitución del Grupo Parlamentario que pretendían ha vulnerado su derecho fundamental a acceder en condiciones de igualdad a los cargos y funciones públicos con los requisitos que señalen las Leyes (art. 23.2 CE), en relación con el derecho de los ciudadanos a participar en los asuntos públicos (art. 23.1 CE). La respuesta a este interrogante requiere traer a colación la doctrina constitucional sobre los mencionados derechos fundamentales en conexión con el ejercicio de la función representativa parlamentaria, recogida y perfilada, más recientemente, en las SSTC 38/1999, de 22 de marzo, 107/2001, de 23 de abril, y 203/2001, de 15 de octubre.</w:t>
      </w:r>
    </w:p>
    <w:p w:rsidR="0025129F" w:rsidRDefault="0025129F" w:rsidP="0025129F">
      <w:pPr>
        <w:pStyle w:val="TextoNormal"/>
      </w:pPr>
      <w:r>
        <w:t>De acuerdo con la mencionada doctrina constitucional, "los derechos fundamentales garantizados en los dos apartados del art. 23 CE encarnan el derecho de participación política en el sistema democrático consagrado por el art. 1 CE y son la forma esencial del ejercicio de la soberanía por el conjunto de los ciudadanos", existiendo entre ellos tan íntima imbricación, al menos en lo que al acceso a cargos públicos se refiere, que "puede decirse que son principalmente los representantes políticos de los ciudadanos quienes dan efectividad a su derecho a participar en los asuntos públicos". Por este motivo, "la garantía que dispensa el apartado 2 del art. 23 al acceso en condiciones de igualdad al cargo público se extiende a la permanencia en el mismo y al desempeño de las funciones que le son inherentes, en los términos que establecen las leyes o, en su caso, los Reglamentos parlamentarios, pues no en vano se trata de derechos fundamentales de configuración legal, respetando la igualdad de todos en su ejercicio y evitando perturbarlo con obstáculos que puedan colocar a unos representantes en condiciones de inferioridad respecto de otros". De modo que la privación o perturbación al representante político de la práctica de su cargo, no sólo menoscaba su derecho de acceso en condiciones de igualdad, sino simultáneamente el de participación en los asuntos públicos de los ciudadanos, que resultaría huero si no se respetase el primero.</w:t>
      </w:r>
    </w:p>
    <w:p w:rsidR="0025129F" w:rsidRDefault="0025129F" w:rsidP="0025129F">
      <w:pPr>
        <w:pStyle w:val="TextoNormal"/>
      </w:pPr>
      <w:r>
        <w:t>En este sentido ha de recordarse que compete a la Ley, y en determinadas materias a los Reglamentos parlamentarios, fijar y ordenar esos derechos y facultades que corresponden a los distintos cargos y funciones públicos, los cuales, una vez creados, quedan integrados en el status propio de cada cargo, con la consecuencia de que podrán sus titulares, al amparo del art. 23.2 CE, defender ante los órganos judiciales y en último extremo ante este Tribunal el ius in officium que consideren ilegítimamente constreñido o ignorado por los actos del poder público, incluidos los provenientes del propio órgano en el que se integren los titulares del cargo.</w:t>
      </w:r>
    </w:p>
    <w:p w:rsidR="0025129F" w:rsidRDefault="0025129F" w:rsidP="0025129F">
      <w:pPr>
        <w:pStyle w:val="TextoNormal"/>
      </w:pPr>
      <w:r>
        <w:t xml:space="preserve">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 Asamblea impiden o coartan su práctica o adoptan decisiones que contraríen la naturaleza de la representación o la igualdad de representantes".  Las circunstancias expuestas, concluye la doctrina constitucional que venimos reseñando, "imponen a los órganos parlamentarios una interpretación restrictiva de todas aquellas normas que puedan suponer una limitación al ejercicio de aquellos derechos o facultades que integran el status constitucionalmente relevante del representante público y a motivar las razones de su aplicación...so pena, no sólo de vulnerar el derecho fundamental del representante de los ciudadanos a ejercer su cargo (art. 23.2 CE), sino también de infringir el de éstos a participar en los asuntos públicos </w:t>
      </w:r>
      <w:r>
        <w:lastRenderedPageBreak/>
        <w:t>(art. 23.1 CE)" [SSTC 38/1999, de 22 de marzo, FJ 2; 27/2000, de 31 de enero, FJ 2; 107/2001, de 23 de abril, FJ 3 a); 203/2001, de 15 de octubre, FJ 2, por todas].</w:t>
      </w:r>
    </w:p>
    <w:p w:rsidR="0025129F" w:rsidRDefault="0025129F" w:rsidP="0025129F">
      <w:pPr>
        <w:pStyle w:val="TextoNormal"/>
      </w:pPr>
    </w:p>
    <w:p w:rsidR="0025129F" w:rsidRDefault="0025129F" w:rsidP="0025129F">
      <w:pPr>
        <w:pStyle w:val="TextoNormal"/>
      </w:pPr>
      <w:r w:rsidRPr="0025129F">
        <w:rPr>
          <w:rStyle w:val="NumeroAFNegritaCaracter"/>
        </w:rPr>
        <w:t>3</w:t>
      </w:r>
      <w:r>
        <w:t>. El marco normativo configurador de la constitución de los Grupos Parlamentarios en el Congreso de los Diputados aparece recogido en el propio Reglamento de la Cámara. Se trata, pues, de una materia en la que la Cámara, a falta de una regulación constitucional, salvedad hecha de la referencia a los Grupos Parlamentarios en la composición de la Diputación Permanente (art. 78.1 CE) y de los límites que cabría inferir del respeto al principio representativo y al pluralismo político de los que los Parlamentos son expresión y reflejo (STC 44/1995, de 13 de febrero, FJ 3), tiene en ejercicio de su potestad de autonormación y organización una amplia disponibilidad para regularla como normación originaria.</w:t>
      </w:r>
    </w:p>
    <w:p w:rsidR="0025129F" w:rsidRDefault="0025129F" w:rsidP="0025129F">
      <w:pPr>
        <w:pStyle w:val="TextoNormal"/>
      </w:pPr>
      <w:r>
        <w:t>El RCD dedica su Título II a los Grupos Parlamentarios (arts. 23 a 29). En cuanto a los requisitos materiales para su constitución, el art. 23.1, en su primer inciso, establece una regla general, según la cual "los Diputados, en número no inferior a quince, podrán constituirse en Grupo Parlamentario". A esta regla general, el mismo precepto, en su segundo inciso, adiciona una regla alternativa o subsidiaria para permitir la formación de Grupos Parlamentarios cuando no se alcance el número mínimo de quince diputados, al disponer que "podrán también constituirse en Grupo Parlamentario los Diputados de una o varias formaciones políticas que, aun sin reunir dicho mínimo, hubieren obtenido un número de escaños no inferior a cinco y, al menos, el quince por ciento de los votos correspondientes a las circunscripciones en que hubieren presentado candidatura o el cinco por ciento de los emitidos en el conjunto de la Nación".</w:t>
      </w:r>
    </w:p>
    <w:p w:rsidR="0025129F" w:rsidRDefault="0025129F" w:rsidP="0025129F">
      <w:pPr>
        <w:pStyle w:val="TextoNormal"/>
      </w:pPr>
      <w:r>
        <w:t>En su apartado segundo, el art. 23 RCD recoge dos prohibiciones en orden a la constitución de Grupos Parlamentarios. Según la primera, "en ningún caso pueden constituir Grupo Parlamentario separado los Diputados que pertenezcan a un mismo partido político". Por la segunda se prohíbe "formar Grupo Parlamentario separado a los Diputados que, al tiempo de las elecciones, pertenecieran a formaciones políticas que no se hayan enfrentado ante el electorado".</w:t>
      </w:r>
    </w:p>
    <w:p w:rsidR="0025129F" w:rsidRDefault="0025129F" w:rsidP="0025129F">
      <w:pPr>
        <w:pStyle w:val="TextoNormal"/>
      </w:pPr>
      <w:r>
        <w:t>Esta referencia a los requisitos materiales y prohibiciones que para la constitución de Grupos Parlamentarios se establecen en el RCD ha de concluirse, a los efectos que a este amparo interesan, con la mención, de un lado, a la previsión de que los Diputados que no fueran integrados en un Grupo Parlamentario en los plazos reglamentariamente establecidos quedarán incorporados al Grupo Mixto (art. 25.1 RCD); de otro, a la prohibición de que un Diputado pueda formar parte de más de un Grupo Parlamentario (art. 25.2 RCD); y, finalmente, a la posibilidad de que los Diputados que no sean miembros de ninguno de los Grupos Parlamentarios constituidos puedan asociarse a alguno de ellos, mediante solicitud aceptada por el Portavoz del Grupo Parlamentario al que pretendan asociarse, computándose los Diputados asociados a los efectos de determinar los mínimos que se establecen para la constitución de Grupos Parlamentarios (art. 24. 3 y 4 RCD).</w:t>
      </w:r>
    </w:p>
    <w:p w:rsidR="0025129F" w:rsidRDefault="0025129F" w:rsidP="0025129F">
      <w:pPr>
        <w:pStyle w:val="TextoNormal"/>
      </w:pPr>
      <w:r>
        <w:t>Por lo que respecta a los requisitos formales para la constitución de los Grupos Parlamentarios, el RCD se limita a establecer que habrá de hacerse dentro de los cinco días siguientes a la sesión constitutiva del Congreso, mediante escrito dirigido a la Mesa de la Cámara, que irá firmado por todos los que deseen constituir el Grupo Parlamentario y en el que se hará constar la denominación de éste y los nombres de todos sus miembros, de su Portavoz y de los Diputados que eventualmente puedan sustituirle (art. 24.1 y 2 RCD).</w:t>
      </w:r>
    </w:p>
    <w:p w:rsidR="0025129F" w:rsidRDefault="0025129F" w:rsidP="0025129F">
      <w:pPr>
        <w:pStyle w:val="TextoNormal"/>
      </w:pPr>
      <w:r>
        <w:t xml:space="preserve">A tenor de las previsiones reglamentarias de las que se ha dejado constancia, no cabe duda alguna de que la facultad de constituir Grupo Parlamentario, en la forma y con los requisitos que el mismo Reglamento establece, corresponde a los Diputados, y que dicha </w:t>
      </w:r>
      <w:r>
        <w:lastRenderedPageBreak/>
        <w:t>facultad, de conformidad con la doctrina constitucional antes expuesta, pertenece al núcleo de su función representativa parlamentaria, pues, dada la configuración de los Grupos Parlamentarios en los actuales Parlamentos, y, en concreto, en el Congreso de los Diputados, como entes imprescindibles y principales en la organización y funcionamiento de la Cámara, así como en el desempeño de las funciones parlamentarias y los beneficios que conlleva la adquisición de tal status, aquella facultad constituye una manifestación constitucionalmente relevante del ius in officium del representante. De otra parte, sin entrar a dilucidar, por no devenir necesario, la corrección o no de la afirmación de los demandantes de amparo de que la decisión de la Mesa de la Cámara por la que se aceptan o deniegan las correspondientes declaraciones de voluntad de los Diputados de constituir un determinado Grupo Parlamentario es una decisión con valor declarativo y no constitutivo, lo cierto es que las facultades que a la Mesa de la Cámara le corresponden en orden a la constitución de los Grupos Parlamentarios son de carácter reglado, debiendo circunscribirse a constatar si la constitución del Grupo Parlamentario reúne los requisitos reglamentariamente establecidos, debiendo rechazar, en caso de incumplimiento de aquellos requisitos, salvo que resulten subsanables, la pretensión de constituir Grupo Parlamentario.</w:t>
      </w:r>
    </w:p>
    <w:p w:rsidR="0025129F" w:rsidRDefault="0025129F" w:rsidP="0025129F">
      <w:pPr>
        <w:pStyle w:val="TextoNormal"/>
      </w:pPr>
    </w:p>
    <w:p w:rsidR="0025129F" w:rsidRDefault="0025129F" w:rsidP="0025129F">
      <w:pPr>
        <w:pStyle w:val="TextoNormal"/>
      </w:pPr>
      <w:r w:rsidRPr="0025129F">
        <w:rPr>
          <w:rStyle w:val="NumeroAFNegritaCaracter"/>
        </w:rPr>
        <w:t>4</w:t>
      </w:r>
      <w:r>
        <w:t>. En el presente caso, los demandantes de amparo presentaron ante la Mesa del Congreso de los Diputados, dentro del plazo previsto en el art. 24.1 RCD, escrito de constitución del Grupo Parlamentario Galego (BNG), suscrito por los cinco Diputados que pretendían constituirlo, con indicación de su Portavoz titular y adjunto. La pretensión de constituir el Grupo Parlamentario, a tenor de lo dispuesto en el RCD, encontraba cobertura en la regla subsidiaria o alternativa prevista en el segundo inciso del art. 23.1 RCD, y, más concretamente, dentro de los dos supuestos contemplados en ésta, en el primero de ellos. De modo que la constitución del Grupo Parlamentario se amparaba en la previsión de que "podrán también constituirse en Grupo Parlamentario los Diputados de una o varias formaciones políticas que, aun sin reunir dicho número, hubieren obtenido un número de escaños no inferior a cinco y, al menos, el 15 por 100 de los votos correspondientes a las circunscripciones en que hubieren presentado candidatura".</w:t>
      </w:r>
    </w:p>
    <w:p w:rsidR="0025129F" w:rsidRDefault="0025129F" w:rsidP="0025129F">
      <w:pPr>
        <w:pStyle w:val="TextoNormal"/>
      </w:pPr>
      <w:r>
        <w:t>La Mesa de la Cámara, en el Acuerdo adoptado en su sesión de 12 de abril de 2000, denegó la constitución del Grupo Parlamentario al entender, respecto al requisito del "15 por 100 de los votos correspondientes a las circunscripciones en que hubieren presentado candidatura", en cuya interpretación discrepan las partes, que sólo lo reunía "el Bloque Nacionalista Galego en las circunscripciones en que ha presentado candidatura, no siendo posible verificar su cumplimiento respecto de las otras dos formaciones políticas en presencia". En su posterior Acuerdo de 17 de abril de 2000 fundó la desestimación de la solicitud de reconsideración, formulada contra el anterior Acuerdo por los ahora demandantes de amparo en que el requisito o "condición aludida sólo la reúne el Bloque Nacionalista Galego en las circunscripciones en que ha presentado candidatura, al no poderse computar el porcentaje de votos obtenido por las formaciones a las que pertenecen el Sr. Erkoreka Gervasio y el Sr. Martí i Galbis, esto es, el Partido Nacionalista Vasco y Convergencia i Unió, respectivamente, porcentaje que ha sido ya utilizado para la constitución de los respectivos Grupos, o, dicho en otros términos, al no ser posible invocar la obtención del mismo porcentaje para la constitución de Grupos diferentes".</w:t>
      </w:r>
    </w:p>
    <w:p w:rsidR="0025129F" w:rsidRDefault="0025129F" w:rsidP="0025129F">
      <w:pPr>
        <w:pStyle w:val="TextoNormal"/>
      </w:pPr>
      <w:r>
        <w:t>Sin necesidad de detenernos en las eruditas consideraciones lingüísticas acerca del significado del término "verificar", en las que tanto los demandantes de amparo como el Letrado de las Cortes Generales apoyan sus respectivas posiciones, las cuales, por lo demás, no son concluyentes a nuestros efectos, basta para rechazar el extenso alegato que al res</w:t>
      </w:r>
      <w:r>
        <w:lastRenderedPageBreak/>
        <w:t>pecto exponen los recurrentes en amparo con examinar el acta de la sesión de la Mesa del Congreso de los Diputados en la que se adoptó el Acuerdo de 12 de abril de 2000 para constatar, a la vista del debate y de las distintas posiciones mantenidas al respecto por sus miembros, así como del planteamiento que, recapitulando las intervenciones precedentes, hizo la Presidenta de la Cámara de la cuestión suscitada antes de proceder de inmediato a la votación, que la decisión de denegar la constitución del Grupo Parlamentario Galego (BNG) se fundó ya en ese Acuerdo en la consideración, por parte de la mayoría de los componentes de la Mesa, de que el requisito de representación o apoyo electoral que establece el segundo inciso del art. 23.1 RCD sólo lo cumplía "el Bloque Nacionalista Galego en las circunscripciones en que ha presentado candidaturas, al no poderse computar el porcentaje de votos obtenidos por el Partido Nacionalista Vasco y Convergencia i Unió, porcentaje que ha sido ya utilizado para la constitución de los respectivos Grupos, o, dicho en otros términos, al no ser posible invocar la obtención de un mismo porcentaje para la constitución de Grupos diferentes". Así pues, resulte más o menos afortunada la redacción del Acuerdo de 12 de abril de 2000, lo cierto es, frente a lo que sostienen los demandantes de amparo, que uno y otro Acuerdo no se basan en argumentos distintos, sino que presentan un único y común fundamento, cual es, en opinión de la Mesa de la Cámara, la imposibilidad de computar, a los efectos del requisito de representación o apoyo electoral que establece el segundo inciso del art. 23.1 RCD, los votos obtenidos por las formaciones políticas del Partido Nacionalista Vasco y de Convergencia i Unió, en cuyas candidaturas por las provincias de Vizcaya y Barcelona habían obtenido sus escaños dos de los Diputados que, junto con los otros tres demandantes de amparo, pretendían constituir el Grupo Parlamentario Galego (BNG), ya que dicho porcentaje había sido tenido en cuenta para la formación de los Grupos Parlamentarios constituidos por el resto de los Diputados que habían sido elegidos en las candidaturas presentadas por el Partido Nacionalista Vasco --Grupo Parlamentario Vasco (EAJ-PNV)- y por Convergencia i Unió --Grupo Parlamentario Catalán (Convergencia i Unió)-, o, en otros términos,  al no ser posible invocar, a los efectos del mencionado requisito establecido en el segundo inciso del art. 23.1 RCD, la obtención de un mismo porcentaje electoral para la constitución de Grupos Parlamentarios diferentes por Diputados elegidos en las candidaturas presentadas por la misma formación política.</w:t>
      </w:r>
    </w:p>
    <w:p w:rsidR="0025129F" w:rsidRDefault="0025129F" w:rsidP="0025129F">
      <w:pPr>
        <w:pStyle w:val="TextoNormal"/>
      </w:pPr>
      <w:r>
        <w:t>Puede así concluirse que la Mesa de la Cámara, a la vista de los Acuerdos impugnados y de las actas de las sesiones en las que fueron adoptados, ha cumplido con la exigencia de motivar la aplicación que ha efectuado de las normas, en este caso, del Reglamento parlamentario, que han supuesto una limitación al ejercicio de aquellos derechos o facultades que integran el estatuto constitucionalmente relevante de los representantes políticos (SSTC 38/1999, de 22 de marzo, FJ 2; 107/2001, de 23 de abril, FJ 7; 203/2001, de 15 de octubre, FJ 4; ATC 118/1999, de 10 de mayo, FJ 5). Es obvio, sin embargo, que tal satisfacción formal no basta para concluir que la decisión aquí recurrida es conforme o no al derecho fundamental invocado por los demandantes de amparo, puesto que este derecho exige también que la motivación no entrañe el desconocimiento de la facultad que corresponde a los Diputados, en la forma y con los requisitos que establece el Reglamento de la Cámara, de constituir Grupo Parlamentario, ni se manifieste desprovista de razonabilidad en atención al fin institucional propio de la facultad que quiso ejercitarse y los motivos para impedir su ejercicio (SSTC 161/1988, de 20 de septiembre, FJ 9; 107/2001, de 23 de abril, FJ 7).</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5</w:t>
      </w:r>
      <w:r>
        <w:t>. Por tanto, para determinar si los Acuerdos analizados vulneran o no el art. 23 CE hemos de analizar la alegación de los demandantes de amparo, presupuesto de su argumentación, según la cual los votos que corresponden a cada Diputado son los obtenidos en la respectiva circunscripción electoral por la candidatura en la que se ha presentado a las elecciones al Congreso de los Diputados, para referir, a continuación, con base en dicha alegación, el requisito del 15 por 100 de los votos que exige el inciso segundo del art. 23.1 RCD a cada uno de los Diputados que pretendan constituir Grupo Parlamentario.</w:t>
      </w:r>
    </w:p>
    <w:p w:rsidR="0025129F" w:rsidRDefault="0025129F" w:rsidP="0025129F">
      <w:pPr>
        <w:pStyle w:val="TextoNormal"/>
      </w:pPr>
      <w:r>
        <w:t>Ha de precisarse, ante todo, el alcance de la afirmación que se efectúa en la demanda de amparo al sostener que es a los Diputados a quienes se impone el cumplimiento de los requisitos reglamentariamente establecidos para constituir Grupo Parlamentario, por ser éste un derecho de los Diputados y no de las formaciones políticas. Siendo cierto el presupuesto en el que se sustenta dicha afirmación, esto es, que los Diputados son los titulares de la facultad de constituir Grupo Parlamentario, en la forma y con los requisitos reglamentariamente previstos, así como la conclusión que del mismo los recurrentes en amparo infieren, es decir, que son los Diputados que pretenden constituir Grupo Parlamentario quienes han de cumplir aquellos requisitos reglamentarios que se establezcan, ello en modo alguno es óbice para que tales requisitos puedan venir referidos en la norma reglamentaria, no al Diputado, sino a la formación, coalición o agrupación electoral que presenta la candidatura en la que aquél figura o a ésta misma.</w:t>
      </w:r>
    </w:p>
    <w:p w:rsidR="0025129F" w:rsidRDefault="0025129F" w:rsidP="0025129F">
      <w:pPr>
        <w:pStyle w:val="TextoNormal"/>
      </w:pPr>
      <w:r>
        <w:t>Mas, centrándonos en la cuestión que ahora nos ocupa, este Tribunal Constitucional ya ha tenido ocasión de declarar que la decisión del elector es producto de una motivación compleja que sólo el análisis sociológico puede llegar a determinar en cada caso.  Sin embargo, de acuerdo con la Constitución es inequívoco "que la elección de los ciudadanos recae sobre personas determinadas y no sobre partidos o asociaciones que los proponen al electorado", conclusión que no puede quedar empañada porque en nuestro sistema algunos comicios, como acontece con las elecciones al Congreso de los Diputados, se produzcan entre listas cerradas y bloqueadas, "pues una cosa es que el elector no pueda realizar cambios en las candidaturas y otra, bien distinta, que los nombres que en ellas figuren sean irrelevantes para la definición que cada cual ha de hacer ante las urnas. La elección es, pues, de personas (de candidatos, presentados por partidos políticos, coaliciones electorales o agrupaciones de electores, debidamente proclamados como tales) y cualquier otra concepción pugna con la Constitución y con la misma dignidad de la posición de electores y elegibles, porque ni los primeros prestan, al votar, una adhesión incondicional a determinadas siglas partidarias ni los segundos pierden su individualidad al recabar el voto desde las listas del partido". Concluye el Tribunal esta declaración afirmando que "la democracia participativa que la Constitución establece no queda realizada, como bien se comprende, con el sufragio irreflexivo o de otro modo desatento a la identidad de las personas que figuran como candidatos en las distintas listas electorales", pues "el ordenamiento no puede reconocer eficacia a tales actitudes" (STC 167/1991, de 19 de julio, FJ 4; con cita de la doctrina recogida en la STC 10/1983, de 21 de febrero, FJ 3).</w:t>
      </w:r>
    </w:p>
    <w:p w:rsidR="0025129F" w:rsidRDefault="0025129F" w:rsidP="0025129F">
      <w:pPr>
        <w:pStyle w:val="TextoNormal"/>
      </w:pPr>
      <w:r>
        <w:t>Ahora bien, del aserto de que la elección de los ciudadanos recae sobre personas determinadas y no sobre los partidos o asociaciones que las proponen como candidatos al electorado no puede deducirse, como pretenden los demandantes de amparo, que en un sistema de listas cerradas y bloqueadas, como el que rige en las elecciones al Congreso de los Diputados, los votos son recibidos por los candidatos y deben imputárseles individualmente a éstos. Como también ha tenido ocasión de señalar este Tribunal, en un sistema tal no cabe hablar de votos recibidos por candidatos singularmente considerados, sino, con relación a éstos, de cocientes, que no son votos efectivamente obtenidos, sino más bien resul</w:t>
      </w:r>
      <w:r>
        <w:lastRenderedPageBreak/>
        <w:t>tados convencionales deducidos, a los efectos de reparto, del número total de votos de cada candidatura, o, en otras palabras, resultados de la operación prevista en la legislación electoral para determinar entre las candidaturas que en una determinada circunscripción han concurrido a las elecciones los escaños que corresponden a cada una de ellas (STC 75/1985, de 21 de junio, FJ 4).</w:t>
      </w:r>
    </w:p>
    <w:p w:rsidR="0025129F" w:rsidRDefault="0025129F" w:rsidP="0025129F">
      <w:pPr>
        <w:pStyle w:val="TextoNormal"/>
      </w:pPr>
      <w:r>
        <w:t>Así pues, de conformidad con la doctrina constitucional que ha quedado reseñada, la exigencia del porcentaje de votos o respaldo electoral que establece el segundo inciso del art. 23.1 RCD, en una interpretación del mencionado precepto reglamentario coherente con la configuración constitucional de nuestro sistema electoral, únicamente puede ser entendida como referida a las candidaturas presentadas por las formaciones políticas en aquellas circunscripciones en que hubieren concurrido a las elecciones y en las que figuran y han sido elegidos los Diputados que pretenden constituir Grupo Parlamentario. Tal conclusión se impone también en una interpretación sistemática de aquel precepto reglamentario con las previsiones especiales de la Ley Orgánica 5/1985, de 19 de junio, del Régimen Electoral General, para las elecciones a Diputados y Senadores (Título II), en las que se alude siempre a votos obtenidos por las candidaturas, no por las personas que las integran. En definitiva, ha de concluirse, por consiguiente, que el porcentaje del 15 por 100 de los votos que establece el segundo inciso del art.  23.1 RCD debe entenderse referido a las candidaturas presentadas por las formaciones políticas en las circunscripciones en que las que hubieran concurrido a la contienda electoral y en las que han resultado elegidos los Diputados que manifiestan su voluntad de constituir Grupo Parlamentario.</w:t>
      </w:r>
    </w:p>
    <w:p w:rsidR="0025129F" w:rsidRDefault="0025129F" w:rsidP="0025129F">
      <w:pPr>
        <w:pStyle w:val="TextoNormal"/>
      </w:pPr>
    </w:p>
    <w:p w:rsidR="0025129F" w:rsidRDefault="0025129F" w:rsidP="0025129F">
      <w:pPr>
        <w:pStyle w:val="TextoNormal"/>
      </w:pPr>
      <w:r w:rsidRPr="0025129F">
        <w:rPr>
          <w:rStyle w:val="NumeroAFNegritaCaracter"/>
        </w:rPr>
        <w:t>6</w:t>
      </w:r>
      <w:r>
        <w:t>. Sentado cuando antecede, y dado que ninguna de las partes personadas en este proceso de amparo cuestiona que las candidaturas del Partido Nacionalista Vasco y de Convergencia y Unió, en las circunscripciones en que ambas formaciones políticas han concurrido a las elecciones, y en las que resultaron elegidos Diputados los Sres. Erkoreka Gervasio y Martí i Galbis, quienes manifestaron su voluntad de constituir, junto con los otros tres Diputados demandantes de amparo, el Grupo Parlamentario Galego (BNG), hayan alcanzado el requisito del 15 por 100 de los votos, la cuestión ahora a dilucidar es la de si la interpretación que ha efectuado la Mesa de la Cámara de este requisito que establece el inciso segundo del art. 23.1 RCD, según la cual el porcentaje de votos obtenido por las candidaturas presentadas por una o varias formaciones políticas no puede ser invocado, una vez que algunos Diputados elegidos en aquellas candidaturas lo han utilizado para la constitución de un Grupo Parlamentario, por otros Diputados elegidos en las mismas candidaturas para constituir otro Grupo Parlamentario diferente, vulnera por arbitraria, como sostienen los demandantes de amparo, o no, en opinión del Letrado de las Cortes Generales y del Ministerio Fiscal, el derecho a acceder en condiciones de igualdad a los cargos y funciones públicas (art. 23.2 CE) en relación con el derecho de los ciudadanos a participar en los asuntos públicos (art.  23.1).</w:t>
      </w:r>
    </w:p>
    <w:p w:rsidR="0025129F" w:rsidRDefault="0025129F" w:rsidP="0025129F">
      <w:pPr>
        <w:pStyle w:val="TextoNormal"/>
      </w:pPr>
      <w:r>
        <w:t>Pues bien, desde la función de control que corresponde a este Tribunal Constitucional, en modo alguno cabe tildar de arbitraria ni desproporcionada la interpretación, aun en la hipótesis de que no sea la única posible, que la Mesa del Congreso de los Diputados, en su condición de órgano rector de la Cámara (art. 30.1 RCD), ha efectuado en el supuesto que nos ocupa del requisito del porcentaje de votos o respaldo electoral que establece el inciso segundo del art. 23.1 CE para la constitución de Grupo Parlamentario, resultando, por el contrario, dicha interpretación coherente con las previsiones reglamentarias que regulan la constitución de los Grupos Parlamentarios en el seno del Congreso de los Diputados.</w:t>
      </w:r>
    </w:p>
    <w:p w:rsidR="0025129F" w:rsidRDefault="0025129F" w:rsidP="0025129F">
      <w:pPr>
        <w:pStyle w:val="TextoNormal"/>
      </w:pPr>
      <w:r>
        <w:lastRenderedPageBreak/>
        <w:t>En efecto, tal interpretación se cohonesta, en primer término, con el carácter de la regla establecida en el segundo inciso del art. 23.1 RCD para la constitución de Grupos Parlamentarios, que no es sino una excepción a la regla general dispuesta en el primer inciso del mencionado precepto reglamentario, conforme a la cual se exigen quince Diputados para poder constituir Grupo Parlamentario. La finalidad de aquella regla subsidiaria o alternativa es la de permitir, como excepción a la regla general, que los Diputados elegidos en las candidaturas de una o varias formaciones políticas, que no alcancen aquel número, puedan constituirse en Grupo Parlamentario, reduciendo el requisito numérico, pero a la vez adicionando al mismo la exigencia de un cierto respaldo electoral.  Es obvio que mal se compadece con aquella finalidad, así como con el carácter subsidiario o alternativo de la regla cuestionada, en cuanto excepción a la regla general de constitución de Grupos Parlamentarios, que el porcentaje de votos o el respaldo electoral obtenido por las candidaturas presentadas por una formación política sea utilizado o invocado para constituir un Grupo Parlamentario diferente al de éstos, en definitiva, que aquel porcentaje de votos sea utilizado o invocado para constituir dos Grupos Parlamentarios distintos por los Diputados elegidos en las candidaturas de una misma formación política. De modo que, una vez que dicho porcentaje de votos es invocado por los Diputados elegidos en las candidaturas de una formación política para constituir un Grupo Parlamentario, este porcentaje no puede ser utilizado por otros Diputados elegidos en las candidaturas de esa misma formación política para constituir un Grupo Parlamentario diferente a aquél.</w:t>
      </w:r>
    </w:p>
    <w:p w:rsidR="0025129F" w:rsidRDefault="0025129F" w:rsidP="0025129F">
      <w:pPr>
        <w:pStyle w:val="TextoNormal"/>
      </w:pPr>
      <w:r>
        <w:t>Por el contrario, en la interpretación que sostienen los demandantes de amparo, bajo la cobertura de la regla establecida en el inciso segundo del art. 23.1 RCD cabría la posibilidad, contraria, sin duda, a la finalidad por ella perseguida y a la que obedece, de que los Diputados elegidos en las candidaturas presentadas por una misma formación política que no hubieran alcanzado el mínimo de quince Diputados que exige el inciso primero del art. 23.1 RCD, pero sí una cifra bastante superior a cinco Diputados, pudieran ellos mismos constituir, invocando el porcentaje de votos obtenidos por aquellas candidaturas, más de un Grupo Parlamentario, o, también, que pudieran constituir, contando con la participación de Diputados elegidos en candidaturas que sólo hubieran obtenido un número insuficiente de escaños para formar Grupo Parlamentario, varios Grupos Parlamentarios.</w:t>
      </w:r>
    </w:p>
    <w:p w:rsidR="0025129F" w:rsidRDefault="0025129F" w:rsidP="0025129F">
      <w:pPr>
        <w:pStyle w:val="TextoNormal"/>
      </w:pPr>
      <w:r>
        <w:t>En segundo lugar, la interpretación efectuada por la Mesa de la Cámara se cohonesta, en una interpretación sistemática de las previsiones reglamentarias que regulan la constitución de Grupos Parlamentarios en el Congreso de los Diputados, con la prohibición, como señala el Ministerio Fiscal, recogida en el primer inciso del art. 23.2 RCD, que impide la constitución de Grupos Parlamentarios separados por Diputados que pertenezcan a una misma formación política. Prohibición que si, como argumentan los demandantes de amparo, no alcanza a la integración de uno o varios Diputados en un Grupo Parlamentario diferente al constituido por los Diputados elegidos en las candidaturas presentadas por la misma formación política, veda la posibilidad de que aquéllos constituyan un Grupo Parlamentario distinto al formado por éstos, sin que resulte necesario insistir aquí y ahora, a tenor de las previsiones del RCD, en las diferencias entre la facultad de constituir Grupo Parlamentario, esto es, proceder a su formación, y la facultad de integración en un Grupo Parlamentario, que presupone ya su constitución.</w:t>
      </w:r>
    </w:p>
    <w:p w:rsidR="0025129F" w:rsidRDefault="0025129F" w:rsidP="0025129F">
      <w:pPr>
        <w:pStyle w:val="TextoNormal"/>
      </w:pPr>
      <w:r>
        <w:t xml:space="preserve">Ha de concluirse, pues, que la interpretación que la Mesa del Congreso de los Diputados ha efectuado de la regla establecida en el inciso segundo del art. 23.1 RCD no sólo no es arbitraria, como sostienen los demandantes de amparo, sino que está provista de razonabilidad y encuentra cobertura en y se cohonesta con las previsiones reglamentarias que regulan la constitución de los Grupos Parlamentarios en la Cámara, por lo que los </w:t>
      </w:r>
      <w:r>
        <w:lastRenderedPageBreak/>
        <w:t>Acuerdos adoptados en aplicación de la referida interpretación, que denegaron la constitución del Grupo Parlamentario Galego (BNG), no pueden estimarse lesivos del derecho a acceder en condiciones de igualdad a los cargos y funciones públicos (art. 23.2), desde la primera de las perspectivas en las que los recurrentes en amparo fundan la lesión del mencionado derecho fundamental, ya que tal decisión ni ha impedido ni coartado indebida o ilegítimamente el ejercicio de la facultad de los solicitantes de amparo de constituir Grupo Parlamentario, ni contraría la naturaleza de la representación o el ejercicio de la función representativa.</w:t>
      </w:r>
    </w:p>
    <w:p w:rsidR="0025129F" w:rsidRDefault="0025129F" w:rsidP="0025129F">
      <w:pPr>
        <w:pStyle w:val="TextoNormal"/>
      </w:pPr>
      <w:r>
        <w:t>A la conclusión alcanzada no cabe oponer la invocación que los demandantes de amparo hacen de las previsiones reglamentarias relativas a la figura del Diputado asociado, dado que, sin necesidad de entrar en otro tipo de consideraciones, lo manifestado en el escrito dirigido a la Mesa de la Cámara por todos ellos y, en concreto, por los Sres. Erkoreka Gervasio y Martí i Galbis, fue su voluntad de constituir el Grupo Parlamentario Galego (BNG), participando, por lo tanto, en la formación del Grupo en condición de Diputados que proceden a su constitución, no su voluntad de asociarse al Grupo Parlamentario Galego (BNG).</w:t>
      </w:r>
    </w:p>
    <w:p w:rsidR="0025129F" w:rsidRDefault="0025129F" w:rsidP="0025129F">
      <w:pPr>
        <w:pStyle w:val="TextoNormal"/>
      </w:pPr>
    </w:p>
    <w:p w:rsidR="0025129F" w:rsidRDefault="0025129F" w:rsidP="0025129F">
      <w:pPr>
        <w:pStyle w:val="TextoNormal"/>
      </w:pPr>
      <w:r w:rsidRPr="0025129F">
        <w:rPr>
          <w:rStyle w:val="NumeroAFNegritaCaracter"/>
        </w:rPr>
        <w:t>7</w:t>
      </w:r>
      <w:r>
        <w:t>. Los demandantes de amparo imputan también a los Acuerdos impugnados de la Mesa del Congreso de los Diputados la vulneración del derecho reconocido en el art. 23.2 CE, en su vertiente de derecho a un ejercicio igual de sus funciones dentro de la legalidad parlamentaria (SSTC 44/1995, de 13 de febrero, FJ 3; 185/1999, de 11 de octubre, FJ 4), por considerar que la decisión de denegar la constitución del Grupo Parlamentario Galego (BNG) altera bruscamente ex post facto y para un caso único la línea hasta ahora seguida en el Congreso de los Diputados en materia de constitución de Grupos Parlamentarios, apartándose, sin explicación ni razonamiento alguno del cambio de criterio, de los precedentes parlamentarios. En la demanda de amparo invocan como término de comparación la constitución del Grupo Parlamentario Andalucista en la I Legislatura, el rechazo a la propuesta de declaración de caducidad del Grupo Parlamentario de Coalición Canaria en la V Legislatura y la declaración de constitución del Grupo Parlamentario de Coalición Canaria en las VI y VII Legislaturas.</w:t>
      </w:r>
    </w:p>
    <w:p w:rsidR="0025129F" w:rsidRDefault="0025129F" w:rsidP="0025129F">
      <w:pPr>
        <w:pStyle w:val="TextoNormal"/>
      </w:pPr>
      <w:r>
        <w:t>Frente a tales alegaciones, tanto el Letrado de las Cortes Generales, que actúa en representación del Congreso de los Diputados, como el Ministerio Fiscal se oponen, también en este extremo, a la estimación de la demanda de amparo, al entender que los términos de comparación aportados por los recurrentes no son válidos a efectos del juicio de igualdad, pues se refieren a supuestos distintos al ahora considerado, en los que no concurría en la constitución de los Grupos Parlamentarios la circunstancia impeditiva que no ha hecho posible la constitución del Grupo Parlamentario Galego (BNG).</w:t>
      </w:r>
    </w:p>
    <w:p w:rsidR="0025129F" w:rsidRDefault="0025129F" w:rsidP="0025129F">
      <w:pPr>
        <w:pStyle w:val="TextoNormal"/>
      </w:pPr>
      <w:r>
        <w:t>Planteado el problema en tales términos, cabe abordarlo partiendo de que es doctrina constitucional reiterada que, cuando de la igualdad en el acceso a cargos públicos se trata, el genérico mandato de igualdad en todos los sectores del ordenamiento jurídico, previsto en el art. 14 CE, se ve reconducido y subsumido, como de manera correcta se hace en la demanda de amparo, en el específico ámbito del art. 23.2 CE, de no mediar uno de los criterios sospechosos de diferenciación recogidos en el art.  14 CE (STC 36/1990, de 1 de marzo, FJ 2, por todas). De modo que la existencia de precedentes en sentido contrario a los Acuerdos impugnados sólo puede ser argumento para sostener la infracción del derecho fundamental reconocido en el art. 23.2 CE si tales precedentes pueden considerarse integrados en la Ley que ha de ser aplicada en condiciones de igualdad para el acceso al cargo o función pública o la permanencia en aquél o en ésta (SSTC 36/1990, de 1 de mar</w:t>
      </w:r>
      <w:r>
        <w:lastRenderedPageBreak/>
        <w:t>zo, FJ 2; 119/1990, de 21 de junio, FJ 3; 149/1990, de 1 de octubre, FJ 5; 205/1990, de 13 de diciembre, FJ 3; 207/2001, de 23 de abril, FJ 2).</w:t>
      </w:r>
    </w:p>
    <w:p w:rsidR="0025129F" w:rsidRDefault="0025129F" w:rsidP="0025129F">
      <w:pPr>
        <w:pStyle w:val="TextoNormal"/>
      </w:pPr>
      <w:r>
        <w:t>Sin desconocer la trascendencia de los precedentes o usos parlamentarios, no es necesario ahora detenerse a dilucidar su significado normativo, a la luz de una aplicación igual de la Ley, ya que los supuestos de hecho aportados por los demandantes de amparo como término de comparación no guardan con el caso aquí enjuiciado la identidad que todo juicio de igualdad requiere.</w:t>
      </w:r>
    </w:p>
    <w:p w:rsidR="0025129F" w:rsidRDefault="0025129F" w:rsidP="0025129F">
      <w:pPr>
        <w:pStyle w:val="TextoNormal"/>
      </w:pPr>
      <w:r>
        <w:t>En efecto, no es término válido de comparación, a los efectos del juicio de igualdad que proponen los demandantes de amparo, la constitución del Grupo Parlamentario Andalucista en la I Legislatura, ya que, tras haber sido reformado el Reglamento de la Cámara en el sentido de rebajar el número de Diputados necesarios para constituir Grupo Parlamentario --de quince a cinco Diputados-, dicho Grupo Parlamentario fue constituido por el número de Diputados reglamentariamente exigido para proceder a la constitución de un Grupo Parlamentario.</w:t>
      </w:r>
    </w:p>
    <w:p w:rsidR="0025129F" w:rsidRDefault="0025129F" w:rsidP="0025129F">
      <w:pPr>
        <w:pStyle w:val="TextoNormal"/>
      </w:pPr>
      <w:r>
        <w:t>E igual acontece con el Acuerdo de la Mesa de la Cámara de 27 de junio de 1993, en el que se rechazó la propuesta de declarar la caducidad del Grupo Parlamentario de Coalición Canaria, por la circunstancia de que, una vez constituido, uno de sus Diputados abandonase el Grupo Parlamentario, reduciéndose a cuatro el número de sus componentes. Dicho Grupo Parlamentario fue constituido, con cobertura en la regla establecida en el inciso segundo del art. 23.1 RCD, por cuatro Diputados elegidos en las candidaturas de la formación política Coalición Canaria y un Diputado elegido en la candidatura del Partido Aragonés Regionalista, abandonando este último, tras su constitución, el Grupo Parlamentario para integrarse en el Grupo Parlamentario Mixto.  En este caso, a diferencia del ahora enjuiciado, ninguno de los Diputados elegidos en las candidaturas de las formaciones políticas Coalición Canaria y Partido Aragonés Regionalista procedió, junto con otros Diputados, a la constitución de un Grupo Parlamentario distinto al de Coalición Canaria, no invocándose, por consiguiente, el porcentaje de votos obtenidos por las candidaturas presentadas por una misma formación política, que exige el inciso segundo del art. 23.1 RCD, para la constitución de Grupos Parlamentarios distintos, esto es, para constituir un Grupo Parlamentario diferente al constituido por los Diputados elegidos en las candidaturas de Coalición Canaria y del Partido Aragonés Regionalista. Lo debatido y decidido por la Mesa de la Cámara en esa ocasión no fue, por lo tanto, la posibilidad de computar o invocar el porcentaje de votos que establece el inciso segundo del art. 23.1 RCD, una vez utilizado en la constitución de un Grupo Parlamentario por algunos o la mayoría de los Diputados elegidos en las candidaturas de una misma formación política, para la constitución de un Grupo Parlamentario diferente por algún Diputado elegido en esas mismas candidaturas, junto con Diputados elegidos en las candidaturas de otra formación política, sino la posible disolución del Grupo Parlamentario de Coalición Canaria por haberlo abandonado uno de sus componentes, limitándose la Mesa de la Cámara a examinar si la declaración de voluntad del Diputado que había abandonado el Grupo Parlamentario estaba afectada por la causa de nulidad consistente en haberse realizado en fraude de ley y a rechazar, al no resultar debidamente acreditada la existencia del fraude de ley, la propuesta de disolución del Grupo Parlamentario en aplicación del art. 27.2 RCD, que dispone la disolución del Grupo Parlamentario únicamente cuando se reduzca el número de sus componentes durante el transcurso de la Legislatura a un número inferior a la mitad del mínimo exigido para su constitución.</w:t>
      </w:r>
    </w:p>
    <w:p w:rsidR="0025129F" w:rsidRDefault="0025129F" w:rsidP="0025129F">
      <w:pPr>
        <w:pStyle w:val="TextoNormal"/>
      </w:pPr>
      <w:r>
        <w:t xml:space="preserve">Tampoco resulta un término válido de comparación, a efectos del juicio de igualdad que se propone en la demanda de amparo, por su falta de identidad con el supuesto ahora </w:t>
      </w:r>
      <w:r>
        <w:lastRenderedPageBreak/>
        <w:t>enjuiciado, la constitución del Grupo Parlamentario de Coalición Canaria en las VI y VII Legislaturas, constituido, respectivamente, en la primera de ellas, por cuatro Diputados elegidos en las candidaturas de la formación política Coalición Canaria y dos Diputados elegidos en las candidaturas de la formación política Unión del Pueblo Navarro-PP, y, en la segunda, por cuatro y tres Diputados elegidos en las candidaturas de las mismas formaciones políticas. En ambas Legislaturas el mencionado Grupo Parlamentario se constituyó también al amparo de la regla establecida en el inciso segundo del art. 23.1 RCD, pero, a diferencia del caso que ahora nos ocupa y al igual que aconteció con el anterior término de comparación propuesto por los recurrentes, ninguno de los Diputados elegidos en las candidaturas de las formaciones políticas Coalición Canaria y Unión del Pueblo Navarro-PP procedió, junto con otros Diputados elegidos en las candidaturas de distintas formaciones políticas, a la constitución de un Grupo Parlamentario distinto al de Coalición Canaria, no invocándose, por consiguiente, por ninguno de los Diputados elegidos en dichas candidaturas el porcentaje de votos obtenidos por las candidaturas presentadas por una misma formación política, que exige el inciso segundo del art. 23.1 RCD, para la constitución de Grupos Parlamentarios distintos, esto es, para constituir un Grupo Parlamentario diferente al constituido por los Diputados elegidos en las candidaturas de Coalición Canaria y de Unión del Pueblo Navarro-PP. En este caso, la decisión de la Mesa de la Cámara versó, en una y otra Legislatura, en torno a si los Diputados elegidos en las candidaturas de Unión del Pueblo Navarro-PP estaban afectados por la segunda de las prohibiciones que para la constitución de Grupos Parlamentarios se recoge en el segundo inciso del art. 23.2 RCD, que impide también la formación de Grupo Parlamentario separado a los Diputados que, al tiempo de las elecciones, pertenecieran a formaciones políticas que no se hubieran enfrentado ante el electorado. Esto sentado, no corresponde a este Tribunal Constitucional pronunciarse aquí y ahora, por no ser el objeto de su enjuiciamiento, sobre la correcta constitución o no del Grupo Parlamentario de Coalición Canaria, tanto en la VI como en la actual Legislatura, sino únicamente constatar, a los efectos que interesan a este recurso de amparo, la falta de identidad entre el supuesto considerado en este proceso y el ofrecido como término de comparación por los demandantes de amparo.</w:t>
      </w:r>
    </w:p>
    <w:p w:rsidR="0025129F" w:rsidRDefault="0025129F" w:rsidP="0025129F">
      <w:pPr>
        <w:pStyle w:val="TextoNormal"/>
      </w:pPr>
      <w:r>
        <w:t>Los precedentes razonamientos han de conducir, pues, a desestimar, también en este extremo, la denunciada vulneración del derecho a acceder en condiciones de igualdad a los cargos y funciones públicos (art.  23 CE).</w:t>
      </w:r>
    </w:p>
    <w:p w:rsidR="0025129F" w:rsidRDefault="0025129F" w:rsidP="0025129F">
      <w:pPr>
        <w:pStyle w:val="TextoNormal"/>
      </w:pPr>
    </w:p>
    <w:p w:rsidR="0025129F" w:rsidRDefault="0025129F" w:rsidP="0025129F">
      <w:pPr>
        <w:pStyle w:val="TextoNormal"/>
      </w:pPr>
      <w:r w:rsidRPr="0025129F">
        <w:rPr>
          <w:rStyle w:val="NumeroAFNegritaCaracter"/>
        </w:rPr>
        <w:t>8</w:t>
      </w:r>
      <w:r>
        <w:t>. Finalmente, los demandantes de amparo sostienen que los Acuerdos impugnados de la Mesa del Congreso de los Diputados lesionan el principio de igualdad (art. 14 CE), ya que consideran que la discriminación de la que han sido objeto tiene su origen exclusivamente en razones de orden ideológico, dada la ausencia de razones jurídicas en las que se sustenten los Acuerdos recurridos y la ostentosa diferencia de trato que han padecido en relación con la constitución del Grupo Parlamentario de Coalición Canaria.</w:t>
      </w:r>
    </w:p>
    <w:p w:rsidR="0025129F" w:rsidRDefault="0025129F" w:rsidP="0025129F">
      <w:pPr>
        <w:pStyle w:val="TextoNormal"/>
      </w:pPr>
      <w:r>
        <w:t xml:space="preserve">Pese al carácter autónomo, en relación con el derecho recogido en el art. 23.2 CE, que, de acuerdo con una reiterada doctrina constitucional, presentan las quejas por discriminación cuando se dicen producidas por alguno de los criterios expresamente prohibidos por el art. 14 CE (SSTC 36/1990, de 1 de marzo, FJ 2; 119/1990, de 21 de junio, FJ 3, por todas), lo cierto es que en el presente supuesto, bajo esta supuesta lesión del art. 14 CE, los demandantes de amparo vienen a reiterar los motivos ya aducidos con ocasión de la denunciada vulneración del art. 23.2 CE, sin cumplir además la carga de acreditar la razonable sospecha de haber existido una supuesta discriminación y de que ésta se funde en alguno de los criterios proscritos por el art.  14 CE, por lo que debe ser desestimada, con </w:t>
      </w:r>
      <w:r>
        <w:lastRenderedPageBreak/>
        <w:t>base en la argumentación de la que se ha dejado constancia en el precedentes fundamentos jurídicos, la denunciada infracción del art. 14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la presente demanda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8" w:name="SENTENCIA_2002_65"/>
      <w:r>
        <w:lastRenderedPageBreak/>
        <w:t>SENTENCIA 65/2002, de 11 de marzo de 2002</w:t>
      </w:r>
    </w:p>
    <w:bookmarkEnd w:id="68"/>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ECLI:ES:TC:2002:65</w:t>
      </w:r>
    </w:p>
    <w:p w:rsidR="0025129F" w:rsidRDefault="0025129F" w:rsidP="0025129F">
      <w:pPr>
        <w:pStyle w:val="SntesisDescriptiva"/>
      </w:pPr>
    </w:p>
    <w:p w:rsidR="0025129F" w:rsidRDefault="0025129F" w:rsidP="0025129F">
      <w:pPr>
        <w:pStyle w:val="SntesisDescriptiva"/>
      </w:pPr>
      <w:r>
        <w:t>Recurso de amparo 3400-2000. Promovido por don Ángel Luis Matos Martínez frente a Auto de un Juzgado de Vigilancia Penitenciaria de Lleida que confirmó la denegación por el Centro Penitenciario de Ponent de un permiso de salida.</w:t>
      </w:r>
    </w:p>
    <w:p w:rsidR="0025129F" w:rsidRDefault="0025129F" w:rsidP="0025129F">
      <w:pPr>
        <w:pStyle w:val="SntesisDescriptiva"/>
      </w:pPr>
    </w:p>
    <w:p w:rsidR="0025129F" w:rsidRDefault="0025129F" w:rsidP="0025129F">
      <w:pPr>
        <w:pStyle w:val="SntesisAnaltica"/>
      </w:pPr>
      <w:r>
        <w:t>Vulneración del derecho a la tutela judicial efectiva: acceso al recurso frente a resoluciones de los Juzgados de Vigilancia Penitenciaria por parte de reclusos sin asistencia letrada (STC 128/1998).</w:t>
      </w:r>
    </w:p>
    <w:p w:rsidR="0025129F" w:rsidRDefault="0025129F" w:rsidP="0025129F">
      <w:pPr>
        <w:pStyle w:val="SntesisAnaltica"/>
      </w:pPr>
    </w:p>
    <w:p w:rsidR="0025129F" w:rsidRDefault="0025129F" w:rsidP="0025129F">
      <w:pPr>
        <w:pStyle w:val="Extracto"/>
      </w:pPr>
      <w:r>
        <w:t>1.</w:t>
      </w:r>
      <w:r>
        <w:tab/>
        <w:t>Las resoluciones que dicten los Juzgados de Vigilancia Penitenciaria sobre quejas de los internos son susceptibles de recursos de reforma y apelación (STC 128/1998). En el presente caso, la denegación de todo recurso ha supuesto la exclusión del acceso a la instancia superior (SSTC 87/1986, 41/1992) [FFJJ 4 y 6].</w:t>
      </w:r>
    </w:p>
    <w:p w:rsidR="0025129F" w:rsidRDefault="0025129F" w:rsidP="0025129F">
      <w:pPr>
        <w:pStyle w:val="Extracto"/>
      </w:pPr>
    </w:p>
    <w:p w:rsidR="0025129F" w:rsidRDefault="0025129F" w:rsidP="0025129F">
      <w:pPr>
        <w:pStyle w:val="Extracto"/>
      </w:pPr>
      <w:r>
        <w:t>2.</w:t>
      </w:r>
      <w:r>
        <w:tab/>
        <w:t>La instrucción de recursos mediante la que se indica a las partes si la resolución que se les notifica es firme o no y los que, en su caso, procedan ( art. 248.4 LOPJ) no forma parte del decisum de la resolución judicial (STC 128/1998) [FJ 4].</w:t>
      </w:r>
    </w:p>
    <w:p w:rsidR="0025129F" w:rsidRDefault="0025129F" w:rsidP="0025129F">
      <w:pPr>
        <w:pStyle w:val="Extracto"/>
      </w:pPr>
    </w:p>
    <w:p w:rsidR="0025129F" w:rsidRDefault="0025129F" w:rsidP="0025129F">
      <w:pPr>
        <w:pStyle w:val="Extracto"/>
      </w:pPr>
      <w:r>
        <w:t>3.</w:t>
      </w:r>
      <w:r>
        <w:tab/>
        <w:t>Doctrina constitucional sobre el derecho a la tutela judicial efectiva en su vertiente de acceso a los recursos (STC 128/1998)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3400-2000, promovido por don Ángel Luis Matos Martínez, representado por la Procuradora de los Tribunales doña María Isabel Torres Ruiz y asistido por el Letrado don Francisco Javier Iglesias Redondo, contra Auto de 30 de mayo de 2000 del Juzgado de Vigilancia Penitenciaria núm. 3 de Lleida que desestima recurso de reforma sobre denegación de permiso por la Junta de Tratamiento del Centro Penitenciario de Ponent. Ha comparecido el Abogado del Estado, sustituido después por la Letra</w:t>
      </w:r>
      <w:r>
        <w:lastRenderedPageBreak/>
        <w:t>da de la Generalidad de Cataluña, y ha intervenido el Ministerio Fiscal. Ha sido Ponente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12 de junio de 2000 tuvo entrada en el Registro del Tribunal escrito de don Ángel Luis Matos Martínez en el que pedía se tuviese por interpuesto en tiempo y forma recurso de amparo contra el Auto del Juzgado de Vigilancia Penitenciaria núm. 3 de Lleida de 30 de mayo de 2000, por el que se desestimaba el recurso de reforma contra otro Auto anterior del mismo órgano, en el que se confirmaba la decisión de la Junta de Tratamiento del Centro Penitenciario de Ponent denegatoria de un permiso de salida al recurrente. Contra dicho Auto, y según el Juzgado de Vigilancia Penitenciaria, no cabía recurso de apelación, hecho éste que para el recurrente suponía una violación de su derecho a la tutela judicial efectiva. Además, en su escrito don Ángel Luis Matos argumentaba que también se había vulnerado el art. 25.2 CE, que señala que las penas estarán orientadas hacia la reeducación y reinserción social. Asimismo solicitaba la designación de Abogado y Procurador de oficio.</w:t>
      </w:r>
    </w:p>
    <w:p w:rsidR="0025129F" w:rsidRDefault="0025129F" w:rsidP="0025129F">
      <w:pPr>
        <w:pStyle w:val="TextoNormal"/>
      </w:pPr>
    </w:p>
    <w:p w:rsidR="0025129F" w:rsidRDefault="0025129F" w:rsidP="0025129F">
      <w:pPr>
        <w:pStyle w:val="TextoNormal"/>
      </w:pPr>
      <w:r w:rsidRPr="0025129F">
        <w:rPr>
          <w:rStyle w:val="NumeroAFNegritaCaracter"/>
        </w:rPr>
        <w:t>2</w:t>
      </w:r>
      <w:r>
        <w:t>. Librado despacho al Colegio de Abogados para que se designara Procurador y Letrado del turno de oficio, se nombró a doña María Isabel Torres Ruiz y a don Francisco Javier Iglesias Redondo, respectivamente. Asimismo se requirió al Juzgado de Vigilancia Penitenciaria núm. 3 de Lleida para que remitiera testimonio del expediente.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26 de septiembre de 2000 tuvo entrada en el Registro de este Tribunal la demanda de amparo formulada por doña María Isabel Torres Ruiz en representación de don Ángel Luis Matos Martínez, bajo la dirección de don Francisco Javier Iglesias Redondo. </w:t>
      </w:r>
    </w:p>
    <w:p w:rsidR="0025129F" w:rsidRDefault="0025129F" w:rsidP="0025129F">
      <w:pPr>
        <w:pStyle w:val="TextoNormal"/>
      </w:pPr>
      <w:r>
        <w:t xml:space="preserve">Los hechos en los que se fundamenta dicha demanda son en síntesis los siguientes: don Ángel Luis Matos Martínez, interno en el Centro Penitenciario de Ponent (Lleida), actuando en todo momento en su propio nombre y sin asistencia letrada, solicitó un permiso de salida que le fue denegado por la Junta de Tratamiento de dicho Centro, motivo por el cual interpuso recurso que fue desestimado por Auto de 18 de abril de 2000 del Juzgado de Vigilancia Penitenciaria núm. 3 de Lleida. Contra dicho Auto interpuso recurso de reforma que fue desestimado por nuevo Auto del mismo Juzgado de 30 de mayo de 2000. En el mismo se advertía que no cabía recurso contra esta nueva resolución. </w:t>
      </w:r>
    </w:p>
    <w:p w:rsidR="0025129F" w:rsidRDefault="0025129F" w:rsidP="0025129F">
      <w:pPr>
        <w:pStyle w:val="TextoNormal"/>
      </w:pPr>
      <w:r>
        <w:t xml:space="preserve">Basándose en estos hechos, formula el actor sus pretensiones dirigidas contra el Auto de 30 de mayo de 2000 del Juzgado de Vigilancia Penitenciaria, al considerar que éste ha lesionado su derecho a la tutela judicial efectiva. A su juicio, del examen de la Ley Orgánica del Poder Judicial (Disposición adicional quinta) y de la Ley Orgánica General Penitenciaria (art.76. 2. i) se deduce que los Autos de los Juzgados de Vigilancia Penitenciaria sobre permisos de salida cuya duración sea superior a dos días, excepto los de los presos clasificados en tercer grado, son susceptibles de recurso de apelación ante las Audiencias Provinciales respectivas, como, por otra parte, sostienen las opiniones doctrinales que cita a mayor abundamiento. Resalta el recurrente que el Auto ya citado indica erróneamente la no posibilidad de recurso y no se limita a una omisión. El error en este caso no pudo ser salvado por la actividad diligente de la parte porque ésta actuó en todo momento sin asistencia letrada, lo que, de acuerdo con la doctrina de este Tribunal, supondría que no pueda oponerse a su pretensión que se trataba de un error fácilmente superable. En virtud de todo </w:t>
      </w:r>
      <w:r>
        <w:lastRenderedPageBreak/>
        <w:t>ello, la demanda termina suplicando que se otorgue el amparo pedido y se anule el ya citado Auto, ordenando al Juzgado de Vigilancia Penitenciaria núm. 3 de Lleida dictar uno nuevo en el que se signifique al interesado que contra él cabe recurso de apelación.</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 de octubre de 2001, la Sección Primera de este Tribunal acuerda admitir a trámite la demanda de amparo presentada y notificar al Abogado del Estado y al Ministerio Fiscal dicha resolución para que comparecieran y presentasen las alegaciones pertinentes.</w:t>
      </w:r>
    </w:p>
    <w:p w:rsidR="0025129F" w:rsidRDefault="0025129F" w:rsidP="0025129F">
      <w:pPr>
        <w:pStyle w:val="TextoNormal"/>
      </w:pPr>
    </w:p>
    <w:p w:rsidR="0025129F" w:rsidRDefault="0025129F" w:rsidP="0025129F">
      <w:pPr>
        <w:pStyle w:val="TextoNormal"/>
      </w:pPr>
      <w:r w:rsidRPr="0025129F">
        <w:rPr>
          <w:rStyle w:val="NumeroAFNegritaCaracter"/>
        </w:rPr>
        <w:t>5</w:t>
      </w:r>
      <w:r>
        <w:t>. El 26 de octubre de 2001 presenta sus alegaciones el Abogado del Estado. Indica, en primer lugar, que no procede anular el Auto impugnado, sino, como mucho, disponer que se notifique con expresión de que cabe apelarlo ante la Audiencia. Por otro lado, alega la representación del Estado que no cabe otorgar el amparo por tres razones principales: a) a su juicio, la falta de defensa letrada no inhabilitó al recurrente para plantear correctamente las cuestiones fácticas y jurídicas objeto de la pretensión; b) no hay error en el pie de recursos del Auto porque contra la desestimación de un recurso "de alzada" contra actos de la Administración Penitenciaria sólo cabe reforma y no apelación; y c) aun cuando se entendiese errónea la advertencia de la inexistencia de recurso, con ella no se privaba al hoy demandante del derecho a recurrir, especialmente si se tiene en cuenta que pudo solicitar asistencia letrada. Sobre esta base, interesaba la denegación del amparo añadiendo en otrosí que entendía que cuando se trate de actuaciones de los Juzgados de Vigilancia Penitenciaria de Cataluña la defensa de la Administración en los recursos de amparo debe correr a cargo del Letrado de la Generalidad de Cataluña.</w:t>
      </w:r>
    </w:p>
    <w:p w:rsidR="0025129F" w:rsidRDefault="0025129F" w:rsidP="0025129F">
      <w:pPr>
        <w:pStyle w:val="TextoNormal"/>
      </w:pPr>
    </w:p>
    <w:p w:rsidR="0025129F" w:rsidRDefault="0025129F" w:rsidP="0025129F">
      <w:pPr>
        <w:pStyle w:val="TextoNormal"/>
      </w:pPr>
      <w:r w:rsidRPr="0025129F">
        <w:rPr>
          <w:rStyle w:val="NumeroAFNegritaCaracter"/>
        </w:rPr>
        <w:t>6</w:t>
      </w:r>
      <w:r>
        <w:t>. El Ministerio Fiscal presenta sus alegaciones el 2 de noviembre de 2001, resaltando, en primer lugar, la similitud del supuesto que se enjuicia con los resueltos por las Sentencias de este Tribunal 128/1998, de 16 de junio, y 229/1998, de 1 de diciembre. En su opinión, lo que se debate en el caso de autos es la denegación de efectiva tutela judicial por cuanto el interno, que había actuado su defensa en solitario y sin asistencia letrada, no tuvo, de una parte, oportunidad de obtener un pronunciamiento del Tribunal ad quem sobre el recurso de apelación que deseaba interponer y, por otro lado, tampoco es posible advertir falta de diligencia en el propio recurrente por no haber formalizado directamente un recurso de queja ante el eventual órgano judicial de apelación, al no haber estado asistido de Letrado que le hubiera podido asesorar técnicamente sobre dicho recurso. Por todo ello, el Ministerio Fiscal solicita el otorgamiento del amparo, el reconocimiento al recurrente de su derecho a la tutela judicial efectiva y la anulación del Auto ya citado en lo que se refiere al inciso de que contra él no cabe recurso.</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26 de noviembre de 2001, la Sección Primera del Tribunal Constitucional acuerda dejar sin efecto el emplazamiento al Abogado del Estado y emplazar al Letrado de la Generalidad de Cataluña, al ser la Administración autonómica quien gestiona los servicios penitenciarios en aquella Comunidad Autónoma.</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Las alegaciones de la Letrada de la Generalidad de Cataluña tuvieron entrada en el Tribunal el 21 de diciembre de 2001. En ellas se insta, en primer lugar, la inadmisión del recurso de amparo por no haber agotado todos los recursos utilizables [art. 44.1 a) LOTC] y por no haberse invocado formalmente en el proceso el derecho constitucional vulnerado </w:t>
      </w:r>
      <w:r>
        <w:lastRenderedPageBreak/>
        <w:t>[art. 44.1 c) LOTC]. En cuanto al fondo del asunto, aun reconociendo la imprecisión de términos que hace especialmente dificultosa la interpretación de los preceptos aplicables, entiende que una interpretación conjunta de la Disposición adicional 5.3 de la Ley Orgánica del Poder Judicial en relación con los arts. 76, 2 de la Ley Orgánica 1/1979, General Penitenciaria, y 161 y 162 del Reglamento Penitenciario conduce a la conclusión de que en el supuesto de que los reclusos recurran contra la denegación de un permiso de salida por la Administración Penitenciaria el Auto resolutorio de la cuestión no es susceptible de apelación, siendo claro que el objeto de este amparo se refiere a una interpretación judicial sin relevancia a efectos de tutela judicial efectiva. Para la Letrada de la Generalidad, la interpretación que realiza el Auto de la Disposición adicional 5.3 de la Ley Orgánica del Poder Judicial es conforme a la jurisprudencia constitucional (STC 169/1996 y AATC 186/1993, 203/1989, 212/1991 y 3/1992) y no comporta la vulneración de la tutela judicial efectiva del demandante, por lo que propone que se declare la inadmisibilidad del recurso o, subsidiariamente, se desestime.</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fecha 7 de marzo se acordó señalar para deliberación y votación de esta Sentencia el día 11 siguiente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Se impugna en este proceso de amparo el Auto del Juzgado de Vigilancia Penitenciaria núm. 3 de Lleida de 30 de mayo de 2000, desestimatorio del recurso de reforma interpuesto contra anterior Auto relativo a un permiso de salida, siendo ya de indicar que el Auto ahora recurrido, al ordenar su notificación, incluía la siguiente mención: "contra la presente resolución no cabe recurso". Es justamente esta indicación la que da lugar a la formulación de este recurso de amparo.</w:t>
      </w:r>
    </w:p>
    <w:p w:rsidR="0025129F" w:rsidRDefault="0025129F" w:rsidP="0025129F">
      <w:pPr>
        <w:pStyle w:val="TextoNormal"/>
      </w:pPr>
      <w:r>
        <w:t>Para el aquí demandante, que actuaba sin asistencia letrada, con esa mención, errónea, pues se separa de la "doctrina científica ... unánime", se le ha privado de la posibilidad de que la Audiencia Provincial revisara la denegación de un permiso de salida, con vulneración de su derecho a la tutela judicial efectiva, en su vertiente de acceso a los recursos (art. 24.1 CE).</w:t>
      </w:r>
    </w:p>
    <w:p w:rsidR="0025129F" w:rsidRDefault="0025129F" w:rsidP="0025129F">
      <w:pPr>
        <w:pStyle w:val="TextoNormal"/>
      </w:pPr>
      <w:r>
        <w:t>El Ministerio Fiscal interesa la estimación del recurso, destacando la analogía que el caso guarda con los resueltos en las SSTC 128/1998, de 16 de junio, y 229/1998, de 1 de diciembre, en las que los respectivos Juzgados negaron la posibilidad de la apelación o la queja a internos en Centros Penitenciarios que actuaban sin asistencia letrada.</w:t>
      </w:r>
    </w:p>
    <w:p w:rsidR="0025129F" w:rsidRDefault="0025129F" w:rsidP="0025129F">
      <w:pPr>
        <w:pStyle w:val="TextoNormal"/>
      </w:pPr>
      <w:r>
        <w:t>El Abogado del Estado, primeramente, y, después, la Letrada de la Generalidad de Cataluña solicitan la desestimación del amparo, fundamentalmente, por entender improcedente la apelación, habida cuenta de lo dispuesto en la Disposición adicional 5.3 LOPJ, siendo de advertir que dicha Letrada, con carácter principal, pide la declaración de inadmisibilidad del recurso por entender incumplidos los requisitos establecidos en el art. 44,1 a) y c) LOTC.</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Independientemente de que las mencionadas causas de inadmisibilidad guardan una íntima conexión con el fondo del asunto, resulta clara la improcedencia de su estimación: si no se agotó la vía judicial interponiendo recurso de apelación o de queja, ello derivaba claramente de la propia advertencia contenida en el Auto que se ha traído directamente </w:t>
      </w:r>
      <w:r>
        <w:lastRenderedPageBreak/>
        <w:t>ante este Tribunal y, si no se invocó el derecho constitucional vulnerado en dicha vía, fue porque el Auto al que se atribuye la lesión constitucional se declaraba irrecurrible.</w:t>
      </w:r>
    </w:p>
    <w:p w:rsidR="0025129F" w:rsidRDefault="0025129F" w:rsidP="0025129F">
      <w:pPr>
        <w:pStyle w:val="TextoNormal"/>
      </w:pPr>
    </w:p>
    <w:p w:rsidR="0025129F" w:rsidRDefault="0025129F" w:rsidP="0025129F">
      <w:pPr>
        <w:pStyle w:val="TextoNormal"/>
      </w:pPr>
      <w:r w:rsidRPr="0025129F">
        <w:rPr>
          <w:rStyle w:val="NumeroAFNegritaCaracter"/>
        </w:rPr>
        <w:t>3</w:t>
      </w:r>
      <w:r>
        <w:t>. Entrando ya en el fondo, será de recordar la reiterada doctrina de este Tribunal respecto del derecho a la tutela judicial efectiva en su vertiente de acceso a los recursos, tal como la resume la STC 128/98, de 16 de junio:</w:t>
      </w:r>
    </w:p>
    <w:p w:rsidR="0025129F" w:rsidRDefault="0025129F" w:rsidP="0025129F">
      <w:pPr>
        <w:pStyle w:val="TextoNormal"/>
      </w:pPr>
      <w:r>
        <w:t>a) "Con la salvedad de las resoluciones penales condenatorias, la garantía de la doble instancia judicial es de configuración legal (SSTC 42/1982, 37/1988 o 184/1997, entre otras muchas). Por otra parte, como hemos venido declarando reiteradamente, el acceso a los recursos legalmente ordenados tiene una distinta relevancia constitucional que el acceso al proceso: mientras el derecho a la obtención de una resolución judicial razonada y fundada goza de una protección constitucional directamente dimanante del art. 24.1 CE 'el derecho a la revisión de esta resolución es, en principio, un derecho de configuración legal' (STC 160/1996, FJ 2)".</w:t>
      </w:r>
    </w:p>
    <w:p w:rsidR="0025129F" w:rsidRDefault="0025129F" w:rsidP="0025129F">
      <w:pPr>
        <w:pStyle w:val="TextoNormal"/>
      </w:pPr>
      <w:r>
        <w:t>b) "La prestación judicial que satisface este derecho a los recursos, cuando se ha incorporado a la tutela judicial de acuerdo con lo establecido en las leyes procesales, será normalmente la de una decisión de fondo sobre la legitimidad de la resolución recurrida, aunque también una 'explicación razonada y fundada en Derecho de la inadmisión de los recursos interpuestos, ... satisface el derecho a la tutela judicial efectiva' (STC 179/1995, FJ 4)".</w:t>
      </w:r>
    </w:p>
    <w:p w:rsidR="0025129F" w:rsidRDefault="0025129F" w:rsidP="0025129F">
      <w:pPr>
        <w:pStyle w:val="TextoNormal"/>
      </w:pPr>
      <w:r>
        <w:t>c)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intuitu personae, o incurriendo en error patente (SSTC 37/1995, 160/1996 o 93/1997, entre otras muchas)".</w:t>
      </w:r>
    </w:p>
    <w:p w:rsidR="0025129F" w:rsidRDefault="0025129F" w:rsidP="0025129F">
      <w:pPr>
        <w:pStyle w:val="TextoNormal"/>
      </w:pPr>
      <w:r>
        <w:t>d) "Ahora bien, lo dicho no implica que la posibilidad o no de recurrir resulte constitucionalmente irrelevante, con la sola y exclusiva excepción de las Sentencias penales condenatorias. También con posterioridad a la STC 37/1995, que de modo singular subrayó la consideración de lo relativo a la admisibilidad de los recursos como cuestiones predominantemente de legalidad, se han venido otorgando numerosos amparos por infracción del mencionado derecho a los recursos, sin ceñirnos a los supuestos de Sentencias penales condenatorias (así, las SSTC 100/1995, 172/1995, 149/1996, 160/1996, 194/1996, 9/1997, 93/1997, 127/1997, etcétera), implicando así que existen circunstancias ante las que la privación del recurso representa una infracción del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4</w:t>
      </w:r>
      <w:r>
        <w:t>. Ya más concretamente, ha de señalarse que las cuestiones aquí planteadas han sido resueltas en la citada STC 128/98, de 16 de junio, que en su fundamento jurídico 8 subraya que el de apelación es "un recurso comúnmente utilizado" respecto de las resoluciones que dicten los Juzgados de Vigilancia Penitenciaria decidiendo sobre "quejas" de los internos en un establecimiento penitenciario -ésta es la correcta calificación del primer escrito dirigido por el hoy demandante de amparo al Juez de Vigilancia Penitenciaria [art. 76, 2 g) de la Ley Orgánica 1/1979, de 29 de septiembre, General Penitenciaria, y art. 162 del Reglamento Penitenciario]- , pues se viene entendiendo que "son resoluciones dictadas en primera instancia y, por tanto, susceptibles de recursos de reforma y apelación".</w:t>
      </w:r>
    </w:p>
    <w:p w:rsidR="0025129F" w:rsidRDefault="0025129F" w:rsidP="0025129F">
      <w:pPr>
        <w:pStyle w:val="TextoNormal"/>
      </w:pPr>
      <w:r>
        <w:t>Así las cosas, y siguiendo la doctrina de dicha Sentencia, ha de indicarse que, ciertamente, "la instrucción de recursos mediante la que se indica a las partes si la resolución que se les notifica es firme o no y los que, en su caso, procedan (art.  248.4 LOPJ) no for</w:t>
      </w:r>
      <w:r>
        <w:lastRenderedPageBreak/>
        <w:t>ma parte del decisum de la resolución judicial (SSTC 175/1985, de 17 de diciembre; 155/1991, de 10 de julio, o 70/1996, de 24 de abril). Por ello, para determinar si los errores u omisiones que la misma pueda contener implican la denegación del recurso debe estarse a la posibilidad de que una actitud diligente del interesado le permita salvar tales defectos y acudir a la vía impugnatoria legalmente prevista (SSTC 70/1984, de 11 de junio; 107/1987, de 25 de junio; 376/1993, de 20 de diciembre, o 70/1996, de 24 de abril), ya que, si bien los errores de los órganos judiciales no deben producir efectos negativos en la esfera jurídica del ciudadano, tales errores carecerán de relevancia constitucional cuando sean también imputables a la negligencia de la parte. Ello implica tanto que a la indicación errónea haya de darse 'mayor alcance que a la simple omisión, en cuanto que es susceptible de inducir a un error a la parte litigante, error que hay que considerar como excusable, dada la autoridad que necesariamente ha de merecer la decisión judicial' (STC 107/1987, de 25 de junio), como que deba distinguirse, como esta última Sentencia señala,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En definitiva, como declaramos en la STC 43/1995, de 13 de febrero, 'serán las circunstancias concretas que concurren en el supuesto planteado las que deberán analizarse para determinar si, partiendo de aquella indicación errónea judicial, la parte pudo razonablemente salvar la equivocación y actuar correctamente desde la perspectiva procesal o, por el contrario, aquel error era insalvable y a él no contribuyó su propia negligencia, de forma que merezca el amparo que a través de este proceso constitucional solicita' (FJ 2)".</w:t>
      </w:r>
    </w:p>
    <w:p w:rsidR="0025129F" w:rsidRDefault="0025129F" w:rsidP="0025129F">
      <w:pPr>
        <w:pStyle w:val="TextoNormal"/>
      </w:pPr>
    </w:p>
    <w:p w:rsidR="0025129F" w:rsidRDefault="0025129F" w:rsidP="0025129F">
      <w:pPr>
        <w:pStyle w:val="TextoNormal"/>
      </w:pPr>
      <w:r w:rsidRPr="0025129F">
        <w:rPr>
          <w:rStyle w:val="NumeroAFNegritaCaracter"/>
        </w:rPr>
        <w:t>5</w:t>
      </w:r>
      <w:r>
        <w:t>. Ya con referencia concreta a este recurso de amparo, importa destacar que el demandante, interno en un Centro Penitenciario, actuaba sin asistencia letrada y sin posibilidad de tener asesoramiento técnico, lo que, como deriva de lo expuesto, adquiere aquí un peculiar relieve teniendo en cuenta: a) que no estamos ante una simple omisión del ofrecimiento de recursos, sino ante una expresa mención de su inexistencia; b) que esta indicación se produce precisamente dentro de la resolución judicial, y c) que en el terreno de los recursos contra las resoluciones de los Jueces de Vigilancia Penitenciaria, materia regulada "de manera poco clara e insatisfactoria, en opinión doctrinal generalizada" (STC 54/1992, de 8 de abril, FJ 3), como reconoce la Letrada de la Generalidad, "la imprecisión de los términos hace especialmente dificultosa la interpretación de los preceptos aplicables".</w:t>
      </w:r>
    </w:p>
    <w:p w:rsidR="0025129F" w:rsidRDefault="0025129F" w:rsidP="0025129F">
      <w:pPr>
        <w:pStyle w:val="TextoNormal"/>
      </w:pPr>
      <w:r>
        <w:t>Es claro, así, que en estos autos "puede razonablemente considerarse que un recurrente carente de asistencia letrada, sin que medie ningún tipo de negligencia de su parte, haya razonablemente entendido que tenía real y efectivamente cerrado, de manera definitiva, el acceso al recurso de apelación".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En definitiva, será de concluir que, "en el presente caso, la denegación del recurso ha supuesto la exclusión del acceso a la instancia superior incluso para pronunciarse acerca de la procedencia misma del recurso, por lo que no podemos desconectarla de la relevancia constitucional del acceso a las 'diversas instancias judiciales previstas en las leyes' (SSTC 87/1986, FJ 2, y 41/1992, FJ 6), que hace que 'la trascendencia constitucional del derecho al recurso, ha de ponerse en conexión con las consecuencias que se derivan de la pérdida indebida del recurso, que son especialmente relevantes cuando afectan al acceso a una superior instancia de revisión como prestación judicial prevista por la ley' (STC </w:t>
      </w:r>
      <w:r>
        <w:lastRenderedPageBreak/>
        <w:t>41/1992, FJ 6)" y "es precisamente la actuación judicial, al imposibilitar una respuesta de la Audiencia Provincial, cualquiera que fuese su contenido, lo que otorga relevancia constitucional a ese cierre del recurso. Pues, como generalmente se establece en su regulación, lo que es aplicable al presente caso, de conformidad con los arts. 218 y 219 LECrim, los recursos devolutivos deben interponerse ante el órgano a quo, que se pronuncia en primer término sobre su admisibilidad, debiendo notarse que la procedencia del recurso de queja deberá indicarse, en su caso, al notificar la resolución de inadmisión a trámite de la apelación. Con ello se garantiza al interesado que pueda acudir ante el órgano ad quem, que será así el que tenga la última palabra sobre la procedencia del recurso, respetándose de este modo el derecho a las diversas instancias judiciales previstas por la leyes (STC 41/1992); por ello, este Tribunal ha declarado, en relación con el recurso de queja, que sería absurdo atribuirle el conocimiento de éste a órgano distinto del que ha de resolver el recurso ejercitado (STC 72/1992 y ATC 182/1984)" (STC 128/98, FJ 8).</w:t>
      </w:r>
    </w:p>
    <w:p w:rsidR="0025129F" w:rsidRDefault="0025129F" w:rsidP="0025129F">
      <w:pPr>
        <w:pStyle w:val="TextoNormal"/>
      </w:pPr>
    </w:p>
    <w:p w:rsidR="0025129F" w:rsidRDefault="0025129F" w:rsidP="0025129F">
      <w:pPr>
        <w:pStyle w:val="TextoNormal"/>
      </w:pPr>
      <w:r w:rsidRPr="0025129F">
        <w:rPr>
          <w:rStyle w:val="NumeroAFNegritaCaracter"/>
        </w:rPr>
        <w:t>7</w:t>
      </w:r>
      <w:r>
        <w:t>. Así pues, la exclusión de todo recurso hecha en el Auto aquí impugnado ha privado al demandante de amparo, no sólo de la posibilidad misma del recurso de apelación, sino de la de acudir en queja ante la Audiencia Provincial, lesionando así su derecho a la tutela judicial efectiva, en su vertiente de acceso a los recursos (art. 24.1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y, en consecuencia:</w:t>
      </w:r>
    </w:p>
    <w:p w:rsidR="0025129F" w:rsidRDefault="0025129F" w:rsidP="0025129F">
      <w:pPr>
        <w:pStyle w:val="TextoNormal"/>
      </w:pPr>
      <w:r>
        <w:t>1º Reconocer el derecho del recurrente a la tutela judicial efectiva, en cuanto comprensiva del derecho a utilizar los recursos establecidos por la ley.</w:t>
      </w:r>
    </w:p>
    <w:p w:rsidR="0025129F" w:rsidRDefault="0025129F" w:rsidP="0025129F">
      <w:pPr>
        <w:pStyle w:val="TextoNormal"/>
      </w:pPr>
      <w:r>
        <w:t>2º Declarar la nulidad del Auto de 30 de mayo de 2000 en el inciso referente al ofrecimiento de recursos.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once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69" w:name="SENTENCIA_2002_66"/>
      <w:r>
        <w:lastRenderedPageBreak/>
        <w:t>SENTENCIA 66/2002, de 21 de marzo de 2002</w:t>
      </w:r>
    </w:p>
    <w:bookmarkEnd w:id="69"/>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ECLI:ES:TC:2002:66</w:t>
      </w:r>
    </w:p>
    <w:p w:rsidR="0025129F" w:rsidRDefault="0025129F" w:rsidP="0025129F">
      <w:pPr>
        <w:pStyle w:val="SntesisDescriptiva"/>
      </w:pPr>
    </w:p>
    <w:p w:rsidR="0025129F" w:rsidRDefault="0025129F" w:rsidP="0025129F">
      <w:pPr>
        <w:pStyle w:val="SntesisDescriptiva"/>
      </w:pPr>
      <w:r>
        <w:t>Recurso de amparo 2331/1998. Promovido por don Juan Antonio Postigo Martínez frente a Sentencia de la Sala de lo Social del Tribunal Superior de Justicia de Castilla y León y de un Juzgado de lo Social de Soria en autos sobre tutela de la libertad sindical.</w:t>
      </w:r>
    </w:p>
    <w:p w:rsidR="0025129F" w:rsidRDefault="0025129F" w:rsidP="0025129F">
      <w:pPr>
        <w:pStyle w:val="SntesisDescriptiva"/>
      </w:pPr>
    </w:p>
    <w:p w:rsidR="0025129F" w:rsidRDefault="0025129F" w:rsidP="0025129F">
      <w:pPr>
        <w:pStyle w:val="SntesisAnaltica"/>
      </w:pPr>
      <w:r>
        <w:t>Vulneración del derecho de huelga: despido de trabajadores y contratación de eventuales con ocasión de convocatorias de huelga.</w:t>
      </w:r>
    </w:p>
    <w:p w:rsidR="0025129F" w:rsidRDefault="0025129F" w:rsidP="0025129F">
      <w:pPr>
        <w:pStyle w:val="SntesisAnaltica"/>
      </w:pPr>
    </w:p>
    <w:p w:rsidR="0025129F" w:rsidRDefault="0025129F" w:rsidP="0025129F">
      <w:pPr>
        <w:pStyle w:val="Extracto"/>
      </w:pPr>
      <w:r>
        <w:t>1.</w:t>
      </w:r>
      <w:r>
        <w:tab/>
        <w:t>Los despidos de tres trabajadores y su posterior readmisión tuvieron efectos directos sobre la huelga, produciéndose un menoscabo del ejercicio del derecho fundamental y de los propósitos que con el mismo se perseguían [FJ 8].</w:t>
      </w:r>
    </w:p>
    <w:p w:rsidR="0025129F" w:rsidRDefault="0025129F" w:rsidP="0025129F">
      <w:pPr>
        <w:pStyle w:val="Extracto"/>
      </w:pPr>
    </w:p>
    <w:p w:rsidR="0025129F" w:rsidRDefault="0025129F" w:rsidP="0025129F">
      <w:pPr>
        <w:pStyle w:val="Extracto"/>
      </w:pPr>
      <w:r>
        <w:t>2.</w:t>
      </w:r>
      <w:r>
        <w:tab/>
        <w:t>La libertad de contratación del empresario resultaría contraria al art. 28.2 CE de utilizarse como instrumento para privar de efectividad a la huelga. Sin embargo, no ha sido éste el caso pues de lo expuesto se desprende la autonomía de la medida respecto del conflicto y su falta de influencia en el ejercicio del derecho [FJ 7].</w:t>
      </w:r>
    </w:p>
    <w:p w:rsidR="0025129F" w:rsidRDefault="0025129F" w:rsidP="0025129F">
      <w:pPr>
        <w:pStyle w:val="Extracto"/>
      </w:pPr>
    </w:p>
    <w:p w:rsidR="0025129F" w:rsidRDefault="0025129F" w:rsidP="0025129F">
      <w:pPr>
        <w:pStyle w:val="Extracto"/>
      </w:pPr>
      <w:r>
        <w:t>3.</w:t>
      </w:r>
      <w:r>
        <w:tab/>
        <w:t>Doctrina constitucional sobre la distribución de la carga de la prueba relativa a la vulneración de derechos fundamentales (STC 90/1997) [FFJJ 3 y 5].</w:t>
      </w:r>
    </w:p>
    <w:p w:rsidR="0025129F" w:rsidRDefault="0025129F" w:rsidP="0025129F">
      <w:pPr>
        <w:pStyle w:val="Extracto"/>
      </w:pPr>
    </w:p>
    <w:p w:rsidR="0025129F" w:rsidRDefault="0025129F" w:rsidP="0025129F">
      <w:pPr>
        <w:pStyle w:val="Extracto"/>
      </w:pPr>
      <w:r>
        <w:t>4.</w:t>
      </w:r>
      <w:r>
        <w:tab/>
        <w:t>Cuando se enjuicia la presunta vulneración de un derecho sustantivo, como lo es el relativo a la huelga, el test de razonabilidad que este Tribunal aplica a los derechos del art. 24 CE queda absorbido por el canon propio de aquel derecho (STC 94/1995)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2331/98, promovido por don Juan Antonio Postigo Martínez, don Félix del Cura Martínez, don Agustín Pachón Carazo, don Roberto Cervero </w:t>
      </w:r>
      <w:r>
        <w:lastRenderedPageBreak/>
        <w:t>Romero y don Jesús Vicente Mamolar, representados por la Procuradora de los Tribunales doña Isabel Cañedo Vega y asistidos por la Abogada doña Nieves San Vicente Leza, contra la Sentencia de la Sala de lo Social del Tribunal Superior de Justicia de Castilla y León, en su sede de Burgos, de 2 de junio de 1997, dictada en recurso de suplicación núm. 275/97. Ha intervenido el Ministerio Fiscal y ha sido parte Metalúrgica de Gormaz, S.A., representada por el Procurador don José Luis Ferrer Recuero y bajo la dirección del Letrado don Jesús López Brea. Ha sido Ponente el Presidente don Manuel Jiménez de Parga y Cabrera,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el Tribunal el 26 de mayo de 1998, don Juan Antonio Postigo Martínez, Secretario de la Unión Provincial de las CC OO de Soria, y don Félix del Cura Martínez, don Agustín Pachón Carazo, don Roberto Cervero Romero y don Jesús Vicente Mamolar, miembros del Comité de empresa de Metalúrgica Gormaz S.A., representados por la Procuradora de los Tribunales doña Isabel Cañedo Vega, interponen recurso de amparo contra la Sentencia de la Sala de lo Social del Tribunal Superior de Castilla y León (Burgos), de 2 de junio de 1997, y contra la Sentencia del Juzgado de lo Social de Soria, de 27 de febrero de 1997.</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Constituyen la base fáctica de la demanda los siguientes antecedentes: </w:t>
      </w:r>
    </w:p>
    <w:p w:rsidR="0025129F" w:rsidRDefault="0025129F" w:rsidP="0025129F">
      <w:pPr>
        <w:pStyle w:val="TextoNormal"/>
      </w:pPr>
      <w:r>
        <w:t xml:space="preserve">a) Los recurrentes, en su condición de representantes de los trabajadores, formularon demanda de tutela de la libertad sindical frente a la empresa Metalúrgica de Gormaz, S.A., y la Sociedad Española del Acumulador Tudor, S.A.. Solicitaban que se declarara la existencia de prácticas empresariales contrarias al derecho de huelga; actos que, según decían, habrían tenido lugar con ocasión y por razón de la convocatoria de diversas jornadas de paro motivadas por desacuerdos salariales en la negociación del nuevo convenio colectivo. Las decisiones empresariales controvertidas se concretaban, a juicio de los actores, en el despido sin causa de tres trabajadores con ocasión de una primera convocatoria, en la sustitución de trabajadores en huelga en la tercera convocatoria, en la grabación de imágenes en vídeo y desviación de la producción en la cuarta convocatoria y en la declaración de cierre patronal al tiempo de la quinta convocatoria, así como en la realización de nuevos contratos en perjuicio de los anteriores contratados. Demandaban la nulidad radical de esas medidas, la condena al pago de una indemnización al Comité de Empresa (que cifraban en 2.000.000 ptas., con destino al fondo social existente de la empresa), y el pago de una indemnización a cada uno de los huelguistas en cantidad idéntica a la descontada con motivo de la huelga. </w:t>
      </w:r>
    </w:p>
    <w:p w:rsidR="0025129F" w:rsidRDefault="0025129F" w:rsidP="0025129F">
      <w:pPr>
        <w:pStyle w:val="TextoNormal"/>
      </w:pPr>
      <w:r>
        <w:t xml:space="preserve">b) De los hechos probados (modificados algunos por la Sentencia dictada en el grado jurisdiccional de suplicación) pueden extraerse los siguientes: </w:t>
      </w:r>
    </w:p>
    <w:p w:rsidR="0025129F" w:rsidRDefault="0025129F" w:rsidP="0025129F">
      <w:pPr>
        <w:pStyle w:val="TextoNormal"/>
      </w:pPr>
      <w:r>
        <w:t xml:space="preserve">1) El Comité de Empresa de la fábrica Tudor (Sociedad Española del Acumulador Tudor, S.A.), antes MEGORSA, presentó ante la Delegación en Soria de la Oficina Territorial de Trabajo de la Junta de Castilla y León las convocatorias de huelga general, para todos los trabajadores de la citada empresa, que se relacionan a continuación: con fecha de 9 de octubre de 1996, para el día 14 de octubre de 1996 desde las seis horas hasta el día 15 de octubre de 1996 a las seis horas; con fecha 14 de octubre de 1996, para los días 21, 22 y 23 de octubre de 1996 desde la seis horas del día 21 hasta las seis horas del día 24; con fecha de 29 de octubre de 1996, para los días 4, 5, 6, y 7 de noviembre de 1996 desde las </w:t>
      </w:r>
      <w:r>
        <w:lastRenderedPageBreak/>
        <w:t xml:space="preserve">seis horas del día 4 hasta las seis horas del día 8; con fecha de 6 de noviembre de 1996, para los días 12, 13 y 14 de noviembre de 1996 desde la seis horas del día 12 hasta las seis horas del día 15 y con fecha de 12 de noviembre de 1996, para los días 18, 19, 20, 21, 22, 23, 24, 25, 26, 27, 28 y 29 de noviembre de 1996 desde las seis horas del día 18 hasta las seis horas del día 30 de noviembre. </w:t>
      </w:r>
    </w:p>
    <w:p w:rsidR="0025129F" w:rsidRDefault="0025129F" w:rsidP="0025129F">
      <w:pPr>
        <w:pStyle w:val="TextoNormal"/>
      </w:pPr>
      <w:r>
        <w:t xml:space="preserve">2) El convenio colectivo había expirado con fecha de 31 de diciembre de 1995. El motivo de las huelgas era presionar a la empresa para la negociación y aceptación de las condiciones salariales propuestas por los representantes de los trabajadores ante el nuevo convenio. </w:t>
      </w:r>
    </w:p>
    <w:p w:rsidR="0025129F" w:rsidRDefault="0025129F" w:rsidP="0025129F">
      <w:pPr>
        <w:pStyle w:val="TextoNormal"/>
      </w:pPr>
      <w:r>
        <w:t xml:space="preserve">3) Con fecha de 10 de octubre de 1996 la empresa despidió a un trabajador, y a dos trabajadores más el día 11 de octubre. Dichos trabajadores fueron readmitidos el 5 de noviembre siguiente, al incluirse en las negociaciones sindicales su recontratación y desconvocarse la segunda huelga prevista para los días 21, 22 y 23 de octubre. </w:t>
      </w:r>
    </w:p>
    <w:p w:rsidR="0025129F" w:rsidRDefault="0025129F" w:rsidP="0025129F">
      <w:pPr>
        <w:pStyle w:val="TextoNormal"/>
      </w:pPr>
      <w:r>
        <w:t xml:space="preserve">4) Con fecha 1 de noviembre de 1996 la empresa contrató a ocho trabajadores en virtud de contrato de duración determinada al amparo del Real Decreto 2596/1994, que fueron seleccionados previa convocatoria realizada el 17 de octubre de 1996 y despedidos el día 5 de noviembre siguiente. Estos trabajadores prestaron sus servicios en la sección de rotura de baterías, sección que se dedica a recuperar el plomo de baterías viejas -función accesoria- para proveer a la planta de fundición de materia prima reciclable -plomo-, siendo ésta última la función principal de la fábrica. Denunciado este hecho por un miembro de la empresa ante la Inspección de Trabajo, se produjeron dos visitas de la Inspección a la fábrica a consecuencia de las cuales se levantó Acta de infracción a la empresa por importe de 15.000.000 ptas. </w:t>
      </w:r>
    </w:p>
    <w:p w:rsidR="0025129F" w:rsidRDefault="0025129F" w:rsidP="0025129F">
      <w:pPr>
        <w:pStyle w:val="TextoNormal"/>
      </w:pPr>
      <w:r>
        <w:t xml:space="preserve">5) Con ocasión de la quinta convocatoria de huelga, la empresa procedió al cierre patronal del centro de trabajo, a partir de las 9 horas del día 18 de noviembre de 1996, prescindiendo incluso de los servicios mínimos al haber sido apagados los hornos el día anterior. En Resolución de 22 de noviembre, la Oficina Territorial de Trabajo de la Junta requirió a la empresa para la inmediata reapertura de las instalaciones fabriles, dejando a su criterio el encendido y puesta en funcionamiento de los hornos. La empresa procedió inmediatamente al cumplimiento de tal orden, tal pronto como tuvo conocimiento de ella, reabriendo las instalaciones a las 22 horas del mismo día 22 de noviembre. </w:t>
      </w:r>
    </w:p>
    <w:p w:rsidR="0025129F" w:rsidRDefault="0025129F" w:rsidP="0025129F">
      <w:pPr>
        <w:pStyle w:val="TextoNormal"/>
      </w:pPr>
      <w:r>
        <w:t xml:space="preserve">c) La Sentencia de instancia, en lo que importa para este recurso de amparo, fundó su fallo desestimatorio en los siguientes argumentos: </w:t>
      </w:r>
    </w:p>
    <w:p w:rsidR="0025129F" w:rsidRDefault="0025129F" w:rsidP="0025129F">
      <w:pPr>
        <w:pStyle w:val="TextoNormal"/>
      </w:pPr>
      <w:r>
        <w:t xml:space="preserve">1) Negó que el despido de tres trabajadores fuera una medida empresarial dirigida a vaciar de contenido la primera huelga. Razonaba que en las comunicaciones de extinción de los contratos de trabajo se consignaron causas económicas y de organización, cuantificando las pérdidas en años anteriores y anunciando la reorganización del área en la que los despedidos trabajaban para mejorar los costes. El Comité de Empresa incluyó su readmisión en las negociaciones y la empresa accedió a su recontratación, en un acto de buena voluntad, "constando además que a partir de aquella fecha continuaron convocándose y celebrándose sucesivas huelgas". Con tal medida no se produjo menoscabo alguno en los efectos de la huelga, ni se vació de contenido su celebración, ni se produjo el descrédito del Comité que, por el contrario, "quedó fortalecido tanto respecto a la plantilla de trabajadores, como la organización sindical a la que está adscrito, ante la opinión pública". </w:t>
      </w:r>
    </w:p>
    <w:p w:rsidR="0025129F" w:rsidRDefault="0025129F" w:rsidP="0025129F">
      <w:pPr>
        <w:pStyle w:val="TextoNormal"/>
      </w:pPr>
      <w:r>
        <w:t xml:space="preserve">2) En relación con la segunda huelga, afirmaba la Sentencia que no procedía ningún análisis al haber sido desconvocada. </w:t>
      </w:r>
    </w:p>
    <w:p w:rsidR="0025129F" w:rsidRDefault="0025129F" w:rsidP="0025129F">
      <w:pPr>
        <w:pStyle w:val="TextoNormal"/>
      </w:pPr>
      <w:r>
        <w:t xml:space="preserve">3) En cuanto a la tercera convocatoria y la supuesta contratación de trabajadores para sustituir a los huelguistas, decía el juzgador que quedó acreditado que el stock de materia </w:t>
      </w:r>
      <w:r>
        <w:lastRenderedPageBreak/>
        <w:t xml:space="preserve">prima en octubre era muy inferior al existente en meses anteriores, que la empresa con mucha antelación a la convocatoria de la huelga ya había tenido problemas de abastecimiento de materia prima por parte de su proveedor, toda vez que éste, al no poder remitir material limpio para fundir directamente, hizo entrega de partidas de baterías viejas para su rotura, lo que motivó el inicio del proceso de contratación de eventuales, el 17 de octubre de 1996, al objeto de cubrir dicho servicio extra, iniciando los contratados su relación laboral el día 1 de noviembre y finalizándola el 5 de noviembre tras la emisión del Acta de infracción de la Inspección de Trabajo de Soria. Asimismo, proseguía la Sentencia de instancia, quedó probado a través de la prueba de confesión de dos actores "que dicho personal sólo se dedicó a rotura de baterías, en jornadas de dos turnos, e incluso domingos y que la actividad desarrollada es de carácter accesorio al de la actividad principal que es el fundido de materiales con alto contenido en plomo y su reciclado y que dichos trabajadores en ningún caso 'sustituyeron' a los huelguistas (concretamente los equipos de producción-fundición en toda su integridad)". </w:t>
      </w:r>
    </w:p>
    <w:p w:rsidR="0025129F" w:rsidRDefault="0025129F" w:rsidP="0025129F">
      <w:pPr>
        <w:pStyle w:val="TextoNormal"/>
      </w:pPr>
      <w:r>
        <w:t xml:space="preserve">4) Finalmente, atendiendo a las circunstancias del caso y al seguimiento de las convocatorias de huelga, negaba la Sentencia que se hubiera producido lesión del art. 28.2 CE por razón del cierre patronal acordado con ocasión de la última convocatoria. </w:t>
      </w:r>
    </w:p>
    <w:p w:rsidR="0025129F" w:rsidRDefault="0025129F" w:rsidP="0025129F">
      <w:pPr>
        <w:pStyle w:val="TextoNormal"/>
      </w:pPr>
      <w:r>
        <w:t xml:space="preserve">d) La Sentencia dictada en el grado jurisdiccional de suplicación, también recurrida en amparo, revocó parcialmente la del Juzgado de lo Social de Soria, estimando el recurso interpuesto en el motivo referente al cierre patronal, que calificó como contrario al derecho de huelga. Al margen de ello, respecto a las restantes alegaciones que ahora conforman el objeto del recurso de amparo, desestimó la vulneración denunciada y las resultas indemnizatorias reclamadas por los recurrentes, fundando su fallo, entre otros argumentos, en los siguientes: </w:t>
      </w:r>
    </w:p>
    <w:p w:rsidR="0025129F" w:rsidRDefault="0025129F" w:rsidP="0025129F">
      <w:pPr>
        <w:pStyle w:val="TextoNormal"/>
      </w:pPr>
      <w:r>
        <w:t xml:space="preserve">1) Del relato fáctico de la Sentencia de instancia no se desprendería relación alguna entre el despido de los tres trabajadores y la convocatoria de la huelga efectuada para el día 14 de octubre de 1996, ya que los únicos datos que figuran son que con fecha de 9 de octubre se convocó huelga para el 14 de ese mes, que con fecha de 10 de octubre la empresa despidió a un trabajador y a dos más el día siguiente, y que dichos trabajadores fueron readmitidos por la empresa el 5 de noviembre al incluirse en las negociaciones su reintegración en plantilla y desconvocarse la segunda huelga prevista. Por lo demás, proseguía la Sala, en el fundamento de Derecho segundo de la Sentencia de instancia, aunque con valor de hecho probado, se señala que en las comunicaciones de extinción se consignaban causas económicas y de organización cuantificando las pérdidas en años anteriores y anunciándose la reorganización del área en la que los despedidos trabajaban para mejorar los costes. Bajo esas circunstancias, en opinión del Tribunal Superior de Justicia, no cabría inferir que los despidos de los tres trabajadores -que no consta que fueran convocantes de la huelga o que pertenecieran a algún sindicato- revelaran una actuación empresarial contraria a la libertad sindical. </w:t>
      </w:r>
    </w:p>
    <w:p w:rsidR="0025129F" w:rsidRDefault="0025129F" w:rsidP="0025129F">
      <w:pPr>
        <w:pStyle w:val="TextoNormal"/>
      </w:pPr>
      <w:r>
        <w:t xml:space="preserve">2) En segundo lugar, los ocho trabajadores contratados fueron seleccionados el 17 de octubre, con anterioridad, por tanto, a convocarse la tercera huelga (el día 29 de ese mes para los días 4 y siguientes de noviembre), concertándose su contratos de trabajo para la realización de una actividad accesoria de la empresa, cual es la rotura de baterías. No procedía tener en cuenta la fecha de convocatoria de la segunda huelga (14 de octubre para los días 21 y siguientes de ese mes) ya que la misma se desconvocó. Así pues, se concluye, la referida contratación no vulneró la libertad sindical pues no supuso "la sustitución de huelguistas por trabajadores no vinculados a la empresa al tiempo de ser comunicada la huelga". </w:t>
      </w:r>
    </w:p>
    <w:p w:rsidR="0025129F" w:rsidRDefault="0025129F" w:rsidP="0025129F">
      <w:pPr>
        <w:pStyle w:val="TextoNormal"/>
      </w:pPr>
      <w:r>
        <w:lastRenderedPageBreak/>
        <w:t>e) Los recurrentes interpusieron recurso de casación para la unificación de doctrina, que fue inadmitido por el Auto de la Sala de lo Social del Tribunal Supremo, de 25 de marzo de 1998, al faltar la contradicción alegada (art. 217 LPL) y no haberse cumplido el requisito de recoger y expresar la relación precisa y circunstanciada de la contradicción (art. 222 LPL).</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 de amparo se dirige contra las precitadas Sentencias del Juzgado de lo Social de Soria, de fecha 27 de febrero de 1997, dictada en autos núm.27/97, y de la Sala de lo Social del Tribunal Superior de Justicia de Castilla y León, en su sede de Burgos, de 2 de junio de 1997, recaída en el recurso de suplicación núm.275/97, a las que imputa la infracción de los arts. 28.1 y 2 CE. </w:t>
      </w:r>
    </w:p>
    <w:p w:rsidR="0025129F" w:rsidRDefault="0025129F" w:rsidP="0025129F">
      <w:pPr>
        <w:pStyle w:val="TextoNormal"/>
      </w:pPr>
      <w:r>
        <w:t xml:space="preserve">La denuncia descansa, concretamente, en la sustitución de los trabajadores huelguistas con posterioridad a las convocatorias de huelga y en el despido sin causa de tres trabajadores con ocasión de las medidas de conflicto colectivo. Se solicita la declaración de nulidad radical de las resoluciones judiciales, dada la conducta de la empleadora, ordenando el cese de la misma y condenando a indemnizar a los recurrentes con 2.000.000 ptas., destinados al fondo social existente en la empresa, así como a los huelguistas en cantidad idéntica a la descontada por las huelgas desarrolladas. </w:t>
      </w:r>
    </w:p>
    <w:p w:rsidR="0025129F" w:rsidRDefault="0025129F" w:rsidP="0025129F">
      <w:pPr>
        <w:pStyle w:val="TextoNormal"/>
      </w:pPr>
      <w:r>
        <w:t xml:space="preserve">A tal fin afirman que ni el Juzgado de lo Social ni la Sala de lo Social del Tribunal Superior de Justicia aplicaron correctamente la inversión de la carga de la prueba, según la construcción elaborada por la doctrina constitucional, hoy con reflejo legal en el art. 179.2 LPL. De ese modo, no sólo no se protegió el derecho fundamental en presencia, al no invertirse o desplazarse la carga de la prueba hacia el demandado, sino que se acentuó el rigor probatorio exigible a los demandantes incluso en una situación donde el bien jurídico protegido era un derecho fundamental. Por el contrario, aducen, la existencia de una convocatoria legal de huelga, el despido de tres trabajadores inmediatamente después de ello y antes de que la huelga se materializase, así como la desconvocatoria de la segunda huelga por la necesidad que tuvo el Comité de asumir la reivindicación de readmisión de los despedidos, con la consiguiente desviación de los objetivos iniciales de la medida de conflicto, eran datos suficientes para exigir a la empresa una justificación sobre la neutralidad de su conducta en relación con el ejercicio del derecho fundamental invocado. Se rechazan, consiguientemente, los argumentos ofrecidos por las Sentencias impugnadas en cuanto a la readmisión de los trabajadores y el éxito de las convocatorias, que no serían idóneos para concluir la inexistencia de lesión constitucional por tratarse de hechos completamente ajenos al enjuiciamiento que correspondía efectuar. </w:t>
      </w:r>
    </w:p>
    <w:p w:rsidR="0025129F" w:rsidRDefault="0025129F" w:rsidP="0025129F">
      <w:pPr>
        <w:pStyle w:val="TextoNormal"/>
      </w:pPr>
      <w:r>
        <w:t>Respecto a la sustitución de trabajadores huelguistas durante la tercera convocatoria, se destaca que los hechos probados daban por reproducida el Acta de infracción levantada por el Inspector de Trabajo, por lo que el contenido de la misma se incorporaba al proceso con valor de hecho probado. Como del Acta se desprendía el menoscabo del derecho de huelga por la empresa al proceder a sustituir a los huelguistas por nuevos contratados, y como la demandada había realizado las contrataciones con posterioridad al anuncio de huelga, lo que ya constituía en sí mismo un indicio, debían aportarse los motivos de la medida empresarial controvertida, sin que pudieran aceptarse como justificaciones aptas frente a ello ni el hecho de que el anuncio de selección de personal fuera anterior a la convocatoria, ni la supuesta existencia de problemas de abastecimiento, ni la realización por los nuevos trabajadores de una actividad accesoria y no principal en el proceso productivo.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4</w:t>
      </w:r>
      <w:r>
        <w:t xml:space="preserve">. La Sección Segunda de este Tribunal, mediante providencia de 4 de diciembre de 1998, acordó abrir el trámite del art. 50.3 LOTC para que los demandantes de amparo y el Ministerio Fiscal formularan las alegaciones que estimasen convenientes en relación con la carencia manifiesta de contenido constitucional de la demanda [art. 50.1 c) LOTC]. La parte recurrente presentó sus alegaciones el 21 de diciembre de 1998, solicitando que se admitiera a trámite el recurso de amparo. Insistía en la conexión entre los despidos y las convocatorias de huelga, en la interdependencia de todas éstas entre sí y, como ya hacía la demanda, en la voluntad empresarial de desvirtuar el contenido de las mismas con la contratación de nuevos trabajadores. A renglón seguido explican la invocación del art. 28.1 CE junto al derecho fundamental consagrado en el apartado segundo del mismo artículo, lo que sustentan en la íntima conexión que se produce entre el ejercicio del derecho de huelga y la libertad sindical, conforme a la jurisprudencia constitucional sobre los medios de acción sindical. </w:t>
      </w:r>
    </w:p>
    <w:p w:rsidR="0025129F" w:rsidRDefault="0025129F" w:rsidP="0025129F">
      <w:pPr>
        <w:pStyle w:val="TextoNormal"/>
      </w:pPr>
      <w:r>
        <w:t>Por su lado, el Ministerio Fiscal presentó sus alegaciones en escrito registrado el 22 de diciembre de 1998, en el que solicitaba la inadmisión del presente recurso por carencia manifiesta de contenido constitucional. En esencia el Ministerio Fiscal parte de que ni el Juez de instancia, ni el Tribunal Superior de Justicia, desconocieron las reglas de la carga de la prueba, expresando los recurrentes meras discrepancias con los hechos declarados probados y con la valoración de los mismos, pese a ser razonable el juicio emitido por los órganos judiciales al considerar, con base en los hechos probados, que las circunstancias controvertidas (despidos y nuevas contrataciones) obedecieron a causas absolutamente ajenas a la vulneración de derechos fundamentales.</w:t>
      </w:r>
    </w:p>
    <w:p w:rsidR="0025129F" w:rsidRDefault="0025129F" w:rsidP="0025129F">
      <w:pPr>
        <w:pStyle w:val="TextoNormal"/>
      </w:pPr>
    </w:p>
    <w:p w:rsidR="0025129F" w:rsidRDefault="0025129F" w:rsidP="0025129F">
      <w:pPr>
        <w:pStyle w:val="TextoNormal"/>
      </w:pPr>
      <w:r w:rsidRPr="0025129F">
        <w:rPr>
          <w:rStyle w:val="NumeroAFNegritaCaracter"/>
        </w:rPr>
        <w:t>5</w:t>
      </w:r>
      <w:r>
        <w:t>. La Sección Segunda de este Tribunal acordó mediante providencia de 29 de noviembre de 1999 admitir a trámite la demanda, así como requerir a los órganos judiciales de instancia y suplicación, y al Tribunal Supremo que inadmitió el recurso de casación para la unificación de doctrina, que remitieran las actuaciones y emplazaran a quienes hubieren sido parte en el procedimiento, excepto a los recurrentes en amparo, al objeto de que pudieran comparecer, si lo deseaban, en el presente recurso.</w:t>
      </w:r>
    </w:p>
    <w:p w:rsidR="0025129F" w:rsidRDefault="0025129F" w:rsidP="0025129F">
      <w:pPr>
        <w:pStyle w:val="TextoNormal"/>
      </w:pPr>
    </w:p>
    <w:p w:rsidR="0025129F" w:rsidRDefault="0025129F" w:rsidP="0025129F">
      <w:pPr>
        <w:pStyle w:val="TextoNormal"/>
      </w:pPr>
      <w:r w:rsidRPr="0025129F">
        <w:rPr>
          <w:rStyle w:val="NumeroAFNegritaCaracter"/>
        </w:rPr>
        <w:t>6</w:t>
      </w:r>
      <w:r>
        <w:t>. Por diligencia de ordenación de 1 de marzo de 2000, se tuvo por personado y parte al Procurador de los Tribunales don José Luis Ferrer Recuero, en nombre y representación de la Metalúrgica de Gormaz S.A., y a tenor de lo dispuesto en el art. 52 LOTC se dio vista de las actuaciones recibidas a todas las partes personadas y al Ministerio Fiscal para que presentasen las alegaciones que a su derecho convinieran.</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Ministerio Fiscal formula sus alegaciones en escrito registrado el 24 de marzo de 2000, interesando la desestimación del presente recurso. A su juicio, que el empresario no justificase que los despidos no tenían como finalidad entorpecer el derecho de huelga o que no acreditase las causas objetivas aducidas en esas extinciones, una vez dejadas sin efecto precisamente en aceptación de una exigencia de los representantes de los trabajadores, no puede convertirse ahora en un indicio de móvil atentatorio al derecho de huelga. De otro modo, se colocaría al empresario en peor situación dialéctica de la que tendría de no haber accedido a la petición que le fue realizada por la representación de los trabajadores. Los despidos pudieron adolecer de falta de oportunidad, dado el momento conflictivo en que se produjeron, pero es lo cierto que la no acreditación de su fundamento causal vino motivada, exclusivamente, por la readmisión de los afectados, sin que de los hechos </w:t>
      </w:r>
      <w:r>
        <w:lastRenderedPageBreak/>
        <w:t xml:space="preserve">probados pueda deducirse que respondieran a un propósito hostil al ejercicio del derecho de huelga. </w:t>
      </w:r>
    </w:p>
    <w:p w:rsidR="0025129F" w:rsidRDefault="0025129F" w:rsidP="0025129F">
      <w:pPr>
        <w:pStyle w:val="TextoNormal"/>
      </w:pPr>
      <w:r>
        <w:t>En relación con el otro motivo -la contratación de trabajadores eventuales en el momento del conflicto-, sostiene que se produjo en una fecha en la que no había convocada huelga alguna, culminándose un proceso de acceso al empleo precedente y dirigido a subvenir a una situación anómala ocasionada por el desabastecimiento de materia prima, habiendo desempeñado en exclusividad los nuevos trabajadores, que decidieron no secundar la huelga, tareas de preparado de materia prima no constitutivas de la actividad de los huelguistas. La contratación, en suma, se habría dado incluso de no existir las convocatorias, no resultando reforzada ni sustituida la actividad de los huelguistas por personas ajenas a la empresa.</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escrito presentado el 27 de marzo de 2000, se reciben las alegaciones de Metalúrgica Gormaz, S.A. Aporta la Resolución de la Consejería de Industria, Comercio y Turismo de la Junta de Castilla y León en la que se resuelve el expediente sancionador seguido a raíz del Acta de infracción de la Inspección de Trabajo y Seguridad Social al que se refieren los recurrentes en amparo y las Sentencias recurridas. En ella se anula el Acta y no se imponen sanciones a la empresa. </w:t>
      </w:r>
    </w:p>
    <w:p w:rsidR="0025129F" w:rsidRDefault="0025129F" w:rsidP="0025129F">
      <w:pPr>
        <w:pStyle w:val="TextoNormal"/>
      </w:pPr>
      <w:r>
        <w:t xml:space="preserve">Discute, en segundo lugar, que los recurrentes en amparo tengan legitimación para anudar la lesión del derecho de huelga a los despidos de tres trabajadores, toda vez que, a su juicio, sólo los directamente afectados podrían reclamar por esos hechos. </w:t>
      </w:r>
    </w:p>
    <w:p w:rsidR="0025129F" w:rsidRDefault="0025129F" w:rsidP="0025129F">
      <w:pPr>
        <w:pStyle w:val="TextoNormal"/>
      </w:pPr>
      <w:r>
        <w:t xml:space="preserve">Sobre la cuestión sustantiva, denuncia primeramente un comportamiento desleal por parte de los recurrentes, habida cuenta que si se readmitió a los tres despedidos fue como acto de buena voluntad, a solicitud del Comité de Empresa. Por ello, siendo el único motivo de la readmisión un intento de obtener paz social, en absoluto podría calificarse la decisión como un acto de reconocimiento de que la extinción inicial carecía de causa o de que era una represalia frente a la huelga, pues la misma tenía fundamento en causas objetivas, debido a razones económicas y de organización, por pérdidas de la empresa en años anteriores que obligaban a una reorganización del área donde los despedidos desempeñaban sus funciones. </w:t>
      </w:r>
    </w:p>
    <w:p w:rsidR="0025129F" w:rsidRDefault="0025129F" w:rsidP="0025129F">
      <w:pPr>
        <w:pStyle w:val="TextoNormal"/>
      </w:pPr>
      <w:r>
        <w:t xml:space="preserve">Por lo que se refiere al segundo de los motivos en que se fundamenta el recurso de amparo, rechaza la existencia de una sustitución de los trabajadores en huelga, reiterando que la contratación, en realidad, respondía a necesidades del proceso productivo manifestadas antes del inicio del conflicto laboral. El proceso de selección comenzó con anterioridad a la fecha del preaviso de la tercera huelga (en la que, de contrario, se sostiene la existencia del denunciado "esquirolaje"), sin que pueda servir como referente temporal alternativo la fecha de la segunda convocatoria, visto que ésta, finalmente, no se llevó a cabo. La actividad de los nuevos trabajadores, por lo demás, fue accesoria y se limitó a incrementar la obtención de materias primas, sin sustituir a trabajadores huelguistas, constando, a mayor abundamiento, que ese tipo de contrataciones suelen producirse en la empresa por las concretas circunstancias de la producción. </w:t>
      </w:r>
    </w:p>
    <w:p w:rsidR="0025129F" w:rsidRDefault="0025129F" w:rsidP="0025129F">
      <w:pPr>
        <w:pStyle w:val="TextoNormal"/>
      </w:pPr>
      <w:r>
        <w:t>Combate, para terminar, la indemnización solicitada. Primero por no existir conducta antisindical, y, en segundo término, caso de estimarse lo contrario, por falta de determinación de las bases de la indemnización pretendida y de su razón de ser, más aún cuando no se ocasionó ningún descrédito al Comité de Empresa que pudiera justificar tal pretensión.</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La parte recurrente formula sus alegaciones en escrito registrado el 27 de marzo de 2000, interesando la estimación del presente recurso. Pone de manifiesto la coincidencia </w:t>
      </w:r>
      <w:r>
        <w:lastRenderedPageBreak/>
        <w:t>temporal entre la convocatoria de la primera huelga y los despidos de tres trabajadores. Denuncia la incoherencia del alegato empresarial, pues no tendría lógica extinguir tres relaciones laborales por causas económicas y organizativas y contratar al mismo tiempo a ocho trabajadores por razones productivas, resultando incompatibles las razones dadas para extinguir los contratos de unos y justificar la contratación de los otros, lo que reafirmaría la existencia de motivaciones ocultas en ambas decisiones. Añade que la contratación de los trabajadores eventuales, no vinculados a la empresa con anterioridad al inicio del conflicto, se produjo, en todo caso, con posterioridad a la fecha de la tercera convocatoria de huelga, en un período marcado por las medidas de conflicto colectivo planteadas para paralizar toda la actividad de la empresa, y consiguientemente también la que realizaron los nuevos contratados. Todo ello ofrecería un panorama indiciario suficiente, afianzado además por el contenido del Acta de infracción levantada por la Inspección de Trabajo, que no fue neutralizado por la empresa demandada.</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7 de marzo de 2002 se señaló para la votación y fallo de la presente Sentencia el siguiente día 11 del mismo mes y año, terminando el día de la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la impugnación de la Sentencia del Juzgado de lo Social de Soria, de fecha 27 de febrero de 1997, dictada en autos núm.27/97, y la Sentencia de la Sala de lo Social del Tribunal Superior de Justicia de Castilla y León, en su sede de Burgos, de 2 de junio de 1997, recaída en el recurso de suplicación núm.275/97. En el proceso, aunque se estimara parcialmente la pretensión actora, se rechazó en parte la existencia de vulneración del art. 28.2 CE, y se negó el derecho a la indemnización solicitada, al considerarse que no tendrían una finalidad represiva del derecho fundamental invocado ni la decisión de despedir a tres trabajadores ni la de contratar a varios eventuales al tiempo de las diversas convocatorias de huelga citadas en los antecedentes de esta Sentencia, promovidas por las discrepancias salariales en la negociación del nuevo convenio colectivo.</w:t>
      </w:r>
    </w:p>
    <w:p w:rsidR="0025129F" w:rsidRDefault="0025129F" w:rsidP="0025129F">
      <w:pPr>
        <w:pStyle w:val="TextoNormal"/>
      </w:pPr>
      <w:r>
        <w:t>Los recurrentes en amparo afirman que las precitadas Sentencias de lo Social no tomaron en consideración la doctrina de este Tribunal sobre la distribución de cargas probatorias en el proceso laboral, pese a que aquél del que trae fuente este amparo tenía por objeto la protección del derecho fundamental de huelga. En su opinión, la empresa tenía que haber demostrado que los despidos y contrataciones realizados coetáneamente con la huelga no constituían una conducta tendente a impedir, dificultar o privar de sus legítimos objetivos a la misma, vaciándola de contenido u obstaculizando sus efectos, garantía que los órganos judiciales, desestimando en parte la pretensión deducida en el proceso de tutela de libertad sindical, no habrían asegurado.</w:t>
      </w:r>
    </w:p>
    <w:p w:rsidR="0025129F" w:rsidRDefault="0025129F" w:rsidP="0025129F">
      <w:pPr>
        <w:pStyle w:val="TextoNormal"/>
      </w:pPr>
      <w:r>
        <w:t>La denuncia descansa, concretamente, en la sustitución de los trabajadores huelguistas con posterioridad a las convocatorias de huelga y en el despido sin causa de tres trabajadores con ocasión de las medidas de conflicto colectivo. A su juicio, la existencia de una convocatoria legal de huelga, los despidos coincidiendo con el inicio de la situación de conflicto, y la desconvocatoria de la segunda huelga decidida con el fin de lograr la readmisión de los trabajadores previamente despedidos, ya en curso el conflicto, con la consiguiente desviación de los objetivos iniciales de la medida de autotutela colectiva, eran datos suficientes para exigir a la empresa una justificación sobre la neutralidad de su con</w:t>
      </w:r>
      <w:r>
        <w:lastRenderedPageBreak/>
        <w:t>ducta en relación con el ejercicio del derecho fundamental invocado. Por lo demás, el Acta de infracción de la Inspección de trabajo motivada por la contratación de trabajadores no vinculados a la empresa en el momento de la convocatoria de la huelga, y esa práctica contractual en sí misma considerada, ya de por sí indiciaria, acentuaban las sospechas sobre la irregularidad del comportamiento de la empresa, imponiéndole un deber probatorio consistente en la aportación de justificaciones aptas que contrarrestaran el panorama revelador de la posible existencia de la lesión denunciada.</w:t>
      </w:r>
    </w:p>
    <w:p w:rsidR="0025129F" w:rsidRDefault="0025129F" w:rsidP="0025129F">
      <w:pPr>
        <w:pStyle w:val="TextoNormal"/>
      </w:pPr>
      <w:r>
        <w:t>Sin embargo, señalan, lejos de conseguirlo, la empresa se defendió de forma incoherente, sin neutralizar, por ejemplo, la falta de lógica de la decisión de extinguir tres relaciones laborales por causas económicas y organizativas y contratar al mismo tiempo a ocho trabajadores por razones productivas; sin vencer tampoco la resistencia de datos como que la contratación de nuevos trabajadores se produjo con posterioridad a la fecha de la tercera convocatoria de huelga, o de que con ello se evitó la paralización de todas las secciones de actividad de la empresa, objetivo que las convocatorias perseguían al ser generales para toda la organización.</w:t>
      </w:r>
    </w:p>
    <w:p w:rsidR="0025129F" w:rsidRDefault="0025129F" w:rsidP="0025129F">
      <w:pPr>
        <w:pStyle w:val="TextoNormal"/>
      </w:pPr>
      <w:r>
        <w:t>Bajo esas circunstancias, en suma, se denuncia la vulneración de los arts. 28.1 y 28.2 CE, en relación con la ruptura del esquema de distribución de cargas probatorias en los procesos laborales dirigidos a la protección jurisdiccional de derechos fundamentales.</w:t>
      </w:r>
    </w:p>
    <w:p w:rsidR="0025129F" w:rsidRDefault="0025129F" w:rsidP="0025129F">
      <w:pPr>
        <w:pStyle w:val="TextoNormal"/>
      </w:pPr>
      <w:r>
        <w:t>Se opone a esta tesis la empresa Metalúrgica de Gormaz, S.A., que solicita la desestimación del recurso de amparo. Aduce que existían y que quedaron acreditados en el proceso motivos ajenos a la huelga que explicarían la adopción de esas medidas, cimentando en ellos la corrección de las decisiones empresariales discutidas, posición a la que se suma el Ministerio Fiscal en sus escritos de alegaciones. Ambas partes vienen a subrayar la existencia de necesidades objetivas para el proceso productivo que justificaban la contratación de nuevos trabajadores, así como que la readmisión de los despedidos, tanto por la buena voluntad empresarial que revelaba, como por la posición precaria en la que colocaba al empleador en punto a la justificación de la regularidad causal del inicial acto de extinción, no podrían entenderse ahora como indicios de un móvil anticonstitucional; tampoco traducirse en una especie de reconocimiento de que la resolución de los contratos carecía de causa o de que buscaba simplemente dañar las convocatorias y repercutir negativamente en el natural ejercicio del derecho fundamental de referencia.</w:t>
      </w:r>
    </w:p>
    <w:p w:rsidR="0025129F" w:rsidRDefault="0025129F" w:rsidP="0025129F">
      <w:pPr>
        <w:pStyle w:val="TextoNormal"/>
      </w:pPr>
    </w:p>
    <w:p w:rsidR="0025129F" w:rsidRDefault="0025129F" w:rsidP="0025129F">
      <w:pPr>
        <w:pStyle w:val="TextoNormal"/>
      </w:pPr>
      <w:r w:rsidRPr="0025129F">
        <w:rPr>
          <w:rStyle w:val="NumeroAFNegritaCaracter"/>
        </w:rPr>
        <w:t>2</w:t>
      </w:r>
      <w:r>
        <w:t>. No se aprecian en el razonamiento contenido en el escrito de alegaciones de la empresa Metalúrgica de Gormaz, S.A., razones suficientes para excluir del ámbito del enjuiciamiento que nos corresponde, como aquélla pretende, la decisión empresarial consistente en el despido de tres trabajadores en las fechas del conflicto colectivo. En la vía judicial ese factor constituyó uno de los referentes del debate procesal, sin que pueda cuestionarse en este instante su relevancia ya que resulta patente que ese tipo de actos extintivos, coetáneos a la huelga, podrían hipotéticamente haber causado un perjuicio o haber respondido a una finalidad contraria al derecho fundamental del art. 28.2 CE.</w:t>
      </w:r>
    </w:p>
    <w:p w:rsidR="0025129F" w:rsidRDefault="0025129F" w:rsidP="0025129F">
      <w:pPr>
        <w:pStyle w:val="TextoNormal"/>
      </w:pPr>
      <w:r>
        <w:t>No basta decir, como se apunta en el escrito de alegaciones de la empleadora, que los despidos sólo podían ser cuestionados por los trabajadores perjudicados. Esta concepción parte de una consideración errónea de las distintas posibilidades que ofrece el proceso laboral y, asimismo, de un intento inútil de identificación de objetos procesales diferentes, confundiendo en este caso el que podría deducirse en la modalidad de despido instada por los trabajadores afectados (necesariamente por ese cauce, ex art.182 LPL) y el que ha constituido, sin embargo, el núcleo de la modalidad de tutela de libertad sindical empleada por los recurrentes en amparo.</w:t>
      </w:r>
    </w:p>
    <w:p w:rsidR="0025129F" w:rsidRDefault="0025129F" w:rsidP="0025129F">
      <w:pPr>
        <w:pStyle w:val="TextoNormal"/>
      </w:pPr>
      <w:r>
        <w:lastRenderedPageBreak/>
        <w:t>En efecto, ni el objeto del proceso, entendido como pretensión o petición fundada en algo que ha sucedido, ni el objeto del debate, entendido como la intersección entre la petición actora y la resistencia de la parte demandada, confluirían en sus elementos delimitadores en el proceso de tutela y en el de despido. Ni en un plano subjetivo (partes) ni en otro objetivo (petición y causa de pedir) se produciría dicha coincidencia. Tampoco en los hechos habría absoluta identidad, pues la demanda rectora del proceso se apoyaba en datos fácticos (señaladamente en la coincidencia temporal de los despidos con la convocatoria de huelga, y en la reducción que en el impacto de ésta causaron esas medidas extintivas) que carecerían de significación, o cuando menos de idéntico significado, en un eventual proceso de despido (en el que el nexo, en puridad, podría haberse construido entre ejercicio del derecho fundamental y resolución del contrato, al objeto del examen de causalidad del acto empresarial).</w:t>
      </w:r>
    </w:p>
    <w:p w:rsidR="0025129F" w:rsidRDefault="0025129F" w:rsidP="0025129F">
      <w:pPr>
        <w:pStyle w:val="TextoNormal"/>
      </w:pPr>
      <w:r>
        <w:t>Por lo demás, es claro que en el proceso de despido se persigue una condena, mientras que es básicamente declarativa la petición en el proceso de tutela de la libertad sindical. En la primera modalidad procesal, a mayor abundamiento, el objeto directo de la petición, fundada en la vulneración de derechos fundamentales, sería la reposición en la relación laboral resuelta, mientras que en la segunda se busca la declaración misma de la lesión del derecho fundamental (sin perjuicio de cómo se opere la concreción de la triple tutela prevista en la Ley de Procedimiento Laboral: inhibitoria, restitutoria y reparadora, en su caso). La causa de pedir que individualiza la pretensión es igualmente distinta. Se registran, en suma, una serie de consecuencias procesales en la modalidad de tutela de los derechos de libertad sindical que no se dan, en cambio, en el proceso de despido (en materia de litispendencia, cosa juzgada o acumulación, u otras relativas a la preferencia y sumariedad que la inspira -arts.</w:t>
      </w:r>
    </w:p>
    <w:p w:rsidR="0025129F" w:rsidRDefault="0025129F" w:rsidP="0025129F">
      <w:pPr>
        <w:pStyle w:val="TextoNormal"/>
      </w:pPr>
      <w:r>
        <w:t>64, 70, 177.1, 179.1 y 3 o 178 LPL-, por ejemplo).</w:t>
      </w:r>
    </w:p>
    <w:p w:rsidR="0025129F" w:rsidRDefault="0025129F" w:rsidP="0025129F">
      <w:pPr>
        <w:pStyle w:val="TextoNormal"/>
      </w:pPr>
      <w:r>
        <w:t>Esas razones son suficientes para explicar por qué en los presentes autos los despidos fueron elementos de referencia para el examen de una posible conducta contraria al derecho de huelga y no, en cambio, actos enjuiciados en sí mismos -en tanto que actos afectados por las Sentencias- desde el punto de vista de su corrección jurídica o desde el correspondiente al mantenimiento o pérdida de sus efectos extintivos. Y es que, mutatis mutandis lo que hemos dicho en la STC 257/2000, de 30 de octubre, con ocasión del examen de la extensión de ciertos derechos del sindicato a los procesos individuales de despido, los representantes que canalizaron judicialmente su denuncia defendían aquí un interés distinto y autónomo del que podría haber constituido la pretensión principal formulada por los trabajadores individuales, toda vez que el postulado en este asunto venía orientado a reforzar la tutela de un derecho fundamental desde la perspectiva de su dimensión colectiva.</w:t>
      </w:r>
    </w:p>
    <w:p w:rsidR="0025129F" w:rsidRDefault="0025129F" w:rsidP="0025129F">
      <w:pPr>
        <w:pStyle w:val="TextoNormal"/>
      </w:pPr>
    </w:p>
    <w:p w:rsidR="0025129F" w:rsidRDefault="0025129F" w:rsidP="0025129F">
      <w:pPr>
        <w:pStyle w:val="TextoNormal"/>
      </w:pPr>
      <w:r w:rsidRPr="0025129F">
        <w:rPr>
          <w:rStyle w:val="NumeroAFNegritaCaracter"/>
        </w:rPr>
        <w:t>3</w:t>
      </w:r>
      <w:r>
        <w:t>. Centrándonos en la pretendida vulneración del derecho de huelga, derecho en el que está implicada la libertad sindical, nuestro control debe concentrarse en discernir si los actos empresariales concernidos son reveladores de una conducta estratégica u objetivamente contraria al derecho fundamental consagrado en el art. 28.2 CE, pues la perturbación lesiva de este tipo de derechos puede cobijarse tanto en una estrategia empresarial como en un quebrantamiento objetivo, al margen de aquella voluntad o intencionalidad. En las SSTC 107/2000, de 5 de mayo, y 225/2001, de 26 de noviembre, ya establecíamos la posibilidad de apreciar una conducta antisindical caracterizada por el resultado para el derecho o bien objeto de tutela y no por la intencionalidad del sujeto que la lleva a cabo, al margen por tanto de factores psicológicos y subjetivos de arduo control.</w:t>
      </w:r>
    </w:p>
    <w:p w:rsidR="0025129F" w:rsidRDefault="0025129F" w:rsidP="0025129F">
      <w:pPr>
        <w:pStyle w:val="TextoNormal"/>
      </w:pPr>
      <w:r>
        <w:lastRenderedPageBreak/>
        <w:t>Pues bien, hay que subrayar, como ha puesto de manifiesto invariablemente este Tribunal desde la STC 38/1981, de 23 de noviembre, reiterada muy recientemente en las SSTC 29/2002 y 30/2002, ambas de 11 de febrero, la importancia que tiene la regla de la distribución de la carga de la prueba para garantizar los derechos fundamentales del trabajador frente a posibles decisiones empresariales contrarias a los mismos.</w:t>
      </w:r>
    </w:p>
    <w:p w:rsidR="0025129F" w:rsidRDefault="0025129F" w:rsidP="0025129F">
      <w:pPr>
        <w:pStyle w:val="TextoNormal"/>
      </w:pPr>
      <w:r>
        <w:t>Para precisar con nitidez los criterios aplicables en materia probatoria en esos casos reiteramos lo que dijimos en la STC 90/1997, de 6 de mayo. Partíamos allí de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w:t>
      </w:r>
    </w:p>
    <w:p w:rsidR="0025129F" w:rsidRDefault="0025129F" w:rsidP="0025129F">
      <w:pPr>
        <w:pStyle w:val="TextoNormal"/>
      </w:pPr>
      <w:r>
        <w:t>Y proseguíamos: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w:t>
      </w:r>
    </w:p>
    <w:p w:rsidR="0025129F" w:rsidRDefault="0025129F" w:rsidP="0025129F">
      <w:pPr>
        <w:pStyle w:val="TextoNormal"/>
      </w:pPr>
      <w:r>
        <w:t xml:space="preserve">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neutralizando los indicios de que aquélla ocultaba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w:t>
      </w:r>
      <w:r>
        <w:lastRenderedPageBreak/>
        <w:t>propio derecho fundamental del trabajador (SSTC 197/1990, FJ 1; 136/1996, FJ 4, así como SSTC 38/1981, 104/1987, 166/1988, 114/1989, 147/1995 ó 17/1996)".</w:t>
      </w:r>
    </w:p>
    <w:p w:rsidR="0025129F" w:rsidRDefault="0025129F" w:rsidP="0025129F">
      <w:pPr>
        <w:pStyle w:val="TextoNormal"/>
      </w:pPr>
    </w:p>
    <w:p w:rsidR="0025129F" w:rsidRDefault="0025129F" w:rsidP="0025129F">
      <w:pPr>
        <w:pStyle w:val="TextoNormal"/>
      </w:pPr>
      <w:r w:rsidRPr="0025129F">
        <w:rPr>
          <w:rStyle w:val="NumeroAFNegritaCaracter"/>
        </w:rPr>
        <w:t>4</w:t>
      </w:r>
      <w:r>
        <w:t>. Conforme a esta doctrina, corresponde a este Tribunal analizar si la parte actora ha acreditado suficientemente la existencia de indicios de una conducta contraria al derecho de huelga, y si, en tal caso, la parte demandada ha probado que su actuación fue por completo ajena al factor reseñado.</w:t>
      </w:r>
    </w:p>
    <w:p w:rsidR="0025129F" w:rsidRDefault="0025129F" w:rsidP="0025129F">
      <w:pPr>
        <w:pStyle w:val="TextoNormal"/>
      </w:pPr>
      <w:r>
        <w:t>Antes de analizar ese punto decisivo, resulta procedente recordar, como destacaban las SSTC 14/2002, de 28 de enero, 29/2002, de 11 de febrero, y 30/2002, de 11 de febrero, que para resolver esa cuestión no bastará con la simple evaluación de la razonabilidad de las decisiones judiciales. Y ello porque es perfectamente posible que se den resoluciones judiciales que contengan una fundamentación que exprese razones -de hecho y de Derecho- por las que el órgano judicial llega a un determinado pronunciamiento, pero que, desde la perspectiva del libre ejercicio de los derechos fundamentales como los aquí en juego, no expresen de modo constitucionalmente adecuado las razones justificativas de la decisión adoptada. En estos casos, hemos dicho en las mencionadas Sentencias,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 CE, sino un derecho fundamental sustantivo (STC 94/1995, de 19 de junio, FJ 4). Cuando se enjuicia la presunta vulneración de un derecho sustantivo, como lo es el relativo a la huelga, el test de razonabilidad que este Tribunal aplica a los derechos del art. 24 CE queda absorbido por el canon propio de aquel derecho. A tal fin se hace necesario interpretar a la luz de los valores constitucionales los indicios que sirven de base al enjuiciamiento, todo ello sin que tal actuación suponga la revisión de la valoración de la prueba efectuada por el juzgador, por ser firme doctrina constitucional que dicha valoración se encuentra atribuida en exclusiva a los órganos judiciales, sin que competa a este Tribunal revisar en vía de amparo las apreciaciones de aquéllos ni la ponderación que lleven a cabo, salvo que unas u otra resulten arbitrarias o irrazonables (SSTC 140/1994, de 9 de mayo, FJ 3, y 136/1996, de 23 de julio, FJ 4).</w:t>
      </w:r>
    </w:p>
    <w:p w:rsidR="0025129F" w:rsidRDefault="0025129F" w:rsidP="0025129F">
      <w:pPr>
        <w:pStyle w:val="TextoNormal"/>
      </w:pPr>
    </w:p>
    <w:p w:rsidR="0025129F" w:rsidRDefault="0025129F" w:rsidP="0025129F">
      <w:pPr>
        <w:pStyle w:val="TextoNormal"/>
      </w:pPr>
      <w:r w:rsidRPr="0025129F">
        <w:rPr>
          <w:rStyle w:val="NumeroAFNegritaCaracter"/>
        </w:rPr>
        <w:t>5</w:t>
      </w:r>
      <w:r>
        <w:t>. Si efectuamos el enjuiciamiento que nos corresponde con ese criterio y desde aquel esquema de distribución de cargas probatorias, debemos examinar el primer elemento al que antes nos referíamos en la transcripción de la STC 90/1997: la necesidad de aportar una "prueba verosímil" (STC 207/2001, de 22 de octubre, FJ 5) o "principio de prueba" revelador de la existencia de un fondo o panorama general o de hechos de los que surja el indicio vehemente de una quiebra del derecho fundamental de que se trate. Una obligación probatoria que es de cumplimiento inexcusable para quien invoca la vulneración (por todas, SSTC 87/1998, de 21 de abril, FJ 3; 293/1993, de 18 de octubre, FJ 6; 140/1999, de 22 de julio, FJ 5; 29/2000, de 31 de enero, FJ 3; 214/2001, de 29 de octubre, FJ 4, 14/2002, de 28 de enero, FJ 4, 29/2002, de 11 de febrero, FJ 5, y 30/2002, de 11 de febrero, FJ 5).</w:t>
      </w:r>
    </w:p>
    <w:p w:rsidR="0025129F" w:rsidRDefault="0025129F" w:rsidP="0025129F">
      <w:pPr>
        <w:pStyle w:val="TextoNormal"/>
      </w:pPr>
      <w:r>
        <w:t xml:space="preserve">En este punto conviene poner de relieve el tipo de conexión necesaria para apreciar la concurrencia del indicio. Desde luego, en ningún caso sería exigible al trabajador la aportación de una prueba plena de la relación entre la decisión empresarial y el ejercicio del derecho fundamental, pues tal exigencia nos situaría fuera del esquema de distribución de cargas probatorias al que responde la denominada prueba indiciaria en el proceso laboral. Muy al contrario, el trabajador cumplirá su carga probatoria con la aportación de hechos a </w:t>
      </w:r>
      <w:r>
        <w:lastRenderedPageBreak/>
        <w:t>partir de los cuales surja razonablemente un panorama indicativo de la posible restricción en el derecho fundamental.</w:t>
      </w:r>
    </w:p>
    <w:p w:rsidR="0025129F" w:rsidRDefault="0025129F" w:rsidP="0025129F">
      <w:pPr>
        <w:pStyle w:val="TextoNormal"/>
      </w:pPr>
    </w:p>
    <w:p w:rsidR="0025129F" w:rsidRDefault="0025129F" w:rsidP="0025129F">
      <w:pPr>
        <w:pStyle w:val="TextoNormal"/>
      </w:pPr>
      <w:r w:rsidRPr="0025129F">
        <w:rPr>
          <w:rStyle w:val="NumeroAFNegritaCaracter"/>
        </w:rPr>
        <w:t>6</w:t>
      </w:r>
      <w:r>
        <w:t>. En el presente caso, es necesario recordar que los recurrentes en amparo, representantes sindicales y legales de los trabajadores, ponían en relación con el ejercicio del derecho de huelga en curso una serie de hechos, a saber, fundamentalmente: la contratación de trabajadores eventuales y el despido de tres trabajadores de la empresa coincidiendo con el ejercicio del derecho de huelga, la readmisión de estos últimos a cambio de la desconvocatoria del segundo llamamiento, el Acta de infracción levantada por la Inspección de Trabajo por las nuevas contrataciones, así como el carácter general de las convocatorias y la inexistencia de efecto alguno precisamente en la sección donde pasaron a prestar servicios los incorporados a la empresa. Los quejosos conectaban los hechos reseñados con un impacto negativo en el ejercicio del derecho fundamental, efecto perturbador que entendían objetivamente acreditado e intencionalmente perseguido por el empresario.</w:t>
      </w:r>
    </w:p>
    <w:p w:rsidR="0025129F" w:rsidRDefault="0025129F" w:rsidP="0025129F">
      <w:pPr>
        <w:pStyle w:val="TextoNormal"/>
      </w:pPr>
      <w:r>
        <w:t>Las alegaciones de los demandantes resultaron convincentes para los órganos judiciales en cuanto a la existencia de indicios de la posible vulneración del derecho de huelga. Así se sigue de los hechos declarados probados y del tipo de enjuiciamiento efectuado. En los primeros, por ejemplo, se hace constar que con fecha de 10 de octubre de 1996 la empresa despidió a un trabajador, y a dos trabajadores más el día 11 de octubre, y que dichos trabajadores fueron readmitidos el 5 de noviembre siguiente al incluirse en las negociaciones sindicales su recontratación y desconvocarse la segunda huelga prevista para los días 21, 22 y 23 de octubre, o, igualmente, que la Inspección de Trabajo levantó el Acta de infracción ya referido.</w:t>
      </w:r>
    </w:p>
    <w:p w:rsidR="0025129F" w:rsidRDefault="0025129F" w:rsidP="0025129F">
      <w:pPr>
        <w:pStyle w:val="TextoNormal"/>
      </w:pPr>
      <w:r>
        <w:t>En la fundamentación jurídica, se observa también la aceptación de la existencia de un panorama indiciario. Pero el Juzgado de lo Social y la Sala de lo Social del Tribunal Superior de Justicia razonaron la inexistencia de la vulneración sobre la base de la regularidad causal de las extinciones, calificaron la readmisión como expresión de un acto de buena voluntad empresarial, apreciaron fundamentos de necesidad productiva en las nuevas contrataciones, o afirmaron el carácter accesorio de la prestación contratada y la desconexión temporal de esos contratos y las convocatorias de paro, concluyendo que todos esos factores no llegaron a producir fractura alguna en los efectos de la huelga, ni vaciaron de contenido su celebración, ni produjeron descrédito del Comité que, por el contrario, habría quedado, a su juicio, fortalecido.</w:t>
      </w:r>
    </w:p>
    <w:p w:rsidR="0025129F" w:rsidRDefault="0025129F" w:rsidP="0025129F">
      <w:pPr>
        <w:pStyle w:val="TextoNormal"/>
      </w:pPr>
      <w:r>
        <w:t>En consecuencia, más allá de la valoración de los hechos y la calificación efectuada desde la óptica del derecho de huelga, los órganos judiciales partían de que los recurrentes habían conformado un panorama indicativo de una posible vulneración del art.  28.2 CE, aceptando que habían desarrollado una actividad alegatoria suficientemente concreta y precisa en torno a una posible violación del derecho fundamental.</w:t>
      </w:r>
    </w:p>
    <w:p w:rsidR="0025129F" w:rsidRDefault="0025129F" w:rsidP="0025129F">
      <w:pPr>
        <w:pStyle w:val="TextoNormal"/>
      </w:pPr>
    </w:p>
    <w:p w:rsidR="0025129F" w:rsidRDefault="0025129F" w:rsidP="0025129F">
      <w:pPr>
        <w:pStyle w:val="TextoNormal"/>
      </w:pPr>
      <w:r w:rsidRPr="0025129F">
        <w:rPr>
          <w:rStyle w:val="NumeroAFNegritaCaracter"/>
        </w:rPr>
        <w:t>7</w:t>
      </w:r>
      <w:r>
        <w:t>. Alcanzada la anterior conclusión y con arreglo a la doctrina constitucional más arriba reproducida, correspondía a la empresa la carga de probar que sus decisiones se basaban en causas ajenas a la apariencia de lesión creada por los recurrentes, exigencia que según los órganos judiciales, como acaba de apuntarse, recibió respuesta satisfactoria.</w:t>
      </w:r>
    </w:p>
    <w:p w:rsidR="0025129F" w:rsidRDefault="0025129F" w:rsidP="0025129F">
      <w:pPr>
        <w:pStyle w:val="TextoNormal"/>
      </w:pPr>
      <w:r>
        <w:t>En el control que de esa valoración nos corresponde, conforme al canon propio del derecho fundamental de huelga, no merece tacha alguna la calificación dada por los pronunciamientos judiciales al hecho de la contratación de nuevos trabajadores coincidiendo con el período del conflicto colectivo. En efecto, las razones ofrecidas por la empresa, y consideradas suficientes por los Tribunales, eran realmente acreditativas de una actuación fun</w:t>
      </w:r>
      <w:r>
        <w:lastRenderedPageBreak/>
        <w:t>dada en causas reales absolutamente extrañas a la pretendida vulneración del derecho fundamental, destruyendo la apariencia lesiva creada por el indicio y explicando objetiva, razonable y proporcionadamente por sí mismas la decisión empresarial.</w:t>
      </w:r>
    </w:p>
    <w:p w:rsidR="0025129F" w:rsidRDefault="0025129F" w:rsidP="0025129F">
      <w:pPr>
        <w:pStyle w:val="TextoNormal"/>
      </w:pPr>
      <w:r>
        <w:t>Para alcanzar esa conclusión importa, en primer lugar, que la empresa no se limitara a invocar su genérica libertad de contratación, pues, como se sabe, tal amparo no sería bastante para descartar la vulneración denunciada, habida cuenta que los poderes empresariales, según se recordó anteriormente, se encuentran limitados en su ejercicio no sólo por las normas legales o convencionales que los regulan, sino también por los derechos fundamentales del trabajador, constituyendo un resultado prohibido su utilización lesiva (por todas, SSTC 29/2002 y 30/2002, ambas de 11 de febrero). Por el contrario, concurrente el panorama descrito, a todas luces indiciario por la coincidencia en el tiempo de las contrataciones y la huelga y por el levantamiento de Acta de infracción (finalmente, empero, sin efecto sancionatorio), ofreció la empresa una justificación suficiente en su específica y singular proyección sobre este punto concreto.</w:t>
      </w:r>
    </w:p>
    <w:p w:rsidR="0025129F" w:rsidRDefault="0025129F" w:rsidP="0025129F">
      <w:pPr>
        <w:pStyle w:val="TextoNormal"/>
      </w:pPr>
      <w:r>
        <w:t>No se llega a ese resultado tras examinar las contrataciones indicadas en sí mismas consideradas, ni tampoco su regularidad causal en un plano de legalidad, sino analizándolas desde su eventual afectación al derecho de huelga, esto es, atendiendo al menoscabo que podría, en su caso y a su través, haberse causado en aquel derecho.</w:t>
      </w:r>
    </w:p>
    <w:p w:rsidR="0025129F" w:rsidRDefault="0025129F" w:rsidP="0025129F">
      <w:pPr>
        <w:pStyle w:val="TextoNormal"/>
      </w:pPr>
      <w:r>
        <w:t>Es palmario que la realización de los nuevos contratos de trabajo no influyó ni en la celebración de las huelgas convocadas ni en sus efectos. En primer lugar, se observa que éstas se desarrollaron con independencia de la práctica contractual llevada a término, pues la misma no impidió el mantenimiento de los llamamientos a la cesación del trabajo, y no tuvo repercusiones, ni relevancia alguna, en las negociaciones abiertas con ocasión de la medida de conflicto. En segundo lugar, la decisión de los nuevos trabajadores de no secundar las convocatorias carece de toda transcendencia, a falta de indicios de coerción que no pueden presumirse, pues esa circunstancia no es sino expresión de la libertad individual de cada titular del derecho a ejercitarlo, o no, según su personal criterio. Y, finalmente, en el plano que poseería mayor enjundia en el presente asunto, las contrataciones tampoco representaron una fórmula torticera empleada contra los efectos de la medida de autotutela, entorpecedora y tendente a dejarla sin efecto por medio de una técnica de sustitución externa de los trabajadores huelguistas.</w:t>
      </w:r>
    </w:p>
    <w:p w:rsidR="0025129F" w:rsidRDefault="0025129F" w:rsidP="0025129F">
      <w:pPr>
        <w:pStyle w:val="TextoNormal"/>
      </w:pPr>
      <w:r>
        <w:t xml:space="preserve">Ciertamente, ha quedado demostrado que con fecha 1 de noviembre de 1996 la empresa contrató a ocho trabajadores en virtud de contratos de duración determinada celebrados al amparo del Real Decreto 2596/1994; que prestaron sus servicios en la sección de rotura de baterías, sección que se dedica a recuperar el plomo de baterías viejas -función accesoria- para proveer a la planta de fundición de materia prima reciclable -plomo-, siendo ésta última la función principal de la fábrica; que, según afirmaba el juzgador a quo, el stock de materia prima en octubre era muy inferior al existente en meses anteriores; que la empresa con mucha antelación a la convocatoria de la huelga ya había tenido problemas de abastecimiento de materia prima por parte de su proveedor, y que de la prueba de confesión de dos actores se concluyó "que dicho personal sólo se dedicó a rotura de baterías, en jornadas de dos turnos, e incluso domingos y que la actividad desarrollada es de carácter accesorio al de la actividad principal que es el fundido de materiales con alto contenido en plomo y su reciclado y que dichos trabajadores en ningún caso «sustituyeron» a los huelguistas (concretamente los equipos de producción-fundición en toda su integridad)". Por otro lado, los ocho trabajadores contratados fueron seleccionados con anterioridad a convocarse la tercera huelga, sin que exista evidencia alguna de que el inicio del proceso de selección tuviera lugar antes de la desconvocatoria -acordada por otras razones (lo que sí </w:t>
      </w:r>
      <w:r>
        <w:lastRenderedPageBreak/>
        <w:t>consta)- del segundo llamamiento. La Consejería de Industria, Comercio y Turismo de la Junta de Castilla y León, a mayor abundamiento, anuló el Acta de Infracción sin imposición de sanciones a la empresa.</w:t>
      </w:r>
    </w:p>
    <w:p w:rsidR="0025129F" w:rsidRDefault="0025129F" w:rsidP="0025129F">
      <w:pPr>
        <w:pStyle w:val="TextoNormal"/>
      </w:pPr>
      <w:r>
        <w:t>Pues bien, señalábamos en nuestra STC 123/1992, de 28 de septiembre, que "la preeminencia del derecho de huelga produce, durante su ejercicio, el efecto de reducir y en cierto modo anestesiar, paralizar o mantener en una vida vegetativa, latente, otros derechos que en situaciones de normalidad pueden y deben desplegar toda su capacidad potencial". Tal sucedería, antes lo adelantábamos, con la libertad de contratación del empresario, que resultaría contraria al art. 28.2 CE de utilizarse como instrumento para privar de efectividad a la huelga, mediante la colocación de personal no como medida objetivamente necesaria para la buena marcha de la empresa, sino para desactivar la presión producida por el paro en el trabajo. Sin embargo, no ha sido este el caso pues de lo expuesto se desprende la autonomía de la medida respecto del conflicto y su falta de influencia en el ejercicio del derecho.</w:t>
      </w:r>
    </w:p>
    <w:p w:rsidR="0025129F" w:rsidRDefault="0025129F" w:rsidP="0025129F">
      <w:pPr>
        <w:pStyle w:val="TextoNormal"/>
      </w:pPr>
    </w:p>
    <w:p w:rsidR="0025129F" w:rsidRDefault="0025129F" w:rsidP="0025129F">
      <w:pPr>
        <w:pStyle w:val="TextoNormal"/>
      </w:pPr>
      <w:r w:rsidRPr="0025129F">
        <w:rPr>
          <w:rStyle w:val="NumeroAFNegritaCaracter"/>
        </w:rPr>
        <w:t>8</w:t>
      </w:r>
      <w:r>
        <w:t>. La explicación de la empresa resultó insuficiente, en cambio, en relación con el otro indicio aportado, como habremos de indicar a continuación, pues no acreditó ad casum la desconexión causal de los despidos de tres trabajadores con el ejercicio del derecho de huelga (acreditación singular a la que nos hemos referido en nuestras recientes SSTC 29/2002 y 30/2002).</w:t>
      </w:r>
    </w:p>
    <w:p w:rsidR="0025129F" w:rsidRDefault="0025129F" w:rsidP="0025129F">
      <w:pPr>
        <w:pStyle w:val="TextoNormal"/>
      </w:pPr>
      <w:r>
        <w:t>Los despidos de tres trabajadores y su posterior readmisión, según se declaraba en los hechos probados, tuvieron efectos directos sobre la huelga, hasta el punto de que la recontratación pasó a sumarse a las negociaciones sindicales que motivaban la huelga y quedó condicionada a la desconvocatoria de uno de los llamamientos (hecho probado tercero). Que la empresa trate de sustraer todo efecto a ese hecho sobre la base de que todo concluyó con la reposición en la situación previa, tras la readmisión realizada como acto -dice- de buena voluntad, no puede esconder que tuvo como resultado consecuencias objetivamente limitativas en el derecho fundamental.</w:t>
      </w:r>
    </w:p>
    <w:p w:rsidR="0025129F" w:rsidRDefault="0025129F" w:rsidP="0025129F">
      <w:pPr>
        <w:pStyle w:val="TextoNormal"/>
      </w:pPr>
      <w:r>
        <w:t>No es que el empresario decidiera readmitir a los trabajadores sin reciprocidad o transacción, sino que sólo lo hizo a cambio de la citada desconvocatoria y tras conseguir alterar, al menos en parte, los intereses concernidos en el conflicto, así como el objeto de la negociación que en su curso se desarrolló. Por tanto, que la medida extintiva tuviera o no fundamento causal admisible en Derecho (lo que no deja de estar en duda cuando las causas objetivas que pretendían amparar los despidos -en concreto, la reorganización del área en la que los despedidos trabajaban para la mejora de los costes- dejaron de ser perentorias a posteriori) no excusa la utilización desviada de la facultad legal, cosa que aquí ha acontecido.  Fuera o no una estrategia de negociación en el conflicto, de lo que no cabe duda es de que, objetivamente valorado, se ha producido un menoscabo del ejercicio del derecho fundamental y de los propósitos que con el mismo se perseguían.</w:t>
      </w:r>
    </w:p>
    <w:p w:rsidR="0025129F" w:rsidRDefault="0025129F" w:rsidP="0025129F">
      <w:pPr>
        <w:pStyle w:val="TextoNormal"/>
      </w:pPr>
      <w:r>
        <w:t>En otros términos, traídos a colación los indicios, el empresario debía probar la desconexión entre sus actos extintivos y el conflicto, para lo que no era suficiente la existencia de habilitación legal para llevarlos a cabo, salvo que de ello, o de otros datos, se concluyera abiertamente la disociación patente entre el empleo de sus facultades legales resolutorias y el derecho fundamental. No siendo éste el caso por lo expuesto, habiéndose hecho valer el poder empresarial frente a la presión legítima de la huelga, hasta el punto de lograr la desconvocatoria de uno de los llamamientos y de incidir en el objeto de las negociaciones, el recurso de amparo deberá estimarse en este punto.</w:t>
      </w:r>
    </w:p>
    <w:p w:rsidR="0025129F" w:rsidRDefault="0025129F" w:rsidP="0025129F">
      <w:pPr>
        <w:pStyle w:val="TextoNormal"/>
      </w:pPr>
      <w:r>
        <w:lastRenderedPageBreak/>
        <w:t>Como ya decíamos en la STC 90/1997, antes citada, la denominada prueba indiciaria atiende sobremanera a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lo que nos conduce a ese esquema de distribución de cargas probatorias al objeto de desvelar las lesiones constitucionales muchas veces encubiertas tras la legalidad sólo aparente del acto empresarial. El ejercicio de las facultades del empleador no puede servir en ningún caso a la producción de resultados inconstitucionales, lesivos de los derechos fundamentales del trabajador.</w:t>
      </w:r>
    </w:p>
    <w:p w:rsidR="0025129F" w:rsidRDefault="0025129F" w:rsidP="0025129F">
      <w:pPr>
        <w:pStyle w:val="TextoNormal"/>
      </w:pPr>
    </w:p>
    <w:p w:rsidR="0025129F" w:rsidRDefault="0025129F" w:rsidP="0025129F">
      <w:pPr>
        <w:pStyle w:val="TextoNormal"/>
      </w:pPr>
      <w:r w:rsidRPr="0025129F">
        <w:rPr>
          <w:rStyle w:val="NumeroAFNegritaCaracter"/>
        </w:rPr>
        <w:t>9</w:t>
      </w:r>
      <w:r>
        <w:t>. Se impone, por lo expuesto, el otorgamiento del amparo, siendo necesario previamente precisar el alcance de nuestro fallo en lo relativo a la Sentencia del Tribunal Superior de Justicia de Castilla y León, que, como se dijo, había estimado parcialmente el recurso de suplicación por razón del cierre patronal adoptado en la última convocatoria de huelga.</w:t>
      </w:r>
    </w:p>
    <w:p w:rsidR="0025129F" w:rsidRDefault="0025129F" w:rsidP="0025129F">
      <w:pPr>
        <w:pStyle w:val="TextoNormal"/>
      </w:pPr>
      <w:r>
        <w:t>La pretensión de los recurrentes en orden a la anulación de dicha Sentencia habrá de quedar satisfecha mediante la declaración de la lesión del derecho de huelga en cuanto que el Tribunal Superior no apreció su vulneración al efectuarse el despido de tres trabajadores. No procede hacer declaración alguna en lo referente a la indemnización solicitada.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parcialmente el recurso de amparo promovido por don Juan Antonio Postigo Martínez, don Félix del Cura Martínez, don Agustín Pachón Carazo, don Roberto Cervero Romero y don Jesús Vicente Mamolar, y, en su virtud:</w:t>
      </w:r>
    </w:p>
    <w:p w:rsidR="0025129F" w:rsidRDefault="0025129F" w:rsidP="0025129F">
      <w:pPr>
        <w:pStyle w:val="TextoNormal"/>
      </w:pPr>
      <w:r>
        <w:t>1º Reconocer el derecho de huelga de los demandantes de amparo (art. 28.2 CE).</w:t>
      </w:r>
    </w:p>
    <w:p w:rsidR="0025129F" w:rsidRDefault="0025129F" w:rsidP="0025129F">
      <w:pPr>
        <w:pStyle w:val="TextoNormal"/>
      </w:pPr>
      <w:r>
        <w:t>2º Declarar la nulidad de la Sentencia de la Sala de lo Social del Tribunal Superior de Justicia de Castilla y León, en su sede de Burgos, de 2 de junio de 1997, recaída en el recurso de suplicación núm.275/97, en cuanto no apreció la vulneración del derecho fundamental al efectuarse el despido de tres trabajadores.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veintiuno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0" w:name="SENTENCIA_2002_67"/>
      <w:r>
        <w:lastRenderedPageBreak/>
        <w:t>SENTENCIA 67/2002, de 21 de marzo de 2002</w:t>
      </w:r>
    </w:p>
    <w:bookmarkEnd w:id="70"/>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ECLI:ES:TC:2002:67</w:t>
      </w:r>
    </w:p>
    <w:p w:rsidR="0025129F" w:rsidRDefault="0025129F" w:rsidP="0025129F">
      <w:pPr>
        <w:pStyle w:val="SntesisDescriptiva"/>
      </w:pPr>
    </w:p>
    <w:p w:rsidR="0025129F" w:rsidRDefault="0025129F" w:rsidP="0025129F">
      <w:pPr>
        <w:pStyle w:val="SntesisDescriptiva"/>
      </w:pPr>
      <w:r>
        <w:t>Cuestión de inconstitucionalidad 4170/1998. Planteada por la Sala de lo Contencioso-Administrativo del Tribunal Superior de Justicia de Cantabria en relación con el art. 16.4 de la Ley 53/1984, de 26 de diciembre, de incompatibilidades del personal al servicio de las Administraciones públicas, introducido por la Ley 31/1991, de 30 de diciembre, de Presupuestos Generales del Estado para 1992.</w:t>
      </w:r>
    </w:p>
    <w:p w:rsidR="0025129F" w:rsidRDefault="0025129F" w:rsidP="0025129F">
      <w:pPr>
        <w:pStyle w:val="SntesisDescriptiva"/>
      </w:pPr>
    </w:p>
    <w:p w:rsidR="0025129F" w:rsidRDefault="0025129F" w:rsidP="0025129F">
      <w:pPr>
        <w:pStyle w:val="SntesisAnaltica"/>
      </w:pPr>
      <w:r>
        <w:t>Límites constitucionales al contenido material de las leyes de presupuestos. Validez del precepto. Voto particular.</w:t>
      </w:r>
    </w:p>
    <w:p w:rsidR="0025129F" w:rsidRDefault="0025129F" w:rsidP="0025129F">
      <w:pPr>
        <w:pStyle w:val="SntesisAnaltica"/>
      </w:pPr>
    </w:p>
    <w:p w:rsidR="0025129F" w:rsidRDefault="0025129F" w:rsidP="0025129F">
      <w:pPr>
        <w:pStyle w:val="Extracto"/>
      </w:pPr>
      <w:r>
        <w:t>1.</w:t>
      </w:r>
      <w:r>
        <w:tab/>
        <w:t>El precepto que permite reconocer compatibilidad para el ejercicio de actividades privadas al personal que desempeña puestos de trabajo con complemento específico, dentro de ciertos límites, no vulnera el art. 134.2 CE. Resulta previsible que no vaya a ser finalmente aplicable a un número elevado de funcionarios; pero tal apreciación no conduce a privar a aquél de repercusión en los gastos presupuestados (STC 32/2000) [FJ 4].</w:t>
      </w:r>
    </w:p>
    <w:p w:rsidR="0025129F" w:rsidRDefault="0025129F" w:rsidP="0025129F">
      <w:pPr>
        <w:pStyle w:val="Extracto"/>
      </w:pPr>
    </w:p>
    <w:p w:rsidR="0025129F" w:rsidRDefault="0025129F" w:rsidP="0025129F">
      <w:pPr>
        <w:pStyle w:val="Extracto"/>
      </w:pPr>
      <w:r>
        <w:t>2.</w:t>
      </w:r>
      <w:r>
        <w:tab/>
        <w:t>El legislador en este caso no ha aislado el precepto de la legislación de incompatibilidades del personal al servicio de la Administración, sino que lo ha integrado en el seno de la propia Ley de incompatiblidades, por lo que debe ser rechazada la infracción del art. 9.3 CE, en la vertiente de certeza [FJ 5].</w:t>
      </w:r>
    </w:p>
    <w:p w:rsidR="0025129F" w:rsidRDefault="0025129F" w:rsidP="0025129F">
      <w:pPr>
        <w:pStyle w:val="Extracto"/>
      </w:pPr>
    </w:p>
    <w:p w:rsidR="0025129F" w:rsidRDefault="0025129F" w:rsidP="0025129F">
      <w:pPr>
        <w:pStyle w:val="Extracto"/>
      </w:pPr>
      <w:r>
        <w:t>3.</w:t>
      </w:r>
      <w:r>
        <w:tab/>
        <w:t>Doctrina sobre los límites constitucionales al contenido material de las Leyes de presupuestos (SSTC 76/1992, 109/2001) [FJ 3].</w:t>
      </w:r>
    </w:p>
    <w:p w:rsidR="0025129F" w:rsidRDefault="0025129F" w:rsidP="0025129F">
      <w:pPr>
        <w:pStyle w:val="Extracto"/>
      </w:pPr>
    </w:p>
    <w:p w:rsidR="0025129F" w:rsidRDefault="0025129F" w:rsidP="0025129F">
      <w:pPr>
        <w:pStyle w:val="Extracto"/>
      </w:pPr>
      <w:r>
        <w:t>4.</w:t>
      </w:r>
      <w:r>
        <w:tab/>
        <w:t>Conviene que las cuestiones planteadas por los órganos judiciales encuentren, siempre que sea posible, solución por Sentencia con el objeto de contribuir a la depuración del Ordenamiento jurídico (SSTC 189/1991, 203/1998) [FJ 2.a].</w:t>
      </w:r>
    </w:p>
    <w:p w:rsidR="0025129F" w:rsidRDefault="0025129F" w:rsidP="0025129F">
      <w:pPr>
        <w:pStyle w:val="Extracto"/>
      </w:pPr>
    </w:p>
    <w:p w:rsidR="0025129F" w:rsidRDefault="0025129F" w:rsidP="0025129F">
      <w:pPr>
        <w:pStyle w:val="Extracto"/>
      </w:pPr>
      <w:r>
        <w:t>5.</w:t>
      </w:r>
      <w:r>
        <w:tab/>
        <w:t>El planteamiento de una pretensión en dos procesos judiciales diferentes no impide que en el curso del segundo de ellos se promueva una cuestión de inconstitucionalidad [FJ 2.b].</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la cuestión de inconstitucionalidad núm. 4170/98, promovida por la Sala de lo Contencioso-Administrativo del Tribunal Superior de Justicia de Cantabria en relación con la supuesta inconstitucionalidad del art. 16.4 de la Ley 53/1984, de 26 de diciembre, de incompatibilidades del personal al servicio de las Administraciones públicas, introducido por el art. 34 de la ley 31/1991, de 30 de diciembre, de Presupuestos Generales del Estado para 1992, por poder vulnerar los arts. 9.3 y 134.2 de la Constitución. Han comparecido y formulado alegaciones el Fiscal General del Estado y el Abogado del Estado. Ha sido Ponente el Magistrado don Guillermo Jiménez Sánchez, quien expresa el parecer del Tribunal.</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día 7 de octubre de 1998 tuvo entrada en el Registro del Tribunal un escrito de la Sala de lo Contencioso-Administrativo del Tribunal Superior de Justicia de Cantabria al que se acompañaba, junto con el testimonio del correspondiente procedimiento, un Auto dictado por este órgano judicial el día 24 de septiembre de 1998 en el cual se acordaba plantear cuestión de inconstitucionalidad respecto del art. 16.4 de la Ley 53/1984, reguladora de incompatibilidades del personal al servicio de las Administraciones públicas (en adelante, LIPAP), introducido por el art. 34 de la Ley 31/1991, de Presupuestos Generales del Estado para 1992.</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25129F" w:rsidRDefault="0025129F" w:rsidP="0025129F">
      <w:pPr>
        <w:pStyle w:val="TextoNormal"/>
      </w:pPr>
      <w:r>
        <w:t xml:space="preserve">a) Un Profesor Titular de Escuela Universitaria de la Universidad de Cantabria solicitó del Rectorado de esta Corporación Académica la pertinente autorización para compatibilizar su actividad pública con el ejercicio de la abogacía. Su petición fue denegada por Resolución de 15 de junio de 1997. Para el Rector, los profesores universitarios a tiempo completo (como era el caso del solicitante) no pueden ser autorizados para la realización de otras actividades públicas o privadas; así se desprende de la legalidad aplicable, que, para el Rector, consistía en los arts. 11 y 45.1 de la Ley Orgánica 11/1983, de 25 de agosto, de Reforma Universitaria, los arts. 16 y 17.2 de la Ley 53/1984, de 26 de diciembre, el art. 15.1 del Real Decreto 589/1985, de 30 de abril, y los Estatutos de la Universidad de Cantabria. </w:t>
      </w:r>
    </w:p>
    <w:p w:rsidR="0025129F" w:rsidRDefault="0025129F" w:rsidP="0025129F">
      <w:pPr>
        <w:pStyle w:val="TextoNormal"/>
      </w:pPr>
      <w:r>
        <w:t xml:space="preserve">b) El Profesor interpuso recuso contencioso-administrativo contra la Resolución del Rector ante el Tribunal Superior de Justicia de Cantabria. El recurso fue turnado con el núm. 2073/97. </w:t>
      </w:r>
    </w:p>
    <w:p w:rsidR="0025129F" w:rsidRDefault="0025129F" w:rsidP="0025129F">
      <w:pPr>
        <w:pStyle w:val="TextoNormal"/>
      </w:pPr>
      <w:r>
        <w:t xml:space="preserve">c) Seguido el proceso por sus trámites, la Sala de lo Contencioso-Administrativo del referido Tribunal, mediante providencia de 4 de marzo de 1998, acordó oír a las partes por </w:t>
      </w:r>
      <w:r>
        <w:lastRenderedPageBreak/>
        <w:t xml:space="preserve">término de 10 días sobre "la posible inconstitucionalidad del apartado 4 del art. 16 de la Ley 53/84, introducido por la Ley de Presupuestos Generales para 1992, por tratarse de una cuestión de derecho material, que excede del contenido que a las leyes anuales de presupuestos atribuye el art. 134.2 de la Constitución". </w:t>
      </w:r>
    </w:p>
    <w:p w:rsidR="0025129F" w:rsidRDefault="0025129F" w:rsidP="0025129F">
      <w:pPr>
        <w:pStyle w:val="TextoNormal"/>
      </w:pPr>
      <w:r>
        <w:t xml:space="preserve">d) El recurrente a quo sostuvo en su escrito de alegaciones que el hecho de que el art. 16, apartado 4, de la Ley 53/1984 haya sido reformado por una Ley de Presupuestos "puede ser, ... a la vista del art. 134.2, un defecto formal, pero discutible, pues, por otro lado, la única limitación que la Constitución establece con respecto a estas leyes anuales se encuentra en el art. 134.7, donde se recoge la prohibición de crear nuevos tributos, pero en absoluto la regulación de otras materias". En la súplica del escrito no se interesaba nada en relación con el posible planteamiento de una cuestión de inconstitucionalidad. </w:t>
      </w:r>
    </w:p>
    <w:p w:rsidR="0025129F" w:rsidRDefault="0025129F" w:rsidP="0025129F">
      <w:pPr>
        <w:pStyle w:val="TextoNormal"/>
      </w:pPr>
      <w:r>
        <w:t xml:space="preserve">e) El Fiscal se opuso al planteamiento de la cuestión, pues, a su juicio, la Ley de Presupuestos Generales del Estado para 1992 no excede en su contenido de lo previsto en el art. 134.2 de la Constitución. </w:t>
      </w:r>
    </w:p>
    <w:p w:rsidR="0025129F" w:rsidRDefault="0025129F" w:rsidP="0025129F">
      <w:pPr>
        <w:pStyle w:val="TextoNormal"/>
      </w:pPr>
      <w:r>
        <w:t xml:space="preserve">A la luz de la doctrina sentada en la STC 65/1987, sostuvo el Ministerio Público que la adición al art. 16 de la Ley 53/1984 de un apartado, 4, en el cual se contempla la posibilidad del reconocimiento excepcional de compatibilidad para el ejercicio de actividades privadas al personal que desempeñe puestos de trabajo que comporten la percepción de complementos específicos o conceptos equiparables cuya cuantía no supere el 30 por 100 de la retribución básica, puede estimarse constitucionalmente correcta por cuanto se trata de una previsión que incide sobre los gastos del personal activo al servicio del sector público. De otro lado, la cuestión relativa a si la Ley de Presupuestos, por su carácter temporal, puede establecer una regulación de carácter permanente tampoco afecta, en opinión del Fiscal, a la constitucionalidad del precepto, pues el art. 134 de la Constitución sólo establece una exclusión respecto al contenido de aquella Ley: la contenida en el apartado séptimo respecto a la creación de tributos. </w:t>
      </w:r>
    </w:p>
    <w:p w:rsidR="0025129F" w:rsidRDefault="0025129F" w:rsidP="0025129F">
      <w:pPr>
        <w:pStyle w:val="TextoNormal"/>
      </w:pPr>
      <w:r>
        <w:t xml:space="preserve">En consecuencia, el Ministerio Público interesó de la Sala que no elevara cuestión de inconstitucionalidad a este Tribunal. </w:t>
      </w:r>
    </w:p>
    <w:p w:rsidR="0025129F" w:rsidRDefault="0025129F" w:rsidP="0025129F">
      <w:pPr>
        <w:pStyle w:val="TextoNormal"/>
      </w:pPr>
      <w:r>
        <w:t>f) Mediante Auto de 24 de septiembre de 1998 la Sala de lo Contencioso-Administrativo del TSJ de Cantabria acordó plantear cuestión de inconstitucionalidad en relación con el apartado 4 del art. 16 de la Ley 53/1984 (norma introducida en virtud de lo dispuesto en el art. 34 de la Ley de Presupuestos Generales del Estado para 1992) por posible infracción del art. 134.2 de la Constitución.</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Sostiene la Sala proponente que el apartado 4 del art. 16 de la Ley 53/1984, de Incompatibilidades, fue introducido por la Ley de Presupuestos para 1992, que vino a suponer la derogación del Real Decreto 598/1985, de 30 de abril, que desarrollaba parcialmente la Ley 53/1984. El art. 15 del mencionado Decreto contenía un régimen especial de incompatibilidades para el personal docente universitario, señalando que quien tuviera "dedicación a tiempo completo no podía ser autorizado para la realización de otras actividades en el sector público o privado, sin perjuicio de lo dispuesto en los artículos 11 de la Ley de Reforma Universitaria y 19 de la Ley 53/1984". </w:t>
      </w:r>
    </w:p>
    <w:p w:rsidR="0025129F" w:rsidRDefault="0025129F" w:rsidP="0025129F">
      <w:pPr>
        <w:pStyle w:val="TextoNormal"/>
      </w:pPr>
      <w:r>
        <w:t>La introducción por la Ley de Presupuestos para 1992 (continúa la Sala) de una modificación de dicho régimen, al añadir un apartado 4 al art. 16 de la Ley 53/1984, abre la posibilidad a todos los funcionarios públicos, incluyendo a aquéllos que presten sus servicios en el ámbito docente universitario, de compatibilizar sus tareas al servicio de la Administración con el ejercicio de actividades privadas, siempre y cuando se cumpla el requisito que establece el referido apartado 4: que los complementos específicos, o conceptos equi</w:t>
      </w:r>
      <w:r>
        <w:lastRenderedPageBreak/>
        <w:t xml:space="preserve">parables, que perciban no superen el 30 por 100 de las retribuciones básicas que les correspondan. Esta condición se cumple en el supuesto de autos, ya que el recurrente percibe un sueldo base de ciento cincuenta y dos mil treinta y siete pesetas, siendo su complemento específico de veintidós mil seiscientas noventa y cinco pesetas. En consecuencia, entiende la Sala que la estimación o la desestimación del recurso dependen de que el apartado 4 del art. 16 de la Ley 53/1984 deba ser considerado conforme con la Constitución o vulnerador de ésta. </w:t>
      </w:r>
    </w:p>
    <w:p w:rsidR="0025129F" w:rsidRDefault="0025129F" w:rsidP="0025129F">
      <w:pPr>
        <w:pStyle w:val="TextoNormal"/>
      </w:pPr>
      <w:r>
        <w:t xml:space="preserve">Explica a continuación la Sala que, dado que la modificación del régimen de incompatibilidad para todos los funcionarios, incluidos los docentes universitarios, se ha introducido a través de la Ley de Presupuestos Generales para 1992, es este extremo el que suscita la duda que se plantea al Tribunal Constitucional. Para la Sala, la norma cuestionada se encuentra extramuros del contenido eventual constitucionalmente admisible en una Ley de Presupuestos. </w:t>
      </w:r>
    </w:p>
    <w:p w:rsidR="0025129F" w:rsidRDefault="0025129F" w:rsidP="0025129F">
      <w:pPr>
        <w:pStyle w:val="TextoNormal"/>
      </w:pPr>
      <w:r>
        <w:t xml:space="preserve">Entiende el órgano judicial que en esta materia es perceptible una progresiva tendencia de la jurisprudencia constitucional hacia la reconducción del contenido de las Leyes anuales de Presupuestos a los límites materiales que marca el art. 134.2 de la Constitución; tendencia que, acompañada asimismo por una creciente preocupación doctrinal, propende a evitar que, como se ha dicho, las Leyes de Presupuestos constituyan una especie de totum revolutum, en el cual se anuncia algo así como el anual Edicto del Pretor. En este sentido, mientras en las SSTC 63/1986 y 65/1987 se mantuvo un criterio relativamente amplio en relación con el contenido constitucionalmente lícito de estas Leyes, la tendencia contraria se ha hecho evidente a partir de la STC 76/1992, confirmada por las SSTC 178/1994 y 195/1994. </w:t>
      </w:r>
    </w:p>
    <w:p w:rsidR="0025129F" w:rsidRDefault="0025129F" w:rsidP="0025129F">
      <w:pPr>
        <w:pStyle w:val="TextoNormal"/>
      </w:pPr>
      <w:r>
        <w:t xml:space="preserve">Para la Sala, atendida esa evolución jurisprudencial, podría resultar necesario entender contrario a la Constitución el apartado 4 del art. 16 de la Ley 53/1984. En efecto, la determinación del status funcionarial y del régimen de incompatibilidades inherente a los funcionarios constituye materia propia de una ley de contenido funcionarial, y no de una norma llamada a prever la totalidad de los ingresos y gastos del Estado. Por sí mismo ello no es determinante de infracción constitucional alguna, toda vez que, superado el círculo del contenido mínimo e indisponible de este tipo de Leyes, hay que verificar si, no obstante, resulta posible regular en ellas una cuestión como la que ahora nos ocupa por guardar directa relación con los gastos e ingresos o con los criterios de política económica general de la que el Presupuesto es instrumento. La Sala avanza, sin embargo, que una y otra condiciones difícilmente se cumplen en el supuesto de autos. </w:t>
      </w:r>
    </w:p>
    <w:p w:rsidR="0025129F" w:rsidRDefault="0025129F" w:rsidP="0025129F">
      <w:pPr>
        <w:pStyle w:val="TextoNormal"/>
      </w:pPr>
      <w:r>
        <w:t xml:space="preserve">En relación con la primera de las condiciones sostiene el órgano judicial que no puede considerarse que una norma relativa al personal al servicio de la Administración Pública, y claramente relacionada con el status funcionarial y el desarrollo de la prestación de servicios inherente a los funcionarios, guarde relación directa suficiente con los gastos e ingresos del Estado para 1992. El establecimiento de un determinado régimen de incompatibilidades y la supresión de determinadas restricciones para los funcionarios públicos, autorizándoles a compatibilizar su actividad pública con el desarrollo de actividades privadas, puede tener, desde luego, alguna futura repercusión presupuestaria, en la medida en que cabe que afecte a los gastos de personal, pero no sería sencillo sostener que una previsión como la que aquí se cuestiona encaja sin ninguna violencia en el contenido constitucionalmente admisible de una Ley de Presupuestos. </w:t>
      </w:r>
    </w:p>
    <w:p w:rsidR="0025129F" w:rsidRDefault="0025129F" w:rsidP="0025129F">
      <w:pPr>
        <w:pStyle w:val="TextoNormal"/>
      </w:pPr>
      <w:r>
        <w:t xml:space="preserve">La jurisprudencia del Tribunal, continúa la Sala, es bastante restrictiva a la hora de admitir la existencia de esa relación directa, y no la ha apreciado en casos en los que, al menos en una aproximación inicial, pudiera parecer que concurría tal relación por tratarse de </w:t>
      </w:r>
      <w:r>
        <w:lastRenderedPageBreak/>
        <w:t xml:space="preserve">previsiones relativas a la comprobación e investigación tributarias y a la recaudación de tributos (SSTC 76/1992 y 195/1994). </w:t>
      </w:r>
    </w:p>
    <w:p w:rsidR="0025129F" w:rsidRDefault="0025129F" w:rsidP="0025129F">
      <w:pPr>
        <w:pStyle w:val="TextoNormal"/>
      </w:pPr>
      <w:r>
        <w:t xml:space="preserve">Entrando en otro orden de consideraciones, tampoco acaba de vislumbrar el órgano judicial las razones de política económica en que puede ampararse la regulación del régimen de incompatibilidades dentro de una ley de contenido presupuestario, toda vez que la política económica apela al conjunto de actuaciones tendentes a la consecución de los objetivos de carácter económico constitucionalmente fijados en el marco de los principios rectores de la actividad económica de los poderes públicos, todo ello cristalizado en las Leyes de Presupuestos. La inadecuación de la previsión cuestionada a esta segunda condición es, para la Sala, patente, pues no se aprecia ninguna conexión entre el régimen de incompatibilidades de los funcionarios y los criterios de política económica que pueda trazar el Estado. </w:t>
      </w:r>
    </w:p>
    <w:p w:rsidR="0025129F" w:rsidRDefault="0025129F" w:rsidP="0025129F">
      <w:pPr>
        <w:pStyle w:val="TextoNormal"/>
      </w:pPr>
      <w:r>
        <w:t xml:space="preserve">Conectado con lo anterior aflora en este momento la posible vulneración, por parte de la norma cuestionada, del principio de seguridad jurídica (art. 9.3 CE), fundando la Sala esta apreciación en la doctrina sentada sobre el particular en las SSTC 76/1992 y 195/1994. No contribuye precisamente a clarificar el régimen de incompatibilidades (concluye el órgano judicial) su regulación en una norma presupuestaria. </w:t>
      </w:r>
    </w:p>
    <w:p w:rsidR="0025129F" w:rsidRDefault="0025129F" w:rsidP="0025129F">
      <w:pPr>
        <w:pStyle w:val="TextoNormal"/>
      </w:pPr>
      <w:r>
        <w:t>En atención a todo lo expuesto, la Sala plantea la presente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la Sección Segunda, de fecha 14 de octubre de 1998, se admitió a trámite la cuestión de inconstitucionalidad y, conforme a lo establecido en el art. 37.2 LOTC, se acordó dar traslado de las actuaciones recibidas al Congreso de los Diputados y al Senado, por conducto de sus Presidentes, al Gobierno y al Fiscal General del Estado, al objeto de que en el plazo de quince días pudieran, si lo deseasen, personarse en el procedimiento, así como ordenar la publicación de la incoación de éste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Mediante escrito registrado en el Tribunal el día 6 de noviembre de 1998, el Abogado del Estado, en la representación que legalmente ostenta, compareció y formuló las alegaciones que a continuación se sintetizan. </w:t>
      </w:r>
    </w:p>
    <w:p w:rsidR="0025129F" w:rsidRDefault="0025129F" w:rsidP="0025129F">
      <w:pPr>
        <w:pStyle w:val="TextoNormal"/>
      </w:pPr>
      <w:r>
        <w:t xml:space="preserve">a) Como argumentación principal manifiesta que la cuestión planteada no es relevante para resolver el procedimiento jurisdiccional del que resulta. En tal sentido indica que la finalidad del recurso contencioso-administrativo que da origen a este procedimiento es la de dilucidar si el recurrente tiene derecho a obtener la declaración de compatibilidad con el ejercicio de una actividad profesional privada en su condición de funcionario docente de la Universidad de Cantabria con un complemento específico que no supera el 30 por 100 de su retribución básica. Esta cuestión ya ha sido resuelta por diversas resoluciones judiciales, entre ellas las Sentencias de la Audiencia Nacional, de la Sala de lo Contencioso-Administrativo, Sección Tercera, de 11 de marzo de 1997 (recurso núm. 557/95) y de 8 de julio de 1997 (recurso núm. 151/95). En dichas Sentencias se establece de una manera clara y terminante que el art. 16.4 LIPAP no es aplicable al personal docente universitario, porque dicho personal se rige por una normativa especial, contenida en el art. 16.1 del Real Decreto 598/1985, de 30 de abril, así como en diversos preceptos de la Ley Orgánica 11/1983, de 25 de agosto, de Reforma Universitaria. Es decir, resulta irrelevante que el art. 16.4 LIPAP sea o no constitucional, pues no es el precepto aplicable al supuesto controvertido. </w:t>
      </w:r>
    </w:p>
    <w:p w:rsidR="0025129F" w:rsidRDefault="0025129F" w:rsidP="0025129F">
      <w:pPr>
        <w:pStyle w:val="TextoNormal"/>
      </w:pPr>
      <w:r>
        <w:lastRenderedPageBreak/>
        <w:t xml:space="preserve">A mayor abundamiento, la cuestión objeto del recurso contencioso-administrativo fue ya especialmente resuelta en relación con el recurrente en la citada Sentencia de 8 de julio de 1997, en la cual se planteó idéntico supuesto al del recurso en el proceso a quo y se desestimó la pretensión del recurrente. Nos encontramos, pues, con una conducta de mala fe procesal, pues el recurrente, al formalizar la demanda en el proceso a quo, no hizo manifestación alguna sobre la existencia del otro recurso. Ello tiene evidentes consecuencias en la tramitación de la presente cuestión, pues puede conllevar, o su inadmisión, o la toma en consideración de la doctrina mantenida por la Audiencia Nacional. </w:t>
      </w:r>
    </w:p>
    <w:p w:rsidR="0025129F" w:rsidRDefault="0025129F" w:rsidP="0025129F">
      <w:pPr>
        <w:pStyle w:val="TextoNormal"/>
      </w:pPr>
      <w:r>
        <w:t xml:space="preserve">b) Con carácter subsidiario, para el caso de que no se estime lo antes expuesto, el Abogado del Estado se opone a la cuestión de fondo. </w:t>
      </w:r>
    </w:p>
    <w:p w:rsidR="0025129F" w:rsidRDefault="0025129F" w:rsidP="0025129F">
      <w:pPr>
        <w:pStyle w:val="TextoNormal"/>
      </w:pPr>
      <w:r>
        <w:t xml:space="preserve">El Auto de planteamiento de la cuestión basa sus dudas acerca de la constitucionalidad del art. 16.4 LIPAP en que dicho precepto no regula materia propia de las Leyes de Presupuestos, mientras que resulta cobijado por una de ellas. Sin embargo, la representación estatal considera que el contenido de dicho artículo permite su inclusión en la Ley de Presupuestos, ya que no se refiere al "status funcionarial", sino que lo hace primordialmente al sistema de retribuciones de la función pública. Existe, por ello, una importante repercusión económica que justifica su inclusión en la Ley de Presupuestos. </w:t>
      </w:r>
    </w:p>
    <w:p w:rsidR="0025129F" w:rsidRDefault="0025129F" w:rsidP="0025129F">
      <w:pPr>
        <w:pStyle w:val="TextoNormal"/>
      </w:pPr>
      <w:r>
        <w:t xml:space="preserve">El art. 16.4 afecta a un elemento del sistema de retribuciones, el complemento específico que se regula en el art. 23.3 b) de la Ley 30/1984, siendo definido como el "destinado a retribuir las condiciones particulares de algunos puestos de trabajo en atención a su especial dificultad técnica, dedicación, responsabilidad, incompatibilidad, peligrosidad o penosidad". El art. 16.4 persigue, pues, configurar el complemento específico en relación con la exigencia de incompatibilidad. </w:t>
      </w:r>
    </w:p>
    <w:p w:rsidR="0025129F" w:rsidRDefault="0025129F" w:rsidP="0025129F">
      <w:pPr>
        <w:pStyle w:val="TextoNormal"/>
      </w:pPr>
      <w:r>
        <w:t xml:space="preserve">Destaca el Abogado del Estado que, hasta la modificación operada precisamente por el art. 16.4, la percepción del complemento específico impedía cualquier compatibilidad. Ello se fundamenta en que el complemento específico, que en la Ley 30/1984 no se configuraba como norma básica, de hecho se generalizó para todos los puestos, lo que determinó la necesidad de modular las consecuencias de su percepción en relación con el sistema de incompatibilidades. El cambio normativo tiene una indudable proyección económica sobre los gastos e ingresos públicos, pues determinados puestos dotados con un complemento específico que no supone el 30 por 100 de su retribución básica pueden ser cubiertos por funcionarios que realicen otra actividad privada, bien procediendo de otros puestos, con o sin complemento específico, bien procediendo de la excedencia. Ello tiene una repercusión económica sobre el gasto al permitir la compatibilidad reducir la aportación pública en cuanto al complemento especifico, de un lado, y, de otro, cubrir mejor ciertos puestos vacantes mediante la reducción de dicho complemento. </w:t>
      </w:r>
    </w:p>
    <w:p w:rsidR="0025129F" w:rsidRDefault="0025129F" w:rsidP="0025129F">
      <w:pPr>
        <w:pStyle w:val="TextoNormal"/>
      </w:pPr>
      <w:r>
        <w:t xml:space="preserve">La referida repercusión económica se manifiesta también en el hecho de que la Administración va a contar con puestos de trabajo con mejores condiciones para los funcionarios sin producirse un aumento de las retribuciones dinerarias, es decir, se consigue potenciar la disponibilidad del personal funcionario sin incrementar el gasto público. Sin duda esta actuación debe encuadrarse dentro de la dirección de la política económica y de las decisiones relativas a los gastos en materia de función pública, en concreto, en relación con la oferta de empleo público, pues permite recuperar para la Administración a funcionarios excedentes reconociéndoles la compatibilidad. No puede olvidarse que la materia de oferta de empleo público es típicamente presupuestaria y se contiene en las Leyes de Presupuestos. En suma, se trata de un caso similar al de la regulación en Ley de Presupuestos de la incompatibilidad de la percepción de pensiones con el desempeño de cargos o actividades remunerados por las Administraciones Públicas, según se pone de manifiesto </w:t>
      </w:r>
      <w:r>
        <w:lastRenderedPageBreak/>
        <w:t xml:space="preserve">en la STC 67/1990. Aunque las medidas referenciadas no sean idénticas, resultan similares en cuanto a sus efectos y, por tanto, permiten su acogida en Ley de Presupuestos. </w:t>
      </w:r>
    </w:p>
    <w:p w:rsidR="0025129F" w:rsidRDefault="0025129F" w:rsidP="0025129F">
      <w:pPr>
        <w:pStyle w:val="TextoNormal"/>
      </w:pPr>
      <w:r>
        <w:t>c) Por último, el Abogado del Estado rechaza la infracción del principio de "seguridad jurídica" (art. 9.3 CE), pues la regulación en cuestión se ha incorporado con carácter general y permanente a la LIPAP.</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Fiscal General del Estado formuló sus alegaciones mediante escrito registrado el día 17 de noviembre de 1998. </w:t>
      </w:r>
    </w:p>
    <w:p w:rsidR="0025129F" w:rsidRDefault="0025129F" w:rsidP="0025129F">
      <w:pPr>
        <w:pStyle w:val="TextoNormal"/>
      </w:pPr>
      <w:r>
        <w:t xml:space="preserve">En ellas indica que ya la STC 27/1981 ponía de relieve las limitaciones materiales que impiden al legislador fijar libremente el contenido de las Leyes de Presupuestos, pues el art. 134.2 CE obliga a que dicho contenido guarde relación directa con la previsión de ingresos y la habilitación de los gastos públicos o con los criterios de política económica general. Por tanto, existe en las Leyes de Presupuestos un contenido mínimo e indisponible, relativo a la previsión de ingresos y a la autorización de gastos públicos, y otro contenido eventual, que incluye la regulación de materias que guarden relación con la previsión y autorización de gastos e ingresos o con la orientación de la política económica, con la única excepción de las normas creadoras de tributos, directamente excluidos de las Leyes de Presupuestos por el art. 34.7 CE. Tal doctrina ha sido progresivamente matizada en posteriores resoluciones, limitando el contenido eventual de las Leyes de Presupuestos, de modo que las materias que se incluyan en ellas, no sólo deben guardar relación directa con las previsiones de ingresos y gastos o con la política económica, sino que han de ser complemento necesario para la mayor inteligencia y más eficaz ejecución del Presupuesto y de la política económica del Gobierno. </w:t>
      </w:r>
    </w:p>
    <w:p w:rsidR="0025129F" w:rsidRDefault="0025129F" w:rsidP="0025129F">
      <w:pPr>
        <w:pStyle w:val="TextoNormal"/>
      </w:pPr>
      <w:r>
        <w:t xml:space="preserve">La regulación objeto de la cuestión de inconstitucionalidad es claro que no puede ser calificada de presupuestaria en sentido estricto, al no consistir en previsión de ingresos o autorización de gastos. Desde esta premisa cabría discutir si la compatibilidad funcional regulada en el art. 16.4 LIPAP, al suponer una eventual reducción en las nóminas del personal que se acogiera a lo allí dispuesto, podría o no ser incluida en el llamado contenido eventual de los presupuestos por su repercusión en el gasto público. La respuesta a este interrogante debe ser negativa, ya que, de una parte, se desprende del propio contexto de la Ley reformada y del precepto introducido que ambos se dirigen a regular un aspecto concreto del régimen profesional de los funcionarios públicos, con independencia de su repercusión económica, sobre la que calla el precepto, y, de otra parte, la alusión del art. 16 LIPAP a los complementos retributivos de aquellos funcionarios a los que puede aplicarse la compatibilidad no aparece como una consecuencia de ésta, sino como un requisito previo para su concesión, por lo que no puede sostenerse que mantenga relación con la orientación de la política económica. </w:t>
      </w:r>
    </w:p>
    <w:p w:rsidR="0025129F" w:rsidRDefault="0025129F" w:rsidP="0025129F">
      <w:pPr>
        <w:pStyle w:val="TextoNormal"/>
      </w:pPr>
      <w:r>
        <w:t xml:space="preserve">Finalmente, ha de observarse que la norma cuestionada no permite establecer previsiones presupuestarias, ya que no autoriza un régimen general y necesario de compatibilidades, sino que concede una mera potestad a los órganos administrativos para autorizar o denegar la compatibilidad en cada caso concreto. </w:t>
      </w:r>
    </w:p>
    <w:p w:rsidR="0025129F" w:rsidRDefault="0025129F" w:rsidP="0025129F">
      <w:pPr>
        <w:pStyle w:val="TextoNormal"/>
      </w:pPr>
      <w:r>
        <w:t>Por todo ello, el Fiscal General del Estado considera que el precepto objeto de la cuestión de inconstitucionalidad sólo tiene una incidencia presupuestaria indirecta, lo que obliga a concluir que la reforma operada en la LIPAP debió realizarse a través de una ley ordinaria no presupuestaria, y que, al no haberse hecho así, se ha vulnerado el art. 134.2 CE, con menoscabo del principio de seguridad jurídica. En razón a todo lo cual interesa del Tribunal que dicte Sentencia estimatoria de la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7</w:t>
      </w:r>
      <w:r>
        <w:t>. Por providencia de 20 de marzo de 2002, se acordó para deliberación y votación de la presente Sentencia el día 21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Sala de lo Contencioso-Administrativo del Tribunal Superior de Justicia de Cantabria suscita el problema de la conformidad o no con los arts. 9.3 y 134.2 de la Constitución del art. 16.4 de la Ley 53/1984, de 26 de diciembre, de Incompatibilidades del personal al servicio de las Administraciones públicas (LIPAP), precepto introducido en dicha Ley por el art. 34 de la Ley 31/1991, de 30 de diciembre, de Presupuestos Generales del Estado para 1992.</w:t>
      </w:r>
    </w:p>
    <w:p w:rsidR="0025129F" w:rsidRDefault="0025129F" w:rsidP="0025129F">
      <w:pPr>
        <w:pStyle w:val="TextoNormal"/>
      </w:pPr>
      <w:r>
        <w:t>El citado art. 16.4 dispone lo siguiente:</w:t>
      </w:r>
    </w:p>
    <w:p w:rsidR="0025129F" w:rsidRDefault="0025129F" w:rsidP="0025129F">
      <w:pPr>
        <w:pStyle w:val="TextoNormal"/>
      </w:pPr>
      <w:r>
        <w:t>"Asimismo, por excepción y sin perjuicio de las limitaciones establecidas en los arts.  1.11, 12 y 13 de la presente Ley, podrá reconocerse compatibilidad para el ejercicio de actividades privadas al personal que desempeñe puestos de trabajo que comporten la percepción de complementos específicos, o concepto equiparable, cuya cuantía no supere el 30 por 100 de su retribución básica, excluidos los conceptos que tengan su origen en la antigüedad".</w:t>
      </w:r>
    </w:p>
    <w:p w:rsidR="0025129F" w:rsidRDefault="0025129F" w:rsidP="0025129F">
      <w:pPr>
        <w:pStyle w:val="TextoNormal"/>
      </w:pPr>
      <w:r>
        <w:t>Para la Sala proponente, el precepto reproducido abre la posibilidad a todos los funcionarios públicos, incluidos los funcionarios docentes de la enseñanza universitaria, de compatibilizar la actividad expresada con el ejercicio de actividades privadas cuando se cumplan los requisitos allí regulados acerca de la cuantía de su complemento específico en relación con sus retribuciones básicas, excluida la antigüedad.</w:t>
      </w:r>
    </w:p>
    <w:p w:rsidR="0025129F" w:rsidRDefault="0025129F" w:rsidP="0025129F">
      <w:pPr>
        <w:pStyle w:val="TextoNormal"/>
      </w:pPr>
      <w:r>
        <w:t>Se trata, por tanto, de un precepto que regula una dimensión propia del estatuto funcionarial, concretamente el régimen de incompatibilidades de los funcionarios públicos, por lo que, de acuerdo con la doctrina constitucional recaída en relación con el contenido de las Leyes de Presupuestos Generales del Estado (SSTC 76/1992, de 14 de mayo; 178/1994, de 16 de junio, y 195/1994, de 28 de junio, entre otras), resultaría ilegítima la inclusión de la norma considerada en este instrumento normativo al no resultar reconducible a su contenido necesario, la relación de gastos e ingresos públicos, ni tampoco a su contenido eventual, es decir, el vinculado con los criterios de política económica. Por ello podría resultar vulnerado el art. 134. 2 CE, relativo al contenido de las Leyes de Presupuestos y, como consecuencia, el principio de seguridad jurídica (art. 9.3 CE), dada la localización inadecuada del precepto puesto en cuestión.</w:t>
      </w:r>
    </w:p>
    <w:p w:rsidR="0025129F" w:rsidRDefault="0025129F" w:rsidP="0025129F">
      <w:pPr>
        <w:pStyle w:val="TextoNormal"/>
      </w:pPr>
      <w:r>
        <w:t>El Abogado del Estado suscita, como cuestiones previas, la necesidad de acordar la inadmisión de la cuestión de inconstitucionalidad en razón, por un lado, a que el artículo cuestionado no sería el aplicable al caso en el proceso judicial previo, y, por otro, a la mala fe procesal del recurrente en dicho proceso, que fundamenta en las circunstancias detalladas en el antecedente quinto. Subsidiariamente aduce que procedería la desestimación de la cuestión, pues el art. 16.4 LIPAP responde perfectamente al contenido normal de las Leyes de Presupuestos por su estrecha conexión con el sistema de retribuciones de la función pública.</w:t>
      </w:r>
    </w:p>
    <w:p w:rsidR="0025129F" w:rsidRDefault="0025129F" w:rsidP="0025129F">
      <w:pPr>
        <w:pStyle w:val="TextoNormal"/>
      </w:pPr>
      <w:r>
        <w:t>El Fiscal General del Estado considera que el artículo objeto de la presente cuestión de inconstitucionalidad presenta sólo una incidencia presupuestaria indirecta, habiendo debido establecerse la normativa contenida en él a través de una ley ordinaria no presupuestaria, por lo que pueden haberse vulnerado, como expresa el auto de promoción de la cuestión de inconstitucionalidad, los arts. 134.2 y 9.3 CE.</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abordar el examen de las posibles infracciones constitucionales que se suscitan en el Auto de planteamiento de la cuestión debemos detenernos en el enjuiciamiento de los vicios de procedibilidad aducidos por el Abogado del Estado.</w:t>
      </w:r>
    </w:p>
    <w:p w:rsidR="0025129F" w:rsidRDefault="0025129F" w:rsidP="0025129F">
      <w:pPr>
        <w:pStyle w:val="TextoNormal"/>
      </w:pPr>
      <w:r>
        <w:t>a) En primer lugar, la representación estatal aduce que el art. 16.4 LIPAP no es relevante para resolver el procedimiento judicial a quo, puesto que las Sentencias de la Audiencia Nacional, Sala de lo Contencioso-Administrativo, Sección Tercera, de 11 de marzo y de 8 de julio de 1997, han establecido que aquel precepto no es aplicable al personal docente universitario, dado que éste se rige por lo dispuesto en el art. 16.1 del Real Decreto 598/1985, de 30 de abril, lo que llevaría a inadmitir la presente cuestión de inconstitucionalidad.</w:t>
      </w:r>
    </w:p>
    <w:p w:rsidR="0025129F" w:rsidRDefault="0025129F" w:rsidP="0025129F">
      <w:pPr>
        <w:pStyle w:val="TextoNormal"/>
      </w:pPr>
      <w:r>
        <w:t>Existe ya una reiterada doctrina de este Tribunal acerca del alcance del denominado juicio de relevancia, determinante de la admisión a trámite de las cuestiones de inconstitucionalidad (art. 37.1 LOTC). Al efecto hemos venido manteniendo un criterio flexible de las previsiones de la LOTC, lo que se justifica por la conveniencia de que las cuestiones planteadas por los órganos judiciales encuentren, siempre que sea posible, solución por Sentencia con el objeto de contribuir a la depuración del Ordenamiento jurídico de preceptos presuntamente inconstitucionales, extendiendo así la fuerza vinculante de la Constitución gracias a la cooperación entre los órganos judiciales y el Tribunal Constitucional.  En este sentido hemos declarado también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(SSTC 189/1991, de 3 de octubre, FJ 2; 337/1994, de 23 de diciembre, FJ 4.a; 174/1998, de 23 de julio, FJ 1; 203/1998, de 15 de octubre, FJ 2;; ATC 14/1993, de 19 de enero).</w:t>
      </w:r>
    </w:p>
    <w:p w:rsidR="0025129F" w:rsidRDefault="0025129F" w:rsidP="0025129F">
      <w:pPr>
        <w:pStyle w:val="TextoNormal"/>
      </w:pPr>
      <w:r>
        <w:t xml:space="preserve">Complementariamente debemos tener en cuenta, asimismo, que "no es preciso ni pertinente que, correspondiendo al órgano judicial en el ejercicio de la función que constitucionalmente le corresponde (art. 117.3 CE) interpretar los requisitos ordenadores de los procesos propios de su jurisdicción, este Tribunal Constitucional, con la excusa de constatar el carácter de norma decidendi de la norma legal cuestionada, se adentre a sustituir o modificar el criterio del órgano judicial proponente que, aun pudiendo ser discutible, no resulta irrazonable o radicalmente infundado. De este modo --se concluye-, siendo claro que la negación de la aplicabilidad de los preceptos legales cuestionados sólo sería posible mediando una interpretación de este Tribunal de signo contrario a la mantenida por el órgano judicial proponente y que esta interpretación, que no necesariamente es la única posible y ajustada a Derecho, sólo al órgano judicial compete en principio efectuarla, debe concluirse que no es apreciable la inexistencia de juicio de relevancia, pues, no siendo rechazable a limine la tesis de la aplicabilidad de los preceptos legales cuestionados, la </w:t>
      </w:r>
      <w:r>
        <w:lastRenderedPageBreak/>
        <w:t>inconstitucionalidad, en su caso, de éstos tendría incidencia en la resolución del recurso" (STC 203/1998, de 15 de octubre, FJ 2; ATC 14/1993, de 19 de enero).</w:t>
      </w:r>
    </w:p>
    <w:p w:rsidR="0025129F" w:rsidRDefault="0025129F" w:rsidP="0025129F">
      <w:pPr>
        <w:pStyle w:val="TextoNormal"/>
      </w:pPr>
      <w:r>
        <w:t>En el caso que estamos examinando, el órgano judicial proponente considera que el art.  16.4, cuya constitucionalidad cuestiona, es el precepto aplicable al caso de cuya constitucionalidad depende el fallo, en la medida en que prevé que puede concederse la compatibilidad para el ejercicio de actividades privadas "al personal que desempeñe puestos de trabajo que comporten la percepción de complementos específicos, o concepto equiparable, cuya cuantía no supere el 30 por 100 de su retribución básica", supuesto en el que se encuentra el demandante en el proceso a quo. A ello opone el Abogado del Estado la doctrina contenida en las Sentencias de la Audiencia Nacional a que hemos hecho referencia, doctrina que considera que la norma aplicable a los funcionarios docentes ha de ser el art. 15.1 del Real Decreto 598/1985, de 30 de abril, que determina que "el personal docente universitario con dedicación a tiempo completo no podrá ser autorizado para la realización de otras actividades en el sector público o privado", toda vez que el recurrente se dedica a la docencia precisamente a tiempo completo.</w:t>
      </w:r>
    </w:p>
    <w:p w:rsidR="0025129F" w:rsidRDefault="0025129F" w:rsidP="0025129F">
      <w:pPr>
        <w:pStyle w:val="TextoNormal"/>
      </w:pPr>
      <w:r>
        <w:t>Sin embargo, este hecho no ha escapado a la apreciación del órgano judicial, que también ha valorado la aplicabilidad al caso del citado art. 15.1 del Real Decreto 598/1985 y la ha descartado al considerar que ha sido derogado por el precepto legal cuya constitucionalidad somete al juicio de este Tribunal. No siendo irrazonable esta interpretación, y habida cuenta de nuestra doctrina acerca del juicio de relevancia a que antes hemos hecho referencia, debemos rechazar esta primera tacha de procedibilidad.</w:t>
      </w:r>
    </w:p>
    <w:p w:rsidR="0025129F" w:rsidRDefault="0025129F" w:rsidP="0025129F">
      <w:pPr>
        <w:pStyle w:val="TextoNormal"/>
      </w:pPr>
      <w:r>
        <w:t>b) El Abogado del Estado se refiere también a una segunda causa de inadmisibilidad de la cuestión, derivada de la mala fe procesal del recurrente, el cual ha planteado ya su pretensión en otra vía judicial y obtenido, incluso, una Sentencia desestimatoria de la Sala de lo Contencioso-Administrativo, Sección Tercera, de la Audiencia Nacional.</w:t>
      </w:r>
    </w:p>
    <w:p w:rsidR="0025129F" w:rsidRDefault="0025129F" w:rsidP="0025129F">
      <w:pPr>
        <w:pStyle w:val="TextoNormal"/>
      </w:pPr>
      <w:r>
        <w:t>Este planteamiento no puede ser admitido, toda vez que aquel pronunciamiento judicial trae causa de un procedimiento diferente al del proceso a quo en el curso del cual se promueve la presente cuestión de inconstitucionalidad. Efectivamente, según se constata en la documentación aportada por el Abogado del Estado, el demandante en el proceso a quo, siendo entonces Profesor Asociado en la Universidad de Cantabria, interpuso en su día recurso contencioso-administrativo contra la Resolución de 24 de octubre de 1994, dictada por el Secretario de Estado de la Administración Pública, por la que se le denegó la compatibilidad solicitada con la actividad privada del ejercicio de la abogacía (recurso 151/95). Dicho proceso es, pues, completamente independiente del que determina la presente cuestión, ya que este último, como se ha expresado en el antecedente segundo, se traba como consecuencia del recurso contencioso-administrativo núm. 2073/97, planteado por el mismo actor, a la sazón Profesor Titular de Escuela Universitaria de la Universidad de Cantabria, frente a la Resolución del Rector de dicha Universidad de 15 de junio de 1997 que denegó su petición de compatibilidad. Se trata, consiguientemente, de dos procesos diferentes y nada impide que en el curso del segundo de ellos se promueva la presente cuestión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3</w:t>
      </w:r>
      <w:r>
        <w:t>. Una vez descartadas las tachas de procedibilidad aducidas se ha de examinar si, efectivamente, el precepto objeto de esta cuestión de inconstitucionalidad es o no conforme con los arts. 9.3 y 134.2 de nuestra Constitución. A tal efecto debemos considerar la doctrina que sobre los límites constitucionales al contenido material de las Leyes de Presupuestos ha elaborado este Tribunal:</w:t>
      </w:r>
    </w:p>
    <w:p w:rsidR="0025129F" w:rsidRDefault="0025129F" w:rsidP="0025129F">
      <w:pPr>
        <w:pStyle w:val="TextoNormal"/>
      </w:pPr>
      <w:r>
        <w:lastRenderedPageBreak/>
        <w:t>"[Dicha doctrina se contiene] en una relativamente amplia serie de resoluciones, que se inicia con la STC 27/1981, de 20 de julio, y que, tras las SSTC 84/1982, de 23 de diciembre, 63/1986, de 21 de mayo, 65/1987, de 21 de mayo, 134/1987, de 21 de julio, 126/1987, de 16 de julio, y 65/1990, de 5 de abril, culmina con la STC 76/1992, de 14 de mayo, cuya doctrina ha sido posteriormente reiterada en las SSTC 178/1994, de 16 de junio, 195/1994, de 23 de junio, 16/1996, de 1 de febrero, 61/1997, de 20 de marzo, 174/1998, de 23 de julio, 203/1998, de 15 de octubre, 130/1999, de 1 de julio, 131/1999, de 1 de julio, 234/1999, de 16 de diciembre, 32/2000, de 3 de febrero, 180/2000, de 29 de junio, y 274/2000, de 15 de noviembre. Así, y con base en esta doctrina, en nuestra STC 203/1998, de 15 de octubre, FJ 3, se razonaba que la Ley de Presupuestos aparece, en primer lugar, como una verdadera ley, lo cual no ha impedido subrayar su peculiaridad consistente en que el ejercicio del poder legislativo por las Cortes Generales está condicionado en estos casos por las disposiciones contenidas en los apartados 1, 6 y 7 del art. 134 CE y por las restricciones impuestas a su tramitación parlamentaria por los Reglamentos de las Cámaras. Estas peculiaridades derivan, a su vez, de la función que el art. 134.2 de la Norma fundamental atribuye a estas leyes: se trata de las leyes que cada año aprueban los Presupuestos Generales del Estado, incluyendo la totalidad de los gastos e ingresos del sector público estatal y la consignación del importe de los beneficios fiscales que afectan a los tributos del Estado.  De aquí que al mismo tiempo aparezcan como un instrumento de dirección y orientación de la política económica del Gobierno.</w:t>
      </w:r>
    </w:p>
    <w:p w:rsidR="0025129F" w:rsidRDefault="0025129F" w:rsidP="0025129F">
      <w:pPr>
        <w:pStyle w:val="TextoNormal"/>
      </w:pPr>
      <w:r>
        <w:t xml:space="preserve">La Ley de Presupuestos tiene así un 'contenido esencial' o 'indisponible', mínimo y necesario, distinguiéndola respecto de las demás Leyes del Estado, que viene expresamente recogido en el número 2 del art. 134 del Texto constitucional, y que se concreta en la previsión de ingresos y habilitación de gastos para un ejercicio económico (SSTC 27/1981, de 20 de julio, FJ 2, y 84/1982, de 23 de diciembre, FJ 3), y en las normas de naturaleza financiera que desarrollan y aclaran los estados cifrados para su ejecución congruente o simétrica en el respectivo período anual (STC 65/1990, de 5 de abril, FJ 3). Contenido propio, mínimo y necesario que no puede considerarse como exclusivo y excluyente, de modo que impida que en las Leyes de Presupuestos se contengan disposiciones que no coincidan exactamente con dicho contenido (STC 65/1987, de 21 de mayo, FJ 4). En este sentido pueden además acoger un 'contenido eventual' o 'disponible', justificado en el carácter funcional de la Ley de Presupuestos como vehículo director de la política económica del Gobierno, que no se excluye en la redacción del art. 134.2 de la Constitución, y que se concreta en aquellas otras disposiciones que, no siendo estrictamente presupuestarias, están dirigidas de modo directo a ordenar la acción y los objetivos de política económica y financiera del sector público estatal o, lo que es lo mismo, inciden en la política de ingresos y gastos del sector público o la condicionan (SSTC 27/1981, de 20 de julio, FJ 2; 63/1986, de 21 de mayo, FJ 12; 65/1987, de 21 de mayo, FJ 4; 134/1987, de 21 de julio, FJ 6; 65/1990, de 5 de abril, FJ 3; 76/1992, de 14 de mayo, FJ 4; 195/1994, de 23 de junio, FJ 2; 16/1996, de 1 de febrero, FJ 6; 61/1997, de 20 de marzo, FJ 2; 174/1998, de 23 de julio, FJ 6; 203/1998, de 15 de octubre, FJ 3; 130/1999, de 1 de julio, FJ 4; 131/1999, de 1 de julio, FJ 2; 234/1999, de 16 de diciembre, FJ 4; 32/2000, de 3 de febrero, FJ 5, y 180/2000, de 29 de junio, FJ 4). La Ley de Presupuestos puede contener, en consecuencia, disposiciones que, aun no suponiendo  una previsión de ingresos o una habilitación de gastos en sentido estricto, sí guarden relación con unos o con otros. Es dentro de ese contenido 'eventual' o 'disponible' donde encajan aquellas otras normas que, aun no constituyendo una previsión de ingresos o habilitación de gastos, sí guardan en todo caso una relación directa con los ingresos o gastos del Estado, o responden a los criterios de política </w:t>
      </w:r>
      <w:r>
        <w:lastRenderedPageBreak/>
        <w:t>económica del Gobierno o a una mayor inteligencia o mejor ejecución del presupuesto, y respetan, finalmente, tanto el límite previsto en el número 2 del art. 134 de la Constitución, como el recogido en el numero 7 del mismo artículo (SSTC 65/1987, de 21 de mayo, FJ 4, y 65/1990, de 5 de abril, FJ 3).</w:t>
      </w:r>
    </w:p>
    <w:p w:rsidR="0025129F" w:rsidRDefault="0025129F" w:rsidP="0025129F">
      <w:pPr>
        <w:pStyle w:val="TextoNormal"/>
      </w:pPr>
      <w:r>
        <w:t>Dicho de otra manera, 'el hecho de admitir que las Leyes de Presupuestos puedan tener un contenido que afecte a materias distintas de las que integran ese núcleo esencial (esto es, que no constituyen una previsión de ingresos o una habilitación de gastos), no significa que dentro de ese contenido eventual o no necesario, pueda tener cabida indistinta la regulación de cualquier materia' (STC 32/2000, de 3 de febrero, FJ 5).</w:t>
      </w:r>
    </w:p>
    <w:p w:rsidR="0025129F" w:rsidRDefault="0025129F" w:rsidP="0025129F">
      <w:pPr>
        <w:pStyle w:val="TextoNormal"/>
      </w:pPr>
      <w:r>
        <w:t>Por otra parte, la justificación de la limitación del contenido constitucionalmente posible de las Leyes de Presupuestos se halla, no sólo en la función específica que le atribuye la Constitución (la aprobación anual de los Presupuestos Generales del Estado incluyendo la totalidad de los ingresos y gastos del sector público estatal y la consignación de los beneficios fiscales que afecten al Estado), sino también en las peculiaridades y especificidades que presenta su tramitación parlamentaria.  Dicha tramitación conlleva restricciones a las facultades de los órganos legislativos en relación con la tramitación de otros proyectos o proposiciones de Ley, al tener sus trámites de enmienda y debate restringidos por las disposiciones de las Cámaras que regulan su procedimiento (SSTC 27/1981, de 20 de julio, FJ 2; 65/1987, de 21 de mayo, FJ 4; 65/1990, de 5 de abril, FJ 3; 76/1992, de 14 de mayo, FJ 4; 178/1994, de 16 de junio, FJ 5; 195/1994, de 28 de junio, FJ 2; 61/1997, de 20 de marzo, FJ 2; 174/1998, de 23 de julio, FJ 6 ; 203/1998, de 15 de octubre, FJ 3; 234/1999, de 16 de diciembre, FJ 4; 32/2000, de 3 de febrero, FJ 5, y 180/2000, de 29 de junio, FJ 4).</w:t>
      </w:r>
    </w:p>
    <w:p w:rsidR="0025129F" w:rsidRDefault="0025129F" w:rsidP="0025129F">
      <w:pPr>
        <w:pStyle w:val="TextoNormal"/>
      </w:pPr>
      <w:r>
        <w:t>Por estos motivos, si bien nada impide, en principio, la utilización del vehículo de la Ley de Presupuestos como un instrumento para la mera adaptación circunstancial de las distintas normas, sin embargo, la realización de una modificación sustantiva o la inclusión de disposiciones de carácter general está necesitada, para salvaguardar su legitimación constitucional conforme a lo expuesto, de una conexión económica (relación directa con los ingresos o gastos del Estado o vehículo director de la política económica del Gobierno) o presupuestaria (para una mayor inteligencia o mejor ejecución del presupuesto), so pena de quedar huérfana de justificación (STC 274/2000, de 15 de noviembre, FJ 4)" (STC 109/2001, de 26 de abril, FJ 5).</w:t>
      </w:r>
    </w:p>
    <w:p w:rsidR="0025129F" w:rsidRDefault="0025129F" w:rsidP="0025129F">
      <w:pPr>
        <w:pStyle w:val="TextoNormal"/>
      </w:pPr>
    </w:p>
    <w:p w:rsidR="0025129F" w:rsidRDefault="0025129F" w:rsidP="0025129F">
      <w:pPr>
        <w:pStyle w:val="TextoNormal"/>
      </w:pPr>
      <w:r w:rsidRPr="0025129F">
        <w:rPr>
          <w:rStyle w:val="NumeroAFNegritaCaracter"/>
        </w:rPr>
        <w:t>4</w:t>
      </w:r>
      <w:r>
        <w:t>. Entrando ya a examinar, partiendo de la doctrina reproducida, la conformidad del art.  16.4 de la Ley 53/1984, objeto de esta cuestión de inconstitucionalidad, con el art. 134.2 de la Constitución, resulta evidente que aquel precepto carece de conexión con el contenido "esencial" o "indisponible" de las Leyes de Presupuestos, toda vez que no contiene determinación normativa alguna acerca de la previsión de ingresos o de la habilitación de gastos para el correspondiente ejercicio económico. Resta, pues, por analizar si puede o no conectarse con el llamado contenido "eventual" o "disponible" de dichas Leyes; es decir, si su regulación sustantiva, aun no siendo estrictamente presupuestaria, se dirige a ordenar la acción y objetivos de la política económica y financiera del sector público estatal, incidiendo en la política de ingresos y gastos del sector público. A esta cuestión responde afirmativamente el Abogado del Estado, quien defiende la existencia de una proyección del precepto cuestionado sobre los gastos y los ingresos públicos.</w:t>
      </w:r>
    </w:p>
    <w:p w:rsidR="0025129F" w:rsidRDefault="0025129F" w:rsidP="0025129F">
      <w:pPr>
        <w:pStyle w:val="TextoNormal"/>
      </w:pPr>
      <w:r>
        <w:t xml:space="preserve">Para el enjuiciamiento del tema planteado ha de tenerse presente que en una ocasión precedente hemos declarado que: "[C]abría, sin duda, argumentar que la sede normativa natural y técnicamente más correcta de [las] regulaciones de los conceptos retributivos de </w:t>
      </w:r>
      <w:r>
        <w:lastRenderedPageBreak/>
        <w:t>los funcionarios es el de las disposiciones generales que disciplinan el régimen jurídico aplicable a todos los funcionarios. Cabría argumentar también que, dada la temporalidad propia de las Leyes de Presupuestos, resulta conveniente, en el caso de haber incluido preceptos del tipo del aquí cuestionado en una Ley de Presupuestos, incorporarlos con posterioridad a la legislación funcionarial, como se hizo con los que fueron objeto de enjuiciamiento en la STC 65/1990. Sin embargo, debe tenerse presente, de un lado, que el criterio de temporalidad no resulta en principio determinante de la constitucionalidad o no de una norma como la cuestionada desde la perspectiva de su inclusión en una Ley de Presupuestos (STC 65/1990, FJ 3); por otro lado, el hecho de que el precepto previsiblemente afecte a un número limitado de funcionarios puede poner de manifiesto que su regulación no incide en los criterios de política económica general, pero no es suficiente para negar la repercusión directa de los complementos retributivos regulados en los gastos presupuestados, y, finalmente, debe tenerse en cuenta que en supuestos como el presente nuestro control de constitucionalidad no es un juicio sobre la cualidad técnica del ordenamiento jurídico, ni sobre la oportunidad de las opciones adoptadas por el legislador.  Dentro de los límites del contenido posible o eventual de las Leyes de Presupuestos, el legislador goza de un margen de libre configuración que este Tribunal debe respetar y en el presente caso, como queda dicho, no cabe negar en modo alguno la relación directa del precepto cuestionado con los gastos previstos en el Presupuesto" (STC 32/2000, de 3 de febrero, FJ 6).</w:t>
      </w:r>
    </w:p>
    <w:p w:rsidR="0025129F" w:rsidRDefault="0025129F" w:rsidP="0025129F">
      <w:pPr>
        <w:pStyle w:val="TextoNormal"/>
      </w:pPr>
      <w:r>
        <w:t>En el caso ahora sometido a nuestro examen resulta previsible también que el precepto cuestionado no vaya a ser finalmente aplicable a un número elevado de funcionarios, pero tal apreciación no conduce a privar a aquél de repercusión en los gastos presupuestados, permitiendo, incluso, en determinadas coyunturas, que la oferta pública de empleo incluya un espectro significativo de los puestos de tal naturaleza si así resulta necesario, lo que, como señala el Abogado del Estado, guarda relación directa con las Leyes de Presupuestos.</w:t>
      </w:r>
    </w:p>
    <w:p w:rsidR="0025129F" w:rsidRDefault="0025129F" w:rsidP="0025129F">
      <w:pPr>
        <w:pStyle w:val="TextoNormal"/>
      </w:pPr>
      <w:r>
        <w:t>En definitiva, no se aprecia que el art. 16.4 de la Ley 53/1984, introducido por el art. 34 de la Ley 31/1991, vulnere, conforme a la doctrina establecida en anteriores pronunciamientos de este Tribunal, el art. 134.2 CE.</w:t>
      </w:r>
    </w:p>
    <w:p w:rsidR="0025129F" w:rsidRDefault="0025129F" w:rsidP="0025129F">
      <w:pPr>
        <w:pStyle w:val="TextoNormal"/>
      </w:pPr>
    </w:p>
    <w:p w:rsidR="0025129F" w:rsidRDefault="0025129F" w:rsidP="0025129F">
      <w:pPr>
        <w:pStyle w:val="TextoNormal"/>
      </w:pPr>
      <w:r w:rsidRPr="0025129F">
        <w:rPr>
          <w:rStyle w:val="NumeroAFNegritaCaracter"/>
        </w:rPr>
        <w:t>5</w:t>
      </w:r>
      <w:r>
        <w:t>. En cuanto a la segunda vulneración de la Constitución que se imputa al precepto cuestionado, la infracción del art. 9.3 de aquélla, en la vertiente de certeza, puesto que es exigible a las Leyes de Presupuestos que no contengan regulaciones impropias de su función constitucional, es claro que debe ser rechazada en consideración a un doble argumento. En primer lugar, porque acabamos de admitir que el artículo que se cuestiona en este proceso puede integrarse legítimamente en el contenido eventual de las Leyes de Presupuestos. Y, en segundo lugar, porque el legislador en este caso no ha aislado el precepto de la legislación de incompatibilidades del personal al servicio de la Administración, sino que lo ha integrado en el seno de la propia LIPAP, como acertadamente indica el Abogado del Estado.</w:t>
      </w:r>
    </w:p>
    <w:p w:rsidR="0025129F" w:rsidRDefault="0025129F" w:rsidP="0025129F">
      <w:pPr>
        <w:pStyle w:val="TextoNormal"/>
      </w:pPr>
      <w:r>
        <w:t>Por ello tampoco cabe apreciar infracción alguna por el precepto cuestionado del art.  9.3 de la Constitución.</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la presente cuestión de inconstitucionalidad.</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veintiuno de marzo de dos mil dos.</w:t>
      </w:r>
    </w:p>
    <w:p w:rsidR="0025129F" w:rsidRDefault="0025129F" w:rsidP="0025129F">
      <w:pPr>
        <w:pStyle w:val="ParrafoNormal"/>
      </w:pPr>
    </w:p>
    <w:p w:rsidR="0025129F" w:rsidRDefault="0025129F" w:rsidP="0025129F">
      <w:pPr>
        <w:pStyle w:val="TextoNormalNegritaCentrado"/>
        <w:keepNext/>
      </w:pPr>
      <w:r>
        <w:t>Voto particular que formula el Magistrado don Pablo García Manzano a la Sentencia dictada en la cuestión de inconstitucionalidad núm. 4170/98, y al que se adhieren los Magistrados don Pablo Cachón Villar y don Javier Delgado Barrio.</w:t>
      </w:r>
    </w:p>
    <w:p w:rsidR="0025129F" w:rsidRDefault="0025129F" w:rsidP="0025129F">
      <w:pPr>
        <w:pStyle w:val="TextoNormalNegritaCentrado"/>
        <w:keepNext/>
      </w:pPr>
    </w:p>
    <w:p w:rsidR="0025129F" w:rsidRDefault="0025129F" w:rsidP="0025129F">
      <w:pPr>
        <w:pStyle w:val="TextoNormal"/>
      </w:pPr>
      <w:r>
        <w:t>Con respeto del criterio mayoritario que ha decidido desestimar la cuestión planteada, estimo que procedía declarar la inconstitucionalidad del art. 16.4, incorporado a la Ley de incompatibilidades del personal al servicio de las Administraciones públicas, mediante el art.  34 de la Ley de Presupuestos 31/1991, para el ejercicio de 1992, tal como expuse en la deliberación del Pleno.</w:t>
      </w:r>
    </w:p>
    <w:p w:rsidR="0025129F" w:rsidRDefault="0025129F" w:rsidP="0025129F">
      <w:pPr>
        <w:pStyle w:val="TextoNormal"/>
      </w:pPr>
      <w:r>
        <w:t>1. Mi disentimiento se contrae al aspecto central, una vez superadas las objeciones formales, consistente en si la Ley de Presupuestos del Estado es vehículo apto para contener una regulación como la del citado precepto, sin vulnerar el contenido constitucionalmente fijado por el art. 134.2 de la Norma suprema y nuestra doctrina al respecto.</w:t>
      </w:r>
    </w:p>
    <w:p w:rsidR="0025129F" w:rsidRDefault="0025129F" w:rsidP="0025129F">
      <w:pPr>
        <w:pStyle w:val="TextoNormal"/>
      </w:pPr>
      <w:r>
        <w:t>Asumo la doctrina que aparece reflejada en el FJ 3 de la Sentencia de que discrepo, y entiendo que el criterio o pauta más segura para determinar si una norma contenida en la Ley de Presupuestos se acomoda o no a la función constitucionalmente definida de ésta es la que atiende a una doble conexión: conexión estrictamente presupuestaria, de tal modo que la disposición general guarde relación directa con la previsión de ingresos o la autorización de gastos del sector público, o bien conexión económica, que vincule o entronque la disposición con la política económica del Gobierno, o con una mayor inteligencia o más adecuada ejecución del Presupuesto. Esto, claro es, por lo que atañe al denominado contenido no necesario, eventual o disponible de la Ley de Presupuestos, dado que la aquí cuestionada queda claramente fuera del contenido indispensable o necesario. Pues bien, siendo así que la propia Sentencia de la mayoría rechaza que estemos ante el supuesto de la segunda clase de conexión, es decir, por razones de política económica, queda por analizar si entre el apartado 4 del art. 16 de la Ley de Incompatibilidades y la autorización de gasto público existe una relación que pueda calificarse como directa o inmediata, dado que es difícil excluir que cualquier regulación funcionarial repercuta, de manera mediata, sobre las previsiones del gasto público.</w:t>
      </w:r>
    </w:p>
    <w:p w:rsidR="0025129F" w:rsidRDefault="0025129F" w:rsidP="0025129F">
      <w:pPr>
        <w:pStyle w:val="TextoNormal"/>
      </w:pPr>
      <w:r>
        <w:t>2. Estimo que no son convincentes las razones que se contienen en el FJ 4 para alcanzar la conclusión de la relación directa entre la norma cuestionada y su incidencia en el gasto público.</w:t>
      </w:r>
    </w:p>
    <w:p w:rsidR="0025129F" w:rsidRDefault="0025129F" w:rsidP="0025129F">
      <w:pPr>
        <w:pStyle w:val="TextoNormal"/>
      </w:pPr>
      <w:r>
        <w:t>En primer término, no estamos ante un precepto relativo a los conceptos retributivos de los funcionarios públicos. El apartado 4 que viene a insertarse, mediante Ley de Presupuestos, en el régimen de incompatibilidades de la función pública, tiene como única y clara finalidad el introducir una excepción a la prohibición de reconocimiento de compatibilidad entre el puesto desempeñado en el sector público y la actividad privada cuando aquél comporte la percepción de complemento específico o concepto retributivo equipara</w:t>
      </w:r>
      <w:r>
        <w:lastRenderedPageBreak/>
        <w:t>ble, según establecen el art. 16.1 de la Ley 53/1984, sobre Incompatibilidades. La excepción de tal régimen de prohibición de reconocimiento (incompatibilidad de puesto en el sector público con actividades privadas aunque no pongan en juego la imparcialidad funcionarial) es la que viene a introducir el art. 34 de la Ley de Presupuestos para 1992, al permitir dicho reconocimiento de compatibilidad cuando el complemento específico o concepto equiparable no supere el 30 por 100 de la retribución básica, excluida la antigüedad. Como bien indica el Ministerio Fiscal, el complemento específico, en cuanto concepto retributivo, no es aquí el objeto de la disposición, sino tan sólo un mero punto de referencia o parámetro, en función del cual procederá o no el reconocimiento de compatibilidad en cada caso concreto.</w:t>
      </w:r>
    </w:p>
    <w:p w:rsidR="0025129F" w:rsidRDefault="0025129F" w:rsidP="0025129F">
      <w:pPr>
        <w:pStyle w:val="TextoNormal"/>
      </w:pPr>
      <w:r>
        <w:t>3. Pero lo esencial, a mi juicio, es que se viene a modificar, introduciendo una pieza aislada, y de carácter excepcional, lo que constituye un sistema, pues así lo define el art. 103.3 de la Constitución: "La ley regulará el estatuto de los funcionarios públicos,... el sistema de incompatibilidades y las garantías para la imparcialidad en el ejercicio de sus funciones". La Ley 53/1984, que obedece este mandato constitucional, instaura, pues, un sistema, es decir, un régimen jurídico completo o global, en el que cada elemento de la regulación ha de ser coherente con los restantes, no inconexo, y en el que la introducción de modificaciones requiere, por ello, una configuración de conjunto. No en vano la Disposición adicional segunda de la propia Ley 53/1984 establece que "Toda modificación del régimen de incompatibilidades de la presente Ley contendrá una redacción completa de las normas afectadas".</w:t>
      </w:r>
    </w:p>
    <w:p w:rsidR="0025129F" w:rsidRDefault="0025129F" w:rsidP="0025129F">
      <w:pPr>
        <w:pStyle w:val="TextoNormal"/>
      </w:pPr>
      <w:r>
        <w:t>Esta concepción de las incompatibilidades funcionariales como un verdadero sistema, integrante a su vez de la regulación estatutaria de la función pública, no debe ser alterado por modificaciones del mismo contenidas en una Ley presupuestaria, pues el aceptar como constitucionalmente lícito tal modo de producción normativa no sólo desvirtúa el contenido eventual de las Leyes de Presupuestos, y el preciso contenido constitucional de éstas, sino que viene de consuno a desconocer el verdadero y material ámbito de la reserva de ley que garantiza el art. 103.3 de la Constitución. El principio vertebrador de la eficacia de las Administraciones Públicas, y su traducción en un régimen de incompatibilidades de los servidores públicos, deben ser objeto de regulación unitaria o global por el legislador ordinario, tal como se desprende del citado precepto constitucional. De tal manera que la alteración, por vía de la Ley de Presupuestos (aunque ésta lo incorpore formalmente a su sede de regulación propia) desconoce estos principios e introduce una fragmentación normativa contraria a lo que constituye una normación propia y característica de un sistema.</w:t>
      </w:r>
    </w:p>
    <w:p w:rsidR="0025129F" w:rsidRDefault="0025129F" w:rsidP="0025129F">
      <w:pPr>
        <w:pStyle w:val="TextoNormal"/>
      </w:pPr>
      <w:r>
        <w:t>4. Finalmente, no cabe olvidar que el art. 16 de la Ley de Incompatibilidades es precepto de carácter básico, por integrar las bases del régimen estatutario de la función pública (Disposición final 1 de la propia Ley), de tal manera que, al utilizar la Ley de Presupuestos para modificar dicho precepto, adicionándole un apartado 4 en el que se recoge una excepción a la prohibición de reconocimiento de compatibilidad con actividades privadas, se está operando sobre bases, a efectos del reparto competencial, de suerte que la legislación autonómica sobre régimen de incompatibilidades de funcionarios deberá limitarse al desarrollo y ejecución de lo básico (Disposición adicional 6 de la Ley de Incompatibilidades), respetando el marco normativo de las bases. No asegura la certeza y estabilidad que reclama una normación de bases, la introducción aislada y sin calificación formal expresa de nuevas normas, o de modificación de las preexistentes que integran no sólo un sistema, sino un sistema al que conviene la calificación de legislación básica, mediante el instrumento presupuestario, lo que desborda, a mi parecer, claramente el contenido eventual del mismo.</w:t>
      </w:r>
    </w:p>
    <w:p w:rsidR="0025129F" w:rsidRDefault="0025129F" w:rsidP="0025129F">
      <w:pPr>
        <w:pStyle w:val="TextoNormal"/>
      </w:pPr>
      <w:r>
        <w:lastRenderedPageBreak/>
        <w:t>Por ello, ha de concluirse que, al igual que hemos apreciado con ocasión de otras regulaciones sobre función pública contenidas en Leyes presupuestarias autonómicas (así, nuestras SSTC 130/1999, de 1 de julio, y 274/2000, de 15 de noviembre), la materia de incompatibilidades de los funcionarios públicos tiene su sede propia de regulación en la normativa configuradora del estatuto funcionarial, siendo ajena al contenido eventual o contingente de la Ley de Presupuestos.</w:t>
      </w:r>
    </w:p>
    <w:p w:rsidR="0025129F" w:rsidRDefault="0025129F" w:rsidP="0025129F">
      <w:pPr>
        <w:pStyle w:val="TextoNormal"/>
      </w:pPr>
      <w:r>
        <w:t>Debió, por tanto, estimarse la cuestión de inconstitucionalidad suscitada por la Sala de lo Contencioso-Administrativo del Tribunal Superior de Justicia de Cantabria, en relación con el art. 16.4 de la Ley 53/1984, de 26 de diciembre, y declararse inconstitucional y nulo dicho precepto.</w:t>
      </w:r>
    </w:p>
    <w:p w:rsidR="0025129F" w:rsidRDefault="0025129F" w:rsidP="0025129F">
      <w:pPr>
        <w:pStyle w:val="TextoNormal"/>
      </w:pPr>
      <w:r>
        <w:t>Y para que conste mi discrepancia, suscribo el presente Voto particular, conforme a lo dispuesto en el art. 90.2 LOTC, en Madrid, a veintiuno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1" w:name="SENTENCIA_2002_68"/>
      <w:r>
        <w:lastRenderedPageBreak/>
        <w:t>SENTENCIA 68/2002, de 21 de marzo de 2002</w:t>
      </w:r>
    </w:p>
    <w:bookmarkEnd w:id="71"/>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91, de 16 de abril de 2002)</w:t>
      </w:r>
    </w:p>
    <w:p w:rsidR="0025129F" w:rsidRDefault="0025129F" w:rsidP="0025129F">
      <w:pPr>
        <w:pStyle w:val="TtuloBOE"/>
      </w:pPr>
    </w:p>
    <w:p w:rsidR="0025129F" w:rsidRDefault="0025129F" w:rsidP="0025129F">
      <w:pPr>
        <w:pStyle w:val="SntesisDescriptiva"/>
      </w:pPr>
      <w:r>
        <w:t>ECLI:ES:TC:2002:68</w:t>
      </w:r>
    </w:p>
    <w:p w:rsidR="0025129F" w:rsidRDefault="0025129F" w:rsidP="0025129F">
      <w:pPr>
        <w:pStyle w:val="SntesisDescriptiva"/>
      </w:pPr>
    </w:p>
    <w:p w:rsidR="0025129F" w:rsidRDefault="0025129F" w:rsidP="0025129F">
      <w:pPr>
        <w:pStyle w:val="SntesisDescriptiva"/>
      </w:pPr>
      <w:r>
        <w:t>Recurso de amparo 3147-2000. Promovido por don Francisco José Sánchez Bañuls frente a las Sentencias de la Sala Segunda del Tribunal Supremo y de la Audiencia Provincial de Valencia que le condenaron por un delito contra la salud pública.</w:t>
      </w:r>
    </w:p>
    <w:p w:rsidR="0025129F" w:rsidRDefault="0025129F" w:rsidP="0025129F">
      <w:pPr>
        <w:pStyle w:val="SntesisDescriptiva"/>
      </w:pPr>
    </w:p>
    <w:p w:rsidR="0025129F" w:rsidRDefault="0025129F" w:rsidP="0025129F">
      <w:pPr>
        <w:pStyle w:val="SntesisAnaltica"/>
      </w:pPr>
      <w:r>
        <w:t>Supuesta vulneración del derecho a la tutela judicial (motivación e indefensión), y vulneración del derecho a la presunción de inocencia: condena fundada en declaraciones de coimputados no corroboradas, y testimonio de referencia no avalado.</w:t>
      </w:r>
    </w:p>
    <w:p w:rsidR="0025129F" w:rsidRDefault="0025129F" w:rsidP="0025129F">
      <w:pPr>
        <w:pStyle w:val="SntesisAnaltica"/>
      </w:pPr>
    </w:p>
    <w:p w:rsidR="0025129F" w:rsidRDefault="0025129F" w:rsidP="0025129F">
      <w:pPr>
        <w:pStyle w:val="Extracto"/>
      </w:pPr>
      <w:r>
        <w:t>1.</w:t>
      </w:r>
      <w:r>
        <w:tab/>
        <w:t>El derecho a la presunción de inocencia resultó vulnerado no sólo porque la condena se fundó únicamente en la declaración de un coimputado no corroborada por otros datos o elementos de hecho, sino que su contenido incriminatorio constituía un testimonio de referencia al que nunca debió otorgarse eficacia probatoria por no hallarse avalado expresamente por el testigo directo (STC 115/1998, 209/2001) [FFJJ 9 y 10].</w:t>
      </w:r>
    </w:p>
    <w:p w:rsidR="0025129F" w:rsidRDefault="0025129F" w:rsidP="0025129F">
      <w:pPr>
        <w:pStyle w:val="Extracto"/>
      </w:pPr>
    </w:p>
    <w:p w:rsidR="0025129F" w:rsidRDefault="0025129F" w:rsidP="0025129F">
      <w:pPr>
        <w:pStyle w:val="Extracto"/>
      </w:pPr>
      <w:r>
        <w:t>2.</w:t>
      </w:r>
      <w:r>
        <w:tab/>
        <w:t>La declaración incriminatoria del coimputado carece de consistencia plena como prueba de cargo cuando, siendo única, no resulta mínimamente corroborada por otras pruebas (STC 115/1998, 182/2001) [FJ 8].</w:t>
      </w:r>
    </w:p>
    <w:p w:rsidR="0025129F" w:rsidRDefault="0025129F" w:rsidP="0025129F">
      <w:pPr>
        <w:pStyle w:val="Extracto"/>
      </w:pPr>
    </w:p>
    <w:p w:rsidR="0025129F" w:rsidRDefault="0025129F" w:rsidP="0025129F">
      <w:pPr>
        <w:pStyle w:val="Extracto"/>
      </w:pPr>
      <w:r>
        <w:t>3.</w:t>
      </w:r>
      <w:r>
        <w:tab/>
        <w:t>El recurso al testimonio referencial debe quedar limitado a aquellas situaciones excepcionales de imposibilidad real y efectiva de obtener la declaración del testigo directo o principal (SSTC 217/1989, 79/1994, 209/2001), incluso aunque el testigo directo sea uno de los coimputados [FJ 10].</w:t>
      </w:r>
    </w:p>
    <w:p w:rsidR="0025129F" w:rsidRDefault="0025129F" w:rsidP="0025129F">
      <w:pPr>
        <w:pStyle w:val="Extracto"/>
      </w:pPr>
    </w:p>
    <w:p w:rsidR="0025129F" w:rsidRDefault="0025129F" w:rsidP="0025129F">
      <w:pPr>
        <w:pStyle w:val="Extracto"/>
      </w:pPr>
      <w:r>
        <w:t>4.</w:t>
      </w:r>
      <w:r>
        <w:tab/>
        <w:t>Derecho a la presunción de inocencia [FJ 6].</w:t>
      </w:r>
    </w:p>
    <w:p w:rsidR="0025129F" w:rsidRDefault="0025129F" w:rsidP="0025129F">
      <w:pPr>
        <w:pStyle w:val="Extracto"/>
      </w:pPr>
    </w:p>
    <w:p w:rsidR="0025129F" w:rsidRDefault="0025129F" w:rsidP="0025129F">
      <w:pPr>
        <w:pStyle w:val="Extracto"/>
      </w:pPr>
      <w:r>
        <w:t>5.</w:t>
      </w:r>
      <w:r>
        <w:tab/>
        <w:t>La Sentencia de la Audiencia Provincial ha tomado en consideración las pruebas practicadas en el juicio oral rodeadas de todas las garantías, permitiendo a la defensa del hoy demandante someterlas a contradicción, sin que sus posibilidades de alegar y probar se hayan visto mermadas [FJ 3].</w:t>
      </w:r>
    </w:p>
    <w:p w:rsidR="0025129F" w:rsidRDefault="0025129F" w:rsidP="0025129F">
      <w:pPr>
        <w:pStyle w:val="Extracto"/>
      </w:pPr>
    </w:p>
    <w:p w:rsidR="0025129F" w:rsidRDefault="0025129F" w:rsidP="0025129F">
      <w:pPr>
        <w:pStyle w:val="Extracto"/>
      </w:pPr>
      <w:r>
        <w:t>6.</w:t>
      </w:r>
      <w:r>
        <w:tab/>
        <w:t>La Sentencia de la Audiencia Provincial cumple con la doble exigencia de motivación pues incluye, en primer lugar, un relato de hechos probados y, a partir de ellos, se desarrolla de manera precisa el razonamiento en el que el Tribunal fundamenta la decisión condenatoria del fallo (STC 174/1992) [FJ 4].</w:t>
      </w:r>
    </w:p>
    <w:p w:rsidR="0025129F" w:rsidRDefault="0025129F" w:rsidP="0025129F">
      <w:pPr>
        <w:pStyle w:val="Extracto"/>
      </w:pPr>
    </w:p>
    <w:p w:rsidR="0025129F" w:rsidRDefault="0025129F" w:rsidP="0025129F">
      <w:pPr>
        <w:pStyle w:val="Extracto"/>
      </w:pPr>
      <w:r>
        <w:t>7.</w:t>
      </w:r>
      <w:r>
        <w:tab/>
        <w:t>No se deduce la existencia de contradicción alguna respecto de los hechos declarados probados en la misma Sentencia, pues la inferencia realizada en aquélla tiene cabal sustento en el previo relato fáctico [FJ 4].</w:t>
      </w:r>
    </w:p>
    <w:p w:rsidR="0025129F" w:rsidRDefault="0025129F" w:rsidP="0025129F">
      <w:pPr>
        <w:pStyle w:val="Extracto"/>
      </w:pPr>
    </w:p>
    <w:p w:rsidR="0025129F" w:rsidRDefault="0025129F" w:rsidP="0025129F">
      <w:pPr>
        <w:pStyle w:val="Extracto"/>
      </w:pPr>
      <w:r>
        <w:t>8.</w:t>
      </w:r>
      <w:r>
        <w:tab/>
        <w:t>Derecho a la tutela judicial efectiva sin indefensión (STC 2/2002)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3147-2000, promovido por don Francisco José Sánchez Bañuls, representado por la Procuradora de los Tribunales doña Adela Cano Lantero y asistido por el Letrado don Vicente Montolío Marteles, contra Sentencia de la Sala Segunda del Tribunal Supremo de 10 de abril de 2000, por la que se declara no haber lugar al recurso de casación interpuesto contra la Sentencia de la Sección Quinta de la Audiencia Provincial de Valencia, de 24 de junio de 1998, recaída en el rollo núm. 28/98, procedente del procedimiento abreviado instruido bajo el núm. 48/97 por el Juzgado de Instrucción núm. 3 de Gandía. Han intervenido el Ministerio Fiscal y don Francisco Benito Martínez Rodríguez, representado por la Procuradora de los Tribunales doña Yolanda García Hernández y asistido por el Letrado don Arturo M. García Hernández.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Mediante escrito presentado en el Juzgado de guardia el 29 de mayo de 2000 (con entrada en este Tribunal el día 1 de junio siguiente), el Letrado don Juan Navarro Gómez puso de manifiesto la intención de su cliente, don Francisco José Sánchez Bañuls, de interponer recurso de amparo contra la Sentencia núm. 646/2000, dictada por la Sala Segunda del Tribunal Supremo. Asimismo afirmó que, tras diversas discrepancias profesionales, renunciaba a la dirección letrada que ostentaba, por lo que, concluyendo con fecha 29 de mayo de 2000 el plazo para interponer el citado recurso, interesó la designación de Abogado del turno de oficio para la formulación del correspondiente recurso de amparo ante este Tribunal. </w:t>
      </w:r>
    </w:p>
    <w:p w:rsidR="0025129F" w:rsidRDefault="0025129F" w:rsidP="0025129F">
      <w:pPr>
        <w:pStyle w:val="TextoNormal"/>
      </w:pPr>
      <w:r>
        <w:t>Por diligencia de ordenación de 9 de junio de 2000 se acordó conceder al recurrente un plazo de diez días para que se ratificara en el escrito presentado en el Juzgado de guardia, requiriéndole, igualmente, la designación de un domicilio para notificaciones, la aportación de copia de la resolución que se trata de impugnar y la acreditación de la fecha de notificación de tal resolución. Por otra parte, en cuanto a la solicitud de Abogado del turno de oficio, se interesó la acreditación del cumplimiento del art. 4.3 del Acuerdo del Pleno de este Tribunal de 18 de junio de 1996, en relación con el art. 27 de la Ley 1/1996, de 10 de enero, sobre asistencia jurídica gratuita.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2</w:t>
      </w:r>
      <w:r>
        <w:t xml:space="preserve">. En escrito presentado en el Juzgado de guardia el 1 de julio de 2000 (con entrada en esta sede el día 5 siguiente), la Procuradora doña Adela Cano Lantero manifestó que su representado había sido informado de que no reunía los requisitos necesarios para poder obtener el derecho a la asistencia jurídica gratuita en los procesos de amparo constitucional, por lo que había contratado los servicios profesionales del Letrado don Vicente Montolío Marteles, quien también suscribía el escrito. Ante tal circunstancia, se solicitó la concesión del plazo íntegro de veinte días para poder formalizar con todas las garantías legales el recurso de amparo. </w:t>
      </w:r>
    </w:p>
    <w:p w:rsidR="0025129F" w:rsidRDefault="0025129F" w:rsidP="0025129F">
      <w:pPr>
        <w:pStyle w:val="TextoNormal"/>
      </w:pPr>
      <w:r>
        <w:t>A través de diligencia de ordenación de 14 de julio de 2000 se acordó conceder a la referida Procuradora un plazo de veinte días para que presentara la demanda de amparo suscrita por el Letrado designado por su representado. La expresada diligencia fue notificada el día 24 del mismo mes y año.</w:t>
      </w:r>
    </w:p>
    <w:p w:rsidR="0025129F" w:rsidRDefault="0025129F" w:rsidP="0025129F">
      <w:pPr>
        <w:pStyle w:val="TextoNormal"/>
      </w:pPr>
    </w:p>
    <w:p w:rsidR="0025129F" w:rsidRDefault="0025129F" w:rsidP="0025129F">
      <w:pPr>
        <w:pStyle w:val="TextoNormal"/>
      </w:pPr>
      <w:r w:rsidRPr="0025129F">
        <w:rPr>
          <w:rStyle w:val="NumeroAFNegritaCaracter"/>
        </w:rPr>
        <w:t>3</w:t>
      </w:r>
      <w:r>
        <w:t>. El 16 de septiembre de 2000 tuvo entrada el escrito de la Procuradora doña Adela Cano Lantero, actuando en representación de don Francisco José Sánchez Bañuls, por el que interpuso recurso de amparo contra la Sentencia dictada por la Sala Segunda del Tribunal Supremo el 10 de abril de 2000, desestimatoria del recurso de casación interpuesto contra la Sentencia de la Audiencia Provincial de Valencia de 24 de junio de 1998, por la que se condenó al recurrente como criminalmente responsable, en concepto de autor, de un delito contra la salud pública, a la pena de 6 años y 9 meses y multa de 180 millones de pesetas, así como contra esta última.</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Los hechos que fundamentan la demanda de amparo son, en síntesis, los siguientes: </w:t>
      </w:r>
    </w:p>
    <w:p w:rsidR="0025129F" w:rsidRDefault="0025129F" w:rsidP="0025129F">
      <w:pPr>
        <w:pStyle w:val="TextoNormal"/>
      </w:pPr>
      <w:r>
        <w:t xml:space="preserve">a) Por Agentes de la 311ª Comandancia de la Guardia Civil se comprobó a las 0,30 horas del día 7 de febrero de 1997 la desaparición de la embarcación denominada "La Dolores", que había sido puesta en su conocimiento por su propietario, tras constatar que no se encontraba en su lugar de amarre desde la tarde anterior. Al llegar al lugar, comprobaron que la embarcación estaba amarrada, pero con las puertas del puente abiertas y en tierra. En las proximidades se encontraban dos jóvenes de aspecto magrebí, que se dieron a la fuga, abandonando, entre otros efectos, un teléfono móvil marca "Ericsson", de la compañía Movistar. Asimismo, en el interior de la embarcación y bajo una lona situada en el embarcadero frente a la misma, encontraron un total de treinta y nueve bultos envueltos con cinta adhesiva y, la mayoría de ellos, contenidos en sacos de arpillera de plástico azul. En tales bultos se contenían pastillas de hachís que arrojaron un peso total de, aproximadamente, 1.200 kilogramos (el examen detallado posterior de la droga arrojó un peso total de 1.152.927 gramos, con una pureza de T.C.H. del 6 por 100). </w:t>
      </w:r>
    </w:p>
    <w:p w:rsidR="0025129F" w:rsidRDefault="0025129F" w:rsidP="0025129F">
      <w:pPr>
        <w:pStyle w:val="TextoNormal"/>
      </w:pPr>
      <w:r>
        <w:t xml:space="preserve">A partir de las declaraciones del propietario de la embarcación, se procede a la inmediata detención de don Blas Puig Madramany, identificado como la persona que la había utilizado sin su previo consentimiento. Asimismo, fueron detenidos Tarik Suici y Mohamed Abderraman, reconocidos por los Agentes actuantes como los dos individuos que habían huido en las proximidades de "La Dolores" y, tras la realización de diversas investigaciones, se detuvo también a Manuel Aguilar Ballesteros. </w:t>
      </w:r>
    </w:p>
    <w:p w:rsidR="0025129F" w:rsidRDefault="0025129F" w:rsidP="0025129F">
      <w:pPr>
        <w:pStyle w:val="TextoNormal"/>
      </w:pPr>
      <w:r>
        <w:t>b) Como consecuencia de tales hechos, se incoaron diligencias previas por el Juzgado de Instrucción núm. 3 de Gandía, seguidas bajo el núm. 154/97, que posteriormente dieron lugar al procedimiento abreviado núm. 48/97. En dichas diligencias, y a raíz de los sucesivos actos de instrucción practicados, figuraron como imputados: Blas Puig Madramany, Manuel Aguilar Ballesteros, Tarik Suici, Mohamed Abderraman, Francisco Benito Martí</w:t>
      </w:r>
      <w:r>
        <w:lastRenderedPageBreak/>
        <w:t xml:space="preserve">nez Rodríguez, Francisco José Sánchez Bañuls, Juan Sirvent López y Ángel López Fernández. </w:t>
      </w:r>
    </w:p>
    <w:p w:rsidR="0025129F" w:rsidRDefault="0025129F" w:rsidP="0025129F">
      <w:pPr>
        <w:pStyle w:val="TextoNormal"/>
      </w:pPr>
      <w:r>
        <w:t xml:space="preserve">c) Mediante Auto de 2 de julio de 1997, el Juez de Instrucción núm. 3 de Gandía acordó declarar abierto el Juicio Oral y dirigir la acusación contra Francisco Benito Martínez Rodríguez, Francisco José Sánchez Bañuls, Blas Puig Madramany, Manuel Aguilar Ballesteros, Mohamed Abderraman, Tarik Suici, Juan Sirvent López y Ángel López Fernández. </w:t>
      </w:r>
    </w:p>
    <w:p w:rsidR="0025129F" w:rsidRDefault="0025129F" w:rsidP="0025129F">
      <w:pPr>
        <w:pStyle w:val="TextoNormal"/>
      </w:pPr>
      <w:r>
        <w:t xml:space="preserve">d) El juicio oral se celebró ante la Sección Quinta de la Audiencia Provincial de Valencia, los días 9 y 10 de junio de 1998. La Audiencia Provincial de Valencia dictó Sentencia en el rollo 28/98 el 24 de junio de 1998, en la que se declararon los siguientes hechos probados: </w:t>
      </w:r>
    </w:p>
    <w:p w:rsidR="0025129F" w:rsidRDefault="0025129F" w:rsidP="0025129F">
      <w:pPr>
        <w:pStyle w:val="TextoNormal"/>
      </w:pPr>
      <w:r>
        <w:t xml:space="preserve">"Los acusados Francisco Benito Martínez Rodríguez, mayor de edad y sin antecedentes penales, alias 'Paco el bebes', y José Sánchez Bañuls [sic], mayor de edad y sin antecedentes penales, alias 'Paco el del bingo', convinieron en introducir, a través del puerto de Gandía, grandes cantidades de hachís, paro lo cual acordaron formar un grupo buscando gente para ello a fin de que unos se encargasen de traerlo en barco y otros de descargarlo; hablando, a principios de febrero de 1997, con el acusado Blas Puig Madramany, mayor de edad y sin antecedentes penales, a fin de que éste fuese con otra persona en una barca a recoger de un barco la droga y traerla al puerto, el cual, tras aceptar buscó al acusado Manuel Aguilar Ballesteros, mayor de edad y sin antecedentes penales. El día 6 de febrero de 1997 sobre las 17,30 horas se reunieron en el Bar Mengual de Gandía los acusados Blas Puig, Manuel Aguilar con el acusado Francisco Benito Martínez el cual le prometió al acusado Manuel Aguilar la suma de dos millones de ptas. Dándoles un teléfono móvil para poder comunicarse con el barco que traía el hachís. A continuación, sobre las 18,00 horas, el acusado Blas Puig cogió la barca 'La Dolores', sin conocimiento ni consentimiento de su titular Ramón Escrivá Caballero, al que conocía por haber trabajado con él de marinero, conociendo por ello el manejo de esa barca, saliendo a continuación en esa barca los acusados Blas Puig y Manuel Aguilar los cuales, tras dos horas de viaje y conectando por teléfono con el barco -cuya identidad no se ha podido establecer- se acercaron al mismo, de donde comenzaron a cargar en la Dolores paquetes de hachís, tanto en proa como en popa, así como en la cubierta, en cuya operación intervinieron los acusados Blas Puig, Manuel Aguilar, otras personas no identificadas y los acusados Mohamed Abderraman y Tarik Suici, mayores de edad y sin antecedentes penales que no se hallan a disposición de este Tribunal, los cuales, una vez terminada de cargar la barca La Dolores, se subieron a la misma. </w:t>
      </w:r>
    </w:p>
    <w:p w:rsidR="0025129F" w:rsidRDefault="0025129F" w:rsidP="0025129F">
      <w:pPr>
        <w:pStyle w:val="TextoNormal"/>
      </w:pPr>
      <w:r>
        <w:t xml:space="preserve">De vuelta hacia el puerto el acusado Blas Puig le propuso al acusado Manuel Aguilar arrojar uno de los fardos de hachís al agua por si acaso no les pagaban su trabajo poder resarcirse ellos vendiéndolo, y a pesar de que el acusado Manuel Aguilar mostró su desacuerdo, el acusado Blas Puig, arrojó un fardo al agua, que posteriormente fue recuperado arrojando un peso de 35.751 gramos de hachís con una pureza de T.C.H. del 6 por 100. </w:t>
      </w:r>
    </w:p>
    <w:p w:rsidR="0025129F" w:rsidRDefault="0025129F" w:rsidP="0025129F">
      <w:pPr>
        <w:pStyle w:val="TextoNormal"/>
      </w:pPr>
      <w:r>
        <w:t xml:space="preserve">Durante el trayecto de vuelta el acusado Francisco Benito Martínez les llamó por teléfono diciéndoles que cargasen todo lo que había en el barco, contestándole el acusado Manuel Aguilar que ya no cabía nada más en la barca dado su tamaño. Asimismo les llamó el acusado Juan Sirvent López, mayor de edad y ejecutoriamente condenado en Sentencia del Juzgado de lo Penal núm. 4 de Valencia por un delito de abandono de familia a la pena de un mes y un día de arresto mayor y multa de 150.000 pts y en Sentencia del Juzgado de lo Penal núm. 7 de Valencia a tres años de prisión por un delito de robo con </w:t>
      </w:r>
      <w:r>
        <w:lastRenderedPageBreak/>
        <w:t xml:space="preserve">violencia y a dos años y seis meses por agresión sexual, el cual les dio el número de teléfono 929.105403 para que le llamasen cuando ya estuviesen cerca para descargar el hachís. </w:t>
      </w:r>
    </w:p>
    <w:p w:rsidR="0025129F" w:rsidRDefault="0025129F" w:rsidP="0025129F">
      <w:pPr>
        <w:pStyle w:val="TextoNormal"/>
      </w:pPr>
      <w:r>
        <w:t xml:space="preserve">Al llegar con la barca al lugar convenido les estaban esperando el acusado Juan Sirvent, el acusado Ángel López Fernández, mayor de edad y con antecedentes penales no computables, así como otras dos personas más que no han podido ser identificadas, disponiendo de una furgoneta gris con un letrero de Albalat de la Ribera, para cargar el hachís, comenzando todos a descargarlo y dejarlo al lado del barco detrás de una lona, en cuyo momento vieron a una patrulla de la Guardia Civil por lo que todos los acusados optaron por huir dejando el hachís el cual fue aprehendido por la citada fuerza. El hachís intervenido arrojó un peso de 1.152.927 gramos con una pureza de T.H.C. del 6 por 100, que habría alcanzado un precio, al por mayor, de 30 millones de pesetas. </w:t>
      </w:r>
    </w:p>
    <w:p w:rsidR="0025129F" w:rsidRDefault="0025129F" w:rsidP="0025129F">
      <w:pPr>
        <w:pStyle w:val="TextoNormal"/>
      </w:pPr>
      <w:r>
        <w:t xml:space="preserve">En un registro efectuado en el chalet núm. 5 del camino Llosar, de la partida de Marchuquera, del que es titular Francisco Sánchez, padre del acusado Francisco Sánchez Bañuls y que está contiguo a un chalet que éste posee, se encontraron una pistola del calibre 7,65 en perfecto estado de funcionamiento, un cargador con 9 balas del calibre 7,65, un silenciador para adaptar a la pistola, varias balas de diferentes calibres así como una granada de fragmentación con carga explosiva -trilita- y dos dispositivos de iniciación en perfectas condiciones para utilizarse. </w:t>
      </w:r>
    </w:p>
    <w:p w:rsidR="0025129F" w:rsidRDefault="0025129F" w:rsidP="0025129F">
      <w:pPr>
        <w:pStyle w:val="TextoNormal"/>
      </w:pPr>
      <w:r>
        <w:t xml:space="preserve">El acusado Manuel Aguilar manifestó ante la autoridad judicial su arrepentimiento colaborando de manera activa en el esclarecimiento de los hechos y la identificación de los autores". </w:t>
      </w:r>
    </w:p>
    <w:p w:rsidR="0025129F" w:rsidRDefault="0025129F" w:rsidP="0025129F">
      <w:pPr>
        <w:pStyle w:val="TextoNormal"/>
      </w:pPr>
      <w:r>
        <w:t xml:space="preserve">e) La Sentencia de la Audiencia Provincial de Valencia contiene el siguiente fallo: </w:t>
      </w:r>
    </w:p>
    <w:p w:rsidR="0025129F" w:rsidRDefault="0025129F" w:rsidP="0025129F">
      <w:pPr>
        <w:pStyle w:val="TextoNormal"/>
      </w:pPr>
      <w:r>
        <w:t xml:space="preserve">"Absolvemos al acusado Francisco José Bañuls del delito de depósito de armas de que venía acusado declarando de oficio las costas y condenamos a los acusados Francisco Benito Martínez Rodríguez y Francisco José Sánchez Bañuls como criminalmente responsables en concepto de autores de un delito contra la salud pública, a la pena, a cada uno de 6 años y 9 meses y multa de 180 millones de ptas. y al pago de las costas, y asimismo condenamos a los acusados Juan Sirvent López, Ángel López Fernández, Blas Puig Madramany y Manuel Aguilar Ballesteros como criminalmente responsables en concepto de autores de un delito contra la salud pública con la concurrencia de la circunstancia atenuante analógica de disminución de los efectos en el acusado Manuel Aguilar a las penas siguientes: a Juan Sirvent y Ángel López, a cada uno, la pena de 3 años y 6 meses y multa de 100 millones de ptas., a Blas Puig la pena de tres años y un día y multa de 60 millones de ptas. con dos meses de arresto sustitutorio caso de insolvencia, y a Manuel Aguilar la pena de nueve meses de prisión y multa de 20 millones de ptas. con un mes de arresto sustitutorio caso de impago, y de pago de las costas". </w:t>
      </w:r>
    </w:p>
    <w:p w:rsidR="0025129F" w:rsidRDefault="0025129F" w:rsidP="0025129F">
      <w:pPr>
        <w:pStyle w:val="TextoNormal"/>
      </w:pPr>
      <w:r>
        <w:t>f) Contra la anterior Sentencia interpusieron recurso de casación los acusados Francisco José Sánchez Bañuls, Juan Sirvent López, Ángel López Fernández y Francisco Benito Martínez Rodríguez. En concreto, el recurso del demandante de amparo se fundamentó, entre otros motivos, en la vulneración del derecho a la tutela judicial efectiva sin indefensión (art. 24.1 CE) y del derecho a la presunción de inocencia (art. 24.2 CE). En Sentencia de 10 de abril de 2000, la Sala Segunda del Tribunal Supremo declaró no haber lugar a los recursos de casación interpuestos por los acusados.</w:t>
      </w:r>
    </w:p>
    <w:p w:rsidR="0025129F" w:rsidRDefault="0025129F" w:rsidP="0025129F">
      <w:pPr>
        <w:pStyle w:val="TextoNormal"/>
      </w:pPr>
    </w:p>
    <w:p w:rsidR="0025129F" w:rsidRDefault="0025129F" w:rsidP="0025129F">
      <w:pPr>
        <w:pStyle w:val="TextoNormal"/>
      </w:pPr>
      <w:r w:rsidRPr="0025129F">
        <w:rPr>
          <w:rStyle w:val="NumeroAFNegritaCaracter"/>
        </w:rPr>
        <w:t>5</w:t>
      </w:r>
      <w:r>
        <w:t>. La demanda de amparo afirma, en primer lugar, que se ha vulnerado el derecho a la tutela judicial efectiva al concederse eficacia probatoria a una prueba nula e inducida. Manifiesta que el coacusado Manuel Aguilar aludió en el juicio oral a que había prestado de</w:t>
      </w:r>
      <w:r>
        <w:lastRenderedPageBreak/>
        <w:t xml:space="preserve">claración en las dependencias de la Guardia Civil, sin presencia de Letrado, y que esa declaración no obra en la causa, señalando el recurrente que, tanto en ella, como en las posteriormente realizadas, implicaba a diferentes personas pero nunca a él. Estima el demandante, asimismo, que en la Sentencia de la Audiencia Provincial de Valencia no se ha tomado en consideración el acta del juicio oral con todas las garantías legales, existiendo una contradicción entre la fundamentación de la Sentencia y el contenido del acta que ha producido la vulneración de la tutela judicial efectiva. Así, en los folios 9 a 11 del acta de la vista oral se implica al demandante de amparo en una operación anterior de descarga en la que el coacusado afirmaba haber participado pero no en la que era objeto de enjuiciamiento. En relación con la primera declaración, realizada por el coacusado Aguilar sin Letrado (pese a ser la asistencia de éste un derecho irrenunciable), indica que el hecho de su extravío junto con la manifestación de aquél en el sentido de que él y su esposa fueron presionados por el Sargento de la Guardia Civil, debieron determinar que el Tribunal procurara su reproducción íntegra a través del interrogatorio a que se sometió al coacusado en la vista oral. Además, estima que se ha producido la vulneración del derecho a la tutela judicial efectiva por no haberse motivado la Sentencia, al no explicitar el razonamiento en virtud del cual, partiendo de esos indicios o pruebas, ha llegado a la conclusión de que el recurrente había participado en los hechos objeto de enjuiciamiento, a pesar de que ni siquiera el coacusado hizo referencia a su persona como interviniente en la operación ni en la fase de instrucción ni en la vista oral. </w:t>
      </w:r>
    </w:p>
    <w:p w:rsidR="0025129F" w:rsidRDefault="0025129F" w:rsidP="0025129F">
      <w:pPr>
        <w:pStyle w:val="TextoNormal"/>
      </w:pPr>
      <w:r>
        <w:t>Lo anterior determina también, a su juicio, la vulneración del principio de presunción de inocencia, por falta de prueba de cargo suficiente para fundamentar un fallo condenatorio. Razona que la única prueba por la que ha sido condenado es la declaración incriminatoria de un coimputado, Manuel Aguilar, que no puede ser tomada en modo alguno como prueba de cargo, pues no ha sido corroborada por ningún otro medio de prueba, de modo que no ha sido enervada la presunción de inocencia. Incluso, sometida la declaración al necesario debate contradictorio en el juicio, tampoco ha sido acreditada la participación del recurrente en el caso examinado, pues siempre hacía referencia a otras operaciones, otras personas y sin implicar al demandante de amparo. Hay que considerar, además -señala el recurrente- que la declaración de Manuel Aguilar fue efectuada con el único móvil de conseguir un trato procesal más favorable, concretado en la puesta en libertad y en las promesas que le fueron efectuadas, que se pueden apreciar en la Sentencia recurrida, por lo que tal declaración debe ser considerada nula. Por tanto, la acusación debió haber procurado corroborar el testimonio de referencia, pues no es prueba suficiente para que un Tribunal pueda condenar. Dado que la declaración incriminatoria del inculpado carece de consistencia plena como prueba de cargo, la demanda concluye solicitando que se otorgue el amparo solicitado.</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Por providencia de 26 de marzo de 2001 la Sección Cuarta de este Tribunal, a tenor de lo dispuesto en el art. 50.3 LOTC, acordó conceder un plazo común de diez días al Ministerio Fiscal y al solicitante de amparo para que formularan las alegaciones que estimaran pertinentes en relación con la carencia manifiesta de contenido constitucional de la demanda [art. 50.1 c) LOTC]. </w:t>
      </w:r>
    </w:p>
    <w:p w:rsidR="0025129F" w:rsidRDefault="0025129F" w:rsidP="0025129F">
      <w:pPr>
        <w:pStyle w:val="TextoNormal"/>
      </w:pPr>
      <w:r>
        <w:t xml:space="preserve">El 20 de abril de 2001 tuvo entrada en el Registro de este Tribunal escrito del recurrente, en el que reiteró el contenido de su demanda de amparo, por entender que han sido violados los derechos fundamentales a la presunción de inocencia y a la tutela judicial efectiva. </w:t>
      </w:r>
    </w:p>
    <w:p w:rsidR="0025129F" w:rsidRDefault="0025129F" w:rsidP="0025129F">
      <w:pPr>
        <w:pStyle w:val="TextoNormal"/>
      </w:pPr>
      <w:r>
        <w:lastRenderedPageBreak/>
        <w:t>Por su parte, el Ministerio Fiscal, en escrito registrado el 30 de abril de 2001, analiza en primer lugar la denuncia relativa a la vulneración del derecho a la tutela judicial efectiva, entendiendo que no procede acogerla, dado que el Tribunal no tuvo en cuenta las iniciales declaraciones realizadas ante la Guardia Civil; lo único que el Tribunal valoró en el plenario fueron las concretas imputaciones efectuadas en la vista oral, con independencia de que las mismas fueran o no coincidentes con las realizadas en las dependencias de la Guardia Civil, en cuanto éstas resultaban inexistentes para el órgano judicial. Por lo que se refiere al segundo motivo planteado en la demanda, razona el Ministerio Público que la declaración incriminatoria del coimputado carece de consistencia plena como prueba de cargo cuando es única y no resulta mínimamente corroborada por otras pruebas en contra del recurrente. Examinando las circunstancias del caso, afirma que para fundamentar la condena sólo existió la actividad probatoria consistente en la declaración del coimputado y, al dotar de absoluta verosimilitud tal declaración, no se tuvo en cuenta la posible concurrencia de motivos espurios o interesados en el actuar del coimputado, como pudo ser la obtención de un beneficio personal para sí mismo al delatar a otras personas. Examinando las declaraciones realizadas en el juicio oral, se indica que en la declaración de Manuel Aguilar, salvo la referencia a un conocimiento anterior del demandante de amparo, que le había propuesto otra operación de descarga de barcos, es lo cierto que, en la concreta operación que se juzgaba en el procedimiento penal en cuestión, el coimputado involucraba al actor por una información de referencia que era rotundamente desmentida en el juicio oral por el supuesto informante. Comoquiera que, a juicio del Fiscal, de tales indicios no se puede derivar sin más la conclusión de participación del acusado en el hecho punible, considera que la demanda de amparo tiene, en principio, contenido constitucional, por lo que interesa la admisión a trámite del recurso planteado.</w:t>
      </w:r>
    </w:p>
    <w:p w:rsidR="0025129F" w:rsidRDefault="0025129F" w:rsidP="0025129F">
      <w:pPr>
        <w:pStyle w:val="TextoNormal"/>
      </w:pPr>
    </w:p>
    <w:p w:rsidR="0025129F" w:rsidRDefault="0025129F" w:rsidP="0025129F">
      <w:pPr>
        <w:pStyle w:val="TextoNormal"/>
      </w:pPr>
      <w:r w:rsidRPr="0025129F">
        <w:rPr>
          <w:rStyle w:val="NumeroAFNegritaCaracter"/>
        </w:rPr>
        <w:t>7</w:t>
      </w:r>
      <w:r>
        <w:t>. Por resolución de 28 de junio de 2001 la Sala Segunda, de conformidad con lo dispuesto en el art. 11.2 LOTC, acordó conocer del recurso de amparo y, a tenor del art. 51 LOTC, librar atenta comunicación a la Sala Segunda del Tribunal Supremo y a la Sección Quinta de la Audiencia Provincial de Valencia para que, en el término de diez días, remitieran certificación o fotocopia adverada de las actuaciones correspondientes al recurso de casación núm. 4087/98 y de las actuaciones correspondientes al rollo 29/98 que incluyera las actuaciones completas de la causa 48/97, instruida por el Juzgado de Instrucción núm. 3 de Gandía, respectivamente. Asimismo, se interesó el emplazamiento de quienes hubieran sido parte en el procedimiento, para que, en el término de diez días, pudieran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Mediante escrito presentado el 19 de octubre de 2001, la Procuradora doña Yolanda García Hernández, en representación de don Francisco Benito Martínez Rodríguez se persona ante este Tribunal, mostrándose parte en el procedimiento y adhiriéndose en calidad de recurrente al recurso de amparo promovido por don Francisco Sánchez Bañuls. </w:t>
      </w:r>
    </w:p>
    <w:p w:rsidR="0025129F" w:rsidRDefault="0025129F" w:rsidP="0025129F">
      <w:pPr>
        <w:pStyle w:val="TextoNormal"/>
      </w:pPr>
      <w:r>
        <w:t xml:space="preserve">Por providencia de 25 de octubre de 2001 se acordó unir a las actuaciones el anterior escrito, declarando no haber lugar a tener por personada a la Procuradora doña Yolanda García Hernández como recurrente, sin perjuicio de tenerla por comparecida y parte en la representación que ostenta, con la condición de que acredite su representación mediante presentación de escritura de poder original, conforme establece el art. 81.2 LOTC, con apercibimiento de que, en caso contrario, se archivarían las actuaciones. </w:t>
      </w:r>
    </w:p>
    <w:p w:rsidR="0025129F" w:rsidRDefault="0025129F" w:rsidP="0025129F">
      <w:pPr>
        <w:pStyle w:val="TextoNormal"/>
      </w:pPr>
      <w:r>
        <w:t>El anterior requerimiento fue atendido el 7 de diciembre de 2001, mediante la presentación del poder solicitado.</w:t>
      </w:r>
    </w:p>
    <w:p w:rsidR="0025129F" w:rsidRDefault="0025129F" w:rsidP="0025129F">
      <w:pPr>
        <w:pStyle w:val="TextoNormal"/>
      </w:pPr>
    </w:p>
    <w:p w:rsidR="0025129F" w:rsidRDefault="0025129F" w:rsidP="0025129F">
      <w:pPr>
        <w:pStyle w:val="TextoNormal"/>
      </w:pPr>
      <w:r w:rsidRPr="0025129F">
        <w:rPr>
          <w:rStyle w:val="NumeroAFNegritaCaracter"/>
        </w:rPr>
        <w:t>9</w:t>
      </w:r>
      <w:r>
        <w:t>. Por diligencia de ordenación de 13 de diciembre de 2001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t>10</w:t>
      </w:r>
      <w:r>
        <w:t>. Con fecha 20 de diciembre de 2001, tuvo entrada en este Tribunal el escrito de la representación de don Francisco Benito Martínez Rodríguez, en el que manifiesta su apoyo a los dos motivos de amparo articulados por la representación procesal de don Francisco José Sánchez Bañuls.</w:t>
      </w:r>
    </w:p>
    <w:p w:rsidR="0025129F" w:rsidRDefault="0025129F" w:rsidP="0025129F">
      <w:pPr>
        <w:pStyle w:val="TextoNormal"/>
      </w:pPr>
    </w:p>
    <w:p w:rsidR="0025129F" w:rsidRDefault="0025129F" w:rsidP="0025129F">
      <w:pPr>
        <w:pStyle w:val="TextoNormal"/>
      </w:pPr>
      <w:r w:rsidRPr="0025129F">
        <w:rPr>
          <w:rStyle w:val="NumeroAFNegritaCaracter"/>
        </w:rPr>
        <w:t>11</w:t>
      </w:r>
      <w:r>
        <w:t>. La Procuradora doña Adela Cano Lantero presentó el escrito de alegaciones del recurrente el 11 de enero de 2002, reiterando en su integridad los argumentos contenidos en la demanda de amparo. Con cita de jurisprudencia de este Tribunal, hace hincapié en que se ha vulnerado el derecho a la presunción de inocencia, no sólo porque no hay ni una sola declaración incriminatoria directa sobre los hechos enjuiciados, sino porque, además, las declaraciones del coimputado Aguilar no han sido mínimamente corroboradas por prueba o indicio alguno.</w:t>
      </w:r>
    </w:p>
    <w:p w:rsidR="0025129F" w:rsidRDefault="0025129F" w:rsidP="0025129F">
      <w:pPr>
        <w:pStyle w:val="TextoNormal"/>
      </w:pPr>
    </w:p>
    <w:p w:rsidR="0025129F" w:rsidRDefault="0025129F" w:rsidP="0025129F">
      <w:pPr>
        <w:pStyle w:val="TextoNormal"/>
      </w:pPr>
      <w:r w:rsidRPr="0025129F">
        <w:rPr>
          <w:rStyle w:val="NumeroAFNegritaCaracter"/>
        </w:rPr>
        <w:t>12</w:t>
      </w:r>
      <w:r>
        <w:t>. Por su parte, el Ministerio Fiscal, en escrito de alegaciones registrado el 16 de enero de 2002, interesa que se dicte Sentencia otorgando el amparo y reconociendo al actor su derecho fundamental a la presunción de inocencia del art. 24.2 CE, con la consiguiente nulidad de las Sentencias impugnadas. Al igual que dijo en el trámite del art. 50.3 LOTC, sostiene que no se ha vulnerado el derecho a la tutela judicial efectiva, en la medida en que el Tribunal valoró en exclusiva las concretas imputaciones efectuadas en la vista oral. Por el contrario, considera que sí existe una vulneración del derecho a la presunción de inocencia. Partiendo de que el enjuiciamiento constitucional debe limitarse a examinar la razonabilidad del discurso que une la actividad probatoria y el relato fáctico resultante, sienta la tesis, con apoyo en la doctrina constitucional, de que la declaración incriminatoria del coimputado carece de consistencia como prueba de cargo cuando es única y no resulta mínimamente corroborada por otras pruebas. Tras examinar con detenimiento los documentos que componen las actuaciones remitidas, afirma que de ellas sólo cabe deducir, a su juicio, una mera relación de amistad con otros intervinientes en el delito que no puede alcanzar la consideración de indicio corroborador del testimonio inculpatorio. Para fundar la condena no sólo no existió una actividad probatoria distinta de la declaración del coimputado, sino que, además, se le dotó de absoluta verosimilitud, sin tener en cuenta la posible concurrencia de motivos espurios, ni el hecho de que, en el juicio oral, la manifestación de Manuel Aguilar fue desmentida por quienes se supone que le habían comunicado la participación en los hechos del demandante de amparo. Así pues, salvo un conocimiento previo de éste, que le habría propuesto otra operación anterior de descarga de barcos, en la concreta operación juzgada el coimputado involucraba al hoy actor por una simple información de referencia que fue desmentida por el supuesto informante. De tales indicios -concluye el Fiscal- no se puede deducir sin más la participación del acusado en el hecho punible, pues al fundamentar exclusivamente en las declaraciones del coimputado la grave consecuencia que de la Sentencia deriva, resulta cuestionable la razonabilidad del discurso contenido en ésta.</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13</w:t>
      </w:r>
      <w:r>
        <w:t xml:space="preserve">. El recurrente solicitó en su demanda de amparo la suspensión provisional de la ejecución de la condena de privación de libertad. </w:t>
      </w:r>
    </w:p>
    <w:p w:rsidR="0025129F" w:rsidRDefault="0025129F" w:rsidP="0025129F">
      <w:pPr>
        <w:pStyle w:val="TextoNormal"/>
      </w:pPr>
      <w:r>
        <w:t>Incoada la correspondiente pieza separada, y una vez instruido el incidente en la forma determinada por el art. 56.2 LOTC, la Sala Segunda, mediante Auto de 1 de octubre de 2001, acordó denegar la suspensión interesada, si bien, ante la evidencia de la irreparabilidad de los perjuicios que pueden llegar a causarse al recurrente y la gravedad de los mismos, determinó resolver en el más breve plazo posible el presente recurso de amparo, incluso anteponiéndolo en el orden de señalamientos, una vez concluida su tramitación.</w:t>
      </w:r>
    </w:p>
    <w:p w:rsidR="0025129F" w:rsidRDefault="0025129F" w:rsidP="0025129F">
      <w:pPr>
        <w:pStyle w:val="TextoNormal"/>
      </w:pPr>
    </w:p>
    <w:p w:rsidR="0025129F" w:rsidRDefault="0025129F" w:rsidP="0025129F">
      <w:pPr>
        <w:pStyle w:val="TextoNormal"/>
      </w:pPr>
      <w:r w:rsidRPr="0025129F">
        <w:rPr>
          <w:rStyle w:val="NumeroAFNegritaCaracter"/>
        </w:rPr>
        <w:t>14</w:t>
      </w:r>
      <w:r>
        <w:t>. Por providencia de 18 de marzo de 2002 se señaló para deliberación y fallo de la presente Sentencia el día 21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queja del presente recurso de amparo la dirige el demandante frente a la Sentencia de la Audiencia Provincial de Valencia de 24 de junio de 1998, por la que se le condenó, como autor de un delito contra la salud pública, a la pena de 6 años y 9 meses y multa de 180 millones de pesetas, así como contra la Sentencia de la Sala Segunda del Tribunal Supremo de 10 de abril de 2000 que declaró no haber lugar al recurso de casación interpuesto por el recurrente.</w:t>
      </w:r>
    </w:p>
    <w:p w:rsidR="0025129F" w:rsidRDefault="0025129F" w:rsidP="0025129F">
      <w:pPr>
        <w:pStyle w:val="TextoNormal"/>
      </w:pPr>
      <w:r>
        <w:t>En la demanda de amparo se denuncia la vulneración de los derechos fundamentales a la tutela judicial efectiva y a la proscripción de la indefensión (art. 24.1 CE), por haberse concedido eficacia probatoria a una prueba nula e inducida, así como a la presunción de inocencia, este último consagrado en el art. 24.2 CE, al estimar que se le ha condenado en virtud de una prueba que no puede ser considerada de cargo. Los distintos efectos que puede producir la eventual estimación de cada una de las quejas articuladas aconsejan seguir el mismo orden expositivo de la demanda, ya que, de apreciarse la existencia de lesión del derecho a la tutela judicial efectiva con indefensión, la anulación de las resoluciones impugnadas iría acompañada de la retroacción de actuaciones dentro del proceso en el que se produjo la vulneración, lo que haría innecesario un pronunciamiento de este Tribunal sobre la presunta violación del derecho a la presunción de inocencia.</w:t>
      </w:r>
    </w:p>
    <w:p w:rsidR="0025129F" w:rsidRDefault="0025129F" w:rsidP="0025129F">
      <w:pPr>
        <w:pStyle w:val="TextoNormal"/>
      </w:pPr>
    </w:p>
    <w:p w:rsidR="0025129F" w:rsidRDefault="0025129F" w:rsidP="0025129F">
      <w:pPr>
        <w:pStyle w:val="TextoNormal"/>
      </w:pPr>
      <w:r w:rsidRPr="0025129F">
        <w:rPr>
          <w:rStyle w:val="NumeroAFNegritaCaracter"/>
        </w:rPr>
        <w:t>2</w:t>
      </w:r>
      <w:r>
        <w:t>. Para fundamentar la violación del art. 24.1 CE, manifiesta el recurrente, en primer lugar, que el coacusado en virtud de cuya declaración se le condena aludió en el juicio oral a una declaración prestada en las dependencias de la Guardia Civil, sin presencia de Letrado, manifestando que esa declaración no obra en la causa y que tanto en ella, como en las posteriores, implicaba a diferentes personas y nunca al hoy actor. En segundo término, estima que en la Sentencia de la Audiencia Provincial de Valencia no se ha tomado en consideración el acta del juicio oral con todas las garantías legales, existiendo una contradicción entre el contenido de ésta y la fundamentación jurídica, pues, según consta en aquélla, se implicaba al demandante de amparo en una operación anterior de descarga en la que el coacusado afirmaba haber participado, pero no en la enjuiciada. Asimismo, afirma que se ha producido la vulneración del derecho a la tutela judicial efectiva por no haberse motivado la Sentencia, al no explicitar el razonamiento en virtud del cual, partiendo de esos indicios o pruebas, ha llegado el Tribunal a la conclusión de que el recurrente ha</w:t>
      </w:r>
      <w:r>
        <w:lastRenderedPageBreak/>
        <w:t>bía participado en los hechos objeto de enjuiciamiento, a pesar de que ni siquiera el coacusado hizo referencia a su persona ni en la fase de instrucción ni en la vista oral.</w:t>
      </w:r>
    </w:p>
    <w:p w:rsidR="0025129F" w:rsidRDefault="0025129F" w:rsidP="0025129F">
      <w:pPr>
        <w:pStyle w:val="TextoNormal"/>
      </w:pPr>
      <w:r>
        <w:t>El Ministerio Fiscal se muestra en desacuerdo con esta primera pretensión del recurrente, negando que se haya producido una vulneración del derecho a la tutela judicial efectiva, en la medida en que el Tribunal valoró en exclusiva las concretas imputaciones efectuadas en la vista oral, sin tener en cuenta otros datos que no figuraran en las actuaciones, por lo que la falta de reflejo en éstas de aquella primera declaración carecería de toda trascendencia a efectos del derecho a la tutela judicial efectiva del demandante.</w:t>
      </w:r>
    </w:p>
    <w:p w:rsidR="0025129F" w:rsidRDefault="0025129F" w:rsidP="0025129F">
      <w:pPr>
        <w:pStyle w:val="TextoNormal"/>
      </w:pPr>
    </w:p>
    <w:p w:rsidR="0025129F" w:rsidRDefault="0025129F" w:rsidP="0025129F">
      <w:pPr>
        <w:pStyle w:val="TextoNormal"/>
      </w:pPr>
      <w:r w:rsidRPr="0025129F">
        <w:rPr>
          <w:rStyle w:val="NumeroAFNegritaCaracter"/>
        </w:rPr>
        <w:t>3</w:t>
      </w:r>
      <w:r>
        <w:t>. De acuerdo con lo expuesto, el recurrente parece ubicar, aunque de forma un tanto confusa, la presunta conculcación del derecho a la tutela judicial efectiva en tres aspectos concretos: la falta de constancia en las actuaciones de una declaración que el coimputado Manuel Aguilar prestó inicialmente ante la Guardia Civil; la existencia de contradicción en la fundamentación jurídica de la Sentencia de la Audiencia Provincial de Valencia respecto del contenido del acta de la vista oral y la carencia de motivación de la Sentencia.</w:t>
      </w:r>
    </w:p>
    <w:p w:rsidR="0025129F" w:rsidRDefault="0025129F" w:rsidP="0025129F">
      <w:pPr>
        <w:pStyle w:val="TextoNormal"/>
      </w:pPr>
      <w:r>
        <w:t>La respuesta a la primera de las quejas formuladas requiere recordar que, de acuerdo con una reiterada jurisprudencia constitucional, el derecho a la tutela judicial efectiva sin indefensión, consagrado en el art. 24.1 CE comporta la exigencia de que en todo proceso judicial deba respetarse el derecho de defensa, alcanzando su máxima intensidad en el ámbito penal, por la trascendencia de los intereses en presencia y los principios constitucionales que entran en juego en dicho ámbito, pues no en vano al proceso penal se acude postulando la actuación del poder del Estado en su forma más extrema; una actuación que puede implicar una profunda injerencia en la libertad del imputado y en el núcleo más sagrado de sus derechos fundamentales. Así, este Tribunal ha declarado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w:t>
      </w:r>
    </w:p>
    <w:p w:rsidR="0025129F" w:rsidRDefault="0025129F" w:rsidP="0025129F">
      <w:pPr>
        <w:pStyle w:val="TextoNormal"/>
      </w:pPr>
      <w:r>
        <w:t>Por otra parte, como hemos dicho en la reciente Sentencia 2/2002, de 14 de enero, FJ 2,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de replicar dialécticamente las posiciones contrarias en el ejercicio del indispensable principio de contradicción, produciendo un efectivo y real menoscabo del derecho de defensa. Por tal razón, "sólo cabe otorgar relevancia constitucional a aquélla que resulta efectiva, de tal forma que no toda infracción o irregularidad procesal cometida por los órganos judiciales provoca, en todos los casos, la eliminación o disminución material de los derechos que corresponden a las partes en el proceso (SSTC 35/1989, de 14 de febrero; 52/1989, de 22 de febrero y 91/2000, de 30 de marzo)".</w:t>
      </w:r>
    </w:p>
    <w:p w:rsidR="0025129F" w:rsidRDefault="0025129F" w:rsidP="0025129F">
      <w:pPr>
        <w:pStyle w:val="TextoNormal"/>
      </w:pPr>
      <w:r>
        <w:t xml:space="preserve">Pues bien, partiendo de la anterior descripción del derecho fundamental invocado, resulta evidente que no se ha producido la lesión denunciada por el recurrente. La Sentencia de la Audiencia Provincial de Valencia no ha fundado el pronunciamiento condenatorio del recurrente en una inicial declaración del coimputado, Sr. Aguilar Ballesteros, realizada ante la Guardia Civil sin la asistencia de Letrado, y que no consta en las actuaciones; por </w:t>
      </w:r>
      <w:r>
        <w:lastRenderedPageBreak/>
        <w:t>el contrario, únicamente ha tomado en consideración las pruebas practicadas en el juicio oral rodeadas de todas las garantías, permitiendo a la defensa del hoy demandante someterlas a contradicción, sin que sus posibilidades de alegar y probar se hayan visto mermadas. El Letrado del recurrente pudo alegar en todo momento cuanto consideró conveniente para su defensa, sin ningún impedimento por parte del Tribunal, contando con la posibilidad de interrogar no sólo al coimputado que involucró al Sr.  Sánchez Bañuls en los hechos delictivos, sino a los demás imputados y testigos. Es más, como con acierto señala el Tribunal Supremo en la Sentencia desestimatoria del recurso de casación - postura a la que se adhiere en su escrito de alegaciones el Ministerio Fiscal-, el coacusado Sr.  Aguilar aludió a aquellas primeras declaraciones en el juicio oral, reproduciendo y ratificando la versión de los hechos que en su día había ofrecido voluntariamente a la Guardia Civil (no hay en las actuaciones ningún indicio de las "presiones" a las que se refiere en su demanda el recurrente), permitiendo a las partes interrogarlo libremente sobre lo manifestado en el plenario. Por consiguiente, la vulneración del art. 24.1 CE desde la primera de las tres perspectivas expuestas debe ser desestimada.</w:t>
      </w:r>
    </w:p>
    <w:p w:rsidR="0025129F" w:rsidRDefault="0025129F" w:rsidP="0025129F">
      <w:pPr>
        <w:pStyle w:val="TextoNormal"/>
      </w:pPr>
    </w:p>
    <w:p w:rsidR="0025129F" w:rsidRDefault="0025129F" w:rsidP="0025129F">
      <w:pPr>
        <w:pStyle w:val="TextoNormal"/>
      </w:pPr>
      <w:r w:rsidRPr="0025129F">
        <w:rPr>
          <w:rStyle w:val="NumeroAFNegritaCaracter"/>
        </w:rPr>
        <w:t>4</w:t>
      </w:r>
      <w:r>
        <w:t>. Los otros dos aspectos en los que, según el demandante de amparo, se habría traducido la infracción del derecho fundamental a la tutela judicial efectiva (contradicción en la fundamentación de la Sentencia de la Audiencia Provincial de Valencia y carencia de motivación), pueden ser abordados conjuntamente, por enmarcarse dentro de la exigencia general de motivación de las resoluciones judiciales que dimana del art. 24.1 CE.</w:t>
      </w:r>
    </w:p>
    <w:p w:rsidR="0025129F" w:rsidRDefault="0025129F" w:rsidP="0025129F">
      <w:pPr>
        <w:pStyle w:val="TextoNormal"/>
      </w:pPr>
      <w:r>
        <w:t>Este Tribunal ha insistido en que dicho precepto constitucional requiere que las resoluciones judiciales sean motivadas, lo que responde a la finalidad, por una parte, de exteriorizar el fundamento de la decisión, haciendo explícito que ésta corresponde a una determinada interpretación y aplicación de la ley y, por otra, de permitir su eventual control jurisdiccional mediante el ejercicio efectivo de los recursos previstos en el Ordenamiento jurídico.  No obstante, ello no significa, como también hemos dicho, que las resoluciones judiciales deban contener un razonamiento exhaustivo y pormenorizado de todos los aspectos y perspectivas que tengan las partes de la cuestión que se decide,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(por todas, SSTC 150/1988, de 15 de julio, FJ 3; 196/1988, de 24 de octubre, FJ 2; y 215/1998, de 11 de noviembre, FJ 3).</w:t>
      </w:r>
    </w:p>
    <w:p w:rsidR="0025129F" w:rsidRDefault="0025129F" w:rsidP="0025129F">
      <w:pPr>
        <w:pStyle w:val="TextoNormal"/>
      </w:pPr>
      <w:r>
        <w:t>Más específicamente, en relación con las Sentencias penales, dijimos en la STC 174/1992, de 2 de noviembre, FJ 2, que "el requisito de la motivación impone al juzgador la realización de un doble juicio: de una parte, la existencia de una motivación fáctica o antecedentes de hecho, inferida a partir de la prueba practicada, en la que deberán consignarse, de conformidad con lo dispuesto en los arts. 248.3 LOPJ y 142.2 LECrim, los hechos enlazados con las cuestiones que hayan de resolverse en fallo, haciendo declaración expresa y terminante de los que se estimen probados. De otra parte, una valoración jurídica suficientemente razonada acerca de los hechos declarados probados.  ... Ahora bien, la exigencia de que las Sentencias penales contengan una expresa declaración de hechos probados no impide que el Juez o Tribunal pueda realizar en los fundamentos de Derecho las deducciones e inferencias necesarias respecto de los hechos para subsumirlos en unas concretas normas jurídico-penales, pues ello es propio de la función de juzgar y únicamente podría llevarse a cabo el control de su constitucionalidad cuando las deducciones o inferencias sean injustificadas por su irracionalidad o cuando introdujeran nuevos hechos rele</w:t>
      </w:r>
      <w:r>
        <w:lastRenderedPageBreak/>
        <w:t>vantes para la calificación jurídica y éstos no hayan sido consignados entre los declarados probados".</w:t>
      </w:r>
    </w:p>
    <w:p w:rsidR="0025129F" w:rsidRDefault="0025129F" w:rsidP="0025129F">
      <w:pPr>
        <w:pStyle w:val="TextoNormal"/>
      </w:pPr>
      <w:r>
        <w:t>Aplicando la anterior doctrina al supuesto enjuiciado, no se aprecian en modo alguno las vulneraciones del derecho a la tutela judicial efectiva aducidas por el demandante de amparo.  En efecto, por una parte, la Sentencia de la Audiencia Provincial de Valencia cumple con la doble exigencia de motivación a que se ha hecho referencia, pues incluye, en primer lugar, un relato de hechos probados, que han quedado consignados en los precedentes antecedentes de hecho, y, a partir de ellos, se desarrolla de manera precisa el razonamiento en el que el Tribunal fundamenta la decisión condenatoria del fallo, tras la subsunción de las conductas consideradas en normas penales concretas.</w:t>
      </w:r>
    </w:p>
    <w:p w:rsidR="0025129F" w:rsidRDefault="0025129F" w:rsidP="0025129F">
      <w:pPr>
        <w:pStyle w:val="TextoNormal"/>
      </w:pPr>
      <w:r>
        <w:t>Por otra parte, como se ha visto, para que quepa tachar de contradictoria la fundamentación de una sentencia desde el punto de vista constitucional es preciso que la inferencia de extremos fácticos realizada en aquélla se muestre en contradicción con el relato de los hechos que la propia sentencia declare probados. Este vicio no puede ser imputado a la Sentencia de la Audiencia Provincial de Valencia, pues, del examen del razonamiento contenido en la fundamentación jurídica no se deduce la existencia de contradicción alguna respecto de los hechos declarados probados en la misma Sentencia, pues la inferencia realizada en aquélla tiene cabal sustento en el previo relato fáctico.</w:t>
      </w:r>
    </w:p>
    <w:p w:rsidR="0025129F" w:rsidRDefault="0025129F" w:rsidP="0025129F">
      <w:pPr>
        <w:pStyle w:val="TextoNormal"/>
      </w:pPr>
      <w:r>
        <w:t>Cosa distinta es que la referida fundamentación jurídica no se ajuste, a juicio del recurrente, al contenido del acta del juicio oral, lo que nos sitúa, más que en el ámbito de la congruencia entre los hechos probados y los fundamentos de la Sentencia, ante la pretensión clara de que se revise la valoración de la prueba realizada por el juzgador, función que, como reiteradamente tenemos dicho (por todas, SSTC 51/1995, de 23 de febrero, FJ 3; 153/1997, de 29 de septiembre, FJ 2; y 49/1998, de 2 de marzo, FJ 2), no nos corresponde, pues la jurisdicción de este Tribunal respecto a la actuación de los Tribunales ordinarios se reduce a determinar si se han vulnerado o no las garantías constitucionales. Podrá, a lo sumo, y cuando se invoca como vulnerado el derecho a la presunción de inocencia, verificar si ha existido una actividad probatoria que, practicada con todas las garantías legales y constitucionales, pueda considerarse de cargo, aspecto cuyo examen se abordará a continuación, siguiendo el orden expositivo de la demanda de amparo.</w:t>
      </w:r>
    </w:p>
    <w:p w:rsidR="0025129F" w:rsidRDefault="0025129F" w:rsidP="0025129F">
      <w:pPr>
        <w:pStyle w:val="TextoNormal"/>
      </w:pPr>
      <w:r>
        <w:t>En conclusión, quedan descartadas las otras dos quejas en relación con el art. 24.1 CE, referidas a la contradicción en la fundamentación de la Sentencia y a su falta de motivación.</w:t>
      </w:r>
    </w:p>
    <w:p w:rsidR="0025129F" w:rsidRDefault="0025129F" w:rsidP="0025129F">
      <w:pPr>
        <w:pStyle w:val="TextoNormal"/>
      </w:pPr>
    </w:p>
    <w:p w:rsidR="0025129F" w:rsidRDefault="0025129F" w:rsidP="0025129F">
      <w:pPr>
        <w:pStyle w:val="TextoNormal"/>
      </w:pPr>
      <w:r w:rsidRPr="0025129F">
        <w:rPr>
          <w:rStyle w:val="NumeroAFNegritaCaracter"/>
        </w:rPr>
        <w:t>5</w:t>
      </w:r>
      <w:r>
        <w:t>. Resta por examinar el que podríamos considerar eje central del presente recurso de amparo, al que se puede reconducir, en realidad, el conjunto de las alegaciones del demandante dirigidas a justificar la violación del derecho fundamental a la tutela judicial efectiva. Como se expuso más atrás, el actor afirma que se ha producido la lesión de su derecho a la presunción de inocencia (art. 24.2 CE).</w:t>
      </w:r>
    </w:p>
    <w:p w:rsidR="0025129F" w:rsidRDefault="0025129F" w:rsidP="0025129F">
      <w:pPr>
        <w:pStyle w:val="TextoNormal"/>
      </w:pPr>
      <w:r>
        <w:t xml:space="preserve">El recurrente aduce que las mismas circunstancias que producirían la violación del derecho a la tutela judicial efectiva determinan también la vulneración del principio de presunción de inocencia a que se refiere el art. 24.2 CE, por falta de prueba de cargo suficiente para fundamentar un fallo condenatorio. Razona que la única prueba por la que ha sido condenado es la declaración incriminatoria de un coimputado, que no puede ser tomada en modo alguno como prueba de cargo, pues no ha sido corroborada por ningún otro medio de prueba. Incluso mantiene que, sometida dicha declaración al necesario debate contradictorio en el juicio oral, no ha quedado acreditada la participación del actor en el concreto desembarco de droga objeto de enjuiciamiento por las resoluciones judiciales impugnadas. </w:t>
      </w:r>
      <w:r>
        <w:lastRenderedPageBreak/>
        <w:t>A tal efecto, sostiene que el coimputado, en sus declaraciones, siempre hacía referencia a otras operaciones y a otras personas, sin implicar al demandante de amparo. Además, añade la consideración de que la declaración de Manuel Aguilar fue efectuada con el único móvil de conseguir un trato procesal más favorable, por lo que debe ser considerada nula.</w:t>
      </w:r>
    </w:p>
    <w:p w:rsidR="0025129F" w:rsidRDefault="0025129F" w:rsidP="0025129F">
      <w:pPr>
        <w:pStyle w:val="TextoNormal"/>
      </w:pPr>
      <w:r>
        <w:t>Por su parte, el Fiscal aprecia la existencia de vulneración del derecho a la presunción de inocencia, pues, partiendo de que el enjuiciamiento constitucional debe limitarse a examinar la razonabilidad del discurso que une la actividad probatoria y el relato fáctico resultante, llega a la conclusión -tras examinar los documentos que componen las actuaciones remitidas- de que no existen indicios corroboradores del testimonio inculpatorio. Sostiene el Ministerio Fiscal que, para fundar la condena del recurrente, no sólo no existió una actividad probatoria distinta de la declaración del coimputado, sino que, además, se le dotó de absoluta verosimilitud, sin tener en cuenta la posible concurrencia de motivos espurios en aquél, ni el hecho de que, en el juicio oral, fuera desmentida dicha manifestación por quienes se supone que habían comunicado al coimputado la participación en los hechos del demandante de amparo. De los indicios existentes -concluye el Fiscal- no se puede deducir sin más la participación del acusado en el hecho punible, de tal modo que, al asentar en las declaraciones del coimputado la grave consecuencia que de la Sentencia deriva, resulta obligado cuestionar la razonabilidad del discurso contenido en ésta.</w:t>
      </w:r>
    </w:p>
    <w:p w:rsidR="0025129F" w:rsidRDefault="0025129F" w:rsidP="0025129F">
      <w:pPr>
        <w:pStyle w:val="TextoNormal"/>
      </w:pPr>
      <w:r>
        <w:t>En definitiva, la cuestión que aquí se plantea es el valor que cabe otorgar a la declaración de un coimputado como prueba de cargo y la consiguiente posible insuficiencia de la prueba empleada para fundamentar la condena del recurrente.</w:t>
      </w:r>
    </w:p>
    <w:p w:rsidR="0025129F" w:rsidRDefault="0025129F" w:rsidP="0025129F">
      <w:pPr>
        <w:pStyle w:val="TextoNormal"/>
      </w:pPr>
    </w:p>
    <w:p w:rsidR="0025129F" w:rsidRDefault="0025129F" w:rsidP="0025129F">
      <w:pPr>
        <w:pStyle w:val="TextoNormal"/>
      </w:pPr>
      <w:r w:rsidRPr="0025129F">
        <w:rPr>
          <w:rStyle w:val="NumeroAFNegritaCaracter"/>
        </w:rPr>
        <w:t>6</w:t>
      </w:r>
      <w:r>
        <w:t>. Es doctrina reiterada de este Tribunal que la presunción de inocencia, además de constituir un principio o criterio informador del ordenamiento procesal penal, es ante todo un derecho fundamental en cuya virtud una persona acusada de una infracción no puede ser considerada culpable hasta que así se declare en Sentencia condenatoria, siendo sólo admisible y lícita esta condena cuando haya mediado una actividad probatoria que, practicada con la observancia de las garantías procesales y libremente valorada por los Tribunales penales, pueda entenderse de cargo (STC 51/1995, de 23 de febrero, FJ 2). Y como regla general, la única prueba que puede desvirtuar la presunción de inocencia es la efectuada en el juicio oral bajo los principios de contradicción, publicidad e inmediación, regla que rige también en materia de prueba testifical, donde la contradicción viene expresamente requerida por el art. 6.3 d) del Convenio de Roma para la Protección de los Derechos Humanos y de las Libertades Fundamentales y por el art. 14.3 e) del Pacto Internacional de Derechos Civiles y Políticos (SSTC 200/1996, de 3 de diciembre, FJ 2; y 153/1997, de 29 de septiembre, FJ 3).</w:t>
      </w:r>
    </w:p>
    <w:p w:rsidR="0025129F" w:rsidRDefault="0025129F" w:rsidP="0025129F">
      <w:pPr>
        <w:pStyle w:val="TextoNormal"/>
      </w:pPr>
      <w:r>
        <w:t>Para determinar si se ha vulnerado o no el derecho a la presunción de inocencia del demandante de amparo, hemos de verificar si ha existido o no una actividad probatoria que pueda ser considerada de cargo y contenga elementos incriminatorios respecto de su participación en los hechos, dado que, por más que el órgano jurisdiccional de instancia sea soberano en la libre apreciación de la prueba, la función de este Tribunal cuando se alega la presunción de inocencia consiste en verificar si ha existido actividad probatoria suficiente (SSTC 217/1989, de 21 de diciembre, FJ 3; y 51/1995, de 23 de febrero, FJ 3).</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La Sentencia de la Audiencia Provincial de Valencia razona en su fundamentación jurídica, en orden a considerar acreditada la participación del recurrente en la operación de introducción de grandes cantidades de hachís por el puerto de Gandía, que los acusados Manuel Aguilar Ballesteros y Blas Puig Madramany confesaron su participación en los </w:t>
      </w:r>
      <w:r>
        <w:lastRenderedPageBreak/>
        <w:t>hechos -el primero de ellos desde su primera declaración y en el acto de juicio y el segundo sólo en la vista- , narrando lo ocurrido con todo detalle.</w:t>
      </w:r>
    </w:p>
    <w:p w:rsidR="0025129F" w:rsidRDefault="0025129F" w:rsidP="0025129F">
      <w:pPr>
        <w:pStyle w:val="TextoNormal"/>
      </w:pPr>
      <w:r>
        <w:t>En concreto, en lo que se refiere al recurrente en amparo, señala el Tribunal que "el acusado Manuel Aguilar desde un principio ha venido manteniendo de forma coherente y coincidente la misma versión, narrando de forma detallada la participación que en los hechos tuvo cada uno de los acusados, y ello fue plenamente corroborado en lo esencial, en cuanto a hechos e intervención de personas, por el acusado Blas Puig, los cuales describieron cómo el segundo fue contactado por los acusados Francisco Benito Martínez y Francisco Sánchez para que buscase a una persona con una barca para ir los dos a recoger hachís de un barco".</w:t>
      </w:r>
    </w:p>
    <w:p w:rsidR="0025129F" w:rsidRDefault="0025129F" w:rsidP="0025129F">
      <w:pPr>
        <w:pStyle w:val="TextoNormal"/>
      </w:pPr>
      <w:r>
        <w:t>Por su parte, el Tribunal Supremo, en la Sentencia de 10 de abril de 2000, desestimatoria de los recursos de casación interpuestos, entre otros, por el demandante de amparo, señala que la prueba de cargo sobre la que el Tribunal sentenciador ha formado su convicción acerca de los hechos y de la participación en ellos de los acusados, es la declaración incriminatoria del coimputado Manuel Aguilar y, también, aunque con un efecto limitado, la del coimputado Blas Puig. Asimismo, y con invocación de su propia doctrina sobre la posibilidad de valorar las declaraciones incriminatorias del coacusado como prueba de cargo, el Tribunal Supremo manifiesta: "En el supuesto presente, el Tribunal de instancia deja constancia en la fundamentación jurídica de su sentencia que ha analizado las declaraciones del coimputado a la luz de aquella doctrina que demanda prudencia y precaución, y ha otorgado fiabilidad y credibilidad a las mismas frente a las exculpaciones de los coacusados", añadiendo que "la credibilidad del testigo o coimputado de cargo forman parte esencial e indisoluble de la valoración de esta clase de pruebas personales".</w:t>
      </w:r>
    </w:p>
    <w:p w:rsidR="0025129F" w:rsidRDefault="0025129F" w:rsidP="0025129F">
      <w:pPr>
        <w:pStyle w:val="TextoNormal"/>
      </w:pPr>
      <w:r>
        <w:t>Parece evidente pues, y así se colige de las Sentencias impugnadas, que la condena del demandante de amparo se ha fundamentado en las declaraciones incriminatorias realizadas por el coimputado Manuel Aguilar Ballesteros. Igualmente, resulta de dichas resoluciones que el juicio sobre la suficiencia de esas declaraciones para servir de base a la condena se ha apoyado en la valoración positiva que sobre su credibilidad realizó la Sentencia de la Audiencia Provincial de Valencia, ratificada posteriormente por el Tribunal Supremo.</w:t>
      </w:r>
    </w:p>
    <w:p w:rsidR="0025129F" w:rsidRDefault="0025129F" w:rsidP="0025129F">
      <w:pPr>
        <w:pStyle w:val="TextoNormal"/>
      </w:pPr>
    </w:p>
    <w:p w:rsidR="0025129F" w:rsidRDefault="0025129F" w:rsidP="0025129F">
      <w:pPr>
        <w:pStyle w:val="TextoNormal"/>
      </w:pPr>
      <w:r w:rsidRPr="0025129F">
        <w:rPr>
          <w:rStyle w:val="NumeroAFNegritaCaracter"/>
        </w:rPr>
        <w:t>8</w:t>
      </w:r>
      <w:r>
        <w:t>. En relación con este extremo procede recordar, ante todo, que este Tribunal ha reconocido la virtualidad probatoria de las declaraciones de los coimputados, afirmando en la STC 137/1988, de 7 de julio, FJ 4, que la toma en consideración de "las declaraciones de los coencausados por su participación en los mismos hechos no está prohibida por la Ley procesal, y no cabe dudar tampoco del carácter testimonial de sus manifestaciones, basadas en un conocimiento extraprocesal de tales hechos. En concreto, este Tribunal ha declarado en reiteradas ocasiones que la valoración de dichas declaraciones efectuadas en sentido acusatorio no vulnera el derecho a la presunción de inocencia (AATC 479/1986, de 4 de junio; 293/1987, de 11 de marzo; 343/1987, de 18 de marzo, entre otros)". Ahora bien, la duda objetiva de credibilidad que puede derivar de la coparticipación en los hechos por el declarante no supone per se una tacha, sino que es simplemente un dato a tener en cuenta por el Tribunal penal al ponderar la credibilidad que le merezca, en función de los factores concurrentes, singularmente la propia personalidad de quien declara y sus relaciones con la persona a quien acusa, así como la presencia de posibles móviles de autoexculpación (en este mismo sentido, las SSTC 98/1990, de 24 de mayo, FJ 2, y 51/1995, de 23 de febrero, FJ 4).  En todo caso, tal función corresponde en exclusiva a los órganos de dicha jurisdicción en los términos que derivan del propio art. 117.3 CE.</w:t>
      </w:r>
    </w:p>
    <w:p w:rsidR="0025129F" w:rsidRDefault="0025129F" w:rsidP="0025129F">
      <w:pPr>
        <w:pStyle w:val="TextoNormal"/>
      </w:pPr>
      <w:r>
        <w:lastRenderedPageBreak/>
        <w:t>Más recientemente, sin embargo, hemos precisado la postura expuesta, afirmando que, tanto por la posición que ocupa el coimputado en el proceso, cuanto porque no se le exige legalmente decir verdad, su declaración constituye una prueba intrínsecamente sospechosa, no sólo por su escasa fiabilidad, derivada de la posibilidad de que en su manifestación concurran móviles espurios (entre los que presenta especial relevancia la posibilidad de autoexculpación o de reducción de la pena que se le imponga), sino porque se trata de un testimonio que sólo de forma muy limitada puede someterse a contradicción (SSTC 68/2001, de 17 de marzo, FJ 5; y 2/2002, de 14 de enero, FJ 6).</w:t>
      </w:r>
    </w:p>
    <w:p w:rsidR="0025129F" w:rsidRDefault="0025129F" w:rsidP="0025129F">
      <w:pPr>
        <w:pStyle w:val="TextoNormal"/>
      </w:pPr>
      <w:r>
        <w:t>Por tal razón, cuando la única prueba de cargo consiste en la declaración de un coimputado, se hace necesario recordar la doctrina de este Tribunal conforme a la cual el acusado, a diferencia del testigo, no sólo no tiene obligación de decir la verdad sino que puede callar total o parcialmente (STC 129/1996, de 9 de julio; en sentido similar STC 197/1995, de 21 de diciembre), en virtud de los derechos a no declarar contra sí mismo y a no confesarse culpable, reconocidos en el art. 24.2 CE, y que son garantías instrumentales del más amplio derecho a la defensa (SSTC 29/1995, de 6 de febrero, 197/1995, de 21 de diciembre; en este sentido, además, STEDH de 25 de febrero de 1993, caso Funke c. Francia, § 44). Con fundamento en lo anterior, hemos entendido que la declaración incriminatoria del coimputado carece de consistencia plena como prueba de cargo cuando, siendo única, no resulta mínimamente corroborada por otras pruebas (SSTC 153/1997, de 29 de septiembre, FJ 6; y 49/1998, de 2 de marzo, FJ 5). En consecuencia, y a la vista de los condicionamientos que afectan al coimputado, en la STC 115/1998, de 1 de junio, FJ 5, dijimos que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w:t>
      </w:r>
    </w:p>
    <w:p w:rsidR="0025129F" w:rsidRDefault="0025129F" w:rsidP="0025129F">
      <w:pPr>
        <w:pStyle w:val="TextoNormal"/>
      </w:pPr>
      <w:r>
        <w:t>Con respecto a lo que constituya esa mínima corroboración, hemos advertido también (STC 182/2001, de 17 de septiembre, FJ 7) que en sede constitucional no nos es posible exigir una corroboración plena, pues determinar si unas pruebas o datos corroboran plenamente una declaración implica necesariamente una valoración de tales datos o pruebas que nos está vedada, ni tampoco hemos ofrecido una definición de lo que haya de entenderse por corroboración, más allá de la idea de que la veracidad de la declaración de un coimputado ha de estar avalada por algún dato, hecho o circunstancia externa, debiendo dejar la determinación de si dicha mínima corroboración se ha producido o no al análisis caso por caso.</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La aplicación de la doctrina expuesta al presente supuesto permite llegar a la conclusión de que ha sido vulnerado el derecho a la presunción de inocencia del demandante de amparo.  Como resulta de la fundamentación jurídica de la Sentencia de la Audiencia Provincial de Valencia, la declaración de Manuel Aguilar Ballesteros incriminándole ha sido la única prueba tomada en consideración para condenarle, apoyándose en el criterio --compartido por la Sentencia del Tribunal Supremo- de la credibilidad que tal declaración merecía al Tribunal de instancia. Sin embargo, y de acuerdo con la jurisprudencia constitucional antes referida, dicho juicio no basta para estimar como prueba de cargo suficiente la declaración del coimputado; en efecto, dicha jurisprudencia exige que ésta se encuentre mínimamente corroborada, sin que pueda estimarse suficiente cuando se erige en el único elemento probatorio en el que se fundamenta la condena del recurrente, en la medida en </w:t>
      </w:r>
      <w:r>
        <w:lastRenderedPageBreak/>
        <w:t>que no exista otra prueba, dato o circunstancia externos a ella que hayan corroborado su veracidad.</w:t>
      </w:r>
    </w:p>
    <w:p w:rsidR="0025129F" w:rsidRDefault="0025129F" w:rsidP="0025129F">
      <w:pPr>
        <w:pStyle w:val="TextoNormal"/>
      </w:pPr>
      <w:r>
        <w:t>El anterior razonamiento, como se señaló en casos análogos en las SSTC 153/1997, FJ 7, y 49/1998, FJ 6, no implica valoración de la prueba por este Tribunal sino indagación de si ha existido una mínima actividad probatoria de cargo que permita desvirtuar la presunción de inocencia. Como declaramos en la STC 44/1989, de 20 de febrero, FJ 2, corresponde a este Tribunal, para la protección del derecho a la presunción de inocencia, "comprobar si se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irracionales o absurdas (SSTC 140/1985, de 21 de octubre, y 175/1985, de 17 de diciembre), de forma que 'los hechos cuya certeza resulte de la prueba practicada acrediten la culpabilidad del acusado' (STC 174/1985, de 17 de diciembre)".</w:t>
      </w:r>
    </w:p>
    <w:p w:rsidR="0025129F" w:rsidRDefault="0025129F" w:rsidP="0025129F">
      <w:pPr>
        <w:pStyle w:val="TextoNormal"/>
      </w:pPr>
    </w:p>
    <w:p w:rsidR="0025129F" w:rsidRDefault="0025129F" w:rsidP="0025129F">
      <w:pPr>
        <w:pStyle w:val="TextoNormal"/>
      </w:pPr>
      <w:r w:rsidRPr="0025129F">
        <w:rPr>
          <w:rStyle w:val="NumeroAFNegritaCaracter"/>
        </w:rPr>
        <w:t>10</w:t>
      </w:r>
      <w:r>
        <w:t>. Una reflexión adicional merece el hecho de que en el presente caso la declaración del coimputado utilizada para fundar la condena constituye, además, un testimonio de referencia cuyo contenido no ha sido ratificado en el acto del juicio oral por el testigo directo que supuestamente habría hecho las manifestaciones que incriminaban al recurrente. En la Sentencia dictada en casación, el propio Tribunal Supremo reconoció que éste era el único elemento probatorio de que disponía la Audiencia Provincial de Valencia para condenar al recurrente, diciendo que "el Tribunal solamente dispone de la declaración del testigo de referencia, también acusado en este caso la cual debe valorar con prudencia, pero sin excluir la posibilidad de considerarla suficiente para desvirtuar la presunción de inocencia".</w:t>
      </w:r>
    </w:p>
    <w:p w:rsidR="0025129F" w:rsidRDefault="0025129F" w:rsidP="0025129F">
      <w:pPr>
        <w:pStyle w:val="TextoNormal"/>
      </w:pPr>
      <w:r>
        <w:t>En relación con este extremo, hay que recordar que el Tribunal Europeo de Derechos Humanos ha mostrado una postura de especial prudencia en relación con la idoneidad de las declaraciones de referencia como elemento probatorio suficiente para fundamentar una condena penal, en la medida en que significan siempre una limitación de la posibilidad plena de defensa contradictoria (SSTEDH 19 de diciembre de 1990, caso Delta c. Francia, § 37; 19 de febrero de 1991, caso Isgro c. Italia, § 35; 26 de abril de 1991, caso Asch c. Austria, § 28; 28 de agosto de 1992, caso Artner c. Austria, §§ 22-24; y 14 de diciembre de 1999, caso A.M. c. Italia, § 25).</w:t>
      </w:r>
    </w:p>
    <w:p w:rsidR="0025129F" w:rsidRDefault="0025129F" w:rsidP="0025129F">
      <w:pPr>
        <w:pStyle w:val="TextoNormal"/>
      </w:pPr>
      <w:r>
        <w:t>A su vez, este Tribunal, en términos semejantes al Tribunal Europeo de Derechos Humanos, ha sometido también a especiales exigencias la eficacia probatoria del testimonio de referencia. Así, en las SSTC 217/1989, de 21 de diciembre, FJ 5, y 303/1993, de 25 de octubre, FJ 7, hemos admitido que la prueba testifical de referencia constituye, desde luego, uno de los actos de prueba que los Tribunales de la jurisdicción penal pueden tener en consideración en orden a fundar la condena, pues la Ley no excluye su validez y eficacia, pero añadiendo en la última de ellas la prevención de que, aunque "sea un medio probatorio admisible (con la sola excepción del proceso por injurias y calumnias verbales: art. 813 LECrim) y de valoración constitucionalmente permitida que, junto con otras pruebas, pueda servir de fundamento a una Sentencia de condena, no significa que, por sí sola, pueda erigirse, en cualquier caso, en suficiente para desvirtuar la presunción de inocencia".</w:t>
      </w:r>
    </w:p>
    <w:p w:rsidR="0025129F" w:rsidRDefault="0025129F" w:rsidP="0025129F">
      <w:pPr>
        <w:pStyle w:val="TextoNormal"/>
      </w:pPr>
      <w:r>
        <w:t xml:space="preserve">La anterior doctrina ha sido ratificada posteriormente en las SSTC 79/1994, de 14 de marzo, FJ 4; 261/1994, de 3 de octubre, FJ 3; 35/1995, de 6 de febrero, FJ 3; 131/1997, de 15 de julio, FJ 2; 7/1999, de 8 de febrero, FJ 2 B); 97/1999, de 31 de mayo, FJ 6; y 209/2001, de 22 de octubre, FJ 4, en las que este Tribunal ha calificado dicho medio de </w:t>
      </w:r>
      <w:r>
        <w:lastRenderedPageBreak/>
        <w:t>prueba como poco recomendable. En particular, la STC 209/2001, FJ 4, efectúa una síntesis de nuestra doctrina junto con la emanada del Tribunal Europeo de Derechos Humanos, señalando: "En efecto, de un lado, incorporar al proceso declaraciones testificales a través de testimonios de referencia implica la elusión de la garantía constitucional de inmediación de la prueba al impedir que el Juez que ha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y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y 97/1999, de 31 de mayo, FJ 6) y que se encuentra reconocido expresamente en el párrafo 3 del art. 6 del Convenio Europeo de Derechos Humanos (en adelante CEDH) como una garantía específica del derecho al proceso equitativo del art. 6.1 del mismo (STEDH de 19 de diciembre de 1990, caso Delta, §§ 36 y 37)".</w:t>
      </w:r>
    </w:p>
    <w:p w:rsidR="0025129F" w:rsidRDefault="0025129F" w:rsidP="0025129F">
      <w:pPr>
        <w:pStyle w:val="TextoNormal"/>
      </w:pPr>
      <w:r>
        <w:t>En esa medida, dado su carácter excepcional, hemos afirmado siempre que "la admisión del testimonio de referencia se encuentra subordinada al requisito de que su utilización en el proceso resulte inevitable y necesaria", afirmando que el hecho de que la prueba testifical de referencia sea un medio probatorio de valoración constitucionalmente permitida "no significa, como se indicaba en la STC 303/1993, que, sin más, pueda erigirse en suficiente para desvirtuar la presunción de inocencia, ya que, como se señalaba en la STC 217/1989, la declaración del testigo de referencia no puede sustituir la del testigo principal; antes al contrario, cuando existan testigos presenciales, el órgano judicial debe oírlos directamente, en vez de llamar a declarar a quienes oyeron de ellos el relato de su experiencia. Por lo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(STC 79/1994, FJ 4).</w:t>
      </w:r>
    </w:p>
    <w:p w:rsidR="0025129F" w:rsidRDefault="0025129F" w:rsidP="0025129F">
      <w:pPr>
        <w:pStyle w:val="TextoNormal"/>
      </w:pPr>
      <w:r>
        <w:t>Ciertamente, este caso presenta la peculiaridad de que el testigo directo (Francisco Benito Martínez Rodríguez) es, al propio tiempo, uno de los coimputados que, en tal condición, y como se razonó anteriormente, no viene obligado a decir verdad. Ahora bien, aunque al igual que ocurre con el testigo de referencia (el coimputado Manuel Aguilar Ballesteros), tal circunstancia pueda restarle credibilidad, es obvio que no le priva de su condición de testigo directo, cuyo relato, sometido a contradicción, no debe ser sustituido, tampoco en este caso, por el testimonio de referencia. Partiendo de esta premisa, y atendiendo a la declaración del "coimputado-testigo directo", resulta palmario que no ha avalado en ningún momento la versión del "coimputado- testigo de referencia" respecto a la participación del demandante de amparo en los hechos enjuiciados.</w:t>
      </w:r>
    </w:p>
    <w:p w:rsidR="0025129F" w:rsidRDefault="0025129F" w:rsidP="0025129F">
      <w:pPr>
        <w:pStyle w:val="TextoNormal"/>
      </w:pPr>
      <w:r>
        <w:t>En consecuencia, no sólo se fundó la condena únicamente en la declaración de un coimputado no corroborada por otros datos o elementos de hecho, sino que su contenido incriminatorio constituía un testimonio de referencia al que nunca debió otorgarse eficacia probatoria por no hallarse avalado expresamente por el testigo directo (supuesto autor de las manifestaciones incriminatorias). En conclusión, la declaración que como único elemento probatorio sustentó la condena carece, por este doble motivo, de virtualidad suficiente para fundamentarla, no sólo por tratarse de una declaración de coimputado no co</w:t>
      </w:r>
      <w:r>
        <w:lastRenderedPageBreak/>
        <w:t>rroborada sino también por constituir un testimonio de referencia no avalado por sus presuntas fuentes de conocimiento.</w:t>
      </w:r>
    </w:p>
    <w:p w:rsidR="0025129F" w:rsidRDefault="0025129F" w:rsidP="0025129F">
      <w:pPr>
        <w:pStyle w:val="TextoNormal"/>
      </w:pPr>
      <w:r>
        <w:t>A la vista de lo expuesto, procede otorgar el amparo solicitado por el recurrente, declarando que se ha vulnerado su derecho a la presunción de inocencia y anulando en cuanto a su condena tanto la Sentencia de la Sección Quinta de la Audiencia Provincial de Valencia como la dictada por la Sala Segunda del Tribunal Supremo, por la que se declaró no haber lugar al recurso de casación interpuesto contra la anterior.</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el recurso de amparo interpuesto por don Francisco José Sánchez Bañuls y, en su virtud:</w:t>
      </w:r>
    </w:p>
    <w:p w:rsidR="0025129F" w:rsidRDefault="0025129F" w:rsidP="0025129F">
      <w:pPr>
        <w:pStyle w:val="TextoNormal"/>
      </w:pPr>
      <w:r>
        <w:t>1º Declarar que se ha vulnerado el derecho del recurrente a la presunción de inocencia.</w:t>
      </w:r>
    </w:p>
    <w:p w:rsidR="0025129F" w:rsidRDefault="0025129F" w:rsidP="0025129F">
      <w:pPr>
        <w:pStyle w:val="TextoNormal"/>
      </w:pPr>
      <w:r>
        <w:t>2º Restablecerle en el citado derecho, y a tal fin anular parcialmente la Sentencia de la Sección Quinta de la Audiencia Provincial de Valencia, de fecha 24 de junio de 1998, dictada en el procedimiento abreviado 48/97 y rollo 28/98, así como la Sentencia de la Sala Segunda del Tribunal Supremo de 10 de abril de 2000, por la que se declaró no haber lugar al recurso de casación promovido por el recurrente contra la mencionada Sentencia, en lo que se refiere, en ambos casos, exclusivamente a la condena del demandante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veintiuno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2" w:name="SENTENCIA_2002_69"/>
      <w:r>
        <w:lastRenderedPageBreak/>
        <w:t>SENTENCIA 69/2002, de 21 de marzo de 2002</w:t>
      </w:r>
    </w:p>
    <w:bookmarkEnd w:id="72"/>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ECLI:ES:TC:2002:69</w:t>
      </w:r>
    </w:p>
    <w:p w:rsidR="0025129F" w:rsidRDefault="0025129F" w:rsidP="0025129F">
      <w:pPr>
        <w:pStyle w:val="SntesisDescriptiva"/>
      </w:pPr>
    </w:p>
    <w:p w:rsidR="0025129F" w:rsidRDefault="0025129F" w:rsidP="0025129F">
      <w:pPr>
        <w:pStyle w:val="SntesisDescriptiva"/>
      </w:pPr>
      <w:r>
        <w:t>Recurso de amparo 3746/1999. Promovido por la Universidad Autónoma de Barcelona frente a la Sentencia de la Sala de lo Contencioso-Administrativo del Tribunal Superior de Justicia de Cataluña que desestimó su recurso contra el Ayuntamiento de Cerdanyola del Vallés por el impuesto sobre bienes inmuebles.</w:t>
      </w:r>
    </w:p>
    <w:p w:rsidR="0025129F" w:rsidRDefault="0025129F" w:rsidP="0025129F">
      <w:pPr>
        <w:pStyle w:val="SntesisDescriptiva"/>
      </w:pPr>
    </w:p>
    <w:p w:rsidR="0025129F" w:rsidRDefault="0025129F" w:rsidP="0025129F">
      <w:pPr>
        <w:pStyle w:val="SntesisAnaltica"/>
      </w:pPr>
      <w:r>
        <w:t>Supuesta vulneración del derecho a la igualdad: STC 239/2001.</w:t>
      </w:r>
    </w:p>
    <w:p w:rsidR="0025129F" w:rsidRDefault="0025129F" w:rsidP="0025129F">
      <w:pPr>
        <w:pStyle w:val="SntesisAnaltica"/>
      </w:pPr>
    </w:p>
    <w:p w:rsidR="0025129F" w:rsidRDefault="0025129F" w:rsidP="0025129F">
      <w:pPr>
        <w:pStyle w:val="Extracto"/>
      </w:pPr>
      <w:r>
        <w:t>1.</w:t>
      </w:r>
      <w:r>
        <w:tab/>
        <w:t>Para la interposición del recurso de amparo, el mes de agosto ha de considerarse inhábil y no computable a efectos del plazo [FJ 3].</w:t>
      </w:r>
    </w:p>
    <w:p w:rsidR="0025129F" w:rsidRDefault="0025129F" w:rsidP="0025129F">
      <w:pPr>
        <w:pStyle w:val="Extracto"/>
      </w:pPr>
    </w:p>
    <w:p w:rsidR="0025129F" w:rsidRDefault="0025129F" w:rsidP="0025129F">
      <w:pPr>
        <w:pStyle w:val="Extracto"/>
      </w:pPr>
      <w:r>
        <w:t>2.</w:t>
      </w:r>
      <w:r>
        <w:tab/>
        <w:t>La doctrina sobre la naturaleza subsidiaria del recurso de amparo no obliga a utilizar todos los medios de impugnación posibles, sino tan sólo aquellos normales que, de manera clara, se manifiestan como ejercitables (STC 188/1990) [ FJ 4].</w:t>
      </w:r>
    </w:p>
    <w:p w:rsidR="0025129F" w:rsidRDefault="0025129F" w:rsidP="0025129F">
      <w:pPr>
        <w:pStyle w:val="Extracto"/>
      </w:pPr>
    </w:p>
    <w:p w:rsidR="0025129F" w:rsidRDefault="0025129F" w:rsidP="0025129F">
      <w:pPr>
        <w:pStyle w:val="Extracto"/>
      </w:pPr>
      <w:r>
        <w:t>3.</w:t>
      </w:r>
      <w:r>
        <w:tab/>
        <w:t>Siendo el presente caso sustancialmente igual al decidido por las Sentencias 239/2001 y 240/2001, procede remitirnos a lo por ellas decidido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3746/99, promovido por la Universidad Autónoma de Barcelona, bajo la representación procesal del Procurador de los Tribunales don José Luis Pinto Marabotto y con la asistencia del Abogado don José Casanova Gurrera, contra la Sentencia de la Sección Tercera de la Sala de lo Contencioso-Administrativo del Tribunal Superior de Justicia de Cataluña, con fecha de 9 de junio de 1999 (recurso núm. 1571/96), desestimatoria del recurso contencioso-administrativo interpuesto contra el Acuerdo de la Comisión de Gobierno del Ayuntamiento de Cerdanyola del Vallés, con fecha de 30 de julio de 1996, que desestimaba el recurso de reposición interpuesto contra las liquidaciones giradas por el concepto de impuesto sobre bienes inmuebles correspondiente al ejerci</w:t>
      </w:r>
      <w:r>
        <w:lastRenderedPageBreak/>
        <w:t>cio de 1993, en cuantías de 28.823, 3.938.895 y 784.047 pesetas. Ha comparecido el Ayuntamiento de Cerdanyola del Vallés bajo la representación del Procurador don Cesáreo Hidalgo Senén, y asistido por la Letrada consistorial doña María Raña Calviño, y ha intervenido el Ministerio Fiscal. Ha sido Ponente el Magistrado don Pablo García Manzano,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ante este Tribunal el día 10 de septiembre de 1999, el Procurador de los Tribunales don José Luis Pinto Marabotto, en nombre y representación de la Universidad Autónoma de Barcelona, interpuso recurso de amparo contra la Sentencia de la Sección Tercera de la Sala de lo Contencioso-Administrativo del Tribunal Superior de Justicia de Cataluña, con fecha de 9 de junio de 1999, desestimatoria del recurso contencioso-administrativo interpuesto contra el Acuerdo de la Comisión de Gobierno del Ayuntamiento de Cerdanyola del Vallés de fecha de 30 de julio de 1996, desestimatorio del recurso de reposición interpuesto contra tres liquidaciones del impuesto sobre bienes inmuebles correspondiente al ejercicio de 1993, por vulneración de su derecho a la igualdad ante la ley (art. 14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el presente recurso de amparo, expuestos sucintamente, son los siguientes: </w:t>
      </w:r>
    </w:p>
    <w:p w:rsidR="0025129F" w:rsidRDefault="0025129F" w:rsidP="0025129F">
      <w:pPr>
        <w:pStyle w:val="TextoNormal"/>
      </w:pPr>
      <w:r>
        <w:t xml:space="preserve">a) La Universidad demandante de amparo es titular de varios inmuebles en el término municipal de Cerdanyola del Vallés (Barcelona) desde que los mismos fueron traspasados por el Estado como consecuencia de la asunción de competencias por la Generalidad de Cataluña en materia de Universidades, por disposición de la Ley Orgánica 4/1974, de 18 de diciembre, de Estatuto de Autonomía de Cataluña (cuyo artículo 15 le atribuye la competencia plena para la regulación y administración de la enseñanza en toda su extensión, niveles y grados), y produciéndose el traspaso efectivo mediante Real Decreto 305/1985, de 6 de febrero, sobre traspaso de servicios de la Administración del Estado a la Generalidad de Cataluña en materia de Universidades, y al amparo de la Ley Orgánica 11/1983, de 25 de agosto, de reforma universitaria (cuya Disposición transitoria duodécima atribuye a las Universidades la titularidad de los bienes estatales de dominio público afectos al cumplimiento de sus funciones desde el momento en que se constituya el Consejo Social de cada Universidad). </w:t>
      </w:r>
    </w:p>
    <w:p w:rsidR="0025129F" w:rsidRDefault="0025129F" w:rsidP="0025129F">
      <w:pPr>
        <w:pStyle w:val="TextoNormal"/>
      </w:pPr>
      <w:r>
        <w:t xml:space="preserve">b) El Ayuntamiento de Cerdanyola del Vallés giró a la recurrente tres liquidaciones en concepto de impuesto sobre bienes inmuebles por otros tantos bienes inmuebles, con relación al ejercicio 1993 y por importes de 28.823, 3.938.895 y 784.047 pesetas. Dichas liquidaciones fueron impugnadas en reposición al entender la Universidad recurrente que gozaba de exención en el impuesto de referencia. El recurso fue desestimado por Acuerdo de la Comisión de Gobierno con fecha de 30 de julio de 1996. </w:t>
      </w:r>
    </w:p>
    <w:p w:rsidR="0025129F" w:rsidRDefault="0025129F" w:rsidP="0025129F">
      <w:pPr>
        <w:pStyle w:val="TextoNormal"/>
      </w:pPr>
      <w:r>
        <w:t>c) Interpuesto recurso contencioso-administrativo ante el Tribunal Superior de Justicia de Cataluña (recurso núm. 1571/96), por Sentencia de la Sección Tercera de su Sala de lo Contencioso-Administrativo con fecha de 9 de junio de 1999 se desestimó, al no ser posible equipar una Universidad pública con el Estado, las Comunidades Autónomas o entidades locales, a los efectos de aplicarle una exención que no está contemplada legalmente y, ni mucho menos, por vía de integración analógica, expresamente prohibida en materia de exenciones fiscales (artículo 23.3 de la Ley general tributaria).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su demanda de amparo aduce la parte recurrente la vulneración del derecho a la igualdad ante la ley (art. 14 CE), al admitirse por la resolución judicial impugnada la existencia de una norma cuyo contenido supone un trato desigual no razonable (o una aplicación no razonable de la misma). En este sentido, a juicio de la actora, el artículo 64 a) de la Ley de Haciendas locales sólo admite dos interpretaciones posibles: o bien interpretar -como hace la Sentencia de instancia- que este precepto no incluye a las Universidades públicas al declarar la exención en el impuesto sobre bienes inmuebles y, en consecuencia, admitir que es contrario al artículo 14 de la Constitución por infringir los principios de igualdad y no discriminación (tanto más cuando los entes docentes privados sí están expresamente declarados exentos en el impuesto); o bien interpretarlo en el sentido de entender incluidas a las Universidades públicas en la exención prevista (junto con las privadas), por ser la única interpretación respetuosa con el principio de igualdad. Ahora bien, una norma cuyo contenido supusiera un trato desigual no razonable o una aplicación en tal sentido de la misma, vulnera el art. 14 CE. </w:t>
      </w:r>
    </w:p>
    <w:p w:rsidR="0025129F" w:rsidRDefault="0025129F" w:rsidP="0025129F">
      <w:pPr>
        <w:pStyle w:val="TextoNormal"/>
      </w:pPr>
      <w:r>
        <w:t xml:space="preserve">En efecto, parte la recurrente en su argumentos de un análisis de la normativa aplicable al supuesto de autos. En este sentido, destaca que la Ley Orgánica 11/1983, de 25 de agosto, de reforma universitaria, en su art. 53 dispone, de un lado, que los bienes afectados al cumplimiento de los fines de las Universidades "disfrutarán de exención tributaria, siempre que esos tributos y exenciones recaigan directamente sobre las Universidades en concepto legal de contribuyentes y sin que sea posible legalmente la traslación de la carga tributaria a otras personas" (apartado 1); y de otra parte, que "las Universidades gozarán de los beneficios que la legislación atribuya a las fundaciones benéfico-docentes" (apartado 2). </w:t>
      </w:r>
    </w:p>
    <w:p w:rsidR="0025129F" w:rsidRDefault="0025129F" w:rsidP="0025129F">
      <w:pPr>
        <w:pStyle w:val="TextoNormal"/>
      </w:pPr>
      <w:r>
        <w:t xml:space="preserve">Después, el Real Decreto Legislativo 781/1986, de 18 de abril, por el que se aprobaba el texto refundido de las disposiciones vigentes en materia de régimen local, establecía en su art. 259 la exención de los bienes de naturaleza urbana de las entidades benéfico-docentes o equiparadas a éstas por precepto legal. </w:t>
      </w:r>
    </w:p>
    <w:p w:rsidR="0025129F" w:rsidRDefault="0025129F" w:rsidP="0025129F">
      <w:pPr>
        <w:pStyle w:val="TextoNormal"/>
      </w:pPr>
      <w:r>
        <w:t xml:space="preserve">Más tarde, la Ley 39/1988, de 28 de diciembre, reguladora de las Haciendas locales, reguló en el apartado a) de su art. 64 la exención en el impuesto sobre bienes inmuebles de los bienes que fuesen propiedad del Estado, de las Comunidades Autónomas o de las entidades locales, que estuviesen afectos directamente a los servicios educativos. Ahora bien, y dado que su Disposición adicional novena preveía la supresión de todos los beneficios fiscales existentes en los tributos locales a la fecha de entrada en vigor de la Ley, la Ley 22/1993, de 29 de diciembre, de medidas fiscales, de reforma del régimen jurídico de la función publica y de la protección por desempleo, se vio en la necesidad de incorporar un nuevo apartado a aquel art. 64 (en concreto, el apartado l) para incluir en el ámbito de la exención a los bienes de "los centros docentes privados acogidos al régimen de conciertos educativos, en tanto mantengan su condición de centros total o parcialmente concertados". </w:t>
      </w:r>
    </w:p>
    <w:p w:rsidR="0025129F" w:rsidRDefault="0025129F" w:rsidP="0025129F">
      <w:pPr>
        <w:pStyle w:val="TextoNormal"/>
      </w:pPr>
      <w:r>
        <w:t xml:space="preserve">Así las cosas, a juicio de la parte actora, la única cuestión planteada es la interpretación del artículo 64 a) de la Ley de haciendas locales, en el sentido de determinar si las Universidades públicas están, o no, incluidos entre los sujetos beneficiarios de la exención del impuesto sobre bienes inmuebles. Y sobre este particular resulta que para la Sentencia impugnada los inmuebles de las Universidades públicas no están incluidos en la exención del impuesto. Sin embargo, desde la promulgación de Ley de Haciendas locales sí están exentos los bienes afectos a servicios educativos: a) del Estado (como así lo ha reconocido la Sentencia de la Sección Tercera de la Sala de lo Contencioso-Administrativo del Tribunal Superior de Justicia de Andalucía -sede de Sevilla- con fecha de 2 de diciembre de </w:t>
      </w:r>
      <w:r>
        <w:lastRenderedPageBreak/>
        <w:t xml:space="preserve">1996); b) de las Comunidades Autónomas; c) de las entidades locales; y d) de los centros docentes privados concertados. </w:t>
      </w:r>
    </w:p>
    <w:p w:rsidR="0025129F" w:rsidRDefault="0025129F" w:rsidP="0025129F">
      <w:pPr>
        <w:pStyle w:val="TextoNormal"/>
      </w:pPr>
      <w:r>
        <w:t xml:space="preserve">Conforme a lo anterior, para la parte actora los supuestos citados son términos de comparación que permiten apreciar la vulneración de su derecho a la igualdad ante la ley, pues resulta que las Universidades públicas son las únicas Administraciones cuyos bienes destinados a la enseñanza no se considerarían exentos del impuesto sobre bienes inmuebles cuando, por el contrario, la exención sí alcanza a los bienes de centros privados de educación concertados y a los de las fundaciones privadas con idéntica finalidad. Así, la interpretación que hace el órgano judicial en el sentido de no considerar incluidas las Universidades públicas en la exención de dicho artículo es contraria al art. 14 de la Constitución por infringir los principios de igualdad y no discriminación, sobre todo, porque dicho artículo 64 a) de la Ley de Haciendas locales admite una interpretación contraria, favorable al derecho constitucional vulnerado. En efecto, en primer lugar, porque aunque el art. 64 a) se refiere literalmente a los bienes inmuebles en régimen de propiedad, en realidad está señalando bienes demaniales y no patrimoniales y precisamente destinados al servicio público educativo; en segundo término, porque puede afirmarse que el art. 64 a) se refiere sólo al Estado, las Comunidades Autónomas y las entidades locales, porque sólo estas entidades son, en principio, titulares de servicios educativos y, al mismo tiempo, son susceptibles de ostentar la titularidad de bienes de dominio público; en tercer lugar, porque si bien es cierto que, normalmente, sólo los Entes territoriales reúnen la doble condición de ser titulares de servicios y de los bienes afectos a los mismos, de ello no se deduce que la Ley de Haciendas locales haya pretendido excluir a las Universidades públicas de la exención del art. 64 a), porque en las mismas se dan también esas condiciones. De todo esto, puede llegarse a la conclusión de que en la redacción del art. 64 a) de la Ley de Haciendas locales están incluidas también las Universidades públicas. </w:t>
      </w:r>
    </w:p>
    <w:p w:rsidR="0025129F" w:rsidRDefault="0025129F" w:rsidP="0025129F">
      <w:pPr>
        <w:pStyle w:val="TextoNormal"/>
      </w:pPr>
      <w:r>
        <w:t>Por otra parte, y por medio de otrosí, la parte actora solicitó, al amparo del art. 56.1 LOTC, la suspensión de la ejecución de la resolución judicial impugnada por el carácter irreparable de los daños que una eventual ejecución podría causarle.</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13 de diciembre de 1999, la Sala Primera acordó admitir a trámite la demanda y, en aplicación de lo dispuesto en el art. 51 LOTC, dirigir atenta comunicación a la Sección Tercera de la Sala de lo Contencioso-Administrativo del Tribunal Superior de Justicia de Cataluña para que remitiese certificación de las actuaciones correspondientes al recurso contencioso-administrativo núm. 1571/96, interesando igualmente del órgano judicial que previamente emplazase a quienes hubieran sido parte en el procedimiento, con excepción del recurrente en amparo, para que, si así lo deseasen, pudiesen comparecer, en el plazo de diez días, en el presente proceso constitucional. Por escrito registrado el día 20 de enero de 2000, el Procurador de los Tribunales don Cesáreo Hidalgo Senén, en nombre y representación del Ayuntamiento de Cerdanyola del Vallés, solicitó se le tuviese por personado.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nueva providencia también de 13 de diciembre de 1999, la Sala acordó formar la oportuna pieza para la tramitación del incidente de suspensión, concediendo un plazo común de tres días a la parte recurrente y al Ministerio Fiscal para que alegasen lo que estimasen pertinente sobre dicha suspensión, lo que se llevó a efecto por la parte demandante de amparo mediante escrito registrado el día 23 de diciembre de 1999, en el que interesaba nuevamente la suspensión, por los mismos motivos expuestos en el escrito de demanda de amparo. El Fiscal, por su parte, por escrito registrado el mismo día 23 de diciembre de </w:t>
      </w:r>
      <w:r>
        <w:lastRenderedPageBreak/>
        <w:t>1999, interesó se declarase no haber lugar a la suspensión solicitada, por tener la resolución impugnada un contenido meramente patrimonial y no haber justificado el recurrente el eventual perjuicio que su ejecución podría causarle. Finalmente, mediante Auto de 31 de enero de 2000 se denegó la suspensión solicitada, dado que, al tratarse del cumplimiento y ejecución de una resolución judicial con contenido patrimonial, los eventuales perjuicios derivados de su ejecución serían siempre susceptibles de ser reparados en la hipótesis de que la pretensión de amparo llegase a prosperar.</w:t>
      </w:r>
    </w:p>
    <w:p w:rsidR="0025129F" w:rsidRDefault="0025129F" w:rsidP="0025129F">
      <w:pPr>
        <w:pStyle w:val="TextoNormal"/>
      </w:pPr>
    </w:p>
    <w:p w:rsidR="0025129F" w:rsidRDefault="0025129F" w:rsidP="0025129F">
      <w:pPr>
        <w:pStyle w:val="TextoNormal"/>
      </w:pPr>
      <w:r w:rsidRPr="0025129F">
        <w:rPr>
          <w:rStyle w:val="NumeroAFNegritaCaracter"/>
        </w:rPr>
        <w:t>6</w:t>
      </w:r>
      <w:r>
        <w:t>. La Sala Primera de este Tribunal, por providencia de 1 de febrero de 2000, acordó tener por personado al Procurador Sr. Hidalgo Senén, en nombre y representación del Ayuntamiento de Cerdanyola del Vallés, y dar vista de las actuaciones recibidas por el plazo común de veinte días, al Ministerio Fiscal, al solicitante de amparo y demás partes personadas para que, dentro de dicho término, presentasen las alegaciones que estimasen pertinentes, según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escrito con fecha de registro de entrada en este Tribunal de 23 de febrero de 2000, el Procurador Sr. Hidalgo Senén cumplimentó el trámite de alegaciones en nombre del Ayuntamiento de Cerdanyola del Vallés, suplicando la desestimación del recurso. Y ello porque el art. 64 a) de la Ley de Haciendas locales es claro en sus términos, al declarar únicamente la exención de los bienes del Estado, Comunidades Autónomas y entidades locales afectos a servicios educativos, con lo cual, cualquier intento de incluir a las Universidades públicas entre las beneficiarias de la exención tropezaría con el régimen establecido por la propia Ley Orgánica 11/1983, de 25 de agosto, de reforma universitaria, que aun cuando prevé para las Universidades los mismos beneficios que para las fundaciones benéfico-docentes, y el Real Decreto Legislativo 781/86, de 19 de abril, por el que se aprobaba el texto refundido de las disposiciones legales vigentes en materia de régimen local preveía la exención en la contribución territorial urbana, sin embargo, la Ley reguladora de las Haciendas locales la ha suprimido, no siendo posible ninguna interpretación analógica en la materia.</w:t>
      </w:r>
    </w:p>
    <w:p w:rsidR="0025129F" w:rsidRDefault="0025129F" w:rsidP="0025129F">
      <w:pPr>
        <w:pStyle w:val="TextoNormal"/>
      </w:pPr>
    </w:p>
    <w:p w:rsidR="0025129F" w:rsidRDefault="0025129F" w:rsidP="0025129F">
      <w:pPr>
        <w:pStyle w:val="TextoNormal"/>
      </w:pPr>
      <w:r w:rsidRPr="0025129F">
        <w:rPr>
          <w:rStyle w:val="NumeroAFNegritaCaracter"/>
        </w:rPr>
        <w:t>8</w:t>
      </w:r>
      <w:r>
        <w:t>. Mediante escrito registrado el día 26 de febrero de 2000, el Procurador Sr. Pinto Marabotto presentó escrito ante este Tribunal evacuando el trámite conferido y remitiéndose a las alegaciones expuestas en su escrito de demanda de amparo.</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día 2 de marzo de 2000 presentó sus alegaciones ante este Tribunal el Ministerio Fiscal suplicando la denegación del amparo. No obstante, y antes de comenzar el análisis del motivo de fondo, opone el Ministerio público dos óbices de procedibilidad: uno, la extemporaneidad del recurso, pues siendo la Sentencia impugnada notificada a la parte actora el día 29 de julio de 1999 y teniendo el recurso de amparo fecha de registro de entrada en este Tribunal el día 10 de septiembre siguiente, transcurrió con exceso el plazo de caducidad de veinte días hábiles establecido en el art. 44.2 LOTC, pues el mes de agosto a los efectos de interposición del recurso de amparo es hábil, según doctrina reiterada del Tribunal (STC 161/1995); otro, la posible falta de agotamiento de la vía judicial previa por parte de la entidad recurrente, lo que se convertiría en este momento procesal en causa de desestimación de la demanda de amparo al adolecer de uno de los presupuestos formales básicos que preservan la subsidiariedad del mismo, de conformidad con lo dispuesto en el art. 44.1 a) LOTC. Y ello porque la parte recurrente no ha formalizado previamente el </w:t>
      </w:r>
      <w:r>
        <w:lastRenderedPageBreak/>
        <w:t xml:space="preserve">recurso de casación para la unificación de doctrina regulado en los arts. 96 y ss. de la Ley 29/1998, de la jurisdicción contencioso-administrativa, en vigor al momento de dictarse Sentencia. En este sentido, apunta el Fiscal, es reiterada doctrina de este Tribunal (por todas, STC 169/1999) que para el agotamiento de la vía judicial previa basta con el ejercicio de todas aquellas acciones o recursos cuya procedencia se desprenda de modo claro y terminante del tenor de las previsiones legales y que sean adecuados para la satisfacción de la pretensión ejercitada y reparar la lesión presuntamente sufrida. Igualmente, y tratándose de un recurso extraordinario como es el de casación para la unificación de doctrina, sólo se entiende que la parte recurrente no ha agotado la vía judicial previa cuando quien alega la causa de falta de agotamiento pueda acreditar la existencia de resoluciones judiciales firmes de contraste que permitieran probar la procedencia de la formalización de este recurso. Pues bien, a juicio del Fiscal, en este caso sí procedía la previa formalización del recurso de casación citado por lo que se refiere a la liquidación del IBI que superaba los tres millones de pesetas, y en la medida en que es la propia parte recurrente la que en la documentación que adjunta a su demanda de amparo y para fundamentar de mejor manera la eventual discriminación que denuncia aporta copia de la Sentencia de 2 de diciembre de 1996, dictada por la Sala de lo Contencioso-Administrativo del Tribunal Superior de Justicia de Andalucía (sede de Sevilla), que, a su entender, contempla un supuesto semejante al que fue objeto de enjuiciamiento por el Tribunal del mismo orden jurisdiccional de Cataluña, llegando el primero de los casos a una solución contraria a la que finalmente adoptó la Sentencia que ahora se impugna en amparo. Luego, resulta evidente que, con carácter previo a la formalización de la demanda de amparo, debería de haber preparado e interpuesto el recurso apuntado, concurriendo, entonces, la causa de inadmisión prevista en el art. 44.1 a) LOTC. </w:t>
      </w:r>
    </w:p>
    <w:p w:rsidR="0025129F" w:rsidRDefault="0025129F" w:rsidP="0025129F">
      <w:pPr>
        <w:pStyle w:val="TextoNormal"/>
      </w:pPr>
      <w:r>
        <w:t xml:space="preserve">No obstante, y por si no fuesen admitidas ninguna de las causas de inadmisión opuestas, señala respecto del fondo de la pretensión constitucional que, aun admitiendo la existencia de una vulneración constitucional, la demanda debe ser desestimada, al haberse apoyado en un motivo que no concurre. En este sentido, entiende el Ministerio Fiscal que lo vulnerado por la sentencia de instancia ha sido el derecho a la tutela judicial efectiva (art. 24.1 CE) enlazado con el derecho fundamental a la autonomía universitaria (art. 27.10 CE), pues realiza una interpretación excesivamente rigorista y poco acorde con la efectividad de un derecho fundamental de naturaleza sustantiva como es el derecho a la autonomía universitaria, llegando a una interpretación notoriamente restrictiva de los presupuestos exigidos para el goce de la exención tributaria. No obstante, y dado que dichos derechos (la tutela judicial y la autonomía universitaria) no han sido invocados, no cabe sino desestimar la demanda. </w:t>
      </w:r>
    </w:p>
    <w:p w:rsidR="0025129F" w:rsidRDefault="0025129F" w:rsidP="0025129F">
      <w:pPr>
        <w:pStyle w:val="TextoNormal"/>
      </w:pPr>
      <w:r>
        <w:t xml:space="preserve">En efecto, la demanda de amparo destaca como único motivo de amparo la vulneración del art. 14 CE, en su vertiente de principio de igualdad ante la ley, si bien al tratarse de la interpretación efectuada por un órgano judicial de un precepto legal, nos hallamos ante una denunciada vulneración del principio de igualdad en la aplicación de la ley. Y en este sentido, una reiterada doctrina de este Tribunal Constitucional (SSTC 1/1990, 244/1991, 189/1993 y 27/1999, entre otras) ha señalado que cuando se trata de la invocada vulneración del principio de igualdad en la aplicación de la Ley es presupuesto inexcusable la identidad de órgano judicial al que se imputa la presunta diferencia de trato, y asimismo, es preciso, a los efectos de poder determinar la eventual discriminación alegada, que los supuestos de hecho utilizados como término de comparación sean idénticos. Pues bien, resulta evidente que, de una parte, la recurrente únicamente aporta un término de comparación genérico para establecer la desigualdad de tratamiento fiscal en este punto como es </w:t>
      </w:r>
      <w:r>
        <w:lastRenderedPageBreak/>
        <w:t xml:space="preserve">el de señalar que frente a todos los demás inmuebles afectos a servicios educativos que lo sean de Universidades de titularidad estatal, autonómica o local y respecto de los pertenecientes a Universidades privadas, los que cumplan las exigencias establecidas en la Ley de fundaciones o se trate de centros concertados, gozan de la exención en el IBI), el de la titularidad de la Universidad recurrente queda excluido discriminatoriamente de dicha exención. Pero tal alegación -a juicio del Fiscal- no deja de ser más que una mera afirmación de parte no contrastada y de carácter tan genérico que respecto de la misma no es posible establecer ningún marco comparativo. Por ello, resulta evidente que tal término de comparación genérico no resulta válido, a los efectos de poder determinar la existencia de un trato discriminatorio, por cuanto no es posible de esta forma acreditar que los bienes que genéricamente se citan pudieran o no quedar exentos del pago del tributo. </w:t>
      </w:r>
    </w:p>
    <w:p w:rsidR="0025129F" w:rsidRDefault="0025129F" w:rsidP="0025129F">
      <w:pPr>
        <w:pStyle w:val="TextoNormal"/>
      </w:pPr>
      <w:r>
        <w:t xml:space="preserve">Por otra parte, -sigue diciendo- tampoco puede reputarse como término válido de comparación el precedente judicial que cita expresamente, el de la Universidad de Cádiz cuya pretensión fue estimada por otro órgano judicial distinto del que ha dictado la Sentencia que es objeto de impugnación, por lo que, de conformidad con la doctrina constitucional anteriormente expuesta, tampoco dicho antecedente constituiría término válido de comparación, al tratase de órganos jurisdiccionales diferentes y, por consiguiente, dotados de plena independencia para resolver conforme a la legalidad las cuestiones jurídicas que les sean suscitadas sin vinculación alguna a las resoluciones que hayan podido dictar otros órganos (STC 27/1999). En consecuencia, desde la perspectiva constitucional del derecho a la igualdad en la aplicación de la Ley ninguna vulneración se aprecia a dicho principio toda vez que, por falta de término de comparación, no es posible constatar la existencia de un trato discriminatorio deparado por el órgano judicial a la Universidad recurrente. </w:t>
      </w:r>
    </w:p>
    <w:p w:rsidR="0025129F" w:rsidRDefault="0025129F" w:rsidP="0025129F">
      <w:pPr>
        <w:pStyle w:val="TextoNormal"/>
      </w:pPr>
      <w:r>
        <w:t xml:space="preserve">Ahora bien, para el Ministerio Fiscal el análisis de la presente demanda de amparo no debería rebasar los meros límites del único derecho fundamental que ha sido invocado como vulnerado por la parte, pues no le corresponde a este Tribunal de oficio reconstruir la demanda de amparo ni suplir las razones de las partes cuando éstas no se aportan en el recurso, incumpliendo así la carga que asiste al recurrente de exponer las razones que puedan fundar la existencia de una hipotética lesión de los derechos fundamentales (SSTC 1/1996 y 7/1987; AATC 256/1991 y 197/1998). Hecha esta precisión, entiende el Fiscal que desde la perspectiva del derecho fundamental a la tutela judicial, enlazado al mismo tiempo con el igualmente derecho fundamental a la autonomía universitaria (art. 27.10 CE), "no deja de sorprender el conjunto de razonamientos esbozados por el TSJ de Cataluña en la sentencia impugnada, toda vez que realizando una interpretación excesivamente rigorista y, en el parecer de este Ministerio, poco acorde con la efectividad de un derecho fundamental de naturaleza sustantiva como es el derecho a la autonomía universitaria, llega a una interpretación notoriamente restrictiva de los presupuestos exigidos para el goce de la exención tributaria, pues, sin duda, afirmar que por el hecho de disponer de personalidad jurídica propia y de la autonomía funcional, económica y financiera que le confieren los arts. 3.1 y 52 de la LO 11/83, la recurrente, en cuanto Universidad Pública que es, no constituye un Organismo dependiente del Estado o de una Comunidad Autónoma a los efectos de poder gozar los inmuebles afectos al servicio educativo de la exención legalmente prevista, apoyando su decisión en una interpretación del concepto de 'propiedad' más propia del ámbito del Derecho Privado, resulta cuando menos y como se ha anticipado, una interpretación poco acorde con la efectividad de tales derechos fundamentales y todo ello sin olvidar que, en el plano inferior de la legalidad ordinaria, entre otras normas de rango administrativo, el art. 3 del RD 557/91, de 12 de abril, sobre creación y reconocimiento de Universidades y Centros Universitarios, modificado por el RD 485/95, </w:t>
      </w:r>
      <w:r>
        <w:lastRenderedPageBreak/>
        <w:t>de 7 de abril, dispone que 'son Universidades Públicas las creadas por los Órganos Legislativos a que se refiere el art. 5.1 de la LO 11/83, de 25 de agosto, de Reforma Universitaria y cuya titularidad ostentará el Estado o una Comunidad Autónoma', lo que, fácilmente habría permitido deducir al Órgano Jurisdiccional que, a los efectos de apreciación del beneficio de la exención del pago del IBI que prevé el art. 64.a) de la Ley 39/88, quedara también incluido el bien inmueble objeto de la pretensión del recurrente".</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18 de marzo de 2002, se fijó para la deliberación y votación de la presente Sentencia el día 21 de marzo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Iniciada la vía de apremio por el Ayuntamiento de Cerdanyola del Vallés (Barcelona), para hacer efectiva la deuda tributaria derivada de diecisiete liquidaciones por impuesto sobre bienes inmuebles (en adelante, IBI), giradas como sujeto pasivo a la Universidad Autónoma de Barcelona y, correspondientes a los ejercicios 1990, 1992, 1993 y 1994, por inmuebles radicados en el campus universitario de Bellaterra de la mencionada Universidad, ésta recurrió en reposición la vía de apremio contra ella dirigida y, al propio tiempo, solicitó la exención del impuesto cuyas liquidaciones impagadas daban cobertura a la vía ejecutiva emprendida por la corporación municipal. Se cuestionaba así, ya desde la impugnación en vía administrativa, la procedencia de aplicar a dicha Universidad, en su día transferida a la Comunidad Autónoma de Cataluña, el mencionado impuesto, por los terrenos y edificios de su titularidad afectos al servicio educativo, además de ponerse en tela de juicio la procedencia de la vía de apremio frente al ente sujeto pasivo del tributo. La Comisión de Gobierno del citado Ayuntamiento, por Acuerdo adoptado el 30 de julio de 1996, desestimó el recurso de reposición, confirmando las providencias iniciadoras de la vía de apremio, y denegó la aplicación de la exención del IBI a la Universidad reclamante.</w:t>
      </w:r>
    </w:p>
    <w:p w:rsidR="0025129F" w:rsidRDefault="0025129F" w:rsidP="0025129F">
      <w:pPr>
        <w:pStyle w:val="TextoNormal"/>
      </w:pPr>
      <w:r>
        <w:t>Recurrido el mencionado acuerdo municipal en vía contencioso-administrativa, previa la oportuna comunicación al ente local, la Universidad demandante fijó como cuantía del recurso el importe acumulado de las diecisiete liquidaciones apremiadas objeto de impugnación, por un importe total de 330.624.028 pesetas. En el proceso administrativo, la Universidad, en la fase de conclusiones escritas, adujo a efectos de reforzar su alegación de tratamiento desigual en la aplicación del tributo, la Sentencia dictada, el 2 de diciembre de 1996, por la Sala de lo Contencioso-Administrativo del Tribunal Superior de Justicia de Andalucía, sede de Sevilla, aportándola con el referido escrito. Al proceso administrativo puso fin la Sentencia de 9 de junio de 1999, dictada por la Sala de la Jurisdicción en el Tribunal Superior de Justicia de Cataluña, en cuyo fallo se contenían dos pronunciamientos de diverso alcance y significación: a) por el primero, se venía a estimar parcialmente el recurso contencioso-administrativo promovido por la Universidad Autónoma de Barcelona, anulando al Acuerdo municipal de 30 de julio de 1996 y las providencias de apremio impugnadas en lo relativo a las liquidaciones tributarias correspondientes a los ejercicios de 1990, 1992 y 1994, a fin de que, con retroacción de las actuaciones, la corporación municipal "tramite y resuelva conforme a derecho la solicitud de exención deducida por la actora respecto de tales ejercicios, en base a lo dispuesto en el artículo 58.1 de la Ley de 24 de noviembre de 1994, en relación con el 53 de la Reforma Universitaria"; y b) por otra parte, el impugnado Acuerdo de 30 de julio de 1996 se confirmaba, como ajustado a Dere</w:t>
      </w:r>
      <w:r>
        <w:lastRenderedPageBreak/>
        <w:t>cho, en lo concerniente a la vía de apremio seguida contra la Universidad por las liquidaciones correspondientes al ejercicio de 1993, declarando "no corresponderle la exención del 64.a) de la Ley de Haciendas Locales ni por tal ejercicio ni por cualquiera de los restantes". En el texto de la propia Sentencia se indicaba que la misma no era firme, por cuanto cabía contra ella recurso de casación, mediante el trámite regulado en los artículos 88 y 89 de la Ley de la jurisdicción contencioso-administrativa, aludiendo así a los preceptos reguladores del recurso de casación ordinario en la ya aplicable Ley 29/1998, de 13 de julio.</w:t>
      </w:r>
    </w:p>
    <w:p w:rsidR="0025129F" w:rsidRDefault="0025129F" w:rsidP="0025129F">
      <w:pPr>
        <w:pStyle w:val="TextoNormal"/>
      </w:pPr>
      <w:r>
        <w:t>Interesa, asimismo, hacer constar que al momento de formular la demanda de amparo, el 10 de septiembre de 1999, la mencionada Sentencia del Tribunal Superior de Justicia se hallaba impugnada en casación ordinaria (o común) por ambas partes procesales, habiéndose tenido por preparados dichos recursos y emplazadas aquellas ante la Sala de lo Contencioso- Administrativo del Tribunal Supremo, mediante providencia de 7 de diciembre de 1999 que obra en las actuaciones.</w:t>
      </w:r>
    </w:p>
    <w:p w:rsidR="0025129F" w:rsidRDefault="0025129F" w:rsidP="0025129F">
      <w:pPr>
        <w:pStyle w:val="TextoNormal"/>
      </w:pPr>
      <w:r>
        <w:t>La Universidad demandante en amparo reconoce en su escrito de demanda la utilización del recurso de casación frente a la Sentencia impugnada, si bien precisa que limitó el ámbito objetivo de tal recurso a aquellas liquidaciones tributarias que superaban, individualizadamente, la summa graviminis exigida para el acceso a la casación por la Ley 29/1998 (art. 86.2.b de esta Ley, que la fija en la cifra de veinticinco millones de pesetas), dejando así fuera del ámbito de la casación promovida tres liquidaciones correspondientes al ejercicio de 1993, de cuantía inferior a la indicada (por importes de 28.823 pesetas, 3.938.895 pesetas y 784.047 pesetas, tal como expone en el hecho primero, inciso final, de su demanda de amparo), respecto de las cuales entiende que la Sentencia de 9 de junio de 1999, contra la que dirige su queja, ha devenido firme, en cuanto inimpugnable en sede de recurso casacional.</w:t>
      </w:r>
    </w:p>
    <w:p w:rsidR="0025129F" w:rsidRDefault="0025129F" w:rsidP="0025129F">
      <w:pPr>
        <w:pStyle w:val="TextoNormal"/>
      </w:pPr>
      <w:r>
        <w:t>Así, pues, la demanda de amparo acota el objeto de la queja a las referidas tres liquidaciones tributarias, confirmadas por la Sentencia impugnada, y a este ámbito objetivo, así delimitado, debemos ceñir nuestro enjuiciamiento en este recurso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La queja de la Universidad demandante en amparo se funda en entender que la interpretación efectuada por el órgano judicial del artículo 64 a) de la Ley 39/1988, de 28 de diciembre, reguladora de las Haciendas locales (en adelante, LHL), ha vulnerado su derecho a la igualdad (art. 14 CE), en tanto que se admite la existencia de una norma cuyo contenido supone un trato desigual no razonable (o una aplicación no razonable de la misma). En este sentido, a juicio de la actora, el artículo 64 a) de la Ley de Haciendas locales sólo admite dos interpretaciones posibles: o bien interpretar -como hace la Sentencia- que este precepto no incluye a las Universidades públicas al declarar la exención en el impuesto sobre bienes inmuebles y, en consecuencia, admitir que es contrario al artículo 14 de la Constitución por infringir los principios de igualdad y no discriminación (tanto más cuando los entes docentes privados sí están expresamente declarados exentos en el impuesto); o bien interpretarlo en el sentido de entender incluidas a las Universidades públicas en la exención prevista (junto con las privadas), por ser la única interpretación respetuosa con el principio de igualdad.</w:t>
      </w:r>
    </w:p>
    <w:p w:rsidR="0025129F" w:rsidRDefault="0025129F" w:rsidP="0025129F">
      <w:pPr>
        <w:pStyle w:val="TextoNormal"/>
      </w:pPr>
      <w:r>
        <w:t>Por su parte, el Letrado del Ayuntamiento de Cerdanyola del Vallés solicita la desestimación del recurso de amparo, sobre la base de que el art. 64 a) LHL declara únicamente la exención de los bienes del Estado, Comunidades Autónomas y entidades locales afectos a servicios educativos, con lo cual, cualquier intento de aplicar la exención a las Universi</w:t>
      </w:r>
      <w:r>
        <w:lastRenderedPageBreak/>
        <w:t>dades públicas supondría realizar una integración analógica prohibida expresamente en la materia.</w:t>
      </w:r>
    </w:p>
    <w:p w:rsidR="0025129F" w:rsidRDefault="0025129F" w:rsidP="0025129F">
      <w:pPr>
        <w:pStyle w:val="TextoNormal"/>
      </w:pPr>
      <w:r>
        <w:t>El Ministerio Fiscal interesa la denegación del amparo, por razones de fondo, si bien antepone al examen de éste dos causas de inadmisión, a saber: a) la extemporaneidad del recurso de amparo, al haber tenido entrada en este Tribunal la demanda el 10 de septiembre de 1999, una vez rebasado el plazo de caducidad de veinte días hábiles previsto en el art. 44.2 LOTC, siendo así que la notificación de la Sentencia impugnada se efectuó con fecha 29 de julio de 1999, y habida cuenta de que el mes de agosto había de considerarse como periodo hábil a efectos de la interposición del recurso de amparo; y de otra parte, b) la falta de agotamiento o prosecución de la vía judicial previa por parte de la Universidad demandante, al no formalizar ésta el recurso de casación para la unificación de doctrina, regulado en los arts.  96 y siguientes de la Ley 29/1998, reguladora de la jurisdicción contencioso-administrativa, "pues, en la medida en que una de las liquidaciones del I.B.I. practicadas, según se desprende de la propia demanda de amparo, supera los tres millones de pesetas, concurrirían todos los presupuestos procesales para la formalización de dicho recurso". De modo singular, se justifica la exigencia de interposición de dicho recurso extraordinario en el presente caso, sigue diciendo el Ministerio Fiscal, por el dato relevante de que la propia Universidad recurrente acompaña a su demanda de amparo, para reforzar la alegación de discriminación o trato desigual en que apoya su queja, copia de la Sentencia de 2 de diciembre de 1996, dictada por el Tribunal Superior de Justicia de Andalucía, sede de Sevilla, que, a su entender, se pronuncia de modo divergente y en supuesto semejante al decidido por la Sentencia impugnada del Tribunal Superior de Cataluña, en torno a la exención de las Universidades públicas del IBI recayente sobre inmuebles afectos al servicio educativo; tratándose así, señala el Fiscal, de la existencia, para la propia parte demandante en amparo, de una Sentencia firme de contradicción o contraste susceptible de fundar dicha modalidad casacional y útil para reparar, por la jurisdicción ordinaria, la alegada vulneración del principio constitucional de igualdad en la aplicación de la ley. Por ello, concluye el Ministerio público, concurre también la causa de inadmisión prevista en el art. 44.1 a) LOTC, y así pretende que lo declaremos.</w:t>
      </w:r>
    </w:p>
    <w:p w:rsidR="0025129F" w:rsidRDefault="0025129F" w:rsidP="0025129F">
      <w:pPr>
        <w:pStyle w:val="TextoNormal"/>
      </w:pPr>
      <w:r>
        <w:t>Respecto del fondo, entiende el Fiscal que la vulneración producida no es la del derecho a la igualdad reconocido en el art. 14 CE, sino la del derecho a la tutela judicial efectiva del art.  24.1 CE, en relación con la garantía institucional de la autonomía universitaria prevista en el art. 27.10 del texto constitucional. Ahora bien, y dado que esta vulneración no es alegada en su demanda por la Universidad Autónoma de Barcelona, no cabe, a juicio del Ministerio Fiscal, sino denegar el amparo solicitado.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causa de inadmisión que apoya el Fiscal en la extemporaneidad del recurso de amparo es fácilmente rebatible. Es cierto que la Sentencia impugnada fue notificada a la Universidad Autónoma de Barcelona el 29 de julio de 1999, y es también verdad que el 10 de septiembre siguiente tuvo entrada en el Registro General de este Tribunal la demanda promovida por aquélla. Pero ha de tenerse en cuenta, y es este dato el que determina la improcedencia de la extemporaneidad postulada por dicha representación, que cuando tal notificación se practicó, en la indicada fecha, ya había entrado en vigor la redacción que al art.  2 del Acuerdo plenario de este Tribunal de 15 de junio de 1982 (estableciendo las normas que han de regir el funcionamiento del Tribunal durante el periodo de vacaciones) le dio el Acuerdo del Pleno de 17 de junio de 1999, publicado en el BOE de 22 de junio siguiente, conforme a la cual durante el periodo vacacional del mes de agosto no correrá, por excepción, el plazo de veinte días hábiles señalado en los arts. 43.2 y 44.2 de nuestra </w:t>
      </w:r>
      <w:r>
        <w:lastRenderedPageBreak/>
        <w:t>Ley Orgánica para interponer el recurso de amparo, de tal manera que para la interposición de este proceso constitucional el mes de agosto ha de considerarse inhábil y no computable a tales efectos, lo que determina que el 10 de septiembre del mencionado año 1999, en que tuvo entrada la demanda de amparo, no había transcurrido aún el referido plazo y el presente recurso no se halla, por tanto, incurso en extemporaneidad. Procede, por ello, rechazar este primer óbice que a la admisión del recurso opone el Ministerio Fiscal.</w:t>
      </w:r>
    </w:p>
    <w:p w:rsidR="0025129F" w:rsidRDefault="0025129F" w:rsidP="0025129F">
      <w:pPr>
        <w:pStyle w:val="TextoNormal"/>
      </w:pPr>
    </w:p>
    <w:p w:rsidR="0025129F" w:rsidRDefault="0025129F" w:rsidP="0025129F">
      <w:pPr>
        <w:pStyle w:val="TextoNormal"/>
      </w:pPr>
      <w:r w:rsidRPr="0025129F">
        <w:rPr>
          <w:rStyle w:val="NumeroAFNegritaCaracter"/>
        </w:rPr>
        <w:t>4</w:t>
      </w:r>
      <w:r>
        <w:t>. Hemos de abordar el segundo de los motivos o causas de inadmisión esgrimido por el Ministerio Fiscal, atinente a la alegada falta de agotamiento de todos los recursos utilizables en la vía judicial, aduciendo incumplimiento del requisito procesal del art. 44.1 a) LOTC, al no haberse interpuesto por la Universidad Autónoma de Barcelona el recurso de casación para unificación de doctrina contra la Sentencia de 9 de junio de 1999 objeto de este amparo. Tal modalidad casacional era procedente, según el Fiscal, a tenor de lo prevenido en el art. 96 y siguientes de la Ley 29/1998, reguladora de la jurisdicción contencioso-administrativa a la sazón aplicable (Disposición transitoria tercera, apartado 1, de la referida Ley). Hemos de recordar, a tal efecto, que la procedencia de dicho recurso de casación la limita o contrae el Fiscal a tan solo una de las liquidaciones tributarias que, por su cuantía superior a tres millones de pesetas, permitía el acceso a dicha casación unificadora (art. 96.3 de la citada Ley 29/1998), sin extender dicha exigencia o requisito procesal a las otras dos liquidaciones correspondientes al ejercicio de 1993, por ser su importe inferior a dicha cantidad, de modo que frente a ellas no cabía la casación ordinaria ni tampoco la establecida para la unificación de doctrina. Pues bien, aun entendida en dicho sentido restrictivo la exigencia del agotamiento de tal vía de recurso, no podemos compartir la procedencia de la inadmisión que, por esta causa, postula el Ministerio Fiscal.  Y ello, por cuanto ha de tenerse en cuenta que, según señalan las citadas SSTC 239/2001 y 240/2001, nuestra doctrina sobre la naturaleza subsidiaria del recurso de amparo y la consiguiente necesidad de agotar, antes de acudir al mismo, todos los medios de impugnación ordinarios y extraordinarios (SSTC 173/1999, de 27 de septiembre, FJ 2; 4/2000, de 17 de enero, FJ 2; 52/2000, de 28 de febrero, FJ 3, y 86/2000, de 27 de marzo, FJ 2) no obliga a utilizar, en cada caso, todos los medios de impugnación posibles, sino tan solo aquellos normales que, de manera clara, se manifiestan como ejercitables (STC 188/1990, de 26 de noviembre, FJ 3), esto es, aquéllos sobre los que no quepa albergar duda respecto de su procedencia y de la posibilidad real y efectiva de interponerlo, así como de su adecuación para reparar la lesión del derecho fundamental invocado en la demanda de amparo. Pues bien, en presencia de esta doctrina constitucional, la viabilidad de la casación unificadora, con base - como Sentencia de contraste- en la dictada por la Sala de la jurisdicción de Sevilla el 2 de diciembre de 1996 se mostraba problemática, dado el ámbito subjetivo, en cuanto a la titularidad de los inmuebles, de las Universidades litigantes en uno y otro caso, como apreciaron las Sentencias de constante referencia recaídas en amparos promovidos por Universidades públicas de Cataluña.</w:t>
      </w:r>
    </w:p>
    <w:p w:rsidR="0025129F" w:rsidRDefault="0025129F" w:rsidP="0025129F">
      <w:pPr>
        <w:pStyle w:val="TextoNormal"/>
      </w:pPr>
      <w:r>
        <w:t>Con arreglo a lo expuesto, hemos también de rechazar la segunda causa de inadmisión opuesta por el Ministerio Fiscal.</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Pues bien, superadas las causas de inadmisibilidad opuestas por el Ministerio Fiscal, y siendo el presente caso, en cuanto a la exención tributaria pretendida por la Universidad Autónoma de Barcelona, sustancialmente igual al decidido por las referidas Sentencias 239/2001 y 240/2001, ambas de 18 de diciembre de 2001, procede remitirnos a lo por ellas </w:t>
      </w:r>
      <w:r>
        <w:lastRenderedPageBreak/>
        <w:t>decidido sobre la improcedencia en el caso del examen de la mencionada cuestión, lo que determina la denegación del recurso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la Universidad Autónoma de Barcelona.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veintiuno de marzo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3" w:name="SENTENCIA_2002_70"/>
      <w:r>
        <w:lastRenderedPageBreak/>
        <w:t>SENTENCIA 70/2002, de 3 de abril de 2002</w:t>
      </w:r>
    </w:p>
    <w:bookmarkEnd w:id="73"/>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ECLI:ES:TC:2002:70</w:t>
      </w:r>
    </w:p>
    <w:p w:rsidR="0025129F" w:rsidRDefault="0025129F" w:rsidP="0025129F">
      <w:pPr>
        <w:pStyle w:val="SntesisDescriptiva"/>
      </w:pPr>
    </w:p>
    <w:p w:rsidR="0025129F" w:rsidRDefault="0025129F" w:rsidP="0025129F">
      <w:pPr>
        <w:pStyle w:val="SntesisDescriptiva"/>
      </w:pPr>
      <w:r>
        <w:t>Recurso de amparo 3787-2001. Promovido por don José Luis Pichardo Miranda frente a las Sentencias de la Sala de lo Penal del Tribunal Supremo y de la Audiencia Provincial de Barcelona que dieron lugar a su condena por un delito contra la salud pública.</w:t>
      </w:r>
    </w:p>
    <w:p w:rsidR="0025129F" w:rsidRDefault="0025129F" w:rsidP="0025129F">
      <w:pPr>
        <w:pStyle w:val="SntesisDescriptiva"/>
      </w:pPr>
    </w:p>
    <w:p w:rsidR="0025129F" w:rsidRDefault="0025129F" w:rsidP="0025129F">
      <w:pPr>
        <w:pStyle w:val="SntesisAnaltica"/>
      </w:pPr>
      <w:r>
        <w:t>Supuesta vulneración de los derechos a la tutela judicial efectiva (recurso penal), al secreto de las comunicaciones y a la intimidad personal, a la presunción de inocencia, a un proceso con todas las garantías, a la asistencia letrada y a la prueba: el recurso de casación español permite revisar adecuadamente los fallos penales;  intervención de una carta en poder de un detenido por la policía, sin autorización judicial; declaraciones de coimputados que son prueba de cargo válida; asistencia letrada a detenidos, momento de la imputación y preguntas impertinentes.</w:t>
      </w:r>
    </w:p>
    <w:p w:rsidR="0025129F" w:rsidRDefault="0025129F" w:rsidP="0025129F">
      <w:pPr>
        <w:pStyle w:val="SntesisAnaltica"/>
      </w:pPr>
    </w:p>
    <w:p w:rsidR="0025129F" w:rsidRDefault="0025129F" w:rsidP="0025129F">
      <w:pPr>
        <w:pStyle w:val="Extracto"/>
      </w:pPr>
      <w:r>
        <w:t>1.</w:t>
      </w:r>
      <w:r>
        <w:tab/>
        <w:t>Conforme a nuestra doctrina, existe una asimilación funcional entre el recurso de casación y el derecho a la revisión de la declaración de culpabilidad y la pena declarado en el art. 14.5 del Pacto internacional de derechos civiles y políticos,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[FJ 7].</w:t>
      </w:r>
    </w:p>
    <w:p w:rsidR="0025129F" w:rsidRDefault="0025129F" w:rsidP="0025129F">
      <w:pPr>
        <w:pStyle w:val="Extracto"/>
      </w:pPr>
    </w:p>
    <w:p w:rsidR="0025129F" w:rsidRDefault="0025129F" w:rsidP="0025129F">
      <w:pPr>
        <w:pStyle w:val="Extracto"/>
      </w:pPr>
      <w:r>
        <w:t>2.</w:t>
      </w:r>
      <w:r>
        <w:tab/>
        <w:t>A través de la invocación del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[FJ 7].</w:t>
      </w:r>
    </w:p>
    <w:p w:rsidR="0025129F" w:rsidRDefault="0025129F" w:rsidP="0025129F">
      <w:pPr>
        <w:pStyle w:val="Extracto"/>
      </w:pPr>
    </w:p>
    <w:p w:rsidR="0025129F" w:rsidRDefault="0025129F" w:rsidP="0025129F">
      <w:pPr>
        <w:pStyle w:val="Extracto"/>
      </w:pPr>
      <w:r>
        <w:t>3.</w:t>
      </w:r>
      <w:r>
        <w:tab/>
        <w:t>Jurisprudencia sobre el doble grado de jurisdicción en la vía penal (SSTC 42/1982, 37/1988, 64/2001) [FJ 7].</w:t>
      </w:r>
    </w:p>
    <w:p w:rsidR="0025129F" w:rsidRDefault="0025129F" w:rsidP="0025129F">
      <w:pPr>
        <w:pStyle w:val="Extracto"/>
      </w:pPr>
    </w:p>
    <w:p w:rsidR="0025129F" w:rsidRDefault="0025129F" w:rsidP="0025129F">
      <w:pPr>
        <w:pStyle w:val="Extracto"/>
      </w:pPr>
      <w:r>
        <w:t>4.</w:t>
      </w:r>
      <w:r>
        <w:tab/>
        <w:t>La intervención de una carta en poder de un detenido por la policía, sin autorización judicial, no afecta al derecho al secreto de las comunicaciones sino, en su caso, al derecho a la intimidad [FJ 9].</w:t>
      </w:r>
    </w:p>
    <w:p w:rsidR="0025129F" w:rsidRDefault="0025129F" w:rsidP="0025129F">
      <w:pPr>
        <w:pStyle w:val="Extracto"/>
      </w:pPr>
    </w:p>
    <w:p w:rsidR="0025129F" w:rsidRDefault="0025129F" w:rsidP="0025129F">
      <w:pPr>
        <w:pStyle w:val="Extracto"/>
      </w:pPr>
      <w:r>
        <w:t>5.</w:t>
      </w:r>
      <w:r>
        <w:tab/>
        <w:t>La intervención de una carta en poder de un detenido por la policía, sin autorización judicial, no vulnera el derecho a la intimidad porque existe un fin constitucionalmente legítimo; la medida limitativa del derecho está prevista en la ley y hay una estricta observancia del principio de proporcionalidad [FJ 10].</w:t>
      </w:r>
    </w:p>
    <w:p w:rsidR="0025129F" w:rsidRDefault="0025129F" w:rsidP="0025129F">
      <w:pPr>
        <w:pStyle w:val="Extracto"/>
      </w:pPr>
    </w:p>
    <w:p w:rsidR="0025129F" w:rsidRDefault="0025129F" w:rsidP="0025129F">
      <w:pPr>
        <w:pStyle w:val="Extracto"/>
      </w:pPr>
      <w:r>
        <w:lastRenderedPageBreak/>
        <w:t>6.</w:t>
      </w:r>
      <w:r>
        <w:tab/>
        <w:t>Las declaraciones de un coimputado pueden ser prueba de cargo válida si hay datos que permitan corroborarlas [FJ 11].</w:t>
      </w:r>
    </w:p>
    <w:p w:rsidR="0025129F" w:rsidRDefault="0025129F" w:rsidP="0025129F">
      <w:pPr>
        <w:pStyle w:val="Extracto"/>
      </w:pPr>
    </w:p>
    <w:p w:rsidR="0025129F" w:rsidRDefault="0025129F" w:rsidP="0025129F">
      <w:pPr>
        <w:pStyle w:val="Extracto"/>
      </w:pPr>
      <w:r>
        <w:t>7.</w:t>
      </w:r>
      <w:r>
        <w:tab/>
        <w:t>Los otros detenidos realizaron unas iniciales declaraciones en el momento de su detención sin asistencia letrada, pero no han sido utilizadas con valor probatorio y las declaraciones fueron ratificadas posteriormente en presencia de Letrado [FJ 3].</w:t>
      </w:r>
    </w:p>
    <w:p w:rsidR="0025129F" w:rsidRDefault="0025129F" w:rsidP="0025129F">
      <w:pPr>
        <w:pStyle w:val="Extracto"/>
      </w:pPr>
    </w:p>
    <w:p w:rsidR="0025129F" w:rsidRDefault="0025129F" w:rsidP="0025129F">
      <w:pPr>
        <w:pStyle w:val="Extracto"/>
      </w:pPr>
      <w:r>
        <w:t>8.</w:t>
      </w:r>
      <w:r>
        <w:tab/>
        <w:t>El derecho a la defensa obliga a comunicar al interesado su condición de imputado únicamente desde el momento en que se decida la imputación, y no mientras se están llevando a cabo las investigaciones (STC 68/2001) [FJ 4].</w:t>
      </w:r>
    </w:p>
    <w:p w:rsidR="0025129F" w:rsidRDefault="0025129F" w:rsidP="0025129F">
      <w:pPr>
        <w:pStyle w:val="Extracto"/>
      </w:pPr>
    </w:p>
    <w:p w:rsidR="0025129F" w:rsidRDefault="0025129F" w:rsidP="0025129F">
      <w:pPr>
        <w:pStyle w:val="Extracto"/>
      </w:pPr>
      <w:r>
        <w:t>9.</w:t>
      </w:r>
      <w:r>
        <w:tab/>
        <w:t>Los órganos judiciales tienen derecho a admitir solamente aquellas preguntas que consideren pertinentes, en aplicación estricta de las normas legales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han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3787-2001 (demanda núm. 1669-A-2001), promovido por don José Luis Pichardo Miranda, representado por la Procuradora de los Tribunales doña Isabel Mota Torres y asistido por el Abogado don Javier Ignacio Prieto Rodríguez, contra la Sentencia de la Sala de lo Penal del Tribunal Supremo núm. 835/2001, de 12 de mayo de 2001. Ha intervenido el Ministerio Fiscal. Ha sido Ponente el Magistrado don Fernando Garrido Falla,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3 de julio de 2001, la Procuradora de los Tribunales doña Isabel Mota Torres, en nombre y representación de don José Luis Pichardo Miranda, formula demanda de amparo contra la Sentencia de la Sala de lo Penal del Tribunal Supremo núm. 835/2001, de 12 de mayo de 2001, que confirma en casación la de la Sección Décima de la Audiencia Provincial de Barcelona, de 21 de junio de 2000, por la que se condena al recurrente, como autor de un delito contra la salud pública, a la pena de nueve años de prisión, accesoria legal y multa de 42.420.000 pesetas, así como al pago de la mitad de las costas procesales.</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2</w:t>
      </w:r>
      <w:r>
        <w:t xml:space="preserve">. El recurso tiene su origen en los siguientes antecedentes de hecho, que se exponen sintéticamente en lo que concierne al objeto del amparo solicitado: </w:t>
      </w:r>
    </w:p>
    <w:p w:rsidR="0025129F" w:rsidRDefault="0025129F" w:rsidP="0025129F">
      <w:pPr>
        <w:pStyle w:val="TextoNormal"/>
      </w:pPr>
      <w:r>
        <w:t xml:space="preserve">a) El 3 de junio de 1998 llegaron al aeropuerto de Barcelona tres paquetes postales procedentes de Venezuela, respecto de los cuales la policía española había sido alertada de que podían contener sustancias estupefacientes, ante lo cual se concedió autorización por la Fiscalía del Tribunal Superior de Justicia de Cataluña para proceder a la entrega controlada de los mismos. Efectuada una primera entrega a la empresa DEMOTRANS, S.L., se detiene al titular de la misma, don Juan Ramón Martínez Navarro, quien participa en la siguiente fase de la entrega controlada, que debía efectuarse en la ciudad de Reus, a don Antonio Raja Juncosa, a quien también se detuvo. Posteriormente se procede a la apertura de los paquetes en presencia de los detenidos, del Juez, del Secretario Judicial y de una Letrada del turno de oficio, comprobándose que contenían 4.200 gramos de cocaína con una riqueza del 59 por 100, que en el mercado negro hubiese alcanzado un valor de 42.420.000 pesetas. </w:t>
      </w:r>
    </w:p>
    <w:p w:rsidR="0025129F" w:rsidRDefault="0025129F" w:rsidP="0025129F">
      <w:pPr>
        <w:pStyle w:val="TextoNormal"/>
      </w:pPr>
      <w:r>
        <w:t xml:space="preserve">b) Una semana después, el día 3 de julio de 1998, fue detenido el recurrente, ante las manifestaciones del detenido Sr. Raja en comisaría y posteriormente ante el Juez de instrucción, en las que le identifica como la persona que le acompaña a la empresa DEMOTRANS, con la que debía contactar tras recibir el envío y quien en todo momento le daba las instrucciones. En el momento de su detención, se le intervienen, junto a otros efectos personales, unas hojas manuscritas y dobladas, sin sobre, en el interior de una agenda que portaba, que la Guardia Civil lee e incorpora a la causa. Se trataba de una carta escrita por el coimputado don Antonio Raja desde la prisión, dirigida al recurrente, y que le fue entregada a través de otra persona. En la citada carta manifiesta su intención de ponerse "a disposición del Abogado (Ramón) para lo que haga falta y rectificar la declaración" (lo que efectivamente hace, compareciendo voluntariamente ante el Juez el día 7 de julio de1998, manifestando que el recurrente no tenía nada que ver con la recepción del paquete, ni sabía nada de la cocaína), y solicitando que mantengan al margen a su familia, que disculpen su actitud, que no es un chivato y no va a traicionar a nadie. </w:t>
      </w:r>
    </w:p>
    <w:p w:rsidR="0025129F" w:rsidRDefault="0025129F" w:rsidP="0025129F">
      <w:pPr>
        <w:pStyle w:val="TextoNormal"/>
      </w:pPr>
      <w:r>
        <w:t xml:space="preserve">c) El recurrente fue condenado por Sentencia de 21 de junio de 2000, dictada por la Sección Décima de la Audiencia Provincial de Barcelona, como autor de un delito contra la salud pública, a la pena de nueve años de prisión, accesoria y multa de 42.420.000 pesetas, así como al pago de la mitad de las costas procesales. La citada Sentencia estima probado que el recurrente se había concertado previamente con el coprocesado Antonio Raja Juncosa con el fin de introducir la cocaína en España para su posterior distribución a terceros. Igualmente estima probado que fue el recurrente quien propuso al Sr. Raja participar en la recepción del envío y quien le daba las instrucciones, habiéndole indicado la necesidad de concertar la gestión con DEMOTRANS y habiéndole acompañado a la citada empresa en el momento de contratar la recepción del envío. </w:t>
      </w:r>
    </w:p>
    <w:p w:rsidR="0025129F" w:rsidRDefault="0025129F" w:rsidP="0025129F">
      <w:pPr>
        <w:pStyle w:val="TextoNormal"/>
      </w:pPr>
      <w:r>
        <w:t xml:space="preserve">d) Interpuesto recurso de casación contra la anterior resolución, la Sala Segunda del Tribunal Supremo, en Sentencia de 12 de mayo de 2001, decide desestimarlo, confirmando la Sentencia de la Audiencia. </w:t>
      </w:r>
    </w:p>
    <w:p w:rsidR="0025129F" w:rsidRDefault="0025129F" w:rsidP="0025129F">
      <w:pPr>
        <w:pStyle w:val="TextoNormal"/>
      </w:pPr>
      <w:r>
        <w:t xml:space="preserve">e) Interpuesto recurso de aclaración contra esta Sentencia (en el que se alegaba incongruencia y falta de motivación), el mismo es resuelto por Auto de fecha 13 de septiembre de 2001, en el que el Tribunal Supremo afirma que las alegaciones quedan fuera del ámbito del recurso de aclaración, pero pese a todo resuelve sobre lo alegado, desestimando el recurso. </w:t>
      </w:r>
    </w:p>
    <w:p w:rsidR="0025129F" w:rsidRDefault="0025129F" w:rsidP="0025129F">
      <w:pPr>
        <w:pStyle w:val="TextoNormal"/>
      </w:pPr>
      <w:r>
        <w:t>f) El recurso de amparo es interpuesto el día 3 de julio de 2001, cuando aún estaba pendiente de resolución el recurso de aclaración. Con posterioridad, una vez resuelto, el recu</w:t>
      </w:r>
      <w:r>
        <w:lastRenderedPageBreak/>
        <w:t>rrente presenta un nuevo escrito ante este Tribunal, de fecha 10 de octubre de 2001, en el que comunica la resolución de la aclaración y solicita que se tenga por reproducido el recurso de amparo.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recurrente fundamenta su demanda de amparo en la lesión de los siguientes derechos fundamentales: </w:t>
      </w:r>
    </w:p>
    <w:p w:rsidR="0025129F" w:rsidRDefault="0025129F" w:rsidP="0025129F">
      <w:pPr>
        <w:pStyle w:val="TextoNormal"/>
      </w:pPr>
      <w:r>
        <w:t xml:space="preserve">a) Derecho a la intimidad (art. 18.1 CE), en relación con el derecho al secreto de las comunicaciones postales (art. 18.3 CE): alega el recurrente que la carta intervenida en el momento de su detención en el interior de una agenda fue abierta (desdoblada) y leída por la Guardia Civil sin la pertinente autorización judicial, lo que vulnera el derecho al secreto de las comunicaciones postales y su derecho a la intimidad, al tratarse de una comunicación interna y privada, que iba doblada y en el interior de una agenda, guardando su contenido a terceros. De lo cual se derivaría, a su vez, su nulidad como prueba de cargo (al tratarse de una prueba ilícita, por haber sido obtenida con vulneración de derechos fundamentales) y de las de ella derivadas. </w:t>
      </w:r>
    </w:p>
    <w:p w:rsidR="0025129F" w:rsidRDefault="0025129F" w:rsidP="0025129F">
      <w:pPr>
        <w:pStyle w:val="TextoNormal"/>
      </w:pPr>
      <w:r>
        <w:t xml:space="preserve">b) Derecho a un proceso con todas las garantías (art. 24.2 CE): Alega diversas vulneraciones: 1) Vulneración del derecho a la asistencia letrada, por cuanto las primeras declaraciones de los otros detenidos (Martínez Navarro y Raja Juncosa) en dependencias policiales se producen sin la preceptiva asistencia de Abogado. Por ello solicita la nulidad de las mismas y de todas las diligencias que traen causa en ellas.-- 2) Vulneración del derecho a la defensa desde la incoación del procedimiento, por haberse retrasado la puesta en conocimiento del recurrente del proceso desde que se dirigieron las investigaciones contra él.- 3) Vulneración del derecho a presentar alegaciones y a la oralidad en sede de recurso de casación: el recurrente solicitó la celebración de vista con carácter previo a la decisión del recurso de casación, que le fue denegada. El recurrente entiende que, en virtud del art. 893 bis LECrim, la celebración de la vista era preceptiva, al haberlo solicitado una de las partes y ser la pena impuesta superior a seis años.- 4) Vulneración del derecho al doble grado de jurisdicción en materia penal (contemplado expresamente en el art. 14.5 PIDCP y art. 2 CEDH, e implícitamente en las garantías procesales del art. 24 CE), por entender que el trámite casacional no lo respeta, al no poder ser revisado íntegramente el fallo condenatorio, sino que la prueba sólo puede revisarse por el estrecho cauce que ofrece el art. 849.2 LECrim. Cita, en este sentido, el Dictamen de 20 de julio de 2000, del Comité de Derechos Humanos de Naciones Unidas en el caso Gómez Vázquez v. España. Sostiene que en el presente supuesto, tras haber solicitado en su recurso de casación (motivo séptimo) una nueva valoración de la prueba sobre una serie de documentos obrantes en autos, relativos a datos fácticos, que la Audiencia Provincial habría omitido erróneamente en su Sentencia, el Tribunal Supremo (FJ 11) le responde que tales datos no son esenciales, no valorándolos. </w:t>
      </w:r>
    </w:p>
    <w:p w:rsidR="0025129F" w:rsidRDefault="0025129F" w:rsidP="0025129F">
      <w:pPr>
        <w:pStyle w:val="TextoNormal"/>
      </w:pPr>
      <w:r>
        <w:t xml:space="preserve">c) Derecho a la defensa y a utilizar los medios de prueba pertinentes (art. 24.2 CE): se entiende vulnerado el mismo, al no haberse permitido a la defensa del recurrente preguntar al coimputado don Antonio Raja Juncosa, si había recibido mejor trato por la policía por implicarle. La pregunta fue declarada impertinente en el acto del juicio. </w:t>
      </w:r>
    </w:p>
    <w:p w:rsidR="0025129F" w:rsidRDefault="0025129F" w:rsidP="0025129F">
      <w:pPr>
        <w:pStyle w:val="TextoNormal"/>
      </w:pPr>
      <w:r>
        <w:t xml:space="preserve">d) Derecho a la presunción de inocencia (art. 24.2 CE): entiende el recurrente que no existe prueba suficiente para condenarlo, salvo aquellas que son nulas, por haberse obtenido con vulneración de derechos fundamentales (carta abierta sin autorización judicial y declaración de coimputado prestada sin garantías). </w:t>
      </w:r>
    </w:p>
    <w:p w:rsidR="0025129F" w:rsidRDefault="0025129F" w:rsidP="0025129F">
      <w:pPr>
        <w:pStyle w:val="TextoNormal"/>
      </w:pPr>
      <w:r>
        <w:t xml:space="preserve">e) Derecho a la tutela judicial efectiva, por incongruencia omisiva y falta de razonamiento de las resoluciones judiciales (art. 24.1 CE): entiende el recurrente vulnerado este </w:t>
      </w:r>
      <w:r>
        <w:lastRenderedPageBreak/>
        <w:t>derecho por cuanto la Sala Segunda del Tribunal Supremo no resuelve el recurso de súplica respecto de la solicitud de celebración de vista, no aborda específicamente la nulidad de la carta y no se pronuncia sobre la inaplicación del art. 16 CP.</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10 de diciembre de 2001, la Sección Primera de este Tribunal acordó admitir a trámite la demanda de amparo, así como requerir a los órganos juzgadores la remisión de testimonio de las actuaciones, interesando al mismo tiempo que se emplazara a quienes fueron parte en el mencionado procedimiento, con excepción del demandante de amparo, para que en el plazo de diez días pudieran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En la misma providencia se acordó formar la correspondiente pieza separada de suspensión y, mediante otra providencia de la misma fecha, se acordó de conformidad con lo previsto en el artículo 56 LOTC conceder un plazo común de tres días al Ministerio Fiscal y al solicitante de amparo para que alegaran lo que estimaran pertinente en relación con la petición de suspensión interesada. Transcurrido el término conferido, mediante Auto de 25 de febrero de 2002, se acordó denegar la suspensión solicitada por el recurrente.</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providencia de fecha 26 de febrero de 2002, la Sala Primera del Tribunal Constitucional, haciendo uso de la facultad que le confiere el art. 52.2 LOTC, acordó sustituir el trámite de alegaciones por el de vista oral, y señalar para su celebración el día 20 de marzo de 2002, a las diez horas. Solicitada por la parte recurrente la suspensión de la vista en el día señalado, ante la imposibilidad del Letrado defensor de comparecer en esa fecha, la Sala acuerda dejar sin efecto el anterior señalamiento y señalar para la celebración de la vista el día 21 de marzo de 2002, a las diez horas.</w:t>
      </w:r>
    </w:p>
    <w:p w:rsidR="0025129F" w:rsidRDefault="0025129F" w:rsidP="0025129F">
      <w:pPr>
        <w:pStyle w:val="TextoNormal"/>
      </w:pPr>
    </w:p>
    <w:p w:rsidR="0025129F" w:rsidRDefault="0025129F" w:rsidP="0025129F">
      <w:pPr>
        <w:pStyle w:val="TextoNormal"/>
      </w:pPr>
      <w:r w:rsidRPr="0025129F">
        <w:rPr>
          <w:rStyle w:val="NumeroAFNegritaCaracter"/>
        </w:rPr>
        <w:t>7</w:t>
      </w:r>
      <w:r>
        <w:t>. El día anteriormente señalado se celebra la vista oral. Abierta la sesión por el Presidente y tras el resumen de los antecedentes del recurso de amparo llevado a cabo por la Secretaria de Justicia, el Presidente del Tribunal concede la palabra a la parte recurrente, quien se ratifica íntegramente en las alegaciones expuestas en la demanda de amparo, que vuelve a exponer resumidamente, salvo en aquellos extremos resueltos en el recurso de aclaración, de fecha posterior a la presentación de la demanda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Tras finalizar su alegato la parte recurrente, se le concede la palabra al Ministerio Fiscal, quien -tras el análisis de las diversas alegaciones- propone que se dicte sentencia desestimatoria. </w:t>
      </w:r>
    </w:p>
    <w:p w:rsidR="0025129F" w:rsidRDefault="0025129F" w:rsidP="0025129F">
      <w:pPr>
        <w:pStyle w:val="TextoNormal"/>
      </w:pPr>
      <w:r>
        <w:t xml:space="preserve">Comienza el Fiscal poniendo de relieve que en las actuaciones consta un oficio de la Sección Décima de la Audiencia Provincial de Barcelona, de fecha 7 de febrero de 2001, en el que se hace constar que el recurrente se encuentra en situación de busca y captura, aludiendo a la pulcritud y lealtad procesal de las partes ante los Tribunales. Posteriormente analiza las alegaciones relativas a la vulneración del derecho a un proceso con todas las garantías, afirmando que todas ellas carecen de consistencia. Respecto del derecho a la asistencia letrada en las declaraciones iniciales de los otros implicados, porque no implican vulneración alguna de derechos del recurrente (en su caso de los afectados, que no han solicitado el amparo) y porque tales declaraciones a lo sumo habrían permitido una intervención telefónica que no tuvo ninguna trascendencia en la causa. En cuanto al derecho a la defensa desde la incoación del procedimiento, porque desde el momento en que se le </w:t>
      </w:r>
      <w:r>
        <w:lastRenderedPageBreak/>
        <w:t xml:space="preserve">detiene es cuando se le puede considerar imputado y en ese momento se le leen sus derechos y se le garantiza plenamente el derecho de defensa; con anterioridad a ese momento lo que existen son averiguaciones previas que permiten la imputación y, en todo caso, ninguna indefensión se le ha causado. Por lo que se refiere a la denegación de la vista en la casación, afirma igualmente que carece de consistencia porque no le impidió formular las alegaciones que estimó oportunas. En cuanto al derecho a la defensa y a utilizar los medios de prueba pertinentes para la misma, se afirma que, como el Tribunal Supremo razona en su Sentencia, tal derecho no atribuye la posibilidad ilimitada de proponer y practicar pruebas y que la pregunta que el recurrente no pudo formular no tenía influencia alguna en la causa, por lo que al no ser determinante para el sentido del fallo, ninguna indefensión se le habría generado. Se ocupa a continuación el Fiscal de la presunta vulneración del derecho a la tutela judicial efectiva, poniendo de relieve cómo el Auto de aclaración de Sentencia da respuesta al recurrente respecto de la denegación de la vista, realizando una interpretación del art. 893 bis a) LECrim que no cabe calificar de arbitraria o no razonada. </w:t>
      </w:r>
    </w:p>
    <w:p w:rsidR="0025129F" w:rsidRDefault="0025129F" w:rsidP="0025129F">
      <w:pPr>
        <w:pStyle w:val="TextoNormal"/>
      </w:pPr>
      <w:r>
        <w:t xml:space="preserve">A continuación se ocupa el Fiscal de lo que considera alegaciones centrales, comenzando por el derecho al secreto de las comunicaciones, en relación con la intervención y lectura de la carta sin autorización judicial. Entiende el Fiscal que han de fijarse cuáles son los límites temporales de la protección del art. 18.3 CE, afirmando que lo protegido es la comunicación y que la protección se mantiene mientras la comunicación dura y cuando la comunicación ha terminado, cesa, pudiendo quedar afectado el derecho a la intimidad, que el recurrente no ha invocado, y cuya protección es distinta a la de las comunicaciones. Respecto de la protección de la intimidad, destaca el Fiscal que no hay exigencia constitucional de jurisdiccionalidad y que conforme a la jurisprudencia de este Tribunal pueden realizarse injerencias en el derecho a la intimidad sin autorización judicial, si existe previsión legislativa, lo que ocurre en el presente caso, citando los arts. 7 y 8 de la Ley Orgánica 7/1982, y los arts. 282, 292, 786.2 a) y 789.1 y 3 LECrim, que autorizan a la policía judicial a intervenir los efectos del detenido en el momento de la detención. Por ello, concluye que tampoco ha existido vulneración alguna del derecho a la intimidad del recurrente. </w:t>
      </w:r>
    </w:p>
    <w:p w:rsidR="0025129F" w:rsidRDefault="0025129F" w:rsidP="0025129F">
      <w:pPr>
        <w:pStyle w:val="TextoNormal"/>
      </w:pPr>
      <w:r>
        <w:t xml:space="preserve">Respecto del derecho a la presunción de inocencia, indica que las primeras declaraciones del coimputado corroboradas por el contenido de la carta y por el testimonio de referencia del Sr. Martínez constituyen prueba de cargo suficiente para afirmar que no se ha vulnerado este derecho. </w:t>
      </w:r>
    </w:p>
    <w:p w:rsidR="0025129F" w:rsidRDefault="0025129F" w:rsidP="0025129F">
      <w:pPr>
        <w:pStyle w:val="TextoNormal"/>
      </w:pPr>
      <w:r>
        <w:t xml:space="preserve">Por último, respecto del derecho a la doble instancia, afirma que el sistema casacional español es compatible con las exigencias del art. 14.5 del Pacto internacional de derechos civiles y políticos y del art. 24.2 CE, sin perjuicio de que pueda resultar vulnerado en casos concretos por el Tribunal Supremo. Destaca el Fiscal que la interpretación del art. 849.2 LECrim ha experimentado una considerable apertura, quedando actualmente excluidas de la revisión en casación sólo las pruebas personales y que el Tribunal Supremo, en el presente caso, en el análisis de la alegación relativa a la presunción de inocencia (en la que el recurrente pudo cuestionar no sólo la validez de la prueba, sino también el contenido incriminatorio de ella derivado) revisa la prueba practicada y la considera suficiente para fundamentar la condena, cumpliendo con las exigencias del art. 14 del Pacto. </w:t>
      </w:r>
    </w:p>
    <w:p w:rsidR="0025129F" w:rsidRDefault="0025129F" w:rsidP="0025129F">
      <w:pPr>
        <w:pStyle w:val="TextoNormal"/>
      </w:pPr>
      <w:r>
        <w:t>Concluye el Fiscal solicitando a la Sala que dicte Sentencia desestimatoria de todas las pretensiones del recurrente.</w:t>
      </w:r>
    </w:p>
    <w:p w:rsidR="0025129F" w:rsidRDefault="0025129F" w:rsidP="0025129F">
      <w:pPr>
        <w:pStyle w:val="TextoNormal"/>
      </w:pPr>
    </w:p>
    <w:p w:rsidR="0025129F" w:rsidRDefault="0025129F" w:rsidP="0025129F">
      <w:pPr>
        <w:pStyle w:val="TextoNormal"/>
      </w:pPr>
      <w:r w:rsidRPr="0025129F">
        <w:rPr>
          <w:rStyle w:val="NumeroAFNegritaCaracter"/>
        </w:rPr>
        <w:t>9</w:t>
      </w:r>
      <w:r>
        <w:t>. A continuación, el Presidente del Tribunal concede de nuevo la palabra al Letrado del recurrente y al Ministerio Fiscal para rectificación de hechos o conceptos, manifestan</w:t>
      </w:r>
      <w:r>
        <w:lastRenderedPageBreak/>
        <w:t>do en este trámite el Abogado de la parte recurrente, en relación con la deslealtad procesal aducida por el Ministerio Fiscal, que su patrocinado se encuentra actualmente cumpliendo la condena en un centro penitenciario. Igualmente aclara algunos de los extremos fácticos discutidos por el Ministerio Fiscal y su interpretación en relación con la no protección del contenido de las comunicaciones una vez finalizado el proceso, afirmando una vez más que las fuerzas y cuerpos de seguridad del Estado no tienen facultades para leer una carta sin previa autorización judicial. El Fiscal manifiesta que no tiene nada más que añadir.</w:t>
      </w:r>
    </w:p>
    <w:p w:rsidR="0025129F" w:rsidRDefault="0025129F" w:rsidP="0025129F">
      <w:pPr>
        <w:pStyle w:val="TextoNormal"/>
      </w:pPr>
    </w:p>
    <w:p w:rsidR="0025129F" w:rsidRDefault="0025129F" w:rsidP="0025129F">
      <w:pPr>
        <w:pStyle w:val="TextoNormal"/>
      </w:pPr>
      <w:r w:rsidRPr="0025129F">
        <w:rPr>
          <w:rStyle w:val="NumeroAFNegritaCaracter"/>
        </w:rPr>
        <w:t>10</w:t>
      </w:r>
      <w:r>
        <w:t>. Evacuados los informes y las intervenciones para rectificación de hechos y conceptos, el Presidente declaró el recurso visto para sentencia, levantándose la sesión.</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En el presente recurso de amparo se plantean dos cuestiones nucleares. En primer lugar, la relativa a la presunta vulneración del derecho a la intimidad (art. 18.1 CE) en relación con el derecho al secreto de las comunicaciones postales (art. 18.3 CE), con las eventuales repercusiones que ello pudiera tener a efectos de la presunción de inocencia (art. 24.2 CE), de estimarse que alguna de las pruebas de cargo ha sido obtenida con vulneración de estos derechos fundamentales.  En segundo lugar, la relativa al derecho al doble grado de jurisdicción (garantizado en el art. 14.5 del Pacto internacional de derechos civiles y políticos e incorporado a las garantías procesales del art.  24 CE), que el recurrente considera vulnerado por cuanto, pese a que su inicial Sentencia condenatoria pudo ser recurrida en casación ante el Tribunal Supremo, el sistema casacional español sería inidóneo para garantizarlo, por cuanto la prueba sólo puede ser revisada en el estrecho cauce que ofrece el art. 849.2 LECrim.</w:t>
      </w:r>
    </w:p>
    <w:p w:rsidR="0025129F" w:rsidRDefault="0025129F" w:rsidP="0025129F">
      <w:pPr>
        <w:pStyle w:val="TextoNormal"/>
      </w:pPr>
      <w:r>
        <w:t>Junto a estas dos alegaciones centrales, el recurrente alega diversas vulneraciones del derecho a un proceso con todas las garantías (art. 24.2 CE), en concreto, del derecho a la asistencia letrada, del derecho a la defensa desde la incoación del procedimiento, del derecho a presentar alegaciones y a la oralidad en sede casacional.  También alega la vulneración del derecho de defensa y a utilizar los medios de prueba pertinentes, del derecho a la presunción de inocencia y del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2</w:t>
      </w:r>
      <w:r>
        <w:t>. A la vista del elevado número de alegaciones, conviene precisar a continuación cuál ha de ser el orden en que hemos de examinar las quejas del demandante de amparo, en atención a los criterios expuestos en nuestra jurisprudencia (entre otras, SSTC 307/1993, de 25 de octubre, FJ 1; 116/1997, de 23 de junio, FJ 1, in fine; 151/1997, de 29 de septiembre, FJ 2; 56/1998, de 16 de marzo, FJ 2; 19/2000, de 31 de enero, FJ 2; 96/2000, de 10 de abril, FJ 1 y 31/2001, de 12 de febrero, FJ 2), que otorgan prioridad en el examen a aquellas quejas de las que pudiera derivarse la retroacción de las actuaciones.</w:t>
      </w:r>
    </w:p>
    <w:p w:rsidR="0025129F" w:rsidRDefault="0025129F" w:rsidP="0025129F">
      <w:pPr>
        <w:pStyle w:val="TextoNormal"/>
      </w:pPr>
      <w:r>
        <w:t xml:space="preserve">Pues bien, en atención a dichos criterios, cabe observar que la eventual estimación de las quejas referidas a defectos formales en el curso del proceso penal en la primera instancia, daría lugar no sólo a la anulación de las resoluciones judiciales impugnadas, sino también a la retroacción de las actuaciones a la primera instancia. Lo que permitiría un nuevo enjuiciamiento en el proceso penal con todas las garantías y, al mismo tiempo, salvaguardar el carácter subsidiario del amparo. Por tanto, comenzaremos por el análisis de las quejas relativas a defectos formales en la instrucción y en el enjuiciamiento en primera instancia, para continuar con las relativas a defectos procesales en la casación (cuya apreciación </w:t>
      </w:r>
      <w:r>
        <w:lastRenderedPageBreak/>
        <w:t>daría lugar a la retroacción a esa fase procesal). Por último, analizaremos las alegadas vulneraciones del art. 18 CE y del derecho a la presunción de inocencia (art. 24.2 CE), pues aunque se declarase la vulneración del art. 18 CE por la apertura y lectura de la carta por la Guardia Civil en el momento de la detención, de ello no se seguiría necesariamente la retroacción de las actuaciones, sino que es perfectamente posible que la citada vulneración no tuviera consecuencia alguna en el fallo condenatorio, si aun prescindiendo de la carta como elemento probatorio (al que las resoluciones judiciales recurridas otorgan el valor de mero elemento de corroboración periférica, junto con otros, de las declaraciones del coimputado), existiera suficiente prueba de cargo válida para desvirtuar la presunción de inocencia, según el propio razonamiento contenido en las resoluciones judiciales recurridas (por todas, STC 12/2002, de 28 de enero, FJ 5, y las que en ella se citan).</w:t>
      </w:r>
    </w:p>
    <w:p w:rsidR="0025129F" w:rsidRDefault="0025129F" w:rsidP="0025129F">
      <w:pPr>
        <w:pStyle w:val="TextoNormal"/>
      </w:pPr>
    </w:p>
    <w:p w:rsidR="0025129F" w:rsidRDefault="0025129F" w:rsidP="0025129F">
      <w:pPr>
        <w:pStyle w:val="TextoNormal"/>
      </w:pPr>
      <w:r w:rsidRPr="0025129F">
        <w:rPr>
          <w:rStyle w:val="NumeroAFNegritaCaracter"/>
        </w:rPr>
        <w:t>3</w:t>
      </w:r>
      <w:r>
        <w:t>. Comenzando con el análisis del derecho a un proceso con todas las garantías, se queja el recurrente, en primer lugar, de la vulneración del derecho a la asistencia letrada (art. 24.2 CE), en relación con las primeras declaraciones prestadas como detenidos por don Antonio Raja Juncosa y don Juan Ramón Martínez Navarro. Ciertamente, las pretendidas vulneraciones se producen con motivo de actuaciones sobre sujetos distintos del recurrente. Sin embargo, de existir las mismas, no cabe duda de que el perjuicio de ellas derivado le afectaría, por lo que aparece legitimado para alegarlas en cuanto titular de un interés legítimo en que se repare la vulneración, conforme a lo establecido en el art. 162.1 b) CE.</w:t>
      </w:r>
    </w:p>
    <w:p w:rsidR="0025129F" w:rsidRDefault="0025129F" w:rsidP="0025129F">
      <w:pPr>
        <w:pStyle w:val="TextoNormal"/>
      </w:pPr>
      <w:r>
        <w:t>Al respecto, hemos afirmado que "la falta de asistencia letrada en la declaración policial sólo podrá ser relevante en la medida en que hubiese determinado la indefensión posterior" (STC 94/1983, de 14 de noviembre, FJ 4). Pues bien, en el caso que nos ocupa ciertamente los otros detenidos realizan unas iniciales declaraciones en el momento de su detención sin asistencia letrada, que permiten la realización de otras diligencias policiales, pero aquéllas -según señala expresamente la Sentencia de la Audiencia Provincial- no han sido utilizadas con valor probatorio, sino que constan en el atestado sin más valor que el de éste, el de simple denuncia.  Por lo demás, en ambos casos las declaraciones fueron ratificadas posteriormente en presencia de Letrado (en el caso del Sr. Raja en una primera declaración en comisaría y posteriormente ante el Juez instructor; y en el caso del Sr. Martínez, en todas las declaraciones posteriores, incluida la prestada en el acto del juicio oral). Siendo así, esa alegada infracción de garantías procesales ni genera indefensión vulneradora del derecho a la asistencia letrada del art. 24.2 CE, ni ocasiona la nulidad de las actuaciones, ni impide una ulterior actividad probatoria sobre tales hechos.</w:t>
      </w:r>
    </w:p>
    <w:p w:rsidR="0025129F" w:rsidRDefault="0025129F" w:rsidP="0025129F">
      <w:pPr>
        <w:pStyle w:val="TextoNormal"/>
      </w:pPr>
    </w:p>
    <w:p w:rsidR="0025129F" w:rsidRDefault="0025129F" w:rsidP="0025129F">
      <w:pPr>
        <w:pStyle w:val="TextoNormal"/>
      </w:pPr>
      <w:r w:rsidRPr="0025129F">
        <w:rPr>
          <w:rStyle w:val="NumeroAFNegritaCaracter"/>
        </w:rPr>
        <w:t>4</w:t>
      </w:r>
      <w:r>
        <w:t>. Carece también de fundamento la alegación relativa al derecho a la defensa desde la incoación del procedimiento (arts. 24.1 y 24.2 CE). Entiende el recurrente que este derecho se habría vulnerado porque desde que se dirigen las investigaciones contra él (en el momento de la detención del coimputado don Antonio Raja Juncosa) hasta su detención una semana después no se le comunica la condición de imputado.</w:t>
      </w:r>
    </w:p>
    <w:p w:rsidR="0025129F" w:rsidRDefault="0025129F" w:rsidP="0025129F">
      <w:pPr>
        <w:pStyle w:val="TextoNormal"/>
      </w:pPr>
      <w:r>
        <w:t>Ciertamente nuestra jurisprudencia reiteradamente viene exigiendo que se garantice el acceso al proceso de toda persona a la que se atribuya la comisión de un hecho punible y que dicho acceso lo sea en condición de imputado, sin que se retrase el otorgamiento de tal condición a alguien de quien fundadamente se sospeche de su participación en los hechos objeto del proceso (SSTC 44/1985, de 22 de marzo, FJ 3; 37/1989, de 15 de febrero, FJ 3; 135/1989, de 19 de julio, FJ 3; 100/1996, de 11 de junio, FJ 3; 41/1998, de 24 de febrero, FFJJ 27 y 28; 134/1998, de 29 de junio, FJ 2; 220/1998, de 16 de noviembre, FJ 2; 68/2001, de 17 de marzo, FJ 3), siendo la razón de tal garantía la de asegurar la plena efec</w:t>
      </w:r>
      <w:r>
        <w:lastRenderedPageBreak/>
        <w:t>tividad del derecho de defensa, por lo que la quiebra de tal garantía conduciría a una situación de indefensión material (SSTC 134/1998, de 29 de junio, FJ 2; 220/1998, de 16 de noviembre, FJ 2; 68/2001, de 17 de marzo, FJ 3).</w:t>
      </w:r>
    </w:p>
    <w:p w:rsidR="0025129F" w:rsidRDefault="0025129F" w:rsidP="0025129F">
      <w:pPr>
        <w:pStyle w:val="TextoNormal"/>
      </w:pPr>
      <w:r>
        <w:t>No obstante, en el presente caso la pretensión del recurrente -como acertadamente señala la Sentencia de la Audiencia Provincial de Barcelona- carece de fundamento, pues el hoy recurrente aún no tenía la condición formal de imputado cuando se estaban llevando a cabo investigaciones para determinar si procedía o no su imputación, es decir, para comprobar la verosimilitud de las imputaciones que contra él se habían efectuado. Por tanto, no concurría aún el presupuesto para aplicar esta doctrina jurisprudencial. Cuando el recurrente es finalmente detenido, se procedió inmediatamente a informarle de las causas de su detención y de los derechos que le asistían. Por tanto, ni existió vulneración alguna de sus garantías procesales, ni infracción del derecho a la defensa, pues el recurrente pudo participar en la instrucción, ser oído, alegar e intervenir en la causa antes de cualquier acusación formal y de la apertura del juicio oral (STC 68/2001, de 17 de marzo, FJ 3).</w:t>
      </w:r>
    </w:p>
    <w:p w:rsidR="0025129F" w:rsidRDefault="0025129F" w:rsidP="0025129F">
      <w:pPr>
        <w:pStyle w:val="TextoNormal"/>
      </w:pPr>
    </w:p>
    <w:p w:rsidR="0025129F" w:rsidRDefault="0025129F" w:rsidP="0025129F">
      <w:pPr>
        <w:pStyle w:val="TextoNormal"/>
      </w:pPr>
      <w:r w:rsidRPr="0025129F">
        <w:rPr>
          <w:rStyle w:val="NumeroAFNegritaCaracter"/>
        </w:rPr>
        <w:t>5</w:t>
      </w:r>
      <w:r>
        <w:t>. Por lo que respecta al derecho a la defensa y a utilizar los medios de prueba pertinentes, entiende el recurrente que al no permitirse a su defensa en el acto del juicio oral preguntar al coimputado si recibió mejor trato por la policía por implicarle, pregunta que considera decisiva, se le ha producido indefensión.</w:t>
      </w:r>
    </w:p>
    <w:p w:rsidR="0025129F" w:rsidRDefault="0025129F" w:rsidP="0025129F">
      <w:pPr>
        <w:pStyle w:val="TextoNormal"/>
      </w:pPr>
      <w:r>
        <w:t>Nuestra jurisprudencia ha señalado reiteradamente que el art. 24.2 CE no atribuye un ilimitado derecho de las partes a que se admitan y se practiquen todos los medios de prueba propuestos, sino sólo de aquéllos que, propuestos en tiempo y forma, sean lícitos y pertinentes, correspondiendo el juicio de pertinencia y la decisión sobre la admisión de las pruebas solicitadas a los órganos judiciales, sin que este Tribunal pueda revisar sus decisiones, salvo cuando el rechazo de la prueba propuesta carezca de motivación o la que se ofrece sea insuficiente (SSTC 89/1995, de 6 de junio, FJ 6; 131/1995, de 11 de septiembre, FFJJ 2 y 5) o manifiestamente arbitraria o irrazonable (SSTC 52/1989, de 22 de febrero, FJ 2; 65/1992, de 29 de abril, FJ 3; 94/1992, de 11 de junio, FJ 3; 1/1996, de 15 de enero, FJ 2; 37/2000, de 14 de febrero, FJ 3).  También hemos declarado que sólo procede el examen de esta queja de amparo cuando la falta de práctica de la prueba propuesta "haya podido tener una influencia decisiva en la resolución del pleito" (SSTC 50/1988, de 22 de marzo, FJ 3; 357/1993, de 29 de noviembre, FJ 2; 131/1995, de 11 de septiembre, FJ 2; 1/1996, de 15 de febrero, FJ 3; 37/2000, de 14 de febrero, FJ 3) y que quien alega ante este Tribunal la vulneración del derecho a utilizar los medios de prueba pertinentes debe cumplir con la carga de fundamentar y argumentar en la demanda las razones por las cuales la omisión de la prueba propuesta le ha provocado una indefensión material al ser relevante para la decisión final del proceso (SSTC 116/1983, de 7 de diciembre, FJ 3; 30/1986, de 20 de febrero, FJ 8; 149/1987, de 30 de septiembre, FJ 3; 45/1990, de 15 de marzo, FJ 3; 357/1993, de 29 de noviembre, FJ 2; 1/1996, de 15 de enero, FJ 3; 37/2000, de 14 de febrero, FJ 3).</w:t>
      </w:r>
    </w:p>
    <w:p w:rsidR="0025129F" w:rsidRDefault="0025129F" w:rsidP="0025129F">
      <w:pPr>
        <w:pStyle w:val="TextoNormal"/>
      </w:pPr>
      <w:r>
        <w:t>A la vista de esta jurisprudencia, la alegación debe ser desestimada, pues la denegación responde al ejercicio por los órganos judiciales del derecho a admitir solamente aquellas preguntas que consideren pertinentes, en aplicación estricta de las normas legales (art. 709 LECrim), y en el recurso de casación interpuesto frente a la declaración de impertinencia de la pregunta (en virtud del art. 850.4 LECrim), el Tribunal Supremo la motiva suficientemente, afirmando que el coimputado prestó declaración ante la Guardia Civil, cuatro veces ante el Juez de instrucción y en el juicio oral, habiendo dirigido además varios escritos al Juzgado, "con lo que la Sala de instancia ha podido captar suficientemente las vicisi</w:t>
      </w:r>
      <w:r>
        <w:lastRenderedPageBreak/>
        <w:t>tudes de esas manifestaciones" y, en consecuencia, la pregunta que no se deja contestar al coprocesado no tenía manifiesta influencia en la causa, ni verdadera importancia para el resultado del juicio, por lo que no se ha originado ningún tipo de indefensión. Una argumentación que, a lo largo del presente proceso de amparo, el recurrente no ha desvirtuado, como le correspondía, probando el carácter decisivo de la pregunta para la decisión final del proceso. Por lo tanto, no cabe apreciar la indefensión alegada, ni vulneración alguna del derecho a la utilización de los medios de prueba pertinentes para la defensa (art. 24.2 CE).</w:t>
      </w:r>
    </w:p>
    <w:p w:rsidR="0025129F" w:rsidRDefault="0025129F" w:rsidP="0025129F">
      <w:pPr>
        <w:pStyle w:val="TextoNormal"/>
      </w:pPr>
    </w:p>
    <w:p w:rsidR="0025129F" w:rsidRDefault="0025129F" w:rsidP="0025129F">
      <w:pPr>
        <w:pStyle w:val="TextoNormal"/>
      </w:pPr>
      <w:r w:rsidRPr="0025129F">
        <w:rPr>
          <w:rStyle w:val="NumeroAFNegritaCaracter"/>
        </w:rPr>
        <w:t>6</w:t>
      </w:r>
      <w:r>
        <w:t>. Una vez examinadas -y rechazadas- las vulneraciones relativas a presuntas infracciones procesales en la instancia, procederemos a examinar las alegaciones de carácter procesal que el recurrente imputa a la casación.</w:t>
      </w:r>
    </w:p>
    <w:p w:rsidR="0025129F" w:rsidRDefault="0025129F" w:rsidP="0025129F">
      <w:pPr>
        <w:pStyle w:val="TextoNormal"/>
      </w:pPr>
      <w:r>
        <w:t>Se queja el recurrente, en primer lugar, de que solicitó la celebración de vista con carácter previo a la resolución del recurso de casación, vista que en su opinión era preceptiva en virtud del art. 893 bis a) LECrim y que el Tribunal deniega tácitamente, sin resolver el recurso de súplica interpuesto, ni explicar las razones por las que la vista no debía celebrarse.</w:t>
      </w:r>
    </w:p>
    <w:p w:rsidR="0025129F" w:rsidRDefault="0025129F" w:rsidP="0025129F">
      <w:pPr>
        <w:pStyle w:val="TextoNormal"/>
      </w:pPr>
      <w:r>
        <w:t>Esa alegación no puede estimarse. En primer lugar, porque -en contra de lo que afirma el recurrente- el Tribunal Supremo sí se pronuncia expresamente sobre este punto en el razonamiento jurídico segundo del Auto de aclaración de la Sentencia, de 13 de septiembre de 2001, acogiéndose a una interpretación del art. 893 bis a) LECrim según la cual no es preceptiva la celebración de la vista en sede de casación, salvo que lo soliciten todas las partes, o el Tribunal de oficio o a instancia de parte la estime necesaria. Como en el presente caso sólo una de las partes solicitó la vista y el Tribunal no la consideraba necesaria, afirma que "son claras las razones por las que no ha celebrado vista previa para la resolución del recurso". En segundo lugar, y respecto de las razones esgrimidas por el Tribunal Supremo, porque reiteradamente hemos afirmado que no corresponde a este Tribunal revisar la interpretación que de la legalidad ordinaria hayan podido efectuar los jueces o Tribunales en el ejercicio de la función que les corresponde en virtud del art. 117.3 CE (STC 54/1996, de 26 de marzo, FJ 3).</w:t>
      </w:r>
    </w:p>
    <w:p w:rsidR="0025129F" w:rsidRDefault="0025129F" w:rsidP="0025129F">
      <w:pPr>
        <w:pStyle w:val="TextoNormal"/>
      </w:pPr>
      <w:r>
        <w:t>Ahora bien, si lo que pretende el recurrente es cuestionarse la propia configuración legal de la casación y su idoneidad para dar cumplimiento al derecho a la revisión de las condenas por un Tribunal Superior con plena jurisdicción y con todas las garantías procesales, esto ha de ponerse en conexión con la alegación relativa al doble grado de jurisdicción, que se analizará seguidamente.</w:t>
      </w:r>
    </w:p>
    <w:p w:rsidR="0025129F" w:rsidRDefault="0025129F" w:rsidP="0025129F">
      <w:pPr>
        <w:pStyle w:val="TextoNormal"/>
      </w:pPr>
    </w:p>
    <w:p w:rsidR="0025129F" w:rsidRDefault="0025129F" w:rsidP="0025129F">
      <w:pPr>
        <w:pStyle w:val="TextoNormal"/>
      </w:pPr>
      <w:r w:rsidRPr="0025129F">
        <w:rPr>
          <w:rStyle w:val="NumeroAFNegritaCaracter"/>
        </w:rPr>
        <w:t>7</w:t>
      </w:r>
      <w:r>
        <w:t>. En cuanto a la alegación relativa al derecho a un doble grado de jurisdicción en materia penal y a la inadecuación del sistema casacional para garantizar este derecho, afirma el recurrente que el mismo constituye una de las garantías inherentes al derecho al proceso con todas las garantías reconocido en el art. 24.2 CE, así como en el art.  14.5 del Pacto internacional de derechos civiles y políticos (en adelante, PIDCP) y en el art.  2.1. del Protocolo núm. 7 del Convenio europeo para la protección de los derechos humanos y de las libertades fundamentales (en adelante, CEDH). En apoyo de su queja cita el Dictamen del Comité de Derechos Humanos de Naciones Unidas, de 11 de agosto de 2000, en el caso Gómez Vázquez v. España, que -según el recurrente- declara contrario a este derecho y al art. 14.5 del Pacto el sistema casacional español.</w:t>
      </w:r>
    </w:p>
    <w:p w:rsidR="0025129F" w:rsidRDefault="0025129F" w:rsidP="0025129F">
      <w:pPr>
        <w:pStyle w:val="TextoNormal"/>
      </w:pPr>
      <w:r>
        <w:t xml:space="preserve">a) Ciertamente, el art. 14.5 PIDCP, ratificado por España y cuyo contenido ha de tenerse en cuenta en la interpretación de las normas constitucionales relativas a los derechos </w:t>
      </w:r>
      <w:r>
        <w:lastRenderedPageBreak/>
        <w:t>fundamentales (art. 10.2 CE), consagra el derecho a un doble grado de jurisdicción en materia penal en los siguientes términos: "Toda persona declarada culpable de un delito tendrá derecho a que el fallo condenatorio y la pena que se le haya impuesto sean sometidos a un Tribunal superior, conforme a lo prescrito por la ley". También es cierto que existe un Dictamen del Comité de Derechos Humanos de Naciones Unidas, de fecha 11 de agosto de 2000, en el caso Gómez Vázquez v. España, según el cual España habría vulnerado el art. 14.5 del Pacto. La queja, en aquel asunto, se sustentaba básicamente en que el recurso de casación no permite la revisión del fallo condenatorio y la pena en el sentido del citado artículo, ya que sólo puede ser interpuesto por razones jurídicas muy limitadas y sin posibilidad de que el Tribunal de casación efectúe una nueva valoración de las pruebas. El Dictamen del Comité, en su párrafo 11.1 establece: "El Comité concluye que la inexistencia de la posibilidad de que el fallo condenatorio y la pena del autor fueran revisadas íntegramente, ...  limitándose dicha revisión a aspectos formales o legales de la sentencia, no cumple las garantías que exige el párrafo 5, artículo 14, del Pacto".</w:t>
      </w:r>
    </w:p>
    <w:p w:rsidR="0025129F" w:rsidRDefault="0025129F" w:rsidP="0025129F">
      <w:pPr>
        <w:pStyle w:val="TextoNormal"/>
      </w:pPr>
      <w:r>
        <w:t>Ahora bien, ha de tenerse en cuenta que las competencias del Comité, en virtud de los arts.  41 y 42 del Pacto y del Protocolo facultativo de 16 de diciembre de 1966,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para presentar sus observaciones al Estado parte y al individuo, haciendo constar en su caso la existencia de una violación del Pacto en el caso concreto. Y esto es lo que se produce en el Dictamen de 11 de agosto de 2000, en el que el Comité "considera que los hechos examinados revelan una violación del párrafo 5 del artículo 14 del Pacto, respecto del Sr. Cesario Gómez Vázquez" (párrafo 12) supuesto bien distinto al que aquí se analiza.</w:t>
      </w:r>
    </w:p>
    <w:p w:rsidR="0025129F" w:rsidRDefault="0025129F" w:rsidP="0025129F">
      <w:pPr>
        <w:pStyle w:val="TextoNormal"/>
      </w:pPr>
      <w:r>
        <w:t>Además, ha de tenerse en cuenta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rsidR="0025129F" w:rsidRDefault="0025129F" w:rsidP="0025129F">
      <w:pPr>
        <w:pStyle w:val="TextoNormal"/>
      </w:pPr>
      <w:r>
        <w:t>Por tanto,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w:t>
      </w:r>
    </w:p>
    <w:p w:rsidR="0025129F" w:rsidRDefault="0025129F" w:rsidP="0025129F">
      <w:pPr>
        <w:pStyle w:val="TextoNormal"/>
      </w:pPr>
      <w:r>
        <w:t xml:space="preserve">No obstante, las "observaciones" del Comité no han de ser interpretadas necesariamente como la puesta en cuestión de la idoneidad del recurso de casación penal para cumplir con las exigencias del Pacto sino que, interpretadas en el estricto ámbito de su competencia, se limitan a señalar que en un caso concreto, un individuo concreto no tuvo la posibilidad de que su condena fuera revisada de acuerdo con los requisitos del art. 14.5 del Pacto. Ciertamente, se afirma en el párrafo 13 la obligación del Estado de tomar las disposiciones necesarias para que en lo sucesivo no ocurran violaciones parecidas, pero tales disposiciones no han de consistir en una reforma legislativa, pues -como en numerosas ocasiones ha puesto de relieve este Tribunal- una correcta interpretación de la casación penal </w:t>
      </w:r>
      <w:r>
        <w:lastRenderedPageBreak/>
        <w:t>permite que este recurso cumpla con las exigencias de revisión de la declaración de culpabilidad y de la pena por un Tribunal superior derivadas del art.  14.5 del Pacto.</w:t>
      </w:r>
    </w:p>
    <w:p w:rsidR="0025129F" w:rsidRDefault="0025129F" w:rsidP="0025129F">
      <w:pPr>
        <w:pStyle w:val="TextoNormal"/>
      </w:pPr>
      <w:r>
        <w:t>b) Nuestra jurisprudencia respecto de la cuestión del doble grado de jurisdicción se inicia con la STC 42/1982, de 5 de julio, y puede concretarse en los siguientes puntos:</w:t>
      </w:r>
    </w:p>
    <w:p w:rsidR="0025129F" w:rsidRDefault="0025129F" w:rsidP="0025129F">
      <w:pPr>
        <w:pStyle w:val="TextoNormal"/>
      </w:pPr>
      <w:r>
        <w:t>1) El mandato del art. 14.5 PIDCP, aún cuando no tiene un reconocimiento constitucional expreso,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 (STC 42/1982, de 5 de julio, FJ 3; en el mismo sentido, integrándolo en el derecho a un proceso con todas las garantías, SSTC 76/1982, de 14 de diciembre, FJ 5; 30/1986, de 20 de febrero, FJ 2; 133/2000, de 16 de mayo, FJ 3; 64/2001, de 17 de marzo, FJ 5, entre otras muchas).</w:t>
      </w:r>
    </w:p>
    <w:p w:rsidR="0025129F" w:rsidRDefault="0025129F" w:rsidP="0025129F">
      <w:pPr>
        <w:pStyle w:val="TextoNormal"/>
      </w:pPr>
      <w:r>
        <w:t>2) De la lectura del art. 14.5 PIDCP "se desprende claramente que no se establece propiamente una 'doble instancia', sino una sumisión del fallo condenatorio y de la pena a un 'Tribunal superior', sumisión que habrá de ser conforme 'a lo prescrito por la Ley', por lo que ésta en cada país fijará sus modalidades" (STC 76/1982, de 14 de diciembre, FJ 5).</w:t>
      </w:r>
    </w:p>
    <w:p w:rsidR="0025129F" w:rsidRDefault="0025129F" w:rsidP="0025129F">
      <w:pPr>
        <w:pStyle w:val="TextoNormal"/>
      </w:pPr>
      <w:r>
        <w:t>3) El mandato del art. 14.5 PIDCP se ha incorporado a nuestro Derecho interno y aunque no es bastante para crear por sí mismo recursos inexistentes (SSTC 42/1982, de 5 de julio, FJ 3; 51/1985, de 10 de abril, FJ 3; 30/1986, de 20 de febrero, FJ 2), el recurso de casación en materia penal puede cumplir con sus exigencias, siempre y cuando se realice una interpretación amplia del mismo ("requiere del intérprete el entendimiento más favorable a un recurso de este género de las normas procesales", STC 60/1985, de 6 de mayo, FJ 2), que permita "apurar las posibilidades del recurso de casación" (STC 140/1985, de 21 de octubre, FJ 2). Por tanto hemos de recordar la doctrina general según la cual la casación penal "cumple en nuestro Ordenamiento el papel de 'Tribunal superior' que revisa las Sentencias de instancia en la vía criminal a que se refiere el art.  14.5 del Pacto internacional de derechos civiles y políticos", y que la regulación de la casación ha de ser interpretada en función de aquel derecho fundamental y "en el sentido más favorable para su eficacia" (STC 123/1986, de 22 de octubre, FJ 2).</w:t>
      </w:r>
    </w:p>
    <w:p w:rsidR="0025129F" w:rsidRDefault="0025129F" w:rsidP="0025129F">
      <w:pPr>
        <w:pStyle w:val="TextoNormal"/>
      </w:pPr>
      <w:r>
        <w:t>En esta línea son numerosas las Sentencias que otorgan el amparo en casos en que se había inadmitido el recurso de casación penal, o alguno de los motivos planteados en el mismo, con una interpretación que este Tribunal calificó de restrictiva y formalista (así, entre otras, SSTC 60/1985, de 6 de mayo; 140/1985, de 21 de octubre; 57/1986, de 14 de mayo; 123/1986, de 22 de octubre; 79/1987, de 27 de mayo; 69/1990, de 5 de abril; 71/1992, de 13 de mayo; 190/1994, de 20 de junio; 184/1997, de 28 de octubre; 221/2000, de 18 de septiembre).</w:t>
      </w:r>
    </w:p>
    <w:p w:rsidR="0025129F" w:rsidRDefault="0025129F" w:rsidP="0025129F">
      <w:pPr>
        <w:pStyle w:val="TextoNormal"/>
      </w:pPr>
      <w:r>
        <w:t xml:space="preserve">Igualmente, la STC 37/1988, de 3 de marzo, declaró la inconstitucionalidad del inciso final del párrafo segundo del art. 876 LECrim, por su contradicción con el art. 24 CE, estableciendo en su fundamento jurídico 5 las consecuencias "ineludibles" que "la interpretación integradora entre el derecho a la tutela judicial, el derecho al sometimiento a un Tribunal superior y la regulación interna de la casación penal impone". "Es la primera que la casación penal 'no está sólo al servicio de los intereses objetivos ligados a la necesaria depuración en Derecho del obrar judicial, sino que al desenvolver esta función (la del art. 14.5 del Pacto) protege también al justiciable» (STC 60/1985). Es la segunda, muy ligada a la anterior, que de todo ello deriva no solo un mandato al legislador interno, sino un derecho fundamental para el ciudadano, de tal manera que la norma que lo contradiga será inconstitucional, 'inconstitucionalidad que no nace de su contradicción directa con el art. </w:t>
      </w:r>
      <w:r>
        <w:lastRenderedPageBreak/>
        <w:t>14.5 del Pacto, sino de su contradicción con el art. 24 de la Constitución' (STC 76/1982). La tercera consecuencia, válida para casos ya resueltos aquí y también para el presente, es que ese recurso puede ser la casación penal, y ese Tribunal superior, el Tribunal Supremo 'juzgando en casación'; 'recurso al que, si previsto en la Ley y con las condiciones por ella requerida, tendrá derecho aquel contra quien se hubiere dictado Sentencia condenatoria' (STC 60/1985)".</w:t>
      </w:r>
    </w:p>
    <w:p w:rsidR="0025129F" w:rsidRDefault="0025129F" w:rsidP="0025129F">
      <w:pPr>
        <w:pStyle w:val="TextoNormal"/>
      </w:pPr>
      <w:r>
        <w:t>En definitiva,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0025129F" w:rsidRDefault="0025129F" w:rsidP="0025129F">
      <w:pPr>
        <w:pStyle w:val="TextoNormal"/>
      </w:pPr>
      <w:r>
        <w:t>c) Conviene, no obstante, realizar alguna precisión adicional respecto de las posibilidades de revisión en sede casacional y, en concreto, de la posibilidad de examinar los hechos probados.  Y ello para poder responder a la cuestión de si existe o no la posibilidad de una "revisión íntegra" del fallo condenatorio y la pena impuesta, entendiendo por tal la que permite, junto a la revisión de los aspectos formales o legales de la Sentencia (lo que, conforme al Dictamen del Comité, por sí solo no cumple con las garantías derivadas del Pacto), la revisión de los hechos probados en los que se fundamenta el fallo condenatorio.</w:t>
      </w:r>
    </w:p>
    <w:p w:rsidR="0025129F" w:rsidRDefault="0025129F" w:rsidP="0025129F">
      <w:pPr>
        <w:pStyle w:val="TextoNormal"/>
      </w:pPr>
      <w:r>
        <w:t xml:space="preserve">Al respecto ha de señalarse, en primer lugar, que no es correcto afirmar, como pretende el recurrente, que nuestro sistema casacional se limite al análisis de cuestiones jurídicas y formales y que no permita revisar las pruebas salvo en el estrecho cauce que ofrece el art. 849.2 LECrim.  Actualmente, en virtud del art. 852 LECrim, en todo caso el recurso de casación podrá interponerse fundándose en la infracción de un precepto constitucional. Y a través de la invocación del 24.2 CE (tanto del proceso con todas las garantías como, fundamentalmente, de la presunción de inocencia), es posible que el Tribunal Supremo controle tanto la licitud de la prueba practicada en la que se fundamenta el fallo, como su suficiencia para desvirtuar la presunción de inocencia y la razonabilidad de las inferencias realizadas. En definitiva, mediante la alegación como motivo de casación de la infracción del derecho a la presunción de inocencia, el recurrente puede cuestionar no solo el cumplimiento de las garantías legales y constitucionales de la prueba practicada, sino la declaración de culpabilidad que el Juzgador de instancia dedujo de su contenido (STC 2/2002, de 14 de enero, FJ 2). Por tanto,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valoración de la prueba. Todo ello -como ha puesto de relieve también el propio Tribunal Supremo, Auto </w:t>
      </w:r>
      <w:r>
        <w:lastRenderedPageBreak/>
        <w:t>de la Sala de lo Penal de 14 de diciembre de 2001, FJ 7- sin perjuicio de que la aparición de nuevas pruebas que el acusado no pudo ofrecer en el proceso, puede, en su caso, dar lugar a un recurso de revisión (art. 954 LECrim), posibilidad que completa el conjunto de garantías del debido proceso.</w:t>
      </w:r>
    </w:p>
    <w:p w:rsidR="0025129F" w:rsidRDefault="0025129F" w:rsidP="0025129F">
      <w:pPr>
        <w:pStyle w:val="TextoNormal"/>
      </w:pPr>
      <w:r>
        <w:t>d) Finalmente, y aplicando las anteriores consideraciones al presente caso, ha de concluirse que en el mismo no se ha producido vulneración alguna del derecho al proceso con todas las garantías del art. 24.2 CE, pues el Tribunal Supremo ha revisado el fallo condenatorio y la pena conforme a las exigencias derivadas del art. 14.5 PIDCP.</w:t>
      </w:r>
    </w:p>
    <w:p w:rsidR="0025129F" w:rsidRDefault="0025129F" w:rsidP="0025129F">
      <w:pPr>
        <w:pStyle w:val="TextoNormal"/>
      </w:pPr>
      <w:r>
        <w:t>Sostiene el recurrente en amparo que, ante su denuncia de errores en la valoración de la prueba por parte de la Audiencia Provincial, basados en documentos obrantes en autos, y su solicitud de una nueva valoración, el Tribunal Supremo se limita a contestarle que tales datos no son esenciales y no los valora, con lo que se habría vulnerado su derecho a la revisión íntegra del fallo condenatorio y la pena.</w:t>
      </w:r>
    </w:p>
    <w:p w:rsidR="0025129F" w:rsidRDefault="0025129F" w:rsidP="0025129F">
      <w:pPr>
        <w:pStyle w:val="TextoNormal"/>
      </w:pPr>
      <w:r>
        <w:t>Pues bien, en primer lugar, lo que el Tribunal Supremo contesta al recurrente en el fundamento jurídico 11 es que el cauce casacional abierto por el art. 849.2 LECrim "está restringido a los casos de oposición entre una afirmación fáctica de la sentencia y lo que un documento casacional propiamente dicho acredite por sí mismo", y que en este caso no hay contradicción alguna de esta naturaleza y que "las omisiones que se enumeran se refieren a datos no esenciales, en su mayoría aludidos y valorados en las sentencias de instancia y en esta de casación". Pero de ello no puede derivarse ni una interpretación excesivamente rigorista del cauce casacional, ni una negativa a la revisión del fallo condenatorio y la pena, puesto que en el fundamento jurídico anterior (FJ 10), al analizar la presunta vulneración del derecho a la presunción de inocencia, la Sentencia ya se había ocupado ampliamente del análisis de la prueba de cargo practicada (testimonio del coimputado corroborado periféricamente por el testimonio del testigo don Juan Ramón Martínez y por la nota manuscrita ocupada al recurrente en el momento de la detención), considerando que las citadas pruebas se han practicado con las debidas garantías legales y se han valorado por el Tribunal de instancia de forma "extensa y lógica", por lo que considera que existe actividad probatoria de cargo suficiente para desvirtuar la presunción de inocencia.</w:t>
      </w:r>
    </w:p>
    <w:p w:rsidR="0025129F" w:rsidRDefault="0025129F" w:rsidP="0025129F">
      <w:pPr>
        <w:pStyle w:val="TextoNormal"/>
      </w:pPr>
      <w:r>
        <w:t>Lo cual -unido al resto de la fundamentación jurídica de la Sentencia, en la que el Tribunal Supremo da al recurrente respuesta respecto de las múltiples cuestiones planteadas en su recurso-, nos permite afirmar que, en el presente caso, se han cumplido las exigencias derivadas del doble grado de jurisdicción, habiéndose controlado no sólo los aspectos formales o legales, sino también los fácticos, a través del control de la aplicación de las reglas procesales y de valoración de la prueba llevada a cabo por el Tribunal inferior.</w:t>
      </w:r>
    </w:p>
    <w:p w:rsidR="0025129F" w:rsidRDefault="0025129F" w:rsidP="0025129F">
      <w:pPr>
        <w:pStyle w:val="TextoNormal"/>
      </w:pPr>
    </w:p>
    <w:p w:rsidR="0025129F" w:rsidRDefault="0025129F" w:rsidP="0025129F">
      <w:pPr>
        <w:pStyle w:val="TextoNormal"/>
      </w:pPr>
      <w:r w:rsidRPr="0025129F">
        <w:rPr>
          <w:rStyle w:val="NumeroAFNegritaCaracter"/>
        </w:rPr>
        <w:t>8</w:t>
      </w:r>
      <w:r>
        <w:t>. Por lo que respecta a la alegada vulneración del derecho a la tutela judicial efectiva (art.  24.1 CE), denuncia el recurrente incongruencia omisiva a la Sentencia dictada en casación, al no haberse pronunciado el Tribunal Supremo sobre diversas cuestiones que le fueron planteadas, en concreto: la solicitud de vista, la nulidad de la carta como prueba de cargo y de las que tenían causa en ella y el grado de ejecución del delito.</w:t>
      </w:r>
    </w:p>
    <w:p w:rsidR="0025129F" w:rsidRDefault="0025129F" w:rsidP="0025129F">
      <w:pPr>
        <w:pStyle w:val="TextoNormal"/>
      </w:pPr>
      <w:r>
        <w:t>En cuanto a la incongruencia omisiva denunciada por el recurrente, como señalamos en STC 189/2001, de 24 de septiembre, FJ 1, constituye reiterada doctrina de este Tribunal que "la congruencia exigible, desde la perspectiva del respeto al derecho fundamental que consagra el art. 24.1 CE, comprende la obtención de una respuesta razonada a las pretensiones de las partes, pero no un razonamiento autónomo y pormenorizado a todos y cada uno de los fundamentos jurídicos en que aquéllas se sustenten.  Y también se ha mantenido constantemente por este Tribunal que las exigencias derivadas de aquel precepto cons</w:t>
      </w:r>
      <w:r>
        <w:lastRenderedPageBreak/>
        <w:t>titucional han de entenderse cumplidas en la denominada motivación implícita y no sólo y necesariamente en la expresa o manifiesta".</w:t>
      </w:r>
    </w:p>
    <w:p w:rsidR="0025129F" w:rsidRDefault="0025129F" w:rsidP="0025129F">
      <w:pPr>
        <w:pStyle w:val="TextoNormal"/>
      </w:pPr>
      <w:r>
        <w:t>En el presente caso, y en contra de lo que afirma el recurrente, la Sentencia de la Sala Segunda del Tribunal Supremo sí se pronuncia sobre cada una de las cuestiones anteriormente señaladas.</w:t>
      </w:r>
    </w:p>
    <w:p w:rsidR="0025129F" w:rsidRDefault="0025129F" w:rsidP="0025129F">
      <w:pPr>
        <w:pStyle w:val="TextoNormal"/>
      </w:pPr>
      <w:r>
        <w:t>Respecto de la nulidad de la supuesta carta como prueba de cargo, en su fundamento jurídico 8 argumenta ampliamente acerca de las razones por las que entiende que no se ha producido vulneración alguna del derecho al secreto de las comunicaciones (art.  18.3 CE), al entender que lo ocupado al detenido no era una carta en el sentido del art. 18.3 CE y 579 LECrim, pues ni iba contenida en un sobre, ni se trataba de un envío realizado a través del servicio postal de correos, sino que se trataba, como señalaba la sentencia de instancia, de "unas hojas de papel manuscritas sin sobre", que han de considerarse "efectos personales del detenido", respecto de los que "lo procedente era la recogida policial de los efectos, su entrega en el Juzgado competente y su unión a las actuaciones para su adecuada valoración, todo lo cual así se ha efectuado". A la vista de lo cual, añade expresamente, "que no se trata de una prueba ilícita, prohibida, inexistente y no valorable".</w:t>
      </w:r>
    </w:p>
    <w:p w:rsidR="0025129F" w:rsidRDefault="0025129F" w:rsidP="0025129F">
      <w:pPr>
        <w:pStyle w:val="TextoNormal"/>
      </w:pPr>
      <w:r>
        <w:t>También se pronuncia el Tribunal Supremo sobre la apreciación del delito imposible (FFJJ 5 y 12), y sobre la inaplicación del art. 16 CP (FFJJ 15 y 4 al que se remite), considerando que el carácter de delito de mera actividad y de peligro abstracto del delito cometido, y el concierto previo de los procesados determina, conforme a su jurisprudencia, la consideración de que el delito queda consumado.</w:t>
      </w:r>
    </w:p>
    <w:p w:rsidR="0025129F" w:rsidRDefault="0025129F" w:rsidP="0025129F">
      <w:pPr>
        <w:pStyle w:val="TextoNormal"/>
      </w:pPr>
      <w:r>
        <w:t>Por último, también se ha pronunciado el Tribunal Supremo, en el Auto de 13 de septiembre de 2001, sobre las razones por las que el recurso de casación se ha resuelto sin vista, pese a haberla solicitado el recurrente, entendiendo que el art. 893 bis a) LECrim sólo impone la celebración de vista respecto de ciertos delitos entre los que no se encuentran los delitos contra la salud pública y cuando, dada la pena impuesta, todas las partes lo soliciten o el Tribunal lo estime necesario. En este caso, el Tribunal consideró innecesaria la vista, la representación del otro recurrente no la solicitó y el Ministerio Fiscal manifestó que no la consideraba necesaria, por lo que la mera solicitud por una de las partes entiende el Tribunal que no le obliga a celebrarla conforme a la Ley procesal penal.</w:t>
      </w:r>
    </w:p>
    <w:p w:rsidR="0025129F" w:rsidRDefault="0025129F" w:rsidP="0025129F">
      <w:pPr>
        <w:pStyle w:val="TextoNormal"/>
      </w:pPr>
      <w:r>
        <w:t>Por tanto, en todos estos extremos, el Tribunal Supremo ha dado respuesta expresa, pormenorizada y razonada al recurrente, aunque contraria a sus pretensiones, por lo que la queja respecto de la presunta vulneración del derecho a la tutela judicial efectiva resulta absolutamente infundada.</w:t>
      </w:r>
    </w:p>
    <w:p w:rsidR="0025129F" w:rsidRDefault="0025129F" w:rsidP="0025129F">
      <w:pPr>
        <w:pStyle w:val="TextoNormal"/>
      </w:pPr>
    </w:p>
    <w:p w:rsidR="0025129F" w:rsidRDefault="0025129F" w:rsidP="0025129F">
      <w:pPr>
        <w:pStyle w:val="TextoNormal"/>
      </w:pPr>
      <w:r w:rsidRPr="0025129F">
        <w:rPr>
          <w:rStyle w:val="NumeroAFNegritaCaracter"/>
        </w:rPr>
        <w:t>9</w:t>
      </w:r>
      <w:r>
        <w:t>. Nos corresponde ahora analizar la queja relativa a la presunta vulneración del derecho a la intimidad (art. 18.1 CE) en relación con el derecho al secreto de las comunicaciones postales (art. 18.3 CE). Alega el recurrente que en el momento de su detención le fue intervenida una carta, que la Guardia Civil desdobló y leyó sin previa autorización judicial, con lo que se habría vulnerado su derecho al secreto de las comunicaciones postales y su derecho a la intimidad, al tratarse de una comunicación privada, que iba doblada en el interior de una agenda, guardando su contenido de terceros.</w:t>
      </w:r>
    </w:p>
    <w:p w:rsidR="0025129F" w:rsidRDefault="0025129F" w:rsidP="0025129F">
      <w:pPr>
        <w:pStyle w:val="TextoNormal"/>
      </w:pPr>
      <w:r>
        <w:t>a) El análisis de esta queja debe comenzar por la delimitación del derecho fundamental ante el que nos encontramos, pues si se llegara a la conclusión de que el derecho fundamental en juego es el secreto de las comunicaciones postales, asistiría razón al recurrente cuando afirma la vulneración del mismo, dado que no existió autorización judicial previa para la lectura de dicha comunicación, requisito ineludible conforme al art. 18.3 CE.</w:t>
      </w:r>
    </w:p>
    <w:p w:rsidR="0025129F" w:rsidRDefault="0025129F" w:rsidP="0025129F">
      <w:pPr>
        <w:pStyle w:val="TextoNormal"/>
      </w:pPr>
      <w:r>
        <w:lastRenderedPageBreak/>
        <w:t>Las resoluciones judiciales recurridas niegan que nos encontremos en el ámbito del derecho al secreto de las comunicaciones, argumentando la Sentencia de instancia que lo intervenido al recurrente ("unas hojas de papel manuscritas y dobladas, sin sobre", que se hallaron en el interior de una agenda) no puede considerarse una carta -"entendiéndose como tal el escrito contenido en unas cuartillas, manuscritas o no, que van introducidas en un sobre"-, sino efectos personales del detenido, que fueron reseñados y retenidos por los funcionarios judiciales de forma legítima, e incorporados a la causa para su adecuada valoración. Siendo así, la alegación carecería de fundamento, pues "no hubo ni detención previa de correspondencia ni apertura posterior de la misma". La Sentencia del Tribunal Supremo entiende, además, que no nos encontramos ante una "comunicación postal" comprendida en el ámbito de protección del art. 18.3 CE, definiendo tales comunicaciones como "los envíos que puedan hacerse a través del servicio postal de correos y, por extensión, a través de entidades privadas que ofrezcan análogos servicios", lo que no sucede en el escrito en cuestión (que le había sido entregado al destinatario a través de una tercera persona). Una argumentación que supone, según el recurrente, una restricción del ámbito del derecho fundamental que encuentra mal acomodo en el texto constitucional y que, de acuerdo con nuestra jurisprudencia, no podemos asumir.</w:t>
      </w:r>
    </w:p>
    <w:p w:rsidR="0025129F" w:rsidRDefault="0025129F" w:rsidP="0025129F">
      <w:pPr>
        <w:pStyle w:val="TextoNormal"/>
      </w:pPr>
      <w:r>
        <w:t>b) Nuestra jurisprudencia al respecto -desde STC 114/1984, de 29 de noviembre, FJ 7- puede resumirse en los siguientes puntos:</w:t>
      </w:r>
    </w:p>
    <w:p w:rsidR="0025129F" w:rsidRDefault="0025129F" w:rsidP="0025129F">
      <w:pPr>
        <w:pStyle w:val="TextoNormal"/>
      </w:pPr>
      <w:r>
        <w:t>1) Se protege la libertad de comunicaciones: "Rectamente entendido, el derecho fundamental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Y puede decirse también que el concepto de secreto que aparece en el art. 18.3, no cubre sólo el contenido de la comunicación, sino también, en su caso, otros aspectos de la misma, como la identidad subjetiva de los interlocutores o de los corresponsales" (STC 114/1984, de 29 de noviembre, FJ 7).</w:t>
      </w:r>
    </w:p>
    <w:p w:rsidR="0025129F" w:rsidRDefault="0025129F" w:rsidP="0025129F">
      <w:pPr>
        <w:pStyle w:val="TextoNormal"/>
      </w:pPr>
      <w:r>
        <w:t>2) Se garantiza la impenetrabilidad de la comunicación para terceros: "Sea cual sea el ámbito objetivo del concepto de comunicación, la norma constitucional se dirige inequívocamente a garantizar su impenetrabilidad por terceros (públicos o privados: el derecho posee eficacia erga omnes) ajenos a la comunicación misma" (STC 114/1984, de 29 de noviembre, FJ 7).</w:t>
      </w:r>
    </w:p>
    <w:p w:rsidR="0025129F" w:rsidRDefault="0025129F" w:rsidP="0025129F">
      <w:pPr>
        <w:pStyle w:val="TextoNormal"/>
      </w:pPr>
      <w:r>
        <w:t>3) El concepto de lo secreto tiene carácter formal: "El concepto de secreto en el art.  18.3 tiene un carácter formal, en el sentido de que se predica de lo comunicado, sea cual sea su contenido y pertenezca o no el objeto de la comunicación misma al ámbito de lo personal, lo íntimo o lo reservado" (SSTC 114/1984, de 29 de noviembre, FJ 7; 34/1996, de 11 de marzo, FJ 4).</w:t>
      </w:r>
    </w:p>
    <w:p w:rsidR="0025129F" w:rsidRDefault="0025129F" w:rsidP="0025129F">
      <w:pPr>
        <w:pStyle w:val="TextoNormal"/>
      </w:pPr>
      <w:r>
        <w:t xml:space="preserve">Más allá, nuestra jurisprudencia se ha orientado a la definición de las garantías constitucionales que permiten la intervención de las comunicaciones, fundamentalmente telefónicas (previsión legal de la medida con suficiente precisión; autorización judicial mediante una decisión suficientemente motivada y ejecución de la medida con estricta observancia del principio de proporcionalidad; cfr., entre las más recientes, SSTC 49/1996, de 26 de marzo, FJ 3; 121/1998, de 15 de junio, FJ 5; 49/1999, de 5 de abril, FFJJ 4, 5, 6 y 7; </w:t>
      </w:r>
      <w:r>
        <w:lastRenderedPageBreak/>
        <w:t>166/1999, 27 de septiembre, FJ 2; 299/2000, de 11 de diciembre, FJ 2; 14/2001, de 29 de enero, FJ 2).</w:t>
      </w:r>
    </w:p>
    <w:p w:rsidR="0025129F" w:rsidRDefault="0025129F" w:rsidP="0025129F">
      <w:pPr>
        <w:pStyle w:val="TextoNormal"/>
      </w:pPr>
      <w:r>
        <w:t>Ciertamente los avances tecnológicos que en los últimos tiempos se han producido en el ámbito de las telecomunicaciones, especialmente en conexión con el uso de la informática, hacen necesario un nuevo entendimiento del concepto de comunicación y del objeto de protección del derecho fundamental, que extienda la protección a esos nuevos ámbitos, como se deriva necesariamente del tenor literal del art. 18.3 CE.</w:t>
      </w:r>
    </w:p>
    <w:p w:rsidR="0025129F" w:rsidRDefault="0025129F" w:rsidP="0025129F">
      <w:pPr>
        <w:pStyle w:val="TextoNormal"/>
      </w:pPr>
      <w:r>
        <w:t>c) A la vista de la doctrina anteriormente expuesta, en el presente caso, si la carta hallada por la Guardia Civil en el momento de la detención hubiera tenido inequívocamente tal carácter, podríamos plantearnos si estaríamos en el ámbito de protección del art. 18.3 CE.</w:t>
      </w:r>
    </w:p>
    <w:p w:rsidR="0025129F" w:rsidRDefault="0025129F" w:rsidP="0025129F">
      <w:pPr>
        <w:pStyle w:val="TextoNormal"/>
      </w:pPr>
      <w:r>
        <w:t>Sin embargo, el hallazgo que se produce es algo distinto. Pues la supuesta carta no presentaba ninguna evidencia externa que hubiera permitido a la Guardia Civil ex ante tener la constancia objetiva de que aquello era el objeto de una comunicación postal secreta, tutelada por el art. 18.3 CE. Por el contrario, la apariencia externa del hallazgo era equívoca: unas hojas de papel dobladas en el interior de una agenda no hay por qué suponer que fueran una carta y no resultaría exigible a la Guardia Civil que actuara respecto de cualquier papel intervenido al delincuente, en el momento de la detención, con la presunción de que se trata de una comunicación postal.</w:t>
      </w:r>
    </w:p>
    <w:p w:rsidR="0025129F" w:rsidRDefault="0025129F" w:rsidP="0025129F">
      <w:pPr>
        <w:pStyle w:val="TextoNormal"/>
      </w:pPr>
      <w:r>
        <w:t>A lo que ha de añadirse otra consideración, relativa al momento en que se produce la intervención policial. Pues tal intervención no interfiere un proceso de comunicación, sino que el citado proceso ya se ha consumado, lo que justifica el tratamiento del documento como tal (como efectos del delincuente que se examinan y se ponen a disposición judicial) y no en el marco del secreto de las comunicaciones. La protección del derecho al secreto de las comunicaciones alcanza al proceso de comunicación mismo, pero finalizado el proceso en que la comunicación consiste, la protección constitucional de lo recibido se realiza en su caso a través de las normas que tutelan la intimidad u otros derechos.</w:t>
      </w:r>
    </w:p>
    <w:p w:rsidR="0025129F" w:rsidRDefault="0025129F" w:rsidP="0025129F">
      <w:pPr>
        <w:pStyle w:val="TextoNormal"/>
      </w:pPr>
      <w:r>
        <w:t>Estos dos datos (falta de constancia o evidencia ex ante de que lo intervenido es el objeto de una comunicación secreta impenetrable para terceros y falta de interferencia en un proceso de comunicación) son los decisivos en el presente supuesto para afirmar que no nos hallamos en el ámbito protegido por el derecho al secreto de las comunicaciones postales sino, en su caso, en el ámbito del derecho a la intimidad del art.  18.1 CE. Pues, y esto debe subrayarse, el art. 18.3 CE contiene una especial protección de las comunicaciones, cualquiera que sea el sistema empleado para realizarlas, que se declara indemne frente a cualquier interferencia no autorizada judicialmente.</w:t>
      </w:r>
    </w:p>
    <w:p w:rsidR="0025129F" w:rsidRDefault="0025129F" w:rsidP="0025129F">
      <w:pPr>
        <w:pStyle w:val="TextoNormal"/>
      </w:pPr>
    </w:p>
    <w:p w:rsidR="0025129F" w:rsidRDefault="0025129F" w:rsidP="0025129F">
      <w:pPr>
        <w:pStyle w:val="TextoNormal"/>
      </w:pPr>
      <w:r w:rsidRPr="0025129F">
        <w:rPr>
          <w:rStyle w:val="NumeroAFNegritaCaracter"/>
        </w:rPr>
        <w:t>10</w:t>
      </w:r>
      <w:r>
        <w:t>. Ubicada de este modo la queja en el marco del derecho a la intimidad (art. 18.1 CE), analizaremos a continuación si -como también alega el recurrente- la actuación policial vulneró este derecho.</w:t>
      </w:r>
    </w:p>
    <w:p w:rsidR="0025129F" w:rsidRDefault="0025129F" w:rsidP="0025129F">
      <w:pPr>
        <w:pStyle w:val="TextoNormal"/>
      </w:pPr>
      <w:r>
        <w:t>a) Es doctrina constitucional reiterada que el derecho a la intimidad personal garantizado por el art. 18.1 CE, en cuanto derivación de la dignidad de la persona reconocida en el art. 10.1 CE, implica "la existencia de un ámbito propio y reservado frente a la acción y el conocimiento de los demás, necesario, según las pautas de nuestra cultura para mantener una calidad mínima de la vida humana" (SSTC 209/1988, de 27 de octubre; 231/1988, de 1 de diciembre; 197/1991, de 17 de octubre; 99/1994, de 11 de abril; 143/1994, de 9 de mayo, FJ 6; 207/1996, de 16 de diciembre, FJ 3; 98/2000, de 10 de abril, FJ 5; 156/2001, de 2 de julio, FJ 4, entre otras).</w:t>
      </w:r>
    </w:p>
    <w:p w:rsidR="0025129F" w:rsidRDefault="0025129F" w:rsidP="0025129F">
      <w:pPr>
        <w:pStyle w:val="TextoNormal"/>
      </w:pPr>
      <w:r>
        <w:t xml:space="preserve">Constituye, igualmente, doctrina reiterada de este Tribunal, que el derecho a la intimidad no es absoluto, como no lo es ninguno de los derechos fundamentales, pudiendo ceder </w:t>
      </w:r>
      <w:r>
        <w:lastRenderedPageBreak/>
        <w:t>ante intereses constitucionalmente relevantes, siempre que el recorte que aquél haya de experimentar se revele como necesario para lograr un fin constitucionalmente legítimo, proporcionado para alcanzarlo y, en todo caso, sea respetuoso con el contenido esencial del derecho (SSTC 57/1994, de 28 de febrero, FJ 6; 143/1994, de 9 de mayo, FJ 6; 98/2000, de 10 de abril, FJ 5, 186/2000, de 10 de julio, FJ 5; 156/2001, de 2 de julio, FJ 4).</w:t>
      </w:r>
    </w:p>
    <w:p w:rsidR="0025129F" w:rsidRDefault="0025129F" w:rsidP="0025129F">
      <w:pPr>
        <w:pStyle w:val="TextoNormal"/>
      </w:pPr>
      <w:r>
        <w:t>Precisando la anterior doctrina, en la STC 207/1996, de 16 de diciembre, FJ 4, establecimos como requisitos que proporcionan una justificación constitucional objetiva y razonable a la injerencia en el derecho a la intimidad los siguientes: la existencia de un fin constitucionalmente legítimo (considerando como tal "el interés público propio de la investigación de un delito, y, más en concreto, la determinación de hechos relevantes para el proceso penal"); que la medida limitativa del derecho esté prevista en la ley (principio de legalidad); que como regla general se acuerda mediante una resolución judicial motivada (si bien reconociendo que debido a la falta de reserva constitucional a favor del Juez, la Ley puede autorizar a la policía judicial para la práctica de inspecciones, reconocimientos e incluso de intervenciones corporales leves, siempre y cuando se respeten los principios de proporcionalidad y razonabilidad) y, finalmente, la estricta observancia del principio de proporcionalidad, concretado en tres requisitos o condiciones: idoneidad de la medida, necesidad de la misma y proporcionalidad en sentido estricto.</w:t>
      </w:r>
    </w:p>
    <w:p w:rsidR="0025129F" w:rsidRDefault="0025129F" w:rsidP="0025129F">
      <w:pPr>
        <w:pStyle w:val="TextoNormal"/>
      </w:pPr>
      <w:r>
        <w:t>Finalmente, y en relación con la exigencia de previsión legal, en la STC 49/1999, de 5 de abril, FJ 4, sostuvimos que "por mandato expreso de la Constitución, toda injerencia estatal en el ámbito de los derechos fundamentales y las libertades públicas, ora incida directamente sobre su desarrollo (art. 81.1 CE), o limite o condicione su ejercicio (art. 53.1 CE), precisa una habilitación legal". Una reserva de ley que "constituye, en definitiva el único modo efectivo de garantizar las exigencias de seguridad jurídica en el ámbito de los derechos fundamentales y las libertades públicas" y que "no es una mera forma, sino que implica exigencias respecto del contenido de la Ley que, naturalmente, son distintas según el ámbito material de que se trate", pero "que en todo caso el legislador ha de hacer el 'máximo esfuerzo posible' para garantizar la seguridad jurídica o dicho de otro modo, 'la expectativa razonablemente fundada del ciudadano en cuál ha de ser la actuación del poder en aplicación del Derecho' (STC 36/1991, FJ 5)". Y, profundizando en esa exigencia, en la STC 169/2001, 16 de julio, FJ 6, sostuvimos, con abundante cita de Sentencias del Tribunal Europeo de Derechos Humanos, en cuanto a las características exigidas por la seguridad jurídica respecto de la calidad de la ley habilitadora de las injerencias en un derecho reconocido en el Convenio, que "la ley debe definir las modalidades y extensión del ejercicio del poder otorgado con la suficiente claridad para aportar al individuo una protección adecuada contra la arbitrariedad".</w:t>
      </w:r>
    </w:p>
    <w:p w:rsidR="0025129F" w:rsidRDefault="0025129F" w:rsidP="0025129F">
      <w:pPr>
        <w:pStyle w:val="TextoNormal"/>
      </w:pPr>
      <w:r>
        <w:t>b) Aplicando las anteriores líneas jurisprudenciales a la concreción de las posibilidades de actuación de la policía en el momento de la detención respecto de la intimidad del detenido y, en concreto, respecto de la posibilidad de examinar los efectos y documentos intervenidos, cabe realizar las siguientes precisiones:</w:t>
      </w:r>
    </w:p>
    <w:p w:rsidR="0025129F" w:rsidRDefault="0025129F" w:rsidP="0025129F">
      <w:pPr>
        <w:pStyle w:val="TextoNormal"/>
      </w:pPr>
      <w:r>
        <w:t>1) En primer lugar, debe destacarse que, en el momento de la detención, el detenido sigue siendo titular del derecho a la intimidad constitucionalmente tutelado (art. 18.1 CE), si bien este derecho puede ceder ante la presencia de otros intereses superiores constitucionalmente relevantes, que en estos casos se articulan en torno al interés público en la prevención y la investigación del delito, el descubrimiento de los delincuentes y la recogida de los instrumentos, efectos y pruebas del mismo, lo que ya hemos declarado que constituye un fin constitucionalmente legítimo. Ahora bien, la existencia de esos intereses supe</w:t>
      </w:r>
      <w:r>
        <w:lastRenderedPageBreak/>
        <w:t>riores no puede efectuarse en abstracto o con carácter general, sino que obliga a realizar una adecuada ponderación en el caso concreto.</w:t>
      </w:r>
    </w:p>
    <w:p w:rsidR="0025129F" w:rsidRDefault="0025129F" w:rsidP="0025129F">
      <w:pPr>
        <w:pStyle w:val="TextoNormal"/>
      </w:pPr>
      <w:r>
        <w:t>2) Por lo que respecta a la habilitación legal en virtud de la cual la policía judicial puede practicar la injerencia en el derecho a la intimidad del detenido, en el momento de la detención, las normas aplicables son, en primer lugar el art. 282 LECrim, que establece como obligaciones de la policía judicial la de "averiguar los delitos públicos que se cometieren en su territorio o demarcación; practicar, según sus atribuciones, las diligencias necesarias para comprobarlos y descubrir a los delincuentes, y recoger todos los efectos, instrumentos o pruebas del delito de cuya desaparición hubiere peligro poniéndolos a disposición de la Autoridad judicial". En la misma línea, el art. 11.1 de la Ley Orgánica 2/1986, de 13 de marzo, de fuerzas y cuerpos de seguridad del Estado, establece como funciones de éstos, entre otras: f) "prevenir la comisión de actos delictivos"; g)"investigar los delitos para descubrir y detener a los presuntos culpables, asegurar los instrumentos, efectos y pruebas del delito, poniéndolos a disposición del Juez o Tribunal competente y elaborar los informes técnicos y periciales procedentes". Por último, el art. 14 de la Ley Orgánica 1/1992, de 21 de febrero, sobre protección de la seguridad ciudadana, establece que la autoridades competentes podrán disponer las actuaciones policiales estrictamente necesarias para asegurar la consecución de las finalidades previstas en el art. 1 de esta Ley, finalidades entre las que se encuentra la prevención de la comisión de delitos.</w:t>
      </w:r>
    </w:p>
    <w:p w:rsidR="0025129F" w:rsidRDefault="0025129F" w:rsidP="0025129F">
      <w:pPr>
        <w:pStyle w:val="TextoNormal"/>
      </w:pPr>
      <w:r>
        <w:t>Por tanto, existe una habilitación legal específica que faculta a la policía para recoger los efectos, instrumentos y pruebas del delito y ponerlos a disposición judicial, y para practicar las diligencias necesarias para la averiguación del delito y el descubrimiento del delincuente. Entre esas diligencias (que la ley, ciertamente, no enumera casuísticamente, pero que limita adjetivándolas y orientándolas a un fin) podrá encontrarse la de examinar o acceder al contenido de esos instrumentos o efectos, y en concreto, de documentos o papeles que se le ocupen al detenido, realizando un primer análisis de los mismos, siempre que -como exige el propio texto legal- ello sea necesario (estrictamente necesario, conforme al art. 14 de la Ley Orgánica 1/1992), estricta necesidad que habrá de valorarse atendidas las circunstancias del caso y que ha de entenderse como la exigencia legal de una estricta observancia de los requisitos dimanantes del principio de proporcionalidad. Así interpretada la norma, puede afirmarse que la habilitación legal existente cumple en principio con las exigencias de certeza y seguridad jurídica dimanantes del principio de legalidad, sin perjuicio de una mayor concreción en eventuales reformas legislativas.</w:t>
      </w:r>
    </w:p>
    <w:p w:rsidR="0025129F" w:rsidRDefault="0025129F" w:rsidP="0025129F">
      <w:pPr>
        <w:pStyle w:val="TextoNormal"/>
      </w:pPr>
      <w:r>
        <w:t>3) En cuanto a la necesidad de autorización judicial, a diferencia de lo que ocurre con otras medidas restrictivas de derechos fundamentales que pueden ser adoptadas en el curso del proceso penal (como la entrada y registro en domicilio del art. 18.2 CE o la intervención de comunicaciones del art. 18.3 CE), respecto de las restricciones del derecho a la intimidad (art.  18.1 CE) no existe en la Constitución reserva absoluta de previa resolución judicial. No obstante, en la STC 37/1989, de 15 de febrero, en relación con la práctica de diligencias limitativas del ámbito constitucionalmente protegido del derecho a la intimidad, establecimos que era "sólo posible por decisión judicial" (FJ 7), aunque sin descartar la posibilidad de que en determinados casos y con la conveniente habilitación legislativa (que en tal caso no se daba), tales actuaciones pudieran ser dispuestas por la policía judicial (FJ 8). La STC 207/1996, de 16 de diciembre, FJ 3, respecto de la anterior doctrina, afirma también que "la exigencia de monopolio jurisdiccional en la limitación de los derechos fundamentales resulta, pues, aplicable a aquellas diligencias que supongan una intervención corporal, sin excluir ello no obstante (debido precisamente a esa falta de reserva constitucional en favor del Juez), que la Ley pueda autorizar a la policía judicial, para dis</w:t>
      </w:r>
      <w:r>
        <w:lastRenderedPageBreak/>
        <w:t>poner, por acreditadas razones de urgencia y necesidad, la práctica de actos que comporten una simple inspección o reconocimiento o, incluso, una intervención corporal leve, siempre y cuando se observen en su práctica los requisitos dimanantes de los principios de proporcionalidad y razonabilidad".</w:t>
      </w:r>
    </w:p>
    <w:p w:rsidR="0025129F" w:rsidRDefault="0025129F" w:rsidP="0025129F">
      <w:pPr>
        <w:pStyle w:val="TextoNormal"/>
      </w:pPr>
      <w:r>
        <w:t>Esta doctrina -establecida ciertamente en otro ámbito diferente, pero conexo- resulta aplicable también a los supuestos que nos ocupan. La regla general es que el ámbito de lo íntimo sigue preservado en el momento de la detención y que sólo pueden llevarse a cabo injerencias en el mismo mediante la preceptiva autorización judicial motivada conforme a criterios de proporcionalidad. De no existir ésta, los efectos intervenidos que puedan pertenecer al ámbito de lo íntimo han de ponerse a disposición judicial, para que sea el juez quien los examine. Esa regla general se excepciona en los supuestos en que existan razones de necesidad de intervención policial inmediata, para la prevención y averiguación del delito, el descubrimiento de los delincuentes y la obtención de pruebas incriminatorias. En esos casos estará justificada la intervención policial sin autorización judicial, siempre que la misma se realice también desde el respeto al principio de proporcionalidad.</w:t>
      </w:r>
    </w:p>
    <w:p w:rsidR="0025129F" w:rsidRDefault="0025129F" w:rsidP="0025129F">
      <w:pPr>
        <w:pStyle w:val="TextoNormal"/>
      </w:pPr>
      <w:r>
        <w:t>4) Finalmente, y por lo que respecta a la exigencia de proporcionalidad, como señalamos en la STC 49/1999, de 5 de abril, FJ 7, "desde nuestras primeras resoluciones (STC 62/1982) hasta las más recientes (especialmente SSTC 55/1996 y 161/1997) hemos consagrado el principio de proporcionalidad como un principio general que puede inferirse a través de diversos preceptos constitucionales .... y que, en el ámbito de los derechos fundamentales constituye una regla de interpretación que, por su mismo contenido, se erige en límite de toda injerencia estatal en los mismos, incorporando incluso frente a la ley exigencias positivas y negativas".</w:t>
      </w:r>
    </w:p>
    <w:p w:rsidR="0025129F" w:rsidRDefault="0025129F" w:rsidP="0025129F">
      <w:pPr>
        <w:pStyle w:val="TextoNormal"/>
      </w:pPr>
      <w:r>
        <w:t>Por tanto, para que una injerencia en el ámbito de la intimidad del detenido sea legítima habrá de satisfacer las exigencias del principio de proporcionalidad. Lo cual significa, al igual que establecimos en la STC 207/1996, de 16 de diciembre, FJ 3 e), en primer lugar, que sea idónea para alcanzar el fin constitucionalmente legítimo perseguido por ella, esto es, la investigación del delito (juicio de idoneidad); en segundo lugar, que sea necesaria o imprescindible para ello, esto es, que no existan otras medidas menos gravosas que, sin imponer sacrificio alguno de derechos fundamentales o con un sacrificio menor, sean igualmente aptas para dicho fin (juicio de necesidad); y, por último, que se deriven de su aplicación más beneficios o ventajas para el interés general que perjuicios sobre otros bienes o intereses en conflicto o, dicho de otro modo, que el sacrificio impuesto al derecho fundamental no resulte desmedido en relación con la gravedad de los hechos y las sospechas existentes (juicio de proporcionalidad en sentido estricto).</w:t>
      </w:r>
    </w:p>
    <w:p w:rsidR="0025129F" w:rsidRDefault="0025129F" w:rsidP="0025129F">
      <w:pPr>
        <w:pStyle w:val="TextoNormal"/>
      </w:pPr>
      <w:r>
        <w:t>5) La valoración de la urgencia y necesidad de la intervención policial ha de realizarse ex ante, y es susceptible de control judicial ex post, al igual que el respeto del principio de proporcionalidad. La constatación ex post de la falta del presupuesto habilitante o del respeto al principio de proporcionalidad implicaría la vulneración del derecho fundamental y tendría efectos procesales en cuanto a la ilicitud de la prueba en su caso obtenida, por haberlo sido con vulneración de derechos fundamentales.</w:t>
      </w:r>
    </w:p>
    <w:p w:rsidR="0025129F" w:rsidRDefault="0025129F" w:rsidP="0025129F">
      <w:pPr>
        <w:pStyle w:val="TextoNormal"/>
      </w:pPr>
      <w:r>
        <w:t>c) Aplicando las anteriores consideraciones a la resolución del caso concreto, podemos afirmar que no ha existido violación del derecho a la intimidad del recurrente.</w:t>
      </w:r>
    </w:p>
    <w:p w:rsidR="0025129F" w:rsidRDefault="0025129F" w:rsidP="0025129F">
      <w:pPr>
        <w:pStyle w:val="TextoNormal"/>
      </w:pPr>
      <w:r>
        <w:t xml:space="preserve">Ciertamente, lo intervenido por la Guardia Civil en el momento de la detención pertenecía al ámbito de la intimidad. Una agenda que el recurrente llevaba consigo y un documento, que no tenía sobre, pero que se encontraba en el interior de la agenda, son objetos pertenecientes al ámbito propio y reservado frente a la acción y el conocimiento de los demás, tanto desde un punto de vista objetivo (atendiendo al contenido de lo intervenido), </w:t>
      </w:r>
      <w:r>
        <w:lastRenderedPageBreak/>
        <w:t>como desde un punto de vista subjetivo (la protección otorgada al objeto por su titular, en cuanto a la preservación frente a terceros). En paralelo a lo que sostuvimos en la STC 207/1996, de 16 de diciembre, FJ 3, y con independencia de la relevancia que ello pudiera tener a la fines de la investigación penal y, por tanto, de su posible justificación, debemos afirmar que la apertura de una agenda, su examen y la lectura de los papeles que encontraban en su interior supone una intromisión en la esfera privada de la persona a la que tales efectos pertenecen, esto es, en el ámbito protegido por el derecho a la intimidad, tal como nuestra jurisprudencia lo define.</w:t>
      </w:r>
    </w:p>
    <w:p w:rsidR="0025129F" w:rsidRDefault="0025129F" w:rsidP="0025129F">
      <w:pPr>
        <w:pStyle w:val="TextoNormal"/>
      </w:pPr>
      <w:r>
        <w:t>Sentado lo anterior, debemos analizar a continuación la legitimidad de la actuación policial, conforme a los requisitos que hemos establecido y que concurren en el presente caso.  En primer lugar, se trata de una diligencia practicada en el curso de la investigación de un delito y en concreto en el momento de la detención, y orientada a la averiguación del mismo y a la recogida de instrumentos, efectos y pruebas del mismo. Por tanto, concurre un fin constitucionalmente legítimo. En segundo lugar, existe habilitación legal para la actuación de la policía, como ya hemos señalado. En tercer lugar, si bien la actuación no se realiza previa autorización judicial, podemos afirmar que estamos en uno de los supuestos excepcionados de la regla general, pues existen y pueden constatarse razones para entender que la actuación de la Guardia Civil era necesaria. Los funcionarios policiales se encontraban investigando un delito de tráfico de drogas, con implicaciones internacionales y en el marco de lo que parecía una red de criminalidad organizada, lo que resulta relevante no tanto por la gravedad del hecho -que la tiene- sino sobre todo por la modalidad delictiva y la enorme dificultad de su persecución penal. La investigación había dado como resultado la detención de varios sujetos, en el curso de una entrega controlada de drogas, pero podía suponerse que había otros implicados o datos relevantes que pudieran extraerse de un primer examen de los objetos intervenidos al recurrente, lo que razonablemente hace necesaria la intervención policial inmediata, pues una eventual espera por el tiempo necesario para obtener la autorización judicial hubiera hecho probablemente inútil la intervención. Por tanto, la necesidad de intervención inmediata en el caso concreto está acreditada. A lo que ha de añadirse, por último, que la actuación policial respeta el principio de proporcionalidad, pues se trata de una medida idónea para la investigación del delito (de la agenda y de los documentos se podían extraer -como así fue- pruebas incriminatorias y nuevos datos para la investigación), imprescindible en el caso concreto (no existían otras menos gravosas) y ejecutada de modo tal que el sacrificio del derecho fundamental no resulta desmedido en relación con la gravedad de los hechos y las sospechas existentes.</w:t>
      </w:r>
    </w:p>
    <w:p w:rsidR="0025129F" w:rsidRDefault="0025129F" w:rsidP="0025129F">
      <w:pPr>
        <w:pStyle w:val="TextoNormal"/>
      </w:pPr>
      <w:r>
        <w:t>De todo lo cual cabe concluir que, siendo la actuación policial constitucionalmente legítima, el sacrificio del derecho a la intimidad del recurrente está justificado por la presencia de intereses superiores constitucionalmente relevantes, no pudiendo apreciarse vulneración alguna del derecho fundamental.</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Finalmente, en cuanto a la alegación relativa al derecho a la presunción de inocencia (art.  24.2 CE), la condena se fundamenta básicamente en las iniciales declaraciones del coimputado realizadas con asistencia letrada en sede policial y ante el Juez de instrucción, de las que luego se retracta en una posterior declaración ante el Juez instructor, en cartas dirigidas al Juez instructor, en las que llega a autoinculparse, solicitando la libertad para el ahora recurrente y en el acto del juicio oral.  Pese a las versiones contradictorias que ofrece el coimputado, la Audiencia otorga credibilidad a la versión inicial, por entender que no existe ningún elemento para dudar de la veracidad de las mismas y sí de las posteriores, deduciendo que el cambio de las mismas se debe a las amenazas y presiones </w:t>
      </w:r>
      <w:r>
        <w:lastRenderedPageBreak/>
        <w:t>recibidas -como revela el contenido de los papeles que se intervienen al recurrente en el momento de su detención, las manifestaciones del hijo del coimputado y la declaración del recurrente en el juicio oral, manifestando que "las versiones nuevas eran por temor a las amenazas" y que "su familia sigue recibiendo amenazas"- y porque las otras declaraciones son incoherentes y no ofrecen datos concretos de ninguna otra persona, ni había nadie más a quien proteger. El testimonio del coimputado es corroborado periféricamente con la declaración testifical de don Juan Ramón Martínez Navarro y por el contenido del documento intervenido al recurrente en el momento de la detención.</w:t>
      </w:r>
    </w:p>
    <w:p w:rsidR="0025129F" w:rsidRDefault="0025129F" w:rsidP="0025129F">
      <w:pPr>
        <w:pStyle w:val="TextoNormal"/>
      </w:pPr>
      <w:r>
        <w:t>Nuestra jurisprudencia en cuanto a la valoración como prueba de cargo de las declaraciones del coimputado no se conforma con descartar que concurran móviles espurios, que impidan su valoración, sino que desde las SSTC 153/1997, de 29 de septiembre, FJ 6; 49/1998, de 2 de marzo, FJ 5, y 115/1998, de 1 de junio, FJ 5, hemos afirmado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(SSTC 115/1998, de 1 de junio, FJ 5; 68/2001, de 17 de marzo, FJ 5). Desde luego, nunca hemos exigido una corroboración plena -lo que implicaría entrar en la valoración de la prueba que nos está vedada (STC 182/2001, de 17 de septiembre, FJ 6)-, sino que la declaración esté "mínimamente corroborada" (SSTC 153/1997, de 29 de septiembre, FJ 6, y 49/1998, de 2 de marzo, FJ 5) o que se añada a las declaraciones del coimputado "algún dato que corrobore mínimamente su contenido" (STC 115/1998, de 1 de junio, FJ 5). Tampoco hemos ofrecido una definición de lo que deba entenderse por corroboración, "más allá de la idea de que la veracidad de la declaración de un coimputado ha de estar avalada por algún dato, hecho o circunstancia externa, debiendo dejar al análisis caso por caso la determinación de si dicha corroboración se ha producido o no" (STC 182/2001, de 17 de septiembre, FJ 6).</w:t>
      </w:r>
    </w:p>
    <w:p w:rsidR="0025129F" w:rsidRDefault="0025129F" w:rsidP="0025129F">
      <w:pPr>
        <w:pStyle w:val="TextoNormal"/>
      </w:pPr>
      <w:r>
        <w:t>A la vista de esta doctrina, puede afirmarse que en el presente caso ha existido suficiente actividad probatoria de cargo para desvirtuar la presunción de inocencia, pues la condena se fundamenta en las declaraciones sumariales del coimputado que, pese a su ulterior retractación, cabría valorar puesto que se introdujeron en el juicio oral (mediante las preguntas formuladas tanto por el Fiscal como por la defensa del recurrente, a las que el coimputado contestó), en condiciones que permitieron al juez valorarlas con inmediación y garantizar la debida contradicción (SSTC 51/1990, de 26 de marzo, FJ 2; 161/1990, de 19 de octubre, FJ 2; 51/1995, de 23 de febrero, FJ 2; 153/1997, de 29 de septiembre, FJ 5; 49/1998, de 2 de marzo, FJ 4; 14/2001, de 29 de enero, FJ 7; 68/2001, de 17 de marzo, FJ 5; 2/2002, de 14 de enero, FFJJ 6 y 7) y esa declaración ha sido corroborada, conforme a las resoluciones judiciales impugnadas, por los siguientes datos: la declaración testifical del don Juan Ramón Martínez y el documento intervenido al recurrente en el momento de la detención.</w:t>
      </w:r>
    </w:p>
    <w:p w:rsidR="0025129F" w:rsidRDefault="0025129F" w:rsidP="0025129F">
      <w:pPr>
        <w:pStyle w:val="TextoNormal"/>
      </w:pPr>
      <w:r>
        <w:t>El primer elemento de corroboración al que hacen referencia tanto la Sentencia de la Audiencia como la del Tribunal Supremo, son las declaraciones del testigo, Juan Ramón Martínez, que tanto en su declaración en dependencias policiales, como ante el Juez instructor y posteriormente en el acto del juicio oral, identifica, sin ningún género de duda, al recurrente como la persona que, bajo el nombre de "Carlos", acompañaba al otro procesado en el momento en que ambos fueron a ver el almacén, y que intuye que era el recurren</w:t>
      </w:r>
      <w:r>
        <w:lastRenderedPageBreak/>
        <w:t>te quien, bajo el nombre de "Carlos", llamaba para interesarse por los muebles que debían llegar al almacén.</w:t>
      </w:r>
    </w:p>
    <w:p w:rsidR="0025129F" w:rsidRDefault="0025129F" w:rsidP="0025129F">
      <w:pPr>
        <w:pStyle w:val="TextoNormal"/>
      </w:pPr>
      <w:r>
        <w:t>A este dato -que hubiera sido suficiente para la mínima corroboración exigida por nuestra doctrina- las resoluciones judiciales añaden, como elemento adicional de corroboración el contenido del documento intervenido al recurrente en el momento de la detención. Las dos Sentencias transcriben los siguientes párrafos de la misma, atribuyéndoles un claro contenido incriminatorio: "Lo más importante es que no te muevas para nada por favor, van detrás tuyo como locos, cuidado con las entrevistas, teléfono, etcétera. Todo, voy a desmontarles lo que haga falta, después ya me buscarán la salida mejor para mí (9-13 años) es mucho tiempo. Pero ahora lo más importante es que no pillen a nadie y no se coman un 'rosco' mañana espero a Ramón, Estoy a disposición.  Sobre todo la llamada a mi hijo Ton".</w:t>
      </w:r>
    </w:p>
    <w:p w:rsidR="0025129F" w:rsidRDefault="0025129F" w:rsidP="0025129F">
      <w:pPr>
        <w:pStyle w:val="TextoNormal"/>
      </w:pPr>
      <w:r>
        <w:t>A la vista de todo lo cual cabe afirmar que en el presente caso existió suficiente actividad probatoria de cargo y que, en consecuencia, no se ha producido lesión alguna del derecho a la presunción de inocencia proclamado en el art. 24.2 CE, por lo que también este motivo de amparo debe ser desestimado.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tres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4" w:name="SENTENCIA_2002_71"/>
      <w:r>
        <w:lastRenderedPageBreak/>
        <w:t>SENTENCIA 71/2002, de 8 de abril de 2002</w:t>
      </w:r>
    </w:p>
    <w:bookmarkEnd w:id="74"/>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ECLI:ES:TC:2002:71</w:t>
      </w:r>
    </w:p>
    <w:p w:rsidR="0025129F" w:rsidRDefault="0025129F" w:rsidP="0025129F">
      <w:pPr>
        <w:pStyle w:val="SntesisDescriptiva"/>
      </w:pPr>
    </w:p>
    <w:p w:rsidR="0025129F" w:rsidRDefault="0025129F" w:rsidP="0025129F">
      <w:pPr>
        <w:pStyle w:val="SntesisDescriptiva"/>
      </w:pPr>
      <w:r>
        <w:t>Recurso de amparo 2675/1997. Promovido por don Isidro Cañete Díaz respecto a las Sentencias de la Sala de lo Social del Tribunal Superior de Justicia de Andalucía, y de un Juzgado de lo Social de Málaga, que desestimaron su petición de pensión por invalidez en su modalidad no contributiva por encontrarse en prisión.</w:t>
      </w:r>
    </w:p>
    <w:p w:rsidR="0025129F" w:rsidRDefault="0025129F" w:rsidP="0025129F">
      <w:pPr>
        <w:pStyle w:val="SntesisDescriptiva"/>
      </w:pPr>
    </w:p>
    <w:p w:rsidR="0025129F" w:rsidRDefault="0025129F" w:rsidP="0025129F">
      <w:pPr>
        <w:pStyle w:val="SntesisAnaltica"/>
      </w:pPr>
      <w:r>
        <w:t>Supuesta vulneración del derecho a la tutela judicial efectiva (acceso al recurso legal): inadmisión de recurso de suplicación por falta de indicación del precepto procesal en que se fundaba.  Voto particular.</w:t>
      </w:r>
    </w:p>
    <w:p w:rsidR="0025129F" w:rsidRDefault="0025129F" w:rsidP="0025129F">
      <w:pPr>
        <w:pStyle w:val="SntesisAnaltica"/>
      </w:pPr>
    </w:p>
    <w:p w:rsidR="0025129F" w:rsidRDefault="0025129F" w:rsidP="0025129F">
      <w:pPr>
        <w:pStyle w:val="Extracto"/>
      </w:pPr>
      <w:r>
        <w:t>1.</w:t>
      </w:r>
      <w:r>
        <w:tab/>
        <w:t>La Sentencia impugnada rechazó entrar en el fondo del asunto al estimar insubsanable la falta de indicación en el escrito de formalización del recurso de suplicación del concreto apartado del art. 191 de la Ley de procedimiento laboral en el que incardinaba el motivo de su recurso, al igual que la falta de concreción, con absoluta precisión y claridad, de la norma o normas jurídicas que consideraba infringidas por la Sentencia de instancia, así como la del modo en que se produjo la infracción (art. 194.2 de la Ley de procedimiento laboral). Con ello el Tribunal sentenciador no hace más que aplicar, aunque de modo riguroso, el tenor literal del art. 194.2 LPL [FJ 6].</w:t>
      </w:r>
    </w:p>
    <w:p w:rsidR="0025129F" w:rsidRDefault="0025129F" w:rsidP="0025129F">
      <w:pPr>
        <w:pStyle w:val="Extracto"/>
      </w:pPr>
    </w:p>
    <w:p w:rsidR="0025129F" w:rsidRDefault="0025129F" w:rsidP="0025129F">
      <w:pPr>
        <w:pStyle w:val="Extracto"/>
      </w:pPr>
      <w:r>
        <w:t>2.</w:t>
      </w:r>
      <w:r>
        <w:tab/>
        <w:t>La interpretación rigurosa de los requisitos de acceso al recurso, máxime cuando se trate de recursos de cognición limitada que comúnmente se denominan extraordinarios (STC 230/2001), no es contraria a la Constitución, a menos que incurra en irracionalidad, arbitrariedad o error patente [FJ 5].</w:t>
      </w:r>
    </w:p>
    <w:p w:rsidR="0025129F" w:rsidRDefault="0025129F" w:rsidP="0025129F">
      <w:pPr>
        <w:pStyle w:val="Extracto"/>
      </w:pPr>
    </w:p>
    <w:p w:rsidR="0025129F" w:rsidRDefault="0025129F" w:rsidP="0025129F">
      <w:pPr>
        <w:pStyle w:val="Extracto"/>
      </w:pPr>
      <w:r>
        <w:t>3.</w:t>
      </w:r>
      <w:r>
        <w:tab/>
        <w:t>Doctrina sobre el acceso al recurso legal que forma parte del derecho a la tutela judicial efectiva (SSTC Pleno 37/1995 y 119/1998) [FJ 3].</w:t>
      </w:r>
    </w:p>
    <w:p w:rsidR="0025129F" w:rsidRDefault="0025129F" w:rsidP="0025129F">
      <w:pPr>
        <w:pStyle w:val="Extracto"/>
      </w:pPr>
    </w:p>
    <w:p w:rsidR="0025129F" w:rsidRDefault="0025129F" w:rsidP="0025129F">
      <w:pPr>
        <w:pStyle w:val="Extracto"/>
      </w:pPr>
      <w:r>
        <w:t>4.</w:t>
      </w:r>
      <w:r>
        <w:tab/>
        <w:t>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(SSTC 337/1993 y 183/2000) [FJ 2].</w:t>
      </w:r>
    </w:p>
    <w:p w:rsidR="0025129F" w:rsidRDefault="0025129F" w:rsidP="0025129F">
      <w:pPr>
        <w:pStyle w:val="Extracto"/>
      </w:pPr>
    </w:p>
    <w:p w:rsidR="0025129F" w:rsidRDefault="0025129F" w:rsidP="0025129F">
      <w:pPr>
        <w:pStyle w:val="Extracto"/>
      </w:pPr>
      <w:r>
        <w:t>5.</w:t>
      </w:r>
      <w:r>
        <w:tab/>
        <w:t>No se agota la vía judicial previa cuando los recursos pertinentes se interponen de forma incorrecta (STC 111/2000) [FJ 7].</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2675/97, promovido por don Isidro Cañete Díaz, representado por la Procuradora de los Tribunales doña Aurora Gómez Iglesias y asistido por el Abogado don Eduardo Joaquín García-Galán García-Mauriño, contra las Sentencias que dictaron la Sala de lo Social del Tribunal Superior de Justicia de Andalucía, con sede en Málaga, el 25 de abril de 1997, y el Juez de lo Social núm. 4, el 20 de abril de 1995. Han intervenido el Instituto Nacional de la Seguridad Social, representado por el Procurador de los Tribunales don Ramiro Reynolds de Miguel y asistido del Letrado don Enrique Suñer Ruano, y el Instituto Andaluz de Servicios Sociales, representado y defendido por el Letrado del Gabinete Jurídico de la Junta de Andalucía don José Manuel Delgado Utrera, así como el Ministerio Fiscal. Ha sido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La Procuradora de los Tribunales doña Aurora Gómez Iglesias, en escrito que presentó en el Registro de este Tribunal el 3 de enero de 1998 tras la designación en el turno de oficio solicitada por el recurrente en su primer escrito de 17 de junio de 1997, interpuso recurso de amparo frente a las resoluciones judiciales citadas en el encabezamiento. Dice en la demanda que su representado, don Isidro Cañete Díaz, solicitó en agosto de 1993 de la Gerencia Provincial en Málaga del Instituto Andaluz de Servicios Sociales (IASS) una pensión por invalidez en su modalidad no contributiva, que le fue denegada al encontrarse en situación de privación de libertad en un centro penitenciario. Consideraba el organismo requerido que en esas circunstancias no se daba el requisito de carencia de rentas o ingresos suficientes "por superar sus recursos económicos el límite establecido". </w:t>
      </w:r>
    </w:p>
    <w:p w:rsidR="0025129F" w:rsidRDefault="0025129F" w:rsidP="0025129F">
      <w:pPr>
        <w:pStyle w:val="TextoNormal"/>
      </w:pPr>
      <w:r>
        <w:t xml:space="preserve">La denegación de la solicitud dio lugar, tras la correspondiente reclamación previa, a la presentación de demanda judicial. En ella, según consta en las actuaciones, se postulaba la finalidad compensatoria y redistributiva de esa clase de prestaciones, y se sostenía que su regulación jurídica no las hacía incompatibles con el régimen de internamiento en un centro penitenciario, manteniéndose que el art. 25.2 CE reconoce el derecho del condenado a un trabajo remunerado y a los beneficios correspondientes de la Seguridad Social. Apoyaba expresamente esa pretensión en la Ley 26/1990, de 20 de diciembre, por la que se establecieron en la Seguridad Social prestaciones no contributivas, que dio como resultado una modificación del texto refundido de la Ley General de la Seguridad Social, así como en el Real Decreto 357/1991, de 15 de marzo, por el que se desarrollaba en materia de pensiones no contributivas aquella Ley 26/1990; normas de referencia que el actor conectaba con los arts. 25.2 y 39 a 52 CE. </w:t>
      </w:r>
    </w:p>
    <w:p w:rsidR="0025129F" w:rsidRDefault="0025129F" w:rsidP="0025129F">
      <w:pPr>
        <w:pStyle w:val="TextoNormal"/>
      </w:pPr>
      <w:r>
        <w:t>El Juez de lo Social núm. 4 de Málaga desestimó la pretensión en su Sentencia de 20 de abril de 1995, acogiendo la tesis del órgano administrativo en razón de la naturaleza asis</w:t>
      </w:r>
      <w:r>
        <w:lastRenderedPageBreak/>
        <w:t xml:space="preserve">tencial de las pensiones no contributivas y después de cuantificar, conforme a un determinado módulo, la percepción sustitutoria de la renta constituida por la estancia y manutención del interno en el centro penitenciario. A tal fin, tras reproducir el art. 137 bis de la Ley General de la Seguridad Social, introducido por la Ley 26/1990, analizaba la concreción en el caso de autos de los requisitos recogidos en ese precepto, en tanto que regulador de los beneficiarios de la pensión de invalidez no contributiva solicitada, concluyendo que las percepciones supletorias recibidas en prisión eran "sobradamente superiores al mínimo de rentas o ingresos establecidos en el artículo 137 bis de la Ley General de Seguridad Social". </w:t>
      </w:r>
    </w:p>
    <w:p w:rsidR="0025129F" w:rsidRDefault="0025129F" w:rsidP="0025129F">
      <w:pPr>
        <w:pStyle w:val="TextoNormal"/>
      </w:pPr>
      <w:r>
        <w:t xml:space="preserve">Contra la Sentencia presentó el Sr. Cañete recurso de suplicación mediante una única alegación en la que solicitaba la revocación de aquélla y la estimación de la demanda. En el recurso razonaba sobre cómo la pena privativa de libertad no puede determinar ni directa ni indirectamente la privación accesoria de otros derechos ajenos al pronunciamiento penal, como el derecho al trabajo y su subsidiario derecho a la obtención de prestaciones de la Seguridad Social para el evento de incapacidad física o psíquica para ese mismo trabajo. Alegaba en ese mismo sentido que tanto la Constitución como la legislación penitenciaria aseguran a los reclusos la cobertura de su alimentación, habitación, vestido y asistencia sanitaria, con fundamento en los derechos a la vida y a la integridad física y moral, así como que las mismas normas protegen e incluso favorecen, de modo específico, incondicional e independiente, la posibilidad de desarrollar una actividad remunerada como medida de reeducación y resocialización. Así el trabajo se configura como una facultad indisponible, siendo su legítimo complemento las prestaciones del sistema de la Seguridad Social que, de igual manera y por su mismo carácter sustitutivo, devienen de concesión obligada desde el momento en que una solicitud del interesado acredita la concurrencia de los presupuestos legales. </w:t>
      </w:r>
    </w:p>
    <w:p w:rsidR="0025129F" w:rsidRDefault="0025129F" w:rsidP="0025129F">
      <w:pPr>
        <w:pStyle w:val="TextoNormal"/>
      </w:pPr>
      <w:r>
        <w:t>Se añadía en el recurso que el criterio de declarar la improcedencia de la pensión por considerar percepción sustitutiva de la renta la cobertura de necesidades proporcionada por el centro penitenciario resulta discriminatorio respecto de los reclusos que sí pueden realizar una actividad laboral que les proporciona recursos económicos y que también se benefician de los gastos de infraestructura y mantenimiento general de las prisiones. En el supuesto del recurrente éste no podría conseguir en ningún caso ninguna remuneración propia ni por la vía del trabajo ni por la de la pensión asistencial, pese a que las causas de incapacidad que recaen sobre su persona son independientes de su voluntad. El escrito del recurso efectuaba, finalmente, una remisión a los arts. 14, 15, 25 y 35 CE, así como a los concordantes de la Ley y Reglamento Penitenciario en relación a los arts. 22 y 25 de la Declaración Universal de Derechos del Hombre y a los arts. 9 y 26 del Pacto Internacional de Derechos Económicos, Sociales y Culturales, remitiendo a la fundamentación jurídica del escrito de la demanda.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Sentencia de instancia fue confirmada en el grado jurisdiccional de suplicación, si bien el Tribunal Territorial, acogiendo lo aducido en el escrito de impugnación del recurso, no se pronunció en la cuestión de fondo por falta de cita en el escrito de formalización del recurso de "la concreta norma jurídica que considera infringida por la Sentencia de instancia, ni, por consecuencia, la manera en que aquélla es infringida por dicha resolución". El Tribunal Superior de Justicia se expresó en los siguientes términos: </w:t>
      </w:r>
    </w:p>
    <w:p w:rsidR="0025129F" w:rsidRDefault="0025129F" w:rsidP="0025129F">
      <w:pPr>
        <w:pStyle w:val="TextoNormal"/>
      </w:pPr>
      <w:r>
        <w:t xml:space="preserve">"Quiere la Sala dejar sentada tales constataciones porque, como señala reiterada doctrina de suplicación, por ser la naturaleza de este recurso extraordinaria -en ningún caso pues comparable con la apelación civil-, la actividad revisora que en el mismo corresponde al </w:t>
      </w:r>
      <w:r>
        <w:lastRenderedPageBreak/>
        <w:t xml:space="preserve">Tribunal ad quem queda limitada a la materia marcada por la parte recurrente, de manera tal que sólo las infracciones denunciadas por ésta pueden ser examinadas en tal fase procesal y ello aun cuando pudieran existir otras no acusadas y evidentes, salvo que por su propia naturaleza trascendiera de modo directo al ordenamiento procesal (y esto último no acontece en el supuesto debatido). </w:t>
      </w:r>
    </w:p>
    <w:p w:rsidR="0025129F" w:rsidRDefault="0025129F" w:rsidP="0025129F">
      <w:pPr>
        <w:pStyle w:val="TextoNormal"/>
      </w:pPr>
      <w:r>
        <w:t xml:space="preserve">Así las cosas, cuando -como en el presente caso puede deducirse- el motivo tiene por objeto el examen del derecho aplicado en la Sentencia combatida, de no invocarse con absoluta precisión y claridad por el recurrente los preceptos legales (e incluso cuál de sus apartados, si tiene varios) que pudieran resultar infringidos por aquélla y de qué modo, queda impedida la Sala para entrar en su análisis, pues solución distinta equivaldría a atribuir a la misma la construcción ex officio del recurso, siendo así que tal carga corresponde obviamente a la parte. </w:t>
      </w:r>
    </w:p>
    <w:p w:rsidR="0025129F" w:rsidRDefault="0025129F" w:rsidP="0025129F">
      <w:pPr>
        <w:pStyle w:val="TextoNormal"/>
      </w:pPr>
      <w:r>
        <w:t>Tal omisión -que sin duda existe en el cuerpo del recurso formalizado- constituye un defecto insubsanable que lógicamente impide a esta Sala a entrar en el análisis de fondo, obligándola así a la desestimación del único motivo de contradicción construido, y, con él, del presente Recurso de Suplicación".</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 denuncia la lesión de varios derechos fundamentales. En primer término, del art. 24 en relación con el art. 10.2 CE y art.14.5 del Pacto internacional de derechos civiles y políticos, por formalismo y excesivo rigor en la apreciación del supuesto defecto procesal, cuya concurrencia se discute aduciendo que del escrito del recurso de suplicación se desprendía sin dificultad tanto el amparo procesal en el que descansaba el único motivo de la impugnación como la motivación de la denuncia de infracción de concretas normas sustantivas, recogiéndose de forma expresa la cita de los arts. 14, 15, 25.2 y 35 CE, sus concordantes en la Ley y Reglamento general penitenciarios y los paralelos de la Declaración universal de derechos humanos y del Pacto internacional de derechos económicos, sociales y culturales. La cita de los preceptos que el Tribunal Superior de Justicia consideró genérica se traducía, por el contrario, en un elenco de derechos de los ciudadanos privados de libertad que conectaba claramente con la pretensión, de suerte que servía para cuestionar la denegación de la pensión no contributiva, acordada en instancia sobre la base de un cálculo del nivel de ingresos del interesado cuantificado por referencia a las partidas de gastos presupuestarios del Estado en los centros penitenciarios. </w:t>
      </w:r>
    </w:p>
    <w:p w:rsidR="0025129F" w:rsidRDefault="0025129F" w:rsidP="0025129F">
      <w:pPr>
        <w:pStyle w:val="TextoNormal"/>
      </w:pPr>
      <w:r>
        <w:t xml:space="preserve">En segundo lugar, se denuncia la vulneración del art. 25.2 CE en relación con los arts. 14 y 41 CE, el art. 10.2 de la misma y los arts. 22 y 25 de la Declaración universal de derechos humanos y arts. 9 y 26 del Pacto internacional de derechos económicos, sociales y culturales. La demanda de amparo manifiesta en este punto que cuando el art. 12 del Real Decreto 357/1991 considera ingresos sustitutivos de las rentas de trabajo cualesquiera otras percepciones supletorias de ellas a cargo de fondos públicos o privados, se está refiriendo a percepciones de tipo prestacional, naturaleza que no concurre en el gasto general del mantenimiento del sistema penitenciario presupuestado anualmente. Entender lo contrario, como hizo la Sentencia de instancia, nos dice, resulta arbitrario y discriminatorio, al punto que, por ejemplo, nunca tendrían los presos derecho a los beneficios de la Seguridad Social -pese a ser un derecho garantizado por el art. 25.2 CE-, se les podría obligar a tributar por esas pretendidas "rentas sustitutivas" o negárseles la asistencia jurídica gratuita. </w:t>
      </w:r>
    </w:p>
    <w:p w:rsidR="0025129F" w:rsidRDefault="0025129F" w:rsidP="0025129F">
      <w:pPr>
        <w:pStyle w:val="TextoNormal"/>
      </w:pPr>
      <w:r>
        <w:t xml:space="preserve">También alega el recurrente una supuesta vulneración del art. 14 CE, comparando su situación con la de los reclusos que sí perciben pensiones o pueden realizar un trabajo remunerado, siendo así que en su caso no puede desarrollar tales actividades precisamente en razón de la minusvalía por la que solicitó la prestación denegada. Y finalmente señala, </w:t>
      </w:r>
      <w:r>
        <w:lastRenderedPageBreak/>
        <w:t>citando el art. 25.1 CE, que la fecha de condena a prisión (abril de 1995) es posterior a la de solicitud de la pensión (mayo de 1993), por lo que la Resolución discutida habría denegado la prestación en un momento en el que aún no había privación de libertad. Pone de relieve, asimismo, que ha cumplido ya la pena impuesta y se encuentra en libertad en las mismas condiciones de incapacidad que se diagnosticaron en su día.</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Tercera del Tribunal Constitucional, por providencia de 19 de febrero de 1998, acordó admitir a trámite la demanda de amparo, y, de conformidad con el art. 51 LOTC, requirió a los dos órganos jurisdiccionales afectados para que remitiesen las actuaciones y emplazasen a quienes fueron parte en el procedimiento.</w:t>
      </w:r>
    </w:p>
    <w:p w:rsidR="0025129F" w:rsidRDefault="0025129F" w:rsidP="0025129F">
      <w:pPr>
        <w:pStyle w:val="TextoNormal"/>
      </w:pPr>
    </w:p>
    <w:p w:rsidR="0025129F" w:rsidRDefault="0025129F" w:rsidP="0025129F">
      <w:pPr>
        <w:pStyle w:val="TextoNormal"/>
      </w:pPr>
      <w:r w:rsidRPr="0025129F">
        <w:rPr>
          <w:rStyle w:val="NumeroAFNegritaCaracter"/>
        </w:rPr>
        <w:t>5</w:t>
      </w:r>
      <w:r>
        <w:t>. La Sección Cuarta de este Tribunal, a la que correspondió la tramitación del proceso acordó, en providencia de 30 de abril de 1998, tener por personado y parte al Procurador don Ramiro Reynolds de Miguel, en nombre y representación del Instituto Nacional de la Seguridad Social (INSS), y al Letrado del Gabinete Jurídico de la Junta de Andalucía, en nombre y representación del IASS. Por providencia de 1 de junio de 1998 se acordó dar vista de las actuaciones recibidas a todas las partes personadas y al Ministerio Fiscal, abriéndose el plazo de veinte días del art. 52.1 LOTC para formular alegaciones.</w:t>
      </w:r>
    </w:p>
    <w:p w:rsidR="0025129F" w:rsidRDefault="0025129F" w:rsidP="0025129F">
      <w:pPr>
        <w:pStyle w:val="TextoNormal"/>
      </w:pPr>
    </w:p>
    <w:p w:rsidR="0025129F" w:rsidRDefault="0025129F" w:rsidP="0025129F">
      <w:pPr>
        <w:pStyle w:val="TextoNormal"/>
      </w:pPr>
      <w:r w:rsidRPr="0025129F">
        <w:rPr>
          <w:rStyle w:val="NumeroAFNegritaCaracter"/>
        </w:rPr>
        <w:t>6</w:t>
      </w:r>
      <w:r>
        <w:t>. En escrito registrado el día 7 de julio de 1998 el recurrente se ratifica y reproduce los contenidos de su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Don Ramiro Reynolds de Miguel, Procurador de los Tribunales y del INSS, presentó sus alegaciones el día 7 de julio de 1998. A su juicio, el escrito de formalización de la suplicación no se estructuró, ni formal ni materialmente, de acuerdo a los requisitos exigidos por los arts. 191 y 194.2 LPL, faltando en él, igualmente, una mínima fundamentación de la pretensión que se deducía, de manera que la decisión desestimatoria adoptada por el Tribunal Superior de Justicia de Andalucía no resultó arbitraria sino plenamente ajustada a Derecho, interesando en consecuencia la desestimación del amparo solicitado.</w:t>
      </w:r>
    </w:p>
    <w:p w:rsidR="0025129F" w:rsidRDefault="0025129F" w:rsidP="0025129F">
      <w:pPr>
        <w:pStyle w:val="TextoNormal"/>
      </w:pPr>
    </w:p>
    <w:p w:rsidR="0025129F" w:rsidRDefault="0025129F" w:rsidP="0025129F">
      <w:pPr>
        <w:pStyle w:val="TextoNormal"/>
      </w:pPr>
      <w:r w:rsidRPr="0025129F">
        <w:rPr>
          <w:rStyle w:val="NumeroAFNegritaCaracter"/>
        </w:rPr>
        <w:t>8</w:t>
      </w:r>
      <w:r>
        <w:t>. En su escrito de alegaciones, registrado el día 23 de julio de 1998, el Letrado de la Junta de Andalucía opuso la objeción de falta de agotamiento de la vía judicial, habida cuenta que resultaba practicable frente a la Sentencia dictada en suplicación la interposición de un recurso de casación para la unificación de doctrina. Relaciona a tal fin cuatro Sentencias de Tribunales Superiores de Justicia que, según afirma, resultaban contradictorias con la recurrida en amparo en los efectos asignados a los defectos formales cometidos en los escritos de recurso, y que eran, en consecuencia, adecuadas para abrir paso a un pronunciamiento unificador de doctrina por parte de la Sala Cuarta del Tribunal Supremo. En relación con la cuestión sustantiva, es decir, la invocada vulneración de los arts. 14 y 25 CE, subraya que la parte recurrente no ofrece un término válido de comparación y oculta la dimensión limitada que el Tribunal Constitucional ha dado al art. 25.2 de la Norma fundamental, lo que le lleva a concluir que las atenciones de carácter prestacional que los reclusos reciben en un Centro Penitenciario cubren sus necesidades básicas, haciendo razonable su exclusión subjetiva del ámbito de los beneficiarios de la prestación en litigio, como sostuvo el juzgador a quo.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9</w:t>
      </w:r>
      <w:r>
        <w:t>. El Ministerio Fiscal presentó su escrito de alegaciones el día 10 de septiembre de 1998. Analizando el itinerario procesal y los escritos del recurrente, manifiesta que estaba perfectamente delimitada la cuestión debatida tanto en el expediente administrativo como en el procedimiento judicial, que era única y que su regulación legal era plenamente identificable a la vista del expediente administrativo, de la demanda y la Sentencia de instancia, de forma que el rechazo a limine del recurso por la falta de cita del precepto infringido constituyó una respuesta judicial desproporcionada y una interpretación rigorista de las normas procesales, contraria, en su opinión, a la tutela judicial efectiva del demandante en amparo.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4 de abril de 2002, se señaló para deliberación y votación de la presente Sentencia el día 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demandante en amparo impugna en el presente recurso las Sentencias de 25 de abril de 1997 del Tribunal Superior de Justicia de Andalucía (Málaga) y la de 20 de abril de 1995 del Juzgado de lo Social núm. 4 de Málaga.</w:t>
      </w:r>
    </w:p>
    <w:p w:rsidR="0025129F" w:rsidRDefault="0025129F" w:rsidP="0025129F">
      <w:pPr>
        <w:pStyle w:val="TextoNormal"/>
      </w:pPr>
      <w:r>
        <w:t>Imputa a la primera de ellas haber violado el derecho a la tutela judicial efectiva, dado que el Tribunal Superior de Justicia habría determinado de manera desproporcionada los efectos aparejados a un supuesto incumplimiento de requisitos de recurribilidad (a saber, la falta de cita en el grado jurisdiccional de suplicación del precepto infringido por la Sentencia de instancia recurrida). Frente a ello se sostiene que del contenido del escrito de formalización del recurso se infería abiertamente el objeto de la impugnación, constando en él las referencias normativas en las que descansaba (arts. 14, 15, 25.2 y 35 CE, sus concordantes en la Ley y Reglamento general penitenciarios y los paralelos de la Declaración universal de derechos humanos y del Pacto internacional de derechos económicos, sociales y culturales).</w:t>
      </w:r>
    </w:p>
    <w:p w:rsidR="0025129F" w:rsidRDefault="0025129F" w:rsidP="0025129F">
      <w:pPr>
        <w:pStyle w:val="TextoNormal"/>
      </w:pPr>
      <w:r>
        <w:t>Por otra parte, desde la dimensión sustantiva del problema deducido en el proceso, se queja la demanda de amparo de la vulneración de los arts. 14 y 25 CE, toda vez que la interpretación de la normativa rectora de la prestación litigiosa efectuada por el juzgador a quo, y no revisada en el grado jurisdiccional sucesivo, resultó arbitraria y discriminatoria, privando al recurrente de la prestación solicitada con apoyo en una errónea consideración de lo que sean rentas sustitutivas, e incurriendo en un tratamiento desigual injustificado en contraste con otros reclusos que sí perciben pensiones o pueden realizar un trabajo remunerado al no estar aquejados de la minusvalía por la que, quien formula la reclamación ante nosotros, solicitó la prestación finalmente denegada.</w:t>
      </w:r>
    </w:p>
    <w:p w:rsidR="0025129F" w:rsidRDefault="0025129F" w:rsidP="0025129F">
      <w:pPr>
        <w:pStyle w:val="TextoNormal"/>
      </w:pPr>
      <w:r>
        <w:t>El Ministerio Fiscal comparte la alegación relativa a la tutela judicial efectiva, mientras que interesan la íntegra desestimación del amparo las restantes partes personadas, conforme a lo relatado en los antecedentes.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Antes de entrar en el examen de fondo de la cuestión suscitada, cúmplenos dar respuesta a la objeción de admisibilidad de la demanda de amparo formulada por el IASS, consistente en la falta de agotamiento de todos los recursos utilizables en la vía judicial previa a la interposición del amparo. A su juicio, la resolución dictada en el recurso de suplicación por la Sala de lo Social del Tribunal Superior de Justicia era susceptible de </w:t>
      </w:r>
      <w:r>
        <w:lastRenderedPageBreak/>
        <w:t>recurso de casación para la unificación de doctrina ante la Sala Cuarta del Tribunal Supremo, pues asegura que existían sobre la cuestión objeto de disputa Sentencias de Tribunales Superiores de Justicia contradictorias con la recurrida en amparo, de suerte que la omisión de ese cauce procesal, posible y procedente, acarrearía la referida falta de agotamiento.</w:t>
      </w:r>
    </w:p>
    <w:p w:rsidR="0025129F" w:rsidRDefault="0025129F" w:rsidP="0025129F">
      <w:pPr>
        <w:pStyle w:val="TextoNormal"/>
      </w:pPr>
      <w:r>
        <w:t>La objeción debe rechazarse, pues tenemos dicho que 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en este procedimiento constitucional de amparo (SSTC 337/1993, de 15 de noviembre; 347/1993, de 22 de noviembre; 354/1993, de 29 de noviembre; 377/1993, de 20 de diciembre; 132/1994, de 9 de mayo; 140/1994, de 9 de mayo; 93/1997, de 8 de mayo; 183/1998, de 17 de diciembre; 5/1999, de 8 de febrero; 173/1999, de 27 de septiembre y 183/2000, de 10 de julio). Esto así, no basta la alegación abstracta de su procedencia, correspondiendo a la parte que pretende hacer valer su no interposición como motivo de inadmisibilidad (en este caso el IASS, en el trámite de alegaciones del art. 52.1 LOTC) acreditar la posibilidad de recurrir a esta extraordinaria vía en el supuesto concreto, debiéndose abstener de efectuar vagas invocaciones.</w:t>
      </w:r>
    </w:p>
    <w:p w:rsidR="0025129F" w:rsidRDefault="0025129F" w:rsidP="0025129F">
      <w:pPr>
        <w:pStyle w:val="TextoNormal"/>
      </w:pPr>
      <w:r>
        <w:t>Esto último es, justamente, lo que ocurre en este caso. El IASS no ofrece soporte alguno a la pretendida aptitud específica de aquel recurso cuya omisión denuncia. El elenco de Sentencias supuestamente válidas para evidenciar la contradicción de doctrinas a los efectos de la unificación por parte del Tribunal Supremo -Sentencias que ni siquiera se nos aportan- no viene acompañado de la más mínima justificación de identidades con el caso aquí enjuiciado, pese a ser exigidas invariablemente por el Alto Tribunal para admitir a trámite ese recurso extraordinario.  No existe, por tanto, demostración de una aptitud potencial de las mismas para trabar la contradicción y reparar eventualmente en la vía judicial las lesiones denunciadas en este recurso de amparo, debiendo rechazarse por ello la objeción que realiza el Instituto Andaluz de Servicios Sociales.</w:t>
      </w:r>
    </w:p>
    <w:p w:rsidR="0025129F" w:rsidRDefault="0025129F" w:rsidP="0025129F">
      <w:pPr>
        <w:pStyle w:val="TextoNormal"/>
      </w:pPr>
    </w:p>
    <w:p w:rsidR="0025129F" w:rsidRDefault="0025129F" w:rsidP="0025129F">
      <w:pPr>
        <w:pStyle w:val="TextoNormal"/>
      </w:pPr>
      <w:r w:rsidRPr="0025129F">
        <w:rPr>
          <w:rStyle w:val="NumeroAFNegritaCaracter"/>
        </w:rPr>
        <w:t>3</w:t>
      </w:r>
      <w:r>
        <w:t>. Entrando ya en la cuestión de fondo, corresponde en primer término dilucidar la alegación relativa a la desestimación del recurso de suplicación.</w:t>
      </w:r>
    </w:p>
    <w:p w:rsidR="0025129F" w:rsidRDefault="0025129F" w:rsidP="0025129F">
      <w:pPr>
        <w:pStyle w:val="TextoNormal"/>
      </w:pPr>
      <w:r>
        <w:t>Constituye una garantía esencial del justiciable, según ha señalado este Tribunal desde sus primeros pronunciamientos, que el derecho a la tutela efectiva de los Jueces y Tribunales comprenda el de obtener una resolución fundada en Derecho. Resolución que habrá de ser de fondo, sea o no favorable a las pretensiones formuladas, si concurren todos los requisitos para ello. Y que podrá ser de inadmisión, o de desestimación por algún motivo formal, cuando concurra alguna causa de inadmisibilidad y así lo acuerde el Juez o Tribunal en aplicación razonada de la misma.</w:t>
      </w:r>
    </w:p>
    <w:p w:rsidR="0025129F" w:rsidRDefault="0025129F" w:rsidP="0025129F">
      <w:pPr>
        <w:pStyle w:val="TextoNormal"/>
      </w:pPr>
      <w:r>
        <w:t>El canon de constitucionalidad que ha de presidir nuestra intervención en el examen de la efectividad de la tutela judicial, como es sabido, dependerá de la vertiente específica del derecho fundamental que se encuentre eventualmente obstaculizada, pues no todas las concreciones de aquélla, en tanto que diversas en sus perfiles y en la función de cobertura que procuran, pueden ser demandadas con iguales fundamentos ni reconocidas con idéntica intensidad.</w:t>
      </w:r>
    </w:p>
    <w:p w:rsidR="0025129F" w:rsidRDefault="0025129F" w:rsidP="0025129F">
      <w:pPr>
        <w:pStyle w:val="TextoNormal"/>
      </w:pPr>
      <w:r>
        <w:t>Pues bien, situándonos en el estadio del acceso al recurso que aquí y ahora se encuentra concernido, hemos de recordar nuestra doctrina sobre el derecho a la tutela judicial efectiva en ese ámbito.</w:t>
      </w:r>
    </w:p>
    <w:p w:rsidR="0025129F" w:rsidRDefault="0025129F" w:rsidP="0025129F">
      <w:pPr>
        <w:pStyle w:val="TextoNormal"/>
      </w:pPr>
      <w:r>
        <w:lastRenderedPageBreak/>
        <w:t>Partiendo de la STC 37/1995, de 7 de febrero,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 De esa circunstancia extrajimos a partir de la STC 119/1998, dictada por el Pleno de este Tribunal el 4 de junio de dicho año, las siguientes conclusiones:</w:t>
      </w:r>
    </w:p>
    <w:p w:rsidR="0025129F" w:rsidRDefault="0025129F" w:rsidP="0025129F">
      <w:pPr>
        <w:pStyle w:val="TextoNormal"/>
      </w:pPr>
      <w:r>
        <w:t>"Mientras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w:t>
      </w:r>
    </w:p>
    <w:p w:rsidR="0025129F" w:rsidRDefault="0025129F" w:rsidP="0025129F">
      <w:pPr>
        <w:pStyle w:val="TextoNormal"/>
      </w:pPr>
      <w:r>
        <w:t>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w:t>
      </w:r>
    </w:p>
    <w:p w:rsidR="0025129F" w:rsidRDefault="0025129F" w:rsidP="0025129F">
      <w:pPr>
        <w:pStyle w:val="TextoNormal"/>
      </w:pPr>
      <w:r>
        <w:t>El lógico corolario de la mencionada doctrina es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doctrina a la que acabamos de referirnos ha sido aplicada reiteradamente en la jurisprudencia posterior (SSTC 162/1998, de 14 de julio; 192/1998, de 29 de septiembre; 10/1999, de 8 de febrero; 23/1999, de 8 de marzo; 121/1999, de 28 de junio; 94/2000, de </w:t>
      </w:r>
      <w:r>
        <w:lastRenderedPageBreak/>
        <w:t>10 de abril; 116/2000, de 5 de mayo; 251/2000, de 30 de octubre; 258/2000, de 30 de octubre; 57/2001, de 26 de febrero; 218/2001, de 31 de octubre; y 33/2002, de 11 de febrero), sin que el hecho de que se aduzcan derechos fundamentales pueda otorgar al principio pro actione mayor virtualidad, cuando de la segunda instancia se trata. En efecto, en las SSTC 94/2000, de 10 de abril; 32/2001, de 12 de febrero; y 196/2001, de 4 de octubre, relativas todas ellas a resoluciones dictadas por los órganos contencioso-administrativos por el cauce de la Ley 62/1978, esto es, por el cauce específico de tutela de los derechos fundamentales, no hacen sino reiterar la doctrina expuesta.</w:t>
      </w:r>
    </w:p>
    <w:p w:rsidR="0025129F" w:rsidRDefault="0025129F" w:rsidP="0025129F">
      <w:pPr>
        <w:pStyle w:val="TextoNormal"/>
      </w:pPr>
      <w:r>
        <w:t>La última de dichas resoluciones dice explícitamente:</w:t>
      </w:r>
    </w:p>
    <w:p w:rsidR="0025129F" w:rsidRDefault="0025129F" w:rsidP="0025129F">
      <w:pPr>
        <w:pStyle w:val="TextoNormal"/>
      </w:pPr>
      <w:r>
        <w:t>"Así, en una serie de Sentencias que se citan en la propia STC 32/2001, y configurando una consolidada línea de doctrina constitucional, hemos señalado que no es posible que este Tribunal enjuicie la corrección jurídica de las resoluciones judiciales que interpretan y aplican las normas procesales de acceso a los recursos, pues nuestra jurisdicción no se extiende a la fiscalización del acierto de las decisiones que adopten los Jueces y Tribunales en el ejercicio de su competencia exclusiva de selección y aplicación de dichas normas de interposición de recursos."</w:t>
      </w:r>
    </w:p>
    <w:p w:rsidR="0025129F" w:rsidRDefault="0025129F" w:rsidP="0025129F">
      <w:pPr>
        <w:pStyle w:val="TextoNormal"/>
      </w:pPr>
      <w:r>
        <w:t>De modo que el canon de enjuiciamiento que delimita el ámbito de nuestra jurisdicción (art. 4 LOTC), aun cuando se aduzca la vulneración de derechos fundamentales sigue siendo, en acceso al recurso, el de arbitrariedad, irrazonabilidad o error patente.</w:t>
      </w:r>
    </w:p>
    <w:p w:rsidR="0025129F" w:rsidRDefault="0025129F" w:rsidP="0025129F">
      <w:pPr>
        <w:pStyle w:val="TextoNormal"/>
      </w:pPr>
    </w:p>
    <w:p w:rsidR="0025129F" w:rsidRDefault="0025129F" w:rsidP="0025129F">
      <w:pPr>
        <w:pStyle w:val="TextoNormal"/>
      </w:pPr>
      <w:r w:rsidRPr="0025129F">
        <w:rPr>
          <w:rStyle w:val="NumeroAFNegritaCaracter"/>
        </w:rPr>
        <w:t>5</w:t>
      </w:r>
      <w:r>
        <w:t>. Preciso es recordar también que la interpretación de los presupuestos procesales no puede entenderse de manera tan amplia que conduzca al desconocimiento e ineficacia total de tales presupuestos establecidos en las leyes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En consecuencia, y de modo congruente con la doctrina anteriormente expuesta, hemos afirmado en repetidas ocasiones que la interpretación rigurosa de los requisitos de acceso al recurso, máxime cuando se trate de recursos de cognición limitada que comúnmente se denominan extraordinarios (STC 230/2001, de 26 de noviembre), no es contraria a la Constitución, a menos que incurra en irracionalidad, arbitrariedad o error patente.</w:t>
      </w:r>
    </w:p>
    <w:p w:rsidR="0025129F" w:rsidRDefault="0025129F" w:rsidP="0025129F">
      <w:pPr>
        <w:pStyle w:val="TextoNormal"/>
      </w:pPr>
      <w:r>
        <w:t>Por ello, corresponde a las partes cumplir en cada caso las exigencias del recurso que interponen (SSTC 16/1992, de 10 de febrero, y 40/2002, de 14 de febrero). En ese sentido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Aplicando al caso la doctrina expuesta se verifica que la Sentencia impugnada rechazó entrar en el fondo del asunto al estimar insubsanable la falta de indicación en el escrito de formalización del recurso de suplicación del concreto apartado del art.  191 de la </w:t>
      </w:r>
      <w:r>
        <w:lastRenderedPageBreak/>
        <w:t>Ley de procedimiento laboral en el que incardinaba el motivo de su recurso, al igual que la falta de concreción, con absoluta precisión y claridad, de la norma o normas jurídicas que consideraba infringidas por la Sentencia de instancia, así como la del modo en que se produjo la infracción (art. 194.2 de la Ley de procedimiento laboral). Con ello el Tribunal sentenciador no hace más que aplicar, aunque de modo riguroso, el tenor literal del art. 194.2 LPL que, literalmente, dice:</w:t>
      </w:r>
    </w:p>
    <w:p w:rsidR="0025129F" w:rsidRDefault="0025129F" w:rsidP="0025129F">
      <w:pPr>
        <w:pStyle w:val="TextoNormal"/>
      </w:pPr>
      <w:r>
        <w:t>"En el escrito de interposición del recurso se expresarán, con suficiente precisión y claridad, el motivo o los motivos en que se ampare, citándose las normas del ordenamiento jurídico o la jurisprudencia que se consideren infringidas. En todo caso se razonará la pertinencia y fundamentación de los motivos".</w:t>
      </w:r>
    </w:p>
    <w:p w:rsidR="0025129F" w:rsidRDefault="0025129F" w:rsidP="0025129F">
      <w:pPr>
        <w:pStyle w:val="TextoNormal"/>
      </w:pPr>
      <w:r>
        <w:t>Pues bien, al tratarse de una interpretación de los arts. 191 y 194.2 LPL desde el prisma de la regulación del acceso al recurso de suplicación, estamos en presencia de una de las posibles lecturas de aquéllos que, se comparta o no, al no resultar arbitraria, manifiestamente irrazonable ni incursa en error patente, no nos permite inclinarnos por otra también admisible y que, probablemente, hubiera respondido más plenamente a los valores incorporados al art. 24.1 CE (SSTC 132/1997, de 15 de julio; 160/1997, de 2 de octubre; y 94/2000, de 10 de abril), pues con ello rebasaríamos los límites trazados a nuestra jurisdicción.</w:t>
      </w:r>
    </w:p>
    <w:p w:rsidR="0025129F" w:rsidRDefault="0025129F" w:rsidP="0025129F">
      <w:pPr>
        <w:pStyle w:val="TextoNormal"/>
      </w:pPr>
      <w:r>
        <w:t>Por todo lo cual ha de desestimarse este motivo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En cuanto a las restantes vulneraciones aducidas respecto a la decisión acerca del fondo del asunto tomada en primera instancia, es decir, las vulneraciones de los arts. 25.2 y 14 de la Constitución Española (pues los demás a los que alude no son susceptibles de amparo), a tenor de lo anteriormente expuesto no cabe que este Tribunal efectúe pronunciamiento alguno de fondo.  En efecto, la subsidiariedad del amparo exige que la jurisdicción ordinaria haya tenido ocasión de remediar las vulneraciones aducidas, para lo que el art. 44.1 a) LOTC impone el agotamiento de todos los recursos utilizables en la vía judicial; y, según hemos manifestado reiteradamente (vid., por todas, STC 111/2000, de 5 de mayo) no se agota la vía judicial previa cuando los recursos pertinentes se interponen de forma incorrecta.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presente recurso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rsidP="0025129F">
      <w:pPr>
        <w:pStyle w:val="ParrafoNormal"/>
      </w:pPr>
    </w:p>
    <w:p w:rsidR="0025129F" w:rsidRDefault="0025129F" w:rsidP="0025129F">
      <w:pPr>
        <w:pStyle w:val="TextoNormalNegritaCentrado"/>
        <w:keepNext/>
      </w:pPr>
      <w:r>
        <w:lastRenderedPageBreak/>
        <w:t>Voto particular que formula el Magistrado don Eugeni Gay Montalvo respecto de la Sentencia dictada en el recurso de amparo núm. 2675/97</w:t>
      </w:r>
    </w:p>
    <w:p w:rsidR="0025129F" w:rsidRDefault="0025129F" w:rsidP="0025129F">
      <w:pPr>
        <w:pStyle w:val="TextoNormalNegritaCentrado"/>
        <w:keepNext/>
      </w:pPr>
    </w:p>
    <w:p w:rsidR="0025129F" w:rsidRDefault="0025129F" w:rsidP="0025129F">
      <w:pPr>
        <w:pStyle w:val="TextoNormal"/>
      </w:pPr>
      <w:r>
        <w:t>Con profundo respeto a la autoridad de la decisión mayoritaria y de acuerdo con la opción discrepante que defendí en la deliberación, lamento disentir de la decisión adoptada y de su fundamentación y hacer uso de la posibilidad concedida por el art.  90.2 LOTC.</w:t>
      </w:r>
    </w:p>
    <w:p w:rsidR="0025129F" w:rsidRDefault="0025129F" w:rsidP="0025129F">
      <w:pPr>
        <w:pStyle w:val="TextoNormal"/>
      </w:pPr>
      <w:r>
        <w:t>1. Mi discrepancia parte de la función que la Constitución ha encomendado a este Tribunal en materia de protección de derechos fundamentales y que, entiendo, no puede ser insensible a la realidad social sobre la que se proyectan los preceptos, principios y valores de nuestra Norma Fundamental. Asumo, así pues, una concepción abierta de la Constitución en la que su valor, como mandato de comprensión conforme a ella de la actividad de todos los poderes públicos, permita la vigencia efectiva de los derechos fundamentales y no su mero reconocimiento normativo. Mandato de efectividad que afecta de modo muy especial a este Tribunal cuya actuación, entiendo, debiera caracterizarse, no sólo por su obligada corrección jurídica, sino también por su orientación al servicio de determinados fines establecidos en última instancia desde la perspectiva de la dignidad de la persona, fundamento esencial del Derecho y que me impide una visión meramente procesal de la Constitución. Desde esta perspectiva, es desde la que no puedo compartir el reduccionismo del control constitucional en el acceso a los recursos del que parte la decisión de la que disiento.</w:t>
      </w:r>
    </w:p>
    <w:p w:rsidR="0025129F" w:rsidRDefault="0025129F" w:rsidP="0025129F">
      <w:pPr>
        <w:pStyle w:val="TextoNormal"/>
      </w:pPr>
      <w:r>
        <w:t>2. El problema que aborda la Sentencia constituye un problema que no es reciente y que consiste en determinar si el acceso a los recursos forma parte del contenido del derecho a una tutela judicial efectiva sin indefensión del art. 24.1 CE y con qué alcance.</w:t>
      </w:r>
    </w:p>
    <w:p w:rsidR="0025129F" w:rsidRDefault="0025129F" w:rsidP="0025129F">
      <w:pPr>
        <w:pStyle w:val="TextoNormal"/>
      </w:pPr>
      <w:r>
        <w:t>El criterio de la mayoría de esta Sala descansa en que sólo el acceso a la jurisdicción constituye la parte nuclear o umbral mínimo imprescindible de la tutela judicial efectiva. Por ello, en esta fase, el control constitucional de las decisiones judiciales de inadmisión ha de ser especialmente riguroso, debiendo exigirse al órgano judicial que tenga en cuenta el principio pro actione, de modo que ninguna interpretación de los requisitos formales de la demanda pueda impedir el examen de los derechos de fondo deducidos en la misma. Criterio que personalmente comparto.</w:t>
      </w:r>
    </w:p>
    <w:p w:rsidR="0025129F" w:rsidRDefault="0025129F" w:rsidP="0025129F">
      <w:pPr>
        <w:pStyle w:val="TextoNormal"/>
      </w:pPr>
      <w:r>
        <w:t>Por el contrario, en el acceso al recurso no jugaría dicho principio y este Tribunal no podría examinar aquellas decisiones judiciales que optan por una interpretación rigorista de las normas procesales que imponen requisitos formales, ni obligar al juez a entenderlas en el sentido más favorable a su efectividad. En este momento procesal, el campo de interpretación de los requisitos legales por parte de los órganos judiciales debe ser mayor y, correlativamente, menor su control constitucional. Y ello, porque el recurso no nace de la Constitución, sino de la voluntad legislativa que es libre para crearlo y posibilitar una segunda instancia, pero también para no hacerlo. Salvo en materia penal, donde el Pacto internacional de derechos civiles y políticos (art. 14.5), en conjunción con el art. 10.2 CE, dota de carácter necesario al recurso ante un Tribunal superior de acuerdo con lo previsto legalmente (STC 230/1993). Recurso necesario cuyo alcance en el ámbito penal no se ha resuelto ni en este país ni en este Tribunal, tal y como he tenido ocasión de reiterar y lamentar públicamente en numerosas ocasiones.</w:t>
      </w:r>
    </w:p>
    <w:p w:rsidR="0025129F" w:rsidRDefault="0025129F" w:rsidP="0025129F">
      <w:pPr>
        <w:pStyle w:val="TextoNormal"/>
      </w:pPr>
      <w:r>
        <w:t>3. Sin embargo, entiendo que es posible también mantener que cuando el legislador ha querido dos instancias lo hace para garantizar, precisamente, la identidad de parámetros constitucionales cualquiera que sean los derechos alegados. Creado un recurso por el legislador, su ejercicio quedaría así integrado entre los derechos constitucionales protegidos en el art. 24.1 CE y, con ello, dotado de la protección del recurso de amparo con las mis</w:t>
      </w:r>
      <w:r>
        <w:lastRenderedPageBreak/>
        <w:t>mas garantías constitucionales que el acceso a la jurisdicción.  Es ésta la posición en la que me siento más cómodo.</w:t>
      </w:r>
    </w:p>
    <w:p w:rsidR="0025129F" w:rsidRDefault="0025129F" w:rsidP="0025129F">
      <w:pPr>
        <w:pStyle w:val="TextoNormal"/>
      </w:pPr>
      <w:r>
        <w:t>Podría, no obstante y dentro del respeto que comparto y debo a la doctrina general de este Tribunal, participar incluso de la mayoría de los argumentos en los que, en definitiva, se sustenta la Sentencia de la que soy discrepante. Esencialmente, puedo convenir en el hecho de que el acceso a la jurisdicción constituye la parte nuclear de la tutela judicial efectiva y que el acceso al recurso legal debe cumplir los requisitos legalmente establecidos. También, como derivación de esta idea, podría compartir con carácter general la razonabilidad de una doble intensidad en el control que debe aplicar este Tribunal según se trate del acceso a la jurisdicción o al recurso y que, con carácter general, no juegue el principio pro actione en este último al haberse ya obtenido una primera respuesta judicial.</w:t>
      </w:r>
    </w:p>
    <w:p w:rsidR="0025129F" w:rsidRDefault="0025129F" w:rsidP="0025129F">
      <w:pPr>
        <w:pStyle w:val="TextoNormal"/>
      </w:pPr>
      <w:r>
        <w:t>Ahora bien, lo que sin embargo no puedo compartir es el rechazo que asume la decisión de la que disiento a que el principio pro actione no tenga ningún juego en la segunda instancia cuando se alegan derechos fundamentales. A mi juicio, admitir como parte del canon de constitucionalidad "el control de proporcionalidad" que propongo, resulta del todo punto exigible cuando en el recurso se suscita un problema relativo a derechos fundamentales sustantivos y no de legalidad procesal. Esta posibilidad parece reconocerse incluso en la propia STC 258/2000, claro exponente de la línea jurisprudencial restrictiva que se mantiene en la Sentencia de la que discrepo y que, como en ésta, también desestimaba el amparo solicitado.</w:t>
      </w:r>
    </w:p>
    <w:p w:rsidR="0025129F" w:rsidRDefault="0025129F" w:rsidP="0025129F">
      <w:pPr>
        <w:pStyle w:val="TextoNormal"/>
      </w:pPr>
      <w:r>
        <w:t>Entiendo que este Tribunal debe controlar las decisiones judiciales de acceso a los recursos cuando los derechos fundamentales han sido alegados con contundencia y no de modo retórico en primera instancia, pero no son atendidos por la segunda como consecuencia de una interpretación excesivamente rigurosa de los requisitos formales del recurso. En tal caso el órgano judicial no debiera optar por una interpretación judicial desproporcionada, ya que ello supondría infringir el mandato constitucional de tutela judicial efectiva, que, a mi juicio, debe tener una mayor intensidad protectora cuando se trata de derechos fundamentales.</w:t>
      </w:r>
    </w:p>
    <w:p w:rsidR="0025129F" w:rsidRDefault="0025129F" w:rsidP="0025129F">
      <w:pPr>
        <w:pStyle w:val="TextoNormal"/>
      </w:pPr>
      <w:r>
        <w:t>4. La viabilidad de que, en estos casos, el control de proporcionalidad forme parte del canon constitucional en el acceso al recurso, debiera enmarcarse dentro de la exigencia judicial que, para todos los poderes públicos, ha de significar el derecho constitucional a una tutela judicial efectiva. Pero, además, me parece que ello tampoco resulta incompatible con las Sentencias de Pleno en las que se sustenta la Sentencia de la que discrepo, ni tampoco con las que ésta apoya el recorte también en materia de derechos fundamentales y que se recogen en su fundamento jurídico quinto.</w:t>
      </w:r>
    </w:p>
    <w:p w:rsidR="0025129F" w:rsidRDefault="0025129F" w:rsidP="0025129F">
      <w:pPr>
        <w:pStyle w:val="TextoNormal"/>
      </w:pPr>
      <w:r>
        <w:t xml:space="preserve">Entiendo que en el presente caso estamos ante un supuesto en el que se reconoce un recurso legalmente y se realiza una interpretación excesivamente rigorista de los requisitos estrictamente formales de admisión, a pesar de que en el escrito de suplicación constan con claridad los derechos fundamentales que se alegan como vulnerados. Los casos examinados por las SSTC 37/1995 y 119/1998, no se refieren a la proporcionalidad en la aplicación judicial de los requisitos formales del recurso, sino al alcance de una nueva causa legal de inadmisibilidad (en la casación civil, introducida por la Ley 10/1992, en el caso analizado por la STC 37/1995; y en respecto a la causa de inadmisión regulada en el art. 93.4 LJCA en la STC 119/1998).  Tampoco las Sentencias del orden contencioso-administrativo -citadas en apoyo de tal recorte incluso cuando hay en juego derechos fundamentales (FJ 5)- creo que se corresponden exactamente con el problema en el que surge mi discrepancia con el criterio mayoritario, al fundar la inadmisión del recurso en una </w:t>
      </w:r>
      <w:r>
        <w:lastRenderedPageBreak/>
        <w:t>consideración sustantiva previa al examen del "control de proporcionalidad": la propia inexistencia del recurso por razón de la materia.</w:t>
      </w:r>
    </w:p>
    <w:p w:rsidR="0025129F" w:rsidRDefault="0025129F" w:rsidP="0025129F">
      <w:pPr>
        <w:pStyle w:val="TextoNormal"/>
      </w:pPr>
      <w:r>
        <w:t>5. En el caso concreto, entiendo que la solución que debiera haberse proyectado es la de considerar que la decisión judicial fue desproporcionada y que, como tal, vulnera el canon del art. 24.1 CE en el acceso a los recursos.</w:t>
      </w:r>
    </w:p>
    <w:p w:rsidR="0025129F" w:rsidRDefault="0025129F" w:rsidP="0025129F">
      <w:pPr>
        <w:pStyle w:val="TextoNormal"/>
      </w:pPr>
      <w:r>
        <w:t>Al haberse alegado por el recurrente los derechos consagrados en los arts. 14, 25.2 y 35 CE en su relación con la prestación de invalidez no contributiva reclamada, el principio de proporcionalidad en la ponderación del defecto procesal por parte del órgano judicial, hubiera debido marcar su actuación como obligado garante de la tutela judicial efectiva.</w:t>
      </w:r>
    </w:p>
    <w:p w:rsidR="0025129F" w:rsidRDefault="0025129F" w:rsidP="0025129F">
      <w:pPr>
        <w:pStyle w:val="TextoNormal"/>
      </w:pPr>
      <w:r>
        <w:t>Comprobado que el defecto procesal no era impeditivo, en este caso, el problema no podía ceñirse al terreno de la interpretación admisible de la legalidad procesal, en los que la balanza constitucional no debe inclinarse en ningún sentido para optar entre dos soluciones ambas razonables (STC 37/1995), sino que exigía evaluar el defecto procesal cometido en relación con lo constitucionalmente tolerable a la hora de declarar la inadmisión o desestimación del recurso. Sobre todo porque, sin ningún esfuerzo, el órgano judicial podía identificar la pretensión del recurrente y los derechos fundamentales que éste consideraba vulnerados, como así lo interpretó sin dificultad la contraparte en su escrito de impugnación.</w:t>
      </w:r>
    </w:p>
    <w:p w:rsidR="0025129F" w:rsidRDefault="0025129F" w:rsidP="0025129F">
      <w:pPr>
        <w:pStyle w:val="TextoNormal"/>
      </w:pPr>
      <w:r>
        <w:t>6. En casos como el presente, en el que están en juego derechos fundamentales sustantivos desde la instancia, la resolución judicial debe estar informada por su respeto y protección, con independencia del resultado que merezca el examen de fondo del objeto del proceso. Otra conclusión, a mi juicio, desconocería la dimensión constitucional del problema.  Además, conduciría a la paradoja de que la jurisdicción ordinaria no pudiera abordar previamente las vulneraciones aducidas, incumpliendo el "en su caso" al que se refiere el art.  53.2 CE cuando alude a este Tribunal como última instancia para repararlas, con lo que, además, este Tribunal terminaría por no poder tampoco examinar las vulneraciones al no haber agotado la vía judicial previa.</w:t>
      </w:r>
    </w:p>
    <w:p w:rsidR="0025129F" w:rsidRDefault="0025129F" w:rsidP="0025129F">
      <w:pPr>
        <w:pStyle w:val="TextoNormal"/>
      </w:pPr>
      <w:r>
        <w:t>Precisamente para evitar esta posible paradoja, lamento igualmente disentir del último fundamento jurídico de la Sentencia mayoritaria, pues entiendo que el hecho de que se declare que la desestimación por motivos formales del recurso de suplicación no vulnera el art. 24.1 CE, no debe provocar la imposibilidad de analizar en esta sede constitucional el resto de las alegaciones de la demanda de amparo y, en su caso, de tener contenido, otorgar el amparo respecto de las mismas. En coherencia con el sentir de este Voto, me parece excesivo entender que el hecho de no haber obtenido un pronunciamiento sobre el fondo -ocasionado precisamente por la rigurosa decisión del Tribunal Superior de Justicia en la interpretación de la norma procesal- provoque el incumplimiento del requisito de agotar la vía judicial previa, establecido en el art. 44.1 a) LOTC, con el argumento de que la falta de acceso al recurso se ha debido a una negligencia de la propia parte ahora recurrente. Muy al contrario, el hecho de que no se obtuviera una respuesta judicial en suplicación como consecuencia de la rigurosa decisión del órgano judicial, debió llevarnos a excluir semejante reparo procesal y forzar un pronunciamiento constitucional, cualquiera que fuese el sentido de éste.</w:t>
      </w:r>
    </w:p>
    <w:p w:rsidR="0025129F" w:rsidRDefault="0025129F" w:rsidP="0025129F">
      <w:pPr>
        <w:pStyle w:val="TextoNormal"/>
      </w:pPr>
      <w:r>
        <w:t>De otro modo, el recurrente no sólo ha perdido una segunda instancia judicial en la revisión de la posible vulneración de su derechos fundamentales, sino también toda revisión constitucional de la misma.</w:t>
      </w:r>
    </w:p>
    <w:p w:rsidR="0025129F" w:rsidRDefault="0025129F" w:rsidP="0025129F">
      <w:pPr>
        <w:pStyle w:val="TextoNormal"/>
      </w:pPr>
      <w:r>
        <w:t>Por todo ello, entiendo que debió estimarse el recurso de amparo y retrotraer las actuaciones para que el Tribunal Superior de Justicia se pronunciara sobre el fondo de la cuestión planteada en el recurso.</w:t>
      </w:r>
    </w:p>
    <w:p w:rsidR="0025129F" w:rsidRDefault="0025129F" w:rsidP="0025129F">
      <w:pPr>
        <w:pStyle w:val="TextoNormal"/>
      </w:pPr>
      <w:r>
        <w:lastRenderedPageBreak/>
        <w:t>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5" w:name="SENTENCIA_2002_72"/>
      <w:r>
        <w:lastRenderedPageBreak/>
        <w:t>SENTENCIA 72/2002, de 8 de abril de 2002</w:t>
      </w:r>
    </w:p>
    <w:bookmarkEnd w:id="75"/>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ECLI:ES:TC:2002:72</w:t>
      </w:r>
    </w:p>
    <w:p w:rsidR="0025129F" w:rsidRDefault="0025129F" w:rsidP="0025129F">
      <w:pPr>
        <w:pStyle w:val="SntesisDescriptiva"/>
      </w:pPr>
    </w:p>
    <w:p w:rsidR="0025129F" w:rsidRDefault="0025129F" w:rsidP="0025129F">
      <w:pPr>
        <w:pStyle w:val="SntesisDescriptiva"/>
      </w:pPr>
      <w:r>
        <w:t>Recurso de amparo 3544/1997. Promovido por don Salvador Salinas Llopis frente a los Autos de la Sala de lo Contencioso-Administrativo del Tribunal Superior de Justicia de Madrid, que inadmitieron su demanda contra la Consejería de Medio Ambiente y Desarrollo Regional de la Comunidad de Madrid.</w:t>
      </w:r>
    </w:p>
    <w:p w:rsidR="0025129F" w:rsidRDefault="0025129F" w:rsidP="0025129F">
      <w:pPr>
        <w:pStyle w:val="SntesisDescriptiva"/>
      </w:pPr>
    </w:p>
    <w:p w:rsidR="0025129F" w:rsidRDefault="0025129F" w:rsidP="0025129F">
      <w:pPr>
        <w:pStyle w:val="SntesisAnaltica"/>
      </w:pPr>
      <w:r>
        <w:t>Vulneración del derecho a la tutela judicial efectiva (acceso a la justicia): demanda que acumula un recurso de amparo judicial y un recurso ordinario.</w:t>
      </w:r>
    </w:p>
    <w:p w:rsidR="0025129F" w:rsidRDefault="0025129F" w:rsidP="0025129F">
      <w:pPr>
        <w:pStyle w:val="SntesisAnaltica"/>
      </w:pPr>
    </w:p>
    <w:p w:rsidR="0025129F" w:rsidRDefault="0025129F" w:rsidP="0025129F">
      <w:pPr>
        <w:pStyle w:val="Extracto"/>
      </w:pPr>
      <w:r>
        <w:t>1.</w:t>
      </w:r>
      <w:r>
        <w:tab/>
        <w:t>La Sala del Tribunal Superior de Justicia, al considerar el recurso contencioso-administrativo como un recurso especial interpuesto por el cauce procesal establecido en la Ley 62/1978, no incurre en ningún error patente. Sin embargo, realiza una interpretación excesivamente formalista, pues cabe entender que se estaba interponiendo tanto el recurso especial como el ordinario [FJ 3].</w:t>
      </w:r>
    </w:p>
    <w:p w:rsidR="0025129F" w:rsidRDefault="0025129F" w:rsidP="0025129F">
      <w:pPr>
        <w:pStyle w:val="Extracto"/>
      </w:pPr>
    </w:p>
    <w:p w:rsidR="0025129F" w:rsidRDefault="0025129F" w:rsidP="0025129F">
      <w:pPr>
        <w:pStyle w:val="Extracto"/>
      </w:pPr>
      <w:r>
        <w:t>2.</w:t>
      </w:r>
      <w:r>
        <w:tab/>
        <w:t>En los supuestos de acceso a la jurisdicción, hemos mantenido que las decisiones de inadmisión que incurran en error patente, sean arbitrarias, manifiestamente irrazonables, excesivamente formalistas o desproporcionadas deben considerarse contrarias al derecho fundamental que consagra el art. 24.1 CE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3544/97, promovido por don Salvador Salinas Llopis, representado por el Procurador de los Tribunales don Alfonso Gil Meléndez contra los Autos de 30 de mayo de 1997 y de 8 de julio de 1997 de la Sección Octava de la Sala de lo Contencioso-Administrativo del Tribunal Superior de Justicia de Madrid. Ha sido parte la Comunidad de Madrid, representada y asistida por su Letrado don Emilio González Páramo. Ha intervenido el Ministerio Fiscal. Ha sido Ponente el Magistrado don Eugeni Gay Montalvo, quien expresa el parecer de la Sala.</w:t>
      </w:r>
    </w:p>
    <w:p w:rsidR="0025129F" w:rsidRDefault="0025129F" w:rsidP="0025129F">
      <w:pPr>
        <w:pStyle w:val="TextoNormal"/>
      </w:pPr>
    </w:p>
    <w:p w:rsidR="0025129F" w:rsidRDefault="0025129F" w:rsidP="0025129F">
      <w:pPr>
        <w:pStyle w:val="TextoNormalNegritaCentrado"/>
        <w:keepNext/>
      </w:pPr>
      <w:r>
        <w:lastRenderedPageBreak/>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4 de agosto de 1997 la representación procesal de don Salvador Salinas Llopis interpuso recurso de amparo contra las resoluciones mencionadas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en síntesis, los siguientes: </w:t>
      </w:r>
    </w:p>
    <w:p w:rsidR="0025129F" w:rsidRDefault="0025129F" w:rsidP="0025129F">
      <w:pPr>
        <w:pStyle w:val="TextoNormal"/>
      </w:pPr>
      <w:r>
        <w:t xml:space="preserve">a) El ahora recurrente en amparo formuló recurso contencioso-administrativo contra dos Órdenes de la Consejería de Medio Ambiente y Desarrollo Regional de la Comunidad de Madrid. </w:t>
      </w:r>
    </w:p>
    <w:p w:rsidR="0025129F" w:rsidRDefault="0025129F" w:rsidP="0025129F">
      <w:pPr>
        <w:pStyle w:val="TextoNormal"/>
      </w:pPr>
      <w:r>
        <w:t xml:space="preserve">b) La Sala de lo Contencioso-Administrativo, por providencia de 5 de mayo de 1997, otorgó un plazo de diez días a las partes para que formularan alegaciones acerca de la posible inadmisibilidad del recurso por extemporaneidad y por falta de justificación del cauce procesal elegido. El ahora recurrente en amparo, que era también recurrente en ese proceso contencioso- administrativo, adujo en este trámite, entre otras cosas, que el recurso contencioso-administrativo interpuesto era el ordinario y que, por tanto, no incurría en extemporaneidad al haberse presentado dentro del plazo de dos meses desde la notificación de los actos impugnados. Por otra parte señala que, aunque en su escrito de interposición de recurso contencioso-administrativo, solicitó por otrosí que se tuviera por interpuesto el recurso contencioso-administrativo al amparo de la Ley 62/1978, tal solicitud se efectuó a mayor abundamiento. También señalaba que no formuló dos recursos diferenciados por razones de economía procesal pero que si la Sala lo consideraba conveniente y le requería a estos efectos subsanaría este supuesto defecto. </w:t>
      </w:r>
    </w:p>
    <w:p w:rsidR="0025129F" w:rsidRDefault="0025129F" w:rsidP="0025129F">
      <w:pPr>
        <w:pStyle w:val="TextoNormal"/>
      </w:pPr>
      <w:r>
        <w:t xml:space="preserve">c) Por Auto de 30 de mayo de 1997 la Sala acordó inadmitir el recurso contencioso- administrativo al considerar que se trataba de un recurso contencioso-administrativo especial interpuesto al amparo de la Ley 62/1978 y que este recurso había sido interpuesto fuera de plazo, ya que cuando se presentó el escrito de interposición habían transcurrido más de diez días desde que se notificaron al entonces recurrente los actos impugnados, que era el plazo que para interponer este recurso establecía el art. 8 de la Ley citada. </w:t>
      </w:r>
    </w:p>
    <w:p w:rsidR="0025129F" w:rsidRDefault="0025129F" w:rsidP="0025129F">
      <w:pPr>
        <w:pStyle w:val="TextoNormal"/>
      </w:pPr>
      <w:r>
        <w:t xml:space="preserve">d) Contra este Auto el ahora recurrente en amparo interpuso recurso de súplica en el que reitera los argumentos expuestos en las alegaciones formuladas en el trámite que otorgó la Sala a las partes con carácter previo a la declaración de inadmisibilidad. Por otrosí solicita a la Sala que, habida cuenta de la interrupción del plazo de caducidad por la interposición del escrito inicial, admita un escrito por el que se interpone de forma separada el recurso contencioso-administrativo con carácter ordinario. El Ministerio Fiscal interesó la desestimación parcial del recurso de súplica. El Fiscal sostuvo que, como del escrito de interposición del recurso contencioso- administrativo podía deducirse que lo que el actor pretendió fue la interposición simultánea de dos recursos distintos, uno ordinario y otro por la vía especial de la Ley 62/1978, sin perjuicio de que tal forma de proceder pudiera constituir una irregularidad procesal, el art. 24 CE exigía que el recurso contencioso-administrativo se tramitara como un recurso contencioso-administrativo ordinario. Por todo ello solicita la desestimación del recurso de súplica respecto del recurso interpuesto al amparo de la Ley 62/1978 por considerarlo extemporáneo y que si la Sala lo estimaba procedente se pronunciara sobre el recurso ordinario interpuesto simultáneamente. </w:t>
      </w:r>
    </w:p>
    <w:p w:rsidR="0025129F" w:rsidRDefault="0025129F" w:rsidP="0025129F">
      <w:pPr>
        <w:pStyle w:val="TextoNormal"/>
      </w:pPr>
      <w:r>
        <w:t xml:space="preserve">e) Por Auto de 8 de julio de 1997 la Sala de lo Contencioso-Administrativo desestimó el recurso de súplica interpuesto. La Sala no efectúa ningún pronunciamiento respecto de </w:t>
      </w:r>
      <w:r>
        <w:lastRenderedPageBreak/>
        <w:t>solicitud formulada por el recurrente en el escrito por el que se formula recurso de súplica mediante otrosí por la que se pedía a la Sala que admitiera el escrito por el que se formulaba de forma separada recurso con carácter ordinario.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recurrente aduce que los Autos impugnados vulneran el art. 24 CE al haberle impedido obtener la tutela judicial efectiva de sus derechos e intereses legítimos. En su opinión, la Sala de lo Contencioso-Administrativo le ha privado de tutela judicial al haber entendido que el recurso contencioso-administrativo interpuesto era un recurso especial formulado al amparo del cauce procesal que establecía la Ley 62/1978 y considerar extemporáneo el recurso por este motivo, a pesar de no ser ese el procedimiento propuesto con carácter principal ni único. El recurrente sostiene que de su escrito de interposición de recurso contencioso-administrativo no podía deducirse que hubiera interpuesto únicamente el recurso especial y que, además, en el trámite de alegaciones otorgado para que se pronunciara sobre la posible concurrencia de las causas de inadmisibilidad advertidas por la Sala, puso de manifiesto que el recurso interpuesto con carácter principal, no era el especial, sino el ordinario. Por todo ello considera que, al inadmitir su recurso por tal motivo, la Sala de lo Contencioso- Administrativo adoptó una decisión contraria al principio pro actione, al haber realizado una interpretación rigorista y formalista de las normas procesales que le han causado indefensión, vulnerando de esta forma su derecho a la tutela judicial efectiva. </w:t>
      </w:r>
    </w:p>
    <w:p w:rsidR="0025129F" w:rsidRDefault="0025129F" w:rsidP="0025129F">
      <w:pPr>
        <w:pStyle w:val="TextoNormal"/>
      </w:pPr>
      <w:r>
        <w:t xml:space="preserve">También señala que con el fin de subsanar el eventual defecto formal en el que pudiera haber incurrido al haber formulado en el mismo escrito de interposición dos recursos, el ordinario, con carácter principal, y el especial previsto en la Ley 62/1978, presentó un escrito por el que interponía por separado recurso contencioso-administrativo de carácter ordinario. </w:t>
      </w:r>
    </w:p>
    <w:p w:rsidR="0025129F" w:rsidRDefault="0025129F" w:rsidP="0025129F">
      <w:pPr>
        <w:pStyle w:val="TextoNormal"/>
      </w:pPr>
      <w:r>
        <w:t>Por último, pone de manifiesto que no ha encontrado ningún precepto que impida ejercer mediante un único escrito dos acciones distintas en los casos en el que el ejercicio de esas dos acciones no resulta contradictorio, especialmente cuando el Tribunal receptor sea el mismo por razón de competencia.</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Sección Tercera de este Tribunal, por providencia de 17 de noviembre de 1997, acordó admitir a trámite la demanda de amparo y, en virtud de lo dispuesto en el art. 51 LOTC, requerir a la Sección Octava de la Sala de lo Contencioso-Administrativo del Tribunal Superior de Justicia de Madrid para que en un plazo que no excediera de diez días remitiera certificación o fotocopia adverada de las actuaciones correspondientes al recurso especial de la Ley 62/1978 núm. 631/97 y para que emplazara a los que hubieran sido parte en el procedimiento, con excepción del recurrente en amparo, para que, sí lo deseaban, en el mismo plazo de diez días, pudieran comparecer en el presente proceso. </w:t>
      </w:r>
    </w:p>
    <w:p w:rsidR="0025129F" w:rsidRDefault="0025129F" w:rsidP="0025129F">
      <w:pPr>
        <w:pStyle w:val="TextoNormal"/>
      </w:pPr>
      <w:r>
        <w:t>La Sección adoptó esta resolución condicionada a que el Procurador don Alfonso Gil Meléndez acreditara su representación mediante presentación de poder original. El 24 de noviembre de 1997 el Procurador de los Tribunales, don Alfonso Gil Meléndez, aportó el poder original acreditativo de la representación que ostenta.</w:t>
      </w:r>
    </w:p>
    <w:p w:rsidR="0025129F" w:rsidRDefault="0025129F" w:rsidP="0025129F">
      <w:pPr>
        <w:pStyle w:val="TextoNormal"/>
      </w:pPr>
    </w:p>
    <w:p w:rsidR="0025129F" w:rsidRDefault="0025129F" w:rsidP="0025129F">
      <w:pPr>
        <w:pStyle w:val="TextoNormal"/>
      </w:pPr>
      <w:r w:rsidRPr="0025129F">
        <w:rPr>
          <w:rStyle w:val="NumeroAFNegritaCaracter"/>
        </w:rPr>
        <w:t>5</w:t>
      </w:r>
      <w:r>
        <w:t>. El 30 de diciembre de 1997 se personó en este procedimiento la Comunidad de Madrid a través de su Letrado don Emilio González Páramo.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Por providencia de la Sección Cuarta de este Tribunal se acordó, por una parte, tener por personado y parte en el procedimiento a la Comunidad de Madrid, representada y asistida por su Letrado don Emilio González Páramo; y por otra, dar vista de las actuaciones recibidas a las partes personadas y al Ministerio Fiscal por plazo común de veinte días, para que si lo estimaban pertinente, dentro de dicho plazo formularan alegaciones.</w:t>
      </w:r>
    </w:p>
    <w:p w:rsidR="0025129F" w:rsidRDefault="0025129F" w:rsidP="0025129F">
      <w:pPr>
        <w:pStyle w:val="TextoNormal"/>
      </w:pPr>
    </w:p>
    <w:p w:rsidR="0025129F" w:rsidRDefault="0025129F" w:rsidP="0025129F">
      <w:pPr>
        <w:pStyle w:val="TextoNormal"/>
      </w:pPr>
      <w:r w:rsidRPr="0025129F">
        <w:rPr>
          <w:rStyle w:val="NumeroAFNegritaCaracter"/>
        </w:rPr>
        <w:t>7</w:t>
      </w:r>
      <w:r>
        <w:t>. Por escrito registrado en este Tribunal el 19 de febrero de 1998 el recurrente en amparo presentó su escrito de alegaciones por el que reitera las formuladas en su escrito de demanda.</w:t>
      </w:r>
    </w:p>
    <w:p w:rsidR="0025129F" w:rsidRDefault="0025129F" w:rsidP="0025129F">
      <w:pPr>
        <w:pStyle w:val="TextoNormal"/>
      </w:pPr>
    </w:p>
    <w:p w:rsidR="0025129F" w:rsidRDefault="0025129F" w:rsidP="0025129F">
      <w:pPr>
        <w:pStyle w:val="TextoNormal"/>
      </w:pPr>
      <w:r w:rsidRPr="0025129F">
        <w:rPr>
          <w:rStyle w:val="NumeroAFNegritaCaracter"/>
        </w:rPr>
        <w:t>8</w:t>
      </w:r>
      <w:r>
        <w:t>. El 19 de febrero de 1998 el Fiscal presento su escrito de alegaciones en el Registro de este Tribunal. El Fiscal interesa el otorgamiento del amparo, pues considera que en este caso la Sala de lo Contencioso-Administrativo ha efectuado una interpretación de las normas procesales formalista y restrictiva que vulnera el derecho fundamental que consagra el art. 24.1 CE. El Ministerio Fiscal entiende, que tal y como sostuvo el Fiscal en la instancia, del escrito de interposición de recurso contencioso-administrativo podía deducirse que el actor lo que pretendía era la interposición simultánea de dos recursos: uno ordinario y otro por la vía especial que establecía la Ley 62/1978. Tal conclusión la fundamenta en diversas consideraciones: en primer lugar, en que del resumen de hechos transcritos se deduce que tanto en el encabezamiento como en el primer suplico del escrito de interposición del recurso de reposición no se hacía mención alguna al cauce regulado en la Ley 62/1978; en segundo lugar, que la Sala plantea la posible inadmisibilidad por "inadecuación del cauce procesal elegido", lo que supone -a juicio del Fiscal-que la redacción del escrito de interposición seguía estrictamente los dictados del art. 57 LJCA de 1956, sin atenerse a las exigencias de la vía especial preferente y sumaria de defensa de los derechos fundamentales, que implica una justificación de la "repercusión" del acto impugnado en los derechos fundamentales; y por último, en que entre los fundamentos de Derecho se cita la infracción de normas de legalidad ordinaria y en los hechos se alude expresamente tanto a vulneraciones constitucionales como de mera legalidad. Por todo ello considera que la Sala debía haber efectuado una interpretación del escrito de interposición del recurso contencioso- administrativo más acorde con la efectividad del derecho fundamental de acceso al proceso.</w:t>
      </w:r>
    </w:p>
    <w:p w:rsidR="0025129F" w:rsidRDefault="0025129F" w:rsidP="0025129F">
      <w:pPr>
        <w:pStyle w:val="TextoNormal"/>
      </w:pPr>
    </w:p>
    <w:p w:rsidR="0025129F" w:rsidRDefault="0025129F" w:rsidP="0025129F">
      <w:pPr>
        <w:pStyle w:val="TextoNormal"/>
      </w:pPr>
      <w:r w:rsidRPr="0025129F">
        <w:rPr>
          <w:rStyle w:val="NumeroAFNegritaCaracter"/>
        </w:rPr>
        <w:t>9</w:t>
      </w:r>
      <w:r>
        <w:t>. Por escrito registrado en este Tribunal el 20 de febrero de 1998 el Letrado de la Comunidad de Madrid presentó su escrito de alegaciones. Aduce que las resoluciones recurridas son conformes a Derecho y por ello considera que no puede apreciarse la vulneración del 24.1 CE que les imputa el recurrente. En su opinión, la cuestión que se plantea en este recurso de amparo es de mera legalidad y considera que la demanda de amparo carece de contenido constitucional. Por todo ello solicita la denegación del amparo.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4 de abril 2002, se señaló para deliberación y votación de la presente Sentencia el día 8 del mismo mes y año.</w:t>
      </w:r>
    </w:p>
    <w:p w:rsidR="0025129F" w:rsidRDefault="0025129F" w:rsidP="0025129F">
      <w:pPr>
        <w:pStyle w:val="TextoNormal"/>
      </w:pPr>
    </w:p>
    <w:p w:rsidR="0025129F" w:rsidRDefault="0025129F" w:rsidP="0025129F">
      <w:pPr>
        <w:pStyle w:val="TextoNormalNegritaCentrado"/>
        <w:keepNext/>
      </w:pPr>
      <w:r>
        <w:lastRenderedPageBreak/>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cuestión que se plantea en este recurso de amparo consiste en determinar si la Sala de lo Contencioso-Administrativo, al considerar que el recurso contencioso-administrativo que interpuso el ahora recurrente en amparo era un recurso especial interpuesto por el cauce que preveía la Ley 62/1978, de protección jurisdiccional de los derechos fundamentales de la persona e inadmitir el recurso al entender que al haberse interpuesto el recurso a través de ese cauce procesal era extemporáneo, ha vulnerado el derecho a la tutela judicial efectiva del recurrente en amparo, en su manifestación del derecho de acceso a la jurisdicción.</w:t>
      </w:r>
    </w:p>
    <w:p w:rsidR="0025129F" w:rsidRDefault="0025129F" w:rsidP="0025129F">
      <w:pPr>
        <w:pStyle w:val="TextoNormal"/>
      </w:pPr>
      <w:r>
        <w:t>El recurrente alega que el recurso contencioso-administrativo interpuesto con carácter principal era el ordinario y que, aunque es cierto, que mediante otrosí solicitó que se tuviera por interpuesto al amparo del cauce procesal establecido en la Ley 62/1978, tal solicitud era a mayor abundamiento. En todo caso, señala que no existe ninguna norma que le impida formular en un mismo escrito dos recursos distintos: el ordinario y el especial en materia de protección de derechos fundamentales que establecía la Ley 62/1978, por ello considera que si la Sala estimaba que el recurso especial en materia de derechos fundamentales era extemporáneo hubiera debido inadmitir este recurso pero admitir el ordinario. También pone de manifiesto que aun en el caso de que se considerase que al proceder de tal modo había incurrido en una irregularidad procesal, el supuesto defecto en el que hubiera podido incurrir quedó subsanado al haber presentado otro escrito en el que, de forma separada, formulaba recurso ordinario. Por todo ello considera que la Sala, al haber apreciado la extemporaneidad del recurso por considerarlo un recurso especial interpuesto al amparo de la Ley 62/1978, ha vulnerado su derecho a la tutela judicial efectiva sin indefensión que consagra el art. 24.1 CE.</w:t>
      </w:r>
    </w:p>
    <w:p w:rsidR="0025129F" w:rsidRDefault="0025129F" w:rsidP="0025129F">
      <w:pPr>
        <w:pStyle w:val="TextoNormal"/>
      </w:pPr>
      <w:r>
        <w:t>El Fiscal solicita el otorgamiento del amparo al entender que la interpretación efectuada por la Sala del escrito de interposición del recurso contencioso-administrativo es formalista y contrario a las exigencias del art. 24.1 CE, pues del escrito formulado por el recurrente cabe deducir que lo que pretendió fue interponer simultáneamente dos recursos: el ordinario y el especial en materia de protección de derechos fundamentales. Por el contrario, la Comunidad de Madrid, que es parte en este recurso de amparo, solicita la denegación del amparo por entender que la cuestión planteada en este recurso carece de relevancia constitucional.</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Es doctrina constitucional reiterada (entre otras muchas, SSTC 35/1999, de 22 de marzo, FJ 4; 122/1999, de 28 de junio; 160/2000, de 12 de junio, FJ 2; 3/2001, de 15 enero, FJ 5) que el derecho a la tutela judicial efectiva que consagra el art.  24.1 CE no garantiza el derecho a un pronunciamiento de fondo sobre la cuestión planteada a los órganos judiciales, siendo posible una decisión de inadmisión siempre que esta respuesta sea la aplicación razonada y proporcionada de una causa legal en la que se prevea esta consecuencia. De igual modo hemos sostenido que la interpretación de los requisitos procesales es una cuestión que, en principio, es de estricta legalidad y por ello, como regla general, corresponde en exclusiva a los Jueces y Tribunales en el ejercicio de su función jurisdiccional. No obstante, hemos afirmado también que esta regla tiene excepciones y por ello hemos admitido que, en determinadas circunstancias, tal cuestión puede adquirir relevancia constitucional. En concreto, en los supuestos de acceso a la jurisdicción, que es el caso que ahora se plantea, hemos mantenido que las decisiones de inadmisión que incurran en </w:t>
      </w:r>
      <w:r>
        <w:lastRenderedPageBreak/>
        <w:t>error patente, sean arbitrarias, manifiestamente irrazonables, excesivamente formalistas o desproporcionadas deben considerarse contrarias al derecho fundamental que consagra el art. 24.1 CE. Debe tenerse en cuenta que, como reiteradamente ha señalado este Tribunal, el principio pro actione actúa de forma más intensa que en aquellos supuestos en los que se haya obtenido una primera respuesta judicial, de ahí que en el presente caso este principio obligue a los órganos judiciales a interpretar los requisitos procesales de forma que impida que determinadas interpretaciones y aplicaciones de los mismos eliminen u obstaculicen desproporcionadamente el derecho a que un órgano judicial conozca y resuelva en Derecho sobre la pretensión a él sometida, sin que ello suponga, como también ha señalado este Tribunal, que deba necesariamente seleccionar la interpretación más favorable a la admisión de entre todas las posibles, como pudiera deducirse de su ambigua denominación. (SSTC 38/1998, de 18 de febrero, FJ 2; 207/1998, de 26 de octubre, FJ 3; 35/1999 FJ 4, 63/1999, de 26 de abril, FJ 2 y 78/1999, de 26 de abril, FJ 2; 122/1999, de 28 de junio, FJ 2; ATC 16/2000, de 17 de enero, FJ 2)</w:t>
      </w:r>
    </w:p>
    <w:p w:rsidR="0025129F" w:rsidRDefault="0025129F" w:rsidP="0025129F">
      <w:pPr>
        <w:pStyle w:val="TextoNormal"/>
      </w:pPr>
      <w:r>
        <w:t>Por otra parte, debe indicarse también que para que las decisiones de inadmisión por falta de cumplimiento de los requisitos procesales sean acordes con el derecho a la tutela judicial efectiva es preciso, además, que el requisito incumplido, teniendo en cuenta las circunstancias concurrentes en el supuesto planteado, no sea susceptible de subsanación o que, siéndolo, el actor no haya hecho un uso correcto de tal posibilidad (en el mismo sentido, entre otras muchas, STC 122/1999, FJ 2).</w:t>
      </w:r>
    </w:p>
    <w:p w:rsidR="0025129F" w:rsidRDefault="0025129F" w:rsidP="0025129F">
      <w:pPr>
        <w:pStyle w:val="TextoNormal"/>
      </w:pPr>
    </w:p>
    <w:p w:rsidR="0025129F" w:rsidRDefault="0025129F" w:rsidP="0025129F">
      <w:pPr>
        <w:pStyle w:val="TextoNormal"/>
      </w:pPr>
      <w:r w:rsidRPr="0025129F">
        <w:rPr>
          <w:rStyle w:val="NumeroAFNegritaCaracter"/>
        </w:rPr>
        <w:t>3</w:t>
      </w:r>
      <w:r>
        <w:t>. En el presente caso no cabe apreciar que la Sala, al considerar el recurso contencioso- administrativo como un recurso especial interpuesto por el cauce procesal establecido en la Ley 62/1978, haya incurrido en ningún error patente, pues el recurrente por otrosí solicita que el recurso contencioso-administrativo interpuesto se tramite al amparo de la Ley 62/1978 y en ningún momento manifiesta expresamente su intención de interponer, a través de un mismo escrito, dos recursos distintos. Tampoco cabe calificar esta decisión como arbitraria ni manifiestamente irrazonable, ya que se trata de una decisión debidamente motivada, pues el órgano judicial llega a la conclusión de que la intención de la parte era interponer únicamente el recurso especial que establecía la Ley 62/1978, no sólo porque así lo solicita por otrosí, sino porque además el apartado IX de los fundamentos de Derecho de su escrito de interposición menciona expresamente esta Ley. Sin embargo, tal interpretación es excesivamente formalista, pues aunque, ciertamente, en el escrito de interposición se solicita expresamente mediante otrosí que se tuviera por interpuesto recurso contencioso- administrativo al amparo del procedimiento previsto en la Ley 62/1978 y no se solicita que, simultáneamente, se tramite por el procedimiento ordinario que en aquel momento regulaba la Ley reguladora de la jurisdicción contencioso-administrativa de 1956, del escrito de interposición de recurso y de la documentación que con el mismo se acompaña, en concreto del escrito por el que se formula la comunicación previa que establecía el art. 110.3 de la Ley 30/1992, cabe entender que mediante dicho escrito se estaba interponiendo tanto el recurso especial como el recurso ordinario.</w:t>
      </w:r>
    </w:p>
    <w:p w:rsidR="0025129F" w:rsidRDefault="0025129F" w:rsidP="0025129F">
      <w:pPr>
        <w:pStyle w:val="TextoNormal"/>
      </w:pPr>
      <w:r>
        <w:t>En efecto, tal y como señala el Fiscal, el actor en el encabezamiento y en el primer suplico del escrito de interposición de recurso manifiesta su intención de interponer recurso contencioso-administrativo sin hacer mención al cauce especial de la Ley 62/1978. Por otra parte, en el referido escrito de interposición se invoca no sólo la vulneración de sus derechos fundamentales, sino también otras alegaciones de estricta legalidad. Junto a tales datos resulta especialmente relevante que el recurrente haya interpuesto la comunicación previa que establecía el art. 110.3 de la Ley 30/1992, y que además, en este escrito mani</w:t>
      </w:r>
      <w:r>
        <w:lastRenderedPageBreak/>
        <w:t>fieste expresamente que, en cumplimiento de lo preceptuado en ese precepto, comunica su intención de interponer recurso contencioso-administrativo y al mismo tiempo, mediante un otrosí, anuncie también su intención de recurrir por la vía de la Ley 62/1978, señalando que lo efectúa a pesar de no ser preceptiva esta comunicación para recurrir al amparo de la referida vía, por lo que a través de dicho escrito está poniendo en conocimiento de la Administración tanto su intención de interponer recurso ordinario como la de interponer el especial de protección de derechos fundamentales.</w:t>
      </w:r>
    </w:p>
    <w:p w:rsidR="0025129F" w:rsidRDefault="0025129F" w:rsidP="0025129F">
      <w:pPr>
        <w:pStyle w:val="TextoNormal"/>
      </w:pPr>
      <w:r>
        <w:t>De todos estos datos cabe deducir que el recurrente, aunque no lo manifestara expresamente en su escrito de interposición, estaba interponiendo en un mismo escrito dos recursos distintos. Ciertamente, esta no es la única interpretación posible y por ello, como ya hemos señalado, no puede considerarse que la Sala al entender que el recurrente había interpuesto únicamente el recurso especial que preveía la Ley 62/1978 haya efectuado una interpretación arbitraria ni irrazonable de su escrito de interposición de recurso. Ahora bien, como también hemos señalado tal interpretación es excesivamente formalista y por este motivo, al privar al recurrente en amparo del acceso a la jurisdicción, ha lesionado su derecho fundamental a la tutela judicial efectiva.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consecuencia:</w:t>
      </w:r>
    </w:p>
    <w:p w:rsidR="0025129F" w:rsidRDefault="0025129F" w:rsidP="0025129F">
      <w:pPr>
        <w:pStyle w:val="TextoNormal"/>
      </w:pPr>
      <w:r>
        <w:t>1º Reconocer que al recurrente en amparo se le ha vulnerado su derecho fundamental a la tutela judicial efectiva en su manifestación de derecho de acceso a la jurisdicción.</w:t>
      </w:r>
    </w:p>
    <w:p w:rsidR="0025129F" w:rsidRDefault="0025129F" w:rsidP="0025129F">
      <w:pPr>
        <w:pStyle w:val="TextoNormal"/>
      </w:pPr>
      <w:r>
        <w:t>2º Restablecerle en su derecho y, a tal fin, anular los Autos de la Sala de lo Contencioso- Administrativo del Tribunal Superior de Justicia de Madrid, recaídos en el recurso contencioso- administrativo 631/97, de 30 de mayo de 1997 y de 8 julio de 1997.</w:t>
      </w:r>
    </w:p>
    <w:p w:rsidR="0025129F" w:rsidRDefault="0025129F" w:rsidP="0025129F">
      <w:pPr>
        <w:pStyle w:val="TextoNormal"/>
      </w:pPr>
      <w:r>
        <w:t>3º Retrotraer las actuaciones al momento anterior en que fue dictada la primera de las resoluciones anuladas con el fin de que la Sala dicte otra que sea conforme con el derecho fundamental que consagra el art. 24.1 CE.</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6" w:name="SENTENCIA_2002_73"/>
      <w:r>
        <w:lastRenderedPageBreak/>
        <w:t>SENTENCIA 73/2002, de 8 de abril de 2002</w:t>
      </w:r>
    </w:p>
    <w:bookmarkEnd w:id="76"/>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ECLI:ES:TC:2002:73</w:t>
      </w:r>
    </w:p>
    <w:p w:rsidR="0025129F" w:rsidRDefault="0025129F" w:rsidP="0025129F">
      <w:pPr>
        <w:pStyle w:val="SntesisDescriptiva"/>
      </w:pPr>
    </w:p>
    <w:p w:rsidR="0025129F" w:rsidRDefault="0025129F" w:rsidP="0025129F">
      <w:pPr>
        <w:pStyle w:val="SntesisDescriptiva"/>
      </w:pPr>
      <w:r>
        <w:t>Recurso de amparo 4141/1997. Promovido por don Faustino Zarandona Bilbao respecto de diversas resoluciones de un Juzgado de Primera Instancia de Baracaldo, que denegaron su personación en un litigio sobre arrendamiento de local de negocio.</w:t>
      </w:r>
    </w:p>
    <w:p w:rsidR="0025129F" w:rsidRDefault="0025129F" w:rsidP="0025129F">
      <w:pPr>
        <w:pStyle w:val="SntesisDescriptiva"/>
      </w:pPr>
    </w:p>
    <w:p w:rsidR="0025129F" w:rsidRDefault="0025129F" w:rsidP="0025129F">
      <w:pPr>
        <w:pStyle w:val="SntesisAnaltica"/>
      </w:pPr>
      <w:r>
        <w:t>Supuesta vulneración del derecho a la tutela judicial efectiva (acceso al proceso): denegación de personación en un proceso civil que no causa indefensión.</w:t>
      </w:r>
    </w:p>
    <w:p w:rsidR="0025129F" w:rsidRDefault="0025129F" w:rsidP="0025129F">
      <w:pPr>
        <w:pStyle w:val="SntesisAnaltica"/>
      </w:pPr>
    </w:p>
    <w:p w:rsidR="0025129F" w:rsidRDefault="0025129F" w:rsidP="0025129F">
      <w:pPr>
        <w:pStyle w:val="Extracto"/>
      </w:pPr>
      <w:r>
        <w:t>1.</w:t>
      </w:r>
      <w:r>
        <w:tab/>
        <w:t>El recurrente ha desatendido la carga, que le incumbe, de argumentar que habría existido un concreto perjuicio real y efectivo para sus derechos o intereses legítimos, lo que es preciso para que podamos apreciar la existencia de indefensión constitucionalmente relevante a los efectos del art. 24.1 CE ( SSTC 205/1994, 62/1998) [FJ 4].</w:t>
      </w:r>
    </w:p>
    <w:p w:rsidR="0025129F" w:rsidRDefault="0025129F" w:rsidP="0025129F">
      <w:pPr>
        <w:pStyle w:val="Extracto"/>
      </w:pPr>
    </w:p>
    <w:p w:rsidR="0025129F" w:rsidRDefault="0025129F" w:rsidP="0025129F">
      <w:pPr>
        <w:pStyle w:val="Extracto"/>
      </w:pPr>
      <w:r>
        <w:t>2.</w:t>
      </w:r>
      <w:r>
        <w:tab/>
        <w:t>La vulneración del derecho fundamental a no padecer indefensión, reconocido en el art. 24.1 CE, exige que al recurrente se le haya causado un perjuicio real y efectivo en sus derechos e intereses legítimos (STC 114/2000)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4141/97, interpuesto por don Faustino Zarandona Bilbao, representado por el Procurador de los Tribunales don José Luis Martín Jaureguibeitia y asistido por el Letrado don Borja Mazón Arechederra, contra la providencia del Juzgado de Primera Instancia núm. 4 de Baracaldo de 24 de septiembre de 1997, así como contra diversas resoluciones anteriores del mismo órgano judicial, negando todas ellas la posibilidad de intervención en juicio de menor cuantía. Ha intervenido el Ministerio Fiscal. Ha sido Ponente el Magistrado don Pablo García Manzano, quien expresa el parecer de la Sala.</w:t>
      </w:r>
    </w:p>
    <w:p w:rsidR="0025129F" w:rsidRDefault="0025129F" w:rsidP="0025129F">
      <w:pPr>
        <w:pStyle w:val="TextoNormal"/>
      </w:pPr>
    </w:p>
    <w:p w:rsidR="0025129F" w:rsidRDefault="0025129F" w:rsidP="0025129F">
      <w:pPr>
        <w:pStyle w:val="TextoNormalNegritaCentrado"/>
        <w:keepNext/>
      </w:pPr>
      <w:r>
        <w:lastRenderedPageBreak/>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Servicio de Apoyo al Juzgado de guardia del Decanato de los Juzgados de Madrid el día 16 de octubre de 1997, que tuvo entrada en el Registro General de este Tribunal el día siguiente, don Faustino Zarandona Bilbao, representado por el Procurador de los Tribunales don José Luis Martín Jaureguibeitia y asistido por el Letrado don Borja Mazón Arechederra, interpone recurso de amparo contra la providencia del Juzgado de Primera Instancia núm. 4 de Baracaldo de 24 de septiembre de 1997, así como contra diversas resoluciones anteriores del mismo órgano judicial, que denegaban, todas ellas, su solicitud de intervención en el juicio de menor cuantía núm. 156/96.</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relevancia para el presente recurso de amparo son, en esencia, los que siguen: </w:t>
      </w:r>
    </w:p>
    <w:p w:rsidR="0025129F" w:rsidRDefault="0025129F" w:rsidP="0025129F">
      <w:pPr>
        <w:pStyle w:val="TextoNormal"/>
      </w:pPr>
      <w:r>
        <w:t xml:space="preserve">a) Mediante escrito de 12 de febrero de 1996, la entidad mercantil Metalúrgica Melsa, S.L., formuló demanda de juicio de menor cuantía frente a las entidades Sugar Quay, S.A., y Metalúrgica Laboral de Ugarte, S.A.L., ejercitando acción declarativa de reconocimiento de contrato de arrendamiento de local de negocio celebrado en el año 1994 en relación con diversos pabellones industriales. Dicha demanda dio lugar al juicio de menor cuantía 156/96, tramitado por el Juzgado de Primera Instancia núm. 4 de Baracaldo. </w:t>
      </w:r>
    </w:p>
    <w:p w:rsidR="0025129F" w:rsidRDefault="0025129F" w:rsidP="0025129F">
      <w:pPr>
        <w:pStyle w:val="TextoNormal"/>
      </w:pPr>
      <w:r>
        <w:t xml:space="preserve">La demandada Metalúrgica Laboral de Ugarte, S.A.L., contestó a la demanda, mediante escrito de 10 de mayo de 1996, considerando que no se trataba de un arrendamiento de local de negocio, sino de un arrendamiento de industria, solicitando del Juzgado que así lo declarara, con íntegra desestimación de las pretensiones de la demandante. </w:t>
      </w:r>
    </w:p>
    <w:p w:rsidR="0025129F" w:rsidRDefault="0025129F" w:rsidP="0025129F">
      <w:pPr>
        <w:pStyle w:val="TextoNormal"/>
      </w:pPr>
      <w:r>
        <w:t xml:space="preserve">La otra demandada, Sugar Quay S.A., por escrito de 8 de mayo de 1996, contestó a la demanda en análogo sentido que Metalúrgica Laboral de Ugarte, S.A.L., si bien formuló demanda reconvencional de desahucio contra la mercantil Metalúrgica Melsa, S.L., solicitando que se declarase la finalización del contrato de arrendamiento de industria suscrito, procediéndose al desalojo de aquélla en los plazos legales. </w:t>
      </w:r>
    </w:p>
    <w:p w:rsidR="0025129F" w:rsidRDefault="0025129F" w:rsidP="0025129F">
      <w:pPr>
        <w:pStyle w:val="TextoNormal"/>
      </w:pPr>
      <w:r>
        <w:t xml:space="preserve">b) Mientras se tramitaba el indicado proceso, el día 20 de junio de 1997, el hoy recurrente en amparo, don Faustino Zarandona Bilbao, presentó escrito ante el Juzgado de Primera Instancia núm. 4 de Baracaldo, exponiendo que era titular, desde el mes de julio del año 1996, de un derecho de opción de compra sobre cuatro fincas objeto del arrendamiento debatido en aquel proceso y que, además, dicho derecho de opción de compra ya había sido ejercitado, en el año 1997, respecto de la finca principal, y aunque con posterioridad vendió ésta, la venta no se hallaba perfeccionada, de modo que seguía siendo el Sr. Zarandona titular de la finca. A su juicio, dichos derechos hacían evidente su interés para ser parte legítima en el proceso, en tanto que lo que se decidiera en él respecto del arrendamiento supuestamente existente en todo caso le iba a afectar. En consecuencia, solicitaba que se le tuviera por personado y parte. </w:t>
      </w:r>
    </w:p>
    <w:p w:rsidR="0025129F" w:rsidRDefault="0025129F" w:rsidP="0025129F">
      <w:pPr>
        <w:pStyle w:val="TextoNormal"/>
      </w:pPr>
      <w:r>
        <w:t xml:space="preserve">Por providencia del Juzgado de Primera Instancia de 24 de junio de 1997 se acordó que "no ha lugar lo solicitado toda vez que ... no es parte en el presente procedimiento, devolviéndose ... el escrito original y todas las copias presentadas". </w:t>
      </w:r>
    </w:p>
    <w:p w:rsidR="0025129F" w:rsidRDefault="0025129F" w:rsidP="0025129F">
      <w:pPr>
        <w:pStyle w:val="TextoNormal"/>
      </w:pPr>
      <w:r>
        <w:t>c) Mediante escrito presentado el día 1 de julio de 1997, el Sr. Zarandona interpuso recurso de reposición contra la considerada providencia. Alegó como precepto infringido el artículo 24 CE. Tras reiterar, en esencia, las consideraciones expuestas en su escrito inicial, afirma que los derechos de que es titular se van a ver directamente afectados y pue</w:t>
      </w:r>
      <w:r>
        <w:lastRenderedPageBreak/>
        <w:t xml:space="preserve">den verse perjudicados por la resolución judicial que se vaya a dictar en el proceso, de donde deriva su interés legítimo para personarse en autos, debiendo por ello ser admitido como parte, ya que en caso contrario se le privaría de su derecho a ser oído y a disponer de todas sus posibilidades en aras a la defensa de sus intereses, vulnerando el artículo 24 CE, en cuanto que éste consagra los derechos de defensa, tutela judicial efectiva y acceso a los Tribunales, causándole con ello grave indefensión. </w:t>
      </w:r>
    </w:p>
    <w:p w:rsidR="0025129F" w:rsidRDefault="0025129F" w:rsidP="0025129F">
      <w:pPr>
        <w:pStyle w:val="TextoNormal"/>
      </w:pPr>
      <w:r>
        <w:t xml:space="preserve">Por providencia de 4 de julio de 1997 se acordó que "Se inadmite de plano el Recurso de Reposición interpuesto ... ya que al no ser parte legítima en autos (ni como actor ni como demandado) no puede intervenir en este procedimiento, además de que en [el] escrito no concurren los requisitos establecidos en el artículo 377 de la L.E. Civil, y si cree que la Sentencia que se dicte puede afectarle en algún modo deberá ejercitar su derecho en el juicio declarativo correspondiente. Devuélvase asimismo las copias aportadas...". </w:t>
      </w:r>
    </w:p>
    <w:p w:rsidR="0025129F" w:rsidRDefault="0025129F" w:rsidP="0025129F">
      <w:pPr>
        <w:pStyle w:val="TextoNormal"/>
      </w:pPr>
      <w:r>
        <w:t xml:space="preserve">d) Mediante escrito presentado el día 14 de julio de 1997, el Sr. Zarandona interpuso recurso de reposición contra la providencia de 4 de julio, solicitando la nulidad de actuaciones y su retroacción al momento de la solicitud inicial de que se le tuviera por personado y parte. Reitera esencialmente lo manifestado en sus escritos anteriores, señalando que el argumento esgrimido para inadmitir el recurso de reposición, exponiendo el órgano judicial que no es parte, resulta peregrino, puesto que, precisamente, lo que se solicitaba es que se le reconociera como tal. Añade que, aun cuando no fuera parte, debe ser reconocido en cualquier caso como interesado, en virtud del concepto de legitimación procesal indirecta, en aplicación de lo dispuesto en el artículo 270 LOPJ. Asimismo, expone que el recurso de reposición cumplía los requisitos exigidos por el artículo 377 LEC, al haber sido interpuesto en tiempo y forma, alegando como infringido el artículo 24 CE. </w:t>
      </w:r>
    </w:p>
    <w:p w:rsidR="0025129F" w:rsidRDefault="0025129F" w:rsidP="0025129F">
      <w:pPr>
        <w:pStyle w:val="TextoNormal"/>
      </w:pPr>
      <w:r>
        <w:t xml:space="preserve">Por providencia de 18 de julio de 1997, notificada el día 23 siguiente, se declara que "no ha lugar a tener por interpuesto el recurso planteado toda vez que el mismo no es parte en el presente procedimiento no pudiendo por lo tanto interponer recurso alguno". </w:t>
      </w:r>
    </w:p>
    <w:p w:rsidR="0025129F" w:rsidRDefault="0025129F" w:rsidP="0025129F">
      <w:pPr>
        <w:pStyle w:val="TextoNormal"/>
      </w:pPr>
      <w:r>
        <w:t xml:space="preserve">e) Mediante escrito presentado el día 12 de septiembre de 1997, el Sr. Zarandona solicita que se le tenga por personado como interesado, en base a las mismas razones que había expuesto en sus anteriores escritos. </w:t>
      </w:r>
    </w:p>
    <w:p w:rsidR="0025129F" w:rsidRDefault="0025129F" w:rsidP="0025129F">
      <w:pPr>
        <w:pStyle w:val="TextoNormal"/>
      </w:pPr>
      <w:r>
        <w:t xml:space="preserve">Por providencia de 15 de septiembre de 1997 se ordena que se proceda a la devolución del considerado escrito "reiterando lo proveído en fecha 24 de junio, 4 de julio y 18 de julio del presente". </w:t>
      </w:r>
    </w:p>
    <w:p w:rsidR="0025129F" w:rsidRDefault="0025129F" w:rsidP="0025129F">
      <w:pPr>
        <w:pStyle w:val="TextoNormal"/>
      </w:pPr>
      <w:r>
        <w:t xml:space="preserve">f) Mediante escrito presentado el día 22 de septiembre de 1997, el Sr. Zarandona interpuso recurso de reposición frente a la providencia de 15 de septiembre. Alega como precepto infringido el artículo 24 CE. Reitera la indefensión que se le está causando por las circunstancias que ya había expuesto anteriormente ante el Juzgado, y que para evitar que pueda verse perjudicado en su derecho material por la Sentencia que se dicte es necesario que se le tenga por interesado. Añade que la remisión que en la providencia recurrida se realizaba a las de 24 de junio, 4 de julio y 18 de julio, resulta incongruente, dado que estas últimas hacían referencia a su solicitud de personación como parte, mientras lo que ahora se solicita es que se le tenga por personado como interesado. </w:t>
      </w:r>
    </w:p>
    <w:p w:rsidR="0025129F" w:rsidRDefault="0025129F" w:rsidP="0025129F">
      <w:pPr>
        <w:pStyle w:val="TextoNormal"/>
      </w:pPr>
      <w:r>
        <w:t xml:space="preserve">Por providencia de 24 de septiembre de 1997, notificada el siguiente día 26, se acuerda no haber lugar a la unión del escrito a los autos, toda vez que "no es parte en el presente procedimiento, reiterándose lo proveído en fecha 14 de junio, 4 de julio, 18 de julio y 15 de septiembre". </w:t>
      </w:r>
    </w:p>
    <w:p w:rsidR="0025129F" w:rsidRDefault="0025129F" w:rsidP="0025129F">
      <w:pPr>
        <w:pStyle w:val="TextoNormal"/>
      </w:pPr>
      <w:r>
        <w:t>g) El 29 de abril de 1998 el Juzgado de Primera Instancia núm. 4 de Baracaldo dictó Sentencia en el juicio de menor cuantía considerado, en cuyo fallo se desestima la demanda formulada por Metalúrgica Melsa, S.L., contra Sugar Quay, S.A., y Metalúrgica Labo</w:t>
      </w:r>
      <w:r>
        <w:lastRenderedPageBreak/>
        <w:t xml:space="preserve">ral de Ugarte, S.A.L., declarando que no ha lugar a reconocer como de arrendamiento de local de negocio el contrato de arrendamiento existente entre Metalúrgica Laboral de Ugarte, S.A.L. y Metalúrgica Melsa, S.L. y, asimismo, se estima la demanda reconvencional formulada por Sugar Quay, S.A. contra Metalúrgica Melsa, S.L., declarando la finalización del contrato de arrendamiento de industria suscrito entre Metalúrgica Melsa, S.L., y Sugar Quay, S.A., debiendo procederse, una vez firme la Sentencia, al desalojo de la entidad mercantil reconvenida en el plazo legal. </w:t>
      </w:r>
    </w:p>
    <w:p w:rsidR="0025129F" w:rsidRDefault="0025129F" w:rsidP="0025129F">
      <w:pPr>
        <w:pStyle w:val="TextoNormal"/>
      </w:pPr>
      <w:r>
        <w:t xml:space="preserve">En el fundamento de Derecho cuarto de la Sentencia se hace referencia expresa a que aunque Sugar Quay, S.A., según ha quedado acreditado en el procedimiento, ha vendido una opción de compra sobre los pabellones a favor del Sr. Zarandona, que ha ejercitado el derecho de opción de compra sobre la finca principal, aquella entidad mercantil estaba legitimada activamente, en el momento de plantear la demanda reconvencional, para solicitar la terminación del arrendamiento de industria vigente. </w:t>
      </w:r>
    </w:p>
    <w:p w:rsidR="0025129F" w:rsidRDefault="0025129F" w:rsidP="0025129F">
      <w:pPr>
        <w:pStyle w:val="TextoNormal"/>
      </w:pPr>
      <w:r>
        <w:t>Por providencia del Juzgado de Primera Instancia de 28 de mayo de 1998 se declaró firme la Sentencia, al haber transcurrido el plazo concedido a las partes para interponer recurso sin haberlo verificado.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de amparo se considera que tanto la providencia de 24 de septiembre de 1997, como las anteriores resoluciones del Juzgado de Primera Instancia núm. 4 de Baracaldo que negaron la personación del recurrente como parte o interesado, a las que antes hemos hecho referencia, vulneran el artículo 24.1 CE, en cuanto que al denegársele el acceso al pleito no se le ha permitido ser oído en orden a la defensa y protección de sus intereses, provocando con ello su total indefensión. </w:t>
      </w:r>
    </w:p>
    <w:p w:rsidR="0025129F" w:rsidRDefault="0025129F" w:rsidP="0025129F">
      <w:pPr>
        <w:pStyle w:val="TextoNormal"/>
      </w:pPr>
      <w:r>
        <w:t xml:space="preserve">Tras exponer los hechos esenciales del supuesto planteado, afirma el recurrente que al ser titular de una serie de derechos sobre determinadas fincas que se encuentran sujetas a un contrato de arrendamiento, el que exista un procedimiento judicial que versa precisamente sobre el reconocimiento de dicha relación arrendaticia incide sobre su legítimo y directo interés, en cuanto que es indudable que el derecho que ostenta se va a ver irremediablemente afectado por la resolución judicial que se vaya a dictar. A su juicio, la forma de reconocer y proteger ese interés no es otra que la de permitirle su acceso al procedimiento, para poder disponer de todas las posibilidades de defensa, habiendo intentado hacer valer tal interés mediante su personación en el proceso tan pronto como tuvo conocimiento de su existencia. La denegación de la personación por el Juzgado le ha privado de acceder al pleito y, por tanto, de su derecho a ser oído y a disponer de todas las posibilidades en aras a la defensa de sus intereses, permitiendo que su derecho material se vea perjudicado por la Sentencia que se dicte, vulnerándose así el artículo 24.1 CE, que consagra los derechos de defensa, tutela judicial efectiva y acceso a los Tribunales, causando por ello evidente indefensión. </w:t>
      </w:r>
    </w:p>
    <w:p w:rsidR="0025129F" w:rsidRDefault="0025129F" w:rsidP="0025129F">
      <w:pPr>
        <w:pStyle w:val="TextoNormal"/>
      </w:pPr>
      <w:r>
        <w:t xml:space="preserve">También se le causa indefensión cuando se le remite, para ejercitar su derecho, al procedimiento declarativo correspondiente, dado que, con cita de la STC 209/1991, considera que a nadie se le puede exigir el seguimiento de un nuevo proceso para remediar, en su caso, una violación de un derecho fundamental ocurrida en proceso distinto. Tal indefensión se le ha causado tanto por la providencia de 4 de julio de 1997, que realizó tal remisión al procedimiento declarativo correspondiente, como por la providencia de 24 de septiembre de 1997, al confirmar de forma expresa aquélla. </w:t>
      </w:r>
    </w:p>
    <w:p w:rsidR="0025129F" w:rsidRDefault="0025129F" w:rsidP="0025129F">
      <w:pPr>
        <w:pStyle w:val="TextoNormal"/>
      </w:pPr>
      <w:r>
        <w:t xml:space="preserve">Destaca también el recurrente que la indefensión causada lo ha sido por partida doble, toda vez que no sólo se le denegó la personación como parte sino también como interesado, olvidando así el Juzgado el concepto de legitimación procesal indirecta, que hubiera </w:t>
      </w:r>
      <w:r>
        <w:lastRenderedPageBreak/>
        <w:t xml:space="preserve">podido servir para tutelar sus intereses, en aplicación de lo dispuesto en el artículo 270 LOPJ. Y como para denegar la personación como interesado el órgano judicial se remite a las resoluciones por las que se le denegaba la personación como parte, ello determina que la impugnación debe entenderse dirigida no sólo contra la providencia de 24 de septiembre de 1997, que es la que de forma inmediata y directa origina la lesión constitucional, sino también contra todas las resoluciones precedentes que han sido confirmadas, de forma expresa, por aquélla. </w:t>
      </w:r>
    </w:p>
    <w:p w:rsidR="0025129F" w:rsidRDefault="0025129F" w:rsidP="0025129F">
      <w:pPr>
        <w:pStyle w:val="TextoNormal"/>
      </w:pPr>
      <w:r>
        <w:t>Por todo lo expuesto, solicita que se dicte Sentencia por la que se estime el recurso y se otorgue el amparo solicitado, declarando la nulidad de la providencia de 24 de septiembre de 1997, así como la de sus precedentes, reconociéndole el derecho a personarse en el juicio de menor cuantía como interesado, retrotrayéndose las actuaciones al momento en que interesó su personación en los referidos autos. Mediante otrosí digo solicitó la suspensión de la ejecución de la providencia de 24 de septiembre de 1997, así como del procedimiento judicial en cuyo seno ha sido dictada o, en su defecto, de forma subsidiaria, la suspensión de la Sentencia que se vaya a dictar.</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providencia de 2 de abril de 1998, la Sección Segunda de este Tribunal acordó la admisión a trámite de la demanda de amparo, sin perjuicio de lo que resulte de los antecedentes, así como tener por personado y parte al recurrente. Asimismo, a tenor de lo dispuesto en el artículo 51 LOTC, se ordenó que se requiriese atentamente al Juzgado de Primera Instancia núm. 4 de Baracaldo para que remitiera testimonio de los autos del juicio de menor cuantía 156/96, interesándose que se emplace a quienes fueron parte en el citado procedimiento, con excepción del recurrente en amparo, para que en el plazo de diez días pudieren comparecer en el proceso constitucional. </w:t>
      </w:r>
    </w:p>
    <w:p w:rsidR="0025129F" w:rsidRDefault="0025129F" w:rsidP="0025129F">
      <w:pPr>
        <w:pStyle w:val="TextoNormal"/>
      </w:pPr>
      <w:r>
        <w:t>La citada providencia ordenó la formación de la correspondiente pieza separada de suspensión, tramitada la cual, la Sala Primera de este Tribunal dictó Auto de 1 de junio de 1998, acordando no haber lugar a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5</w:t>
      </w:r>
      <w:r>
        <w:t>. Recibido el testimonio de las actuaciones judiciales, por providencia de la Sección Segunda de este Tribunal de 13 de julio de 1998, se acordó, a tenor de lo dispuesto en el artículo 52 LOTC, dar vista de todas las actuaciones del recurso de amparo, por un plazo común de veinte días, al Ministerio Fiscal y al recurrente en amparo, para que dentro de dicho término pudiera presentar las alegaciones que a su derecho convinieran.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Mediante escrito presentado en el Juzgado de guardia de Madrid el día 7 de septiembre de 1998, con entrada en el Registro General de este Tribunal el día 9 siguiente, el recurrente en amparo formula sus alegaciones. Ratifica íntegramente lo anteriormente expuesto en el presente proceso constitucional. No obstante, hace referencia a que el examen de las actuaciones judiciales permite comprobar que el interés legítimo que ostenta y su vinculación con el procedimiento judicial determina que no se le pueda negar su legitimación en el mismo y su condición de interesado, debiendo tenerse en cuenta que no sólo se discutía la naturaleza del contrato de arrendamiento, esto es, si lo era de industria o de local de negocio, sino su propia existencia, puesto que la entidad mercantil Sugar Quay, S.A., solicitó, por vía reconvencional, el desahucio y, por lo tanto, la resolución del mencionado contrato de arrendamiento. A su juicio, su relación con el procedimiento no puede ser más clara, ya que es titular de una opción de compra sobre tres de las cuatro fincas arrendadas y, por lo tanto, puede devenir propietario y consecuentemente arrendador caso </w:t>
      </w:r>
      <w:r>
        <w:lastRenderedPageBreak/>
        <w:t>de ejercitar su derecho real sobre las mismas y, por otra parte, es propietario de la cuarta finca, todo lo cual convierte en perfectamente legítimo su derecho a estar presente en un proceso en el que se están discutiendo cuestiones que afectan a derechos de los que es titular y, por ello, a su esfera patrimonial. Alude a que la relación arrendaticia, si bien es anterior a la adquisición de sus derechos, no deja de existir sobre unos bienes inmuebles sobre los que tiene la facultad y el derecho de adquirir su propiedad. Y añade que esa era la situación en el momento en el que intentó su personación, que le fue por dos veces denegada, primero como parte y luego como interesado, causándole una evidente indefensión lesiva del artículo 24.1 CE. Por todo ello solicita la nulidad de la providencia de 24 de septiembre de 1997, así como la de todas las resoluciones que traen causa de la misma, entre ellas la propia Sentencia dictada en el procedimiento con posterioridad a la interposición del recurso de amparo y que ha devenido firme.</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Mediante escrito con entrada en el Registro General de este Tribunal el día 18 de septiembre de 1998, el Ministerio Fiscal formula sus alegaciones. </w:t>
      </w:r>
    </w:p>
    <w:p w:rsidR="0025129F" w:rsidRDefault="0025129F" w:rsidP="0025129F">
      <w:pPr>
        <w:pStyle w:val="TextoNormal"/>
      </w:pPr>
      <w:r>
        <w:t xml:space="preserve">En primer lugar, se cuestiona si se ha cumplido el requisito establecido en el artículo 44.2 LOTC, esto es, que el recurso de amparo se haya interpuesto en plazo. Si se tomara en cuenta sólo la providencia de 24 de septiembre de 1997, notificada el siguiente día 26, tal exigencia se habría satisfecho, pero, añade el Ministerio Fiscal, debe tenerse presente que en la demanda de amparo se solicita también la nulidad de todas las resoluciones judiciales anteriores denegatorias de las peticiones del recurrente de entrada en el pleito, ya sea como parte o como interesado. De este modo, la lesión del derecho fundamental, de haberse producido, lo fue en la providencia de 4 de julio de 1997, en la que se rechazó el recurso de reposición de plano, sin que cupiera seguir recurriendo, toda vez que no cabe reposición contra la providencia denegatoria de reposición, ya que ello multiplicaría hasta el infinito las posibilidades de interponer tal recurso. Por otra parte, las ulteriores peticiones del recurrente de tenerlo como interesado en el pleito, no como parte, vienen hiladas artificialmente, a juicio del Ministerio Fiscal, a las solicitudes anteriores, revelándose como artificios innecesarios para forzar la entrada en el proceso. De este modo, habría existido una prolongación artificial del plazo del artículo 44.2 LOTC, que debe contarse desde la notificación de la providencia de 4 de julio de 1997, llevada a cabo en el mismo mes, por lo que la demanda de amparo, presentada en octubre, sería extemporánea. </w:t>
      </w:r>
    </w:p>
    <w:p w:rsidR="0025129F" w:rsidRDefault="0025129F" w:rsidP="0025129F">
      <w:pPr>
        <w:pStyle w:val="TextoNormal"/>
      </w:pPr>
      <w:r>
        <w:t xml:space="preserve">No obstante, para el caso de que se entienda que no concurre tal causa de inadmisión del recurso de amparo, expone el Ministerio Fiscal su opinión sobre el fondo del supuesto planteado. Ante todo, señala que el Tribunal Constitucional no debe pronunciarse, a pesar del suplico de la demanda de amparo, sobre si el recurrente debe incorporarse al proceso, sino sólo sobre si ha obtenido del órgano judicial una respuesta razonada a las pretensiones deducidas, de modo que si ello no ha ocurrido se habría vulnerado el derecho fundamental a la tutela judicial efectiva del recurrente, debiendo retrotraerse las actuaciones para que el órgano judicial ofrezca tal respuesta razonada sobre si le corresponde la condición de parte en el proceso. </w:t>
      </w:r>
    </w:p>
    <w:p w:rsidR="0025129F" w:rsidRDefault="0025129F" w:rsidP="0025129F">
      <w:pPr>
        <w:pStyle w:val="TextoNormal"/>
      </w:pPr>
      <w:r>
        <w:t xml:space="preserve">En este sentido, el Ministerio Fiscal examina las distintas providencias que ha ido dictando el órgano judicial ante las solicitudes de personación y recursos de reposición formulados por el recurrente. Así, ante la primera solicitud se dicta providencia de 24 de junio de 1997, en la que se ordena la devolución del escrito y copias presentadas, por no ser el presentante parte en el procedimiento, contestación que, según el Ministerio Fiscal, no se corresponde con el escrito del recurrente, en el que, partiendo de la base de que hasta entonces no había sido parte, aspira a serlo en el futuro, de manera que no es siquiera una </w:t>
      </w:r>
      <w:r>
        <w:lastRenderedPageBreak/>
        <w:t xml:space="preserve">contestación arbitraria sino una no contestación. Interpuesto recurso de reposición, recae providencia de 4 de julio de 1997, que merece para el Ministerio Fiscal diversas consideraciones críticas. En primer lugar, incurre en el mismo defecto que la providencia anterior, al no atender a la pretensión principal, que es la de ser tenido por parte quien no lo es, circunvalando, al decir del Ministerio Fiscal, la contestación esperada. En segundo lugar, no se especifica cuáles son los requisitos incumplidos del artículo 377 LEC, al aludir de modo genérico a su inconcurrencia. Finalmente, remite al pleito correspondiente al recurrente, aspirante a parte, lo que supondría un argumento añadido o una consecuencia de su no entrada en el proceso, pero tal afirmación queda sin soporte al faltar la explicación relativa a la pretensión principal. Pues bien, a juicio del Ministerio Fiscal, el recurso de reposición no carecía de los requisitos previstos en el artículo 377 LEC, porque se presentó dentro del plazo de tres días establecido, y se invocó como infringido el artículo 24.1 CE. Por todo ello, entiende el Ministerio Fiscal que el Juez debió entrar en el fondo de la pretensión deducida, la solicitud de personación en el proceso. A su juicio, la respuesta judicial, en los términos antedichos, no satisface el derecho fundamental implicado, por haber impedido la resolución final, haciendo una interpretación de los preceptos procesales totalmente infundada, lo que obligaría a otorgar el amparo, con devolución de los autos al Juzgado para que se pronuncie sobre el fondo de la pretensión deducida en el recurso de reposición. </w:t>
      </w:r>
    </w:p>
    <w:p w:rsidR="0025129F" w:rsidRDefault="0025129F" w:rsidP="0025129F">
      <w:pPr>
        <w:pStyle w:val="TextoNormal"/>
      </w:pPr>
      <w:r>
        <w:t>Por todo ello, el Ministerio Fiscal interesa la inadmisión de la demanda por extemporaneidad y, de modo subsidiario, la estimación de la misma por las razones expuestas.</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4 de abril de 2002, se señaló para deliberación y fallo del presente recurso el día 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En el presente recurso de amparo, el demandante, don Faustino Zarandona Bilbao, impugna diversas providencias del Juzgado de Primera Instancia núm. 4 de Baracaldo, dictadas en juicio de menor cuantía relativo a la existencia y naturaleza de un contrato de arrendamiento, que le negaron su intervención en dicho proceso. El demandante de amparo había solicitado su personación en el mismo, primero como parte y, después, en condición de lo que él mismo denominaba "interesado", fundándola en que era titular de un derecho de opción de compra sobre tres de las cuatro fincas objeto del arrendamiento y propietario de la cuarta, dado que respecto de ésta ya había ejercitado el derecho de opción de compra que ostentaba. A su juicio, las respuestas negativas del Juzgado vulneran sus derechos fundamentales reconocidos en el artículo 24.1 CE, en cuanto que se le ha impedido el acceso al proceso, no pudiendo, con ello, ser oído para la defensa y protección de sus intereses, provocando así su total indefensión.</w:t>
      </w:r>
    </w:p>
    <w:p w:rsidR="0025129F" w:rsidRDefault="0025129F" w:rsidP="0025129F">
      <w:pPr>
        <w:pStyle w:val="TextoNormal"/>
      </w:pPr>
      <w:r>
        <w:t xml:space="preserve">El Ministerio Fiscal, por su parte, tal y como se expone con detalle en los antecedentes, considera, ante todo, que el recurso de amparo debe ser inadmitido, al haberse interpuesto fuera del plazo de veinte días establecido en el artículo 44.2 LOTC, en cuanto que, aunque si se considerase la fecha de notificación de la última de las providencias dictadas por el Juzgado la demanda se habría presentado dentro de tal plazo, lo cierto es que el recurrente ha prolongado artificialmente el mismo, mediante la interposición de recursos improcedentes y la formulación de solicitudes que constituían artificios innecesarios, todo ello con la finalidad de forzar su entrada en el proceso. No obstante, si no se apreciare tal causa de inadmisión del recurso de amparo, considera el Ministerio Fiscal que el mismo debería ser </w:t>
      </w:r>
      <w:r>
        <w:lastRenderedPageBreak/>
        <w:t>estimado, en cuanto que el órgano judicial no habría dado respuesta razonada a la solicitud del recurrente de ser tenido por parte, haciendo una interpretación de los preceptos procesales totalmente infundada, vulnerando así su derecho fundamental a la tutela judicial efectiva, lo que obligaría a retrotraer las actuaciones judiciales para que el Juzgado se pronuncie sobre tal solicitud, en términos conformes con el citado derecho fundamental.</w:t>
      </w:r>
    </w:p>
    <w:p w:rsidR="0025129F" w:rsidRDefault="0025129F" w:rsidP="0025129F">
      <w:pPr>
        <w:pStyle w:val="TextoNormal"/>
      </w:pPr>
    </w:p>
    <w:p w:rsidR="0025129F" w:rsidRDefault="0025129F" w:rsidP="0025129F">
      <w:pPr>
        <w:pStyle w:val="TextoNormal"/>
      </w:pPr>
      <w:r w:rsidRPr="0025129F">
        <w:rPr>
          <w:rStyle w:val="NumeroAFNegritaCaracter"/>
        </w:rPr>
        <w:t>2</w:t>
      </w:r>
      <w:r>
        <w:t>. Procede, pues, ante todo, pronunciarse sobre la causa de inadmisión del recurso de amparo alegada por el Ministerio Fiscal, consistente en su extemporaneidad, por incumplimiento del requisito de interposición en el plazo de veinte días establecido en el artículo 44.2 LOTC. No obstante, para ello es necesario que delimitemos con toda precisión las diversas resoluciones judiciales que son objeto de este proceso constitucional, dada la confusión que al respecto se aprecia en la demanda de amparo.</w:t>
      </w:r>
    </w:p>
    <w:p w:rsidR="0025129F" w:rsidRDefault="0025129F" w:rsidP="0025129F">
      <w:pPr>
        <w:pStyle w:val="TextoNormal"/>
      </w:pPr>
      <w:r>
        <w:t>En efecto, el recurrente formuló una solicitud inicial de ser tenido como parte en el proceso civil, que le fue denegada por providencia de 24 de junio de 1997, frente a la que interpuso recurso de reposición, inadmitido por providencia de 4 de julio de 1997, respecto de la que, a su vez, intentó nuevo recurso de reposición, declarando el Juzgado no haber lugar a tenerlo por interpuesto por providencia de 18 de julio de 1997, notificada a la representación del hoy recurrente en amparo el día 23 de julio siguiente.</w:t>
      </w:r>
    </w:p>
    <w:p w:rsidR="0025129F" w:rsidRDefault="0025129F" w:rsidP="0025129F">
      <w:pPr>
        <w:pStyle w:val="TextoNormal"/>
      </w:pPr>
      <w:r>
        <w:t>Posteriormente, el día 12 de septiembre de 1997, el recurrente en amparo formuló una nueva solicitud ante el Juzgado de Primera Instancia núm. 4 de Baracaldo, reclamando que se le tuviera por personado en condición de lo que denominaba "interesado".  Dicha solicitud fue denegada por providencia de 15 de septiembre de 1997, en la que expresamente se señalaba que se reiteraba lo proveído en fechas 24 de junio, 4 de julio y 18 de julio de 1997. Recurrida en reposición la citada providencia, alegando que no se solicitaba la personación como parte, sino precisamente como "interesado", por providencia de 24 de septiembre de 1997, notificada a la representación del recurrente en amparo el día 26 de septiembre siguiente, se declaró no haber lugar a unir el escrito a los autos, habida cuenta de que quien lo presentaba no era parte en el procedimiento y volviendo a señalarse, también expresamente, que se reiteraba lo proveído en fechas 14 de junio, 4 de julio, 18 de julio y 15 de septiembre.</w:t>
      </w:r>
    </w:p>
    <w:p w:rsidR="0025129F" w:rsidRDefault="0025129F" w:rsidP="0025129F">
      <w:pPr>
        <w:pStyle w:val="TextoNormal"/>
      </w:pPr>
      <w:r>
        <w:t>De este modo es claro que, por lo que se refiere a las distintas resoluciones judiciales que recayeron en relación con la solicitud inicial del recurrente de ser tenido por parte (providencias de 24 de junio, 4 de julio y 18 de julio de 1997), el presente recurso de amparo resultaría, en efecto, extemporáneo, toda vez que (sin necesidad de entrar en otras consideraciones sobre la corrección procesal de los medios de impugnación utilizados) la última de ellas, la providencia de 18 de julio de 1997, se notificó, como decíamos, el día 23 de julio siguiente, y la demanda de amparo debe tenerse por presentada el día 16 de octubre de 1997. No se opone a esta conclusión el que las posteriores providencias de 15 y 24 de septiembre de 1997 se refirieran expresamente a las anteriormente dictadas ya que, frente a lo que pretende el recurrente en su demanda de amparo, tal referencia no suponía propiamente una confirmación expresa de las mismas, que eventualmente pudiera tener como consecuencia una reapertura del plazo para su impugnación en sede de amparo constitucional, sino tan sólo una remisión al contenido de las mismas a efectos de la motivación de la denegación de la segunda solicitud del recurrente, la de ser tenido por "interesado" en el proceso. Así pues, el único efecto que producía esta motivación por remisión era el de incorporar al contenido de las citadas providencias de 15 y 24 de septiembre la argumentación desplegada en las resoluciones judiciales precedentes, sin que existiera una confirmación expresa y formal de las mismas, por la simple razón de que tampoco el recu</w:t>
      </w:r>
      <w:r>
        <w:lastRenderedPageBreak/>
        <w:t>rrente las había impugnado formal y expresamente, limitándose a formular una segunda solicitud de contenido distinto a la primera, como él mismo reconoce en todos los escritos presentados en vía judicial y en este proceso constitucional, por cuanto que, como decimos, en primer término solicitó su personación como parte y, después, en concepto de lo que denominaba "interesado", argumentando expresamente que ambas calificaciones eran distintas.</w:t>
      </w:r>
    </w:p>
    <w:p w:rsidR="0025129F" w:rsidRDefault="0025129F" w:rsidP="0025129F">
      <w:pPr>
        <w:pStyle w:val="TextoNormal"/>
      </w:pPr>
      <w:r>
        <w:t>Por el contrario, rechazando así la causa de inadmisión del recurso de amparo formulada por el Ministerio Fiscal, hemos de considerar que la queja fue presentada dentro del plazo legalmente establecido, en relación con las resoluciones judiciales (providencias de 15 y 24 de septiembre de 1997) que se pronunciaron sobre la segunda solicitud del recurrente, la de que se le tuviera por personado en condición de "interesado". En efecto, tal como hemos expuesto, el recurrente ha sostenido siempre que su segunda solicitud tenía un contenido distinto a la primera, sin que corresponda a este Tribunal determinar si realmente existe esa distinción entre la condición de parte y la de "interesado" ni, tampoco, cuáles hubieran sido los efectos que, en correcta técnica procesal, habría de tener sobre la segunda solicitud, dado su contenido, la circunstancia de que la primera se hubiera denegado, esto es, si tal denegación habría de impedir o no el nuevo planteamiento de la cuestión en vía judicial, máxime teniendo en cuenta que, como hemos señalado, el Juzgado de Primera Instancia núm. 4 de Baracaldo se pronunció sobre lo que podríamos denominar el fondo de esa nueva solicitud del recurrente, siquiera fuera mediante la remisión a la argumentación contenida en las providencias anteriores, negando en consecuencia y por tales razones su procedencia, pero sin fundar esa negativa en el puro dato formal de que previamente ya había existido una respuesta al respecto en tal sentido que impedía volver a pronunciarse sobre la cuestión. Asimismo, el órgano judicial no consideró, por lo menos expresamente, que se tratara, como denuncia el Ministerio Fiscal, de un artificio innecesario para forzar la entrada en el proceso, sin dar tampoco relevancia a la circunstancia de que en el recurso de reposición formulado frente a la providencia de 4 de julio de 1997 ya hiciera el recurrente una alusión a que, aun el caso de que no fuera parte, debería ser reconocido como interesado, máxime cuando la providencia de 18 de julio de 1997, que resolvió tal recurso de reposición, declaró que no había lugar a tenerlo por interpuesto.</w:t>
      </w:r>
    </w:p>
    <w:p w:rsidR="0025129F" w:rsidRDefault="0025129F" w:rsidP="0025129F">
      <w:pPr>
        <w:pStyle w:val="TextoNormal"/>
      </w:pPr>
      <w:r>
        <w:t>En definitiva, todas estas circunstancias determinan que debamos considerar que el presente recurso de amparo resulta admisible en cuanto que tiene por objeto las providencias de 15 de septiembre de 1997, que denegó la solicitud del recurrente en amparo de ser tenido por "interesado" en el proceso, y de 24 de septiembre de 1997, que resolvió, también en sentido negativo, el recurso de reposición formulado frente a aquélla.</w:t>
      </w:r>
    </w:p>
    <w:p w:rsidR="0025129F" w:rsidRDefault="0025129F" w:rsidP="0025129F">
      <w:pPr>
        <w:pStyle w:val="TextoNormal"/>
      </w:pPr>
    </w:p>
    <w:p w:rsidR="0025129F" w:rsidRDefault="0025129F" w:rsidP="0025129F">
      <w:pPr>
        <w:pStyle w:val="TextoNormal"/>
      </w:pPr>
      <w:r w:rsidRPr="0025129F">
        <w:rPr>
          <w:rStyle w:val="NumeroAFNegritaCaracter"/>
        </w:rPr>
        <w:t>3</w:t>
      </w:r>
      <w:r>
        <w:t>. Delimitadas así las resoluciones judiciales objeto del presente recurso de amparo, es preciso ahora determinar también con precisión cuál es la concreta infracción constitucional que se denuncia por el demandante, supuesto que parece existir una cierta discordancia entre las razones por las que éste y el Ministerio Fiscal solicitan, que en eso sí coinciden ambos intervinientes una vez superado el obstáculo procesal, el otorgamiento del amparo.</w:t>
      </w:r>
    </w:p>
    <w:p w:rsidR="0025129F" w:rsidRDefault="0025129F" w:rsidP="0025129F">
      <w:pPr>
        <w:pStyle w:val="TextoNormal"/>
      </w:pPr>
      <w:r>
        <w:t>En este sentido, de lo expuesto por el recurrente en sus diversos escritos presentados en el presente proceso constitucional se desprende con toda claridad que considera que se le ha causado indefensión, partiendo como presupuesto de la denegación de acceso al juicio declarativo de menor cuantía, en cuanto que, no se le ha permitido ser oído y disponer de todas las posibilidades establecidas para la protección y defensa de sus derechos e intereses. De este modo, lo que viene a denunciar es que se le ha generado indefensión constitucionalmente relevante, con vulneración del artículo 24.1 CE, que garantiza su no produc</w:t>
      </w:r>
      <w:r>
        <w:lastRenderedPageBreak/>
        <w:t>ción, en cuanto que se le ha limitado indebidamente la posibilidad de defenderse, alegando o practicando prueba en defensa de sus propios intereses (por todas, STC 91/2000, de 30 de marzo, FJ 2). Por el contrario, a diferencia de lo que parece sostener el Ministerio Fiscal, el recurrente no considera que se haya vulnerado su derecho fundamental a la tutela judicial efectiva, en su vertiente de derecho a obtener una resolución motivada, también reconocido en el artículo 24.1 CE. Y, en efecto, debe hacerse constar que las providencias objeto del recurso de amparo ofrecen una respuesta motivada a la solicitud formulada por el recurrente de ser tenido por "interesado" en el proceso, remitiéndose expresamente a la argumentación contenida en las precedentes resoluciones judiciales y señalando, en definitiva, que no era posible su intervención en el proceso en ningún concepto, toda vez que la citada intervención está reservada a quienes originariamente tengan la condición de parte, por haber ejercitado la acción o porque la misma ha sido dirigida frente a ellos (así, la providencia de 4 de julio de 1997 se refiere a que el recurrente ni es actor ni es demandado), quedando garantizada la defensa de sus derechos e intereses mediante su posible ejercicio en el juicio declarativo correspondiente (tal y como también le indica expresamente la citada providencia de 4 de julio, a la que, como hemos visto, se remiten expresamente las que son objeto del recurso de amparo). Existe, pues, una respuesta motivada a la pretensión del recurrente, lo que, sin embargo, no impide que la misma, eventualmente, no satisfaga las exigencias del derecho fundamental a no padecer indefensión, reconocido en el artículo 24.1 CE, que, como decimos, es lo que denuncia el recurrente y lo que hemos de resolver a continuación.</w:t>
      </w:r>
    </w:p>
    <w:p w:rsidR="0025129F" w:rsidRDefault="0025129F" w:rsidP="0025129F">
      <w:pPr>
        <w:pStyle w:val="TextoNormal"/>
      </w:pPr>
    </w:p>
    <w:p w:rsidR="0025129F" w:rsidRDefault="0025129F" w:rsidP="0025129F">
      <w:pPr>
        <w:pStyle w:val="TextoNormal"/>
      </w:pPr>
      <w:r w:rsidRPr="0025129F">
        <w:rPr>
          <w:rStyle w:val="NumeroAFNegritaCaracter"/>
        </w:rPr>
        <w:t>4</w:t>
      </w:r>
      <w:r>
        <w:t>. Para ello, es necesario tener muy presente que este Tribunal ha declarado reiteradamente que la vulneración del derecho fundamental a no padecer indefensión, reconocido en el artículo 24.1 CE, exige que la situación en que se haya encontrado el recurrente y que éste considera como limitativa de sus posibilidades de defensa, le haya causado un perjuicio real y efectivo en sus derechos e intereses legítimos (por todas, STC 114/2000, de 5 de mayo, FJ 3). Por eso, tal y como se desprende de lo que afirmamos en las SSTC 205/1994, de 11 de julio (FJ 4), y 62/1998, de 17 de marzo (FJ 4), corresponde al recurrente en amparo ofrecer a este Tribunal la argumentación precisa para que éste pueda apreciar que, efectivamente, las circunstancias producidas han tenido auténtica transcendencia sobre sus derechos e intereses legítimos, ocasionándole un perjuicio real y efectivo en los mismos.</w:t>
      </w:r>
    </w:p>
    <w:p w:rsidR="0025129F" w:rsidRDefault="0025129F" w:rsidP="0025129F">
      <w:pPr>
        <w:pStyle w:val="TextoNormal"/>
      </w:pPr>
      <w:r>
        <w:t xml:space="preserve">Pues bien, si se examinan todos los escritos presentados por el recurrente en el presente proceso constitucional e, incluso, los que formulara en vía judicial, se aprecia indubitadamente que siempre se limitó a poner de manifiesto que si se le privaba de la posibilidad de intervenir en el proceso se le estaría causando indefensión, en razón del interés que decía ostentar en el mismo, de manera que, al no poder ser oído y disponer de todas las posibilidades de defensa, ello podría determinar un perjuicio para sus derechos sobre las fincas objeto del arrendamiento, en cuanto que la Sentencia que se dictare necesariamente habría de afectar a las mismas. Sin embargo, el recurrente nunca ha concretado en qué podrían consistir tales perjuicios, esto es, más allá de señalar que los mismos, eventualmente, podrían producirse, y que la Sentencia afectaría a sus derechos (con independencia de que lo hiciera en sentido favorable o desfavorable para él), de tal manera que no ha puesto de manifiesto cómo y por qué su situación se habría visto efectivamente perjudicada como consecuencia de las denegaciones judiciales de su solicitud de intervención en la condición de lo que denominaba "interesado".  De esta manera ha desatendido la carga, que le incumbe, de argumentar que habría existido un concreto perjuicio real y efectivo para sus </w:t>
      </w:r>
      <w:r>
        <w:lastRenderedPageBreak/>
        <w:t>derechos o intereses legítimos, lo que es preciso para que podamos apreciar la existencia de indefensión constitucionalmente relevante a los efectos del artículo 24.1 CE., sin que el examen de las actuaciones permita tampoco a este Tribunal identificar adecuada e incontrovertiblemente el supuesto perjuicio.</w:t>
      </w:r>
    </w:p>
    <w:p w:rsidR="0025129F" w:rsidRDefault="0025129F" w:rsidP="0025129F">
      <w:pPr>
        <w:pStyle w:val="TextoNormal"/>
      </w:pPr>
      <w:r>
        <w:t>Las consideraciones expuestas se ven corroboradas si se tiene en cuenta que, ya en el momento en que el recurrente formuló en el presente proceso constitucional el escrito de alegaciones previsto en el artículo 52 LOTC, había recaído Sentencia en el juicio de menor cuantía de referencia, y que había sido incluso declarada firme por providencia de 28 de mayo de 1998. Esa Sentencia y su declaración de firmeza eran ya conocidas por el recurrente en ese momento de presentación del escrito de alegaciones, como consecuencia del examen de las actuaciones judiciales remitidas a este Tribunal por el Juzgado de Primera Instancia núm. 4 de Baracaldo, tal y como se desprende de lo que se expone en el mismo. Ahora bien, a pesar de que, en tal escrito, el recurrente se refiere a la Sentencia considerada y al hecho de que la misma haya devenido firme, no realiza alusión alguna a su contenido, ni a la relación que el mismo pueda tener con los derechos que dice ostentar sobre las fincas objeto del arrendamiento, todo ello a pesar de que la Sentencia declara extinguido el contrato de arrendamiento de industria existente sobre las mismas, de forma que su derecho (debiendo recordarse que el recurrente dice ser propietario de una de ellas y titular de un derecho de opción de compra sobre las tres restantes) deja de verse afectado por la existencia del arrendamiento, sin que el recurrente argumente, siquiera mínimamente, por qué tal extinción del arrendamiento le causa un perjuicio real y efectivo a sus derechos e intereses. Es más, en el citado escrito de alegaciones el recurrente ni siquiera parece tener en cuenta el contenido de la Sentencia, porque hace referencia a que su relación con el proceso deriva de que puede devenir arrendador de las fincas y a que el arrendamiento, si bien es anterior a la adquisición de su derechos, no deja de existir sobre las fincas consideradas, afirmaciones todas ellas que, como vemos, carecen de toda razón de ser desde el mismo momento en que la Sentencia ha declarado la extinción del arrendamiento. Y tampoco puede dejarse de hacer constar que, según se desprende de las actuaciones obrantes en este Tribunal, el recurrente, una vez conocida la existencia de la Sentencia, no ha realizado en vía judicial actuación alguna encaminada directamente a su impugnación formal.</w:t>
      </w:r>
    </w:p>
    <w:p w:rsidR="0025129F" w:rsidRDefault="0025129F" w:rsidP="0025129F">
      <w:pPr>
        <w:pStyle w:val="TextoNormal"/>
      </w:pPr>
      <w:r>
        <w:t>Por fin, tal y como se pone de manifiesto en la STC 1/2000, de 17 de enero (FJ 7), si bien no con carácter decisivo por sí solo, sí que es relevante, teniendo en cuenta todas las circunstancias que hemos tenido ocasión de exponer, reforzando las consecuencias que de las mismas hemos extraído, que el recurrente en momento alguno ha especificado qué argumentos o alegaciones, relevantes para la decisión del proceso, hubiera empleado en defensa de sus derechos e intereses.</w:t>
      </w:r>
    </w:p>
    <w:p w:rsidR="0025129F" w:rsidRDefault="0025129F" w:rsidP="0025129F">
      <w:pPr>
        <w:pStyle w:val="TextoNormal"/>
      </w:pPr>
      <w:r>
        <w:t>Todo ello determina, en definitiva, que no pueda considerarse que se ha vulnerado el derecho fundamental del recurrente a no padecer indefensión, dada la no posibilidad de acceso al proceso, reconocido en el artículo 24.1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lastRenderedPageBreak/>
        <w:t>Ha decidido</w:t>
      </w:r>
    </w:p>
    <w:p w:rsidR="0025129F" w:rsidRDefault="0025129F" w:rsidP="0025129F">
      <w:pPr>
        <w:pStyle w:val="TextoNormalCentrado"/>
        <w:keepNext/>
      </w:pPr>
    </w:p>
    <w:p w:rsidR="0025129F" w:rsidRDefault="0025129F" w:rsidP="0025129F">
      <w:pPr>
        <w:pStyle w:val="TextoNormal"/>
      </w:pPr>
      <w:r>
        <w:t>Denegar el amparo solicitado por don Faustino Zarandona Bilbao.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7" w:name="SENTENCIA_2002_74"/>
      <w:r>
        <w:lastRenderedPageBreak/>
        <w:t>SENTENCIA 74/2002, de 8 de abril de 2002</w:t>
      </w:r>
    </w:p>
    <w:bookmarkEnd w:id="77"/>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ECLI:ES:TC:2002:74</w:t>
      </w:r>
    </w:p>
    <w:p w:rsidR="0025129F" w:rsidRDefault="0025129F" w:rsidP="0025129F">
      <w:pPr>
        <w:pStyle w:val="SntesisDescriptiva"/>
      </w:pPr>
    </w:p>
    <w:p w:rsidR="0025129F" w:rsidRDefault="0025129F" w:rsidP="0025129F">
      <w:pPr>
        <w:pStyle w:val="SntesisDescriptiva"/>
      </w:pPr>
      <w:r>
        <w:t>Recurso de amparo 5262/1997. Promovido por don Anastasio Castizo Machío frente a la Sentencia de la Audiencia Provincial de Sevilla, que confirmó su condena a abonar a Urbanizadora Santa Clara, S.A., una cantidad por la transmisión de una vivienda.</w:t>
      </w:r>
    </w:p>
    <w:p w:rsidR="0025129F" w:rsidRDefault="0025129F" w:rsidP="0025129F">
      <w:pPr>
        <w:pStyle w:val="SntesisDescriptiva"/>
      </w:pPr>
    </w:p>
    <w:p w:rsidR="0025129F" w:rsidRDefault="0025129F" w:rsidP="0025129F">
      <w:pPr>
        <w:pStyle w:val="SntesisAnaltica"/>
      </w:pPr>
      <w:r>
        <w:t>Vulneración del derecho a la igualdad en la aplicación de la ley: Sentencia de apelación civil con un fallo diferente a otras dictadas en supuestos idénticos sin justificación.</w:t>
      </w:r>
    </w:p>
    <w:p w:rsidR="0025129F" w:rsidRDefault="0025129F" w:rsidP="0025129F">
      <w:pPr>
        <w:pStyle w:val="SntesisAnaltica"/>
      </w:pPr>
    </w:p>
    <w:p w:rsidR="0025129F" w:rsidRDefault="0025129F" w:rsidP="0025129F">
      <w:pPr>
        <w:pStyle w:val="Extracto"/>
      </w:pPr>
      <w:r>
        <w:t>1.</w:t>
      </w:r>
      <w:r>
        <w:tab/>
        <w:t>Una Sentencia en la que el órgano judicial se aparta del criterio reiteradamente mantenido por él mismo en Sentencias anteriores, sin que se aleguen argumentos o razones que, de modo explícito, expliquen tal cambio de criterio o doctrina ni haya datos bastantes de los que pueda inferirse, a modo de argumentación implícita, las razones de dicho cambio, vulnera el derecho fundamental del recurrente a la igualdad en la aplicación de la ley (art. 14 CE; SSTC 200/1990, 193/2001) [FFJJ 5 y 7].</w:t>
      </w:r>
    </w:p>
    <w:p w:rsidR="0025129F" w:rsidRDefault="0025129F" w:rsidP="0025129F">
      <w:pPr>
        <w:pStyle w:val="Extracto"/>
      </w:pPr>
    </w:p>
    <w:p w:rsidR="0025129F" w:rsidRDefault="0025129F" w:rsidP="0025129F">
      <w:pPr>
        <w:pStyle w:val="Extracto"/>
      </w:pPr>
      <w:r>
        <w:t>2.</w:t>
      </w:r>
      <w:r>
        <w:tab/>
        <w:t>La circunstancia de que la Sentencia recurrida se remita a la de instancia, en la construcción de sus razonamientos, no es óbice a la conclusión alcanzada [ FJ 6].</w:t>
      </w:r>
    </w:p>
    <w:p w:rsidR="0025129F" w:rsidRDefault="0025129F" w:rsidP="0025129F">
      <w:pPr>
        <w:pStyle w:val="Extracto"/>
      </w:pPr>
    </w:p>
    <w:p w:rsidR="0025129F" w:rsidRDefault="0025129F" w:rsidP="0025129F">
      <w:pPr>
        <w:pStyle w:val="Extracto"/>
      </w:pPr>
      <w:r>
        <w:t>3.</w:t>
      </w:r>
      <w:r>
        <w:tab/>
        <w:t>Aun cuando el incidente de nulidad de actuaciones frente a resoluciones judiciales firmes constituía un recurso manifiestamente improcedente antes de la reforma del art. 240 LOPJ operada por la Ley Orgánica 5/1997, de 4 de diciembre, tras la citada reforma legal constituye un recurso de ineludible interposición para cumplir el requisito relativo al agotamiento de todos los recursos utilizables dentro de la vía judicial [FJ 2].</w:t>
      </w:r>
    </w:p>
    <w:p w:rsidR="0025129F" w:rsidRDefault="0025129F" w:rsidP="0025129F">
      <w:pPr>
        <w:pStyle w:val="Extracto"/>
      </w:pPr>
    </w:p>
    <w:p w:rsidR="0025129F" w:rsidRDefault="0025129F" w:rsidP="0025129F">
      <w:pPr>
        <w:pStyle w:val="Extracto"/>
      </w:pPr>
      <w:r>
        <w:t>4.</w:t>
      </w:r>
      <w:r>
        <w:tab/>
        <w:t>Los defectos insubsanables de que pudiera estar afectado el recurso de amparo no resultan subsanados porque el recurso haya sido inicialmente admitido a trámite (SSTC 50/1991, 18/2002)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5262/97, promovido por don Anastasio Castizo Machío, representado por la Procuradora de los Tribunales doña María José Millán Valero y asistido por el Abogado don José Ignacio Aguilar García, contra Sentencia de 18 de noviembre de 1997 de la Sección Quinta de la Audiencia Provincial de Sevilla, dictada en el rollo de apelación civil 1269/97, que confirmó la que había dictado el 31 de enero de 1997 el Juzgado de Primera Instancia núm. 12 de Sevilla en autos de juicio de menor cuantía núm. 688/96. Ha intervenido el Ministerio Fiscal. Ha sido Ponente el Magistrado don Roberto García-Calvo y Montiel,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Por escrito registrado en este Tribunal el 16 de diciembre de 1997 se interpuso el recurso de amparo que se deja mencionado en el encabezamiento, el cual se fundamenta en los hechos que a continuación se exponen, según se relacionan en la demanda de amparo: </w:t>
      </w:r>
    </w:p>
    <w:p w:rsidR="0025129F" w:rsidRDefault="0025129F" w:rsidP="0025129F">
      <w:pPr>
        <w:pStyle w:val="TextoNormal"/>
      </w:pPr>
      <w:r>
        <w:t xml:space="preserve">a) La entidad mercantil Urbanizadora Santa Clara, S.A., interpuso demanda de juicio declarativo de menor cuantía contra el ahora recurrente en amparo, don Anastasio Castizo Machío, en el mes de julio de 1996. En la demanda sostenía dicha entidad que el intercambio de comunicaciones privadas habida entre las partes en los primeros meses de 1993, relativo a la transmisión de determinada finca destinada a vivienda, integrada en un conjunto objeto de promoción inmobiliaria, no había tenido eficacia transmisiva de la propiedad (transmisión que no se habría producido hasta el mes de julio de 1994, en que se formalizó escritura pública de venta), de suerte que el Sr. Castizo Machío había continuado siendo arrendatario de la finca. Con fundamento en ello solicitaba, con carácter principal -ejercitando una acción de cumplimiento de un contrato de arrendamiento-, la condena al pago de cierta cantidad, devengada en concepto de renta y gastos de comunidad de la vivienda. Con carácter subsidiario, y para el caso de que se declarara que la transmisión de la propiedad se había producido en febrero de 1993, en virtud de dichos tratos y comunicaciones privadas, con la consecuente extinción de contrato de arrendamiento hasta entonces vigente, postulaba la condena del entonces demandado al pago de una indemnización en concepto de enriquecimiento injusto. </w:t>
      </w:r>
    </w:p>
    <w:p w:rsidR="0025129F" w:rsidRDefault="0025129F" w:rsidP="0025129F">
      <w:pPr>
        <w:pStyle w:val="TextoNormal"/>
      </w:pPr>
      <w:r>
        <w:t xml:space="preserve">Dicha demanda era idéntica, según se indica en el recurso de amparo, a la interpuesta contra otros treinta y siete vecinos que, defendidos por el mismo despacho de Abogados en términos también idénticos, se sustanciaron ante los Juzgados de Primera Instancia de Sevilla y, en segunda instancia, ante la Audiencia Provincial de Sevilla. Se afirma igualmente que en todos estos procedimientos se debatían dos derechos constitucionalizados: el derecho al disfrute de una vivienda digna (art. 47 CE) y el derecho a la protección de los consumidores (art. 51.1 CE). </w:t>
      </w:r>
    </w:p>
    <w:p w:rsidR="0025129F" w:rsidRDefault="0025129F" w:rsidP="0025129F">
      <w:pPr>
        <w:pStyle w:val="TextoNormal"/>
      </w:pPr>
      <w:r>
        <w:t>b) La expresada demanda fue sustanciada ante el Juzgado de Primera Instancia núm. 12 de Sevilla, en autos de juicio de menor cuantía núm. 688/96. El Juzgado dictó Sentencia el 31 de enero de 1997, que estimó íntegramente la pretensión principal formulada con la demanda. Su parte dispositiva es del tenor literal siguiente: "Que, estimando la demanda deducida por el Procurador D. Andrés Guzmán Sánchez de Alva, en nombre y representación de Urbanizadora Santa Clara S.A., contra D. Anastasio Castizo Machío, sobre reclamación de cantidad, debo condenar y condeno al demandado a abonar a la actora la suma de 1.356.000 ptas. más los intereses pactados, y, desestimando la demanda reconvencio</w:t>
      </w:r>
      <w:r>
        <w:lastRenderedPageBreak/>
        <w:t xml:space="preserve">nal, debo absolver y absuelvo a la actora de todos los pedimentos de la misma. Se condena al demandado al abono de las costas del presente juicio". </w:t>
      </w:r>
    </w:p>
    <w:p w:rsidR="0025129F" w:rsidRDefault="0025129F" w:rsidP="0025129F">
      <w:pPr>
        <w:pStyle w:val="TextoNormal"/>
      </w:pPr>
      <w:r>
        <w:t xml:space="preserve">c) El ahora recurrente en amparo formuló recurso de apelación contra dicha Sentencia, recurso que fue desestimado por Sentencia de la Audiencia Provincial de Sevilla, dictada en fecha 18 de noviembre de 1997. La parte dispositiva de la Sentencia de apelación dice lo siguiente: "Fallamos que, con desestimación del recurso de apelación interpuesto por la representación procesal de D. Anastasio Castizo Machío contra la resolución de fecha 31 de enero de 1997, dictada por el Juzgado de Primera Instancia núm. 12 de los de esta capital, debemos confirmar y confirmamos la resolución recurrida, con expresa imposición de costas originadas en esta alzada a la parte apelante". </w:t>
      </w:r>
    </w:p>
    <w:p w:rsidR="0025129F" w:rsidRDefault="0025129F" w:rsidP="0025129F">
      <w:pPr>
        <w:pStyle w:val="TextoNormal"/>
      </w:pPr>
      <w:r>
        <w:t xml:space="preserve">La demanda de amparo señala que la Sentencia dictada por la Audiencia Provincial de Sevilla acoge y reitera, en parte expresamente y en parte tácitamente, los fundamentos jurídicos de la de instancia, sin añadir ninguno nuevo. Así, al igual que la Sentencia del Juzgado, declara perfeccionado el debatido contrato de compraventa en febrero de 1993, pero no lo considera consumado hasta la fecha del otorgamiento de la escritura pública correspondiente (julio de 1994), de modo que estima vigente el contrato de arrendamiento sobre la finca vendida -que vinculaba a las partes- hasta el mes de julio de 1994, con la consecuente obligación de pago de las rentas por parte del Sr. Castizo Machío. Ello se consideraba debido a que, aunque el contrato de compraventa se había perfeccionado, sin embargo, al no haber operado la traditio, el contrato no se había consumado, de modo que la efectiva transmisión de la propiedad no se produjo entonces (febrero de 1993) sino cuando se otorgó la escritura pública (julio de 1994). </w:t>
      </w:r>
    </w:p>
    <w:p w:rsidR="0025129F" w:rsidRDefault="0025129F" w:rsidP="0025129F">
      <w:pPr>
        <w:pStyle w:val="TextoNormal"/>
      </w:pPr>
      <w:r>
        <w:t xml:space="preserve">En relación con estas alegaciones de la demanda de amparo, es oportuno transcribir el fundamento jurídico tercero de dicha Sentencia de apelación: "Tal como recoge la Sentencia de esta propia Sección de 13 de Febrero de 1997 (reiterada en la del 22 de Mayo de 1997) el problema transcendental reside en determinar el momento en que el contrato de compraventa quedó, primero, perfeccionado y después consumado, y ello en base a la documentación existente fundamentalmente reducida a las cartas intercambiadas entre las partes. Considerando la oferta como una declaración de voluntad recepticia dirigida a la contraparte y con el firme propósito de obligarse en caso de aceptación, en el supuesto presente debe aceptarse que dicha oferta se hizo de manera indubitada, pues dicha oferta, consistente en la propuesta precisa, completa y definitiva de celebración de un contrato de compraventa, contenía los elementos esenciales del negocio jurídico, cosa (el piso y la plaza de garaje) y precio (10.800.000 ptas.), aunque con posterioridad surgieran discrepancias respectos a determinados elementos accidentales (forma de pago, gravámenes, etc.), que en absoluto desvirtúan la proposición original ni impedían el perfeccionamiento del contrato mediante la aceptación por parte del destinatario de la oferta, aceptación formalizada a través de la carta de 16 de febrero de 1993. Estando, pues, las partes conformes sobre la cosa objeto del contrato y sobre su precio, el negocio jurídico se perfeccionó sirviendo pues de 'título para la adquisición del dominio' del piso que hasta entonces disfrutaba en concepto de arriendo. En consecuencia, la Sala hace suya la fundamentación jurídica del Juez a quo, entendiendo que 'el contrato de compraventa quedó perfeccionado por la concurrencia de consentimiento, de acuerdo con los arts. 1258 y 1262 del Código Civil el día 16 de febrero de 1993', pero no se consumó hasta que las partes, de común acuerdo, procedieron a otorgar la escritura pública de la venta, siendo a partir de dicho momento cuando las partes habrían de proceder a la entrega de la cosa, hasta entonces arrendada, al pago del precio convenido. En consecuencia, de lo expuesto, y porque la resolución recurrida es acorde con el ordenamiento jurídico, no ofreciendo el caso enjuiciado mayores ni </w:t>
      </w:r>
      <w:r>
        <w:lastRenderedPageBreak/>
        <w:t xml:space="preserve">más prolijas cuestiones jurídicas, procede, con desestimación total del recurso, la plena confirmación de la sentencia apelada, confirmación que acoge el pronunciamiento condenatorio de las costas de la primera instancia". </w:t>
      </w:r>
    </w:p>
    <w:p w:rsidR="0025129F" w:rsidRDefault="0025129F" w:rsidP="0025129F">
      <w:pPr>
        <w:pStyle w:val="TextoNormal"/>
      </w:pPr>
      <w:r>
        <w:t xml:space="preserve">d) Asimismo, según indica la demanda de amparo, la Sentencia de apelación, al acoger y reiterar los fundamentos de la de instancia sin añadir ningún otro, omitió -al igual que había hecho la de instancia- toda referencia a la excepción de extinción de la obligación por razón de la confusión de derechos, operada al reunirse en la persona del demandado la doble condición de deudor y acreedor de las rentas, excepción expresamente formulada por el demandado. </w:t>
      </w:r>
    </w:p>
    <w:p w:rsidR="0025129F" w:rsidRDefault="0025129F" w:rsidP="0025129F">
      <w:pPr>
        <w:pStyle w:val="TextoNormal"/>
      </w:pPr>
      <w:r>
        <w:t>e) Se indica, por último, en la demanda de amparo que la Sentencia de apelación, ahora recurrida, difiere sustancialmente y sin razonamiento alguno, en perjuicio del ahora recurrente en amparo, de otras dictadas en idénticos asuntos por la Audiencia Provincial de Sevilla, y en concreto por la misma Sección Quinta, parte de las cuales son expresamente citadas por dicha resolución. Mientras que las anteriores Sentencias entendían operada la traditio, y adquirido el dominio desde febrero de 1993, sin necesidad de otorgamiento de escritura pública, la presente, ahora impugnada, declara exactamente lo contrario, estimando la pretensión que las anteriores rechazaban.</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denuncia la vulneración del derecho a la tutela judicial efectiva (art. 24.1 CE) y del derecho a la igualdad ante la ley (art. 14 CE) por la Sentencia recurrida. </w:t>
      </w:r>
    </w:p>
    <w:p w:rsidR="0025129F" w:rsidRDefault="0025129F" w:rsidP="0025129F">
      <w:pPr>
        <w:pStyle w:val="TextoNormal"/>
      </w:pPr>
      <w:r>
        <w:t xml:space="preserve">a) Se fundamenta la alegada vulneración del art. 24.1 CE en la incongruencia omisiva de la Sentencia, al eludir ésta, según se afirma en la demanda de amparo, toda referencia a una de las excepciones formuladas por el demandado: la de la extinción de la obligación de pago de la renta por razón del instituto jurídico de la confusión de derechos, excepción sobre la que también se había argumentado, con invocación del derecho a la tutela judicial efectiva, en el acto de la vista. </w:t>
      </w:r>
    </w:p>
    <w:p w:rsidR="0025129F" w:rsidRDefault="0025129F" w:rsidP="0025129F">
      <w:pPr>
        <w:pStyle w:val="TextoNormal"/>
      </w:pPr>
      <w:r>
        <w:t xml:space="preserve">Se afirma en este sentido, con referencia a los términos en que se formuló la mencionada excepción al contestar la demanda del juicio de menor cuantía, que, aun entendiendo que, perfeccionado el contrato de compraventa, no se hubiera transmitido el dominio al no haber traditio, "la extinción de la obligación de pago de las rentas se habría producido merced a la institución de la confusión de derechos, al ser aquéllas frutos civiles pertenecientes al comprador desde el día de la perfección del contrato; en virtud todo ello de los arts. 1468, 355 y 1192 del Código Civil", de modo que en tal caso "las rentas, como frutos civiles, eran atribuibles no ya al propietario, sino al comprador, que en este peculiar caso coincide con el arrendatario demandado". </w:t>
      </w:r>
    </w:p>
    <w:p w:rsidR="0025129F" w:rsidRDefault="0025129F" w:rsidP="0025129F">
      <w:pPr>
        <w:pStyle w:val="TextoNormal"/>
      </w:pPr>
      <w:r>
        <w:t xml:space="preserve">Sigue indicando la demanda de amparo que la Sentencia del Juzgado condenó al entonces demandado al abono de las rentas devengadas entre febrero de 1993 y julio de 1994, al entender que el dominio no se había transmitido hasta la fecha del otorgamiento de la escritura pública de venta, y que, apelada dicha Sentencia, la dictada por la Audiencia omitió toda referencia a la referida excepción. Y señala que dicha excepción constituía "una componente esencial y diferenciada, aunque alternativa, del conjunto de la oposición, pues bastaba con su apreciación, en el supuesto de declarar el contrato perfeccionado pero no consumado, para desestimar el aspecto cuantitativamente más relevante de la pretensión principal de la actora", de modo que "su falta absoluta de toma en consideración significa dejar sin respuesta una pretensión esencial del demandado". </w:t>
      </w:r>
    </w:p>
    <w:p w:rsidR="0025129F" w:rsidRDefault="0025129F" w:rsidP="0025129F">
      <w:pPr>
        <w:pStyle w:val="TextoNormal"/>
      </w:pPr>
      <w:r>
        <w:t xml:space="preserve">b) Se fundamenta la alegada lesión del art. 14 CE en que la Sentencia impugnada se aparta, sin razonarlo, del criterio mantenido por la misma Sección Quinta en otros asuntos </w:t>
      </w:r>
      <w:r>
        <w:lastRenderedPageBreak/>
        <w:t xml:space="preserve">idénticos, entre ellos los resueltos por las Sentencias de 13 de febrero y 22 de mayo de 1997, que precisamente se citan en aquélla. </w:t>
      </w:r>
    </w:p>
    <w:p w:rsidR="0025129F" w:rsidRDefault="0025129F" w:rsidP="0025129F">
      <w:pPr>
        <w:pStyle w:val="TextoNormal"/>
      </w:pPr>
      <w:r>
        <w:t xml:space="preserve">El demandante de amparo, tras recordar que el litigio del que dimana el presente recurso constituye uno de un grupo de treinta y siete pleitos sostenidos entre la Urbanizadora Santa Clara, S.A., y otros tantos particulares, a que ya se hizo referencia en el antecedente 1.a de esta resolución, indica que las sentencias dictadas en dichos litigios por las distintas Secciones de la Audiencia Provincial de Sevilla -salvo la ahora recurrida en amparo- mantienen un criterio uniforme, según el cual se había realizado la efectiva transmisión del dominio a favor de los distintos demandados y arrendatarios en febrero de 1993, mediante los acuerdos privados habidos entre éstos y la entidad mercantil. Relaciona, al efecto, los rollos de apelación en los que había recaído Sentencia, de los que los pertinentes a la Sección Quinta de la Audiencia son los rollos núms. 1224/96 (Sentencia de 13 de febrero de 1997), 3403/96 (Sentencia de 22 de mayo de 1997), 65/97 (Sentencia de 26 de junio de 1997), 922/97 (Sentencia de 30 de septiembre de 1997) y 1175/97 (Sentencia de 10 de octubre de 1997). </w:t>
      </w:r>
    </w:p>
    <w:p w:rsidR="0025129F" w:rsidRDefault="0025129F" w:rsidP="0025129F">
      <w:pPr>
        <w:pStyle w:val="TextoNormal"/>
      </w:pPr>
      <w:r>
        <w:t>c) Por último, solicita la demanda de amparo: 1) que se anule la Sentencia recurrida "en lo que respecta a la condena al pago de las rentas arrendaticias solicitadas por el actor al estimar la excepción de confusión de derechos alegada en su día, eximiendo consecuentemente al demandado del pago de las costas de ambas instancias o, subsidiariamente, inste al Tribunal que la dictó a emitir otra que tome en consideración la citada excepción", y 2) que, subsidiariamente, se anule la Sentencia recurrida "por vulneración del derecho a la igualdad y, en consecuencia, [se] inste al Tribunal que la dictó a emitir otra respetuosa con el mencionado derecho".</w:t>
      </w:r>
    </w:p>
    <w:p w:rsidR="0025129F" w:rsidRDefault="0025129F" w:rsidP="0025129F">
      <w:pPr>
        <w:pStyle w:val="TextoNormal"/>
      </w:pPr>
    </w:p>
    <w:p w:rsidR="0025129F" w:rsidRDefault="0025129F" w:rsidP="0025129F">
      <w:pPr>
        <w:pStyle w:val="TextoNormal"/>
      </w:pPr>
      <w:r w:rsidRPr="0025129F">
        <w:rPr>
          <w:rStyle w:val="NumeroAFNegritaCaracter"/>
        </w:rPr>
        <w:t>3</w:t>
      </w:r>
      <w:r>
        <w:t>. Por providencia de 23 de marzo de 1998 la Sección Primera acordó, al amparo del art. 50.5 LOTC, conceder al recurrente un plazo de diez días para que aportase testimonio de la Sentencia dictada por el Juzgado de Primera Instancia núm. 12 de Sevilla en los autos del juicio de menor cuantía 688/96.</w:t>
      </w:r>
    </w:p>
    <w:p w:rsidR="0025129F" w:rsidRDefault="0025129F" w:rsidP="0025129F">
      <w:pPr>
        <w:pStyle w:val="TextoNormal"/>
      </w:pPr>
    </w:p>
    <w:p w:rsidR="0025129F" w:rsidRDefault="0025129F" w:rsidP="0025129F">
      <w:pPr>
        <w:pStyle w:val="TextoNormal"/>
      </w:pPr>
      <w:r w:rsidRPr="0025129F">
        <w:rPr>
          <w:rStyle w:val="NumeroAFNegritaCaracter"/>
        </w:rPr>
        <w:t>4</w:t>
      </w:r>
      <w:r>
        <w:t>. Aportado el testimonio solicitado, por providencia de 15 de junio de 1998 se acordó admitir a trámite la demanda de amparo, y requerir, a tenor de lo dispuesto en el art. 51 LOTC, a la Sección Quinta de la Audiencia Provincial de Sevilla y al Juzgado de Primera Instancia núm. 12 de dicha capital para que remitieran, respectivamente, en el plazo de diez días testimonio del rollo de apelación 1269/96 y del juicio de menor cuantía 688/96 interesando, al propio tiempo, que se emplazase a quienes habían sido parte en el juicio para que, en el plazo de diez días, pudieran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5 de octubre de 1998 se tuvieron por recibidos los testimonios solicitados y, a tenor del art. 52 LOTC, se acordó dar vista de las actuaciones, por un plazo común de veinte días, al Ministerio Fiscal y al recurrente para que, dentro de dicho plazo, pudieran presentar las alegaciones que a su derecho conviniesen.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Por escrito registrado el 29 de octubre de 1998, el recurrente formula sus alegaciones en las que reitera su solicitud de amparo. Tras ratificarse en las alegaciones hechas en la demanda, en relación con la invocación del derecho a la igualdad, y dado que la estimación de tal motivo exige una comparación entre la Sentencia recurrida y las Sentencias que se citan como término de comparación, sugiere a la Sala que solicite para mejor proveer a </w:t>
      </w:r>
      <w:r>
        <w:lastRenderedPageBreak/>
        <w:t>los respectivos órganos judiciales el testimonio de las resoluciones citadas en la demanda de amparo, cuyas respectivas copias se aportaron con ésta.</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Mediante escrito registrado el 5 de noviembre de 1998, el Ministerio Fiscal presenta sus alegaciones en las que interesa la desestimación del amparo. </w:t>
      </w:r>
    </w:p>
    <w:p w:rsidR="0025129F" w:rsidRDefault="0025129F" w:rsidP="0025129F">
      <w:pPr>
        <w:pStyle w:val="TextoNormal"/>
      </w:pPr>
      <w:r>
        <w:t xml:space="preserve">Respecto de la invocada vulneración del derecho fundamental a la igualdad, el Ministerio Fiscal, tras exponer los requisitos que la jurisprudencia constitucional exige para apreciar la vulneración del derecho a la igualdad en la aplicación de la ley (art. 14 CE), con cita de algunas de las Sentencias en las que se recoge esta doctrina (SSTC 48/1987, 66/1987, 102/1987, 108/1988, 161/1989, 126/1992, 218/1992 y 235/1992), analiza el caso enjuiciado. Señala, al efecto, que concurre el primero de los requisitos exigidos, relativo a que la Sentencia que se impugna y las sentencias utilizadas como términos de comparación procedan del mismo órgano judicial, en este caso la Sección Quinta de la Audiencia Provincial de Sevilla (no siendo relevante el hecho de que los Magistrados que la componen no hayan sido los mismos en todas las resoluciones), pero no concurre el requisito consistente en ser los "supuestos idénticos" en todas ellas. Indica, a tal fin, que la Sentencia que se recurre asume y reitera como fundamentación propia la fundamentación de la Sentencia de instancia y ésta explica, de manera razonada y fundada en derecho, la subsunción de la norma aplicable al supuesto fáctico probado, que lo está mediante la valoración de las pruebas aportadas por las partes, consistentes en "cartas enviadas por el comprador al vendedor y en especial la de fecha 15 de marzo de 1993 en la que manifiesta la voluntad expresa de considerar la puesta a disposición del comprador del piso y la plaza de garaje 'mediante el otorgamiento de la escritura pública'". Esta valoración de las pruebas determina que el órgano judicial considere y declare que es la fecha de la escritura de compraventa la que produce el cumplimiento de la totalidad de los requisitos de la transmisión de la propiedad por lo que se mantiene la vigencia del arrendamiento hasta esa misma fecha. Concluye afirmando que el supuesto no es idéntico a los supuestos resueltos por las Sentencias aportadas como término de comparación ya que en el de autos, al contrario que en los demás, hay una voluntad del vendedor, declarada probada por el Juez, de no transmitir la propiedad hasta el momento del otorgamiento de la escritura pública, lo que no se declara en los demás supuestos. </w:t>
      </w:r>
    </w:p>
    <w:p w:rsidR="0025129F" w:rsidRDefault="0025129F" w:rsidP="0025129F">
      <w:pPr>
        <w:pStyle w:val="TextoNormal"/>
      </w:pPr>
      <w:r>
        <w:t xml:space="preserve">Así pues, según sostiene el Ministerio Fiscal, la fundamentación jurídica es coherente con la realidad fáctica declarada por la Sentencia, por lo que la respuesta que da la Audiencia al hacer suya la fundamentación jurídica de la Sentencia de instancia también es razonada y motivada y esta fundamentación interpreta la normativa aplicable respecto a la transmisión de la propiedad. No existe violación del derecho a la igualdad porque el órgano judicial al dictar la Sentencia sabe que ésta difiere porque existe diversidad de supuestos, diversidad que supone una diferencia con los supuestos de las Sentencias aportadas como términos de comparación. </w:t>
      </w:r>
    </w:p>
    <w:p w:rsidR="0025129F" w:rsidRDefault="0025129F" w:rsidP="0025129F">
      <w:pPr>
        <w:pStyle w:val="TextoNormal"/>
      </w:pPr>
      <w:r>
        <w:t>En relación con la invocada vulneración del derecho fundamental a la tutela judicial efectiva, consagrada en el art. 24.1 CE, por supuesta incongruencia omisiva de la Sentencia de la Audiencia Provincial, dice el Ministerio Fiscal que dicha Sentencia no contesta explícitamente a la excepción planteada pero sí la contesta implícita y terminantemente. La Sentencia declara, aceptando la fundamentación de la Sentencia de instancia, que hasta la fecha del otorgamiento de la escritura no se transmitió la propiedad "estando vigente hasta dicha fecha el contrato de arrendamiento" lo que significa que no ha existido la confusión alegada al no ser propietario hasta esa fecha, continuando siendo arrendatario, con</w:t>
      </w:r>
      <w:r>
        <w:lastRenderedPageBreak/>
        <w:t xml:space="preserve">dición que impide la confusión pretendida y la consiguiente adquisición de los frutos civiles. </w:t>
      </w:r>
    </w:p>
    <w:p w:rsidR="0025129F" w:rsidRDefault="0025129F" w:rsidP="0025129F">
      <w:pPr>
        <w:pStyle w:val="TextoNormal"/>
      </w:pPr>
      <w:r>
        <w:t>Sigue diciendo el Ministerio Fiscal que el actor podrá disentir de la interpretación que el órgano judicial realiza respecto a la concurrencia de los requisitos del título y el modo y de las consecuencias, efectos jurídicos y momento en que estos se producen, pero esta divergencia pertenece al campo de la legalidad ordinaria, sin dimensión constitucional. Por ello, la declaración de la persistencia de la condición de arrendatario por no haberse transmitido la propiedad supone, como es lógico, la existencia de un contrato, pero en virtud del principio de libertad de pacto (art. 1255 CC) las partes establecen, como declara la sentencia, que los efectos de la compraventa se inicien en el momento del otorgamiento de la escritura de compraventa, y no antes, y la validez de esta declaración constituye la interpretación que el órgano judicial realiza de la normativa aplicable a este contrato en especial. Esta declaración es la respuesta implícita del órgano judicial a la excepción alegada por el actor, respuesta que permite afirmar la inexistencia de la incongruencia omisiva denunciada. Se podrá estar de acuerdo o no con la interpretación judicial pero esta actividad pertenece en exclusiva al contenido de la función del juzgador que no puede ser revisada en el recurso de amparo al no ser arbitraria ni irracional.</w:t>
      </w:r>
    </w:p>
    <w:p w:rsidR="0025129F" w:rsidRDefault="0025129F" w:rsidP="0025129F">
      <w:pPr>
        <w:pStyle w:val="TextoNormal"/>
      </w:pPr>
    </w:p>
    <w:p w:rsidR="0025129F" w:rsidRDefault="0025129F" w:rsidP="0025129F">
      <w:pPr>
        <w:pStyle w:val="TextoNormal"/>
      </w:pPr>
      <w:r w:rsidRPr="0025129F">
        <w:rPr>
          <w:rStyle w:val="NumeroAFNegritaCaracter"/>
        </w:rPr>
        <w:t>8</w:t>
      </w:r>
      <w:r>
        <w:t>. Por diligencia de ordenación de 2 de octubre de 2001, se acordó, al amparo de lo previsto en el artículo 88 LOTC requerir a los Juzgados de Primera Instancia números 1, 2 y 19 de Sevilla, a fin de que remitieran en plazo de diez días copia de las Sentencias de 26 de noviembre de 1996, 26 de octubre de 1996, 29 de enero de 1996 y 20 de enero de 1997 y, una vez recibidas, por providencia de 26 de noviembre de 2001 la Sala Primera acordó dar traslado por diez días al Ministerio Fiscal y al demandante de amparo, a fin de que ampliaran las alegaciones efectuadas en su día.</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11 de diciembre de 2001 se registró en el Tribunal el escrito de alegaciones del Ministerio Fiscal. El Fiscal, a la vista de la prueba ordenada practicar por la Sala, estima necesario ampliar el escrito de alegaciones presentado en este recurso de amparo. </w:t>
      </w:r>
    </w:p>
    <w:p w:rsidR="0025129F" w:rsidRDefault="0025129F" w:rsidP="0025129F">
      <w:pPr>
        <w:pStyle w:val="TextoNormal"/>
      </w:pPr>
      <w:r>
        <w:t xml:space="preserve">Para el Fiscal, del examen de las actuaciones judiciales que han sido remitidas resulta, en primer lugar, que los hechos en todos los procesos son sustancialmente idénticos, puesto que se trata de la misma promotora inmobiliaria que ofreció por escrito la venta de las viviendas que ocupaban en un mismo edificio sus diferentes inquilinos, de modo que éstos dejaron de pagar las rentas que venían abonando desde el momento en que aceptaron por escrito las ofertas, lo que dio lugar a que la promotora ejercitara la acción de desahucio, por las rentas impagadas desde la aceptación de la oferta hasta la fecha de la firma de la escritura pública de compraventa, que fue rechazada por estimarse que la complejidad de la situación no permitía ser resuelta en dicho proceso. En su consecuencia, la promotora ejercitó otra acción por la que pretendía se declarara su condición de propietaria de las viviendas hasta la fecha de otorgamiento de la escritura pública y, en consecuencia, se condenara a los inquilinos al pago de las rentas correspondientes. Por su parte, los inquilinos se opusieron a dicha pretensión alegando ser ellos los propietarios de las viviendas desde que contestaron por escrito aceptando la oferta de venta, por lo que operada la confusión entre su condición de arrendatarios y de propietarios, no venían obligados al pago de renta alguna. </w:t>
      </w:r>
    </w:p>
    <w:p w:rsidR="0025129F" w:rsidRDefault="0025129F" w:rsidP="0025129F">
      <w:pPr>
        <w:pStyle w:val="TextoNormal"/>
      </w:pPr>
      <w:r>
        <w:t xml:space="preserve">En todos los casos, continúa el Fiscal, fue estimada la pretensión de la promotora, así como la reconvención formulada por los inquilinos alegando compensación parcial de la deuda, todo ello por considerar que el contrato de compraventa no se consumó hasta la </w:t>
      </w:r>
      <w:r>
        <w:lastRenderedPageBreak/>
        <w:t xml:space="preserve">fecha del otorgamiento de la escritura pública de compraventa, siendo por ello a partir de esa fecha cuando los inquilinos adquirieron la condición de propietarios. </w:t>
      </w:r>
    </w:p>
    <w:p w:rsidR="0025129F" w:rsidRDefault="0025129F" w:rsidP="0025129F">
      <w:pPr>
        <w:pStyle w:val="TextoNormal"/>
      </w:pPr>
      <w:r>
        <w:t xml:space="preserve">Planteados los recursos de apelación por los inquilinos, algunos de ellos fueron repartidos a la Sección Quinta de la Audiencia Provincial de Sevilla, la cual, actuando con diferente composición de Magistrados, dictó Sentencias el 13 de febrero, 22 de mayo, 30 de septiembre y 10 de octubre de 1997, por las que revocó las de instancia al considerar que el contrato había quedado perfeccionado desde que los inquilinos contestaron a la oferta, aunque en la misma no se incluyera mención alguna sobre la persona obligada al pago de los gastos de transmisión por entender que tal extremo no constituye uno de los elementos esenciales del contrato, por lo que, en definitiva, debía operar la ficta traditio. Por estas razones los recursos fueron parcialmente estimados en las Sentencias mencionadas y los inquilinos fueron condenados no al pago de las rentas, sino al del precio convenido para la compraventa con los intereses correspondientes, de cuya cantidad había que deducir, en virtud de compensación, las cantidades que aquéllos hubieran abonado por cualquier concepto a la promotora. </w:t>
      </w:r>
    </w:p>
    <w:p w:rsidR="0025129F" w:rsidRDefault="0025129F" w:rsidP="0025129F">
      <w:pPr>
        <w:pStyle w:val="TextoNormal"/>
      </w:pPr>
      <w:r>
        <w:t xml:space="preserve">El 18 de noviembre de 1997, la Sección Quinta de la Audiencia Provincial de Sevilla, actuando con composición diferente a todas las ocasiones antes mencionadas, dicta una nueva Sentencia sobre un proceso semejante a los que habían sido resueltos con anterioridad, modifica su criterio y después de aludir a algunas de las Sentencias invocadas en la demanda de amparo como término de comparación (concretamente las de 13 de febrero y 22 de mayo de 1997), al referirse al momento de la consumación del contrato de compraventa añade literalmente lo que sigue: "Estando pues las partes conformes sobre la cosa objeto del contrato y sobre su precio, el negocio jurídico se perfeccionó sirviendo pues de 'título para la adquisición del dominio' del piso que hasta entonces disfrutaba en concepto de arriendo". En consecuencia, la Sala hace suya la fundamentación jurídica del Juez a quo entendiendo que "el contrato de compraventa quedó perfeccionado por la concurrencia del consentimiento de acuerdo con los arts. 1258 y 1262 del Código Civil el día 16 de febrero de 1993", pero no se consumó hasta que las partes, de común acuerdo, procedieron a otorgar la escritura pública de compraventa, siendo a partir de dicho momento cuando las partes habrían de proceder a la entrega de la cosa, hasta entonces arrendada, y al pago del precio convenido. </w:t>
      </w:r>
    </w:p>
    <w:p w:rsidR="0025129F" w:rsidRDefault="0025129F" w:rsidP="0025129F">
      <w:pPr>
        <w:pStyle w:val="TextoNormal"/>
      </w:pPr>
      <w:r>
        <w:t xml:space="preserve">Sentados los anteriores antecedentes, y con cita de nuestra doctrina, concluye el Fiscal que se ha producido un cambio de criterio en la aplicación de la Ley por parte del Tribunal, concretamente de las normas que regulan en nuestro ordenamiento la perfección y consumación del contrato, cuestión sobre la que, para que pueda prosperar la demanda de amparo, se requiere que las resoluciones que se contrastan hayan sido dictadas por el mismo órgano judicial, que exista un término de comparación válido por haber resuelto dichas resoluciones supuestos sustancialmente similares, y la ausencia de toda motivación que justifique en términos generalizables tal cambio de criterio, a fin de excluir la arbitrariedad, la inadvertencia, o la toma en consideración de circunstancias personales o sociales de las partes que no debieron serlo. </w:t>
      </w:r>
    </w:p>
    <w:p w:rsidR="0025129F" w:rsidRDefault="0025129F" w:rsidP="0025129F">
      <w:pPr>
        <w:pStyle w:val="TextoNormal"/>
      </w:pPr>
      <w:r>
        <w:t>El Fiscal, modificando el criterio de su primer escrito de alegaciones a la vista del contenido de las Sentencias aportadas, considera que en todos los casos los Jueces estimaron la pretensión de la promotora por considerar que era la propietaria de la vivienda hasta el momento de otorgar la escritura pública, bien porque el contrato no se perfeccionó o bien porque no se consumó hasta el otorgamiento de la escritura. En consecuencia, no hay base después de la prueba practicada por decisión del Tribunal, para afirmar, como se hacía en el primer escrito de alegaciones, que no concurre la identidad de supuesto entre el con</w:t>
      </w:r>
      <w:r>
        <w:lastRenderedPageBreak/>
        <w:t xml:space="preserve">templado en la Sentencia recurrida y en las que se ofrecen como término de comparación, puesto que las Sentencias recaídas en la instancia con anterioridad a la que ahora se refiere el recurso de amparo fueron revocadas por considerar que el contrato se perfeccionó en el momento de aceptarse la oferta y se consumó también en ese momento, mientras que la que es objeto del presente recurso establece que, como se hacía en la Sentencia de instancia, aun cuando quepa entender perfeccionado el contrato en el momento de aceptarse la oferta, su consumación no se produjo hasta el momento del otorgamiento de la escritura, lo que evidencia que se ha producido un cambio de criterio. Por ello, lo que procede analizar es si dicho cambio de criterio reúne los requisitos exigidos por la doctrina constitucional. </w:t>
      </w:r>
    </w:p>
    <w:p w:rsidR="0025129F" w:rsidRDefault="0025129F" w:rsidP="0025129F">
      <w:pPr>
        <w:pStyle w:val="TextoNormal"/>
      </w:pPr>
      <w:r>
        <w:t xml:space="preserve">Con cita de la STC 176/2000, el Fiscal considera que la aplicación de dicha doctrina ha de conducir a la estimación del amparo, pues aun cuando sea compatible con el art. 14 CE que se produzcan cambios de criterio en la interpretación de la Ley, el derecho a la igualdad en su aplicación no tolera que dichos cambios sean gratuitos o desprovistos de fundamentación, como sucede en el presente caso, puesto que en con anterioridad mantuvo un criterio sobre la perfección y consumación del contrato incluso citando dos sentencias del mismo Ponente que el que dicta la resolución ahora combatida, mientras que en ésta la Sala considera que dicho momento es distinto y posterior, lo que determina que mientras que en el primer caso no existiera obligación de pagar las rentas, en el que se recurre sí. Tal cambio de criterio carece de fundamentación, y no permite interpretar que se trate de un legítimo cambio para el futuro, pues en la Sentencia recurrida no se atisba mención alguna que pueda hacer pensar que se trata de un cambio de tal índole. </w:t>
      </w:r>
    </w:p>
    <w:p w:rsidR="0025129F" w:rsidRDefault="0025129F" w:rsidP="0025129F">
      <w:pPr>
        <w:pStyle w:val="TextoNormal"/>
      </w:pPr>
      <w:r>
        <w:t>Por lo que, finalmente, respecta al alcance del amparo, el Fiscal considera que procede anular la Sentencia de la Sección Quinta de la Audiencia Provincial de Sevilla y retrotraer las actuaciones al momento de dictarse la misma para que se pronuncie en su lugar otra en la que se respete el derecho fundamental vulnerado motivando suficientemente el criterio que se adopte con relación a la cuestión controvertida.</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mismo día se registró en el Tribunal el escrito de alegaciones del recurrente en amparo. Considera el demandante que las Sentencias unidas a las actuaciones confirman que en fechas muy próximas entre sí, y a la recaída en el recurso que es causa del presente recurso de amparo, se produjeron una pluralidad de litigios de igual contenido entre la mercantil Urbanizadora Santa Clara, S.A., y un numeroso grupo de particulares que habitaban las distintas viviendas de un inmueble ocupado por éstos y promovido por aquélla. También ponen de relieve que siendo distintas las soluciones adoptadas por los Juzgados, finalmente todos ellos consideraban que la compraventa no se había perfeccionado o no se había consumado, por lo que el contrato de arrendamiento vinculaba a las partes hasta la fecha de formalización de la escritura de compraventa, por lo que hasta entonces estaba vigente la obligación de pagar la renta. </w:t>
      </w:r>
    </w:p>
    <w:p w:rsidR="0025129F" w:rsidRDefault="0025129F" w:rsidP="0025129F">
      <w:pPr>
        <w:pStyle w:val="TextoNormal"/>
      </w:pPr>
      <w:r>
        <w:t xml:space="preserve">Es precisamente esa conclusión final la que de manera uniforme y sistemática revocan todas las Secciones de la Audiencia Provincial de Sevilla, incluida la Sección Quinta. Todas ellas, a excepción de la ahora combatida, disponen que el contrato de compraventa se perfeccionó y consumó a consecuencia del intercambio epistolar acaecido en 1993, dieciséis meses antes de la escrituración y que, por lo tanto, en dicha fecha se extinguió el contrato de arrendamiento previo. </w:t>
      </w:r>
    </w:p>
    <w:p w:rsidR="0025129F" w:rsidRDefault="0025129F" w:rsidP="0025129F">
      <w:pPr>
        <w:pStyle w:val="TextoNormal"/>
      </w:pPr>
      <w:r>
        <w:t xml:space="preserve">Es decir que, para el demandante de amparo, todas las Secciones de la Audiencia Provincial de Sevilla tuvieron ocasión de conocer y revisar la tesis de la ausencia de perfección o consumación del contrato de compraventa y conociéndola la refutaron en treinta y </w:t>
      </w:r>
      <w:r>
        <w:lastRenderedPageBreak/>
        <w:t xml:space="preserve">seis de los treinta y siete procedimientos entablados, declarando que la adquisición original del dominio se produjo en febrero de 1993. </w:t>
      </w:r>
    </w:p>
    <w:p w:rsidR="0025129F" w:rsidRDefault="0025129F" w:rsidP="0025129F">
      <w:pPr>
        <w:pStyle w:val="TextoNormal"/>
      </w:pPr>
      <w:r>
        <w:t>Sin embargo, la Sentencia que ahora se combate altera el que venía siendo su uniforme criterio y acepta que el momento de la consumación del contrato fue el del otorgamiento de la escritura pública, asumiendo el razonamiento del Juez de instancia, apartándose de la tesis anteriormente mantenida de manera inmotivada, con lo que dicha Sentencia incurre en el vicio que define la reciente Sentencia de 10 de octubre de 2001, de la Sala Segunda de este Tribunal, como exponente del trato desigual en la aplicación de la Ley una vez constatado que son pertinentes los términos de comparación.</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7 de marzo de 2002 se fijó para la deliberación y fallo del presente recurso de amparo el día 11 del mismo mes y año, día en que comenzó habiendo terminado en el día de hoy.</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determinar si la Sentencia de 18 de noviembre de 1997 de la Sección Quinta de la Audiencia Provincial de Sevilla, que desestimó el recurso de apelación interpuesto por el hoy demandante del amparo contra la Sentencia dictada por el Juzgado de Primera Instancia núm. 12 de Sevilla, en autos de juicio de menor cuantía núm.  688/96, ha vulnerado los derechos fundamentales a la tutela judicial efectiva (art. 24.1 CE) y a la igualdad en la aplicación de la ley (art. 14 CE).</w:t>
      </w:r>
    </w:p>
    <w:p w:rsidR="0025129F" w:rsidRDefault="0025129F" w:rsidP="0025129F">
      <w:pPr>
        <w:pStyle w:val="TextoNormal"/>
      </w:pPr>
      <w:r>
        <w:t>La alegada lesión del art. 24.1 CE se funda en la incongruencia omisiva en que, según entiende el demandante de amparo (demandado y apelante en los mencionados autos de menor cuantía), incurrió la Sentencia de apelación, al eludir toda referencia a una de las excepciones formuladas por dicha parte: la de la extinción de la obligación del pago de las rentas reclamadas (como devengadas entre los meses de febrero de 1993 y julio de 1994) por razón del instituto jurídico de la confusión de derechos. Tal instituto de la confusión de derechos, según aduce dicha parte, habría debido operar -y en tal sentido se había alegado en juicio- aun en el supuesto de que se entendiese (como efectivamente lo entendieron las Sentencias de instancia y de apelación) que el contrato de compraventa de la finca litigiosa se había perfeccionado en febrero de 1993 sin que se hubiera consumado la transmisión del dominio, a favor del entonces demandado y ahora demandante de amparo, hasta julio de 1994.</w:t>
      </w:r>
    </w:p>
    <w:p w:rsidR="0025129F" w:rsidRDefault="0025129F" w:rsidP="0025129F">
      <w:pPr>
        <w:pStyle w:val="TextoNormal"/>
      </w:pPr>
      <w:r>
        <w:t>La invocación del art. 14 CE como vulnerado se basa, a su vez, en que la Sentencia recurrida se aparta del criterio mantenido por la propia Sección Quinta de la misma Audiencia Provincial de Sevilla en otros supuestos sustancialmente idénticos (entre los que cabe citar los resueltos por las Sentencias de 13 de febrero y 22 de mayo de 1997, expresamente mencionadas en aquélla), sin que se haga razonamiento o explicación alguna sobre tal cambio de criterio.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En cuanto a la supuesta vulneración del art. 24.1 CE, en relación con la incongruencia omisiva, procede en primer lugar analizar si concurre la falta de agotamiento de los recursos procedentes en la vía judicial, por no haberse empleado por el recurrente el incidente de nulidad del art. 240.3 LOPJ, extremo que, de confirmarse, determinaría la inadmisión del recurso en este momento procesal, de acuerdo con lo establecido en los arts. 44.1 a) y 50.1 a) LOTC, pues los defectos insubsanables de que pudiera estar afectado el </w:t>
      </w:r>
      <w:r>
        <w:lastRenderedPageBreak/>
        <w:t>recurso de amparo no resultan subsanados porque el recurso haya sido inicialmente admitido a trámite (SSTC 50/1991, de 11 de marzo, FJ 3; 129/2000, de 16 de mayo, FJ 2; 185/2000, de 10 de julio, FJ 3; 105/2001, de 23 de abril, FJ 2; 228/2001, de 26 de noviembre, FJ 2 y 18/2002, de 28 de enero, FJ 3).</w:t>
      </w:r>
    </w:p>
    <w:p w:rsidR="0025129F" w:rsidRDefault="0025129F" w:rsidP="0025129F">
      <w:pPr>
        <w:pStyle w:val="TextoNormal"/>
      </w:pPr>
      <w:r>
        <w:t>En efecto, aun cuando el incidente de nulidad de actuaciones frente a resoluciones judiciales firmes constituía un recurso manifiestamente improcedente antes de la reforma del art.  240 LOPJ operada por la Ley Orgánica 5/1997, de 4 de diciembre (por todas, SSTC 185/1990, de 15 de noviembre, FJ 4; 245/2000, de 16 de octubre, FJ 2; 12/2001, de 29 de enero, FJ 2; y 15/2001, de 29 de enero, FJ 3), tras la citada reforma legal constituye un recurso de ineludible interposición para cumplir el requisito previsto en el art. 44.1 a) LOTC, relativo al agotamiento de todos los recursos utilizables dentro de la vía judicial y respetar así el carácter subsidiario del recurso de amparo, ya que la tutela general de los derechos y libertades corresponde (conforme al art. 53.2 CE) primeramente, a los órganos del Poder Judicial, y, por tanto, cuando existe un recurso susceptible de ser utilizado, y adecuado por su carácter y naturaleza para tutelar la libertad o derecho que se entiende vulnerado, tal recurso ha de agotarse antes de acudir a este Tribunal (SSTC 108/1999, de 14 de junio, FJ 2; 169/1999, de 27 de septiembre, FJ 3; 211/1999, de 29 de noviembre, FJ 2; 82/2000, de 27 de marzo, FJ 2; 178/2000, de 26 de junio, FJ 3; y 284/2000, de 27 de noviembre, FJ 3).</w:t>
      </w:r>
    </w:p>
    <w:p w:rsidR="0025129F" w:rsidRDefault="0025129F" w:rsidP="0025129F">
      <w:pPr>
        <w:pStyle w:val="TextoNormal"/>
      </w:pPr>
      <w:r>
        <w:t>En el caso enjuiciado, la Sentencia que se combate fue dictada el 18 de noviembre de 1997, fecha en la que aún no había sido publicada la reforma de la Ley Orgánica del Poder Judicial operada por Ley Orgánica 5/1997, de 4 de diciembre, que vino a dar una nueva redacción a su art. 240.3, ya que dicha Ley Orgánica se publicó en el "Boletín Oficial del Estado" del día 5 de diciembre siguiente, entrando en vigor (conforme a su Disposición final única) al día siguiente de su publicación y, por lo tanto, el día 6 de diciembre. Sin embargo, su Disposición transitoria primera disponía la aplicación de esa nueva redacción del art. 240 LOPJ y, con ello, del incidente de nulidad de actuaciones, también a los procesos que hubiesen finalizado por resolución o Sentencia irrecurrible dentro del mes anterior a su promulgación. Constatado lo anterior, es obvio que al haberse dictado la Sentencia en la fecha indicada le era de aplicación dicha Disposición transitoria primera y, por lo tanto, el recurrente pudo y debió instar el incidente de nulidad de actuaciones en el plazo de los veinte días siguientes a la fecha de publicación de la Ley. Al no hacerlo así, y por lo que se refiere a esta vulneración, el presente recurso de amparo deviene inadmisible por falta de agotamiento de la vía judicial previa, causa de inadmisión que en el momento de dictar esta Sentencia se convierte en causa de desestimación (por todas, STC 105/2001, de 23 de abril, FJ 4).</w:t>
      </w:r>
    </w:p>
    <w:p w:rsidR="0025129F" w:rsidRDefault="0025129F" w:rsidP="0025129F">
      <w:pPr>
        <w:pStyle w:val="TextoNormal"/>
      </w:pPr>
    </w:p>
    <w:p w:rsidR="0025129F" w:rsidRDefault="0025129F" w:rsidP="0025129F">
      <w:pPr>
        <w:pStyle w:val="TextoNormal"/>
      </w:pPr>
      <w:r w:rsidRPr="0025129F">
        <w:rPr>
          <w:rStyle w:val="NumeroAFNegritaCaracter"/>
        </w:rPr>
        <w:t>3</w:t>
      </w:r>
      <w:r>
        <w:t>. Respecto de la queja en la que se alega la lesión del art. 14 CE, hemos de recordar que los principios de seguridad jurídica y de interdicción de la arbitrariedad de los poderes públicos, que garantiza el art. 9.3 CE, imponen a los órganos judiciales que en sus resoluciones no se aparten arbitrariamente de los precedentes propios. En definitiva, nuestra doctrina ha afirmado de modo continuado en el tiempo que el artículo 14 CE excluye que una decisión judicial dictada en un proceso aparezca como fruto de un mero voluntarismo selectivo frente a las decisiones adoptadas en otros casos anteriores resueltos de modo diverso (SSTC 55/1988, de 24 de marzo, FJ 1, y 193/2001, de 1 de octubre, FJ 2).</w:t>
      </w:r>
    </w:p>
    <w:p w:rsidR="0025129F" w:rsidRDefault="0025129F" w:rsidP="0025129F">
      <w:pPr>
        <w:pStyle w:val="TextoNormal"/>
      </w:pPr>
      <w:r>
        <w:t>En consecuencia, un mismo órgano judicial no puede cambiar arbitrariamente el sentido de sus decisiones adoptadas con anterioridad en supuestos esencialmente iguales sin una argumentación razonada de dicho cambio que permita deducir que existe un aparta</w:t>
      </w:r>
      <w:r>
        <w:lastRenderedPageBreak/>
        <w:t>miento del precedente que responda a una interpretación abstracta y general de la norma aplicable y no a una respuesta ad personam. Ello no impide que los órganos judiciales puedan cambiar su criterio y apartarse conscientemente de sus resoluciones precedentes, pero este apartamiento del precedente ha de ser consciente y razonablemente fundamentado o, en ausencia de una motivación expresa, ha de resultar patente que existe un efectivo cambio de criterio, bien por inferirse con certeza del contenido de la propia resolución, bien por existir otros elementos de juicio externo que así lo indiquen, lo cual suele ocurrir cuando existen otros pronunciamientos posteriores coincidentes con la línea abierta por la resolución impugnada. Por ello, resultará vulnerado el derecho a la igualdad en esta vertiente cuando se acredita que la resolución que es objeto del recurso de amparo significa una ruptura ocasional de la línea que el propio órgano judicial viene manteniendo con uniformidad en supuestos esencialmente iguales (por todas, SSTC 200/1990, de 10 de diciembre, FFJJ 2 y 3; 25/1999, de 8 de marzo, FJ 5; 176/2000, de 26 de junio, FJ 3, 57/2001, de 26 de febrero, FJ 2; 122/2001, de 4 de junio, FJ 2; 111/2001, de 7 de mayo, FJ 2 y 193/2001, de 1 de octubre, FJ 3), siempre y cuando concurran los requisitos de alteridad y existencia de precedente judicial en el que se aprecien las notas de generalidad y continuidad pues, de no concurrir cualquiera de ellos, conforme a nuestra doctrina, se produciría la vulneración del derecho a la tutela judicial efectiva proclamado en el art. 24.1 CE por el resultado arbitrario que supone que un mismo asunto litigioso obtenga respuestas judiciales distintas (SSTC 150/2001, de 2 de julio, FFJJ 3 y 4; 162/2001, de 5 de julio, FFJJ, 2 y 4; y 229/2001, de 26 de noviembre, FFJJ 2 y 4).</w:t>
      </w:r>
    </w:p>
    <w:p w:rsidR="0025129F" w:rsidRDefault="0025129F" w:rsidP="0025129F">
      <w:pPr>
        <w:pStyle w:val="TextoNormal"/>
      </w:pPr>
      <w:r>
        <w:t>Teniendo en cuenta lo anterior, para apreciar la vulneración del derecho a la igualdad en la aplicación de la Ley, hemos venido exigiendo la concurrencia de varios requisitos. En primer lugar, ha de acreditarse por el recurrente en amparo la existencia de un término de comparación, dado que el juicio de igualdad sólo puede realizarse comparando la resolución judicial que se impugna y el precedente del mismo órgano judicial en casos sustancialmente iguales (SSTC 81/1997, de 22 de abril, FJ 2; 89/1998, de 21 de abril, FJ 7; 62/1999, de 26 de abril, FJ 4; 186/2000, de 10 de julio, FJ 11; 37/2001, de 12 de febrero, FJ 3 y 111/2001, de 7 de mayo, FJ 2).  Seguidamente se requiere que los supuestos que constituyen el término de comparación sean esencialmente iguales, pues sólo si los casos son iguales entre sí se puede efectivamente pretender que la solución dada para uno sea igual a la del otro (SSTC 78/1984, de 9 de julio, FJ 3; 55/1988, de 24 de marzo, FJ 2; 34/1995, de 6 de febrero, FJ 1 y 102/1999, de 31 de mayo, FJ 3). En tercer y último lugar se requiere que las resoluciones objeto de comparación procedan del mismo órgano judicial, entendiendo por tal la identidad no sólo de Sala, sino también de Sección, ya que hemos considerado a éstas como órganos judiciales con entidad diferenciada (SSTC 134/1991, de 17 de junio, FJ 3; 42/1993, de 8 de febrero, FJ 3; 218/1994, de 18 de julio, FJ 6; 245/1994, de 15 de septiembre, FJ 3; 266/1994, de 3 de octubre, FJ 3; 240/1998, de 15 de diciembre, FJ 6; y 122/2001, de 4 de junio, FJ 5).</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El examen de las Sentencias aportadas como término de comparación con la demanda de amparo permiten constatar que la Sección Quinta de la Audiencia Provincial de Sevilla, además de la Sentencia ahora recurrida en amparo, dictó también las Sentencias de 13 de febrero de 1997 (rollo 1224/96), 22 de mayo de 1997 (rollo 3403/96), 26 de junio de 1997 (rollo 65/97), 30 de septiembre de 1997 (rollo 922/97) y de 10 de octubre de 1997 (rollo 1175/97) en supuestos sustancialmente iguales al que motiva el presente recurso de amparo. Dichas Sentencias fueron consecuencia de los recursos de apelación interpuestos por los demandados contra las dictadas por los Juzgados de Primera Instancia números 1, </w:t>
      </w:r>
      <w:r>
        <w:lastRenderedPageBreak/>
        <w:t>2 y 19 de Sevilla, que han sido aportadas a instancia del Tribunal (art. 88 LOTC). Del examen de dichas Sentencias -recaídas en instancia y en apelación- queda acreditado que en todos los supuestos se trata de juicios promovidos por Urbanizadora Santa Clara, S.A., contra los respectivos inquilinos de las viviendas que ocupaban -integradas en un mismo conjunto residencial-, con los que había concertado los correspondientes contratos de compraventa de las respectivas viviendas.</w:t>
      </w:r>
    </w:p>
    <w:p w:rsidR="0025129F" w:rsidRDefault="0025129F" w:rsidP="0025129F">
      <w:pPr>
        <w:pStyle w:val="TextoNormal"/>
      </w:pPr>
      <w:r>
        <w:t>Con la salvedad (a la que luego se hará referencia) del asunto resuelto por la Sentencia de 22 de mayo de 1997, en los demás solicitaba la sociedad Urbanizadora Santa Clara, S.A., con carácter principal, la condena de los respectivos demandados al pago de las rentas devengadas entre los meses de marzo de 1993 (subsiguiente a las comunicaciones privadas habidas entre las partes, sobre oferta y aceptación de las condiciones del contrato correspondiente) y julio de 1994 (en que se otorgaron las escrituras públicas de compraventa), así como, en su caso, los gastos de comunidad. Subsidiariamente -para el caso de que se entendiera transmitida la propiedad en febrero de 1993- pedía dicha entidad una indemnización por enriquecimiento injusto de los demandados durante el período cuestionado, al no haber pagado el precio ni demás gastos legítimos. En el caso resuelto por la Sentencia de 22 de mayo de 1997, según ésta explica en su fundamento jurídico primero, había ejercitado la entidad mercantil "las acciones acumuladas de resolución del primitivo contrato de arrendamiento, por falta de pago de rentas y la de enriquecimiento injusto que se postula por el hecho de seguir la demandada con el uso de su vivienda sin pagar cantidad alguna en concepto de precio e incluso sin pagar las rentas". En todo caso, en todos estos litigios, y así consta en las respectivas Sentencias, se constituyó como cuestión central la determinación de los momentos de perfección de los contratos de compraventa, por el concurso de la oferta y de la aceptación sobre la cosa y el precio, y de su consumación, por la efectiva transmisión de la propiedad de la finca.</w:t>
      </w:r>
    </w:p>
    <w:p w:rsidR="0025129F" w:rsidRDefault="0025129F" w:rsidP="0025129F">
      <w:pPr>
        <w:pStyle w:val="TextoNormal"/>
      </w:pPr>
      <w:r>
        <w:t>En las citadas Sentencias aportadas como término de comparación, la Sección Quinta de la Audiencia Provincial de Sevilla resuelve las apelaciones de que conoció dando a todos los casos una misma solución, revocando todas ellas, en lo pertinente al tema que ahora nos ocupa, las correspondientes Sentencias de instancia. Se afirma, en síntesis, en dichas Sentencias que el contrato de compraventa -respecto de la vivienda de la que cada demandado venía siendo inquilino- se perfeccionó en el momento en que cada uno de los demandados aceptó la correspondiente oferta de la actora (concurso de oferta y aceptación que se habría producido en todos los casos en el mes de febrero de 1993), y que en ese mismo momento se produjo también la transmisión de la propiedad ya que, al venir poseyendo la cosa el adquirente en concepto de arrendatario, se habría producido una traditio espiritualizada (constitutum posesorium), suficiente para estimar producido dicho efecto transmisivo.</w:t>
      </w:r>
    </w:p>
    <w:p w:rsidR="0025129F" w:rsidRDefault="0025129F" w:rsidP="0025129F">
      <w:pPr>
        <w:pStyle w:val="TextoNormal"/>
      </w:pPr>
      <w:r>
        <w:t>Con este planteamiento, las Sentencias desestimaron, en los respectivos procesos, la pretensión principal de la actora, formulada esencialmente en los términos ya indicados.  considerando que desde el momento en que se había producido la perfección y consumación del contrato de compraventa no existía obligación de pagar rentas, al haber dejado el comprador de ser arrendatario para convertirse en propietario. En atención a ello, fueron estimadas las pretensiones subsidiarias de las correspondientes demandas, sobre enriquecimiento injusto.</w:t>
      </w:r>
    </w:p>
    <w:p w:rsidR="0025129F" w:rsidRDefault="0025129F" w:rsidP="0025129F">
      <w:pPr>
        <w:pStyle w:val="TextoNormal"/>
      </w:pPr>
    </w:p>
    <w:p w:rsidR="0025129F" w:rsidRDefault="0025129F" w:rsidP="0025129F">
      <w:pPr>
        <w:pStyle w:val="TextoNormal"/>
      </w:pPr>
      <w:r w:rsidRPr="0025129F">
        <w:rPr>
          <w:rStyle w:val="NumeroAFNegritaCaracter"/>
        </w:rPr>
        <w:t>5</w:t>
      </w:r>
      <w:r>
        <w:t>. El planteamiento que se ha dejado expuesto en su esquema básico y el criterio de aplicación normativa mantenido en las Sentencias de referencia de la Sección Quinta de la Audiencia Provincial de Sevilla (de las que dos son expresamente citadas por la ahora re</w:t>
      </w:r>
      <w:r>
        <w:lastRenderedPageBreak/>
        <w:t>currida, las Sentencias de 13 de febrero y de 22 de mayo de 1997) se abandonan notoriamente en la Sentencia que es objeto del amparo, dictada por la misma Sección Quinta. En efecto, esta última Sentencia remite la consumación del contrato de compraventa, con el correspondiente efecto transmisivo del dominio, no al momento de la perfección del contrato (fecha de aceptación de la oferta de venta, febrero de 1993) sino al momento de otorgamiento de la correspondiente escritura pública de compraventa (julio de 1994).</w:t>
      </w:r>
    </w:p>
    <w:p w:rsidR="0025129F" w:rsidRDefault="0025129F" w:rsidP="0025129F">
      <w:pPr>
        <w:pStyle w:val="TextoNormal"/>
      </w:pPr>
      <w:r>
        <w:t>Así pues, es obligado concluir que nos encontramos ante una Sentencia en la que el órgano judicial se aparta del criterio reiteradamente mantenido por él mismo en Sentencias anteriores. Es además relevante, a los fines del presente recurso de amparo, el hecho de que en dicha Sentencia ni hay argumentos o razones que, de modo explícito, expliquen tal cambio de criterio o doctrina ni hay datos bastantes de los que pueda inferirse, a modo de argumentación implícita, las razones de dicho cambio. Debe destacarse, por otra parte, que tal explicación es con mayor razón exigible cuando, como aquí sucede, se citan en la propia Sentencia otras dos anteriores en las que se mantiene un criterio o doctrina antitéticos, ahora abandonados.</w:t>
      </w:r>
    </w:p>
    <w:p w:rsidR="0025129F" w:rsidRDefault="0025129F" w:rsidP="0025129F">
      <w:pPr>
        <w:pStyle w:val="TextoNormal"/>
      </w:pPr>
    </w:p>
    <w:p w:rsidR="0025129F" w:rsidRDefault="0025129F" w:rsidP="0025129F">
      <w:pPr>
        <w:pStyle w:val="TextoNormal"/>
      </w:pPr>
      <w:r w:rsidRPr="0025129F">
        <w:rPr>
          <w:rStyle w:val="NumeroAFNegritaCaracter"/>
        </w:rPr>
        <w:t>6</w:t>
      </w:r>
      <w:r>
        <w:t>. No es óbice a la conclusión que acaba de exponerse la circunstancia de que la Sentencia recurrida se remita a la de instancia, en la construcción de sus razonamientos, al afirmar (fundamento jurídico tercero) que "la Sala hace suya la fundamentación jurídica del Juez a quo, entendiendo que el contrato de compraventa quedó perfeccionado por la concurrencia de consentimiento ... pero no se consumó hasta que las partes, de común acuerdo, procedieron a otorgar la escritura pública de la venta". Es inoperante esta remisión, a los efectos ahora contemplados, según se razona a continuación.</w:t>
      </w:r>
    </w:p>
    <w:p w:rsidR="0025129F" w:rsidRDefault="0025129F" w:rsidP="0025129F">
      <w:pPr>
        <w:pStyle w:val="TextoNormal"/>
      </w:pPr>
      <w:r>
        <w:t>La Sentencia de instancia fundamenta la estimación de que la consumación del contrato no se produjo hasta el otorgamiento de la escritura pública en el hecho de no haber quedado acreditada una efectiva entrega de la cosa -como traditio en la compraventa- cuando se perfeccionó aquél. Y así, dice que "no se ha probado que el vendedor ponga de un modo real y actual la cosa a la plena, absoluta y única disposición del comprador, con evidente intención de ambas partes de hacerlo así", añadiendo que el vendedor, "mediante carta de fecha 15-III-93, manifiesta su voluntad expresa de considerar puesta a disposición del comprador la casa y plaza de garaje mediante el otorgamiento de la escritura pública".</w:t>
      </w:r>
    </w:p>
    <w:p w:rsidR="0025129F" w:rsidRDefault="0025129F" w:rsidP="0025129F">
      <w:pPr>
        <w:pStyle w:val="TextoNormal"/>
      </w:pPr>
      <w:r>
        <w:t>Esta argumentación no constituye, sin embargo, un novum -respecto de las Sentencias aportadas como término de comparación-, que pudiera servir para motivar el cambio de criterio, ya que se contiene también en la Sentencia del Juzgado de Primera Instancia núm. 20 de Sevilla, dictada el 10 de octubre de 1996, que fue parcialmente revocada por la Sentencia de la Sección Quinta de la Audiencia Provincial de Sevilla, de fecha 26 de junio de 1997, recaída en el rollo de apelación núm. 65/97, Sentencias ambas cuyos respectivos testimonios se han aportado a las actuaciones. En dicha Sentencia de instancia también se hace referencia al documento de 15 de marzo de 1993 (que es el mismo en ambos litigios), se niega que fuera voluntad de la entidad mercantil, en ocasión del intercambio de las comunicaciones privadas, entregar al comprador la cosa vendida (ni siquiera a través del mecanismo de la "interversión"), y se establece que para que exista la traditio "no se puede prescindir de la voluntad del vendedor".</w:t>
      </w:r>
    </w:p>
    <w:p w:rsidR="0025129F" w:rsidRDefault="0025129F" w:rsidP="0025129F">
      <w:pPr>
        <w:pStyle w:val="TextoNormal"/>
      </w:pPr>
      <w:r>
        <w:t>Pues bien, la expresada Sentencia de la Audiencia Provincial de 26 de junio de 1997, aun conociendo esta argumentación de la de instancia, concluyó, en sentido contrario, que el contrato de compraventa se había perfeccionado y consumado, con la consiguiente transmisión del dominio, en el mismo momento (16 de febrero de 1993), ya que "al acuer</w:t>
      </w:r>
      <w:r>
        <w:lastRenderedPageBreak/>
        <w:t>do se le añadió la tradición espiritualizada a modo de constitum posesorium, lo cual tiene lugar cuando el comprador se encuentra ya en la posesión de la cosa".</w:t>
      </w:r>
    </w:p>
    <w:p w:rsidR="0025129F" w:rsidRDefault="0025129F" w:rsidP="0025129F">
      <w:pPr>
        <w:pStyle w:val="TextoNormal"/>
      </w:pPr>
      <w:r>
        <w:t>Así pues, también en este punto concreto de la fundamentación jurídica -atinente a la cuestión central que nos ocupa- la Sentencia ahora recurrida en amparo se aparta del precedente mantenido en sentencia anterior, sin dar razón de ello, para llegar, por lo tanto, a la ya comentada conclusión contraria respecto de dicha cuestión central.</w:t>
      </w:r>
    </w:p>
    <w:p w:rsidR="0025129F" w:rsidRDefault="0025129F" w:rsidP="0025129F">
      <w:pPr>
        <w:pStyle w:val="TextoNormal"/>
      </w:pPr>
      <w:r>
        <w:t>Ya queda indicado, por otra parte, que las Sentencias aportadas como término de comparación (contradiciendo explícitamente el criterio mantenido por las correspondientes Sentencias de instancia, cuyos pronunciamientos, en lo pertinente a este particular, quedaron sin efecto) afirman que en los tratos privados habidos entre las partes, como cartas y comunicaciones de los primeros meses de 1993, hubo seria y formal intención de obligarse por cada parte, lo que fundamenta la estimación de que el contrato se perfeccionó entonces. A ello sigue la conclusión de que el contrato se consumó al tiempo de perfeccionamiento, produciéndose el efecto de adquisición de la propiedad, ya que, como dice la Sentencia de la Sección Quinta de la Audiencia Provincial de Sevilla, de 10 de octubre de 1997, y en igual sentido las restantes, "las traslación posesoria se operó en forma anticipada, al pasar el comprador a ocupar la vivienda y la plaza de garaje a título arrendaticio", de modo que, se concluye "no resulta preciso en el caso de autos otro tipo de tradición, cual sería el otorgamiento de escritura pública".</w:t>
      </w:r>
    </w:p>
    <w:p w:rsidR="0025129F" w:rsidRDefault="0025129F" w:rsidP="0025129F">
      <w:pPr>
        <w:pStyle w:val="TextoNormal"/>
      </w:pPr>
    </w:p>
    <w:p w:rsidR="0025129F" w:rsidRDefault="0025129F" w:rsidP="0025129F">
      <w:pPr>
        <w:pStyle w:val="TextoNormal"/>
      </w:pPr>
      <w:r w:rsidRPr="0025129F">
        <w:rPr>
          <w:rStyle w:val="NumeroAFNegritaCaracter"/>
        </w:rPr>
        <w:t>7</w:t>
      </w:r>
      <w:r>
        <w:t>. En definitiva, de la lectura de la Sentencia recurrida en amparo y de las aportadas como término de comparación sólo se deduce, en cuanto al tema que nos ocupa, la diferente solución que le dan aquélla y éstas. Mas no puede saberse -dada la omisión de toda justificación del cambio por parte de la Sentencia ahora impugnada- si ello se debe bien a un diferente criterio de interpretación de las normas de aplicación (de modo que pudiera considerarse como la manifestación de una nueva doctrina general aplicable a los casos futuros) bien a una obligada toma en consideración de algún supuesto fáctico o elemento de prueba, presente en este caso, que conduzca necesariamente o pueda razonablemente conducir a tal conclusión diferente (supuesto fáctico o elemento de prueba del que tampoco nada se dice en la Sentencia recurrida), lo que conduce inexorablemente a entender que se trata de un cambio de criterio que no aparece basado en una modificación de la línea doctrinal a futuro, sino que por el contrario se trata de una modificación ad casum.</w:t>
      </w:r>
    </w:p>
    <w:p w:rsidR="0025129F" w:rsidRDefault="0025129F" w:rsidP="0025129F">
      <w:pPr>
        <w:pStyle w:val="TextoNormal"/>
      </w:pPr>
      <w:r>
        <w:t>La resolución de casos idénticos de modo diferente, sin que se fundamente el cambio de criterio habido para adoptar la resolución judicial, concurriendo los requisitos de alteridad y existencia de precedente, en los términos ya expresados, supone una vulneración del derecho fundamental del recurrente a la igualdad en la aplicación de la ley (art. 14 CE), conforme a la doctrina jurisprudencial anteriormente expuesta, por lo que procede estimar el amparo solicitado por este motivo y, en consecuencia, declarar la nulidad de la resolución judicial combatida, retrotrayendo las actuaciones al momento anterior a dictar Sentencia para que se dicte otra que respete el derecho fundamental vulnerado.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lastRenderedPageBreak/>
        <w:t>Ha decidido</w:t>
      </w:r>
    </w:p>
    <w:p w:rsidR="0025129F" w:rsidRDefault="0025129F" w:rsidP="0025129F">
      <w:pPr>
        <w:pStyle w:val="TextoNormalCentrado"/>
        <w:keepNext/>
      </w:pPr>
    </w:p>
    <w:p w:rsidR="0025129F" w:rsidRDefault="0025129F" w:rsidP="0025129F">
      <w:pPr>
        <w:pStyle w:val="TextoNormal"/>
      </w:pPr>
      <w:r>
        <w:t>Estimar en parte la demanda de amparo, formulada por don Anastasio Castizo Machío, y en consecuencia:</w:t>
      </w:r>
    </w:p>
    <w:p w:rsidR="0025129F" w:rsidRDefault="0025129F" w:rsidP="0025129F">
      <w:pPr>
        <w:pStyle w:val="TextoNormal"/>
      </w:pPr>
      <w:r>
        <w:t>1º Reconocer el derecho del recurrente a la igualdad en la aplicación de la ley.</w:t>
      </w:r>
    </w:p>
    <w:p w:rsidR="0025129F" w:rsidRDefault="0025129F" w:rsidP="0025129F">
      <w:pPr>
        <w:pStyle w:val="TextoNormal"/>
      </w:pPr>
      <w:r>
        <w:t>2º Anular la Sentencia de la Sección Quinta de la Audiencia Provincial de Sevilla, de fecha 18 de noviembre de 1997, dictada en el rollo de apelación civil 1269/97.</w:t>
      </w:r>
    </w:p>
    <w:p w:rsidR="0025129F" w:rsidRDefault="0025129F" w:rsidP="0025129F">
      <w:pPr>
        <w:pStyle w:val="TextoNormal"/>
      </w:pPr>
      <w:r>
        <w:t>3º Retrotraer las actuaciones de dicho recurso al momento inmediatamente anterior al pronunciamiento de la Sentencia, para que se dicte nueva Sentencia, en la que se resuelva el recurso de apelación respetando el expresado derecho fundamental.</w:t>
      </w:r>
    </w:p>
    <w:p w:rsidR="0025129F" w:rsidRDefault="0025129F" w:rsidP="0025129F">
      <w:pPr>
        <w:pStyle w:val="TextoNormal"/>
      </w:pPr>
      <w:r>
        <w:t>4º Desestimar el recurso de amparo en los demás extremos.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8" w:name="SENTENCIA_2002_75"/>
      <w:r>
        <w:lastRenderedPageBreak/>
        <w:t>SENTENCIA 75/2002, de 8 de abril de 2002</w:t>
      </w:r>
    </w:p>
    <w:bookmarkEnd w:id="78"/>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ECLI:ES:TC:2002:75</w:t>
      </w:r>
    </w:p>
    <w:p w:rsidR="0025129F" w:rsidRDefault="0025129F" w:rsidP="0025129F">
      <w:pPr>
        <w:pStyle w:val="SntesisDescriptiva"/>
      </w:pPr>
    </w:p>
    <w:p w:rsidR="0025129F" w:rsidRDefault="0025129F" w:rsidP="0025129F">
      <w:pPr>
        <w:pStyle w:val="SntesisDescriptiva"/>
      </w:pPr>
      <w:r>
        <w:t>Recurso de amparo 2956/1998. Promovido por don Aldo Bordessa respecto a la Sentencia de la Sala de lo Contencioso–Administrativo del Tribunal Superior de Justicia de Madrid que desestimó su demanda contra el Ministerio de Economía y Hacienda sobre una multa por exportación de moneda no declarada.</w:t>
      </w:r>
    </w:p>
    <w:p w:rsidR="0025129F" w:rsidRDefault="0025129F" w:rsidP="0025129F">
      <w:pPr>
        <w:pStyle w:val="SntesisDescriptiva"/>
      </w:pPr>
    </w:p>
    <w:p w:rsidR="0025129F" w:rsidRDefault="0025129F" w:rsidP="0025129F">
      <w:pPr>
        <w:pStyle w:val="SntesisAnaltica"/>
      </w:pPr>
      <w:r>
        <w:t>Supuesta vulneración del derecho a la legalidad penal: la supresión del delito monetario por vigencia del Derecho comunitario no impide sanciones administrativas.</w:t>
      </w:r>
    </w:p>
    <w:p w:rsidR="0025129F" w:rsidRDefault="0025129F" w:rsidP="0025129F">
      <w:pPr>
        <w:pStyle w:val="SntesisAnaltica"/>
      </w:pPr>
    </w:p>
    <w:p w:rsidR="0025129F" w:rsidRDefault="0025129F" w:rsidP="0025129F">
      <w:pPr>
        <w:pStyle w:val="Extracto"/>
      </w:pPr>
      <w:r>
        <w:t>1.</w:t>
      </w:r>
      <w:r>
        <w:tab/>
        <w:t>La sanción impuesta lo fue respetando el principio de legalidad (sanción tipificada según el art. 10.2 de la Ley 40/1979 y el art. 4.1 del Real Decreto 1816/1991). Aunque el recurrente incurrió en delito, no ha sido condenado por el mismo en virtud de la aplicación de la legislación penal más favorable. Pero la desaparición de su responsabilidad penal no implica la de la administrativa, que en todo caso permanece: el hoy demandante en amparo debió hacer la declaración exigida por la normativa de transacciones exteriores [FJ 6].</w:t>
      </w:r>
    </w:p>
    <w:p w:rsidR="0025129F" w:rsidRDefault="0025129F" w:rsidP="0025129F">
      <w:pPr>
        <w:pStyle w:val="Extracto"/>
      </w:pPr>
    </w:p>
    <w:p w:rsidR="0025129F" w:rsidRDefault="0025129F" w:rsidP="0025129F">
      <w:pPr>
        <w:pStyle w:val="Extracto"/>
      </w:pPr>
      <w:r>
        <w:t>2.</w:t>
      </w:r>
      <w:r>
        <w:tab/>
        <w:t>Todo aquel que exporte dinero de España debe cumplimentar una declaración previa, independientemente de que, tras la transposición de la normativa comunitaria, ya no haga falta el permiso de las autoridades españolas para enviar dinero al exterior [FJ 6].</w:t>
      </w:r>
    </w:p>
    <w:p w:rsidR="0025129F" w:rsidRDefault="0025129F" w:rsidP="0025129F">
      <w:pPr>
        <w:pStyle w:val="Extracto"/>
      </w:pPr>
    </w:p>
    <w:p w:rsidR="0025129F" w:rsidRDefault="0025129F" w:rsidP="0025129F">
      <w:pPr>
        <w:pStyle w:val="Extracto"/>
      </w:pPr>
      <w:r>
        <w:t>3.</w:t>
      </w:r>
      <w:r>
        <w:tab/>
        <w:t>Doctrina sobre los principios de legalidad y tipicidad en materia sancionatoria (SSTC 133/1987, 64/2001) [FJ 4].</w:t>
      </w:r>
    </w:p>
    <w:p w:rsidR="0025129F" w:rsidRDefault="0025129F" w:rsidP="0025129F">
      <w:pPr>
        <w:pStyle w:val="Extracto"/>
      </w:pPr>
    </w:p>
    <w:p w:rsidR="0025129F" w:rsidRDefault="0025129F" w:rsidP="0025129F">
      <w:pPr>
        <w:pStyle w:val="Extracto"/>
      </w:pPr>
      <w:r>
        <w:t>4.</w:t>
      </w:r>
      <w:r>
        <w:tab/>
        <w:t>El principio de retroactividad de la ley penal más favorable, además de no conceder derecho de carácter constitucional susceptible de amparo (SSTC 8/1981, 15/1981), supone la aplicación íntegra de la ley más beneficiosa (STC 21/1993) [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2956/98, promovido por don Aldo Bordessa, representado por el Procurador de los Tribunales don Francisco Velasco Muñoz-Cuellar y asistido por el Abogado don José Colls Alsius, contra la Sentencia de 14 de abril de 1998 de la Sala de lo Contencioso-Administrativo del Tribunal Superior de Justicia de Madrid que confirma la resolución sancionadora de la Dirección General de Economía Internacional y Transacciones Exteriores del Ministerio de Economía y Hacienda de 2 de noviembre de 1995. Ha sido parte el Abogado del Estado y ha intervenido el Ministerio Fiscal. Ha sido Ponente el Presidente don Manuel Jiménez de Parga y Cabrera,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el 30 de junio de 1998, el Procurador de los Tribunales don Francisco Velasco Muñoz-Cuéllar, en nombre y representación de don Aldo Bordessa, formuló recurso de amparo contra la Sentencia que se ha mencionado arriba.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que fundamentan la demanda de amparo son, en síntesis, los siguientes: </w:t>
      </w:r>
    </w:p>
    <w:p w:rsidR="0025129F" w:rsidRDefault="0025129F" w:rsidP="0025129F">
      <w:pPr>
        <w:pStyle w:val="TextoNormal"/>
      </w:pPr>
      <w:r>
        <w:t xml:space="preserve">a) El día 10 de noviembre de 1992 don Aldo Bordessa fue detenido en la Aduana de la Junquera (Girona) cuando se disponía a abandonar el territorio español con destino inmediato a Francia, llevando oculta en el interior del automóvil que conducía la cantidad total de 49.870.000 pesetas, sin contar para ello con la correspondiente autorización administrativa. </w:t>
      </w:r>
    </w:p>
    <w:p w:rsidR="0025129F" w:rsidRDefault="0025129F" w:rsidP="0025129F">
      <w:pPr>
        <w:pStyle w:val="TextoNormal"/>
      </w:pPr>
      <w:r>
        <w:t xml:space="preserve">b) Se instruyeron diligencias previas en el Juzgado Central de Instrucción núm. 3, por posible delito monetario en grado de frustración, siendo objeto de enjuiciamiento por el Juzgado Central de lo Penal de la Audiencia Nacional. En el juicio oral celebrado el 17 de junio de 1993, el Ministerio Fiscal calificó los hechos como constitutivos de un delito monetario en grado de frustración de los arts. 6.A.1 y 7.1.2 de la Ley 40/1979, de 10 de diciembre, modificada por Ley Orgánica 10/1983, de 16 de agosto, en relación con los artículos 3.2 y 51 del Código Penal, del que estimó penalmente responsable a don Aldo Bordessa, solicitando se le impusieran las penas de seis meses de arresto mayor, con sus accesorias legales, multa en cuantía de 20 millones de pesetas, con arresto sustitutorio en caso de impago, y comiso de la cantidad de dinero aprehendida, así como el abono de las costas procesales. La defensa de don Aldo Bordessa solicitó la libre absolución, invocando la vigencia de la Directiva comunitaria 88/361, de 24 de junio de 1988, en virtud de la cual no se podía exigir autorización administrativa previa para la exportación a un país miembro de la Comunidad Europea de moneda, billetes de banco o cheques al portador. Dicha Directiva debía haber sido incorporada al Derecho español el 1 de enero de 1993. Por ello la conducta del Sr. Bordessa quedaba despenalizada. Ante dicha alegación el Magistrado-Juez Central de lo Penal dictó Auto el 19 de junio de 1993 en el que planteaba, al Tribunal de Justicia de las Comunidades Europeas, cuestión prejudicial interpretativa del Tratado Constitutivo de la CEE y sobre la citada Directiva 88/361. </w:t>
      </w:r>
    </w:p>
    <w:p w:rsidR="0025129F" w:rsidRDefault="0025129F" w:rsidP="0025129F">
      <w:pPr>
        <w:pStyle w:val="TextoNormal"/>
      </w:pPr>
      <w:r>
        <w:t xml:space="preserve">c) El Tribunal de Justicia de las Comunidades Europeas dictó Sentencia el 23 de febrero de 1995 declarando: 1) que una normativa que supedita la exportación de monedas, billetes de banco o cheques al portador a una autorización administrativa o a una declaración previa y que apareja sanciones penales a dicha exigencia no está comprendida en el </w:t>
      </w:r>
      <w:r>
        <w:lastRenderedPageBreak/>
        <w:t xml:space="preserve">ámbito de aplicación de los arts. 30 y 59 del Tratado; 2) que los artículos 1 y 4 de la Directiva 88/361 del Consejo, de 24 de junio de 1988, se oponen a que la exportación de monedas, billetes de banco o cheques al portador se supedite a una autorización previa, pero, por el contrario, no se oponen a que dicha operación se supedite a una declaración previa; y 3) que las disposiciones del art. 1, en relación con el art. 4, de la Directiva 88/361 pueden invocarse ante el órgano jurisdiccional nacional y dar lugar a la inaplicabilidad de las normas nacionales contrarias a dichas disposiciones. </w:t>
      </w:r>
    </w:p>
    <w:p w:rsidR="0025129F" w:rsidRDefault="0025129F" w:rsidP="0025129F">
      <w:pPr>
        <w:pStyle w:val="TextoNormal"/>
      </w:pPr>
      <w:r>
        <w:t xml:space="preserve">d) A la vista de esta resolución del Tribunal de Justicia de las Comunidades Europeas, el Juzgado Central de lo Penal de la Audiencia Nacional dictó Sentencia el 31 de mayo de 1995, absolviendo a don Aldo Bordessa del delito del que había sido acusado y acordando remitir a la Dirección General de Transacciones Exteriores del Ministerio de Economía y Hacienda el dinero intervenido, a fin de que procediera a lo que hubiera lugar. Recibidas por ésta las actuaciones, decidió abrir expediente sancionador contra don Aldo Bordessa por intentar exportar 49.870.000 pesetas sin haberlos declarado con anterioridad. El 2 de noviembre de 1995 se dictó Resolución sancionadora por la que se imponía al ahora recurrente en amparo una multa de 4.900.000 pesetas como autor de una infracción leve, prevista y sancionada en el art. 10.2 y 3 de la Ley 40/1979, de 10 de diciembre, y arts. 4.1 y 10.1 del Real Decreto 1816/1991, de 20 de diciembre. </w:t>
      </w:r>
    </w:p>
    <w:p w:rsidR="0025129F" w:rsidRDefault="0025129F" w:rsidP="0025129F">
      <w:pPr>
        <w:pStyle w:val="TextoNormal"/>
      </w:pPr>
      <w:r>
        <w:t>e) Contra dicha Resolución se interpuso recurso contencioso-administrativo ante el Tribunal Superior de Justicia de Madrid, que el 14 de abril de 1998 dictó Sentencia desestimando el recurso y confirmando la sanción. Esta Sentencia puso fin a la vía judicial ordinaria.</w:t>
      </w:r>
    </w:p>
    <w:p w:rsidR="0025129F" w:rsidRDefault="0025129F" w:rsidP="0025129F">
      <w:pPr>
        <w:pStyle w:val="TextoNormal"/>
      </w:pPr>
    </w:p>
    <w:p w:rsidR="0025129F" w:rsidRDefault="0025129F" w:rsidP="0025129F">
      <w:pPr>
        <w:pStyle w:val="TextoNormal"/>
      </w:pPr>
      <w:r w:rsidRPr="0025129F">
        <w:rPr>
          <w:rStyle w:val="NumeroAFNegritaCaracter"/>
        </w:rPr>
        <w:t>3</w:t>
      </w:r>
      <w:r>
        <w:t>. El recurrente denuncia la vulneración de los principios constitucionales de legalidad y tipicidad reconocidos en el art. 25.1 CE. Alega que ha sido sancionado administrativamente por una omisión (no declarar la exportación de 49.870.000 pesetas) que no estaba tipificada como falta administrativa, sino como delito, en el momento de comisión de los hechos (10 de noviembre de 1992) y por dicha razón fue acusado por el Ministerio Fiscal por un delito monetario en grado de frustración. Al ser absuelto por el Juzgado Central de lo Penal se le pretende sancionar por la omisión de una declaración que ni podía realizar en el momento de comisión de los hechos ni estaba tipificada tal omisión como una falta administrativa. Aduce el Sr. Bordessa que no podía el 10 de noviembre de 1992 exportar 49.870.000 pesetas limitándose a declararlo en la frontera. Sacar de España más de cinco millones de pesetas sin cumplir el requisito, legalmente vigente en aquel momento, de obtener la correspondiente autorización administrativa, no estaba tipificado como falta administrativa sino como delito, por lo que despenalizado el delito no se puede entonces pretender castigar retroactivamente esa conducta como falta administrativa. Nos hallamos por tanto ante una laguna legal que, en este caso, favorece al Sr. Bordessa, que no puede ser castigado ni penal ni administrativamente.</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la Sección Primera de este Tribunal de 14 de septiembre de 1999 se acordó admitir a trámite la demanda de amparo, sin perjuicio de lo que resultase de los antecedentes. Asimismo, a tenor de lo dispuesto en el art. 51 LOTC, se decidió requerir a la Sala de lo Contencioso-Administrativo del Tribunal Superior de Justicia de Madrid para que remitiera testimonio del recurso 3278/95, interesándose al propio tiempo para que se emplazara a quienes fueron parte en el citado procedimiento, con excepción del recurrente en amparo, para que en el plazo de diez días pudieran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Por diligencia de ordenación de la Sala Primera de este Tribunal de 8 de noviembre de 1999 se tuvo por recibido el testimonio de las actuaciones remitido por la Sala de lo Contencioso- Administrativo del Tribunal Superior de Justicia de Madrid y el escrito del Abogado del Estado, a quien se tiene por personado y parte. Asimismo, a tenor de lo dispuesto en el art. 52 LOTC, se acordó dar vista de todas las actuaciones por un plazo común de veinte días al Ministerio Fiscal, al Abogado del Estado y al solicitante del amparo, para que en dicho término presentaran las alegaciones que a su derecho convinieran.</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escrito registrado el 4 de diciembre de 1999 el Procurador don Francisco Velasco Muñoz-Cuellar, en representación del recurrente, se ratificó íntegramente en las alegaciones formuladas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Abogado del Estado, por escrito registrado el 9 de diciembre de 1999, evacuó el trámite de alegaciones. En primer lugar, duda la representación del Estado de que se haya invocado ante la jurisdicción ordinaria en tiempo y forma el derecho aducido en amparo [art. 44.1 c) LOTC] puesto que, en su opinión, no se debe tener por suficientemente cumplido el requisito legal por la mera cita del ordinal del precepto, que era el art. 25 CE, si ésta no ha permitido al órgano judicial tomar postura concreta sobre la razón que luego se hace valer en amparo. Según el Abogado del Estado, en el recurso ante el Tribunal Superior de Justicia, aunque el recurrente citara el art. 25 CE, se discutió si las conductas conocidas eran o habían dejado de ser ilícitas. En la demanda de amparo por el contrario se reconocen su ilicitud y su tipificación, pero se plantea el problema distinto de si los hechos han dejado de ser sancionables por un difícil juego de encuadramientos, basado en la distinción entre infracciones penales y administrativas. </w:t>
      </w:r>
    </w:p>
    <w:p w:rsidR="0025129F" w:rsidRDefault="0025129F" w:rsidP="0025129F">
      <w:pPr>
        <w:pStyle w:val="TextoNormal"/>
      </w:pPr>
      <w:r>
        <w:t xml:space="preserve">En segundo lugar, y entrando ya en las alegaciones de fondo del demandante de amparo, sostiene el Abogado del Estado que es artificioso el intento de diversificar los expedientes o trámites exigidos por el Real Decreto 1816/1991, puesto que de esta norma puede deducirse que el deber del exportador es el de declarar en todo caso, aunque con la carga de obtener autorización sólo si la cantidad exportada es superior a los cinco millones de pesetas. La contraposición propuesta por el recurrente entre no declaración y falta de autorización es absolutamente ficticia, porque el tipo de la segunda no excluye, sino que incorpora y absorbe el elemento contenido en la primera. </w:t>
      </w:r>
    </w:p>
    <w:p w:rsidR="0025129F" w:rsidRDefault="0025129F" w:rsidP="0025129F">
      <w:pPr>
        <w:pStyle w:val="TextoNormal"/>
      </w:pPr>
      <w:r>
        <w:t xml:space="preserve">Recuerda también el Abogado del Estado que el demandante incurrió en un delito, que no fue castigado al aplicarse retroactivamente la legislación posterior más favorable. Dicha aplicación, sin embargo, ha de ser íntegra, en el sentido de que comprende la totalidad de las normas de la ley más favorable (cita aquí la STC 21/1993, de 18 de enero). Nos hallamos ante un caso de sucesión de normas en el que la despenalización de las sanciones por falta de autorización previa no afecta a las consecuencias administrativas de la conducta del demandante de amparo, el cual se propuso llevar a cabo un movimiento de dinero sin cumplimentar requisito alguno, ni siquiera la declaración previa. La innovación introducida en el ordenamiento jurídico no consiste en la supresión de este último deber, que permanece en sus propios términos, sino en su ulterior finalidad. Deja de ser el presupuesto de un preciso acto autorizativo para convertirse en instrumento de control fiscal, financiero, de prevención o persecución de delitos, etc. Pero la reducción o modificación de esa finalidad no significa la eliminación del deber que constituye su propio presupuesto, sino </w:t>
      </w:r>
      <w:r>
        <w:lastRenderedPageBreak/>
        <w:t>al contrario, su plena e indispensable vigencia. Finaliza el Abogado del Estado pidiendo la desestimación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17 de diciembre de 1999 tuvo entrada en el Registro de este Tribunal el escrito de alegaciones del Ministerio Fiscal. En el mismo recuerda que si nos situamos en el momento de producirse la acción u omisión (noviembre de 1992) la conducta que realizó el demandante de amparo estaba tipificada como delito, pero si lo hacemos en 1995 (fecha de la Sentencia penal), los hechos no eran constitutivos de infracción de este tipo. Lo que no resulta jurídicamente legítimo, para el Ministerio Fiscal, es posicionarse en 1992 para lo que interesa (no cabía mera declaración para una cantidad superior a cinco millones de pesetas), y afirmar a la vez que nos encontramos en 1995 para obtener así alguna ventaja: no era exigible autorización para sacar dinero de España en la cantidad citada. </w:t>
      </w:r>
    </w:p>
    <w:p w:rsidR="0025129F" w:rsidRDefault="0025129F" w:rsidP="0025129F">
      <w:pPr>
        <w:pStyle w:val="TextoNormal"/>
      </w:pPr>
      <w:r>
        <w:t>El Fiscal sostiene que la fecha a la que hay que atenerse en la aplicación temporal de las normas concurrentes en este caso es 1995, fecha en la que los hechos no son constitutivos de delito, pero sí de infracción administrativa, al incumplir el demandante de amparo las normas de control de cambios e intentar sacar de España una cantidad superior a un millón de pesetas sin declaración ni autorización. Dicha conducta encaja para el Ministerio Fiscal en el tenor literal del art. 10.2 de la Ley 40/1979, de modo que no existe quiebra alguna del principio de legalidad sancionadora ni del art. 25.1 CE. Finaliza el Fiscal interesando que se dicte Sentencia denegando el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4 de abril de 2002 se señaló para deliberación y votación de la presente Sentencia el siguiente día 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la impugnación de la sanción impuesta por la Dirección General de Economía Internacional y Transacciones Exteriores del Ministerio de Economía y Hacienda al intentar el ahora demandante exportar más de un millón de pesetas sin haberlo declarado con anterioridad, sanción confirmada por la Sentencia de 14 de abril de 1998 de la Sala de lo Contencioso-Administrativo del Tribunal Superior de Justicia de Madrid.</w:t>
      </w:r>
    </w:p>
    <w:p w:rsidR="0025129F" w:rsidRDefault="0025129F" w:rsidP="0025129F">
      <w:pPr>
        <w:pStyle w:val="TextoNormal"/>
      </w:pPr>
      <w:r>
        <w:t>El recurrente denuncia la vulneración de los principios constitucionales de legalidad y tipicidad reconocidos en el art. 25.1 CE, al ser sancionado por una omisión que no estaba tipificada como falta administrativa en el momento de comisión de los hechos.</w:t>
      </w:r>
    </w:p>
    <w:p w:rsidR="0025129F" w:rsidRDefault="0025129F" w:rsidP="0025129F">
      <w:pPr>
        <w:pStyle w:val="TextoNormal"/>
      </w:pPr>
      <w:r>
        <w:t>Para el Abogado del Estado es posible, en primer lugar, albergar dudas de que la violación del derecho haya sido invocada ante la jurisdicción ordinaria y, en segundo lugar, existía en todo caso la obligación de declarar la exportación de moneda. El que la conducta del demandante, que incurrió en un delito, no fuera castigada al aplicarse retroactivamente la legislación penal más favorable, no significa que quede fuera de todo reproche posible su acto de intentar realizar un movimiento de dinero sin cumplimentar requisito alguno, ni siquiera la declaración previa. Interesa, por tanto, la desestimación del recurso de amparo.</w:t>
      </w:r>
    </w:p>
    <w:p w:rsidR="0025129F" w:rsidRDefault="0025129F" w:rsidP="0025129F">
      <w:pPr>
        <w:pStyle w:val="TextoNormal"/>
      </w:pPr>
      <w:r>
        <w:t xml:space="preserve">El Ministerio Fiscal sostiene también que debe desestimarse el amparo porque en 1995, fecha de la imposición de la sanción, los hechos no eran constitutivos de delito, pero sí de infracción administrativa, al incumplirse por el demandante de amparo las normas de control de cambios e intentar sacar de España una cantidad superior a un millón de pesetas sin </w:t>
      </w:r>
      <w:r>
        <w:lastRenderedPageBreak/>
        <w:t>declaración ni autorización. Se trata de una conducta que encaja en el tenor del art. 10.2 de la Ley 40/1979, sin que exista quiebra alguna del principio de legalidad sancionadora (art. 25.1 CE).</w:t>
      </w:r>
    </w:p>
    <w:p w:rsidR="0025129F" w:rsidRDefault="0025129F" w:rsidP="0025129F">
      <w:pPr>
        <w:pStyle w:val="TextoNormal"/>
      </w:pPr>
    </w:p>
    <w:p w:rsidR="0025129F" w:rsidRDefault="0025129F" w:rsidP="0025129F">
      <w:pPr>
        <w:pStyle w:val="TextoNormal"/>
      </w:pPr>
      <w:r w:rsidRPr="0025129F">
        <w:rPr>
          <w:rStyle w:val="NumeroAFNegritaCaracter"/>
        </w:rPr>
        <w:t>2</w:t>
      </w:r>
      <w:r>
        <w:t>. Hemos de dilucidar, en primer término, si concurre en este caso, como pretende el Abogado del Estado, la causa de inadmisión, prevista en el art. 44.1 c) en conexión con el art.  50.1 a), ambos de la LOTC, y consistente en que no se haya invocado formalmente en el proceso judicial previo el derecho constitucional vulnerado, tan pronto, una vez conocida la violación, hubiere lugar para ello. Para la representación del Estado debe entenderse que la mera cita numérica no ampara ni cubre de modo suficiente la exigencia procesal de la invocación previa, cuando la lesión denunciada en amparo tenga por objeto una manifestación o proyección del derecho distinta a la que fue alegada en la demanda y considerada congruentemente en la Sentencia del proceso precedente. En el supuesto que nos ocupa el fundamento de la lesión del principio de tipicidad en la demanda de amparo sería por completo diferente al sentido de la violación denunciada en la vía contenciosa.</w:t>
      </w:r>
    </w:p>
    <w:p w:rsidR="0025129F" w:rsidRDefault="0025129F" w:rsidP="0025129F">
      <w:pPr>
        <w:pStyle w:val="TextoNormal"/>
      </w:pPr>
      <w:r>
        <w:t>Dicha alegación no puede ser acogida. Solo un entendimiento rígido y formalista del requisito previsto en el art. 44.1 c) LOTC podría llevarnos a aceptarla. Es conocida la doctrina del Tribunal Constitucional en el sentido de que este requisito procesal tiene una doble función, anverso y reverso de un mismo concepto, que no es sino el de la naturaleza subsidiaria del amparo y por ello la conveniencia de que el juzgador, en su ámbito propio, pueda remediar por sí mismo la violación del derecho o libertad fundamental, a cuyo efecto ha de brindársele la oportunidad de tal subsanación (por todas STC 185/1992, de 16 de noviembre, FJ 1). De acuerdo con esta interpretación, y más allá de la letra de esta regla preventiva, debemos ahora resolver si ante el Tribunal Superior de Justicia de Madrid se alegó en tiempo y forma la falta de tipicidad de la sanción administrativa impuesta, con la consiguiente violación del art. 25.1 CE. El examen de las alegaciones hechas en la demanda formulada el 3 de septiembre de 1996 y en el escrito de conclusiones de 31 de octubre del mismo año, todos ellos en el marco del recurso contencioso-administrativo que dio lugar a la Sentencia de 14 de abril de 1998 del Tribunal Superior de Justicia de Madrid, lleva a concluir que en todo momento se puso de manifiesto la falta de tipificación de los hechos como infracción administrativa y la imposibilidad de sancionar por la omisión de una declaración no prevista en la fecha de comisión de los hechos, que son las principales alegaciones del recurrente en su demanda de amparo. La jurisdicción ordinaria pudo, pues, pronunciarse sobre la violación del derecho que se pretende reparar en el recurso de amparo y lo hizo, como consta en la Sentencia, rechazando las pretensiones del recurrente.</w:t>
      </w:r>
    </w:p>
    <w:p w:rsidR="0025129F" w:rsidRDefault="0025129F" w:rsidP="0025129F">
      <w:pPr>
        <w:pStyle w:val="TextoNormal"/>
      </w:pPr>
    </w:p>
    <w:p w:rsidR="0025129F" w:rsidRDefault="0025129F" w:rsidP="0025129F">
      <w:pPr>
        <w:pStyle w:val="TextoNormal"/>
      </w:pPr>
      <w:r w:rsidRPr="0025129F">
        <w:rPr>
          <w:rStyle w:val="NumeroAFNegritaCaracter"/>
        </w:rPr>
        <w:t>3</w:t>
      </w:r>
      <w:r>
        <w:t>. Entrando ya en las alegaciones de fondo, debemos centrar el debate en si el hoy demandante de amparo incurrió efectivamente en una infracción administrativa, y al imponerle una sanción, confirmada por la Sentencia que aquí se recurre, se han infringido los principios de legalidad y tipicidad reconocidos en el art. 25.1 CE.</w:t>
      </w:r>
    </w:p>
    <w:p w:rsidR="0025129F" w:rsidRDefault="0025129F" w:rsidP="0025129F">
      <w:pPr>
        <w:pStyle w:val="TextoNormal"/>
      </w:pPr>
      <w:r>
        <w:t xml:space="preserve">Para el quejoso se pretende sancionarle por la omisión de una declaración que ni podía realizar en el momento de comisión de los hechos ni estaba tipificada como falta administrativa, sino como delito. Para la Abogacía del Estado el deber del exportador es el de declarar, en todo caso, y la innovación introducida en el Ordenamiento jurídico por la despenalización de ciertas conductas relacionadas con la exportación de moneda, no suprime el deber sino que cambia su finalidad. El Ministerio Fiscal, por su parte, argumenta que en la fecha de la Sentencia penal (1995) los hechos son constitutivos de infracción administrativa, encajando la conducta del ahora recurrente en el tenor literal del art. 10.2 de la Ley </w:t>
      </w:r>
      <w:r>
        <w:lastRenderedPageBreak/>
        <w:t>40/1979, de modo que no existe quiebra alguna del principio de legalidad sancionadora (art. 25.1 CE).</w:t>
      </w:r>
    </w:p>
    <w:p w:rsidR="0025129F" w:rsidRDefault="0025129F" w:rsidP="0025129F">
      <w:pPr>
        <w:pStyle w:val="TextoNormal"/>
      </w:pPr>
    </w:p>
    <w:p w:rsidR="0025129F" w:rsidRDefault="0025129F" w:rsidP="0025129F">
      <w:pPr>
        <w:pStyle w:val="TextoNormal"/>
      </w:pPr>
      <w:r w:rsidRPr="0025129F">
        <w:rPr>
          <w:rStyle w:val="NumeroAFNegritaCaracter"/>
        </w:rPr>
        <w:t>4</w:t>
      </w:r>
      <w:r>
        <w:t>. Conviene llegados a este punto recordar nuestra consolidada doctrina sobre los principios de legalidad y tipicidad en materia sancionatoria. Ya en la STC 133/1987, de 21 de julio, FJ 4, tuvimos ocasión de decir que el principio de legalidad en el ámbito del derecho sancionador estatal implica, por lo menos, estas tres exigencias: la existencia de una ley (lex scripta); que la ley sea anterior al hecho sancionado (lex previa); y que la ley describa un supuesto de hecho estrictamente determinado (lex certa), lo que significa un rechazo de la analogía como fuente creadora de delitos y penas, e impide, como límite a la actividad judicial, que el juez se convierta en legislador (en sentido análogo pueden citarse las SSTC 3/1988, de 21 de enero, 111/1993, de 25 de marzo, 372/1993, de 13 de diciembre, FJ 5, y 64/2001, de 17 de marzo, FJ 4).</w:t>
      </w:r>
    </w:p>
    <w:p w:rsidR="0025129F" w:rsidRDefault="0025129F" w:rsidP="0025129F">
      <w:pPr>
        <w:pStyle w:val="TextoNormal"/>
      </w:pPr>
      <w:r>
        <w:t>En el ámbito administrativo hemos afirmado con reiteración lo que puede condensarse en la fórmula de que el art. 25.1 CE , extensible al ordenamiento administrativo sancionador, incorpora una doble garantía: la primera, de orden material y de alcance absoluto,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reguladoras de estas sanciones, que aunque no excluye la cooperación entre Ley y Reglamento en este ámbito, impone inexcusablemente que exista una necesaria cobertura de la potestad sancionadora de la Administración en una norma legal habida cuenta del carácter excepcional que los poderes sancionatorios en manos de la Administración presentan (SSTC 77/1983, de 3 de octubre, 42/1987, de 7 de abril, 305/1993, de 25 de octubre, 306/1994, de 14 de noviembre, y 117/1995, de 17 de julio).</w:t>
      </w:r>
    </w:p>
    <w:p w:rsidR="0025129F" w:rsidRDefault="0025129F" w:rsidP="0025129F">
      <w:pPr>
        <w:pStyle w:val="TextoNormal"/>
      </w:pPr>
      <w:r>
        <w:t>Tampoco está de más que, en el contexto de este caso concreto, hagamos referencia a nuestras afirmaciones sobre los mecanismos de sucesión de normas en el tiempo y, más concretamente, a la retroactividad de la ley penal más favorable. Ya en la STC 131/1986, de 29 de octubre, FJ 2, tuvimos ocasión de decir que el principio de retroactividad de la ley penal más favorable, además de no conceder derecho de carácter constitucional susceptible de amparo (SSTC 8/1981, de 30 de marzo, y 15/1981, de 7 de mayo), supone la aplicación íntegra de la ley más beneficiosa, incluidas aquellas de sus normas parciales que puedan resultar perjudiciales en relación con la ley anterior, que se desplaza en virtud de dicho principio, siempre que el resultado final, como es obvio, suponga beneficio para el reo, ya que en otro caso la ley nueva carecería de esa condición de más beneficiosa que justifica su aplicación retroactiva, doctrina que había sido apuntada en el ATC 471/1984, de 24 de julio, y que ha resultado confirmada, más recientemente, en la STC 21/1993, de 18 de enero, FJ 5.</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Del examen de los antecedentes puede concluirse que el hoy demandante de amparo fue sancionado con total respeto de los principios reconocidos constitucionalmente, sin que puedan ponerse reparos a la actuación de las autoridades administrativas.  Ello se deduce, entre otros datos, de la simple lectura del art. 4.1 del Real Decreto 1816/1991, de 20 de diciembre, vigente en el momento en el que sucedieron los hechos. Dicho artículo dispone que "la exportación de moneda metálica, billetes de banco y cheques bancarios al portador, estén cifrados en pesetas o en moneda extranjera, así como de oro amonedado o en barras, estará sujeta a previa declaración cuando su importe sea superior a 1.000.000 de </w:t>
      </w:r>
      <w:r>
        <w:lastRenderedPageBreak/>
        <w:t>pesetas por persona y viaje, y a previa autorización administrativa cuando su importe sea superior a 5.000.000 de pesetas por persona y viaje". El uso de la conjunción copulativa "y" significa que siempre que se superara el millón de pesetas había que declarar y que sólo cuando la cantidad fuera superior a cinco millones era preciso, además, solicitar la autorización administrativa. De modo que, suprimida esta última por las exigencias de vigencia del Derecho comunitario que la excluía, permanece sin embargo la primera, que nunca ha desaparecido y que, por cierto, se mantiene en nuestra actual legislación sobre transacciones exteriores. Puede verse que, tras los cambios experimentados en la misma en virtud del Real Decreto 1638/1996, de 5 de julio, que modifica el Real Decreto 1816/1991, de 20 de diciembre, ya citado, se continúa exigiendo la declaración previa para salidas de moneda, billetes y cheques superiores a un millón de pesetas (nueva redacción del art. 4 hecha por el art. 1 del nuevo Real Decreto).</w:t>
      </w:r>
    </w:p>
    <w:p w:rsidR="0025129F" w:rsidRDefault="0025129F" w:rsidP="0025129F">
      <w:pPr>
        <w:pStyle w:val="TextoNormal"/>
      </w:pPr>
    </w:p>
    <w:p w:rsidR="0025129F" w:rsidRDefault="0025129F" w:rsidP="0025129F">
      <w:pPr>
        <w:pStyle w:val="TextoNormal"/>
      </w:pPr>
      <w:r w:rsidRPr="0025129F">
        <w:rPr>
          <w:rStyle w:val="NumeroAFNegritaCaracter"/>
        </w:rPr>
        <w:t>6</w:t>
      </w:r>
      <w:r>
        <w:t>. Parece claro que, del examen de la normativa entonces y ahora vigente, puede deducirse que todo aquel que exporte dinero de España debe cumplimentar dicha declaración previa, independientemente de que, tras la transposición de la normativa comunitaria, ya no haga falta el permiso de las autoridades españolas para enviar dinero al exterior, aunque la cantidad sea superior a los cinco millones de pesetas. Lo que no es admisible es pensar que, suprimida la autorización para grandes cantidades de dinero, en el caso de éstas tampoco es preciso hacer la declaración. Dicho razonamiento nos conduciría al absurdo de que la exportación de cantidades inferiores a cinco millones de pesetas estaría gravada con la exigencia de la declaración y la de las superiores sería, por el contrario, totalmente libre, siendo así que el lógico objetivo de toda esta normativa es el de mantener una mínima vigilancia sobre las transacciones exteriores, mínima vigilancia que sirve a unos objetivos lógicos en un Estado social y democrático de Derecho y que no tiene por qué ser incompatible con las exigencias comunitarias de liberalización de la circulación de capitales.</w:t>
      </w:r>
    </w:p>
    <w:p w:rsidR="0025129F" w:rsidRDefault="0025129F" w:rsidP="0025129F">
      <w:pPr>
        <w:pStyle w:val="TextoNormal"/>
      </w:pPr>
      <w:r>
        <w:t>La sanción impuesta lo fue respetando el principio de legalidad (sanción tipificada según el art. 10.2 de la Ley 40/1979 y el art. 4.1 del Real Decreto 1816/1991). Aunque el recurrente incurrió en delito, no ha sido condenado por el mismo en virtud de la aplicación de la legislación penal más favorable. Pero la desaparición de su responsabilidad penal no implica la de la administrativa, que en todo caso permanece: el hoy demandante en amparo debió hacer la declaración exigida por la normativa de transacciones exteriores.</w:t>
      </w:r>
    </w:p>
    <w:p w:rsidR="0025129F" w:rsidRDefault="0025129F" w:rsidP="0025129F">
      <w:pPr>
        <w:pStyle w:val="TextoNormal"/>
      </w:pPr>
      <w:r>
        <w:t>Si la consecuencia indudable de la transposición de la Directiva comunitaria 88/361 fue la de que variaran las sanciones en materia de control de cambios, suprimiéndose la autorización requerida anteriormente para exportar moneda, no tuvo aquélla, sin embargo, el efecto de acabar con la exigencia de la declaración, que, según la Sentencia de 23 de febrero de 1995 del Tribunal de Justicia de las Comunidades Europeas, es perfectamente compatible con la normativa comunitaria. De este modo la ley más favorable a la que pretendió acogerse el quejoso en amparo, y que de hecho le fue aplicada, incluye la exigencia de declaración. El incumplimiento fue correctamente sancionado. Procede, en suma, desestimar la pretensión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presente recurso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79" w:name="SENTENCIA_2002_76"/>
      <w:r>
        <w:lastRenderedPageBreak/>
        <w:t>SENTENCIA 76/2002, de 8 de abril de 2002</w:t>
      </w:r>
    </w:p>
    <w:bookmarkEnd w:id="79"/>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ECLI:ES:TC:2002:76</w:t>
      </w:r>
    </w:p>
    <w:p w:rsidR="0025129F" w:rsidRDefault="0025129F" w:rsidP="0025129F">
      <w:pPr>
        <w:pStyle w:val="SntesisDescriptiva"/>
      </w:pPr>
    </w:p>
    <w:p w:rsidR="0025129F" w:rsidRDefault="0025129F" w:rsidP="0025129F">
      <w:pPr>
        <w:pStyle w:val="SntesisDescriptiva"/>
      </w:pPr>
      <w:r>
        <w:t>Recurso de amparo 3830/1998. Promovido por don Francisco Javier Saiz Díaz frente a la Sentencia de la Audiencia Provincial de Almería que, en grado de apelación, le condenó por una falta de injurias leves por un artículo publicado en el diario “La Crónica”.</w:t>
      </w:r>
    </w:p>
    <w:p w:rsidR="0025129F" w:rsidRDefault="0025129F" w:rsidP="0025129F">
      <w:pPr>
        <w:pStyle w:val="SntesisDescriptiva"/>
      </w:pPr>
    </w:p>
    <w:p w:rsidR="0025129F" w:rsidRDefault="0025129F" w:rsidP="0025129F">
      <w:pPr>
        <w:pStyle w:val="SntesisAnaltica"/>
      </w:pPr>
      <w:r>
        <w:t>Vulneración del derecho a la libre información: noticia sobre un crimen, que menciona verazmente las sospechas de los familiares de la víctima, y cuyo error sobre los antecedentes penales del interesado fue rectificado.</w:t>
      </w:r>
    </w:p>
    <w:p w:rsidR="0025129F" w:rsidRDefault="0025129F" w:rsidP="0025129F">
      <w:pPr>
        <w:pStyle w:val="SntesisAnaltica"/>
      </w:pPr>
    </w:p>
    <w:p w:rsidR="0025129F" w:rsidRDefault="0025129F" w:rsidP="0025129F">
      <w:pPr>
        <w:pStyle w:val="Extracto"/>
      </w:pPr>
      <w:r>
        <w:t>1.</w:t>
      </w:r>
      <w:r>
        <w:tab/>
        <w:t>El centro de la noticia lo constituye un hecho cierto de indudable relevancia pública (un homicidio) [FJ 4].</w:t>
      </w:r>
    </w:p>
    <w:p w:rsidR="0025129F" w:rsidRDefault="0025129F" w:rsidP="0025129F">
      <w:pPr>
        <w:pStyle w:val="Extracto"/>
      </w:pPr>
    </w:p>
    <w:p w:rsidR="0025129F" w:rsidRDefault="0025129F" w:rsidP="0025129F">
      <w:pPr>
        <w:pStyle w:val="Extracto"/>
      </w:pPr>
      <w:r>
        <w:t>2.</w:t>
      </w:r>
      <w:r>
        <w:tab/>
        <w:t>Las sospechas de los familiares del fallecido se sitúan en un segundo plano, como parte de la noticia principal, guardando el medio distancia respecto a ellas [FJ 4].</w:t>
      </w:r>
    </w:p>
    <w:p w:rsidR="0025129F" w:rsidRDefault="0025129F" w:rsidP="0025129F">
      <w:pPr>
        <w:pStyle w:val="Extracto"/>
      </w:pPr>
    </w:p>
    <w:p w:rsidR="0025129F" w:rsidRDefault="0025129F" w:rsidP="0025129F">
      <w:pPr>
        <w:pStyle w:val="Extracto"/>
      </w:pPr>
      <w:r>
        <w:t>3.</w:t>
      </w:r>
      <w:r>
        <w:tab/>
        <w:t>La prontitud en la rectificación del dato publicado por error prueba la diligencia en la búsqueda de la verdad de la información [FJ 4].</w:t>
      </w:r>
    </w:p>
    <w:p w:rsidR="0025129F" w:rsidRDefault="0025129F" w:rsidP="0025129F">
      <w:pPr>
        <w:pStyle w:val="Extracto"/>
      </w:pPr>
    </w:p>
    <w:p w:rsidR="0025129F" w:rsidRDefault="0025129F" w:rsidP="0025129F">
      <w:pPr>
        <w:pStyle w:val="Extracto"/>
      </w:pPr>
      <w:r>
        <w:t>4.</w:t>
      </w:r>
      <w:r>
        <w:tab/>
        <w:t>Doctrina sobre el derecho a la libre información (SSTC 104/1986, 11/2000) [ FFJJ 2 y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3830/98, promovido por don Francisco Javier Saiz Díaz, representado por la Procuradora de los Tribunales doña María Rodríguez Puyol y asistido por la Abogada doña Esther Navarrete Morales, contra la Sentencia de la Audiencia Provincial de Almería de 30 de julio de 1998 (dictada en el rollo de apelación penal núm. 5097/98), por la que se estimó parcialmente el recurso de apelación contra la dictada con núm. 600/97 por el Juzgado núm. 2 de la misma ciudad, el 21 de noviembre de 1997, en </w:t>
      </w:r>
      <w:r>
        <w:lastRenderedPageBreak/>
        <w:t>procedimiento abreviado núm. 11/95, seguido por injurias, y se condenó al recurrente como autor de una falta de injurias leves, por la presunta vulneración de sus derechos a comunicar y recibir libremente información veraz por cualquier medio de difusión [art. 20.1 d) CE] y a obtener la tutela judicial efectiva de los jueces y tribunales en el ejercicio de sus derechos e intereses legítimos sin indefensión (art. 24.1 CE). Ha intervenido el Ministerio Fiscal.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19 de agosto de 1998 don Francisco Javier Saiz Díaz, representado por la Procuradora de los Tribunales doña María Rodríguez Puyol y asistido por la Abogada doña Esther Navarrete Morales, formalizó demanda de amparo contra la Sentencia de la Audiencia Provincial de Almería de la que se ha hecho mérito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el presente recurso de amparo son, en síntesis, los siguientes: </w:t>
      </w:r>
    </w:p>
    <w:p w:rsidR="0025129F" w:rsidRDefault="0025129F" w:rsidP="0025129F">
      <w:pPr>
        <w:pStyle w:val="TextoNormal"/>
      </w:pPr>
      <w:r>
        <w:t xml:space="preserve">a) El recurrente, periodista de profesión y dedicado a la información de sucesos, publicó en el diario "La Crónica" de Almería el día 31 de agosto de 1991, aunque sin firmarla, una noticia que llevaba por título en caracteres grandes "El cadáver de la Mojonera tenía un fuerte golpe en la cabeza", acompañada del antetítulo, en caracteres más reducidos, de "La familia sospecha del hermano de otro pistolero de D'Amico". En esta noticia se informaba de la muerte de una persona llamada José Miguel Daza Heredia, cuyo cuerpo sin vida había sido encontrado tres días antes. Entre otros extremos, se decía lo siguiente: </w:t>
      </w:r>
    </w:p>
    <w:p w:rsidR="0025129F" w:rsidRDefault="0025129F" w:rsidP="0025129F">
      <w:pPr>
        <w:pStyle w:val="TextoNormal"/>
      </w:pPr>
      <w:r>
        <w:t xml:space="preserve">"El joven José Miguel Daza Heredia, alias 'El gitano', encontrado muerto al pasado miércoles en la Mojonera, fue torturado y asesinado, según informaron a LA CRONICA fuentes familiares. </w:t>
      </w:r>
    </w:p>
    <w:p w:rsidR="0025129F" w:rsidRDefault="0025129F" w:rsidP="0025129F">
      <w:pPr>
        <w:pStyle w:val="TextoNormal"/>
      </w:pPr>
      <w:r>
        <w:t xml:space="preserve">Su cuerpo presentaba un fuerte golpe en el cráneo, que le causó fractura del mismo. </w:t>
      </w:r>
    </w:p>
    <w:p w:rsidR="0025129F" w:rsidRDefault="0025129F" w:rsidP="0025129F">
      <w:pPr>
        <w:pStyle w:val="TextoNormal"/>
      </w:pPr>
      <w:r>
        <w:t xml:space="preserve">Para la familia no hubo un solo asesino sino varios y 'quienes lo hayan hecho no es la primera vez que asesinan'. Afirman, también, que la intención de los asesinos era evitar que el cuerpo fuese reconocido por los familiares porque 'en doce o trece días no se pone un cadáver tan malamente. Ni tenía dedos, ni espalda, ni ojos, ni nariz, sólo tiene dientes'. </w:t>
      </w:r>
    </w:p>
    <w:p w:rsidR="0025129F" w:rsidRDefault="0025129F" w:rsidP="0025129F">
      <w:pPr>
        <w:pStyle w:val="TextoNormal"/>
      </w:pPr>
      <w:r>
        <w:t xml:space="preserve">El fallecido, del que la familia no sabe a qué se dedicaba en la actualidad, llevaba varios días sin ser visto en casa, 'salía y lo mismo venía la semana que viene que venía mañana, y al faltar tantos días lo estuvieron buscando (la madre) en ciudades, hospitales, comisarías..., y al ver su madre en el periódico la aparición de un cadáver, fue y lo reconoció'. El cuerpo estaba tan descompuesto que la señora le identificó, en un principio, por un zapato. </w:t>
      </w:r>
    </w:p>
    <w:p w:rsidR="0025129F" w:rsidRDefault="0025129F" w:rsidP="0025129F">
      <w:pPr>
        <w:pStyle w:val="TextoNormal"/>
      </w:pPr>
      <w:r>
        <w:t xml:space="preserve">Sospechoso </w:t>
      </w:r>
    </w:p>
    <w:p w:rsidR="0025129F" w:rsidRDefault="0025129F" w:rsidP="0025129F">
      <w:pPr>
        <w:pStyle w:val="TextoNormal"/>
      </w:pPr>
      <w:r>
        <w:t xml:space="preserve">La última vez que se le vio con vida se encontraba en compañía de un hombre llamado Agustín Rodríguez Herrada, carnicero y ganadero de Roquetas de Mar que cuenta con antecedentes penales. 'Gente de dinero', manifestaron las mencionadas fuentes, quienes no quisieron hacer más declaraciones al respecto. </w:t>
      </w:r>
    </w:p>
    <w:p w:rsidR="0025129F" w:rsidRDefault="0025129F" w:rsidP="0025129F">
      <w:pPr>
        <w:pStyle w:val="TextoNormal"/>
      </w:pPr>
      <w:r>
        <w:t xml:space="preserve">Este hombre es hermano de Juan Rodríguez Herrada, alias 'El Ropero', otro conocido pistolero del mafioso italiano Giuseppe D'Amico, que fue arrestado en la misma operación en la que se detuvo al empresario italiano. Cuando fue capturado, 'El Ropero' iba armado </w:t>
      </w:r>
      <w:r>
        <w:lastRenderedPageBreak/>
        <w:t xml:space="preserve">con un revólver del calibre 38 especial, con cuatro cartuchos en el cargador. La familia afirma que José Miguel Daza, de 24 años, casado y con una hija de dos años y medio, 'se juntaba con gente de mando, gente que tiene dinero. Con miguillas no se juntaba'. </w:t>
      </w:r>
    </w:p>
    <w:p w:rsidR="0025129F" w:rsidRDefault="0025129F" w:rsidP="0025129F">
      <w:pPr>
        <w:pStyle w:val="TextoNormal"/>
      </w:pPr>
      <w:r>
        <w:t xml:space="preserve">En cuanto a las investigaciones que se están llevando a cabo para la resolución del caso, no se muestran muy esperanzados con los resultados que vayan a obtenerse: 'ponen ajuste de cuentas y ya está. Uno menos', declaran. </w:t>
      </w:r>
    </w:p>
    <w:p w:rsidR="0025129F" w:rsidRDefault="0025129F" w:rsidP="0025129F">
      <w:pPr>
        <w:pStyle w:val="TextoNormal"/>
      </w:pPr>
      <w:r>
        <w:t xml:space="preserve">El cuerpo del fallecido, acompañado por tres miembros de la familia, fue trasladado sobre las 15.30 horas de ayer al cementerio de Almería para su inhumación. </w:t>
      </w:r>
    </w:p>
    <w:p w:rsidR="0025129F" w:rsidRDefault="0025129F" w:rsidP="0025129F">
      <w:pPr>
        <w:pStyle w:val="TextoNormal"/>
      </w:pPr>
      <w:r>
        <w:t xml:space="preserve">... </w:t>
      </w:r>
    </w:p>
    <w:p w:rsidR="0025129F" w:rsidRDefault="0025129F" w:rsidP="0025129F">
      <w:pPr>
        <w:pStyle w:val="TextoNormal"/>
      </w:pPr>
      <w:r>
        <w:t xml:space="preserve">En un principio se pensó que el joven podría llevar más de cuatro meses muerto, sin embargo la madre del fallecido indicó que le había visto con vida hace unos quince días por lo que se pensó que el cuerpo fue manipulado para evitar su identificación, algo que la familia ratifica con rotundidad." </w:t>
      </w:r>
    </w:p>
    <w:p w:rsidR="0025129F" w:rsidRDefault="0025129F" w:rsidP="0025129F">
      <w:pPr>
        <w:pStyle w:val="TextoNormal"/>
      </w:pPr>
      <w:r>
        <w:t xml:space="preserve">b) En el número del mismo diario "La Crónica" aparecido al día siguiente, 1 de septiembre de 1991, se incluía, dentro de una noticia con distinto contenido, la siguiente rectificación: </w:t>
      </w:r>
    </w:p>
    <w:p w:rsidR="0025129F" w:rsidRDefault="0025129F" w:rsidP="0025129F">
      <w:pPr>
        <w:pStyle w:val="TextoNormal"/>
      </w:pPr>
      <w:r>
        <w:t xml:space="preserve">"En el número de ayer se informó que Agustín Rodríguez Herrada, hermano del pistolero de D'Amico Juan Rodríguez Herrada, alias 'El Ropero', tiene antecedentes penales, algo que desmintió el propio afectado. </w:t>
      </w:r>
    </w:p>
    <w:p w:rsidR="0025129F" w:rsidRDefault="0025129F" w:rsidP="0025129F">
      <w:pPr>
        <w:pStyle w:val="TextoNormal"/>
      </w:pPr>
      <w:r>
        <w:t xml:space="preserve">Sin embargo, sí es la persona a la que aludían fuentes de la familia del fallecido José Miguel Daza Heredia, de 24 años, cuyo cuerpo, en avanzado estado de descomposición, fue descubierto en un cortijo abandonado, situado en el paraje conocido como 'Llano de la Cuadra', en la finca 'Primores', en la Mojonera". </w:t>
      </w:r>
    </w:p>
    <w:p w:rsidR="0025129F" w:rsidRDefault="0025129F" w:rsidP="0025129F">
      <w:pPr>
        <w:pStyle w:val="TextoNormal"/>
      </w:pPr>
      <w:r>
        <w:t xml:space="preserve">c) El 27 de febrero de 1992 don Agustín Rodríguez Herrada se querelló por estos hechos contra el director del diario almeriense "La Crónica del Sur" y contra cualquier otra persona que, a consecuencia de las averiguaciones, pudiera resultar responsable de los hechos. La Sentencia del correspondiente proceso abreviado, de 21 de noviembre de 1997, declaró hechos probados los siguientes: </w:t>
      </w:r>
    </w:p>
    <w:p w:rsidR="0025129F" w:rsidRDefault="0025129F" w:rsidP="0025129F">
      <w:pPr>
        <w:pStyle w:val="TextoNormal"/>
      </w:pPr>
      <w:r>
        <w:t xml:space="preserve">"El encausado don Francisco Javier Saiz Díaz, es mayor de edad, carece de antecedentes penales y era redactor de sucesos, al menos en la fecha a la que se aludirá, del diario 'La Crónica del Sur'", editado por Edicrónica, S.A. </w:t>
      </w:r>
    </w:p>
    <w:p w:rsidR="0025129F" w:rsidRDefault="0025129F" w:rsidP="0025129F">
      <w:pPr>
        <w:pStyle w:val="TextoNormal"/>
      </w:pPr>
      <w:r>
        <w:t xml:space="preserve">El referido, escribió y publicó en el citado periódico el día 31 de agosto de 1991, en su página 5, un artículo titulado 'El cadáver de la Mojonera tenía un fuerte golpe en la cabeza'. En una de sus columnas, encabezada con el título de 'sospechoso', mencionaba que la última vez que se le vio con vida se encontraba en compañía de un hombre llamado Agustín Rodríguez Herrada, carnicero y ganadero de Roquetas de Mar, al que erróneamente se le atribuían antecedentes penales. </w:t>
      </w:r>
    </w:p>
    <w:p w:rsidR="0025129F" w:rsidRDefault="0025129F" w:rsidP="0025129F">
      <w:pPr>
        <w:pStyle w:val="TextoNormal"/>
      </w:pPr>
      <w:r>
        <w:t xml:space="preserve">Dicho artículo se refería a la muerte violenta de don José Miguel Daza Heredia, del que se decía que era componente de la banda del empresario italiano Giuseppe D'Amico y con numerosos antecedentes penales, banda a la que se dice pertenecía un hermano del Sr. Rodríguez Herrada, de nombre Juan y apodado 'El Ropero'. </w:t>
      </w:r>
    </w:p>
    <w:p w:rsidR="0025129F" w:rsidRDefault="0025129F" w:rsidP="0025129F">
      <w:pPr>
        <w:pStyle w:val="TextoNormal"/>
      </w:pPr>
      <w:r>
        <w:t xml:space="preserve">Al día siguiente de la publicación de dicha información el propio periódico rectificó la noticia en el sentido de que don Agustín Rodríguez Herrada no tenía antecedentes penales". </w:t>
      </w:r>
    </w:p>
    <w:p w:rsidR="0025129F" w:rsidRDefault="0025129F" w:rsidP="0025129F">
      <w:pPr>
        <w:pStyle w:val="TextoNormal"/>
      </w:pPr>
      <w:r>
        <w:t>Por lo demás la Sentencia de instancia, tras efectuar una ponderación entre los derechos al honor y a la información, consideró que no había existido animus iniuriandi, sino intención de informar acerca del curso de las investigaciones y de la opinión de los directamen</w:t>
      </w:r>
      <w:r>
        <w:lastRenderedPageBreak/>
        <w:t xml:space="preserve">te afectados por la muerte de una persona; y en consecuencia absolvió al recurrente del delito del que era acusado. </w:t>
      </w:r>
    </w:p>
    <w:p w:rsidR="0025129F" w:rsidRDefault="0025129F" w:rsidP="0025129F">
      <w:pPr>
        <w:pStyle w:val="TextoNormal"/>
      </w:pPr>
      <w:r>
        <w:t>d) Don Agustín Rodríguez Herrada interpuso recurso de apelación contra la anterior resolución. La correspondiente Sentencia de la Audiencia Provincial de Almería, de 30 de julio de 1998, tras asumir la doctrina (jurisprudencial y constitucional) sobre la ponderación de derechos referida en la Sentencia de instancia, entendió que el calificativo de "sospechoso" no era únicamente una impresión manifestada por la familia, sino que la noticia en cuestión hacía propia esa imputación de sospecha. Y añadía que "lo que reviste carácter de clara ilicitud es ese estigma de sospechoso de participar en un homicidio o asesinato, derivado de unos simples comentarios hechos al periodista por familiares del fallecido, calificativo este cuya publicación y comentario ya expresado lastiman de modo manifiesto el crédito de cualquiera". La Sentencia, entendiendo que no quedaba acreditado que el acusado, al imputar el hecho, hubiera actuado con conocimiento de su falsedad o con temerario desprecio de la verdad, condenó al ahora recurrente en amparo como autor de una falta de injuria leve del art. 620.2 CP de 1995 a la pena de multa de quince días con una cuota diaria de mil pesetas, a indemnizar a don Agustín Rodríguez Herrada en la suma de dos millones de pesetas, y al pago de las costas procesales de la primera instancia correspondientes a un juicio de faltas.</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de amparo el recurrente solicita la declaración de nulidad de la Sentencia de apelación, así como la suspensión de su ejecución. Con un desarrollo argumental muy extenso, alega las siguientes vulneraciones de derechos: </w:t>
      </w:r>
    </w:p>
    <w:p w:rsidR="0025129F" w:rsidRDefault="0025129F" w:rsidP="0025129F">
      <w:pPr>
        <w:pStyle w:val="TextoNormal"/>
      </w:pPr>
      <w:r>
        <w:t xml:space="preserve">a) Del derecho a la información [art. 20.1 d) CE]: Tras recordar la relevancia de la labor del periodista en una sociedad democrática, y apuntar que con frecuencia se plantean procesos contra los periodistas al objeto de obtener una indemnización, se destaca que la noticia en cuestión informa, bien de la opinión de la familia de la persona muerta, bien de datos objetivos ofrecidos por las fuerzas que instruían el caso, aunque alguno de estos últimos, como el de la existencia de antecedentes penales de don Agustín Rodríguez Herrada, resultó ser erróneo, por lo que fue objeto de rectificación al día siguiente, previa petición telefónica del interesado. La diligencia del recurrente se pone de manifiesto a la vista de varias circunstancias: aparece un antetítulo que indica al lector que se trata de la opinión de la familia del fallecido; se utilizan frases y giros para dejar claro que la fuente de información es dicha familia ("según información a la Crónica, fuentes familiares..."; "Para la familia..."; "Afirman también..."; etc.). Además se trata de un suceso que, aun cuando frecuente, es de interés público. </w:t>
      </w:r>
    </w:p>
    <w:p w:rsidR="0025129F" w:rsidRDefault="0025129F" w:rsidP="0025129F">
      <w:pPr>
        <w:pStyle w:val="TextoNormal"/>
      </w:pPr>
      <w:r>
        <w:t>Se señalan además otras circunstancias relevantes del caso: en primer lugar, que la referencia incluida en la noticia respecto al Sr. Rodríguez Herrada es brevísima (persona a la que se vio por última vez en compañía del fallecido), menciona un dato objetivo, y además ni siquiera fue desmentida por el interesado en su llamada telefónica al diario; en segundo término, que la Sentencia de la Audiencia descontextualiza el término "sospechoso", cuando se trata de una opinión ajena que el periodista no asume, sino que simplemente transmite a la sociedad de Almería; en tercer lugar, que el recurrente respetó la exigencia de veracidad, ya que la propia resolución impugnada reconoce que no actuó con temerario desprecio a la verdad, y los errores circunstanciales no afectan al cumplimiento de dicha exigencia de veracidad; en cuarto lugar, que el término "sospechoso" es sinónimo de "presunto", con lo que se cumple el requisito, mencionado por la STC 219/1992, de que en estos casos es preciso respetar la presunción de inocencia; en realidad los datos estigmatizadores (y de carácter objetivo) que se incluyen en la noticia vienen referidos, no al acusa</w:t>
      </w:r>
      <w:r>
        <w:lastRenderedPageBreak/>
        <w:t xml:space="preserve">dor particular, sino al mafioso D'Amico y a su pistolero, don Juan Rodríguez Herrada, hermano del referido acusador particular; la propia Sentencia de instancia manifestó que aquellos dos individuos habían sido condenados por el mismo Juzgado de lo Penal núm. 2 de Almería; en quinto término, las SSTC 40/1992 y 240/1992 señalan que la rectificación de lo informado revela la intención del periodista de búsqueda de la veracidad, de modo que matiza la necesaria protección del derecho al honor, como ocurre en el presente caso, en el cual se produjo la rectificación del dato erróneo al día siguiente de la noticia; y, por último, aun cuando la demanda reconoce la dificultad de acreditar el perjuicio moral o praetium doloris derivado de la lesión al honor, también pone de relieve que la Sentencia de apelación no indica nada acerca de la acreditación del perjuicio material derivado de la misma lesión. </w:t>
      </w:r>
    </w:p>
    <w:p w:rsidR="0025129F" w:rsidRDefault="0025129F" w:rsidP="0025129F">
      <w:pPr>
        <w:pStyle w:val="TextoNormal"/>
      </w:pPr>
      <w:r>
        <w:t>b) Del derecho a la tutela judicial efectiva (art. 24.1 CE) en relación con el derecho a la presunción de inocencia (art. 24.2 CE). Dentro de esta queja se dirigen dos reproches a la resolución de la Audiencia Provincial. El primero consiste en que no se razonan en ella las bases de la indemnización de dos millones de pesetas que debe pagar el recurrente al supuesto perjudicado, tal y como exige la doctrina general del Tribunal Constitucional sobre la motivación, así como el art. 115 CP de 1995 (interpretado en tal sentido por la jurisprudencia del Tribunal Supremo), que prescribe que "Los Jueces y Tribunales, al declarar la existencia de responsabilidad civil, establecerán razonablemente en sus resoluciones las bases en que fundamenten la cuantía de los daños e indemnizaciones, pudiendo fijarla en la propia resolución o en el momento de su ejecución". Pues bien, no ha quedado acreditado, ni en la instrucción ni el juicio oral, si la información ha tenido efectos sobre los ingresos económicos de don Agustín Rodríguez Herrada, ni si su renta anual ha disminuido en comparación con años anteriores. Tampoco se ha acreditado nada acerca de los perjuicios morales derivados de la supuesta lesión al honor, a pesar de que la STC de 22 de abril de 1989 exige tal acreditación. Además resulta desproporcionado que se condene por una falta de injuria leve y que, sin embargo, en concepto de responsabilidad civil, se imponga una indemnización de dos millones de pesetas, cuando el Ministerio Fiscal sólo pidió por este concepto quinientas mil pesetas, en tanto que la acusación particular solicitó una cantidad desmesurada. El segundo reproche consiste en que la Sentencia impugnada no explica qué circunstancias del hecho probado realizan cada uno de los elementos del tipo delictivo, lo que afecta a la motivación en relación con el derecho a la presunción de inocencia.</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14 de febrero de 2000 la Sección Tercera acordó, de conformidad con lo dispuesto en el núm. 3 del art. 50 LOTC, conceder al demandante de amparo y al Ministerio Fiscal un plazo común de diez días para que formularan las alegaciones que estimasen pertinentes en relación con la carencia de contenido constitucional de la demanda. Por escrito de 8 de marzo de 2000 el recurrente presentó sus alegaciones, en las que reiteró las solicitudes de la demanda así como, sintetizándola, la argumentación de la misma. Por escrito de 13 de marzo de 2000 el Ministerio Fiscal presentó sus alegaciones, interesando en ellas la admisión a trámite del recurso por tener contenido constitucional, tanto desde la perspectiva del derecho a publicar información veraz (pues la ponderación correcta entre este derecho y el derecho al honor sería la de la Sentencia de instancia), como desde la del derecho a la tutela judicial efectiva (pues no se fundamenta en la Sentencia de apelación la indemnización acordada).</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providencia de la Sala Segunda de 23 de mayo de 2000 se acordó admitir a trámite la demanda; requerir a la Sección Primera de la Audiencia Provincial de Almería la </w:t>
      </w:r>
      <w:r>
        <w:lastRenderedPageBreak/>
        <w:t>remisión de certificación de las actuaciones correspondientes al recurso de apelación núm. 97/98, así como al Juzgado de lo Penal núm. 2 de Almería de las correspondientes al procedimiento abreviado núm. 11/95; y ordenar el emplazamiento de quienes hubieran sido parte en el proceso, con excepción del recurrente en amparo.</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7 de septiembre de 2000 la Sala Segunda acordó dar vista de las actuaciones recibidas a las partes y al Ministerio Fiscal, por un plazo común de veinte días, para que presentaran las alegaciones que estimasen pertinentes, de conformidad con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escrito presentado el 4 de octubre de 2000 la representación del recurrente se ratificó en el escrito de alegaciones de 6 de marzo de 2000 y solicitó la estimación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El Ministerio Fiscal, en escrito de 10 de octubre de 2000, interesó la estimación del recurso de amparo. En su opinión, por lo que se refiere al derecho a difundir información veraz, ni la Sentencia de instancia ni la de apelación niegan la veracidad del núcleo de la información enjuiciada. La discrepancia entre ambas resoluciones judiciales recae en la diferente valoración del término "sospechoso", que según la segunda de ellas hace propio el informador, y que el Ministerio Fiscal considera que nada añade a la noticia, por lo que habría de anularse la Sentencia de apelación. En el caso de que el Tribunal no tuviera en cuenta esta primera alegación, habría de estimar la de la vulneración del derecho a la tutela judicial efectiva, toda vez que la cuantía de la indemnización carece de fundamentación, por lo que debería anularse la Sentencia de apelación en este extremo para que la Audiencia dictase otra respetuosa con el derecho fundamental aludido.</w:t>
      </w:r>
    </w:p>
    <w:p w:rsidR="0025129F" w:rsidRDefault="0025129F" w:rsidP="0025129F">
      <w:pPr>
        <w:pStyle w:val="TextoNormal"/>
      </w:pPr>
    </w:p>
    <w:p w:rsidR="0025129F" w:rsidRDefault="0025129F" w:rsidP="0025129F">
      <w:pPr>
        <w:pStyle w:val="TextoNormal"/>
      </w:pPr>
      <w:r w:rsidRPr="0025129F">
        <w:rPr>
          <w:rStyle w:val="NumeroAFNegritaCaracter"/>
        </w:rPr>
        <w:t>9</w:t>
      </w:r>
      <w:r>
        <w:t>. En la demanda de amparo se solicitaba la suspensión de la ejecución de la Sentencia de la Audiencia Provincial. Abierta pieza separada por providencia de 23 de mayo de 2000 para tramitar el incidente correspondiente se dictó Auto, comunicado el 24 de julio de 2000, que denegó la suspensión de la Sentencia de la Audiencia.</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4 de abril de 2002 se señaló para la deliberación y votación de la presente Sentencia el día 8 del mismo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recurrente, don Francisco Javier Saiz Díaz, impugna en su demanda de amparo la Sentencia de la Audiencia Provincial de Almería que le condenó como autor de una falta de injurias leves del artículo 620.2 del Código penal vigente en virtud de la publicación de un artículo periodístico en el diario "La Crónica" de Almería.</w:t>
      </w:r>
    </w:p>
    <w:p w:rsidR="0025129F" w:rsidRDefault="0025129F" w:rsidP="0025129F">
      <w:pPr>
        <w:pStyle w:val="TextoNormal"/>
      </w:pPr>
      <w:r>
        <w:t>En dicho artículo, parcialmente reproducido en los antecedentes de esta Sentencia, que llevaba por título "El cadáver de la Mojonera tenía un fuerte golpe en la cabeza", figuraba un antetítulo, en caracteres más reducidos, el cual señalaba que "la familia sospecha del hermano de otro pistolero de D'Amico" y se informaba de la muerte, la tortura y el asesinato del joven José Miguel Daza Heredia. El artículo reproducía diversas frases entrecomilladas atribuidas a la familia del fallecido, y a continuación, bajo el subtítulo "Sospe</w:t>
      </w:r>
      <w:r>
        <w:lastRenderedPageBreak/>
        <w:t>choso", decía que la última vez que se vio con vida al finado se encontraba en compañía de un hombre llamado Agustín Rodríguez Herrada, carnicero y ganadero de Roquetas de Mar, que tenía antecedentes penales y que era hermano de Juan Rodríguez Herrada, de quien se afirmaba que era otro conocido pistolero de un mafioso italiano. A continuación el artículo reproducía frases que se decían pronunciadas por la familia del supuestamente asesinado. Al día siguiente de la publicación de este artículo el mismo diario publicó una rectificación, señalando que Agustín Rodríguez Herrada había desmentido tener antecedentes penales.</w:t>
      </w:r>
    </w:p>
    <w:p w:rsidR="0025129F" w:rsidRDefault="0025129F" w:rsidP="0025129F">
      <w:pPr>
        <w:pStyle w:val="TextoNormal"/>
      </w:pPr>
      <w:r>
        <w:t>Como consecuencia de todo ello don Agustín Rodríguez Herrada se querelló contra el Director del diario almeriense "La Crónica del Sur" y contra cualquier otra persona que, a consecuencia de las averiguaciones, pudiera resultar responsable de los hechos.</w:t>
      </w:r>
    </w:p>
    <w:p w:rsidR="0025129F" w:rsidRDefault="0025129F" w:rsidP="0025129F">
      <w:pPr>
        <w:pStyle w:val="TextoNormal"/>
      </w:pPr>
      <w:r>
        <w:t>Esta querella dio lugar a una Sentencia absolutoria; pero, como consecuencia de la revisión en apelación de ésta, se dictó finalmente por la Audiencia Provincial Sentencia condenando a don Francisco Javier Saiz Díaz como autor de una falta de injuria leve. Contra esta Sentencia condenatoria dictada en apelación se recurre en amparo por considerarla lesiva de los derechos a la información [art. 20.1 d) CE] y a la tutela judicial efectiva (art. 24.1 CE) en relación con el derecho a la presunción de inocencia (art. 24.2 CE).</w:t>
      </w:r>
    </w:p>
    <w:p w:rsidR="0025129F" w:rsidRDefault="0025129F" w:rsidP="0025129F">
      <w:pPr>
        <w:pStyle w:val="TextoNormal"/>
      </w:pPr>
      <w:r>
        <w:t>El demandante en amparo señala, en cuanto a la vulneración de su derecho a la información, la relevancia de la labor del periodista en una sociedad democrática, y alega que el artículo da traslado, bien de opiniones de la familia de la persona muerta, bien de datos proporcionados por las fuerzas públicas que instruían el caso. Añade que el dato erróneo fue rectificado al día siguiente, que la diligencia del recurrente es clara si se observa cómo se cuida de dejar claro lo que es opinión de los familiares, y que se trata de un suceso de interés público.  Argumenta, además, que la referencia al supuestamente injuriado es brevísima y se refiere a un hecho objetivo no desmentido; que la Sentencia de la Audiencia descontextualiza el término "sospechoso", que es una opinión ajena que el periodista no asume sino que transmite; que respetó la exigencia de veracidad; que el término "sospechoso" es sinónimo de "presunto"; que la rápida rectificación de lo informado revela la intención del periodista de buscar la verdad (citando las SSTC 40/1992, de 30 de marzo, y 240/1992, de 21 de diciembre); y que la Sentencia nada dice de la acreditación del perjuicio material derivado de la supuesta lesión.</w:t>
      </w:r>
    </w:p>
    <w:p w:rsidR="0025129F" w:rsidRDefault="0025129F" w:rsidP="0025129F">
      <w:pPr>
        <w:pStyle w:val="TextoNormal"/>
      </w:pPr>
      <w:r>
        <w:t>En cuanto a la queja de vulneración del derecho a la tutela judicial efectiva (art. 24.1 CE) en relación con el derecho a la presunción de inocencia (art. 24.2 CE) se dirige a la Sentencia de la Audiencia Provincial un doble reproche: en primer lugar, que no razona las bases de la indemnización de dos millones de pesetas que debe pagar el recurrente al supuesto perjudicado y, en segundo lugar, que no explica qué circunstancias del hecho probado realizan cada uno de los elementos del tipo delictivo, lo que afecta a la motivación en relación con el derecho a la presunción de inocencia.</w:t>
      </w:r>
    </w:p>
    <w:p w:rsidR="0025129F" w:rsidRDefault="0025129F" w:rsidP="0025129F">
      <w:pPr>
        <w:pStyle w:val="TextoNormal"/>
      </w:pPr>
      <w:r>
        <w:t>El Fiscal interesa la estimación del recurso basándose, en lo que se refiere al derecho a difundir información veraz, en que ni la Sentencia de instancia ni la de apelación niegan la veracidad del núcleo de la información, recayendo la discrepancia entre ambas resoluciones judiciales en la diferente valoración del término "sospechoso", que considera nada añade a la noticia. Y, de no estimarse esta queja, el Tribunal, según el Ministerio público, habría de estimar la del derecho a la tutela judicial efectiva, ya que la cuantía de la indemnización acordada carece de fundamentación que la justifique.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Desde la STC 104/1986, de 17 de julio (FFJJ 6 y 7), este Tribunal viene exigiendo que el Juez penal, antes de entrar a enjuiciar la concurrencia en el caso concreto de los </w:t>
      </w:r>
      <w:r>
        <w:lastRenderedPageBreak/>
        <w:t>elementos del tipo penal pertinente, en este caso la falta de injurias leves, debe efectuar el previo examen de si la conducta sujeta al escrutinio penal constituye o no un ejercicio de las libertades de expresión e información del art. 20.1 CE [ya que las libertades del art. 20.1 a) y d) CE pueden operar como causas excluyentes de la antijuridicidad de la conducta contemplada], so pena de conculcar el art. 20.1 CE de no hacerlo así (exigencia reiterada en otros muchos de nuestros pronunciamientos, como los contenidos en las SSTC 105/1990, de 6 de junio, FFJJ 3 y 4, 232/1988, de 30 de diciembre, FJ 5, y 2/2001, de 15 de enero, FJ 2). Así pues, el análisis de si se está ante el ejercicio de un derecho fundamental dentro de los límites constitucionales ha de preceder al de la cuestión de si concurre o no animus iniuriandi (SSTC 107/1988, de 8 de junio, FJ 2, y 112/2000, de 5 de mayo, FJ 5).</w:t>
      </w:r>
    </w:p>
    <w:p w:rsidR="0025129F" w:rsidRDefault="0025129F" w:rsidP="0025129F">
      <w:pPr>
        <w:pStyle w:val="TextoNormal"/>
      </w:pPr>
      <w:r>
        <w:t>De otra parte, tal y como se recuerda en la STC 144/1998, de 30 de junio, FJ 2, este Tribunal ha elaborado un cuerpo consolidado de doctrina en relación a los derechos regulados en el art. 20.1 CE (respecto de la que cabe citar desde la contenida en la STC 104/1986, de 17 de julio, hasta la recogida en la STC 49/2001, de 26 de febrero, FJ 6) distinguiendo entre los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16 de enero, FJ 3).</w:t>
      </w:r>
    </w:p>
    <w:p w:rsidR="0025129F" w:rsidRDefault="0025129F" w:rsidP="0025129F">
      <w:pPr>
        <w:pStyle w:val="TextoNormal"/>
      </w:pPr>
      <w:r>
        <w:t>Ahora bien, la reputación ajena (art. 10.2 CEDH, SSTEDH caso Lingens, de 8 de julio de 1986, §§ 41, 43 y 45, y caso Bladet Tromso y Stensaas, de 20 de mayo de 1999, §§66, 72 y 73) o el honor, constituyen un límite del derecho a expresarse libremente y de la libertad de informar (SSTC 297/2000, de 11 de diciembre, FJ 7, y 49/2001, de 26 de febrero, FJ 5). Y es doctrina reiterada de este Tribunal, coincidente en lo sustancial con la elaborada por el Tribunal Europeo de Derechos Humanos al interpretar el art. 10.1 del Convenio europeo de derechos humanos, que en los supuestos de conflicto entre el derecho a la libre emisión de información y los derechos al honor, la intimidad y la propia imagen, garantizados en el art. 18.1 CE, la adecuada solución exige que se explicite la toma en consideración de ambos derechos en presencia (SSTC 104/1986, de 17 de julio, FJ 5, y 76/1995, de 22 de mayo, FJ 5, entre otras).  Además dicha consideración de uno y otro derecho puede ser realizada por este Tribunal, que no está vinculado por la realizada por la resolución judicial objeto de revisión (SSTC 134/1999, de 15 de julio, FJ 2, 297/2000, de 11 de diciembre, FJ 3, y 49/2001, de 26 de febrero, FJ 3) y que no se limita a controlar si la resolución impugnada es irrazonable, arbitraria o errónea, sino que la revisa en su integridad, con criterio propio (SSTC 180/1999, de 11 de octubre, FJ 3, y 49/2001, de 26 de febrero, FJ 4).</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Las pautas que debe seguir la consideración conjunta de los derechos fundamentales que entran en juego han sido sintetizadas, entre otras, en las SSTC 132/1995, de 11 de </w:t>
      </w:r>
      <w:r>
        <w:lastRenderedPageBreak/>
        <w:t>septiembre, FJ 4, y 11/2000, de 17 de enero, FJ 8. En lo que aquí interesa, han de señalarse las siguientes: 1) Tanto la libre comunicación de información como la libertad de expresión tienen una dimensión especial en nuestro Ordenamiento en razón de su doble carácter de libertad individual y de garantía de la posibilidad de existencia de la opinión pública, indisolublemente unida al pluralismo político propio del Estado democrático (SSTC 104/1986, de 17 de julio, y 78/1995, de 22 de mayo, entre otras muchas). 2) En el enjuiciamiento de la corrección del ejercicio de estos derechos y libertades ha de tomarse en consideración la trascendencia pública o no de los hechos u opiniones emitidos y si la información que, en su caso, se ofrezca es o no veraz, habida cuenta de la relevancia de la información que reúne dichas características como base de una sociedad democrática (SSTC 172/1990, de 12 de noviembre, FJ 2, 178/1993, de 31 de mayo, 320/1994, de 28 de noviembre, y 138/1996, de 16 de septiembre, FJ 3). 3) Entre los elementos a tener en cuenta en la valoración de la trascendencia pública de los hechos divulgados cobran especial relevancia la materia de la información, su interés público y su contribución a la formación de una opinión pública libre (STC 49/2001, de 26 de febrero, FJ 6), así como el vehículo utilizado para difundir la información, en particular si éste es un medio de comunicación social (SSTC 107/1988, de 8 de junio, y 15/1993, de 18 de enero). 4) La veracidad de la información no debe confundirse con una exigencia de concordancia con la realidad incontrovertible de los hechos, sino que en rigor únicamente hace referencia a una diligente búsqueda de la verdad que asegure la seriedad del esfuerzo informativo (SSTC 219/1992, de 3 de diciembre, y 41/1994, de 15 de febrero); ahora bien, esta libertad no protege a quienes, defraudando el derecho de todos a recibir información veraz, actúan con menosprecio de la verdad o falsedad de lo comunicado, comportándose de manera negligente e irresponsable al transmitir como hechos verdaderos simples rumores carentes de toda constatación o meras invenciones o insinuaciones insidiosas (STC 172/1990, de 12 de noviembre, FJ 3).  Las noticias, para gozar de protección constitucional, deben ser diligentemente comprobadas y sustentadas en hechos objetivos (SSTC 192/1999, de 25 de octubre, FJ 7, y 110/2000, de 5 de mayo, FJ 8, y SSTEDH caso Sunday Times, de 26 de abril de 1979, y caso Duroy y Malaurie, 3 de octubre de 2000), debiendo acreditarse la malicia del informador (STC 192/1999, de 25 de octubre, FJ 6).</w:t>
      </w:r>
    </w:p>
    <w:p w:rsidR="0025129F" w:rsidRDefault="0025129F" w:rsidP="0025129F">
      <w:pPr>
        <w:pStyle w:val="TextoNormal"/>
      </w:pPr>
      <w:r>
        <w:t>También es doctrina de este Tribunal que el específico deber de diligencia que incumbe al informador es exigible con diferente grado de intensidad en función de que la noticia se presente como una comunicación neutra, en cuanto procedente de la originaria información de otro medio de comunicación o fuente informativa, de la que simplemente se da traslado (SSTC 336/1993, de 15 de noviembre, y 41/1994, de 15 de febrero), o bien de que se trate de una información asumida por el medio y su autor como propia, en cuyo caso el deber de diligencia para contrastar la veracidad de los hechos comunicados no admite atenuación o flexibilidad alguna, sino que su cumplimiento debe ser requerido en todo su rigor. Para los supuestos de reportaje neutral el deber de diligencia se satisface con la constatación de la verdad del hecho de la declaración, pero no se extiende en principio a la necesidad de constatar la verdad de lo declarado, pues tal responsabilidad sólo sería exigible por lo general al autor de la declaración (STC 52/1996, de 26 de marzo).</w:t>
      </w:r>
    </w:p>
    <w:p w:rsidR="0025129F" w:rsidRDefault="0025129F" w:rsidP="0025129F">
      <w:pPr>
        <w:pStyle w:val="TextoNormal"/>
      </w:pPr>
    </w:p>
    <w:p w:rsidR="0025129F" w:rsidRDefault="0025129F" w:rsidP="0025129F">
      <w:pPr>
        <w:pStyle w:val="TextoNormal"/>
      </w:pPr>
      <w:r w:rsidRPr="0025129F">
        <w:rPr>
          <w:rStyle w:val="NumeroAFNegritaCaracter"/>
        </w:rPr>
        <w:t>4</w:t>
      </w:r>
      <w:r>
        <w:t>. Aplicando la anterior doctrina al presente caso, ha de señalarse, ante todo, que nos hallamos ante un supuesto de ejercicio del derecho de información, pues en la noticia emitida por el actor de amparo predomina la relación de hechos. Y las opiniones que constan vienen reproducidas, en tanto que hechos, como manifestadas por los familiares del falle</w:t>
      </w:r>
      <w:r>
        <w:lastRenderedPageBreak/>
        <w:t>cido, siendo éste el sentido de la indicación como sospechoso de don Agustín Rodríguez Herrada.</w:t>
      </w:r>
    </w:p>
    <w:p w:rsidR="0025129F" w:rsidRDefault="0025129F" w:rsidP="0025129F">
      <w:pPr>
        <w:pStyle w:val="TextoNormal"/>
      </w:pPr>
      <w:r>
        <w:t>La segunda constatación que ha de hacerse es que la Sentencia impugnada no hace una explícita ponderación de los derechos al honor y a la información. Es cierto que dice asumir la doctrina jurisprudencial al respecto consagrada tanto en los pronunciamientos del Tribunal Supremo como en los de este Tribunal, pero no expresa los criterios que determinan la preponderancia, que ella pretende en este caso, del derecho al honor.</w:t>
      </w:r>
    </w:p>
    <w:p w:rsidR="0025129F" w:rsidRDefault="0025129F" w:rsidP="0025129F">
      <w:pPr>
        <w:pStyle w:val="TextoNormal"/>
      </w:pPr>
      <w:r>
        <w:t>La Sentencia impugnada tampoco ha examinado si ha existido veracidad o diligencia en cuanto al hecho de la declaración de la familia del fallecido. Entrando en el análisis de esta cuestión cabe indicar que nuestra jurisprudencia ha caracterizado lo que denomina "reportaje neutral" en los siguientes términos:</w:t>
      </w:r>
    </w:p>
    <w:p w:rsidR="0025129F" w:rsidRDefault="0025129F" w:rsidP="0025129F">
      <w:pPr>
        <w:pStyle w:val="TextoNormal"/>
      </w:pPr>
      <w:r>
        <w:t>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0025129F" w:rsidRDefault="0025129F" w:rsidP="0025129F">
      <w:pPr>
        <w:pStyle w:val="TextoNormal"/>
      </w:pPr>
      <w:r>
        <w:t>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 y tampoco lo hay cuando es el medio el que provoca la noticia, esto es, en el llamado periodismo de investigación (STC 6/1996, de 16 de enero, VP), sino que ha de limitarse a reproducir algo que ya sea, de algún modo, conocido.</w:t>
      </w:r>
    </w:p>
    <w:p w:rsidR="0025129F" w:rsidRDefault="0025129F" w:rsidP="0025129F">
      <w:pPr>
        <w:pStyle w:val="TextoNormal"/>
      </w:pPr>
      <w:r>
        <w:t>c)En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de las declaraciones (SSTC 240/1992, FJ 7, y 144/1998, FJ 5).</w:t>
      </w:r>
    </w:p>
    <w:p w:rsidR="0025129F" w:rsidRDefault="0025129F" w:rsidP="0025129F">
      <w:pPr>
        <w:pStyle w:val="TextoNormal"/>
      </w:pPr>
      <w:r>
        <w:t>Aplicando al caso la doctrina expuesta podemos concluir que el supuesto analizado se halla próximo al reportaje neutral, en el sentido de que concurren en él todos los elementos esenciales que llevan a excluir la responsabilidad del medio informativo por el contenido de las declaraciones lesivas del honor. Pues, de una parte, el centro de la noticia, como ponen de manifiesto los titulares relativos a la aparición de sangre humana en un apartamento y el fuerte golpe en la cabeza que presentaba el cadáver, lo constituye un hecho cierto de indudable relevancia pública (un homicidio). Y, de otra, las sospechas de los familiares del fallecido, singularmente expresadas por la madre, se sitúan en un segundo plano, como parte de la noticia principal, aludiéndose en un subtitular y presentándose objetivamente en el contexto de la noticia, guardando el medio distancia respecto a ellas y sin que de ningún modo conste ni se alegue siquiera que las haya manipulado o provocado.</w:t>
      </w:r>
    </w:p>
    <w:p w:rsidR="0025129F" w:rsidRDefault="0025129F" w:rsidP="0025129F">
      <w:pPr>
        <w:pStyle w:val="TextoNormal"/>
      </w:pPr>
      <w:r>
        <w:t>En este sentido ha de resaltarse que junto al encabezamiento del reportaje se incluye el subtitular "la familia sospecha del hermano de otro pistolero de D'Amico", y como puede comprobarse en los antecedentes, una y otra vez, a lo largo del artículo aparecen remisiones a la familia o a fuentes familiares. A éstas atribuye el párrafo primero del artículo el dato de que el joven había sido encontrado muerto y que había sido torturado y asesinado; a la familia se atribuye en el párrafo tercero el dato de que no había sido uno el asesino, sino varios, y que no era la primera vez que asesinaban; que la intención de éstos había sido que el cuerpo no fuese reconocido por los familiares; la familia no sabía, dice el pá</w:t>
      </w:r>
      <w:r>
        <w:lastRenderedPageBreak/>
        <w:t>rrafo cuarto, a qué se dedicaba el fallecido en la actualidad, y es ella la que informa que la madre lo había buscado y había identificado el cadáver; también a las "mencionadas fuentes" se atribuye la sospecha respecto de Agustín Rodríguez Herrada, pues el apartado del artículo encabezado con la palabra "sospechoso" es seguido de un párrafo que atribuye inequívocamente la información a las fuentes familiares, al decir: "La última vez que se le vio con vida se encontraba en compañía de un hombre llamado Agustín Rodríguez Herrada, carnicero y ganadero de Roquetas de Mar que cuenta con antecedentes penales. 'Gente de dinero', manifestaron las mencionadas fuentes quienes no quisieron hacer más declaraciones al respecto".</w:t>
      </w:r>
    </w:p>
    <w:p w:rsidR="0025129F" w:rsidRDefault="0025129F" w:rsidP="0025129F">
      <w:pPr>
        <w:pStyle w:val="TextoNormal"/>
      </w:pPr>
      <w:r>
        <w:t>Por otra parte, en múltiples párrafos del artículo se percibe el distanciamiento del articulista respecto de las opiniones de la familia. El párrafo tercero del anteriormente citado apartado del artículo vuelve a atribuir otros datos a la familia ("La familia afirma que José Miguel Daza, de 24 años, casado y con una hija de dos años y medios, 'se juntaba con gente de mando, gente que tiene dinero. Con miguillas no se juntaba'") y lo mismo hace el párrafo siguiente ("En cuanto a las investigaciones que se están llevando a cabo para la resolución del caso, no se muestran muy esperanzados con los resultados que vayan a obtenerse: 'ponen ajuste de cuentas y ya está. Uno menos', declaran"). El párrafo siguiente señala que el cuerpo del fallecido fue acompañado al cementerio por tres miembros de la familia. Y tres párrafos después el artículo se cierra con la afirmación de que la madre del fallecido indicó que le había visto con vida hacía unos quince días, por lo que se pensó que el cuerpo fue manipulado para evitar su identificación, algo que la familia ratificó con rotundidad.</w:t>
      </w:r>
    </w:p>
    <w:p w:rsidR="0025129F" w:rsidRDefault="0025129F" w:rsidP="0025129F">
      <w:pPr>
        <w:pStyle w:val="TextoNormal"/>
      </w:pPr>
      <w:r>
        <w:t>Adicionalmente a todo lo anterior debe observarse que la prontitud en la rectificación del dato publicado por error (el hecho de que la persona de la que sospechaban los familiares tuviera antecedentes penales) prueba la diligencia en la búsqueda de la verdad de la información.</w:t>
      </w:r>
    </w:p>
    <w:p w:rsidR="0025129F" w:rsidRDefault="0025129F" w:rsidP="0025129F">
      <w:pPr>
        <w:pStyle w:val="TextoNormal"/>
      </w:pPr>
      <w:r>
        <w:t>Por todo lo expuesto, en casos como el presente la veracidad exigible es también la verdad objetiva de la existencia de las declaraciones, que no ha sido puesta en duda por nadie.</w:t>
      </w:r>
    </w:p>
    <w:p w:rsidR="0025129F" w:rsidRDefault="0025129F" w:rsidP="0025129F">
      <w:pPr>
        <w:pStyle w:val="TextoNormal"/>
      </w:pPr>
    </w:p>
    <w:p w:rsidR="0025129F" w:rsidRDefault="0025129F" w:rsidP="0025129F">
      <w:pPr>
        <w:pStyle w:val="TextoNormal"/>
      </w:pPr>
      <w:r w:rsidRPr="0025129F">
        <w:rPr>
          <w:rStyle w:val="NumeroAFNegritaCaracter"/>
        </w:rPr>
        <w:t>5</w:t>
      </w:r>
      <w:r>
        <w:t>. Así pues, siendo la información divulgada veraz y relativa a un asunto de indudable relevancia pública por los hechos narrados, no cabe sino concluir que la condena del recurrente, y, por tanto, la Sentencia de la Audiencia Provincial en la que se ha producido, han vulnerado el art.  20.1 d) CE por infringir el contenido constitucional de la libertad en él consagrada, lo que debe conducir a otorgar el amparo solicitado. Esta conclusión nos exime, por resultar innecesario, de cualquier pronunciamiento sobre la queja relativa a otras hipotéticas violaciones de libertades públicas y derechos fundamentales reconocidos en la Constitución.</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Francisco Javier Saiz Díaz y, en su virtud:</w:t>
      </w:r>
    </w:p>
    <w:p w:rsidR="0025129F" w:rsidRDefault="0025129F" w:rsidP="0025129F">
      <w:pPr>
        <w:pStyle w:val="TextoNormal"/>
      </w:pPr>
      <w:r>
        <w:lastRenderedPageBreak/>
        <w:t>1º Declarar que se ha vulnerado la libertad de información del recurrente.</w:t>
      </w:r>
    </w:p>
    <w:p w:rsidR="0025129F" w:rsidRDefault="0025129F" w:rsidP="0025129F">
      <w:pPr>
        <w:pStyle w:val="TextoNormal"/>
      </w:pPr>
      <w:r>
        <w:t>2º Restablecerle en su derecho, y, a tal fin, anular la Sentencia de la Audiencia Provincial de Almería, Sección Primera, de 30 de julio de 1998, dictada en el rollo de apelación penal núm.  5097/98, dimanante del procedimiento abreviado núm. 11/95 del Juzgado de lo Penal núm. 2 de Almería, sobre falta de injurias leves.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0" w:name="SENTENCIA_2002_77"/>
      <w:r>
        <w:lastRenderedPageBreak/>
        <w:t>SENTENCIA 77/2002, de 8 de abril de 2002</w:t>
      </w:r>
    </w:p>
    <w:bookmarkEnd w:id="80"/>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ECLI:ES:TC:2002:77</w:t>
      </w:r>
    </w:p>
    <w:p w:rsidR="0025129F" w:rsidRDefault="0025129F" w:rsidP="0025129F">
      <w:pPr>
        <w:pStyle w:val="SntesisDescriptiva"/>
      </w:pPr>
    </w:p>
    <w:p w:rsidR="0025129F" w:rsidRDefault="0025129F" w:rsidP="0025129F">
      <w:pPr>
        <w:pStyle w:val="SntesisDescriptiva"/>
      </w:pPr>
      <w:r>
        <w:t>Recurso de amparo 4643/1998. Promovido por doña Isabel Preysler Arrastia frente a la Sentencia de la Sala de lo Civil del Tribunal Supremo que, estimando un recurso de don Luis del Olmo, don Jesús Pérez Mariñas y Radio Popular, Cadena de Ondas Populares, S.A., desestimó su demanda por unos comentarios realizados en el programa “Protagonistas”.</w:t>
      </w:r>
    </w:p>
    <w:p w:rsidR="0025129F" w:rsidRDefault="0025129F" w:rsidP="0025129F">
      <w:pPr>
        <w:pStyle w:val="SntesisDescriptiva"/>
      </w:pPr>
    </w:p>
    <w:p w:rsidR="0025129F" w:rsidRDefault="0025129F" w:rsidP="0025129F">
      <w:pPr>
        <w:pStyle w:val="SntesisAnaltica"/>
      </w:pPr>
      <w:r>
        <w:t>Supuesta vulneración del derecho a la tutela judicial efectiva (acceso a la justicia): caducidad de la acción civil de protección del derecho al honor y la intimidad, una vez agotada la vía penal.</w:t>
      </w:r>
    </w:p>
    <w:p w:rsidR="0025129F" w:rsidRDefault="0025129F" w:rsidP="0025129F">
      <w:pPr>
        <w:pStyle w:val="SntesisAnaltica"/>
      </w:pPr>
    </w:p>
    <w:p w:rsidR="0025129F" w:rsidRDefault="0025129F" w:rsidP="0025129F">
      <w:pPr>
        <w:pStyle w:val="Extracto"/>
      </w:pPr>
      <w:r>
        <w:t>1.</w:t>
      </w:r>
      <w:r>
        <w:tab/>
        <w:t>La apreciación de la caducidad de la acción de protección civil del derecho al honor, a la intimidad y a la propia imagen que se establece en la Ley Orgánica 1/1982, para ser ejercitada ante la jurisdicción civil, supera el canon de razonabilidad, arbitrariedad y error patente [FJ 4].</w:t>
      </w:r>
    </w:p>
    <w:p w:rsidR="0025129F" w:rsidRDefault="0025129F" w:rsidP="0025129F">
      <w:pPr>
        <w:pStyle w:val="Extracto"/>
      </w:pPr>
    </w:p>
    <w:p w:rsidR="0025129F" w:rsidRDefault="0025129F" w:rsidP="0025129F">
      <w:pPr>
        <w:pStyle w:val="Extracto"/>
      </w:pPr>
      <w:r>
        <w:t>2.</w:t>
      </w:r>
      <w:r>
        <w:tab/>
        <w:t>La línea jurisprudencial del Tribunal Supremo, que arranca del hecho cierto y diferencial de la caducidad de la acción civil establecida en el art. 9.5 de la Ley Orgánica 1/1982 por el transcurso de cuatro años, constituye una cuestión relativa a la interpretación y aplicación de la legalidad ordinaria que, con los límites expuestos en la STC 160/1997, corresponde en exclusiva a los órganos de la jurisdicción [FJ 5].</w:t>
      </w:r>
    </w:p>
    <w:p w:rsidR="0025129F" w:rsidRDefault="0025129F" w:rsidP="0025129F">
      <w:pPr>
        <w:pStyle w:val="Extracto"/>
      </w:pPr>
    </w:p>
    <w:p w:rsidR="0025129F" w:rsidRDefault="0025129F" w:rsidP="0025129F">
      <w:pPr>
        <w:pStyle w:val="Extracto"/>
      </w:pPr>
      <w:r>
        <w:t>3.</w:t>
      </w:r>
      <w:r>
        <w:tab/>
        <w:t>La interpretación efectuada por los Tribunales de Justicia de las normas relativas tanto a los plazos de caducidad como a los de prescripción es una cuestión de legalidad ordinaria (SSTC 27/1984, 160/1997). Sólo por excepción alcanzará relevancia constitucional, desde la perspectiva de la efectividad del derecho a la tutela judicial efectiva, cuando haga imposible en la práctica el ejercicio de la acción (SSTC 262/1988, 322/1993) [FJ 3].</w:t>
      </w:r>
    </w:p>
    <w:p w:rsidR="0025129F" w:rsidRDefault="0025129F" w:rsidP="0025129F">
      <w:pPr>
        <w:pStyle w:val="Extracto"/>
      </w:pPr>
    </w:p>
    <w:p w:rsidR="0025129F" w:rsidRDefault="0025129F" w:rsidP="0025129F">
      <w:pPr>
        <w:pStyle w:val="Extracto"/>
      </w:pPr>
      <w:r>
        <w:t>4.</w:t>
      </w:r>
      <w:r>
        <w:tab/>
        <w:t>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lo que ha podido existir es una desestimación de la pretensión de fondo y no una denegación del acceso a la justicia (SSTC 42/1997, 298/2000) [FJ 3].</w:t>
      </w:r>
    </w:p>
    <w:p w:rsidR="0025129F" w:rsidRDefault="0025129F" w:rsidP="0025129F">
      <w:pPr>
        <w:pStyle w:val="Extracto"/>
      </w:pPr>
    </w:p>
    <w:p w:rsidR="0025129F" w:rsidRDefault="0025129F" w:rsidP="0025129F">
      <w:pPr>
        <w:pStyle w:val="Extracto"/>
      </w:pPr>
      <w:r>
        <w:t>5.</w:t>
      </w:r>
      <w:r>
        <w:tab/>
        <w:t>El Tribunal Supremo es el supremo intérprete de la legalidad ordinaria [FJ 5].</w:t>
      </w:r>
    </w:p>
    <w:p w:rsidR="0025129F" w:rsidRDefault="0025129F" w:rsidP="0025129F">
      <w:pPr>
        <w:pStyle w:val="Extracto"/>
      </w:pPr>
    </w:p>
    <w:p w:rsidR="0025129F" w:rsidRDefault="0025129F" w:rsidP="0025129F">
      <w:pPr>
        <w:pStyle w:val="Extracto"/>
      </w:pPr>
      <w:r>
        <w:t>6.</w:t>
      </w:r>
      <w:r>
        <w:tab/>
        <w:t xml:space="preserve">Aun cuando el otro de los argumentos empleados por el Tribunal Supremo para casar la Sentencia recurrida (que el ejercicio de la acción penal lleva consigo el efecto de la extinción de la acción civil por tratarse del ejercicio de un derecho de </w:t>
      </w:r>
      <w:r>
        <w:lastRenderedPageBreak/>
        <w:t>opción) pudiera resultar lesivo del derecho a la tutela judicial efectiva en la medida en que cupiera entenderse que contradice frontalmente lo dispuesto en el art. 116 de la Ley de enjuiciamiento criminal, basta con que uno de los argumentos supere el canon de constitucionalidad para que hayamos de estimar que el derecho a la tutela judicial efectiva ha sido respetado [FJ 5].</w:t>
      </w:r>
    </w:p>
    <w:p w:rsidR="0025129F" w:rsidRDefault="0025129F" w:rsidP="0025129F">
      <w:pPr>
        <w:pStyle w:val="Extracto"/>
      </w:pPr>
    </w:p>
    <w:p w:rsidR="0025129F" w:rsidRDefault="0025129F" w:rsidP="0025129F">
      <w:pPr>
        <w:pStyle w:val="Extracto"/>
      </w:pPr>
      <w:r>
        <w:t>7.</w:t>
      </w:r>
      <w:r>
        <w:tab/>
        <w:t>La necesidad de que este Tribunal ciña su análisis a la vulneración del derecho fundamental invocado, en el presente caso exclusivamente el derecho a la tutela judicial efectiva, orillando cualquier consideración atinente al derecho fundamental sustantivo, el derecho al honor, que con el proceso judicial previo se trataba de preservar por el particular ante los órganos judiciales, pero respecto del cual no se formula ante nosotros queja alguna, ha de llevarnos a la desestimación del presente recurso de amparo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4643/98, promovido por doña Isabel Preysler Arrastia, representada por la Procuradora de los Tribunales doña María Eva de Guinea Ruenes y asistida por el Abogado don Ignacio Ayala Gómez, contra Sentencia de la Sala Primera del Tribunal Supremo de 28 de septiembre de 1998, que declaró haber lugar al recurso de casación formulado contra la Sentencia dictada por la Audiencia Provincial de Barcelona el 28 de abril de 1994, confirmatoria en apelación de la dictada el 30 de septiembre de 1992 por el Juzgado de Primera Instancia núm. 12 de Barcelona en juicio incidental de protección civil de los derechos al honor y la intimidad núm. 776/1991. Han intervenido, además del Ministerio Fiscal, Radio Popular, Cadena de Ondas Populares, S.A., (COPE), representada por el Procurador de los Tribunales don Manuel Lanchares Perlado, asistida por el Abogado don Luis del Olmo Gonzáles, y don Jesús Pérez Mariñas, representado por la Procuradora de los Tribunales doña Elena Lourdes Fernández Fernández y asistido por el Abogado don Marcos García-Montes.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Mediante escrito presentado en el Juzgado de guardia el 4 de noviembre de 1998, registrado en este Tribunal el 6 de noviembre siguiente, el Procurador de los Tribunales </w:t>
      </w:r>
      <w:r>
        <w:lastRenderedPageBreak/>
        <w:t>don Francisco de Guinea y Gauna, en nombre y representación de doña Isabel Preysler Arrastia, interpuso recurso de amparo contra la Sentencia citada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relevantes para la resolución del recurso son los siguientes: </w:t>
      </w:r>
    </w:p>
    <w:p w:rsidR="0025129F" w:rsidRDefault="0025129F" w:rsidP="0025129F">
      <w:pPr>
        <w:pStyle w:val="TextoNormal"/>
      </w:pPr>
      <w:r>
        <w:t xml:space="preserve">a) A raíz de ciertos comentarios sobre su vida privada vertidos el 27 de noviembre de 1985 en el programa "Protagonistas", emitido por Radio Popular, Cadena de Ondas Populares, S.A., (COPE), la demandante de amparo interpuso, con fecha 7 de febrero de 1986, querella criminal por un presunto delito de injurias contra los periodistas don Luis del Olmo y don Jesús Mariñas ante el Juzgado de Instrucción correspondiente de Madrid. La querella fue admitida a trámite, mediante Auto de 18 de febrero de 1986, por el Sr. Juez de Instrucción núm. 13 de Madrid, que ordenó la incoación de diligencias previas. Suscitada una cuestión de competencia por el querellado Sr. del Olmo, el Juez dictó, con fecha de 11 de junio de 1986, Auto de inhibición a favor del de Instrucción Decano de Barcelona, al cual se remitieron las actuaciones. </w:t>
      </w:r>
    </w:p>
    <w:p w:rsidR="0025129F" w:rsidRDefault="0025129F" w:rsidP="0025129F">
      <w:pPr>
        <w:pStyle w:val="TextoNormal"/>
      </w:pPr>
      <w:r>
        <w:t xml:space="preserve">b) La querella recayó por turno de reparto en el Juzgado de Instrucción núm. 22 de Barcelona, ante el cual se personó la recurrente interesando la admisión a trámite de la querella. Con posterioridad este Juzgado remitió las actuaciones al de Instrucción núm. 15 de Barcelona, el cual transformó el sumario en procedimiento abreviado a través de Auto de 13 de julio de 1990. Mediante Auto de 7 de marzo de 1991 se acordó el sobreseimiento libre y el archivo de las diligencias previas por no considerar constitutivos de delito los hechos examinados, "con reserva a favor de la parte querellante de las acciones que en el orden jurisdiccional civil pudiera ejercitar por los posibles daños y perjuicios sufridos". </w:t>
      </w:r>
    </w:p>
    <w:p w:rsidR="0025129F" w:rsidRDefault="0025129F" w:rsidP="0025129F">
      <w:pPr>
        <w:pStyle w:val="TextoNormal"/>
      </w:pPr>
      <w:r>
        <w:t xml:space="preserve">c) El 11 de junio de 1991 la solicitante de amparo interpuso demanda incidental de protección civil del derecho al honor, a la intimidad personal y a la propia imagen, al amparo de la Ley Orgánica 1/1982, contra ambos periodistas y contra Radio Popular, Cadena de Ondas Populares, S.A., (COPE). En la demanda se solicitaba la condena de los demandados como autores de una intromisión ilegítima en el derecho al honor o, en su caso, en la intimidad de la actora, y el pago de veinticinco millones de pesetas en concepto de indemnización. Por Sentencia de 30 de septiembre de 1992 el Juez de Primera Instancia núm. 12 de Barcelona estimó parcialmente la demanda, declarando que los demandados fueron causantes de una intromisión ilegítima en los derechos al honor y a la intimidad de la actora, condenándoles a la difusión de la Sentencia en el mismo programa que tuvo lugar la lesión o en otro de similar audiencia, y a indemnizar solidariamente a aquélla en la cantidad de cinco millones de pesetas. La Sentencia rechazó la alegación de caducidad de la acción opuesta por los demandados, señalando que el plazo de cuatro años fijado por el art. 9.5 de la Ley Orgánica 1/1982 debía empezar a contarse a partir de la terminación del pleito penal por sobreseimiento libre, el cual tuvo lugar el 7 de marzo de 1991 (fundamento jurídico primero). </w:t>
      </w:r>
    </w:p>
    <w:p w:rsidR="0025129F" w:rsidRDefault="0025129F" w:rsidP="0025129F">
      <w:pPr>
        <w:pStyle w:val="TextoNormal"/>
      </w:pPr>
      <w:r>
        <w:t xml:space="preserve">d) Contra la anterior resolución, don Luis del Olmo, Radio Popular, Cadena de Ondas Populares, S.A., (COPE) y el Ministerio Fiscal formularon recurso de apelación, que fue desestimado por Sentencia de la Sección Decimosexta de la Audiencia Provincial de Barcelona de fecha 28 de abril de 1994, confirmatoria de la Sentencia de instancia en su integridad. La Audiencia Provincial rechazó de nuevo la objeción de caducidad de la acción, indicando que la perjudicada reaccionó de forma inmediata ante la emisión radiofónica que consideró lesiva para su honor ejercitando los derechos que le concede la Ley 1/1982 en vía penal, a pesar de que esta jurisdicción hubiera entretenido "los papeles" más de cinco años para acabar remitiendo las actuaciones a la jurisdicción civil. </w:t>
      </w:r>
    </w:p>
    <w:p w:rsidR="0025129F" w:rsidRDefault="0025129F" w:rsidP="0025129F">
      <w:pPr>
        <w:pStyle w:val="TextoNormal"/>
      </w:pPr>
      <w:r>
        <w:lastRenderedPageBreak/>
        <w:t xml:space="preserve">e) Frente a la Sentencia anterior Radio Popular, Cadena de Ondas Populares, S.A., (COPE) interpuso recurso de casación alegando defecto en el ejercicio de jurisdicción, transgresión del art. 9.5 de la Ley 1/1982, e infracción de la jurisprudencia aplicable respecto a la indemnización fijada en instancia, y solicitó que se admitiera la caducidad de la acción alegada dictando nueva resolución con dicho pronunciamiento. La demandante de amparo impugnó el recurso, interesando su inadmisión, y el Ministerio Fiscal informó negativamente la estimación del recurso dado el objeto del pleito y la conducta imputada. </w:t>
      </w:r>
    </w:p>
    <w:p w:rsidR="0025129F" w:rsidRDefault="0025129F" w:rsidP="0025129F">
      <w:pPr>
        <w:pStyle w:val="TextoNormal"/>
      </w:pPr>
      <w:r>
        <w:t xml:space="preserve">Por Sentencia de 28 de septiembre de 1998 la Sala de lo Civil del Tribunal Supremo declaró haber lugar al recurso, desestimando la demanda deducida por la hoy recurrente en amparo y absolviendo a don Luis del Olmo, a don Jesús Pérez Mariñas y a Radio Popular, Cadena de Ondas Populares, S.A., (COPE) de los pedimentos formulados en el escrito inicial. La Sentencia estima el segundo de los motivos de casación, por infracción del art. 9.5 de la Ley 1/982, que alegaba caducidad de la acción civil en base a que ésta y la acción penal son distintas. La Sala, después de afirmar el derecho del perjudicado a elegir la vía judicial que estime conveniente, sienta por primera vez el criterio según el cual el ejercicio de la acción penal lleva consigo el efecto de la extinción de la acción civil por tratarse del ejercicio de un derecho de opción, y argumenta que la posibilidad de ejercer la vía civil después de agotada la penal equivaldría a mantener indefinidamente la posibilidad reclamatoria, lo que sería contrario al espíritu de la Ley 1/1982, que emplea el instituto de la caducidad, y no el de la prescripción, para el plazo de ejercicio de las acciones, que fija en cuatro años. </w:t>
      </w:r>
    </w:p>
    <w:p w:rsidR="0025129F" w:rsidRDefault="0025129F" w:rsidP="0025129F">
      <w:pPr>
        <w:pStyle w:val="TextoNormal"/>
      </w:pPr>
      <w:r>
        <w:t xml:space="preserve">Por otro lado el Tribunal Supremo da por caducada la vertiente civil en virtud del transcurso del tiempo al entender que habían transcurrido más de cuatro años desde que la recurrente tuvo conocimiento de la intromisión (febrero de 1986) hasta la presentación de la demanda (junio de 1991). Interpreta la Sala que, de acuerdo con el art. 9.5 de la Ley Orgánica 1/1982, el dies a quo para el cómputo del plazo de las acciones de protección frente a las intromisiones ilegítimas se determina "desde que el legitimado pudo ejercerlas", habiendo tenido la recurrente la facultad de elegir la vía civil al conocer la intromisión que hipotéticamente le afecta en los meses de noviembre y diciembre de 1985. La perjudicada optó por la vía penal, habiendo transcurrido el plazo de cinco años cuando finalizó el procedimiento penal por Auto de sobreseimiento, sin que la extensa duración de la tramitación de las diligencias penales, más de cinco años, haya perjudicado el transcurso del plazo de caducidad de la acción civil al no constituir un supuesto de fuerza mayor. La Sala remite a la recurrente a promover la oportuna reclamación por el funcionamiento anormal de la Administración de Justicia. </w:t>
      </w:r>
    </w:p>
    <w:p w:rsidR="0025129F" w:rsidRDefault="0025129F" w:rsidP="0025129F">
      <w:pPr>
        <w:pStyle w:val="TextoNormal"/>
      </w:pPr>
      <w:r>
        <w:t>La Sentencia se acompaña de los Votos particulares de dos Magistrados que discrepan de la mayoría de la Sala por entender que no debió considerarse extinguida la acción civil y que el plazo de caducidad debió entenderse suspendido durante la tramitación penal, reseñando el segundo que ésta hubiera sido la interpretación más acorde con el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recurrente alega en su demanda de amparo que la Sentencia del Tribunal Supremo ha vulnerado su derecho a la tutela judicial efectiva (art. 24.1 CE) al realizar una interpretación irrazonable y arbitraria de la legalidad que le deniega el acceso al proceso, puesto que le impide retroactivamente, y sin fundamento legal, la reparación de una lesión del derecho a la intimidad declarada previamente por las Sentencias de instancia. </w:t>
      </w:r>
    </w:p>
    <w:p w:rsidR="0025129F" w:rsidRDefault="0025129F" w:rsidP="0025129F">
      <w:pPr>
        <w:pStyle w:val="TextoNormal"/>
      </w:pPr>
      <w:r>
        <w:t xml:space="preserve">A su juicio la declaración de extinción de la acción civil efectuada por la Sentencia impugnada es contraria al art. 24.1 CE porque declara cerrado el paso al proceso de forma </w:t>
      </w:r>
      <w:r>
        <w:lastRenderedPageBreak/>
        <w:t xml:space="preserve">retroactiva y sin contar con ningún apoyo normativo. En este sentido argumenta que la Ley 1/1982 protege los derechos del art. 18 CE a través de la vía civil y penal, y que el ejercicio de la acción civil resarcitoria e indemnizatoria se identifica en ambos casos, razón por la que no puede ejercitarse de manera simultánea. Al afirmar la Sentencia impugnada que el ejercicio de la acción penal produjo la extinción de la acción civil, sin ningún apoyo legal y olvidando la declaración del Juez penal, denegó la tutela de derechos fundamentales con base en un obstáculo inexistente y no previsto normativamente. </w:t>
      </w:r>
    </w:p>
    <w:p w:rsidR="0025129F" w:rsidRDefault="0025129F" w:rsidP="0025129F">
      <w:pPr>
        <w:pStyle w:val="TextoNormal"/>
      </w:pPr>
      <w:r>
        <w:t xml:space="preserve">Por otro lado la recurrente añade que la Sentencia declara la caducidad de la acción civil por el transcurso de cuatro años con base en una interpretación del art. 9.5 de la Ley 1/1982 que resulta restrictiva en relación a la protección de los derechos fundamentales. Y ello porque no es posible sostener que el lapso durante el cual se tramitó la acción penal agotó el plazo de caducidad de cuatro años, pues la caducidad se suspendió cuando la acción se ejerció en plazo. La recurrente sostiene que una vez agotada la vía penal, ejerció la vía civil que le reservó el propio órgano judicial dentro del plazo que le restaba tras alzarse la señalada suspensión. Añade, por otra parte, que el Tribunal Supremo debió entender que el plazo de caducidad no puede ser computado si por fuerza mayor independiente de la voluntad del titular no puede ejercitarse la acción, y por ello el plazo debió comenzar a computarse desde que la ofendida pudo ejercer su acción, es decir, una vez finalizado el proceso penal. </w:t>
      </w:r>
    </w:p>
    <w:p w:rsidR="0025129F" w:rsidRDefault="0025129F" w:rsidP="0025129F">
      <w:pPr>
        <w:pStyle w:val="TextoNormal"/>
      </w:pPr>
      <w:r>
        <w:t>Por todo ello solicita de este Tribunal la concesión del amparo y que se declare que la Sentencia impugnada ha vulnerado el art. 24.1 CE, anulando dicho pronunciamiento y dejando subsistentes los efectuados por la Audiencia de Barcelona en su Sentencia de 28 de abril de 1994, que confirmó la dictada por el Juez de Primera Instancia núm. 12 de Barcelona el 30 de septiembre de 1992.</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13 de septiembre de 1999 la Sección Tercera del Tribunal acordó abrir el trámite previsto en el art. 50.3 LOTC, concediendo un plazo común de diez días al Fiscal y a la solicitante de amparo para alegaciones a los fines del expresado precepto. La recurrente presentó su escrito de alegaciones el 14 de octubre de 1999, en el que dio por reproducido el contenido íntegro de la demanda de amparo, destacando el contenido constitucional de las quejas que en ella se vierten, en concreto, por vulneración del art. 24.1 CE al haber realizado la Sentencia impugnada una interpretación de la Ley 1/1982 contraria a dicho precepto constitucional. El Ministerio público, en escrito registrado el 20 de octubre de 1999, propuso la admisión a trámite de la demanda por no carecer de contenido constitucional. A su juicio el recurso de amparo no plantea una cuestión de legalidad ordinaria porque, de acuerdo con el art. 9 de la Ley 1/1982, el ejercicio de la vía penal conlleva, en caso de no renunciar a ello, el ejercicio de la acción civil, y la desestimación judicial de la primera no supone la desestimación de la segunda. Al desconocer el Tribunal Supremo que el ejercicio de la acción civil se hizo al mismo tiempo que la penal, por elección de esa vía protectora, se cerró el acceso al proceso creando un obstáculo procesal formalista y enervante que vulneró el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providencia de 3 de diciembre de 1999 la Sala Segunda acordó la admisión a trámite de la demanda y, de acuerdo con lo dispuesto en el art. 51 LOTC, requerir a la Sala Primera del Tribunal Supremo y a la Sección Decimosexta de la Audiencia Provincial de Barcelona para que, en el plazo de diez días, remitiesen, respectivamente, certificación o fotocopia adverada de las actuaciones correspondientes al recurso de casación núm. 1808/94 y al rollo de apelación núm. 855/93. Asimismo se acordó requerir al Juzgado de </w:t>
      </w:r>
      <w:r>
        <w:lastRenderedPageBreak/>
        <w:t>Primera Instancia núm. 12 de Barcelona la remisión, en el mismo plazo, de las actuaciones correspondientes al juicio de protección civil del derecho al honor, intimidad personal y propia imagen núm. 776/91, interesando al propio tiempo que se emplazara a quienes fueron parte en el procedimiento, con excepción de la recurrente, para que, en el plazo de diez días, pudieran comparecer en el presente proceso.</w:t>
      </w:r>
    </w:p>
    <w:p w:rsidR="0025129F" w:rsidRDefault="0025129F" w:rsidP="0025129F">
      <w:pPr>
        <w:pStyle w:val="TextoNormal"/>
      </w:pPr>
    </w:p>
    <w:p w:rsidR="0025129F" w:rsidRDefault="0025129F" w:rsidP="0025129F">
      <w:pPr>
        <w:pStyle w:val="TextoNormal"/>
      </w:pPr>
      <w:r w:rsidRPr="0025129F">
        <w:rPr>
          <w:rStyle w:val="NumeroAFNegritaCaracter"/>
        </w:rPr>
        <w:t>6</w:t>
      </w:r>
      <w:r>
        <w:t>. Por escrito presentado el 25 de enero de 2000 la Procuradora de los Tribunales doña María Eva de Guinea Ruenes solicitó personarse en el proceso en nombre de la solicitante de amparo, en sustitución del Procurador que hasta entonces había ostentado dicha representación, por haber causado éste baja en el correspondiente colegio profesional. Por diligencia de ordenación de 31 de enero de 2000 la Sala Segunda acordó tener por personada a la Procuradora doña María Eva de Guinea Ruenes en nombre y representación de doña Isabel Preysler Arrastia, acordándose entender con ella las sucesivas actuaciones.</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la Sala Segunda de 23 de mayo de 2000 se tuvo por recibido testimonio de los autos de menor cuantía núm. 776/91 del Juzgado de Primera Instancia núm. 12 de Barcelona, y se acordó librar comunicación al mencionado Juzgado requiriéndole que, a la mayor brevedad, practicara el emplazamiento de don Jesús Pérez Mariñas a fin de que, en plazo de diez días, pudiera comparecer en el amparo.</w:t>
      </w:r>
    </w:p>
    <w:p w:rsidR="0025129F" w:rsidRDefault="0025129F" w:rsidP="0025129F">
      <w:pPr>
        <w:pStyle w:val="TextoNormal"/>
      </w:pPr>
    </w:p>
    <w:p w:rsidR="0025129F" w:rsidRDefault="0025129F" w:rsidP="0025129F">
      <w:pPr>
        <w:pStyle w:val="TextoNormal"/>
      </w:pPr>
      <w:r w:rsidRPr="0025129F">
        <w:rPr>
          <w:rStyle w:val="NumeroAFNegritaCaracter"/>
        </w:rPr>
        <w:t>8</w:t>
      </w:r>
      <w:r>
        <w:t>. Mediante escrito presentado el 17 de enero de 2001 la Procuradora de los Tribunales doña Elena Lourdes Fernández Fernández, en representación de don Jesús Pérez Mariñas, se personó en el proceso de amparo solicitando que se entendieran con ella las actuaciones sucesivas.</w:t>
      </w:r>
    </w:p>
    <w:p w:rsidR="0025129F" w:rsidRDefault="0025129F" w:rsidP="0025129F">
      <w:pPr>
        <w:pStyle w:val="TextoNormal"/>
      </w:pPr>
    </w:p>
    <w:p w:rsidR="0025129F" w:rsidRDefault="0025129F" w:rsidP="0025129F">
      <w:pPr>
        <w:pStyle w:val="TextoNormal"/>
      </w:pPr>
      <w:r w:rsidRPr="0025129F">
        <w:rPr>
          <w:rStyle w:val="NumeroAFNegritaCaracter"/>
        </w:rPr>
        <w:t>9</w:t>
      </w:r>
      <w:r>
        <w:t>. Por escrito registrado el 4 de febrero de 2000 el Procurador de los Tribunales don Manuel Lanchares Perlado, en nombre de Radio Popular, Cadena de Ondas Populares, S.A., (COPE) se personó en el proceso, solicitando que se entendieran con él las actuaciones sucesivas y se le concediera vista de las practicadas para presentar alegaciones.</w:t>
      </w:r>
    </w:p>
    <w:p w:rsidR="0025129F" w:rsidRDefault="0025129F" w:rsidP="0025129F">
      <w:pPr>
        <w:pStyle w:val="TextoNormal"/>
      </w:pPr>
    </w:p>
    <w:p w:rsidR="0025129F" w:rsidRDefault="0025129F" w:rsidP="0025129F">
      <w:pPr>
        <w:pStyle w:val="TextoNormal"/>
      </w:pPr>
      <w:r w:rsidRPr="0025129F">
        <w:rPr>
          <w:rStyle w:val="NumeroAFNegritaCaracter"/>
        </w:rPr>
        <w:t>10</w:t>
      </w:r>
      <w:r>
        <w:t>. Por diligencia de ordenación de la Sala Segunda de 25 de enero de 2001 se acordó tener por personados y parte en el procedimiento al Procurador don Manuel Lanchares Perlado y a la Procuradora doña Elena Lourdes Fernández Fernández, en nombre y representación de Radio Popular, Cadena de Ondas Populares, S.A., (COPE) y de don Jesús Pérez Mariñas, respectivamente, entendiéndose con ellos las sucesivas actuaciones. Asimismo se acordó dar vista de las actuaciones recibidas a las partes personadas y al Ministerio Fiscal, por un plazo común de veinte días, para que pudieran presentar las alegaciones que tuviesen por convenientes.</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En escrito presentado el 26 de febrero de 2001 el Procurador de los Tribunales don Manuel Lanchares Perlado, en nombre de Radio Popular, Cadena de Ondas Populares, S.A., (COPE) formuló alegaciones solicitando la desestimación del amparo por inexistencia de vulneración del derecho a la tutela judicial efectiva. Señala que, de acuerdo con la Ley Orgánica 1/1982, modificada por la Ley Orgánica 10/1995, una vez la recurrente eligió la vía penal se extinguió la vía civil, y en todo caso, cuando aquélla la ejerció ya había </w:t>
      </w:r>
      <w:r>
        <w:lastRenderedPageBreak/>
        <w:t>caducado por el transcurso de los cuatro años, sin que pueda atribuirse fuerza de Ley al pronunciamiento del juez de lo penal.</w:t>
      </w:r>
    </w:p>
    <w:p w:rsidR="0025129F" w:rsidRDefault="0025129F" w:rsidP="0025129F">
      <w:pPr>
        <w:pStyle w:val="TextoNormal"/>
      </w:pPr>
    </w:p>
    <w:p w:rsidR="0025129F" w:rsidRDefault="0025129F" w:rsidP="0025129F">
      <w:pPr>
        <w:pStyle w:val="TextoNormal"/>
      </w:pPr>
      <w:r w:rsidRPr="0025129F">
        <w:rPr>
          <w:rStyle w:val="NumeroAFNegritaCaracter"/>
        </w:rPr>
        <w:t>12</w:t>
      </w:r>
      <w:r>
        <w:t>. En el escrito de alegaciones presentado el 27 de febrero de 2001 la Procuradora doña Elena Lourdes Fernández Fernández, en nombre de don Jesús Pérez Mariñas, afirma que de acuerdo con el art. 9.5 de la Ley Orgánica 1/1982, la demanda de protección civil presentada en 1991 había caducado, y que, en todo caso, las expresiones pretendidamente injuriosas del Sr. Mariñas no constituyeron una intromisión ilegítima en la privacidad de la demandante.</w:t>
      </w:r>
    </w:p>
    <w:p w:rsidR="0025129F" w:rsidRDefault="0025129F" w:rsidP="0025129F">
      <w:pPr>
        <w:pStyle w:val="TextoNormal"/>
      </w:pPr>
    </w:p>
    <w:p w:rsidR="0025129F" w:rsidRDefault="0025129F" w:rsidP="0025129F">
      <w:pPr>
        <w:pStyle w:val="TextoNormal"/>
      </w:pPr>
      <w:r w:rsidRPr="0025129F">
        <w:rPr>
          <w:rStyle w:val="NumeroAFNegritaCaracter"/>
        </w:rPr>
        <w:t>13</w:t>
      </w:r>
      <w:r>
        <w:t>. En su escrito de alegaciones, registrado el 14 de febrero de 2001, la representación procesal de la recurrente dio por reproducidos los argumentos vertidos en la demanda de amparo, haciendo suyos los expresados por el Ministerio Fiscal en su escrito de 20 de octubre de 1999, invocando la STC 297/1994, en el que el Tribunal estimó el amparo en un caso semejante al que aquí se plantea.</w:t>
      </w:r>
    </w:p>
    <w:p w:rsidR="0025129F" w:rsidRDefault="0025129F" w:rsidP="0025129F">
      <w:pPr>
        <w:pStyle w:val="TextoNormal"/>
      </w:pPr>
    </w:p>
    <w:p w:rsidR="0025129F" w:rsidRDefault="0025129F" w:rsidP="0025129F">
      <w:pPr>
        <w:pStyle w:val="TextoNormal"/>
      </w:pPr>
      <w:r w:rsidRPr="0025129F">
        <w:rPr>
          <w:rStyle w:val="NumeroAFNegritaCaracter"/>
        </w:rPr>
        <w:t>14</w:t>
      </w:r>
      <w:r>
        <w:t xml:space="preserve">. Finalmente el Ministerio Fiscal presentó su escrito de alegaciones el 5 de marzo de 2001, interesando el otorgamiento del amparo por entender que la Sentencia del Tribunal Supremo, aquí impugnada, vulnera el derecho a la tutela judicial efectiva. Y ello porque, de acuerdo con la jurisprudencia constitucional sobre el instituto de la caducidad, la resolución recurrida realiza una interpretación de los preceptos legales, en concreto del art. 9.5 de la Ley Orgánica 1/1982, que supone una desproporción manifiesta entre los fines que preservan los requisitos que se dicen vulnerados y los intereses que se sacrifican, en este caso el acceso a la jurisdicción para la defensa del derecho fundamental al honor. </w:t>
      </w:r>
    </w:p>
    <w:p w:rsidR="0025129F" w:rsidRDefault="0025129F" w:rsidP="0025129F">
      <w:pPr>
        <w:pStyle w:val="TextoNormal"/>
      </w:pPr>
      <w:r>
        <w:t xml:space="preserve">El Fiscal analiza los dos argumentos que esgrime la Sala Primera del Tribunal Supremo para afirmar, por un lado, la extinción de la acción civil, y, por otro, la caducidad de la misma. En relación a la primera señala que en el momento de producirse los hechos existían varios cauces procesales frente a las vulneraciones del honor, y que la conclusión de la Sala, afirmando que "el ejercicio de la acción penal lleva consigo la extinción de la acción civil", no se apoyó en ninguna norma vigente y contradijo el art. 116 LECrim, el cual únicamente otorga virtualidad extintiva de la acción civil al ejercicio de la acción penal cuando, producido tal ejercicio, se declara por sentencia firme que no ocurrió el hecho del que nace la acción civil, supuesto que no se dio en el presente caso, como estableció el Auto de sobreseimiento. Se produjo, pues, vulneración del derecho a la tutela judicial efectiva por inaplicación de la legislación que desarrolla dicho derecho fundamental. </w:t>
      </w:r>
    </w:p>
    <w:p w:rsidR="0025129F" w:rsidRDefault="0025129F" w:rsidP="0025129F">
      <w:pPr>
        <w:pStyle w:val="TextoNormal"/>
      </w:pPr>
      <w:r>
        <w:t xml:space="preserve">En relación a la caducidad apreciada por la Sala en virtud del transcurso de cuatro años desde que la recurrente tuvo conocimiento de la intromisión (febrero de 1986) hasta la presentación de la demanda (junio de 1991) señala el Fiscal que, a pesar de la dicción literal del art. 9.5 de la Ley Orgánica 1/982, el plazo que allí se fija puede considerarse de prescripción, y, por ende, susceptible de interrupción por el ejercicio de la acción, conforme a lo dispuesto en el art. 1973 CC. La Sentencia recurrida, al impedir el examen de la demanda por considerar que el plazo para el ejercicio de la acción era de caducidad, vulneró el art. 24 CE. </w:t>
      </w:r>
    </w:p>
    <w:p w:rsidR="0025129F" w:rsidRDefault="0025129F" w:rsidP="0025129F">
      <w:pPr>
        <w:pStyle w:val="TextoNormal"/>
      </w:pPr>
      <w:r>
        <w:t xml:space="preserve">Finalmente señala que el criterio interpretativo del Tribunal Supremo es contrario al art. 24 CE porque supone un sacrificio desproporcionado de intereses, dado que las víctimas de intromisiones ilegítimas en su derecho al honor que decidieran ejercer la acción penal deberían plantear su demanda civil antes de cuatro años para acceder a la jurisdicción, </w:t>
      </w:r>
      <w:r>
        <w:lastRenderedPageBreak/>
        <w:t xml:space="preserve">demanda que tendría que archivarse o paralizarse hasta que recayera Sentencia en el proceso penal, en cuyo caso el destino de la demanda dependería del contenido de la resolución que pusiera fin al proceso penal. </w:t>
      </w:r>
    </w:p>
    <w:p w:rsidR="0025129F" w:rsidRDefault="0025129F" w:rsidP="0025129F">
      <w:pPr>
        <w:pStyle w:val="TextoNormal"/>
      </w:pPr>
      <w:r>
        <w:t>Por todo ello el Fiscal interesa que se dicte Sentencia en la que se declare que se ha vulnerado el derecho a la tutela judicial efectiva, anulando la Sentencia impugnada y retrotrayendo las actuaciones al momento anterior a dictar Sentencia para que se dicte otra que respete el contenido del citado derecho fundamental.</w:t>
      </w:r>
    </w:p>
    <w:p w:rsidR="0025129F" w:rsidRDefault="0025129F" w:rsidP="0025129F">
      <w:pPr>
        <w:pStyle w:val="TextoNormal"/>
      </w:pPr>
    </w:p>
    <w:p w:rsidR="0025129F" w:rsidRDefault="0025129F" w:rsidP="0025129F">
      <w:pPr>
        <w:pStyle w:val="TextoNormal"/>
      </w:pPr>
      <w:r w:rsidRPr="0025129F">
        <w:rPr>
          <w:rStyle w:val="NumeroAFNegritaCaracter"/>
        </w:rPr>
        <w:t>15</w:t>
      </w:r>
      <w:r>
        <w:t>. Por providencia de 4 de abril de 2002 se señaló para la deliberación y votación de la presente Sentencia el día 8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la Sentencia de 28 de septiembre de 1998 de la Sala de lo Civil del Tribunal Supremo, que declaró haber lugar al recurso de casación formulado contra la Sentencia de 28 de abril de 1994 de la Audiencia Provincial de Barcelona, confirmatoria en apelación de la dictada por el Juez de Primera Instancia núm. 12 de Barcelona el 30 de septiembre de 1992. Esta última estimó parcialmente la demanda incidental de protección civil del derecho al honor, a la intimidad personal y a la propia imagen interpuesta el 11 de junio de 1991 por la aquí recurrente al amparo de la Ley Orgánica 1/1982; y declaró que los comentarios sobre su vida privada vertidos el 27 de noviembre de 1985 por los periodistas don Luis del Olmo y don Jesús Mariñas en el programa "Protagonistas", emitido por Radio Popular, Cadena de Ondas Populares, S.A., (COPE) constituyeron una intromisión ilegítima en sus derechos al honor y la intimidad, condenándoles a la difusión de la Sentencia en el mismo programa que tuvo lugar la lesión o en otro de similar audiencia y a indemnizarla solidariamente en la cantidad de cinco millones de pesetas.</w:t>
      </w:r>
    </w:p>
    <w:p w:rsidR="0025129F" w:rsidRDefault="0025129F" w:rsidP="0025129F">
      <w:pPr>
        <w:pStyle w:val="TextoNormal"/>
      </w:pPr>
      <w:r>
        <w:t>La recurrente en amparo había interpuesto previamente, con fecha 7 de febrero de 1986, querella criminal por un presunto delito de injurias por los mismos hechos, y, después de una larga tramitación procesal, el Juez de Instrucción núm. 15 de Barcelona acordó, mediante Auto de 7 de marzo de 1991, el sobreseimiento libre y el archivo de las diligencias previas por no considerar constitutivos de delito los hechos examinados, con reserva a favor de la parte querellante de las acciones que en el orden jurisdiccional civil pudiera ejercitar por los posibles daños y perjuicios sufridos.</w:t>
      </w:r>
    </w:p>
    <w:p w:rsidR="0025129F" w:rsidRDefault="0025129F" w:rsidP="0025129F">
      <w:pPr>
        <w:pStyle w:val="TextoNormal"/>
      </w:pPr>
      <w:r>
        <w:t>La Sentencia del Tribunal Supremo que ahora se recurre en amparo declara la caducidad de la acción civil en aplicación del art. 9.5 de la Ley Orgánica 1/982. La Sala sienta por primera vez el criterio de que el ejercicio de la acción penal lleva consigo el efecto de la extinción de la acción civil por tratarse del ejercicio de un derecho de opción, y argumenta que la posibilidad de ejercer la vía civil después de agotada la penal equivaldría a mantener indefinidamente la posibilidad reclamatoria, lo que sería contrario al espíritu de la Ley Orgánica 1/1982, que emplea el instituto de la caducidad, y no el de la prescripción, para el plazo de ejercicio de las acciones.  Por otro lado da por caducada la vertiente civil en virtud del transcurso del tiempo y considera que, según el art. 9.5 de la Ley Orgánica 1/1982, el dies a quo para el cómputo del plazo de ejercicio de la acción es aquel en el cual el legitimado pudo ejercer las acciones de protección frente a las intromisiones ilegítimas. La recurrente pudo elegir la vía civil al conocer la intromisión, pero optó por la vía penal, habiendo transcurrido cinco años cuando finalizó el procedimiento penal por Auto de so</w:t>
      </w:r>
      <w:r>
        <w:lastRenderedPageBreak/>
        <w:t>breseimiento, sin que la extensa duración de su tramitación haya perjudicado el transcurso del plazo de caducidad al no constituir un supuesto de fuerza mayor.</w:t>
      </w:r>
    </w:p>
    <w:p w:rsidR="0025129F" w:rsidRDefault="0025129F" w:rsidP="0025129F">
      <w:pPr>
        <w:pStyle w:val="TextoNormal"/>
      </w:pPr>
      <w:r>
        <w:t>La demandante de amparo alega que la Sentencia frente a la cual dirige su queja vulnera su derecho a la tutela judicial efectiva (art. 24.1 CE) porque realiza una interpretación irrazonable y arbitraria de la legalidad que le deniega el acceso al proceso, ya que le impide retroactivamente, y sin fundamento legal, la reparación de una lesión del derecho a la intimidad declarada previamente por las Sentencias de instancia. En relación a la declaración de extinción de la acción civil por el ejercicio de la acción penal señala que la Sala deniega la tutela de derechos fundamentales con base en un obstáculo inexistente y no previsto normativamente, puesto que la Ley Orgánica 1/1982 protege los derechos del art. 18 CE a través de la vía civil y penal, y que el ejercicio de la acción civil se identifica en ambos casos, razón por la cual no puede ejercitarse de manera simultánea.</w:t>
      </w:r>
    </w:p>
    <w:p w:rsidR="0025129F" w:rsidRDefault="0025129F" w:rsidP="0025129F">
      <w:pPr>
        <w:pStyle w:val="TextoNormal"/>
      </w:pPr>
      <w:r>
        <w:t>En relación a la declaración de caducidad de la acción civil por el transcurso de cuatro años alega que no es posible sostener que el lapso en el que se tramitó la acción penal agotó el plazo de caducidad, pues éste se suspendió cuando la acción se ejerció en plazo, y en todo caso el Tribunal Supremo debió entender que el plazo de caducidad no podía ser computado si por fuerza mayor independiente de la voluntad del titular no podía ejercitarse la acción, y por ello el plazo debió comenzar a computarse desde que la ofendida pudo ejercer su acción; es decir, una vez finalizado el proceso penal.</w:t>
      </w:r>
    </w:p>
    <w:p w:rsidR="0025129F" w:rsidRDefault="0025129F" w:rsidP="0025129F">
      <w:pPr>
        <w:pStyle w:val="TextoNormal"/>
      </w:pPr>
      <w:r>
        <w:t>También el Ministerio Fiscal entiende que la Sentencia impugnada vulnera el derecho a la tutela judicial efectiva porque realiza una interpretación del art. 9.5 de la Ley Orgánica 1/1982 que supone una desproporción manifiesta entre los fines que preservan los requisitos que se dicen vulnerados y los intereses que se sacrifican, en este caso el acceso a la jurisdicción para la defensa del derecho fundamental al honor. Respecto a la declaración de extinción de la acción civil alega que la conclusión de la Sala, según la cual el ejercicio de la acción penal lleva consigo la extinción de la acción civil, no se apoya en ninguna norma vigente, y contradice el art. 116 LECrim, que únicamente otorga virtualidad extintiva de la acción civil al ejercicio de la acción penal cuando, producido tal ejercicio, se declara por sentencia firme que no ocurrió el hecho del que nace la acción civil, lo cual no se dio en el presente caso, como estableció el Auto de sobreseimiento. En relación a la caducidad apreciada por la Sala señala que, a pesar de la dicción literal del art. 9.5 de la Ley Orgánica 1/982, el plazo que allí se fija puede considerarse de prescripción, y, por ende, susceptible de interrupción por el ejercicio de la acción, conforme a lo dispuesto en el art. 1973 CC. El Fiscal considera que el criterio interpretativo del Tribunal Supremo también es contrario al art. 24 CE porque supone un sacrificio desproporcionado de intereses, dado que las víctimas de intromisiones ilegítimas en su derecho al honor que decidieran ejercer la acción penal deberían plantear su demanda civil antes de cuatro años para acceder a la jurisdicción, demanda que tendría que archivarse o paralizarse hasta que recayera Sentencia en el proceso penal, en cuyo caso el destino de la demanda dependería del contenido de la resolución que pusiera fin al proceso penal.</w:t>
      </w:r>
    </w:p>
    <w:p w:rsidR="0025129F" w:rsidRDefault="0025129F" w:rsidP="0025129F">
      <w:pPr>
        <w:pStyle w:val="TextoNormal"/>
      </w:pPr>
      <w:r>
        <w:t>Las representaciones procesales de Radio Popular, Cadena de Ondas Populares, S.A., (COPE) y de don Jesús Pérez Mariñas, personadas en este proceso, solicitan la desestimación del amparo por inexistencia de vulneración del derecho a la tutela judicial efectiva al considerar que una vez la recurrente eligió la vía penal, se extinguió la vía civil, y, en todo caso, cuando aquélla la ejerció ya había caducado por el transcurso de cuatro años.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Tal como ha quedado expuesto en los antecedentes, y se deduce de las alegaciones de las partes, la cuestión debatida en presente recurso de amparo es si la Sentencia del </w:t>
      </w:r>
      <w:r>
        <w:lastRenderedPageBreak/>
        <w:t>Tribunal Supremo de 28 de septiembre de 1998 vulneró el derecho a la tutela judicial efectiva (art. 24.1 CE) de la recurrente al realizar una interpretación de los arts. 1.2 y 9.5 de la Ley Orgánica 1/1982 a virtud de la cual el ejercicio de la acción penal supuso la extinción, concluso el proceso penal, de la posibilidad del ejercicio subsiguiente de la acción civil ante esta jurisdicción, así como que, en todo caso, la posibilidad de ejercitar la acción civil ante tal jurisdicción habría caducado por el transcurso de cuatro años, sin que el ejercicio de la acción penal supusiese interrupción ni suspensión del citado plazo de caducidad. Merced a esta interpretación, el Tribunal Supremo, después de casar la Sentencia recurrida, absolvió a don Luis del Olmo Maroto, a don Jesús Pérez Mariñas y a la Entidad Radio Popular, Cadena de Ondas Populares, S.A., (COPE) de la demanda planteada por doña Isabel Preysler Arrastia.</w:t>
      </w:r>
    </w:p>
    <w:p w:rsidR="0025129F" w:rsidRDefault="0025129F" w:rsidP="0025129F">
      <w:pPr>
        <w:pStyle w:val="TextoNormal"/>
      </w:pPr>
      <w:r>
        <w:t>Como se acaba de indicar, el Tribunal Supremo fundó la declaración de haber lugar a la casación de la Sentencia recurrida y la desestimación de la demanda deducida por la ahora recurrente en amparo en dos argumentos bien diferenciados, si bien se encuentran relacionados por situarse ambos en el modo de articularse el ejercicio la acción penal y civil (ante una y otra jurisdicción) derivada de hechos que pudieran revestir caracteres delictivos y en las peculiaridades que pudiera comportar el hecho de tener en su base una pretendida lesión del derecho al honor, a la intimidad y a la propia imagen.</w:t>
      </w:r>
    </w:p>
    <w:p w:rsidR="0025129F" w:rsidRDefault="0025129F" w:rsidP="0025129F">
      <w:pPr>
        <w:pStyle w:val="TextoNormal"/>
      </w:pPr>
    </w:p>
    <w:p w:rsidR="0025129F" w:rsidRDefault="0025129F" w:rsidP="0025129F">
      <w:pPr>
        <w:pStyle w:val="TextoNormal"/>
      </w:pPr>
      <w:r w:rsidRPr="0025129F">
        <w:rPr>
          <w:rStyle w:val="NumeroAFNegritaCaracter"/>
        </w:rPr>
        <w:t>3</w:t>
      </w:r>
      <w:r>
        <w:t>. Para valorar si la decisión recurrida en amparo vulnera efectivamente el art. 24.1 CE es preciso partir de la consolidada doctrina de este Tribunal según la cual una de las proyecciones del derecho fundamental a la tutela judicial efectiva consiste en el acceso a la jurisdicción, que se concreta en el derecho a ser parte en un proceso para poder promover la actividad jurisdiccional que desemboque en una decisión judicial sobre pretensiones deducidas, salvo que lo impida una razón fundada en un precepto expreso de una Ley, que a su vez sea respetuoso con el contenido esencial del derecho fundamental (SSTC 13/1981, de 22 de abril, FJ 1; 21/1981, de 15 de junio, FJ 15; 119/1983, de 14 de diciembre, FJ 1; 93/1984, de 16 de octubre, FJ 5.a; 220/1993, de 30 de junio, FJ 3; 36/1997, de 25 de febrero, FJ 3; 61/2000, de 13 de marzo, FJ 3; 193/2000, de 18 de julio, FJ 2). El derecho a la tutela judicial se satisface igualmente cuando los órganos judiciales, apreciando la concurrencia de un motivo legalmente previsto que impide el examen de fondo, así lo declaren de manera fundada mediante la aplicación razonada de aquella causa legal, de tal forma que una resolución de inadmisión o meramente procesal es constitucionalmente admisible siempre que el razonamiento responda a una interpretación de las normas legales de conformidad con la Constitución y en el sentido más favorable para la efectividad del derecho fundamental (SSTC 39/1999, de 22 de marzo, FJ 3; 259/2000, de 30 de octubre, FJ 2). Por el contrario el derecho de acceso a la tutela puede verse vulnerado por aquellas interpretaciones de las normas que son manifiestamente erróneas, irrazonables o se basan en criterios que por su rigorismo, formalismo excesivo o cualquier otra razón revelan una clara desproporción entre los fines que aquella causa preserva y los intereses que se sacrifican, de forma que la negación de la concurrencia del presupuesto o requisito en cuestión sea arbitraria o irrazonable (STC 311/2000, de 18 de diciembre, FJ 3).</w:t>
      </w:r>
    </w:p>
    <w:p w:rsidR="0025129F" w:rsidRDefault="0025129F" w:rsidP="0025129F">
      <w:pPr>
        <w:pStyle w:val="TextoNormal"/>
      </w:pPr>
      <w:r>
        <w:t xml:space="preserve">La especificación de esta doctrina a los presupuestos procesales nos ha llevado a reiterar que la interpretación de las normas procesales, y, más en concreto, la concurrencia de los presupuestos que condicionan la válida constitución del proceso, son, en principio, operaciones que no trascienden el ámbito de la legalidad ordinaria, que competen a los órganos judiciales en el ejercicio de la función jurisdiccional que les es propia ex art. 117.3 CE, no siendo función de este Tribunal Constitucional examinar la interpretación de </w:t>
      </w:r>
      <w:r>
        <w:lastRenderedPageBreak/>
        <w:t>la legalidad hecha por los órganos judiciales salvo que, por resultar manifiestamente arbitraria, claramente errónea o no satisfacer las exigencias de proporcionalidad inherentes a la restricción de todo derecho fundamental, impliquen en sí mismas una lesión del derecho a la tutela judicial efectiva (SSTC 140/1987, de 23 de julio, FJ 2; 132/1992, de 28 de septiembre, FJ 2; 138/1995, de 25 de septiembre, FJ 3; 88/1997, de 5 de mayo, FJ 2; 236/1998, de 14 de diciembre, FJ 2; 165/1999, de 27 de septiembre, FJ 3; 301/2000, de 11 de diciembre, FJ 2).</w:t>
      </w:r>
    </w:p>
    <w:p w:rsidR="0025129F" w:rsidRDefault="0025129F" w:rsidP="0025129F">
      <w:pPr>
        <w:pStyle w:val="TextoNormal"/>
      </w:pPr>
      <w:r>
        <w:t>En relación al caso particular de la apreciación de la prescripción y la caducidad constituye doctrina reiterada de este Tribunal que la interpretación efectuada por los Jueces y Tribunales de Justicia de las normas relativas tanto a los plazos de caducidad como a los de prescripción es una cuestión de legalidad ordinaria, es decir, de la exclusiva competencia de aquéllos (SSTC 27/1984, de 24 de febrero, 89/1992, de 8 de junio, 201/1992, de 30 de noviembre, 101/1993, de 22 de marzo, 164/1993, de 18 de mayo, 245/1993, de 19 de julio, 322/1993, de 8 de noviembre, y 47/1997, de 11 de marzo, y 160/1997, de 2 de octubre, dictada por el Pleno). Sólo por excepción, hemos afirmado, la interpretación de tal legalidad ordinaria alcanzará relevancia constitucional desde la perspectiva de la efectividad del derecho a la tutela judicial efectiva (art. 24.1 CE) cuando haga imposible en la práctica el ejercicio de la acción (así, en los supuestos que dieron lugar a las SSTC 262/1988, de 22 de diciembre, 47/1989, de 21 de febrero, 220/1993, de 30 de junio); cuando en la determinación de dicho plazo se incurra en un error patente (así, en el caso que motivó nuestra STC 201/1992, de 19 de noviembre), y, finalmente, cuando se apoye en un razonamiento puramente arbitrario o, lo que es igual, sencillamente absurdo (como consecuencia de nuestra doctrina general sobre las resoluciones judiciales manifiestamente arbitrarias: SSTC 89/1992, 245/1993 y 322/1993, entre otras).</w:t>
      </w:r>
    </w:p>
    <w:p w:rsidR="0025129F" w:rsidRDefault="0025129F" w:rsidP="0025129F">
      <w:pPr>
        <w:pStyle w:val="TextoNormal"/>
      </w:pPr>
      <w:r>
        <w:t xml:space="preserve">En este sentido hemos concretamente declarado que "no corresponde a este Tribunal revisar la legalidad aplicada ni establecer, en concreto, la interpretación que haya de darse a las normas que regulan los plazos de prescripción en el ejercicio de los derechos y acciones o establecen el cómputo de dichos plazos" (STC 220/1993). Ahora bien, nos hemos ocupado inmediatamente de advertir (en la última Sentencia citada) que "cuando este Tribunal, en innumerables ocasiones, declara que una determinada cuestión de Derecho es 'de legalidad ordinaria' o expresión similar,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 Consecuencia de todo ello es que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w:t>
      </w:r>
      <w:r>
        <w:lastRenderedPageBreak/>
        <w:t>de la legalidad; esto último puede no ocurrir sin que ello implique siempre la vulneración de un derecho fundamental."</w:t>
      </w:r>
    </w:p>
    <w:p w:rsidR="0025129F" w:rsidRDefault="0025129F" w:rsidP="0025129F">
      <w:pPr>
        <w:pStyle w:val="TextoNormal"/>
      </w:pPr>
      <w:r>
        <w:t>Inmediatamente hemos precisado, y tenemos que reiterar con énfasis ahora, que de ello no se deduce que este Tribunal comparta o haga suya la interpretación de la legalidad llevada a cabo por la Sentencia objeto de la demanda de amparo, ni desde el punto de vista de los institutos legales en sí mismos considerados, sobre los que este Tribunal no tiene porqué pronunciarse, ni desde la anteriormente señalada perspectiva del máximo influjo de los contenidos constitucionales en la interpretación de la legalidad, en lo que ciertamente debe admitirse la autoridad de este Tribunal.</w:t>
      </w:r>
    </w:p>
    <w:p w:rsidR="0025129F" w:rsidRDefault="0025129F" w:rsidP="0025129F">
      <w:pPr>
        <w:pStyle w:val="TextoNormal"/>
      </w:pPr>
      <w:r>
        <w:t>Finalmente, en cuanto a la relevancia del momento procesal en el que la apreciación de la prescripción, y vale ello ahora también para la caducidad, hemos puntualizado en varias ocasiones (últimamente en la STC 298/2000, de 11 de diciembre)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se inadmite la acción por una causa legal debidamente acreditada, siempre y cuando el órgano judicial en este caso aplique el Derecho razonadamente y no de modo arbitrario.</w:t>
      </w:r>
    </w:p>
    <w:p w:rsidR="0025129F" w:rsidRDefault="0025129F" w:rsidP="0025129F">
      <w:pPr>
        <w:pStyle w:val="TextoNormal"/>
      </w:pPr>
    </w:p>
    <w:p w:rsidR="0025129F" w:rsidRDefault="0025129F" w:rsidP="0025129F">
      <w:pPr>
        <w:pStyle w:val="TextoNormal"/>
      </w:pPr>
      <w:r w:rsidRPr="0025129F">
        <w:rPr>
          <w:rStyle w:val="NumeroAFNegritaCaracter"/>
        </w:rPr>
        <w:t>4</w:t>
      </w:r>
      <w:r>
        <w:t>. La argumentación hasta aquí desarrollada ha de llevarnos a entender que la apreciación de la caducidad de la acción de protección civil del derecho al honor, a la intimidad y a la propia imagen que se establece en la Ley Orgánica 1/1982 para ser ejercitada ante la jurisdicción civil supera el canon de razonabilidad, arbitrariedad y error patente con el que, según ya indicamos con anterioridad, hemos de confrontar la resolución judicial a la que la queja contenida en la demanda de amparo se refiere. En efecto, la Sentencia del Tribunal Supremo aquí recurrida, luego seguida en otra posterior de 31 de julio de 2000, arranca de una doble peculiaridad en el régimen jurídico aplicable a los hechos enjuiciados, que pasamos a analizar.</w:t>
      </w:r>
    </w:p>
    <w:p w:rsidR="0025129F" w:rsidRDefault="0025129F" w:rsidP="0025129F">
      <w:pPr>
        <w:pStyle w:val="TextoNormal"/>
      </w:pPr>
      <w:r>
        <w:t>En primer término hemos de tener presente que los hechos delictivos relativos a esta materia son de persecución privada (FJ 3, párrafos 5 y 12 de la Sentencia del Tribunal Supremo), por lo que el perjudicado dispone de una doble vía de protección establecida en los arts. 1.1 y 1.2 (nótese que a la sazón estaba vigente la redacción originaria de este artículo) de la Ley Orgánica 1/1982 (FJ 3, párrafo 4 de la misma citada Sentencia).</w:t>
      </w:r>
    </w:p>
    <w:p w:rsidR="0025129F" w:rsidRDefault="0025129F" w:rsidP="0025129F">
      <w:pPr>
        <w:pStyle w:val="TextoNormal"/>
      </w:pPr>
      <w:r>
        <w:t>Sobre esta cuestión cabe recordar que el art. 1.2 de esta Ley Orgánica, en la redacción originaria, mantenida hasta su reforma por la Disposición final quinta de la Ley Orgánica 10/1995, de 23 de noviembre, del Código penal, establecía que: "cuando la intromisión sea constitutiva de delito, se estará a lo dispuesto en el Código Penal. No obstante, serán aplicables los criterios de esta ley para la determinación de la responsabilidad civil derivada de delito."</w:t>
      </w:r>
    </w:p>
    <w:p w:rsidR="0025129F" w:rsidRDefault="0025129F" w:rsidP="0025129F">
      <w:pPr>
        <w:pStyle w:val="TextoNormal"/>
      </w:pPr>
      <w:r>
        <w:t>En el caso de que los hechos presuntamente lesivos del derecho a la honor a la intimidad personal y familiar y a la propia imagen fuesen aparentemente delictivos, la interpretación de este precepto en combinación con las reglas ordinarias de la Ley de enjuicia</w:t>
      </w:r>
      <w:r>
        <w:lastRenderedPageBreak/>
        <w:t>miento criminal (arts. 110 a 117) llevó a la jurisprudencia del Tribunal Supremo a distinguir según que se tratase de delitos que, por afectar a funcionarios públicos o autoridades, fuesen perseguibles de oficio o, por el contrario, fuesen perseguibles a instancia del ofendido mediante denuncia o querella según los casos, por no ser los perjudicados afectados en consideración a ninguna condición pública. En el primer supuesto el Tribunal Supremo entendió que la apariencia delictiva de los hechos determinaba, a tenor del art. 1.2 de la Ley Orgánica 1/1982, que hubiera de conocer la jurisdicción penal con preferencia absoluta. Esta línea jurisprudencial, que se inicia con la STS de 11 de noviembre de 1988 y continúa con las de 27 de enero, 7 y 23 de febrero, 17 de marzo, 14 de abril, 22 de junio, 6 y 14 de julio, y 11 de octubre de 1989, 4 de octubre y 14 de noviembre de 1991, dio lugar a estimación de la excepción de incompetencia de jurisdicción o a la desestimación de los recursos de casación que se deducían por su estimación en las sentencias de instancia.</w:t>
      </w:r>
    </w:p>
    <w:p w:rsidR="0025129F" w:rsidRDefault="0025129F" w:rsidP="0025129F">
      <w:pPr>
        <w:pStyle w:val="TextoNormal"/>
      </w:pPr>
      <w:r>
        <w:t>En este estado jurisprudencial se dicta la STC 241/1991, de 16 de diciembre (recurso de amparo deducido precisamente contra la citada Sentencia del Tribunal Supremo de 17 de marzo de 1989), en la cual se realizan dos afirmaciones de capital importancia.</w:t>
      </w:r>
    </w:p>
    <w:p w:rsidR="0025129F" w:rsidRDefault="0025129F" w:rsidP="0025129F">
      <w:pPr>
        <w:pStyle w:val="TextoNormal"/>
      </w:pPr>
      <w:r>
        <w:t>De una parte que no es discriminatoria la existencia de un doble régimen de preferencia de la jurisdicción penal y la civil según que se trate de hechos que, de entenderse delictivos, sean perseguibles de oficio o a instancia de parte. De otro lado que nada obsta a que el funcionario o la autoridad personalmente afectados por los hechos pueda, concluso el proceso penal, continuar con el ejercicio de la acción civil de protección de su derecho al honor, la intimidad personal y familiar y la propia imagen establecida en la Ley Orgánica 1/1982 que resultó suspendida por la tramitación de la causa penal.</w:t>
      </w:r>
    </w:p>
    <w:p w:rsidR="0025129F" w:rsidRDefault="0025129F" w:rsidP="0025129F">
      <w:pPr>
        <w:pStyle w:val="TextoNormal"/>
      </w:pPr>
      <w:r>
        <w:t>Ahora bien, tras estas afirmaciones, su aplicación al caso concreto llevó a este Tribunal a estimar el recurso de amparo por cuanto la incompetencia de la jurisdicción civil a favor de la penal no se basó, en el caso allí resuelto, en ninguna de las dos causas legalmente previstas para ello, a saber, la pendencia de un proceso penal sobre los mismos hechos y la necesidad de que la jurisdicción civil fundamentase su resolución exclusivamente en la existencia de un delito (arts. 114 LECrim y 362 LEC respectivamente). A partir de esta Sentencia constitucional la jurisdicción ordinaria acomoda sus resoluciones a ella en los supuestos en los que los hechos pretendidamente lesivos del derecho al honor pueden ser constitutivos de delito público, de lo que son buena muestra las Sentencias del Tribunal Supremo de 26 de febrero de 1992, 26 de enero de 1993, 6 de febrero y 12 de marzo de 1996, y, últimamente, la de 4 de junio de 2001.</w:t>
      </w:r>
    </w:p>
    <w:p w:rsidR="0025129F" w:rsidRDefault="0025129F" w:rsidP="0025129F">
      <w:pPr>
        <w:pStyle w:val="TextoNormal"/>
      </w:pPr>
      <w:r>
        <w:t>En cambio, en el segundo supuesto (hechos lesivos del derecho fundamental que constituyen delito perseguible a instancia de parte) la jurisprudencia del Tribunal Supremo ha reconocido, en una línea constante, al particular ofendido la posibilidad de optar por la protección de su derecho a través de la jurisdicción civil o de la penal, de suerte que en ningún caso existiría una preferencia de la jurisdicción penal que hiciese apreciable la incompetencia de la jurisdicción civil. Ejercitada la opción por una u otra jurisdicción el ejercicio de la acción se somete al régimen jurídico establecido para cada una de ellas. De ello son exponente las Sentencias del Tribunal Supremo de 4 de noviembre de 1986, 23 de marzo y 22 de octubre de 1987, 11 de octubre y 6 de diciembre de 1988, 11 de abril de 1989, 13 de julio de 1992 y 14 de marzo de 1996.</w:t>
      </w:r>
    </w:p>
    <w:p w:rsidR="0025129F" w:rsidRDefault="0025129F" w:rsidP="0025129F">
      <w:pPr>
        <w:pStyle w:val="TextoNormal"/>
      </w:pPr>
      <w:r>
        <w:t>En consecuencia, en lo que se refiere a la primera de las especialidades de las que arranca el Tribunal Supremo en la Sentencia aquí recurrida en amparo, cabe afirmar que, tratándose de hechos que de ser constitutivos de delito serían perseguibles sólo a instancia de parte, siempre ha reconocido el derecho de opción por la protección a través de la jurisdicción penal o la civil. A esta jurisprudencia constante se acomodó también en la resolu</w:t>
      </w:r>
      <w:r>
        <w:lastRenderedPageBreak/>
        <w:t>ción aquí impugnada, haciéndolo explícito en el fundamento jurídico tercero, párrafos quinto, duodécimo, decimotercero y decimosexto, sin que, de otra parte, la existencia de tal opción haya sido cuestionada en sí misma, sino en las consecuencias que de su ejercicio ante la jurisdicción penal se pudieran derivar en orden a la subsistencia de la acción civil. A ello nos referiremos a continuación.</w:t>
      </w:r>
    </w:p>
    <w:p w:rsidR="0025129F" w:rsidRDefault="0025129F" w:rsidP="0025129F">
      <w:pPr>
        <w:pStyle w:val="TextoNormal"/>
      </w:pPr>
    </w:p>
    <w:p w:rsidR="0025129F" w:rsidRDefault="0025129F" w:rsidP="0025129F">
      <w:pPr>
        <w:pStyle w:val="TextoNormal"/>
      </w:pPr>
      <w:r w:rsidRPr="0025129F">
        <w:rPr>
          <w:rStyle w:val="NumeroAFNegritaCaracter"/>
        </w:rPr>
        <w:t>5</w:t>
      </w:r>
      <w:r>
        <w:t>. La segunda peculiaridad o singularidad del supuesto enjuiciado por el Tribunal Supremo en la Sentencia objeto de este recurso de amparo reside en la trascendencia que se otorga al hecho de que el plazo para el ejercicio de las acciones de protección establecidas en la Ley Orgánica 1/1982 sea de caducidad y no de prescripción. Tal circunstancia hace que, en el segundo de los argumentos de la Sentencia impugnada, al que ahora ceñimos nuestro razonamiento, se entienda que cuando se formuló demanda ante el Juzgado de Primera Instancia, tras el sobreseimiento de la causa penal, el plazo de caducidad de la acción había ya vencido porque el ejercicio de la acción penal no supuso interrupción ni suspensión de su curso, lo que determina la absolución de la demanda.</w:t>
      </w:r>
    </w:p>
    <w:p w:rsidR="0025129F" w:rsidRDefault="0025129F" w:rsidP="0025129F">
      <w:pPr>
        <w:pStyle w:val="TextoNormal"/>
      </w:pPr>
      <w:r>
        <w:t>El Tribunal Supremo parte del hecho cierto de que el legislador ha acudido al instituto de la caducidad de la acción por el transcurso de cuatro años, plazo que, no sobra recordar, es bastante más dilatado que los de un año y seis meses establecidos tanto para la prescripción de los delitos de calumnias o injurias en el art. 113 del entonces vigente Código penal como en el art. 1968 del Código civil en relación con "la acción para exigir la responsabilidad civil por injuria o calumnia". A continuación razona el supremo intérprete de la legalidad ordinaria que, por tratarse de un plazo de caducidad el ejercicio de la acción penal por la que primeramente optó la demandante de amparo, no puede producir el efecto de la interrupción ni de la suspensión del plazo de caducidad sin una previsión normativa expresa que así lo establezca.  Es la singularidad de que la norma legal acuda al instituto de la caducidad para regular el plazo de ejercicio de la acción de protección civil del derecho al honor, la intimidad y la propia imagen (arts. 1.1 y 9.5 Ley Orgánica 1/1982), y, consiguientemente, la certeza en las relaciones jurídicas que con ello se afirma que pretende el legislador ordinario, lo que lleva al Tribunal Supremo a apreciar, en el segundo de los razonamientos esgrimidos para casar la Sentencia allí recurrida, que en los supuestos en que la persecución penal es privada existe un distinto régimen jurídico de articulación del ejercicio de la acción civil regulada en la Ley Orgánica 1/1982 en relación a la penal, separándose así de la ordenación general establecida en los arts.  100 a 117 LECrim. Se inicia de esta manera, motivadamente, una línea jurisprudencial que luego alcanza continuidad, y acaso mayor claridad expositiva, en la ya citada Sentencia de 31 de julio de 2000 (en la cual se afirma tajantemente la inaplicabilidad del art. 114 LECrim) y que, por arrancar del hecho cierto y diferencial de la caducidad de la acción civil establecida en el art. 9.5 de la Ley Orgánica 1/1982 por el transcurso de cuatro años, no pasa de constituir una cuestión relativa a la interpretación y aplicación de la legalidad ordinaria que, con los límites expuestos con anterioridad por referencia a nuestra STC 160/1997, de 2 de octubre, corresponde en exclusiva a los órganos de la jurisdicción ordinaria en virtud de la delimitación que de sus funciones se efectúa en el art. 117 CE según la interpretación mantenida por este Tribunal al delimitar su propia jurisdicción.</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La necesidad de que este Tribunal ciña su análisis a la vulneración del derecho fundamental invocado, en el presente caso exclusivamente el derecho a la tutela judicial efectiva, orillando cualquier consideración atinente al derecho fundamental sustantivo, el derecho al honor, que con el proceso judicial previo se trataba de preservar por el particular </w:t>
      </w:r>
      <w:r>
        <w:lastRenderedPageBreak/>
        <w:t>ante los órganos judiciales, pero respecto del cual no se formula ante nosotros queja alguna, ha de llevarnos a la desestimación del presente recurso de amparo. En efecto, aun cuando el otro de los argumentos empleados por el Tribunal Supremo para casar la Sentencia recurrida (que el ejercicio de la acción penal lleva consigo el efecto de la extinción de la acción civil por tratarse del ejercicio de un derecho de opción) pudiera resultar lesivo del derecho a la tutela judicial efectiva en la medida en que cupiera entenderse que contradice frontalmente lo dispuesto en el art. 116 LECrim, basta con que uno de los argumentos utilizados por el Tribunal Supremo supere el canon de constitucionalidad con el que venimos enjuiciando en amparo resoluciones judiciales del género de la ahora considerada para que hayamos de estimar que el derecho a la tutela judicial efectiva ha sido respetado y, en consecuencia, resulta procedente la desestimación del recurso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doña Isabel Preysler Arrastia.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1" w:name="SENTENCIA_2002_78"/>
      <w:r>
        <w:lastRenderedPageBreak/>
        <w:t>SENTENCIA 78/2002, de 8 de abril de 2002</w:t>
      </w:r>
    </w:p>
    <w:bookmarkEnd w:id="81"/>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ECLI:ES:TC:2002:78</w:t>
      </w:r>
    </w:p>
    <w:p w:rsidR="0025129F" w:rsidRDefault="0025129F" w:rsidP="0025129F">
      <w:pPr>
        <w:pStyle w:val="SntesisDescriptiva"/>
      </w:pPr>
    </w:p>
    <w:p w:rsidR="0025129F" w:rsidRDefault="0025129F" w:rsidP="0025129F">
      <w:pPr>
        <w:pStyle w:val="SntesisDescriptiva"/>
      </w:pPr>
      <w:r>
        <w:t>Recurso de amparo 1041/1999. Promovido por la Comunidad de Propietarios de la calle Valderribas, núm. 16, de Madrid, frente a la Sentencia de la Sala de lo Civil del Tribunal Supremo que inadmitió su recurso en litigio de acción negatoria de servidumbre.</w:t>
      </w:r>
    </w:p>
    <w:p w:rsidR="0025129F" w:rsidRDefault="0025129F" w:rsidP="0025129F">
      <w:pPr>
        <w:pStyle w:val="SntesisDescriptiva"/>
      </w:pPr>
    </w:p>
    <w:p w:rsidR="0025129F" w:rsidRDefault="0025129F" w:rsidP="0025129F">
      <w:pPr>
        <w:pStyle w:val="SntesisAnaltica"/>
      </w:pPr>
      <w:r>
        <w:t>Vulneración del derecho a la tutela judicial efectiva (acceso al recurso legal): inadmisión de recurso de casación civil por razón de la cuantía que incurre en error patente.</w:t>
      </w:r>
    </w:p>
    <w:p w:rsidR="0025129F" w:rsidRDefault="0025129F" w:rsidP="0025129F">
      <w:pPr>
        <w:pStyle w:val="SntesisAnaltica"/>
      </w:pPr>
    </w:p>
    <w:p w:rsidR="0025129F" w:rsidRDefault="0025129F" w:rsidP="0025129F">
      <w:pPr>
        <w:pStyle w:val="Extracto"/>
      </w:pPr>
      <w:r>
        <w:t>1.</w:t>
      </w:r>
      <w:r>
        <w:tab/>
        <w:t>La inadmisión del recurso de casación civil, por tratarse de un pleito de cuantía indeterminada con Sentencias conformes de toda conformidad, es el resultado de un error patente sobre la cuantía del pleito enjuiciado, que venía fijada en el escrito de demanda sin haber sido discutida por los demandados [FJ 4].</w:t>
      </w:r>
    </w:p>
    <w:p w:rsidR="0025129F" w:rsidRDefault="0025129F" w:rsidP="0025129F">
      <w:pPr>
        <w:pStyle w:val="Extracto"/>
      </w:pPr>
    </w:p>
    <w:p w:rsidR="0025129F" w:rsidRDefault="0025129F" w:rsidP="0025129F">
      <w:pPr>
        <w:pStyle w:val="Extracto"/>
      </w:pPr>
      <w:r>
        <w:t>2.</w:t>
      </w:r>
      <w:r>
        <w:tab/>
        <w:t>Las decisiones judiciales que declaren la inadmisibilidad de un recurso vulneran el derecho a la tutela judicial efectiva, en su vertiente de derecho de acceso a los recursos legalmente establecidos cuando sean el resultado de un error patente (SSTC 295/2000, 134/2001)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1041/99, promovido por la Comunidad de Propietarios de la calle Valderribas, núm. 16, de Madrid, representada por el Procurador don José Llorens Valderrama y asistida por el Abogado don Luis Quiroga Gasset, contra la Sentencia de 5 de febrero de 1999 de la Sala de lo Civil del Tribunal Supremo que declaró no haber lugar al recurso de casación 2772/94. Ha intervenido el Ministerio Fiscal y ha sido parte Alcatel España, S.A., representada por la Procuradora doña Pilar Iribarren Cavallé y bajo la dirección del Letrado don Julio Garrido Amado.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lastRenderedPageBreak/>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Por escrito registrado en este Tribunal el 10 de marzo de 1999 se interpuso recurso de amparo contra la resolución judicial de que se hace mérito en el encabezamiento, recurso que se fundamenta en los siguientes hechos: </w:t>
      </w:r>
    </w:p>
    <w:p w:rsidR="0025129F" w:rsidRDefault="0025129F" w:rsidP="0025129F">
      <w:pPr>
        <w:pStyle w:val="TextoNormal"/>
      </w:pPr>
      <w:r>
        <w:t xml:space="preserve">a) La Comunidad de Propietarios ahora recurrente, mediante escrito fechado el 17 de octubre de 1990, formuló demanda de juicio declarativo de menor cuantía contra las sociedades mercantiles Pleyes, S.A., Hispania Corporación Inmobiliaria, S.A., Alcatel Standard Eléctrica, S.A., y Banco Hispano Americano, S.A., ejercitando una acción negatoria de servidumbre. En el fundamento de Derecho segundo del escrito de demanda se razonó la clase de procedimiento y la cuantía del pleito en los términos que a continuación se transcriben literalmente: </w:t>
      </w:r>
    </w:p>
    <w:p w:rsidR="0025129F" w:rsidRDefault="0025129F" w:rsidP="0025129F">
      <w:pPr>
        <w:pStyle w:val="TextoNormal"/>
      </w:pPr>
      <w:r>
        <w:t xml:space="preserve">"SEGUNDO. Los trámites por los que habrá de seguirse son los propios del juicio ordinario de menor cuantía, según lo dispuesto en los artículos 484, 1 en relación con el art. 489, reglas 4 y 1. </w:t>
      </w:r>
    </w:p>
    <w:p w:rsidR="0025129F" w:rsidRDefault="0025129F" w:rsidP="0025129F">
      <w:pPr>
        <w:pStyle w:val="TextoNormal"/>
      </w:pPr>
      <w:r>
        <w:t xml:space="preserve">En efecto, determina este artículo que el valor de la servidumbre, en el caso que nos ocupa, será la vigésima parte del valor corriente en venta de los predios dominante y sirviente. Respecto del primero, aparece inscrito el precio de la reciente venta del 50% indiviso en 100.000.000,- Pts. y, por lo que se refiere al sirviente, la contribución urbana asciende a 74.265.000,- Pts. en números redondos, por lo que la cuantía de este pleito es de 13.713.000,- Pts.". </w:t>
      </w:r>
    </w:p>
    <w:p w:rsidR="0025129F" w:rsidRDefault="0025129F" w:rsidP="0025129F">
      <w:pPr>
        <w:pStyle w:val="TextoNormal"/>
      </w:pPr>
      <w:r>
        <w:t xml:space="preserve">b) Admitida a trámite la demanda por el Juzgado de Primera Instancia núm. 46 de Madrid (autos 1132-90), se acumularon a este procedimiento los autos del juicio de menor cuantía 205-91 seguidos ante el Juzgado de Primera Instancia núm. 35 de Madrid, a instancia de la misma demandante y por la misma causa de pedir, contra la sociedad mercantil Lume, S.A., en cuya demanda, al tratar del procedimiento y la cuantía del pleito, se reproducía el mismo fundamento de Derecho segundo que se ha transcrito. </w:t>
      </w:r>
    </w:p>
    <w:p w:rsidR="0025129F" w:rsidRDefault="0025129F" w:rsidP="0025129F">
      <w:pPr>
        <w:pStyle w:val="TextoNormal"/>
      </w:pPr>
      <w:r>
        <w:t xml:space="preserve">c) Los demandados se opusieron a la demanda, pero no discutieron la cuantía del pleito, y, seguido éste por todos sus trámites, el Juzgado de Primera Instancia núm. 46 de Madrid dictó Sentencia el 8 de julio de 1992 en la cual desestimó la demanda íntegramente, con los pronunciamientos que constan en su parte dispositiva y con expresa imposición de costas a la parte actora. </w:t>
      </w:r>
    </w:p>
    <w:p w:rsidR="0025129F" w:rsidRDefault="0025129F" w:rsidP="0025129F">
      <w:pPr>
        <w:pStyle w:val="TextoNormal"/>
      </w:pPr>
      <w:r>
        <w:t xml:space="preserve">d) Interpuesto recurso de apelación por la demandante, la Sección Vigésima de la Audiencia Provincial de Madrid (rollo 723-92) dictó Sentencia el 3 de febrero de 1994, en la cual desestimó el recurso y confirmó en todos sus pronunciamientos la Sentencia apelada. </w:t>
      </w:r>
    </w:p>
    <w:p w:rsidR="0025129F" w:rsidRDefault="0025129F" w:rsidP="0025129F">
      <w:pPr>
        <w:pStyle w:val="TextoNormal"/>
      </w:pPr>
      <w:r>
        <w:t xml:space="preserve">e) La parte actora preparó recurso de casación, que la Audiencia tuvo por preparado por providencia de 22 de septiembre de 1994; emplazadas las partes, la recurrente, dentro del tiempo legal, formalizó mediante el oportuno escrito el recurso, el cual, tras el "visto" del Fiscal, fue admitido a trámite en virtud de Auto de 11 de septiembre de 1995 de la Sala de lo Civil del Tribunal Supremo (recurso 2772-94) "por reunir los requisitos legales". </w:t>
      </w:r>
    </w:p>
    <w:p w:rsidR="0025129F" w:rsidRDefault="0025129F" w:rsidP="0025129F">
      <w:pPr>
        <w:pStyle w:val="TextoNormal"/>
      </w:pPr>
      <w:r>
        <w:t xml:space="preserve">f) Tras la tramitación oportuna, la Sala de lo Civil del Tribunal Supremo, en Sentencia de 5 de febrero de 1999, notificada el 15 de febrero, declaró no haber lugar al recurso. </w:t>
      </w:r>
    </w:p>
    <w:p w:rsidR="0025129F" w:rsidRDefault="0025129F" w:rsidP="0025129F">
      <w:pPr>
        <w:pStyle w:val="TextoNormal"/>
      </w:pPr>
      <w:r>
        <w:t xml:space="preserve">Esta decisión se apoyó en la siguiente motivación, recogida en los fundamentos de Derecho de la Sentencia: </w:t>
      </w:r>
    </w:p>
    <w:p w:rsidR="0025129F" w:rsidRDefault="0025129F" w:rsidP="0025129F">
      <w:pPr>
        <w:pStyle w:val="TextoNormal"/>
      </w:pPr>
      <w:r>
        <w:t>"PRIMERO. Por el Juzgado de Primera Instancia núm. 46 de los de Madrid, se resuelve en su Sentencia de 8 de julio de 1992, en sentido desestimatorio, la demanda interpuesta por la Comunidad de Propietarios de la Finca n. 16 de la calle de Valderribas de Madrid, contra el Banco Hispano Americano, S.A., Pleyes, S.A., Hispania Corporación Inmobilia</w:t>
      </w:r>
      <w:r>
        <w:lastRenderedPageBreak/>
        <w:t xml:space="preserve">ria, S.A. y Alcatel Estandar Eléctrica, S.A., y Lumen, S.A., decisión, pues, que resuelve el litigio planteado por la actora, cuyo 'petitum', es del siguiente tenor: 'Que se declare extinguida la servidumbre de paso constituida sobre la franja de terreno de seis metros de anchura por veinticuatro metros de fondo que constituye un pasaje en el lindero derecho entrando de la finca sita en la calle de Valderribas núm. 16, a favor del solar interior que constituía la finca registral núm. 12.206 del Registro de la Propiedad número 2 de los de Madrid, de 220 m2 de superficie, procediendo a las cancelaciones oportunas en el mencionado registro de la Propiedad, tanto a las relativas a la finca propiedad de la actora, como en la mencionada núm. 12.206 y nueva finca registral núm. 23.574, condenando a los cotitulares de la misma, PLEYES, S.A., a estar y pasar por esta declaración y a reponer su [sic] costa la franja de terreno a su estado primitivo y a abstenerse de transitar por cualquier forma por la misma, sin perjuicio de la indemnización de daños y perjuicios que se determinarán en ejecución de Sentencia, y al resto de los demandados, a estar y pasar por dicha declaración de extinción. 2) En defecto de la anterior petición, declare alterada gravemente la servidumbre y condene a los titulares demandados a reponer a su costa la franja sirviente a su primitivo estado, sin perjuicio de la indemnización que corresponda y cuya cuantificación se hará en ejecución de sentencia, y al resto de los demandados a estar y pasar por ello. 3) En el supuesto comprendido en el apartado anterior, además se declare prescrito el modo de prestar la servidumbre para paso de vehículos, quedando, en su caso, tan sólo hábil para peatones, condenando a las partes a estar y pasar por ello, y a abstenerse del tránsito de vehículos por la franja de terreno que nos ocupa; decisión que fue objeto de recurso de apelación interpuesto por las partes interesadas, esto es, la Comunidad de Propietarios, y que se resolvió por decisión de la Audiencia Provincial de Madrid, Sección Vigésima, de 3 de febrero de 1994, confirmando íntegramente dicha Sentencia, con la parte dispositiva que se ha hecho constar, esto es, desestimando el recurso. </w:t>
      </w:r>
    </w:p>
    <w:p w:rsidR="0025129F" w:rsidRDefault="0025129F" w:rsidP="0025129F">
      <w:pPr>
        <w:pStyle w:val="TextoNormal"/>
      </w:pPr>
      <w:r>
        <w:t xml:space="preserve">SEGUNDO. Teniendo en cuenta, pues, dicha cuantía indeterminada, es aplicable la doctrina sentada en varias resoluciones, entre ellas, en Sentencia de 31 de diciembre de 1998: 'Es claro, pues, la cuantía indeterminada del «petitum», sin que quepa «ex post» reajustar esa inconcreción por cuanto según, entre otras, Sentencia de 3-6-98, se decía: ...La cuantía debe venir fijada en la demanda y si no puede determinarse, se expresará la clase de juicio en que haya de ventilarse, como dispone el art. 490 L.E.C., que es el de menor cuantía, como prevé el art. 484, núm. 3, a cuya clase de juicio puede oponerse el demandado en su escrito de contestación según el art. 686 y discutirse en la comparecencia, como previene la regla primera del art. 693 y, si es preciso, se resolverá en un breve incidente...". </w:t>
      </w:r>
    </w:p>
    <w:p w:rsidR="0025129F" w:rsidRDefault="0025129F" w:rsidP="0025129F">
      <w:pPr>
        <w:pStyle w:val="TextoNormal"/>
      </w:pPr>
      <w:r>
        <w:t xml:space="preserve">TERCERO. En consecuencia, y siguiendo al respecto cuanto se hace constar, entre otras, en la Sentencia de 8 de mayo de 1998, y 26-6-98, entre otras múltiples, al decir en su F.J. 3º: 'Como se razonó en la Sentencia de 7 de octubre de 1997, en el espacio de la dogmática jurídica es posible distinguir los siguientes supuestos respecto a la cuantía de los procedimientos: a) inestimable, por tratarse de un litigio de naturaleza no económica. b) indeterminada, por no ser valuable su «quantum» por las reglas del articulo 489 de la Ley de Enjuiciamiento Civil, y c) no determinada, -o determinable- en donde cabría su traducción pecuniaria merced a los auxilios del mentado precepto o por la indicación de su valor por el actor. Esta clasificación ha sido recogida en sentencia de 26 de Febrero de 1.993, y en la de 21 de julio de 1994, se diferencian los conceptos de 'valor inestimado' y 'valor inestimable', llamando para los casos del primero, a las reglas del artículo 489, y en este orden de cosas y en supuestos de sentencias conformes, la Sala ha sentado la preferencia de la regla del artículo 1.687.1.b) de la Ley de Enjuiciamiento Civil, sobre la del </w:t>
      </w:r>
      <w:r>
        <w:lastRenderedPageBreak/>
        <w:t>párrafo segundo de su artículo 1694, relativo al incidente de determinación de cuantía, siendo de citar al efecto los autos de 4 y 18 de Marzo y 29 de Abril de 1993 y 30 de Mayo de 1995, y en el primero de ellos, el indicado de 4 de Marzo, se razonó que aunque la anterior interpretación suponga una indudable restricción del acceso a la casación, ello no implica merma alguna del derecho constitucional a la tutela judicial efectiva, que no se vulnera, según ha declarado el Tribunal Constitucional, por la sumisión de los recursos legalmente previstos a requisitos o condicionamientos predeterminados por normas cuya interpretación, al ser de legalidad ordinaria, corresponde a los Tribunales de justicia y, muy singularmente, en virtud de la función complementaria del sistema de fuentes que el artículo 1.6 del Código Civil reconoce a la jurisprudencia del Tribunal Supremo, a esta Sala en el recurso de casación civil, cuyo carácter especialmente restrictivo y exigente fue afirmado por el propio Tribunal Constitucional en su Sentencia número 6/1989. Asimismo, no cabe olvidar que en la Exposición de Motivos de la Ley 10/1992, de 30 de Abril, en el párrafo segundo del apartado 3, se habla de 'adecuar el recurso de casación a las tendencias actuales, que considera que sirva mejor a su función si se refuerza su carácter de protector de la norma, alejándole de cualquier semejanza como tercera instancia'; y asimismo en su F.J. 6, aduce: 'Partiendo de la conclusión dicha y en atención a que las sentencias recaídas en primera y segunda instancia fueron totalmente conformes entre sí, conformidad que se manifiesta por la identidad de sus respectivas partes dispositivas y fundamentaciones jurídicas, ello conduce, en definitiva, y a tenor de lo dispuesto en el artículo 1.687.1.b), al fracaso del recurso, haciendo innecesario entrar a estudiar los motivos en que se apoya, toda vez que es doctrina consolidada de la Sala la relativa a que: «los motivos legales en que puede fundarse la no admisión de un recurso son pertinentes, al resolver en el fondo, para desestimarle, aún cuando se hubiese admitido, pues las razones de inadmisión son suficientes, si resulta demostrada su existencia, para que los recursos deban ser desestimados»' (Sentencias de 17 de Junio de 1919; 19 de Febrero de 1921; 27 de Noviembre de 1922; 3 de Enero y 5 de Febrero de 1934; 21 de Febrero de 1942; 14 de Diciembre de 1946; 4 de Junio de 1947; 14 de Junio de 1955; 30 de Septiembre de 1985; 20 de Febrero de 1986; 5 de Octubre de 1987; 30 de Septiembre de 1989; 21 de Marzo y 7 y 18 de Diciembre de 1990; 8 de Marzo y 5 de Julio de 1991; 14 de Mayo de 1992, y 5 de Septiembre y 14 de Diciembre de 1996) y 22 de Septiembre de 1997, [sic] doctrina la reseñada que puede aplicarse de oficio por afectar normas de contenido imperativo, siendo de decir, por último, que la desestimación del recurso, lleva consigo la imposición de costas a la parte recurrente a tenor de lo establecido en el rituario artículo 1715, con devolución del depósito constituido; asimismo la Sentencia del Tribunal Constitucional de fecha 16 de octubre de 1995, reitera precedente criterio; en consecuencia con lo razonado, y habida cuenta que la respectiva causa de inadmisión que cierra la casación al presente recurso en este trámite de decisión, se convierte en causa de desestimación, procede dictar la resolución correspondiente con los efectos derivados".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denuncia la vulneración del derecho a la tutela judicial efectiva del art. 24.1 CE que, a juicio de la recurrente, se ha producido porque la Sala desestima el recurso de casación que en su día se interpuso por incurrir en un error que "se debe a la negligencia o desidia en la lectura de los autos y muy particularmente de la fundamentación jurídica de la demanda rectora del proceso en donde se afirma y cuantifica, sin género de duda, el valor económico del pleito conforme a las reglas procesales de aplicación". </w:t>
      </w:r>
    </w:p>
    <w:p w:rsidR="0025129F" w:rsidRDefault="0025129F" w:rsidP="0025129F">
      <w:pPr>
        <w:pStyle w:val="TextoNormal"/>
      </w:pPr>
      <w:r>
        <w:t xml:space="preserve">Y ello porque, habiéndose fijado clara y expresamente en la demanda la cuantía del pleito en 13.713.000 pesetas, la Sentencia desestima el recurso por considerar que estaba </w:t>
      </w:r>
      <w:r>
        <w:lastRenderedPageBreak/>
        <w:t>ante un pleito de cuantía indeterminada, por lo cual, al ser las Sentencias de primera instancia y de apelación conformes de toda conformidad, con arreglo al art. 1.687.1 b) LEC no cabía la casación, con lo que el fallo de la Sentencia se funda en un presupuesto, que el pleito era de cuantía indeterminada, que es el resultado de un error patente, pues bastaba la lectura de los fundamentos de Derecho de la demanda para constatar cómo en ellos la ahora recurrente fijó con claridad la cuantía del pleito, que no fue impugnada ni discutida por los demandados en ningún momento del proceso.</w:t>
      </w:r>
    </w:p>
    <w:p w:rsidR="0025129F" w:rsidRDefault="0025129F" w:rsidP="0025129F">
      <w:pPr>
        <w:pStyle w:val="TextoNormal"/>
      </w:pPr>
    </w:p>
    <w:p w:rsidR="0025129F" w:rsidRDefault="0025129F" w:rsidP="0025129F">
      <w:pPr>
        <w:pStyle w:val="TextoNormal"/>
      </w:pPr>
      <w:r w:rsidRPr="0025129F">
        <w:rPr>
          <w:rStyle w:val="NumeroAFNegritaCaracter"/>
        </w:rPr>
        <w:t>3</w:t>
      </w:r>
      <w:r>
        <w:t>. Por diligencia de ordenación de la Secretaria de Justicia de la Sala Segunda de 2 de diciembre de 1999 se acordó, de conformidad con el art. 50.5 LOTC, requerir a la recurrente que aportara copia del escrito de demanda del juicio de menor cuantía y el escrito de interposición y formalización de recurso de casación. Tras haber sido atendido este requerimiento, por providencia de 22 de febrero de 2000 la Sala acordó admitir a trámite el presente recurso y tener por parte al Procurador comparecido en nombre de la Comunidad de Propietarios recurrente y, de conformidad con el art. 51 LOTC, requirió al Juzgado de Primera Instancia núm. 46 de Madrid y a la Sección Vigésima de la Audiencia Provincial de Madrid para que remitiesen testimonio de los autos del juicio de menor cuantía 1132-90 y del rollo de apelación 723-92, así como a la Sala de lo Civil del Tribunal Supremo para que remitiera testimonio del recurso de casación 2772-94; interesando al propio tiempo el emplazamiento de cuantos fueron parte en el proceso judicial antecedente, con excepción de la Comunidad recurrente, para que pudieran comparecer en este proceso constitucional en el plazo de diez días.</w:t>
      </w:r>
    </w:p>
    <w:p w:rsidR="0025129F" w:rsidRDefault="0025129F" w:rsidP="0025129F">
      <w:pPr>
        <w:pStyle w:val="TextoNormal"/>
      </w:pPr>
    </w:p>
    <w:p w:rsidR="0025129F" w:rsidRDefault="0025129F" w:rsidP="0025129F">
      <w:pPr>
        <w:pStyle w:val="TextoNormal"/>
      </w:pPr>
      <w:r w:rsidRPr="0025129F">
        <w:rPr>
          <w:rStyle w:val="NumeroAFNegritaCaracter"/>
        </w:rPr>
        <w:t>4</w:t>
      </w:r>
      <w:r>
        <w:t>. Tras las diligencias acordadas para el emplazamiento de las partes del proceso civil, por diligencia de ordenación de 3 de octubre de 2000 se acordó tener por parte a Alcatel España, S.A., y a la Procuradora comparecida en su nombre, y dar vista de las actuaciones recibidas a las partes personadas y al Ministerio Fiscal, por plazo común de veinte días, dentro de los cuales podrían presentar las alegaciones que estimasen pertinentes.</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de 30 de octubre de 2000 la representación procesal de la Comunidad de Propietarios reiteró su solicitud de amparo. Alega al efecto que la lectura de la Sentencia recurrida evidencia la existencia de un claro error patente, pues toda su fundamentación, aplicando el art. 1.687.1 b) LEC, por ser las Sentencias de primera instancia y de apelación conformes de toda conformidad, opera en el vacío, ya que la cuantía del pleito no era indeterminada, al estar claramente fijada en el escrito de demanda y no ser discutida por los demandados.</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escrito registrado el 3 de noviembre de 2000, la representación de Alcatel España, S.A., presentó sus alegaciones, en las que manifiesta, en resumen, que, aun cuando fue demandada en el juicio civil del que trae causa el amparo, es ajena a la cuestión debatida en él, y probablemente su única relación con el objeto del litigio es la de ser arrendataria de un edificio cercano a la casa a que se refiere la Comunidad de Propietarios demandante.</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Por escrito registrado el 6 de noviembre de 2000 el Fiscal presentó sus alegaciones, en las que interesa que se otorgue el amparo. Tras hacer un relato de los hechos y exponer la doctrina constitucional sobre el acceso a los recursos legalmente establecidos y sobre el </w:t>
      </w:r>
      <w:r>
        <w:lastRenderedPageBreak/>
        <w:t xml:space="preserve">error patente, entiende que, aplicando dicha doctrina al caso presente, hay que coincidir con la recurrente en que la Sala de lo Civil del Tribunal Supremo incurrió en un error que fue decisivo para su fallo. Analizada la Sentencia recurrida es de ver que desde su primer fundamento jurídico se resalta la transcendencia que da al suplico de la demanda para lo que luego ha de ser la base de la inadmisión del recurso. De ahí que se transcriba aquél, en el que la actora nada dice de la cuantía del pleito. Por el contrario la Sentencia del Tribunal Supremo no se refiere en absoluto a la demanda iniciadora de la litis, en la cual se explica el mecanismo de determinación de la cuantía para llegar a la cifra de 13.713.000 pesetas. </w:t>
      </w:r>
    </w:p>
    <w:p w:rsidR="0025129F" w:rsidRDefault="0025129F" w:rsidP="0025129F">
      <w:pPr>
        <w:pStyle w:val="TextoNormal"/>
      </w:pPr>
      <w:r>
        <w:t xml:space="preserve">Pese a que en el suplico del recurso no figura referencia alguna a la cuantía de la causa, el fundamento jurídico de la Sentencia se inicia con la siguiente frase: "Teniendo en cuenta, pues, dicha cuantía indeterminada, es aplicable la doctrina...". A partir de ese momento, en el que la confusión anteriormente resaltada se genera, la Sentencia camina por un sendero totalmente desvinculado del caso que va a resolver, toda vez que la doctrina que toma en consideración está preordenada a la resolución de casos referidos a los supuestos del art. 1687.1 b) LEC, es decir, se refiere a recursos de casación de cuantía inestimable, indeterminada o indeterminable que tienen acceso al recurso extraordinario con la excepción de los supuestos en los que exista conformidad en lo relativo a Sentencias de primera instancia y apelación. Ubicándose, pues, en este caso el recurso analizado, con el error de base antedicho, es lógico que se llegue a la inadmisión. Sin embargo es obvio que no nos hallábamos aquí en el supuesto del apartado b) del artículo de la LEC antedicho, sino en el c), ya que la cuantía del pleito venía fijada en la demanda, sin oposición y sin contradicción, y resultaba tácitamente aceptada por todos los demandados, quienes no plantearon respecto de esta cuestión óbice alguno, no ya en los escritos de contestación a la demanda, sino en los correspondientes a la impugnación de la casación. De otro lado la solución tomada de inadmisión por indeterminación de la cuantía es contradictoria con lo que se dice en la propia Sentencia recurrida en amparo, en cuyo fundamento jurídico segundo se puntualiza expresamente que "la cuantía debe venir fijada en la demanda, a cuya clase de juicio puede oponerse el demandado en su escrito de contestación según el art. 686 y discutirse en la comparecencia...". Pues bien, en el presente caso esto es precisamente lo que se produjo, ya que la cuantía venía fijada en la demanda y no fue combatida en las contestaciones, ni en la comparecencia, ni en los escritos de impugnación del recurso de casación. A pesar de ello el Tribunal Supremo hizo caso omiso de estos datos, partiendo de una indeterminación que no existía como antecedente de la inadmisión basada en la conformidad de las Sentencias de las precedentes instancias. Aplicando, pues, el apartado b) en lugar del c) del tan citado artículo 1687, decretó la inadmisión del recurso. Si se hubiera aplicado correctamente la Ley el recurso era claramente admisible por superar la cuantía la suma de seis millones. </w:t>
      </w:r>
    </w:p>
    <w:p w:rsidR="0025129F" w:rsidRDefault="0025129F" w:rsidP="0025129F">
      <w:pPr>
        <w:pStyle w:val="TextoNormal"/>
      </w:pPr>
      <w:r>
        <w:t>Ello obliga a la anulación de la Sentencia recurrida y al dictado de otra en la que no se inadmita el recurso por la causa expresada.</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4 de abril de 2002 se señaló para la deliberación y fallo de la presente Sentencia el día 8 del mismo mes y año.</w:t>
      </w:r>
    </w:p>
    <w:p w:rsidR="0025129F" w:rsidRDefault="0025129F" w:rsidP="0025129F">
      <w:pPr>
        <w:pStyle w:val="TextoNormal"/>
      </w:pPr>
    </w:p>
    <w:p w:rsidR="0025129F" w:rsidRDefault="0025129F" w:rsidP="0025129F">
      <w:pPr>
        <w:pStyle w:val="TextoNormalNegritaCentrado"/>
        <w:keepNext/>
      </w:pPr>
      <w:r>
        <w:lastRenderedPageBreak/>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Dados los términos en que viene planteada la demanda, la resolución del presente recurso de amparo requiere determinar si ha vulnerado o no el derecho a la tutela judicial efectiva la Sentencia dictada por la Sala de lo Civil del Tribunal Supremo que declaró no haber lugar al recurso de casación interpuesto en su día por la Comunidad de Propietarios de la calle Valderribas núm. 16, de Madrid, sin entrar en el examen de los motivos del recurso de casación por aplicar la causa de inadmisión (desestimación) fundada en el art. 1.687.1 b) LEC al tratarse de un pleito de cuantía indeterminada en el cual las Sentencias de primera instancia y de apelación eran conformes de toda conformidad.</w:t>
      </w:r>
    </w:p>
    <w:p w:rsidR="0025129F" w:rsidRDefault="0025129F" w:rsidP="0025129F">
      <w:pPr>
        <w:pStyle w:val="TextoNormal"/>
      </w:pPr>
    </w:p>
    <w:p w:rsidR="0025129F" w:rsidRDefault="0025129F" w:rsidP="0025129F">
      <w:pPr>
        <w:pStyle w:val="TextoNormal"/>
      </w:pPr>
      <w:r w:rsidRPr="0025129F">
        <w:rPr>
          <w:rStyle w:val="NumeroAFNegritaCaracter"/>
        </w:rPr>
        <w:t>2</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dispensación están supeditados a la concurrencia de los presupuestos y requisitos que, en cada caso, ha establecido el legislador, quien no puede, sin embargo, fijar obstáculos o trabas arbitrarios o caprichosos que impidan la efectividad de la tutela judicial garantizada constitucionalmente (STC 185/1987, de 18 de noviembre).</w:t>
      </w:r>
    </w:p>
    <w:p w:rsidR="0025129F" w:rsidRDefault="0025129F" w:rsidP="0025129F">
      <w:pPr>
        <w:pStyle w:val="TextoNormal"/>
      </w:pPr>
      <w:r>
        <w:t>El derecho a obtener una resolución sobre el fondo rige tanto en el acceso a la primera respuesta judicial como en la fase de recurso, si bien con diferente alcance según se trate del primer acceso a la jurisdicción o a los recursos legalmente previstos.  En el primer caso el principio pro actione actúa con toda su intensidad, por lo cual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108/2000, de 5 de mayo), sin que ello suponga, como también ha señalado este Tribunal (por todas STC 191/2001, de 1 de octubre), que deba necesariamente optarse por la interpretación más favorable a la admisión de entre todas las posibles. En cambio,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constitucional, salvo que vulneren el derecho fundamental a la tutela judicial efectiva, toda vez que, configurado legalmente el recurso, el art.  24.1 CE garanti</w:t>
      </w:r>
      <w:r>
        <w:lastRenderedPageBreak/>
        <w:t>za también su utilización (SSTC 63/1992, de 29 de abril, FJ 2; 63/2000, de 13 de marzo, FJ 2), por lo cual las decisiones judiciales que declaren la inadmisibilidad de un recurso excluyendo el pronunciamiento sobre el fondo en esta fase del proceso vulneran el derecho a la tutela judicial efectiva, en su vertiente de derecho de acceso a los recursos legalmente establecidos, cuando se funden en una interpretación de la legalidad ordinaria arbitraria o manifiestamente irrazonable (STC 133/2000, de 16 de mayo), carezcan de la debida motivación (SSTC 214/1988, de 14 de noviembre; 63/1992, de 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w:t>
      </w:r>
    </w:p>
    <w:p w:rsidR="0025129F" w:rsidRDefault="0025129F" w:rsidP="0025129F">
      <w:pPr>
        <w:pStyle w:val="TextoNormal"/>
      </w:pPr>
    </w:p>
    <w:p w:rsidR="0025129F" w:rsidRDefault="0025129F" w:rsidP="0025129F">
      <w:pPr>
        <w:pStyle w:val="TextoNormal"/>
      </w:pPr>
      <w:r w:rsidRPr="0025129F">
        <w:rPr>
          <w:rStyle w:val="NumeroAFNegritaCaracter"/>
        </w:rPr>
        <w:t>3</w:t>
      </w:r>
      <w:r>
        <w:t>. Asimismo hemos declarado que el derecho a la tutela judicial reconocido en el art.  24.1 CE conlleva el derecho a obtener de los Jueces y Tribunales una resolución fundada en Derecho, por lo que,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la expresión del ejercicio de la justicia, sino una simple apariencia de éste, y procede otorgar el amparo siempre que: a) el error no sea imputable a la negligencia de la parte sino atribuible al órgano judicial; b) se trate de un error que resulte inmediatamente verificable de forma incontrovertible a partir de las actuaciones judiciales; y c) sea un error determinante de la decisión adoptada, constituyendo el soporte único o básico (ratio decidendi) de la resolución, de forma que no pueda saberse cuál hubiera sido el criterio del órgano judicial de no haber incurrido en él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0025129F" w:rsidRDefault="0025129F" w:rsidP="0025129F">
      <w:pPr>
        <w:pStyle w:val="TextoNormal"/>
      </w:pPr>
    </w:p>
    <w:p w:rsidR="0025129F" w:rsidRDefault="0025129F" w:rsidP="0025129F">
      <w:pPr>
        <w:pStyle w:val="TextoNormal"/>
      </w:pPr>
      <w:r w:rsidRPr="0025129F">
        <w:rPr>
          <w:rStyle w:val="NumeroAFNegritaCaracter"/>
        </w:rPr>
        <w:t>4</w:t>
      </w:r>
      <w:r>
        <w:t>. En el presente caso, si se examina la demanda rectora del pleito civil formulada por la Comunidad de Propietarios ahora demandante del amparo, cuyo contenido, en lo que ahora interesa, se ha dejado transcrito en los antecedentes de esta resolución, fácilmente se comprueba que la Comunidad actora, dando cumplimiento a lo ordenado en el art. 490 de la derogada LEC, fijó expresamente la cuantía del pleito, de conformidad con las reglas 1 y 4 del art. 489 del mismo texto legal, en la cantidad de 13.713.000 pesetas, no siendo esta cuantía discutida por los demandados en la contestación ni en ningún otro momento del proceso.</w:t>
      </w:r>
    </w:p>
    <w:p w:rsidR="0025129F" w:rsidRDefault="0025129F" w:rsidP="0025129F">
      <w:pPr>
        <w:pStyle w:val="TextoNormal"/>
      </w:pPr>
      <w:r>
        <w:t xml:space="preserve">Teniendo en cuenta el dato fáctico indiscutible de que la cuantía del pleito fijada en el escrito de demanda era la de 13.713.000 pesetas, al no haber sido discutida por los demandados, la lectura de la Sentencia recurrida [en la cual, tras reproducirse el petitum de la demanda (fundamento de Derecho primero), se concluye por error que el pleito es de cuantía indeterminada, con lo que se ignora el contenido de la demanda (lo que se evidencia con la afirmación literal de que "la cuantía debe venir fijada en la demanda" -fundamento de Derecho segundo) dando lugar a la consecuencia de desestimar todos los </w:t>
      </w:r>
      <w:r>
        <w:lastRenderedPageBreak/>
        <w:t>motivos del recurso de casación sin entrar en su examen de fondo por considerar que era de aplicación la causa de inadmisión del recurso (que en fase de sentencia actúa como causa de desestimación) contemplada en el art. 1687.1 b) LEC al tratarse de un pleito de cuantía indeterminada en el que las Sentencias de apelación y de primera instancia eran conformes de toda conformidad] revela que nos hallamos ante una decisión judicial que produjo efectos negativos en la esfera del justiciable, pues privó a la Comunidad de Propietarios recurrente de su derecho a obtener una resolución sobre el fondo de los motivos del recurso de casación oportunamente planteados en el escrito de interposición. Y ello en la medida en que es el resultado de un error patente sobre la cuantía del pleito enjuiciado, ya que se trata de un error inmediatamente verificable de forma incontrovertible a partir de las actuaciones judiciales que no puede imputarse a la negligencia de la recurrente y constituye el soporte único o básico (ratio decidendi) de la Sentencia, vulnera el derecho a la tutela judicial efectiva de la demandante con arreglo a la doctrina que ya se ha dejado expuesta, lo que hace procedente el otorgamiento del amparo solicitado.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la Comunidad de Propietarios de la calle Valderribas, núm. 16, de Madrid, y, en su virtud:</w:t>
      </w:r>
    </w:p>
    <w:p w:rsidR="0025129F" w:rsidRDefault="0025129F" w:rsidP="0025129F">
      <w:pPr>
        <w:pStyle w:val="TextoNormal"/>
      </w:pPr>
      <w:r>
        <w:t>1º Reconocer que ha sido vulnerado el derecho de la Comunidad de Propietarios recurrente a la tutela judicial efectiva al desestimar la Sala de lo Civil del Tribunal Supremo el recurso de casación que en su día interpuso contra Sentencia de la Audiencia Provincial de Madrid (recurso 2772-94).</w:t>
      </w:r>
    </w:p>
    <w:p w:rsidR="0025129F" w:rsidRDefault="0025129F" w:rsidP="0025129F">
      <w:pPr>
        <w:pStyle w:val="TextoNormal"/>
      </w:pPr>
      <w:r>
        <w:t>2º Restablecer a la Comunidad de Propietarios recurrente en la integridad de su derecho y, a tal fin, declarar la nulidad de la Sentencia de 5 de febrero de 1999 de la Sala de lo Civil del Tribunal Supremo que declaró no haber lugar al recurso de casación 2772-94 y retrotraer las actuaciones al momento inmediatamente anterior al de dictarse dicha Sentencia, a fin de que se pronuncie la resolución judicial procedente con pleno respeto del derecho fundamental.</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2" w:name="SENTENCIA_2002_79"/>
      <w:r>
        <w:lastRenderedPageBreak/>
        <w:t>SENTENCIA 79/2002, de 8 de abril de 2002</w:t>
      </w:r>
    </w:p>
    <w:bookmarkEnd w:id="82"/>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ECLI:ES:TC:2002:79</w:t>
      </w:r>
    </w:p>
    <w:p w:rsidR="0025129F" w:rsidRDefault="0025129F" w:rsidP="0025129F">
      <w:pPr>
        <w:pStyle w:val="SntesisDescriptiva"/>
      </w:pPr>
    </w:p>
    <w:p w:rsidR="0025129F" w:rsidRDefault="0025129F" w:rsidP="0025129F">
      <w:pPr>
        <w:pStyle w:val="SntesisDescriptiva"/>
      </w:pPr>
      <w:r>
        <w:t>Recurso de amparo 4839/1999. Promovido por doña Inmaculada Moreira Pérez y el Ilustre Colegio de Abogados de Cádiz, respecto de los Acuerdos de un Juzgado de Primera Instancia de Sanlúcar de Barrameda y de la Sala de Gobierno del Tribunal Superior de Justicia de Andalucía que impusieron una multa por su actuación durante una prueba de confesión judicial.</w:t>
      </w:r>
    </w:p>
    <w:p w:rsidR="0025129F" w:rsidRDefault="0025129F" w:rsidP="0025129F">
      <w:pPr>
        <w:pStyle w:val="SntesisDescriptiva"/>
      </w:pPr>
    </w:p>
    <w:p w:rsidR="0025129F" w:rsidRDefault="0025129F" w:rsidP="0025129F">
      <w:pPr>
        <w:pStyle w:val="SntesisAnaltica"/>
      </w:pPr>
      <w:r>
        <w:t>Supuesta vulneración de los derechos a un proceso con garantías y a la libertad de expresión en el ejercicio de la defensa letrada: sanción de disciplina procesal a una Abogada, por intentar escribir en el acta su disconformidad, que no causa indefensión y que está justificada. Voto particular.</w:t>
      </w:r>
    </w:p>
    <w:p w:rsidR="0025129F" w:rsidRDefault="0025129F" w:rsidP="0025129F">
      <w:pPr>
        <w:pStyle w:val="SntesisAnaltica"/>
      </w:pPr>
    </w:p>
    <w:p w:rsidR="0025129F" w:rsidRDefault="0025129F" w:rsidP="0025129F">
      <w:pPr>
        <w:pStyle w:val="Extracto"/>
      </w:pPr>
      <w:r>
        <w:t>1.</w:t>
      </w:r>
      <w:r>
        <w:tab/>
        <w:t>La libertad de expresión de la Abogada demandante de amparo en el ejercicio de defensa de su patrocinado no puede amparar lo que no es otra cosa que una actuación procesalmente incorrecta de la propia Letrada [FJ 7].</w:t>
      </w:r>
    </w:p>
    <w:p w:rsidR="0025129F" w:rsidRDefault="0025129F" w:rsidP="0025129F">
      <w:pPr>
        <w:pStyle w:val="Extracto"/>
      </w:pPr>
    </w:p>
    <w:p w:rsidR="0025129F" w:rsidRDefault="0025129F" w:rsidP="0025129F">
      <w:pPr>
        <w:pStyle w:val="Extracto"/>
      </w:pPr>
      <w:r>
        <w:t>2.</w:t>
      </w:r>
      <w:r>
        <w:tab/>
        <w:t>La libertad de expresión del Abogado en defensa de su patrocinado ha de valorarse en el marco en que se ejerce y atendiendo al logro de las finalidades que justifican su privilegiado régimen (SSTC 157/1996, 226/2001) [FJ 6].</w:t>
      </w:r>
    </w:p>
    <w:p w:rsidR="0025129F" w:rsidRDefault="0025129F" w:rsidP="0025129F">
      <w:pPr>
        <w:pStyle w:val="Extracto"/>
      </w:pPr>
    </w:p>
    <w:p w:rsidR="0025129F" w:rsidRDefault="0025129F" w:rsidP="0025129F">
      <w:pPr>
        <w:pStyle w:val="Extracto"/>
      </w:pPr>
      <w:r>
        <w:t>3.</w:t>
      </w:r>
      <w:r>
        <w:tab/>
        <w:t>Una mera irregularidad procesal, que el inicial Acuerdo sancionador fuera adoptado sin audiencia previa de la Letrada sancionada, no determina indefensión material (STC 98/1999) [FJ 5].</w:t>
      </w:r>
    </w:p>
    <w:p w:rsidR="0025129F" w:rsidRDefault="0025129F" w:rsidP="0025129F">
      <w:pPr>
        <w:pStyle w:val="Extracto"/>
      </w:pPr>
    </w:p>
    <w:p w:rsidR="0025129F" w:rsidRDefault="0025129F" w:rsidP="0025129F">
      <w:pPr>
        <w:pStyle w:val="Extracto"/>
      </w:pPr>
      <w:r>
        <w:t>4.</w:t>
      </w:r>
      <w:r>
        <w:tab/>
        <w:t>La Sala de Gobierno del Tribunal de Justicia de Andalucía no cambió la imputación que dio lugar la sanción disciplinaria impuesta, por lo que no hubo vulneración del principio acusatorio [FJ 4].</w:t>
      </w:r>
    </w:p>
    <w:p w:rsidR="0025129F" w:rsidRDefault="0025129F" w:rsidP="0025129F">
      <w:pPr>
        <w:pStyle w:val="Extracto"/>
      </w:pPr>
    </w:p>
    <w:p w:rsidR="0025129F" w:rsidRDefault="0025129F" w:rsidP="0025129F">
      <w:pPr>
        <w:pStyle w:val="Extracto"/>
      </w:pPr>
      <w:r>
        <w:t>5.</w:t>
      </w:r>
      <w:r>
        <w:tab/>
        <w:t>Los demandantes de amparo no cumplen con la carga de acreditar en su demanda que las pruebas inadmitidas fueron decisivas en términos de defensa (SSTC 1/1996, 169/1996, 45/2000) [FJ 3].</w:t>
      </w:r>
    </w:p>
    <w:p w:rsidR="0025129F" w:rsidRDefault="0025129F" w:rsidP="0025129F">
      <w:pPr>
        <w:pStyle w:val="Extracto"/>
      </w:pPr>
    </w:p>
    <w:p w:rsidR="0025129F" w:rsidRDefault="0025129F" w:rsidP="0025129F">
      <w:pPr>
        <w:pStyle w:val="Extracto"/>
      </w:pPr>
      <w:r>
        <w:t>6.</w:t>
      </w:r>
      <w:r>
        <w:tab/>
        <w:t>En las correcciones disciplinarias impuestas por los Jueces y Tribunales a los Abogados en el curso de un procedimiento no hay una fase de instrucción, por lo que no hay lesión del derecho a fundamental a un proceso con todas las garantías, en su vertiente de derecho a un juez imparcial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 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4839/99, promovido por doña Inmaculada Moreira Pérez y el Ilustre Colegio de Abogados de Cádiz, representados por la Procuradora de los Tribunales doña Isabel Covadonga Juliá Corujo y asistidos por el Abogado don José Manuel Jareño y Rodríguez- Sánchez, contra el Acuerdo de 11 de mayo de 1999 del Juzgado de Primera Instancia e Instrucción núm. 2 de Sanlúcar de Barrameda en el curso de las diligencias preliminares núm. 232-98 (seguidas a instancias de don Joaquín Acosta de los Reyes y otros contra la Cooperativa del campo Virgen de la Caridad), por el que se impone a la actora una multa de 50.000 pesetas, confirmado por Auto de dicho Juzgado de 19 de mayo de 1999 (expediente gubernativo núm. 7- 99), y contra el Acuerdo de la Sala de Gobierno del Tribunal Superior de Justicia de Andalucía de 5 de octubre del mismo año, que desestimó el recurso de alzada interpuesto contra la anterior resolución. Han comparecido don Joaquín Acosta de los Reyes, don José Mármol Rivas, don Manuel Márquez Guardia, don José Vidal González, doña Ángeles Lagomazzini Barba, don Manuel Caro Cuevas y don Nicolás Ruiz Gómez, representados por la Procuradora de los Tribunales doña Isabel Covadonga Juliá Corujo y asistidos por el Letrado don Hilario Abad Vidal. Ha intervenido el Ministerio Fiscal. Ha sido Ponente el Magistrado don Fernando Garrido Falla,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19 de noviembre de 1999, doña Isabel Covadonga Juliá Corujo, Procuradora de los Tribunales y de doña Inmaculada Moreira Pérez y el Ilustre Colegio de Abogados de Cádiz, interpone recurso de amparo contra las resoluciones mencionadas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sucintamente expuestos, los que siguen: </w:t>
      </w:r>
    </w:p>
    <w:p w:rsidR="0025129F" w:rsidRDefault="0025129F" w:rsidP="0025129F">
      <w:pPr>
        <w:pStyle w:val="TextoNormal"/>
      </w:pPr>
      <w:r>
        <w:t xml:space="preserve">a) En las diligencias preliminares núm. 232-98, tramitadas por el Juzgado de Primera Instancia núm. 2 de Sanlúcar de Barrameda (Cádiz), se celebró el día 11 de mayo de 1999 prueba de confesión judicial propuesta por la parte demandada y referida a veintidós personas actoras, defendidas por la Letrada doña Inmaculada Moreira Pérez, recurrente en amparo. </w:t>
      </w:r>
    </w:p>
    <w:p w:rsidR="0025129F" w:rsidRDefault="0025129F" w:rsidP="0025129F">
      <w:pPr>
        <w:pStyle w:val="TextoNormal"/>
      </w:pPr>
      <w:r>
        <w:t xml:space="preserve">b) En el curso de la práctica de dicha prueba, cuando estaba declarando uno de los defendidos por la Letrada ahora recurrente en amparo (don Joaquín Acosta de los Reyes), ésta solicitó que quedara constancia en acta de las explicaciones o aclaraciones dadas por su defendido a las preguntas formuladas por la parte contraria. Ante esta petición, la Letrada fue llamada al orden por el Juez titular del Juzgado, "por interrumpir la declaración del confesante", según consta en el acta. Una vez concluida la práctica de esta prueba, </w:t>
      </w:r>
      <w:r>
        <w:lastRenderedPageBreak/>
        <w:t xml:space="preserve">como quiera que la Letrada se negó a firmar el acta, intentando escribir en la misma extremos sin autorización (anotó las siguientes palabras: "disconformidad con la redacción del a ......."), el Juez impuso a la Letrada una multa de 50.000 pesetas, quedando la sanción reflejada en acta y abriendo un plazo de tres días para la formulación de alegaciones, de conformidad con los arts. 448 y ss. de la Ley Orgánica del Poder Judicial (en adelante, LOPJ). </w:t>
      </w:r>
    </w:p>
    <w:p w:rsidR="0025129F" w:rsidRDefault="0025129F" w:rsidP="0025129F">
      <w:pPr>
        <w:pStyle w:val="TextoNormal"/>
      </w:pPr>
      <w:r>
        <w:t xml:space="preserve">c) Formuladas alegaciones contra el acuerdo sancionador, el Juzgado procedió a la apertura del expediente gubernativo núm. 79-99, que fue finalmente resuelto por Auto de 19 de mayo de 1999, confirmando la sanción inicialmente expuesta. En el Auto se razona que ningún precepto de la Ley de Enjuiciamiento Civil (se refiere a la Ley de 1881, a la sazón aplicable) permite al Letrado intervenir durante la declaración de su defendido y que tampoco permite añadir nada de propia mano al acta de la prueba de confesión. Por ello, tras ser advertida de que no interrumpiera la declaración, fue sancionada, de conformidad con el art. 449.2 LOPJ, por persistir en su actitud, al pretender que se reflejaran en el acta explicaciones que el confesante por iniciativa propia no agregaba y por intentar escribir sin autorización en el acta. </w:t>
      </w:r>
    </w:p>
    <w:p w:rsidR="0025129F" w:rsidRDefault="0025129F" w:rsidP="0025129F">
      <w:pPr>
        <w:pStyle w:val="TextoNormal"/>
      </w:pPr>
      <w:r>
        <w:t>d) Contra la anterior resolución la Letrada demandante de amparo recurrió en alzada ante la Sala de Gobierno del Tribunal Superior de Justicia de Andalucía, que dictó Acuerdo de 5 de octubre de 1999 por el que desestimó íntegramente el recurso interpuesto, conforme a la propuesta de resolución formulada por la Magistrada Ponente.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Los demandantes de amparo sostienen que las resoluciones impugnadas han incurrido en infracción de los derechos fundamentales a la libertad de expresión [art. 20.1 a) CE] en el ejercicio del derecho a la defensa, a la tutela judicial efectiva (art. 24.1 CE), a un proceso con todas las garantías, a utilizar los medios de prueba y a la defensa con asistencia de Letrado (art. 24.2 CE), así como a la legalidad en materia sancionadora (art. 25.1 CE) y a la presunción de inocencia (art. 24.2 CE). </w:t>
      </w:r>
    </w:p>
    <w:p w:rsidR="0025129F" w:rsidRDefault="0025129F" w:rsidP="0025129F">
      <w:pPr>
        <w:pStyle w:val="TextoNormal"/>
      </w:pPr>
      <w:r>
        <w:t xml:space="preserve">En primer lugar, se denuncia que la actuación del Juez titular del Juzgado, llamando primero al orden a la Letrada demandante de amparo para que no interrumpiera la declaración que estaba realizando su defendido y privándola luego de su derecho a hacer constar su disconformidad con el contenido del acta judicial de la declaración, por entender que no se correspondía en su totalidad con lo realmente acontecido, impidiéndole, además, escribir de su puño y letra su posición disconforme, constituye una vulneración del derecho a la libertad de expresión en el ejercicio del derecho a la defensa que como Letrada estaba llevando a efecto en el procedimiento civil en el que se produjeron los hechos. </w:t>
      </w:r>
    </w:p>
    <w:p w:rsidR="0025129F" w:rsidRDefault="0025129F" w:rsidP="0025129F">
      <w:pPr>
        <w:pStyle w:val="TextoNormal"/>
      </w:pPr>
      <w:r>
        <w:t xml:space="preserve">En segundo término, los demandantes aducen la vulneración del derecho a la tutela judicial efectiva, en su vertiente de derecho a obtener una resolución motivada sobre todas las pretensiones deducidas, atribuyendo esta infracción del art. 24.1 CE a todas las resoluciones impugnadas. En este punto las alegaciones giran en torno a la falta de coherencia de las resoluciones, la inadecuada calificación de la conducta sancionada y la ausencia de respuesta a los motivos aducidos en su defensa por la Letrada recurrente. Se sostiene que no pueden mezclarse actuaciones diferentes para aplicar el tipo previsto en el art. 449.2 LOPJ, pues no cabe confundir el intento de firmar el acta "en disconformidad" con la desatención de las llamadas al orden durante la prueba de confesión. Desde la perspectiva fáctica, pone asimismo de relieve que, a la vista de lo conciso de las respuestas consignadas en el acta de la prueba de confesión resulta difícil imaginar de qué modo pudo interrumpir las declaraciones de su defendido. Y, finalmente, se aduce que si bien es cierto </w:t>
      </w:r>
      <w:r>
        <w:lastRenderedPageBreak/>
        <w:t xml:space="preserve">que no firmó el acta, como expresamente se consigna en ella, esta ausencia de firma fue debida a que se le impidió hacerlo "en disconformidad". </w:t>
      </w:r>
    </w:p>
    <w:p w:rsidR="0025129F" w:rsidRDefault="0025129F" w:rsidP="0025129F">
      <w:pPr>
        <w:pStyle w:val="TextoNormal"/>
      </w:pPr>
      <w:r>
        <w:t xml:space="preserve">En cuanto a la infracción del derecho a un proceso con todas las garantías, centran su queja los demandantes en una doble perspectiva. De una parte, en la vertiente del derecho a un juez imparcial, pues el mismo Juez que instruyó el expediente disciplinario fue el que impuso la sanción, conforme al procedimiento disciplinario regulado por los arts. 448 y ss. LOPJ, que debe reputarse inconstitucional por no separar las funciones de instrucción y de enjuiciamiento. De otra parte, porque todas las pruebas de descargo propuestas resultaron rechazadas. </w:t>
      </w:r>
    </w:p>
    <w:p w:rsidR="0025129F" w:rsidRDefault="0025129F" w:rsidP="0025129F">
      <w:pPr>
        <w:pStyle w:val="TextoNormal"/>
      </w:pPr>
      <w:r>
        <w:t xml:space="preserve">Por lo que toca a la vulneración del derecho a la defensa y a la asistencia letrada, se sostiene que se produjo una alteración sobrevenida del fundamento jurídico de la sanción por la Sala de Gobierno del Tribunal Superior de Justicia de Andalucía, al introducirse una imputación a la que no se hacía referencia en ninguno de los documentos anteriores a que tuvo acceso la Letrada sancionada, cual es el supuesto intento de introducir nuevas preguntas al confesante actor. Esta nueva imputación se contiene en la propuesta de resolución de la Magistrada designada como Ponente que sirve de fundamentación al Acuerdo final desestimatorio del recurso de alzada adoptado por la Sala de Gobierno del Tribunal Superior de Justicia. </w:t>
      </w:r>
    </w:p>
    <w:p w:rsidR="0025129F" w:rsidRDefault="0025129F" w:rsidP="0025129F">
      <w:pPr>
        <w:pStyle w:val="TextoNormal"/>
      </w:pPr>
      <w:r>
        <w:t xml:space="preserve">En fin, los demandantes de amparo alegan que las resoluciones recurridas han vulnerado el principio de legalidad (art. 25.1 CE), pues no se consignan en el acta las concretas afirmaciones vertidas por la Letrada en el curso de la práctica de la prueba de confesión, lo que impide su valoración y, consecuentemente, su consideración como antijurídicas. A juicio de los demandantes de amparo, faltaría además el elemento de la intencionalidad, pues la Letrada actuó en la creencia de que lo hacía en el ejercicio del derecho de defensa de su cliente, de ahí que la corrección disciplinaria impuesta se haya convertido en el caso presente en una especie de sanción objetiva, sin haber sido ponderado el elemento culpabilístico. </w:t>
      </w:r>
    </w:p>
    <w:p w:rsidR="0025129F" w:rsidRDefault="0025129F" w:rsidP="0025129F">
      <w:pPr>
        <w:pStyle w:val="TextoNormal"/>
      </w:pPr>
      <w:r>
        <w:t>Amén de todo ello se habría vulnerado el derecho de la Letrada demandante de amparo a la presunción de inocencia, pues le fue impuesta la sanción sin haber sido oída, en virtud de la potestad de policía de estrados que se ha atribuido a los órganos jurisdiccionales por los arts. 448 y ss. LOPJ.</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29 de enero de 2001, la Sección Segunda de este Tribunal acordó admitir a trámite la demanda de amparo y, a tenor de lo dispuesto en el art. 51 LOTC, requerir atentamente a los órganos judiciales la remisión del testimonio de las actuaciones respectivas, interesando al propio tiempo el emplazamiento de quienes fueron parte en el procedimiento, para que en el plazo de diez días pudiesen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Recibidos los testimonios de actuaciones y personados don Joaquín Acosta de los Reyes y seis más a través de la Procuradora doña Isabel Covadonga Juliá Corujo, mediante diligencia de ordenación del Secretario de Justicia de la Sala Primera de este Tribunal de 12 de marzo de 2001 se otorgó, de conformidad con el art. 52 LOTC, un plazo común de veinte días al Ministerio Fiscal y a todas las partes personadas para que dentro de dicho plazo alegasen lo que a su derecho conviniere.</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xml:space="preserve">. El Ministerio Fiscal presentó su escrito de alegaciones con fecha 9 de abril de 2001. Tras referir los antecedentes del caso y sintetizar los términos en los que se articulan las quejas de los demandantes de amparo, sostiene el Ministerio público que, con carácter previo al examen de esas quejas, es necesario precisar cuáles fueron en este caso los presupuestos de hecho que determinaron la imposición de la sanción a la Letrada ahora demandante de amparo, pues algunas de las quejas que se articulan en la demanda guardan estrecha relación con esta cuestión. Según el Fiscal, de la lectura de las resoluciones impugnadas se deduce que las circunstancias fácticas y el título de imputación que han motivado la imposición de la corrección disciplinaria a la Letrada han permanecido inalterables desde que fueron delimitados en el inicial acuerdo sancionador hasta la resolución final desestimatoria del recurso de alzada, destacándose siempre la existencia de dos supuestas interrupciones del acto judicial de confesión que se estaba practicando: la acontecida al término de la evacuación de la tercera de las posiciones por parte de un demandado confesante, momento en el que el Juez llamó al orden a la Letrada instándola a que no interrumpiera el curso de la actuación procesal, y la acontecida en un segundo momento, que tuvo lugar cuando, una vez finalizada la declaración del confesante, la Letrada quiso incluir de su puño y letra en el acta su disconformidad con el contenido de la misma. </w:t>
      </w:r>
    </w:p>
    <w:p w:rsidR="0025129F" w:rsidRDefault="0025129F" w:rsidP="0025129F">
      <w:pPr>
        <w:pStyle w:val="TextoNormal"/>
      </w:pPr>
      <w:r>
        <w:t xml:space="preserve">Partiendo de la anterior premisa, rechaza el Ministerio Fiscal que las resoluciones impugnadas hayan infringido el principio de legalidad y la presunción de inocencia, pues la discrepancia de los demandantes no se centra en los hechos sancionados, sino en el juicio de culpabilidad emitido por los órganos jurisdiccionales y en la circunstancia de que la corrección disciplinaria fuera impuesta sin que la Letrada fuera previamente oída al respecto, extremos que son ajenos a los derechos invocados. </w:t>
      </w:r>
    </w:p>
    <w:p w:rsidR="0025129F" w:rsidRDefault="0025129F" w:rsidP="0025129F">
      <w:pPr>
        <w:pStyle w:val="TextoNormal"/>
      </w:pPr>
      <w:r>
        <w:t xml:space="preserve">Sostiene asimismo el Fiscal que tampoco puede entenderse producida la lesión del derecho de defensa que se alega en la demanda de amparo. En primer lugar, porque si bien la corrección disciplinaria fue impuesta sin la previa audiencia que exige el art. 451.2 LOPJ, ello no ha generado efectiva indefensión material para la Letrada recurrente, puesto que ha tenido plena ocasión de rebatir, primero ante el propio Juez que impuso la sanción y luego en instancia superior, el inicial acuerdo sancionador. En segundo lugar, porque no es cierto que se haya introducido por la Sala de Gobierno del Tribunal Superior de Justicia de Andalucía una imputación nueva no contemplada en el acuerdo sancionatorio del Juzgado. </w:t>
      </w:r>
    </w:p>
    <w:p w:rsidR="0025129F" w:rsidRDefault="0025129F" w:rsidP="0025129F">
      <w:pPr>
        <w:pStyle w:val="TextoNormal"/>
      </w:pPr>
      <w:r>
        <w:t xml:space="preserve">Descarta asimismo el Fiscal que se haya lesionado el derecho a un proceso con todas las garantías en relación con el derecho a utilizar los medios de prueba, pues los demandantes de amparo no cumplen con la carga de justificar que los medios de prueba propuestos y no practicados (declaración testifical de todos los actores que habrían litigado bajo la asistencia técnica de la Letrada recurrente y documental consistente en la aportación de las actas de la prueba de confesión judicial de dichos litigantes) fueran decisivas en términos de defensa. En fin, considera el Ministerio Fiscal que la supuesta infracción del derecho al proceso con todas las garantías, en su vertiente de imparcialidad judicial, ha de ser igualmente rechazada, pues no fue invocada en la vía judicial previa y en cualquier caso se trata de una queja que ya fue desestimada en asunto similar por la STC 157/1996, de 15 de octubre (FJ 2), a cuya doctrina hay que remitirse. </w:t>
      </w:r>
    </w:p>
    <w:p w:rsidR="0025129F" w:rsidRDefault="0025129F" w:rsidP="0025129F">
      <w:pPr>
        <w:pStyle w:val="TextoNormal"/>
      </w:pPr>
      <w:r>
        <w:t xml:space="preserve">Por el contrario, estima el Fiscal que las resoluciones impugnadas han infringido los derechos fundamentales a la libertad de expresión en el ejercicio del derecho de defensa y a la tutela judicial efectiva, en cuanto al canon de motivación reforzado exigido por este Tribunal en tales supuestos. Con cita de las SSTC 157/1996 y 113/2000, argumenta el Fiscal que debe ser otorgado el amparo por vulneración de los derechos indicados, toda vez que, si bien la conducta asumida por la Letrada demandante de amparo durante la </w:t>
      </w:r>
      <w:r>
        <w:lastRenderedPageBreak/>
        <w:t>prueba de confesión pudiera considerarse como no conforme al estricto cauce procesal que establecía la antigua LEC, lo decisivo es que el órgano judicial impuso una corrección disciplinaria sin ponderar adecuadamente las circunstancias del caso. En efecto, la Letrada actuó en todo momento en defensa de los derechos de sus patrocinados y aunque su actuación fuese incorrecta procesalmente, se condujo en todo momento de forma respetuosa con el Juzgador, sin emplear en modo alguno términos injuriosos o vejatorios; en fin, el órgano judicial, en cuanto titular de la potestad de policía en estrados, ejerció efectivamente la misma, consiguiendo restablecer el orden procesal en la práctica de la prueba y obteniendo que la Letrada cesara en su empeño de mostrar su disconformidad, por lo que la imposición de una corrección disciplinaria representa una injustificada y desproporcionada limitación del ejercicio del derecho de defensa.</w:t>
      </w:r>
    </w:p>
    <w:p w:rsidR="0025129F" w:rsidRDefault="0025129F" w:rsidP="0025129F">
      <w:pPr>
        <w:pStyle w:val="TextoNormal"/>
      </w:pPr>
    </w:p>
    <w:p w:rsidR="0025129F" w:rsidRDefault="0025129F" w:rsidP="0025129F">
      <w:pPr>
        <w:pStyle w:val="TextoNormal"/>
      </w:pPr>
      <w:r w:rsidRPr="0025129F">
        <w:rPr>
          <w:rStyle w:val="NumeroAFNegritaCaracter"/>
        </w:rPr>
        <w:t>7</w:t>
      </w:r>
      <w:r>
        <w:t>. El escrito de alegaciones de la representante procesal de los recurrentes en amparo fue registrado en este Tribunal el 6 de abril de 2001. Dicho escrito insiste, dándolos por reproducidos, en los argumentos esgrimidos en la demanda de amparo, haciendo especial hincapié en la observación de que la Letrada actuó en todo momento en el legítimo ejercicio del derecho de defensa de los intereses ajenos que tenía encomendados.</w:t>
      </w:r>
    </w:p>
    <w:p w:rsidR="0025129F" w:rsidRDefault="0025129F" w:rsidP="0025129F">
      <w:pPr>
        <w:pStyle w:val="TextoNormal"/>
      </w:pPr>
    </w:p>
    <w:p w:rsidR="0025129F" w:rsidRDefault="0025129F" w:rsidP="0025129F">
      <w:pPr>
        <w:pStyle w:val="TextoNormal"/>
      </w:pPr>
      <w:r w:rsidRPr="0025129F">
        <w:rPr>
          <w:rStyle w:val="NumeroAFNegritaCaracter"/>
        </w:rPr>
        <w:t>8</w:t>
      </w:r>
      <w:r>
        <w:t>. La representación procesal de don Joaquín Acosta de los Reyes y otros, comparecientes en el recurso de amparo en apoyo de la demandante de amparo, presentó su escrito de alegaciones en el registro de este Tribunal con fecha 6 de abril de 2001. En dicho escrito esta parte se adhiere a todas las alegaciones contenidas en la demanda de amparo, solicitando el otorgamiento del amparo por vulneración de los mismos derechos fundamentales allí invocados y la consiguiente anulación de las resoluciones impugnadas.</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7 de marzo de 2002, se señaló para deliberación y votación de la presente Sentencia el siguiente día 11 del mismo mes y año, trámite que ha finalizado en el día de la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Alegan los demandantes de amparo que la sanción impuesta a la Letrada doña Inmaculada Moreira Pérez en el curso de las diligencias preliminares del juicio núm. 2322-98, sustanciadas en el Juzgado de Primera Instancia e Instrucción núm. 2 de Sanlúcar de Barrameda, por medio de Acuerdo de dicho Juzgado de 11 de mayo de 1999, confirmado primero por Auto del mismo Juzgado del 19 de mayo siguiente en expediente gubernativo núm. 7-99 y en alzada por Acuerdo de la Sala de Gobierno del Tribunal Superior de Justicia de Andalucía de 5 de octubre del mismo año, ha vulnerado los derechos fundamentales a la libertad de expresión en el ejercicio de la defensa letrada (art. 20.1 CE), a la tutela judicial efectiva (art. 24.1 CE), a un proceso con todas las garantías, a la defensa y asistencia letrada, a proponer medios de prueba, a la presunción de inocencia (art. 24.2 CE) y al principio de legalidad (art. 25.1 CE). Siendo pues, varios los derechos fundamentales que se alegan como conculcados por la sanción impuesta a la Letrada Sra. Moreira Pérez, conviene iniciar el análisis del supuesto planteado por el examen de las alegaciones vertidas por los actores en relación con los derechos fundamentales de carácter procesal, pasando a abordar los de carácter sustantivo únicamente en el supuesto de desestimación de las ale</w:t>
      </w:r>
      <w:r>
        <w:lastRenderedPageBreak/>
        <w:t>gaciones referidas a los primeros, siguiendo el criterio mantenido para un caso semejante al que nos ocupa en la STC 157/1996, de 15 de octubre (FJ 1).</w:t>
      </w:r>
    </w:p>
    <w:p w:rsidR="0025129F" w:rsidRDefault="0025129F" w:rsidP="0025129F">
      <w:pPr>
        <w:pStyle w:val="TextoNormal"/>
      </w:pPr>
    </w:p>
    <w:p w:rsidR="0025129F" w:rsidRDefault="0025129F" w:rsidP="0025129F">
      <w:pPr>
        <w:pStyle w:val="TextoNormal"/>
      </w:pPr>
      <w:r w:rsidRPr="0025129F">
        <w:rPr>
          <w:rStyle w:val="NumeroAFNegritaCaracter"/>
        </w:rPr>
        <w:t>2</w:t>
      </w:r>
      <w:r>
        <w:t>. Partiendo de este criterio debemos comenzar examinando la supuesta lesión del derecho fundamental a un proceso con todas las garantías (art. 24.2 CE), en su vertiente de derecho a un Juez imparcial. Afirman los recurrentes que este derecho habría sido conculcado en la medida en que el titular del Juzgado de Primera Instancia e Instrucción núm. 2 de Sanlúcar de Barrameda ha sido Juez y parte en el procedimiento sancionador y ha ejercido simultáneamente funciones de instrucción y de decisión, lo que ha redundado en la infracción del principio de imparcialidad. En realidad, la queja deducida por los actores en este punto se dirige contra la potestad y el procedimiento disciplinarios previstos en el Título V del Libro V de la Ley Orgánica del Poder Judicial.</w:t>
      </w:r>
    </w:p>
    <w:p w:rsidR="0025129F" w:rsidRDefault="0025129F" w:rsidP="0025129F">
      <w:pPr>
        <w:pStyle w:val="TextoNormal"/>
      </w:pPr>
      <w:r>
        <w:t>Pues bien, respecto a esta queja concurre, como resulta de las actuaciones y advierte el Ministerio Fiscal, la causa de inadmisión prevista en el art. 50.1 a) LOTC, en relación con el art.  44.1 c), por no haber sido invocada en la vía judicial previa.  En consecuencia, dicha queja se suscita por vez primera en la demanda de amparo, y se trae per saltum ante este Tribunal, incumpliendo el requisito que establece el art. 44.1 c) LOTC, conforme a la reiterada doctrina sentada al respecto (por todas, SSTC 99/1993, de 22 de marzo, FJ único; 106/1997, de 2 de junio, FJ 2; 201/2000,de 24 de julio, FJ 3; y 184/2001, de 17 de septiembre, FJ 2).</w:t>
      </w:r>
    </w:p>
    <w:p w:rsidR="0025129F" w:rsidRDefault="0025129F" w:rsidP="0025129F">
      <w:pPr>
        <w:pStyle w:val="TextoNormal"/>
      </w:pPr>
      <w:r>
        <w:t xml:space="preserve">Sin perjuicio de lo anterior, la queja debe ser igualmente rechazada por carencia manifiesta de relevancia constitucional, a la vista de la reiterada doctrina de este Tribunal en asuntos similares al presente. Como se recuerda en la ya citada STC 157/1996 (FJ 2), "según tenemos declarado, las correcciones disciplinarias impuestas por los Jueces y Tribunales a los Abogados en el curso de un procedimiento ..., así como las resoluciones revisoras de las mismas, no son actos materialmente administrativos, sino resoluciones jurisdiccionales dictadas en un proceso con todas las garantías (STC 205/1994, FJ 3). En consecuencia, no cabe hablar de la presencia de una fase de instrucción en el procedimiento del que resultó la corrección disciplinaria. El órgano judicial en estos supuestos, entiende, sin necesidad de instrucción previa, que una determinada conducta es encuadrable en alguno de los supuestos previstos en el art. 449 LOPJ y, previa la obligada audiencia ex art. 450.2 LOPJ, acuerda imponer la corrección que estima procedente en Derecho. No hay, por tanto, actuaciones encaminadas a preparar la resolución correctora y practicadas para averiguar y hacer constar la comisión de un acto merecedor de corrección; no ha existido, en suma, una actividad investigadora que pudiera redundar en la pérdida de imparcialidad del criterio judicial en los términos referidos en la STC 145/1988. La audiencia de la interesada no se enmarca en un proceso de averiguación de la perpetración de un acto sancionable, sino que constituye un trámite legalmente obligado a los fines de que la misma pueda alegar en su descargo frente a un acto cierto e indubitado a se. A la vista de las alegaciones, el órgano judicial podrá concluir que la conducta enjuiciada es merecedora de la corrección legalmente prevista, o, por el contrario, que no puede subsumirse en alguno de los apartados del art. 449 LOPJ; pero ésa es ya una conclusión decisoria que parte de una realidad (el acto o la conducta enjuiciada) que no precisa de investigación alguna para su constatación en cuanto tal realidad. Las alegaciones sirven al fin de la conformación del criterio judicial en relación con la calificación jurídica de aquella realidad, pero no al de su delimitación fáctica. No cabe hablar, en fin, de confusión entre instrucción y decisión. Tampoco concurren en el Juez de Instrucción las condiciones de Juez y parte. En efecto, ..... el bien tutelado en el art.  449.1 LOPJ no es el honor o la dignidad de la persona titular </w:t>
      </w:r>
      <w:r>
        <w:lastRenderedPageBreak/>
        <w:t>de un órgano judicial, sino el respeto debido al Poder Judicial en tanto que institución y, por tanto, al margen de las personas que eventualmente desempeñen la magistratura".</w:t>
      </w:r>
    </w:p>
    <w:p w:rsidR="0025129F" w:rsidRDefault="0025129F" w:rsidP="0025129F">
      <w:pPr>
        <w:pStyle w:val="TextoNormal"/>
      </w:pPr>
    </w:p>
    <w:p w:rsidR="0025129F" w:rsidRDefault="0025129F" w:rsidP="0025129F">
      <w:pPr>
        <w:pStyle w:val="TextoNormal"/>
      </w:pPr>
      <w:r w:rsidRPr="0025129F">
        <w:rPr>
          <w:rStyle w:val="NumeroAFNegritaCaracter"/>
        </w:rPr>
        <w:t>3</w:t>
      </w:r>
      <w:r>
        <w:t>. Por lo que se refiere a la supuesta lesión del derecho a un proceso con todas las garantías en relación con el derecho a utilizar los medios de prueba (art. 24.2 CE), también ha de convenirse con el Ministerio Fiscal en la apreciación de que no ha existido la infracción constitucional alegada. La Sala de Gobierno del Tribunal Superior de Justicia de Andalucía inadmitió las pruebas propuestas por la Letrada Sra. Moreira en su recurso de alzada, consistentes en la declaración testifical de todos los actores que habían litigado bajo su asistencia técnica y en la aportación de todas las actas de la prueba de confesión judicial, pero los demandantes de amparo no cumplen con la carga de acreditar en su demanda que estas pruebas inadmitidas fueron decisivas en términos de defensa, lo que conlleva el rechazo de su queja.</w:t>
      </w:r>
    </w:p>
    <w:p w:rsidR="0025129F" w:rsidRDefault="0025129F" w:rsidP="0025129F">
      <w:pPr>
        <w:pStyle w:val="TextoNormal"/>
      </w:pPr>
      <w:r>
        <w:t>En efecto, para apreciar la vulneración del derecho a la utilización de medios de prueba, inseparable del derecho mismo de defensa (SSTC 169/1996, de 15 de enero, FJ 3 y 73/2000, de 26 de marzo, FJ 2, por todas), no basta con constatar que la decisión judicial de inadmisión de las pruebas propuestas adolece de falta de motivación o incurre en una interpretación de la legalidad arbitraria o irrazonable, sino que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de 31 de enero, FJ 2; 45/2000, de 14 de febrero,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de 14 de febrero, FJ 2). Esta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50/1998,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1/1996,de 15 de enero, FJ 3; 170/1998, de 21 de julio, FJ 2; 45/2000, de 14 de febrero, FJ 2; 165/2001, de 16 de julio, FJ 2, entre otras muchas). No habiendo cumplido los demandantes de amparo esta carga, debe ser rechazada su queja.</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Sostienen asimismo los demandantes que la Sala de Gobierno del Tribunal Superior de Justicia de Andalucía lesionó los derechos a la tutela judicial efectiva (art. 24.1 CE) y a la defensa y asistencia letrada (art. 24.2 CE), al imputarle a la Letrada Sra. Moreira un hecho nuevo, consistente en el supuesto intento de introducir nuevas preguntas a otro actor </w:t>
      </w:r>
      <w:r>
        <w:lastRenderedPageBreak/>
        <w:t>confesante, imputación sustancialmente distinta a la que motivó la sanción inicialmente y de la que no tuvo oportunidad de defenderse. En definitiva, los demandantes de amparo reprochan al Acuerdo de la Sala de Gobierno del Tribunal de Justicia de Andalucía la vulneración del principio acusatorio.  Sin embargo, también esta queja ha de ser rechazada, conforme a lo argumentado en sus alegaciones por el Ministerio Fiscal, pues no se aprecia que haya existido un cambio en la imputación que dio lugar a la sanción disciplinaria impuesta. Del examen de las actuaciones se desprende que, por lo que atañe a la actuación del titular del Juzgado de Primera Instancia e Instrucción núm. 2 de Sanlúcar de Barrameda, tanto en el Acuerdo sancionador de 11 de mayo de 1999, como en el Auto del 19 de mayo siguiente que lo confirma, los hechos en los que se fundamenta la sanción se refieren a las dos interrupciones de la prueba de confesión judicial que se estaba practicando: la ocurrida tras la respuesta a la tercera de las posiciones por parte del confesante, momento en que el Juez llamó al orden a la Letrada instándola a que no interrumpiera el curso de la actuación procesal; y la que tuvo lugar cuando, una vez finalizada la declaración del confesante, la Letrada quiso incluir de su puño y letra en el acta su disconformidad con el contenido de la misma.</w:t>
      </w:r>
    </w:p>
    <w:p w:rsidR="0025129F" w:rsidRDefault="0025129F" w:rsidP="0025129F">
      <w:pPr>
        <w:pStyle w:val="TextoNormal"/>
      </w:pPr>
      <w:r>
        <w:t>Estas imputaciones se mantienen en el Acuerdo dictado en alzada por la Sala de Gobierno del Tribunal Superior de Justicia de Andalucía, que confirma la sanción, como se deduce de la propuesta de resolución de la Magistrada Ponente que sirve de fundamentación al Acuerdo. En efecto, en esa propuesta se recogen los antecedentes acaecidos con anterioridad al incidente que dio lugar a la sanción, en los que figura, según el informe elaborado por el titular del Juzgado de Primera Instancia e Instrucción núm. 2 de Sanlúcar de Barrameda a petición de la Sala de Gobierno, conforme exige el art. 452 LOPJ, que la Letrada intentó introducir nuevas preguntas a otro confesante no incluidas en la redacción del pliego de posiciones. Pero claramente se deduce de la propuesta de resolución que estos antecedentes no se confunden con los hechos por los que se sanciona y que no son otros que las dos interrupciones consecutivas del acto de la prueba de confesión judicial a que se ha hecho mención.</w:t>
      </w:r>
    </w:p>
    <w:p w:rsidR="0025129F" w:rsidRDefault="0025129F" w:rsidP="0025129F">
      <w:pPr>
        <w:pStyle w:val="TextoNormal"/>
      </w:pPr>
      <w:r>
        <w:t>Así pues, tanto en la instancia como en alzada, la Letrada resultó sancionada por su conducta procesal de interrumpir el acto de la prueba de confesión judicial, habiendo tenido ocasión de rebatir, con plenas posibilidades de defensa, tales imputaciones, lo que conduce, como ya se ha adelantado, al rechazo de esta queja.</w:t>
      </w:r>
    </w:p>
    <w:p w:rsidR="0025129F" w:rsidRDefault="0025129F" w:rsidP="0025129F">
      <w:pPr>
        <w:pStyle w:val="TextoNormal"/>
      </w:pPr>
    </w:p>
    <w:p w:rsidR="0025129F" w:rsidRDefault="0025129F" w:rsidP="0025129F">
      <w:pPr>
        <w:pStyle w:val="TextoNormal"/>
      </w:pPr>
      <w:r w:rsidRPr="0025129F">
        <w:rPr>
          <w:rStyle w:val="NumeroAFNegritaCaracter"/>
        </w:rPr>
        <w:t>5</w:t>
      </w:r>
      <w:r>
        <w:t>. Bajo la invocación del derecho a la presunción de inocencia (art. 24.1 CE), alegan los demandantes que la sanción disciplinaria fue impuesta de plano por el titular del Juzgado, sin dar previamente trámite de audiencia a la Letrada sancionada.</w:t>
      </w:r>
    </w:p>
    <w:p w:rsidR="0025129F" w:rsidRDefault="0025129F" w:rsidP="0025129F">
      <w:pPr>
        <w:pStyle w:val="TextoNormal"/>
      </w:pPr>
      <w:r>
        <w:t>Así expuesta la queja, es obvio que la infracción denunciada no guarda relación alguna con el contenido del derecho a la presunción de inocencia, sino con el derecho a la tutela judicial efectiva sin indefensión (art. 24.1 CE). Será, pues, desde esa perspectiva desde la cual se analice el presente recurso de amparo, toda vez que, como de forma reiterada viene sosteniendo este Tribunal, no se exige tanto que la invocación del derecho supuestamente vulnerado haya de llevarse a cabo mediante la concreta identificación del precepto constitucional donde se proclama, ni siquiera mencionando su nomen iuris, cuanto que se acote suficientemente el contenido del derecho constitucional violado, permitiendo así un pronunciamiento del Tribunal sobre la infracción aducida (por todas, SSTC 167/1987, de 28 de octubre, FJ 1; 184/1992, de 16 de noviembre, FJ 2; 80/1994, de 14 de marzo, FJ 2; 111/2000, de 5 de mayo, FJ 6; 19/2001, de 29 de enero, FJ 3 y 154/2001, de 2 de julio, FJ 2).</w:t>
      </w:r>
    </w:p>
    <w:p w:rsidR="0025129F" w:rsidRDefault="0025129F" w:rsidP="0025129F">
      <w:pPr>
        <w:pStyle w:val="TextoNormal"/>
      </w:pPr>
      <w:r>
        <w:lastRenderedPageBreak/>
        <w:t>Pues bien, desde esta perspectiva de enjuiciamiento es preciso constatar que, en efecto, el inicial Acuerdo sancionador de 11 de mayo de 1999 fue adoptado sin audiencia previa de la Letrada sancionada, incumpliendo así lo dispuesto en el art. 451.2 LOPJ.  Sin embargo, como advierte el Ministerio Fiscal, estamos ante una mera irregularidad procesal que no ha determinado indefensión material con relevancia constitucional (por todas, SSTC 78/1999, de 26 de abril, FJ 2, y 98/1999, de 31 de mayo, FJ 4) para la Letrada demandante de amparo, que ha tenido plenas oportunidades de rebatir, primero ante el propio Juzgado sancionador, que abrió un plazo de tres días para la formulación de alegaciones contra la imposición de la corrección disciplinaria y luego en alzada ante la Sala de Gobierno del Tribunal Superior de Justicia de Andalucía, contra el Auto del Juzgado de 19 de mayo de 1999 que había confirmado la sanción inicialmente impuesta. En consecuencia, también esta queja ha de ser rechazada.</w:t>
      </w:r>
    </w:p>
    <w:p w:rsidR="0025129F" w:rsidRDefault="0025129F" w:rsidP="0025129F">
      <w:pPr>
        <w:pStyle w:val="TextoNormal"/>
      </w:pPr>
    </w:p>
    <w:p w:rsidR="0025129F" w:rsidRDefault="0025129F" w:rsidP="0025129F">
      <w:pPr>
        <w:pStyle w:val="TextoNormal"/>
      </w:pPr>
      <w:r w:rsidRPr="0025129F">
        <w:rPr>
          <w:rStyle w:val="NumeroAFNegritaCaracter"/>
        </w:rPr>
        <w:t>6</w:t>
      </w:r>
      <w:r>
        <w:t>. Resta por examinar, llegados a este punto, si las resoluciones impugnadas han vulnerado el derecho fundamental a la libertad de expresión en el ejercicio de la defensa letrada, pues las restantes quejas esgrimidas en la demanda de amparo se cifran, en último término, en una supuesta infracción del derecho fundamental a la libre expresión. En ella pueden subsumirse, en efecto, las referidas al derecho a la legalidad penal (art. 25.1 CE), a la tutela judicial efectiva en cuanto a la motivación de las resoluciones impugnadas (art. 24.1 CE) y a la defensa (art. 24.2 CE), pues lo que verdaderamente se denuncia es que la sanción impuesta a la Letrada demandante de amparo lo ha sido sin haber reparado en el hecho de que la actuación por la que ha sido corregida se explica y justifica en atención a las exigencias propias del ejercicio de la libertad de expresión en el marco de la defensa letrada de intereses y derechos de un tercero. Esta afirmación, por consiguiente, requiere una reflexión previa acerca de esta especial manifestación de la libertad de expresión en el ejercicio del derecho de defensa, siguiendo la doctrina de este Tribunal relativa a esta cuestión, la cual aparece sintetizada en la ya citada STC 157/1996 (FJ 5), recogida posteriormente en SSTC 113/2000, de 5 de mayo (FJ 6), 184/2001, de 17 de septiembre (FJ 4), y 226/2001, de 26 de noviembre (FJ 2). Como se recuerda en esta última Sentencia, tal doctrina parte de la premisa de que los bienes y derechos en juego en el procedimiento sancionador regulado en los arts. 448 y ss. LOPJ no pueden estimarse ajenos al ámbito propio del recurso de amparo, ya que lo establecido en tales preceptos sobre la corrección disciplinaria de los Abogados que intervengan en los pleitos no constituye sólo una regulación de la potestad disciplinaria atribuida a los Jueces o a las Salas sobre dichos profesionales, "que cooperan con la Administración de Justicia" -según el epígrafe del Libro V de la LOPJ-, sino también un reforzamiento de la función de defensa que les está encomendada. De ahí que resulte preciso cohonestar dos exigencias potencialmente opuestas, pero complementarias: el respeto a la libertad del Abogado en la defensa del ciudadano por una parte, y el respeto por parte del Abogado de las demás partes y sujetos procesales, que también participan en la función de administrar justicia (SSTC 38/1998, de 9 de marzo, FJ 2; 205/1994, de 11 de julio, FJ 5), por otra.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aquellos en su libertad de expresión y defensa". La segunda de las exigencias antes apuntadas requiere, en reciprocidad, el respeto por parte del Abogado de las demás personas que también participan en la función de administrar justicia, y que tiene como consecuencia el que, a tenor del art. 449.1 LOPJ, los Abogados y Procuradores serán corregidos disciplinaria</w:t>
      </w:r>
      <w:r>
        <w:lastRenderedPageBreak/>
        <w:t>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w:t>
      </w:r>
    </w:p>
    <w:p w:rsidR="0025129F" w:rsidRDefault="0025129F" w:rsidP="0025129F">
      <w:pPr>
        <w:pStyle w:val="TextoNormal"/>
      </w:pPr>
      <w:r>
        <w:t>En definitiva, este reforzamiento de la libertad de expresión del Abogado en el ejercicio de defensa de su patrocinado, es decir, la especial cualidad de la libertad ejercitada en tales casos,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STEDH, de 22 de febrero de 1989, caso Barford).</w:t>
      </w:r>
    </w:p>
    <w:p w:rsidR="0025129F" w:rsidRDefault="0025129F" w:rsidP="0025129F">
      <w:pPr>
        <w:pStyle w:val="TextoNormal"/>
      </w:pPr>
    </w:p>
    <w:p w:rsidR="0025129F" w:rsidRDefault="0025129F" w:rsidP="0025129F">
      <w:pPr>
        <w:pStyle w:val="TextoNormal"/>
      </w:pPr>
      <w:r w:rsidRPr="0025129F">
        <w:rPr>
          <w:rStyle w:val="NumeroAFNegritaCaracter"/>
        </w:rPr>
        <w:t>7</w:t>
      </w:r>
      <w:r>
        <w:t>. La aplicación de esta consolidada doctrina al supuesto enjuiciado conduce a la denegación del amparo que se solicita. Según queda reflejado en el relato de antecedentes, la Letrada solicitante de amparo fue sancionada de conformidad con el art.  449.2 LOPJ, tras ser advertida de que no interrumpiera la declaración que estaba prestando en prueba de confesión judicial uno de sus patrocinados, por persistir en su actitud, al pretender que se reflejaran en el acta explicaciones que el confesante por sí mismo no agregaba y asimismo por intentar escribir en el acta de la prueba su disconformidad con el contenido de la misma.</w:t>
      </w:r>
    </w:p>
    <w:p w:rsidR="0025129F" w:rsidRDefault="0025129F" w:rsidP="0025129F">
      <w:pPr>
        <w:pStyle w:val="TextoNormal"/>
      </w:pPr>
      <w:r>
        <w:t>Como señala el Ministerio Fiscal, la alegación relativa a la vulneración del principio de legalidad de las sanciones (art. 25.1 CE) se centra, más que en la ausencia de tipicidad de la conducta objeto de corrección disciplinaria, en el juicio de culpabilidad emitido por los órganos jurisdiccionales y en la circunstancia de que tal corrección fuera impuesta sin previa audiencia de la Letrada. Aduce la Letrada demandante que los actos sancionadores no describen ninguna intervención de aquélla que constituya un comportamiento irrespetuoso ni menos aún ofensivo.</w:t>
      </w:r>
    </w:p>
    <w:p w:rsidR="0025129F" w:rsidRDefault="0025129F" w:rsidP="0025129F">
      <w:pPr>
        <w:pStyle w:val="TextoNormal"/>
      </w:pPr>
      <w:r>
        <w:t>Pues bien, con independencia de la adecuada subsunción de la conducta en los tipos de corrección disciplinaria previstos en los arts. 448 y 449 LOPJ, lo cierto es que, en presencia de esta modalidad sancionadora de las correcciones disciplinarias procesales, que se produce aquí en el ámbito de la práctica de una prueba de confesión, lo determinante es que la conducta reprochable manifieste un incumplimiento de las prescripciones exigidas por las leyes procesales, pues, comprobando tal incumplimiento, la "policía en estrados" faculta al Juez o Tribunal para la adecuada corrección disciplinaria procesal, en virtud de los mencionados preceptos de la LOPJ.</w:t>
      </w:r>
    </w:p>
    <w:p w:rsidR="0025129F" w:rsidRDefault="0025129F" w:rsidP="0025129F">
      <w:pPr>
        <w:pStyle w:val="TextoNormal"/>
      </w:pPr>
      <w:r>
        <w:t>Así las cosas, es incuestionable que uno de los aspectos de la conducta reprochada fue el relativo a que, una vez concluida la prueba de confesión, la Letrada inició la escritura en el acta de propia mano de una frase o expresión que no llegó a terminar por impedírselo el Juez, sin limitarse a estampar su firma en tal acta, como establece la normativa procesal, según más adelante se detallará.</w:t>
      </w:r>
    </w:p>
    <w:p w:rsidR="0025129F" w:rsidRDefault="0025129F" w:rsidP="0025129F">
      <w:pPr>
        <w:pStyle w:val="TextoNormal"/>
      </w:pPr>
      <w:r>
        <w:t xml:space="preserve">Resulta, pues, una actuación procesalmente incorrecta el intento de la Letrada de escribir de su puño y letra en el lugar del acta reservado para las firmas su disconformidad con el contenido de la misma. Es el Secretario Judicial el único competente (salvo el supuesto de habilitación a Oficial previsto en el art. 282 LOPJ) para escribir en el acta, en la que deja constancia de lo actuado, dando plena fe pública de ello con su firma en la propia acta y autorizando así la actuación judicial (arts.  279.1, 280.1 y 281 LOPJ y arts. 249 y 252 </w:t>
      </w:r>
      <w:r>
        <w:lastRenderedPageBreak/>
        <w:t>LEC 1881).  El acta de la prueba de confesión será firmada por el Juez y el Secretario Judicial, así como por el confesante y los Letrados asistentes (art. 589 LEC), sin que sea admisible que éstos escriban en el acta otra cosa que no sea su firma.</w:t>
      </w:r>
    </w:p>
    <w:p w:rsidR="0025129F" w:rsidRDefault="0025129F" w:rsidP="0025129F">
      <w:pPr>
        <w:pStyle w:val="TextoNormal"/>
      </w:pPr>
      <w:r>
        <w:t>La Letrada demandante de amparo, por su cualificación profesional, no podía desconocer que su actuación de intentar escribir en el acta no resultaba conforme a Derecho. Pero además, y esto es lo relevante para nuestro enjuiciamiento, dicha actuación (en contra de lo que se sostiene por los demandantes y el Ministerio Fiscal) no resulta encuadrable en el ámbito de la defensa de los derechos e intereses legítimos de sus defendidos, pues su intento de escribir en el acta de la prueba su manifestación de disconformidad con la transcripción de las declaraciones de su cliente, en nada servía para la adecuada defensa de su cliente, ya que el Juez no podía tener en cuenta otra cosa para valorar esta prueba que las declaraciones prestadas por el confesante.</w:t>
      </w:r>
    </w:p>
    <w:p w:rsidR="0025129F" w:rsidRDefault="0025129F" w:rsidP="0025129F">
      <w:pPr>
        <w:pStyle w:val="TextoNormal"/>
      </w:pPr>
      <w:r>
        <w:t>En definitiva, en modo alguno se ha visto menoscabada en el caso que nos ocupa la libertad de expresión de la Abogada demandante de amparo en el ejercicio de defensa de su patrocinado, derecho fundamental que no puede amparar lo que no es otra cosa que una actuación procesalmente incorrecta de la propia Letrada, tanto más reprochable cuanto que los Abogados, por la situación de protección que gozan en su actuación ante los Juzgados y Tribunales de Justicia (art. 437.1 LOPJ), vienen especialmente obligados al cumplimiento de las obligaciones que les impone la propia LOPJ y las correspondientes leyes procesales (art. 448 LOPJ), de suerte que los incumplimientos de tales obligaciones justifican precisamente la imposición de las correspondientes correcciones disciplinarias por parte de los Jueces y Tribunales en el ejercicio de la "policía de estrados" conforme a los arts. 448 y ss. LOPJ.</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rsidP="0025129F">
      <w:pPr>
        <w:pStyle w:val="ParrafoNormal"/>
      </w:pPr>
    </w:p>
    <w:p w:rsidR="0025129F" w:rsidRDefault="0025129F" w:rsidP="0025129F">
      <w:pPr>
        <w:pStyle w:val="TextoNormalNegritaCentrado"/>
        <w:keepNext/>
      </w:pPr>
      <w:r>
        <w:t>Voto particular que formula la Magistrada doña María Emilia Casas Baamonde respecto de la Sentencia dictada en el recurso de amparo núm. 4839/99, al que se adhiere el Magistrado don Fernando Garrido Falla.</w:t>
      </w:r>
    </w:p>
    <w:p w:rsidR="0025129F" w:rsidRDefault="0025129F" w:rsidP="0025129F">
      <w:pPr>
        <w:pStyle w:val="TextoNormalNegritaCentrado"/>
        <w:keepNext/>
      </w:pPr>
    </w:p>
    <w:p w:rsidR="0025129F" w:rsidRDefault="0025129F" w:rsidP="0025129F">
      <w:pPr>
        <w:pStyle w:val="TextoNormal"/>
      </w:pPr>
      <w:r>
        <w:t xml:space="preserve">Coincido con la argumentación de la Sentencia y la desestimación de las quejas de la recurrente relativas a los derechos a un proceso con todas las garantías en sus vertientes de derecho a un Juez imparcial y a utilizar los medios de prueba (art. 24.2 CE), a la tutela judicial efectiva y a la defensa y asistencia letrada en relación con el principio acusatorio y el derecho a la presunción de inocencia (art. 24.1 y 2 CE). Pero, con el mayor respeto a la opinión de la mayoría, discrepo, como defendí en la deliberación, de la solución que se alcanza en relación con el derecho a la libertad de expresión, cuya vulneración denuncia la </w:t>
      </w:r>
      <w:r>
        <w:lastRenderedPageBreak/>
        <w:t>recurrente y en la que, como se dice en el fundamento jurídico 6, subsume las de los derechos a la legalidad penal (art.  25.1 CE), tutela judicial efectiva referido a la motivación de las resoluciones impugnadas (art. 24.1 CE) y a la defensa (art. 24.2 CE). En mi opinión, el amparo solicitado debió ser otorgado por este motivo de acuerdo con nuestra consolidada doctrina sobre el derecho a la libertad de expresión de un Abogado en el ejercicio de la defensa de sus patrocinados, recientemente expuesta y aplicada en la STC 184/2001, de 17 de septiembre, que, sin embargo, en este caso no se sigue sin fundamentación convincente para ello, según paso a exponer.</w:t>
      </w:r>
    </w:p>
    <w:p w:rsidR="0025129F" w:rsidRDefault="0025129F" w:rsidP="0025129F">
      <w:pPr>
        <w:pStyle w:val="TextoNormal"/>
      </w:pPr>
      <w:r>
        <w:t>1. Hemos dicho que en todo procedimiento sancionador dirigido contra un Abogado por una falta de respeto debido a los demás participantes en el proceso, eventualmente cometida en su actuación forense, entrarán en juego y deberán ser tenidos en cuenta no sólo el respeto debido a -en su caso- una u otra autoridad, sino también la dignidad de la función de defensa, en cuanto ejercida al servicio de las garantías establecidas en el art. 24 CE, así como la libertad de expresión de la que es titular el Abogado en cuanto tal, como ha sido entendido por el legislador en el art.  437.1 LOPJ (SSTC 156/1996, de 15 de octubre, FJ 5; y 38/1998, de 9 de marzo, FJ 2). En reiteradas ocasiones hemos declarado también que la libertad de expresión del Abogado en el ejercicio de la actividad de defensa es una manifestación cualificada del derecho reconocido en el art. 20.1 a) CE, porque se encuentra vinculada con carácter inescindible a los derechos de defensa de la parte (art. 24 CE) y al adecuado funcionamiento de los órganos jurisdiccionales en el cumplimiento del propio y fundamental papel que la Constitución les atribuye (art. 117 CE), razón por la cual se trata de una manifestación de la libertad de expresión especialmente resistente, inmune a restricciones que es claro que en otro contexto habrían de operar (SSTC 38/1988, de 9 de marzo, FJ 2; 205/1994, de 11 de julio, FJ 5; 157/1996, de 15 de octubre, FJ 5; 113/2000, de 5 de mayo, FFJJ 4, 5 y 6; y 184/2001, de 17 de septiembre, FJ 4).</w:t>
      </w:r>
    </w:p>
    <w:p w:rsidR="0025129F" w:rsidRDefault="0025129F" w:rsidP="0025129F">
      <w:pPr>
        <w:pStyle w:val="TextoNormal"/>
      </w:pPr>
      <w:r>
        <w:t>Ciertamente, como afirma el fundamento jurídico 6 de la Sentencia, este reforzamiento de la libertad de expresión del Abogado en el ejercicio de defensa de su patrocinado, es decir, la especial cualidad de la libertad ejercitada en tales casos,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STEDH, de 22 de febrero de 1989, caso Barford). Pero dicho límite no se ha excedido, en mi opinión, en este caso.</w:t>
      </w:r>
    </w:p>
    <w:p w:rsidR="0025129F" w:rsidRDefault="0025129F" w:rsidP="0025129F">
      <w:pPr>
        <w:pStyle w:val="TextoNormal"/>
      </w:pPr>
      <w:r>
        <w:t>2. Uno de los ámbitos sobre los que indudablemente se proyecta esta íntima conexión de la libertad de expresión del Abogado con el derecho de defensa de su patrocinado es la manifestación de las quejas en torno a la forma en que los titulares de los órganos judiciales dirigen o instruyen los procesos, crítica que puede, además, contribuir al mejor funcionamiento de la Administración de Justicia. Pues bien, en el presente caso la Letrada solicitante de amparo fue sancionada, de conformidad con el art.  449.2 LOPJ, por tomar la palabra durante la práctica de la prueba de confesión judicial de uno de sus patrocinados, con la pretensión de que en el acta fueran recogidas las explicaciones o matizaciones dadas por el confesante al absolver las posiciones presentadas por la parte contraria (art. 586 LEC 1881), siendo llamada al orden por el Juez, y asimismo por persistir en su actitud al negarse a firmar el acta e intentar escribir en la misma su disconformidad con su redacción, al no recogerse en ella más que las contestaciones afirmativas o negativas, sin agregar las explicaciones dadas por el confesante.</w:t>
      </w:r>
    </w:p>
    <w:p w:rsidR="0025129F" w:rsidRDefault="0025129F" w:rsidP="0025129F">
      <w:pPr>
        <w:pStyle w:val="TextoNormal"/>
      </w:pPr>
      <w:r>
        <w:lastRenderedPageBreak/>
        <w:t>En sus alegaciones el Fiscal sostiene, y la Sentencia recoge, que esta conducta de la Letrada no fue conforme con el estricto cauce procesal por el que debía desarrollarse la práctica de la prueba de confesión judicial regulada en la anterior Ley de Enjuiciamiento Civil, sujeta a un rígido sistema de preguntas ("diga ser cierto que", según la fórmula consagrada por la práctica forense), formuladas por escrito en pliegos de posiciones que los declarantes debían responder por sí mismos oralmente mediante contestaciones afirmativas o negativas, si bien pudiendo agregar las matizaciones o explicaciones que estimasen convenientes, o las que el Juez les pidiese (art.  586 LEC 1881); rígido sistema corregido por la nueva Ley de Enjuiciamiento Civil, que sustituye la prueba de confesión por una declaración de las partes, estableciendo un trámite flexible que, apoyado en un interrogatorio libre y cruzado, facilita la formulación de las preguntas y la espontaneidad de las respuestas, permitiendo asimismo a los Letrados la posibilidad (no prevista expresamente en la anterior Ley de 1881) de intervenir durante la declaración formulando preguntas a los declarantes (art. 306 LEC).</w:t>
      </w:r>
    </w:p>
    <w:p w:rsidR="0025129F" w:rsidRDefault="0025129F" w:rsidP="0025129F">
      <w:pPr>
        <w:pStyle w:val="TextoNormal"/>
      </w:pPr>
      <w:r>
        <w:t>Pero con independencia de que, en el plano de la legalidad, la pretensión de la Letrada de que en acta fuesen recogidas no sólo las contestaciones afirmativas o negativas de los declarantes, sino también las explicaciones o matizaciones ofrecidas al respecto, encontrase expreso fundamento en el art. 586 LEC de 1881 (regla recogida en el actual art. 305 LEC), lo que explica asimismo su posterior intento de expresar en el acta su disconformidad con la redacción de la misma, aunque tal posibilidad no estuviese expresamente prevista en la LEC de 1881, lo relevante, desde nuestra propia perspectiva de enjuiciamiento, es que, como conviene en ello el Ministerio Fiscal, se trató de una actuación claramente encuadrable en el ámbito de la función de defensa de los derechos e intereses de sus clientes.</w:t>
      </w:r>
    </w:p>
    <w:p w:rsidR="0025129F" w:rsidRDefault="0025129F" w:rsidP="0025129F">
      <w:pPr>
        <w:pStyle w:val="TextoNormal"/>
      </w:pPr>
      <w:r>
        <w:t>3. El Ministerio Fiscal interesa la estimación de la demanda de amparo al entender que la actuación de la Letrada, objeto de corrección disciplinaria, se encontraba inserta en su labor de defensa, dados sus fines, no otros que la defensa de los intereses de su patrocinado, que su conducta no fue injuriosa ni desconsiderada para con el Poder Judicial y que el órgano judicial en el ejercicio de su facultad de policía de estrados pudo restablecer el orden procesal en la práctica de la prueba, obteniendo que la Letrada cesara en su empeño de mostrar su disconformidad.</w:t>
      </w:r>
    </w:p>
    <w:p w:rsidR="0025129F" w:rsidRDefault="0025129F" w:rsidP="0025129F">
      <w:pPr>
        <w:pStyle w:val="TextoNormal"/>
      </w:pPr>
      <w:r>
        <w:t xml:space="preserve">No me cabe duda acerca de la relación de la conducta por la que fue sancionada la demandante de amparo con su tarea profesional de defensa como Abogada, lo que revela el hecho mismo de la calificación de dicha conducta por el órgano sancionador como constitutiva de la infracción disciplinaria tipificada en el art. 449.2 LOPJ. La Sentencia afirma, en su fundamento jurídico 7, que "la Letrada demandante de amparo, por su cualificación profesional, no podía desconocer que su actuación de intentar escribir en el acta no resultaba conforme a Derecho. Pero además, y esto es lo relevante para nuestro enjuiciamiento, dicha actuación (en contra de lo que se sostiene por los demandantes y el Ministerio Fiscal) no resulta encuadrable en el ámbito de la defensa de los derechos e intereses legítimos de sus defendidos, pues su intento de escribir en el acta de la prueba su manifestación de disconformidad con la transcripción de las declaraciones de su cliente, en nada servía para la adecuada defensa de su cliente, ya que el Juez no podía tener en cuenta otra cosa para valorar esta prueba que las declaraciones prestadas por el confesante".  Frente a esa afirmación y como dijo la STC 184/2001 (FJ 5), la sanción impuesta con tal base legal parte de que la conducta sancionada "consistía en una actuación forense; esto es, ligada con la función asumida" por la demandante de amparo, "que no era otra que la representación y defensa de los intereses de sus patrocinados". Pero en todo caso -sigue diciendo la STC </w:t>
      </w:r>
      <w:r>
        <w:lastRenderedPageBreak/>
        <w:t>184/2001 citada- es obligado observar que, para determinar la inclusión o no de dicha actuación, en el ámbito de la función de representación y defensa de los derechos e intereses de sus patrocinados encomendados a la recurrente en amparo, es preciso atender, entre otros criterios, al contenido y finalidad de la actividad desplegada motivadora de la sanción impuesta, así como a la condición procesal con la que fue llevada a cabo (STC 113/2000, de 5 de mayo, FJ 4).</w:t>
      </w:r>
    </w:p>
    <w:p w:rsidR="0025129F" w:rsidRDefault="0025129F" w:rsidP="0025129F">
      <w:pPr>
        <w:pStyle w:val="TextoNormal"/>
      </w:pPr>
      <w:r>
        <w:t>No puede negarse que con la actividad desarrollada lo que se pretendía por la Letrada sancionada era que se reflejaran en el acta las explicaciones que a cada respuesta daba el confesante, por entender que a su juicio esas explicaciones matizaban sustancialmente el contenido de cada respuesta, con influencia decisiva para el resultado final en la valoración de esa prueba de confesión. Desde esta perspectiva, no me parece dudoso que al impedirle a la Letrada que, cuando menos, se hiciera constar en acta su protesta por la forma en que se llevaba a cabo la transcripción de las declaraciones del confesante (transcripción que goza, no se olvide, de fe pública procesal), se vulneraba no sólo su derecho a la libertad de expresión, sino además el derecho a la defensa de sus clientes.</w:t>
      </w:r>
    </w:p>
    <w:p w:rsidR="0025129F" w:rsidRDefault="0025129F" w:rsidP="0025129F">
      <w:pPr>
        <w:pStyle w:val="TextoNormal"/>
      </w:pPr>
      <w:r>
        <w:t>Pues bien, atendidos tales criterios en este caso, el resultado es que la actuación de la Letrada -interrupción de la práctica de la prueba de confesión e intento de dejar constancia de su disconformidad en el acta con negativa a su firma- es claramente enmarcable en el ámbito de la función de representación y defensa de los derechos e intereses de sus representados, con independencia de la corrección o incorrección de las formas utilizadas. Tales formas, el modo elegido, fueron desacertadas, pero la actuación de la Letrada se dirigía a obtener del Juez la tutela de los derechos e intereses de sus representados.</w:t>
      </w:r>
    </w:p>
    <w:p w:rsidR="0025129F" w:rsidRDefault="0025129F" w:rsidP="0025129F">
      <w:pPr>
        <w:pStyle w:val="TextoNormal"/>
      </w:pPr>
      <w:r>
        <w:t>4. Esto afirmado, lo que la Sentencia de la mayoría rechaza equivocadamente, dicho con todo respeto, hubiera sido obligado nuestro pronunciamiento sobre la licitud e ilicitud de la sanción desde la perspectiva de los derechos fundamentales a la libertad de expresión, motivación de las resoluciones judiciales y legalidad sancionadora.</w:t>
      </w:r>
    </w:p>
    <w:p w:rsidR="0025129F" w:rsidRDefault="0025129F" w:rsidP="0025129F">
      <w:pPr>
        <w:pStyle w:val="TextoNormal"/>
      </w:pPr>
      <w:r>
        <w:t>Discrepo del razonamiento final de la Sentencia, según el cual: "En definitiva, en modo alguno se ha visto menoscabada en el caso que nos ocupa la libertad de expresión de la Abogada demandante de amparo en el ejercicio de defensa de su patrocinado, derecho fundamental que no puede amparar lo que no es otra cosa que una actuación procesalmente incorrecta de la propia Letrada, tanto más reprochable cuanto que los Abogados, por la situación de protección que gozan en su actuación ante los Juzgados y Tribunales de Justicia (art. 437.1 LOPJ), vienen especialmente obligados al cumplimiento de las obligaciones que les impone la propia LOPJ y las correspondientes leyes procesales (art. 448 LOPJ), de suerte que los incumplimientos de tales obligaciones justifican precisamente la imposición de las correspondientes correcciones disciplinarias por parte de los Jueces y Tribunales en el ejercicio de la 'policía de estrados' conforme a los arts. 448 y ss. LOPJ" (FJ 7).</w:t>
      </w:r>
    </w:p>
    <w:p w:rsidR="0025129F" w:rsidRDefault="0025129F" w:rsidP="0025129F">
      <w:pPr>
        <w:pStyle w:val="TextoNormal"/>
      </w:pPr>
      <w:r>
        <w:t>En dicho razonamiento se interpreta el derecho fundamental en juego, la libertad de expresión, desde la legalidad infraconstitucional, cuando desde la perspectiva de la posición preferente de los derechos fundamentales en el ordenamiento jurídico frente a sus límites y el carácter restrictivo de éstos, nuestro enjuiciamiento debe sostenerse en el proceso interpretativo cabalmente inverso; esto es, la legalidad infraconstitucional es la que debe interpretarse desde la Constitución y específicamente desde los derechos fundamentales.</w:t>
      </w:r>
    </w:p>
    <w:p w:rsidR="0025129F" w:rsidRDefault="0025129F" w:rsidP="0025129F">
      <w:pPr>
        <w:pStyle w:val="TextoNormal"/>
      </w:pPr>
      <w:r>
        <w:t xml:space="preserve">Esta es la razón de que hayamos sostenido, en relación con la libertad de expresión y la aplicación de normas penales, que "cuando un órgano judicial aplica una norma penal ... que se refiere a conductas en las que se halla implicado el ejercicio de un derecho fundamental ..., ha de tener presente el contenido constitucional del derecho de que se trate, es decir, el haz de garantías y posibilidades de actuación o resistencia que otorga. De modo </w:t>
      </w:r>
      <w:r>
        <w:lastRenderedPageBreak/>
        <w:t>que, en este caso ...[no] puede incluir entre los supuestos sancionables aquéllos que son ejercicio ... [del derecho]" (SSTC 136/1999, de 29 de julio, FJ 20; 110/2000, de 5 de mayo, FJ 5).</w:t>
      </w:r>
    </w:p>
    <w:p w:rsidR="0025129F" w:rsidRDefault="0025129F" w:rsidP="0025129F">
      <w:pPr>
        <w:pStyle w:val="TextoNormal"/>
      </w:pPr>
      <w:r>
        <w:t>Sobre la base del mismo razonamiento, tampoco las infracciones administrativas, sean o no disciplinarias, pueden incluir entre los supuestos sancionables aquellos que constituyen legítimo ejercicio del derecho fundamental, pues, en definitiva, la protección del derecho fundamental impide que se anuden sanciones al ejercicio legítimo del mismo.</w:t>
      </w:r>
    </w:p>
    <w:p w:rsidR="0025129F" w:rsidRDefault="0025129F" w:rsidP="0025129F">
      <w:pPr>
        <w:pStyle w:val="TextoNormal"/>
      </w:pPr>
      <w:r>
        <w:t>Esta razón explica también que, en relación con la libertad de expresión de los Abogados en el ejercicio de la defensa y la aplicación por los órganos judiciales del régimen disciplinario de los arts. 448 y ss. LOPJ, este Tribunal haya venido exigiendo a dichos órganos jurisdiccionales efectuar un juicio ponderativo de los derechos fundamentales y bienes constitucionales en presencia con el fin de determinar si la conducta de la Letrada estaba justificada, por estar comprendida en la libertad de expresión necesaria para el eficaz ejercicio del derecho de defensa, o si, por el contrario, carece de esa justificación por pretender alterar el adecuado orden y desarrollo del proceso o atentar contra la imparcialidad del Juez o Tribunal, con clara infracción de las obligaciones procesales de actuación en el proceso con corrección, buena fe y sin provocar dilaciones indebidas (STC 184/2001, FJ 6).</w:t>
      </w:r>
    </w:p>
    <w:p w:rsidR="0025129F" w:rsidRDefault="0025129F" w:rsidP="0025129F">
      <w:pPr>
        <w:pStyle w:val="TextoNormal"/>
      </w:pPr>
      <w:r>
        <w:t>En el presente caso, y como alega el Fiscal, las resoluciones judiciales impugnadas no efectuaron referencia alguna a la libertad de expresión de la Letrada recurrente en el ejercicio de su profesión, por lo que no puede entenderse que hayan efectuado la ponderación constitucionalmente requerida.</w:t>
      </w:r>
    </w:p>
    <w:p w:rsidR="0025129F" w:rsidRDefault="0025129F" w:rsidP="0025129F">
      <w:pPr>
        <w:pStyle w:val="TextoNormal"/>
      </w:pPr>
      <w:r>
        <w:t>De otra parte, y teniendo en cuenta la conducta que se consideró constitutiva de la infracción disciplinaria del art. 449.2 LOPJ, sus circunstancias y su finalidad, a efectos de ponderar la actitud procesalmente incorrecta de la Letrada sancionada con el lícito ejercicio del derecho de libertad de expresión en el ejercicio de la actividad de defensa, creo difícil negar que resultó cubierta por este derecho fundamental. Como se desprende de la resolución sancionadora, y así se recoge por el Fiscal, la Letrada se condujo en todo momento de forma respetuosa con el órgano judicial, aguardando a que el confesante absolviera la tercera de las posiciones declaradas pertinentes y antes de que comenzara la cuarta, para no interrumpir el orden lógico de las preguntas de la contraparte, estando su intervención orientada, además, a lo que, según su criterio, podía contribuir a aclarar la declaración de su defendido y a que se reflejara en el acta las explicaciones adicionales del confesante de conformidad con lo expuesto en el art. 586 LEC entonces vigente. En ningún momento la Letrada se expresó en términos injuriosos o descalificatorios, cediendo en su empeño de mostrar su disconformidad por escrito en el acta, con lo que la imposición de la sanción resultó injustificada.</w:t>
      </w:r>
    </w:p>
    <w:p w:rsidR="0025129F" w:rsidRDefault="0025129F" w:rsidP="0025129F">
      <w:pPr>
        <w:pStyle w:val="TextoNormal"/>
      </w:pPr>
      <w:r>
        <w:t>Sentado así que la finalidad de la conducta desplegada por la Letrada demandante de amparo era la defensa de los derechos e intereses ajenos que tenía encomendados como tal, y que, a la vista de las actuaciones, se condujo en todo momento de forma respetuosa, sin emplear términos injuriosos o vejatorios al dirigirse al titular del órgano y personal judicial y a las demás partes procesales, ha de afirmarse, por todo lo expuesto, que las imputaciones por las que fue sancionada no revelan la existencia de una extralimitación en el ejercicio de su derecho de libre expresión como Abogada, por lo que la sanción disciplinaria impugnada supuso una vulneración de dicho derecho fundamental que debió ser amparada por este Tribunal.</w:t>
      </w:r>
    </w:p>
    <w:p w:rsidR="0025129F" w:rsidRDefault="0025129F" w:rsidP="0025129F">
      <w:pPr>
        <w:pStyle w:val="TextoNormal"/>
      </w:pPr>
      <w:r>
        <w:t>5. Esta vulneración del derecho a la libertad de expresión implica, paralelamente, la vulneración del derecho a la legalidad sancionadora (art. 25.1 CE), pues no puede ser ob</w:t>
      </w:r>
      <w:r>
        <w:lastRenderedPageBreak/>
        <w:t>jeto de sanción una conducta amparada en el ejercicio legítimo de la libertad de expresión, sin perjuicio de que en el caso hubiera podido apreciarse, también, una vulneración autónoma del derecho a la legalidad sancionadora (arts. 25.1 CE), como consecuencia de la inadecuada subsunción de la conducta sancionada en el tipo previsto en el art. 449.2 LOPJ.</w:t>
      </w:r>
    </w:p>
    <w:p w:rsidR="0025129F" w:rsidRDefault="0025129F" w:rsidP="0025129F">
      <w:pPr>
        <w:pStyle w:val="TextoNormal"/>
      </w:pPr>
      <w:r>
        <w:t>Ciertamente, tampoco puedo compartir la consideración que la Sentencia efectúa en su fundamento jurídico séptimo respecto de la subsunción de la conducta de la Letrada "en los tipos de corrección disciplinaria previstos en los arts. 448 y 449 LOPJ", sobre cuya adecuación no se pronuncia ("con independencia de la adecuada subsunción", dice), por entender que "en presencia de esta modalidad sancionadora de las correcciones disciplinarias procesales, que se produce aquí en el ámbito de la práctica de una prueba de confesión, lo determinante es que la conducta reprochable manifieste un incumplimiento de las prescripciones exigidas por las leyes procesales, pues, comprobado tal incumplimiento, la 'policía en estrados' faculta al Juez o Tribunal para la adecuada corrección disciplinaria procesal, en virtud de los mencionados preceptos de la LOPJ". Esta argumentación, proyectada sobre la sanción aquí impugnada, no resulta, en mi opinión, compatible con la garantía de tipicidad y la prohibición de aplicación analógica inherentes al principio de legalidad sancionadora (art. 25.1 CE) aplicables también en materia de sanciones administrativas (SSTC 120/1996, de 8 de julio, FJ 8; 151/1997, de 29 de septiembre, FJ 4; y 133/1999, de 15 de octubre, FJ 2), menos cuando está concernido el derecho fundamental de libertad de expresión en los términos especialmente reforzados en el ejercicio de la actividad de defensa señalados por nuestra jurisprudencia y que ya he dejado referidos.</w:t>
      </w:r>
    </w:p>
    <w:p w:rsidR="0025129F" w:rsidRDefault="0025129F" w:rsidP="0025129F">
      <w:pPr>
        <w:pStyle w:val="TextoNormal"/>
      </w:pPr>
      <w:r>
        <w:t>Madrid, a doce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3" w:name="SENTENCIA_2002_80"/>
      <w:r>
        <w:lastRenderedPageBreak/>
        <w:t>SENTENCIA 80/2002, de 8 de abril de 2002</w:t>
      </w:r>
    </w:p>
    <w:bookmarkEnd w:id="83"/>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99, de 25 de abril de 2002)</w:t>
      </w:r>
    </w:p>
    <w:p w:rsidR="0025129F" w:rsidRDefault="0025129F" w:rsidP="0025129F">
      <w:pPr>
        <w:pStyle w:val="TtuloBOE"/>
      </w:pPr>
    </w:p>
    <w:p w:rsidR="0025129F" w:rsidRDefault="0025129F" w:rsidP="0025129F">
      <w:pPr>
        <w:pStyle w:val="SntesisDescriptiva"/>
      </w:pPr>
      <w:r>
        <w:t>ECLI:ES:TC:2002:80</w:t>
      </w:r>
    </w:p>
    <w:p w:rsidR="0025129F" w:rsidRDefault="0025129F" w:rsidP="0025129F">
      <w:pPr>
        <w:pStyle w:val="SntesisDescriptiva"/>
      </w:pPr>
    </w:p>
    <w:p w:rsidR="0025129F" w:rsidRDefault="0025129F" w:rsidP="0025129F">
      <w:pPr>
        <w:pStyle w:val="SntesisDescriptiva"/>
      </w:pPr>
      <w:r>
        <w:t>Recurso de amparo 1473-2001. Promovido por don Álvaro Cuesta Martínez y el Partido Socialista Obrero Español-Progresistas, frente a la Sentencia de la Sala de lo Contencioso-Administrativo del Tribunal Supremo, sobre el resultado en Asturias de las elecciones generales de 2000.</w:t>
      </w:r>
    </w:p>
    <w:p w:rsidR="0025129F" w:rsidRDefault="0025129F" w:rsidP="0025129F">
      <w:pPr>
        <w:pStyle w:val="SntesisDescriptiva"/>
      </w:pPr>
    </w:p>
    <w:p w:rsidR="0025129F" w:rsidRDefault="0025129F" w:rsidP="0025129F">
      <w:pPr>
        <w:pStyle w:val="SntesisAnaltica"/>
      </w:pPr>
      <w:r>
        <w:t>Supuesta vulneración de los derechos a la tutela judicial efectiva (acceso a la justicia) y de acceso a los cargos públicos: inadmisión de demanda que pretendía corregir un error material fuera de los plazos fijados por la legislación electoral; error en la transcripción informática de las votaciones que no puede ser corregido fuera de los plazos legales.</w:t>
      </w:r>
    </w:p>
    <w:p w:rsidR="0025129F" w:rsidRDefault="0025129F" w:rsidP="0025129F">
      <w:pPr>
        <w:pStyle w:val="SntesisAnaltica"/>
      </w:pPr>
    </w:p>
    <w:p w:rsidR="0025129F" w:rsidRDefault="0025129F" w:rsidP="0025129F">
      <w:pPr>
        <w:pStyle w:val="Extracto"/>
      </w:pPr>
      <w:r>
        <w:t>1.</w:t>
      </w:r>
      <w:r>
        <w:tab/>
        <w:t>Transcurridos los plazos de reclamación e impugnación de los resultados electorales, el descubrimiento de una realidad material distinta a la que por error se ha entendido producida debe ceder en aras de la específica seguridad jurídica electoral [FJ 6].</w:t>
      </w:r>
    </w:p>
    <w:p w:rsidR="0025129F" w:rsidRDefault="0025129F" w:rsidP="0025129F">
      <w:pPr>
        <w:pStyle w:val="Extracto"/>
      </w:pPr>
    </w:p>
    <w:p w:rsidR="0025129F" w:rsidRDefault="0025129F" w:rsidP="0025129F">
      <w:pPr>
        <w:pStyle w:val="Extracto"/>
      </w:pPr>
      <w:r>
        <w:t>2.</w:t>
      </w:r>
      <w:r>
        <w:tab/>
        <w:t>No puede considerarse vulnerado el derecho a acceder en condiciones de igualdad a las funciones y cargos públicos por no cumplir los requisitos legalmente exigidos para su efectividad (en este caso el accionamiento en tiempo y forma frente a su eventual lesión) cuyo propio enunciado constitucional, mediante remisión al legislador, incluye como parte integrante de él [FJ 5].</w:t>
      </w:r>
    </w:p>
    <w:p w:rsidR="0025129F" w:rsidRDefault="0025129F" w:rsidP="0025129F">
      <w:pPr>
        <w:pStyle w:val="Extracto"/>
      </w:pPr>
    </w:p>
    <w:p w:rsidR="0025129F" w:rsidRDefault="0025129F" w:rsidP="0025129F">
      <w:pPr>
        <w:pStyle w:val="Extracto"/>
      </w:pPr>
      <w:r>
        <w:t>3.</w:t>
      </w:r>
      <w:r>
        <w:tab/>
        <w:t>La comprobación de que las resoluciones adoptadas por los órganos administrativo-electorales y judiciales han hecho una interpretación razonable de la normativa electoral, satisfaciendo así el derecho a la tutela judicial efectiva, no es suficiente cuando se han invocado derechos sustantivos como el contenido en el art. 23.2 CE [FJ 4].</w:t>
      </w:r>
    </w:p>
    <w:p w:rsidR="0025129F" w:rsidRDefault="0025129F" w:rsidP="0025129F">
      <w:pPr>
        <w:pStyle w:val="Extracto"/>
      </w:pPr>
    </w:p>
    <w:p w:rsidR="0025129F" w:rsidRDefault="0025129F" w:rsidP="0025129F">
      <w:pPr>
        <w:pStyle w:val="Extracto"/>
      </w:pPr>
      <w:r>
        <w:t>4.</w:t>
      </w:r>
      <w:r>
        <w:tab/>
        <w:t>La presentación por los recurrentes de su reclamación sobre la transcripción de los datos, correctamente reflejados en el acta final del escrutinio, al soporte informático que luego sería el empleado para el cálculo de la distribución de escaños sobrepasó, con creces, los plazos dispuestos en la Ley electoral. Resulta inconcusa, pues, la extemporaneidad apreciada (STC 157/1991) [ FJ 3].</w:t>
      </w:r>
    </w:p>
    <w:p w:rsidR="0025129F" w:rsidRDefault="0025129F" w:rsidP="0025129F">
      <w:pPr>
        <w:pStyle w:val="Extracto"/>
      </w:pPr>
    </w:p>
    <w:p w:rsidR="0025129F" w:rsidRDefault="0025129F" w:rsidP="0025129F">
      <w:pPr>
        <w:pStyle w:val="Extracto"/>
      </w:pPr>
      <w:r>
        <w:t>5.</w:t>
      </w:r>
      <w:r>
        <w:tab/>
        <w:t>Si un fin pretende la Ley Orgánica de régimen electoral con su regulación de las quejas, reclamaciones y recursos es, justamente, la seguridad jurídica mediante la fiabilidad y la celeridad en la resolución de aquéllas. Por eso resulta palmaria la incompatibilidad con esta conclusión de la apertura de un plazo sine die para la rectificación de los errores materiales que determina el art. 105.2 LPC [FJ 3].</w:t>
      </w:r>
    </w:p>
    <w:p w:rsidR="0025129F" w:rsidRDefault="0025129F" w:rsidP="0025129F">
      <w:pPr>
        <w:pStyle w:val="Extracto"/>
      </w:pPr>
    </w:p>
    <w:p w:rsidR="0025129F" w:rsidRDefault="0025129F" w:rsidP="0025129F">
      <w:pPr>
        <w:pStyle w:val="Extracto"/>
      </w:pPr>
      <w:r>
        <w:t>6.</w:t>
      </w:r>
      <w:r>
        <w:tab/>
        <w:t xml:space="preserve">La razón más relevante de que no puedan ser aplicados como supletorios al régimen electoral los preceptos de la legislación de procedimiento administrativo es </w:t>
      </w:r>
      <w:r>
        <w:lastRenderedPageBreak/>
        <w:t>la reserva a ley orgánica del régimen electoral general que lleva a cabo el art. 81.1 CE [FJ 3].</w:t>
      </w:r>
    </w:p>
    <w:p w:rsidR="0025129F" w:rsidRDefault="0025129F" w:rsidP="0025129F">
      <w:pPr>
        <w:pStyle w:val="Extracto"/>
      </w:pPr>
    </w:p>
    <w:p w:rsidR="0025129F" w:rsidRDefault="0025129F" w:rsidP="0025129F">
      <w:pPr>
        <w:pStyle w:val="Extracto"/>
      </w:pPr>
      <w:r>
        <w:t>7.</w:t>
      </w:r>
      <w:r>
        <w:tab/>
        <w:t>Este Tribunal ha resaltado la necesidad de respetar en los procesos electorales la voluntad real de los votantes (SSTC 131/1990, 144/1999) [FJ 2].</w:t>
      </w:r>
    </w:p>
    <w:p w:rsidR="0025129F" w:rsidRDefault="0025129F" w:rsidP="0025129F">
      <w:pPr>
        <w:pStyle w:val="Extracto"/>
      </w:pPr>
    </w:p>
    <w:p w:rsidR="0025129F" w:rsidRDefault="0025129F" w:rsidP="0025129F">
      <w:pPr>
        <w:pStyle w:val="Extracto"/>
      </w:pPr>
      <w:r>
        <w:t>8.</w:t>
      </w:r>
      <w:r>
        <w:tab/>
        <w:t>La Administración electoral es una Administración de garantía del proceso electoral (STC 197/1988). La diligencia exigible a los protagonistas naturales de las elecciones (fuerzas políticas en general y candidatos) no exime a la Administración electoral de la suya (STC 170/1991) [FJ 7].</w:t>
      </w:r>
    </w:p>
    <w:p w:rsidR="0025129F" w:rsidRDefault="0025129F" w:rsidP="0025129F">
      <w:pPr>
        <w:pStyle w:val="Extracto"/>
      </w:pPr>
    </w:p>
    <w:p w:rsidR="0025129F" w:rsidRDefault="0025129F" w:rsidP="0025129F">
      <w:pPr>
        <w:pStyle w:val="Extracto"/>
      </w:pPr>
      <w:r>
        <w:t>9.</w:t>
      </w:r>
      <w:r>
        <w:tab/>
        <w:t>Los Jueces y Tribunales constituyen la primera línea de defensa de los derechos fundamentales (SSTC 131/1990, 157/1991, 59/2000)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1473-2001 (demanda núm. 650-A-2001), interpuesto por don Álvaro Cuesta Martínez y el Partido Socialista Obrero Español-Progresistas, representados por el Procurador de los Tribunales don Roberto P. Granizo Palomeque y asistidos por el Letrado don Francisco Vírseda Barca, contra la Sentencia de la Sala de lo Contencioso- Administrativo del Tribunal Supremo, de fecha 28 de febrero de 2001, dictada en los recursos contencioso-administrativos de protección de los derechos fundamentales acumulados núms. 559-2000 y 568-2000, interpuestos el primero contra Acuerdo de la Junta Electoral Central de 29 de marzo de 2000, por el que se ordena la publicación en el "Boletín Oficial del Estado" del resultado de las elecciones generales celebradas el 12 de marzo de 2000, y el segundo contra los Acuerdos de la Junta Electoral Provincial de Asturias de 29 de marzo de 2000, y de la Junta Electoral Central de 18 de abril de 2000, que desestimaron la pretendida corrección de errores en el escrutinio general de las elecciones al Congreso de los Diputados en la provincia de Asturias. Han sido parte la Junta Electoral Central, asistida por el Letrado de las Cortes Generales don Ramón Entrena Cuesta, el Partido Popular, representado por el Procurador de los Tribunales don José Luis Ferrer Recuero y asistido por el Letrado don Tomás Ramón Fernández Rodríguez, y los Diputados electos por la circunscripción electoral de Asturias, don Juan A. Bustillo Gutiérrez y don Gervasio Acevedo Fernández, representados por el Procurador de los Tribunales don Argimiro Vázquez Guillén y asistidos por el Letrado don Eduardo García de Enterría. Ha </w:t>
      </w:r>
      <w:r>
        <w:lastRenderedPageBreak/>
        <w:t>intervenido el Ministerio Fiscal.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En escrito registrado en este Tribunal en fecha 15 de marzo de 2001, don Álvaro Cuesta Martínez, representado por el Procurador de los Tribunales don Roberto Granizo Palomeque y asistido por el Letrado don Francisco Vírseda Barca, interpuso demanda de amparo constitucional contra la Sentencia de la Sala de lo Contencioso-Administrativo del Tribunal Supremo de fecha 28 de febrero de 2001. </w:t>
      </w:r>
    </w:p>
    <w:p w:rsidR="0025129F" w:rsidRDefault="0025129F" w:rsidP="0025129F">
      <w:pPr>
        <w:pStyle w:val="TextoNormal"/>
      </w:pPr>
      <w:r>
        <w:t>Tal Sentencia resolvió dos recursos acumulados: el recurso núm. 559-2000 que don Álvaro Cuesta interpuso contra el Acuerdo 19 de marzo de 2000 de la Junta Electoral Central, por la que se ordenó la publicación del resumen de los resultados de las elecciones al Congreso de los Diputados y al Senado habidas el 12 de marzo de 2000, recurso que fue inadmitido; y el recurso núm. 568-2000 que don Álvaro Cuesta Martínez y el Partido Socialista Obrero Español- Progresistas interpusieron contra el Acuerdo de 18 de abril de 2000 de la Junta Electoral Central, desestimatorio a su vez del Acuerdo de 12 de abril de 2000 de la Junta Electoral Provincial de Asturias en el que solicitaba la corrección de errores existentes en el Acuerdo de proclamación de diputados electos por dicha circunscripción, de 20 de marzo de 2000, acuerdos estos dos últimos a los que se extendía la demanda resuelta por dicha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se fundamenta la demanda de amparo son, en síntesis, los siguientes: </w:t>
      </w:r>
    </w:p>
    <w:p w:rsidR="0025129F" w:rsidRDefault="0025129F" w:rsidP="0025129F">
      <w:pPr>
        <w:pStyle w:val="TextoNormal"/>
      </w:pPr>
      <w:r>
        <w:t xml:space="preserve">a) El 12 de marzo de 2000 se celebraron elecciones generales. Por la circunscripción de Asturias concurría al Congreso de los Diputados en la lista del Partido Socialista Obrero Español- Progresistas, don Álvaro Cuesta Martínez. El escrutinio general correspondiente tiene lugar en tres sesiones, celebradas los días 15, 16 y 17 de marzo y del mismo se levanta acta a las 13 horas del último de los días citados, con la especificación de que en el mismo no se ha producido ninguna incidencia. En consecuencia la Junta Electoral Central, por Acuerdo de 29 de marzo, determina la publicación en el "Boletín Oficial del Estado" de los resultados generales y por circunscripciones, lo que tiene lugar en el boletín de 5 de abril. </w:t>
      </w:r>
    </w:p>
    <w:p w:rsidR="0025129F" w:rsidRDefault="0025129F" w:rsidP="0025129F">
      <w:pPr>
        <w:pStyle w:val="TextoNormal"/>
      </w:pPr>
      <w:r>
        <w:t xml:space="preserve">El 11 de abril el representante de la candidatura antes mencionada presenta ante la Junta Electoral Provincial escrito en virtud del art. 105.2 de la Ley 30/1992, de régimen jurídico de la Administración del Estado -que permite la rectificación en cualquier momento de los errores materiales, de hecho o aritméticos en que incurran las Administraciones Públicas-, solicitando la rectificación de un error material no en el escrutinio, sino en la transcripción de los resultados al soporte informático, soporte que les fue entregado a los representantes de las candidaturas tres horas después de haberse firmado las actas del escrutinio. El error que mediante tal escrito se pretende hacer valer consistió en atribuir los 80 votos correspondientes a la mencionada candidatura en la Mesa A de la Sección 05 del Distrito Censal 1 del municipio de Piloña, y los 235 en la Mesa A, Sección 13, Distrito Censal 8 del municipio de Gijón, a la formación que figuraba en los formularios en la línea inmediatamente anterior ("Plataforma España 2000"). La suma de los 315 votos detraídos del conjunto obtenido en la circunscripción electoral de Asturias a la formación demandante de amparo, supondrían de ser tenidos en cuenta, el cambio de adscripción del </w:t>
      </w:r>
      <w:r>
        <w:lastRenderedPageBreak/>
        <w:t xml:space="preserve">último escaño en liza, concedido al Partido Popular, toda vez que la diferencia respecto del mismo era de 271 votos. </w:t>
      </w:r>
    </w:p>
    <w:p w:rsidR="0025129F" w:rsidRDefault="0025129F" w:rsidP="0025129F">
      <w:pPr>
        <w:pStyle w:val="TextoNormal"/>
      </w:pPr>
      <w:r>
        <w:t xml:space="preserve">b) La Junta Electoral Provincial acuerda el 12 de abril considerar improcedente el escrito presentado "independientemente de la procedencia, o no, en términos sustantivos, de la rectificación del acto del escrutinio", al haber adquirido ya los candidatos electos su plena condición e incidir la pretensión del reclamante en el resultado del proceso electoral, lo que trascendía la competencia de la Junta. Dicho Acuerdo se acompaña de un Voto particular favorable a la tesis del aquí recurrente, fundado, por un lado, en que la posibilidad de reclamación que establece el art. 108.2 LOREG sólo se prevé, literalmente, para las incidencias recogidas en el acta del escrutinio y, como quiera que en las mismas no figura ninguna incidencia, no cabía tildar de extemporáneo el escrito solicitando la rectificación; y, por otro, en que el conocimiento del error sólo pudo tener lugar una vez firmadas las actas del escrutinio, al haberse entregado el soporte informático con posterioridad, con lo que los recurrentes no tuvieron ocasión de verificar la existencia del error con anterioridad, de modo que sólo la rectificación salvaguardaría el derecho fundamental invocado por los afectados. </w:t>
      </w:r>
    </w:p>
    <w:p w:rsidR="0025129F" w:rsidRDefault="0025129F" w:rsidP="0025129F">
      <w:pPr>
        <w:pStyle w:val="TextoNormal"/>
      </w:pPr>
      <w:r>
        <w:t xml:space="preserve">c) El representante legal de la candidatura recurre esta decisión ante la Junta Electoral Central que, en Acuerdo de 18 de abril de 2000, dilucida si, dado que el recurrente acude por la mencionada vía de la Ley de régimen jurídico 30/1992, hay alguna laguna en la regulación electoral que deba colmarse acudiendo supletoriamente al procedimiento administrativo como hace la actora. Tras repasar las atribuciones que tienen tanto las Juntas Electorales Provinciales como la propia Junta Electoral Central cuando se producen reclamaciones sobre resultados, concluye la inexistencia de laguna alguna en dicho régimen y, haciendo suyo el informe de la Junta Electoral Provincial impugnado, desestima el recurso. Añade la Junta Electoral Central que, al igual que la Junta Electoral Provincial no entró a comprobar la posibilidad del error, ella tampoco lo ha hecho por dos motivos: porque en la hipótesis de que la Administración electoral pudiera hacerlo, ello podría implicar una completa revisión del acta de escrutinio a efectos de comprobar si los supuestos errores alegados no pudieran estar compensados por otros de signo contrario; y porque tampoco le resultaba posible decidir en el estrecho cauce de un recurso de tan urgente resolución como se prevé en el art. 21 LOREG. Por lo demás, especifica que, en aras de facilitar el acceso de los interesados a los Tribunales de Justicia, ha prescindido totalmente, como hizo la Junta Electoral Provincial, del trámite de audiencia a los interesados. </w:t>
      </w:r>
    </w:p>
    <w:p w:rsidR="0025129F" w:rsidRDefault="0025129F" w:rsidP="0025129F">
      <w:pPr>
        <w:pStyle w:val="TextoNormal"/>
      </w:pPr>
      <w:r>
        <w:t xml:space="preserve">d) Contra estas dos resoluciones de la Administración electoral, el recurrente en amparo interpone dos recursos ante la Sala de lo Contencioso-Administrativo del Tribunal Supremo. El primero, núm. 559-2000, por el procedimiento especial para la protección de los derechos fundamentales de la persona, contra el Acuerdo de la Junta Electoral Central, de 29 de marzo de 2000, que ordenaba la publicación de los resultados generales y por circunscripciones de las elecciones celebradas el mismo mes. El segundo, que interpone junto al Partido Socialista Obrero Español-Progresistas, al amparo de los arts. 53.2 CE y 114 y siguientes de la Ley de la jurisdicción contencioso-administrativa, arts. 105.4 y 106.1 LOREG, art. 105.2 de la Ley 30/1992, de régimen jurídico de las Administraciones públicas, y art. 267.2 LOPJ, contra el Acuerdo de la Junta Electoral Provincial de Asturias y contra el Acuerdo de proclamación de diputados electos de dicha circunscripción, de 20 de marzo de 2000. Aunque inicialmente la Sala se negó a la acumulación de ambos recursos, la misma tuvo lugar, a instancia de los recurrentes, con el parecer favorable del Ministerio Fiscal y de la Junta Electoral Central, por Auto de 4 de septiembre de 2000. </w:t>
      </w:r>
    </w:p>
    <w:p w:rsidR="0025129F" w:rsidRDefault="0025129F" w:rsidP="0025129F">
      <w:pPr>
        <w:pStyle w:val="TextoNormal"/>
      </w:pPr>
      <w:r>
        <w:lastRenderedPageBreak/>
        <w:t xml:space="preserve">De igual modo, solicita también el recurrente la suspensión sustanciada en pieza separada de las resoluciones impugnadas de la Administración electoral, y en particular del citado Acuerdo de proclamación de Diputados electos de la Junta Electoral Provincial, de 20 de marzo de 2000, en lo relativo a la proclamación del quinto miembro de la lista del Partido Popular, don Juan A. Bustillo Gutiérrez, suspensión que más adelante, por escrito presentado el 24 de mayo de 2000, extiende a don Gervasio Acevedo Fernández, quien el día anterior ya había accedido a la condición de Diputado en sustitución de doña Mercedes Fernández González por el nombramiento de ésta como Delegada del Gobierno en dicha Comunidad. La suspensión es denegada por Auto de 26 de julio de 2000. </w:t>
      </w:r>
    </w:p>
    <w:p w:rsidR="0025129F" w:rsidRDefault="0025129F" w:rsidP="0025129F">
      <w:pPr>
        <w:pStyle w:val="TextoNormal"/>
      </w:pPr>
      <w:r>
        <w:t xml:space="preserve">e) Terminado el periodo de alegaciones, la representación de la Junta Electoral Central apunta de forma común para los dos recursos si no se estaba ante la impugnación de un acto firme y consentido -la proclamación de electos-, solicita la inadmisibilidad o, en su defecto, la desestimación del primero y, respecto del segundo, propone argumentos contrarios al mismo y, en todo caso, que de ser estimados los recursos lo procedente sería que se reprodujese el recuento por el órgano competente de la Administración electoral y la posterior proclamación de electos que procediere; la de los opuestos interesados, el Partido Popular y los dos diputados que se acaban de mencionar, interesan la inadmisibilidad de los recursos; por el contrario, el Ministerio Fiscal propone entrar a conocer en el fondo de la pretensión de los recurrentes y, caso de que quedase acreditado el error, anular los actos del órgano electoral provincial y, en lo que le afectase, el acuerdo de la Junta Electoral Central, para volver a efectuar el escrutinio y la consiguiente distribución de escaños. </w:t>
      </w:r>
    </w:p>
    <w:p w:rsidR="0025129F" w:rsidRDefault="0025129F" w:rsidP="0025129F">
      <w:pPr>
        <w:pStyle w:val="TextoNormal"/>
      </w:pPr>
      <w:r>
        <w:t xml:space="preserve">f) Por Auto de 18 de octubre de 2000, la Sala de lo Contencioso-Administrativo del Tribunal Supremo acuerda no haber lugar al recibimiento a prueba del proceso y por Acuerdo de 25 de enero de 2001, la Sala de Gobierno del Tribunal Supremo consideró justificada la abstención de hasta tres miembros de la Sección para conocer de los recursos interpuestos, siendo determinada la composición de la Sala por los Magistrados que finalmente resolverán por providencia de 2 de febrero de 2001. </w:t>
      </w:r>
    </w:p>
    <w:p w:rsidR="0025129F" w:rsidRDefault="0025129F" w:rsidP="0025129F">
      <w:pPr>
        <w:pStyle w:val="TextoNormal"/>
      </w:pPr>
      <w:r>
        <w:t xml:space="preserve">g) Finalmente, por Sentencia de 28 de febrero de 2001 de la Sección Séptima, declara la inadmisibilidad del primero de los recursos, contra el Acuerdo de la Junta Electoral Central por el que se publican los resultados electorales, por extemporáneo, y desestima el segundo, contra el Acuerdo de la Junta Electoral Central de 18 de abril de 2000 que confirma el de la Junta Electoral Provincial de Asturias de 12 de abril, por ser ambos "conformes a Derecho en cuanto a lo que se ha discutido en el presente proceso", según los razonamientos que se exponen resumidamente a continuación. </w:t>
      </w:r>
    </w:p>
    <w:p w:rsidR="0025129F" w:rsidRDefault="0025129F" w:rsidP="0025129F">
      <w:pPr>
        <w:pStyle w:val="TextoNormal"/>
      </w:pPr>
      <w:r>
        <w:t>La Sentencia comienza ordenando y clarificando cronológicamente las fechas relevantes para el caso, las pretensiones de los recurrentes (la anulación de la proclamación de candidatos electos en cuanto al noveno escaño por la circunscripción de Asturias, efectuada por la Junta Electoral Provincial y la proclamación de don Álvaro Cuesta como titular de dicho escaño), y la vía utilizada para ello (el art. 267.2 LOPJ y el art. 105.2 de la Ley de régimen jurídico 30/1992, que prevén la rectificación de los errores materiales en cualquier momento, esta segunda en virtud del art. 120 LOREG, que la señalaba como supletoria en materia de procedimiento electoral); y luego centra el objeto de los procesos acumulados en si cabe la posibilidad de hacer valer las pretensiones de la parte demandante por la vía que la actora utiliza, la de la Ley de la jurisdicción contencioso-administrativa, al margen, por tanto, del recurso contencioso electoral que la LOREG establece, excluyendo expresamente que la cuestión a resolver sea la importancia del derecho de sufragio activo y pasivo y que la búsqueda de la voluntad real popular haya de ser el criterio hermenéutico principal en las controversias sobre resultados electorales. En definitiva, el pro</w:t>
      </w:r>
      <w:r>
        <w:lastRenderedPageBreak/>
        <w:t xml:space="preserve">blema que se plantea reviste para el Tribunal Supremo una naturaleza procesal: la determinación del plazo y del cauce que han de ser observados para iniciar un proceso jurisdiccional cuyo objeto consista en una controversia electoral. </w:t>
      </w:r>
    </w:p>
    <w:p w:rsidR="0025129F" w:rsidRDefault="0025129F" w:rsidP="0025129F">
      <w:pPr>
        <w:pStyle w:val="TextoNormal"/>
      </w:pPr>
      <w:r>
        <w:t xml:space="preserve">Con las anteriores premisas, la resolución del Tribunal Supremo deniega lo que los recurrentes pretenden en razón de la interposición del recurso contencioso-electoral que establece la LOREG, en el Capítulo VI de su Título I (en concreto en sus arts. 108.6, 109, 112.1 114.1 y 116.1) que, en suma, es evidente que busca zanjar cualquier controversia electoral "de manera definitiva en un inmediato y breve período de tiempo". En el caso en cuestión, ello se traduce en que, constituyendo el objeto del recurso contencioso-electoral los acuerdos de la Junta Electoral sobre la proclamación de los electos, el mismo sólo cabe en los tres días siguientes al acto de proclamación de candidatos, acto que resulta el indefectible dies a quo de aquél. Existente este precepto, es el único aplicable, en virtud del principio de especialidad, sobre el procedimiento general, y la supletoriedad de las leyes de la jurisdicción contencioso-administrativa y de procedimiento-administrativo que determina la LOREG no cabe en los aspectos que regula expresamente ésta, que son los que en el presente caso entran en juego; en tal sentido, conviene añadir que la regulación constitucional del art. 23.2 CE atribuye a éste una configuración legal. En particular respecto del plazo, aun concediendo el Tribunal Supremo que la anomalía denunciada "puede no ser fácil de advertir durante la propia sesión de escrutinio, y con base exclusiva en el acta de escrutinio y en el acta de proclamación", no es menos cierto que "el período de los tres días subsiguientes al acta de proclamación son más que suficientes" para su constatación. </w:t>
      </w:r>
    </w:p>
    <w:p w:rsidR="0025129F" w:rsidRDefault="0025129F" w:rsidP="0025129F">
      <w:pPr>
        <w:pStyle w:val="TextoNormal"/>
      </w:pPr>
      <w:r>
        <w:t>Por lo demás, el principio de seguridad jurídica constitucionalizado en el art. 9.3 CE es una razón de profundo calado que confirma la interpretación realizada, toda vez que, dado que la constitución de las Cortes Generales resulta el punto de arranque de actos de suma importancia constitucional, como el nombramiento del Presidente del Gobierno, de formación del nuevo Gobierno o el inicio de la actividad legislativa, mantener la incertidumbre sobre su composición de manera prolongada e indefinida no es compatible ni con aquel principio ni con la importancia constitucional del órgano parlamentario.</w:t>
      </w:r>
    </w:p>
    <w:p w:rsidR="0025129F" w:rsidRDefault="0025129F" w:rsidP="0025129F">
      <w:pPr>
        <w:pStyle w:val="TextoNormal"/>
      </w:pPr>
    </w:p>
    <w:p w:rsidR="0025129F" w:rsidRDefault="0025129F" w:rsidP="0025129F">
      <w:pPr>
        <w:pStyle w:val="TextoNormal"/>
      </w:pPr>
      <w:r w:rsidRPr="0025129F">
        <w:rPr>
          <w:rStyle w:val="NumeroAFNegritaCaracter"/>
        </w:rPr>
        <w:t>3</w:t>
      </w:r>
      <w:r>
        <w:t>. Contra esta Sentencia de la Sala de lo Contencioso-Administrativo del Tribunal Supremo de 28 de febrero de 2001, interponen don Álvaro Cuesta Martínez y el Partido Socialista Obrero Español-Progresistas recurso de amparo en el citado escrito de 15 de marzo de 2001, por vulneración de los derechos constitucionalmente reconocidos en los arts. 24.1 y 23.1 y 2 CE. En él interesan que se declare la nulidad y se acuerde la corrección de errores constatados en el acta de escrutinio general y proclamación de electos elaborada por la Junta Electoral Provincial de Asturias, con otorgamiento del noveno escaño del Congreso de los Diputados por esta circunscripción electoral al recurrente don Álvaro Cuesta Martínez tras la asignación correcta de los votos que correspondieron a la candidatura Partido Socialista Obrero Español-Progresista en las citadas Mesas de Piloña y Gijón y las operaciones pertinentes que para la distribución de escaños determina la LOREG. Además, se solicita la tramitación preferente o urgente de este recurso de amparo, puesto que de otro modo perdería su finalidad, la tutela de los derechos fundamentales invocados, argumentando jurisprudencia constitucional en tal sentido y el carácter público de los intereses en juego, que no son otros que los de los electores que otorgaron su voto a la candidatura de los recurrentes.</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18 de mayo de 2001, la Sección Primera de este Tribunal acordó, a tenor de lo dispuesto en el art. 50.3 LOTC, conceder un plazo común de diez días al Mi</w:t>
      </w:r>
      <w:r>
        <w:lastRenderedPageBreak/>
        <w:t>nisterio Fiscal y al solicitante de amparo para que alegasen lo que estimaran pertinente en relación con la posible existencia del motivo de inadmisión establecido en el art. 50.1 c) de la misma Ley: carecer la demanda manifiestamente de contenido que justifique una decisión de este Tribunal sobre el fondo de la misma.</w:t>
      </w:r>
    </w:p>
    <w:p w:rsidR="0025129F" w:rsidRDefault="0025129F" w:rsidP="0025129F">
      <w:pPr>
        <w:pStyle w:val="TextoNormal"/>
      </w:pPr>
    </w:p>
    <w:p w:rsidR="0025129F" w:rsidRDefault="0025129F" w:rsidP="0025129F">
      <w:pPr>
        <w:pStyle w:val="TextoNormal"/>
      </w:pPr>
      <w:r w:rsidRPr="0025129F">
        <w:rPr>
          <w:rStyle w:val="NumeroAFNegritaCaracter"/>
        </w:rPr>
        <w:t>5</w:t>
      </w:r>
      <w:r>
        <w:t>. Con fecha 1 de junio de 2001, el recurrente presenta escrito de alegaciones que dan por reproducidos los fundamentos de derecho señalados en el recurso de amparo y que, no obstante, resume. Con fecha 8 de junio lo hace el Ministerio Fiscal, interesando también la admisión de la demanda al considerar fundamentadas las violaciones de derechos aducidas por los recurrentes: en relación con el art. 24 CE porque, con apoyo en la jurisprudencia de este Tribunal que especifica, cabe la reparación de los derechos fundamentales que pueden constituir objeto de recurso contencioso-electoral a través del recurso contencioso-administrativo, y porque la Sentencia que se impugna no se ha pronunciado sobre el fondo, sino que se ha limitado a pronunciarse sobre el cauce procedimental, pronunciamiento razonable si no estuviese en juego un derecho fundamental como el alegado 23.2 CE. Justamente sobre este derecho ha reiterado este Tribunal que los órganos judiciales tienen plenitud de jurisdicción y carecen de las limitaciones que acucian a las Juntas Electorales en orden a la averiguación de la verdad material. En lo que al contenido material del art. 23.2 CE se refiere, debió la Sentencia estudiar más detalladamente si resultó cierto y acreditado lo que en la demanda se alega, pues en tal caso pudo haber existido vulneración de aquél.</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27 de junio de 2001 se acuerda por la mencionada Sección de este Tribunal admitir a trámite la demanda de amparo y solicitar de la Sección Séptima de la Sala de lo Contencioso-Administrativo del Tribunal Supremo testimonio de los recursos interpuestos ante ella núms. 559-2000 y 568-2000, así como el emplazamiento de quienes fueron parte en tales procedimientos, salvo los recurrentes por aparecer ya personados, para que en el plazo de diez días pudiesen comparecer con traslado a dichos efectos de la demanda presentada.</w:t>
      </w:r>
    </w:p>
    <w:p w:rsidR="0025129F" w:rsidRDefault="0025129F" w:rsidP="0025129F">
      <w:pPr>
        <w:pStyle w:val="TextoNormal"/>
      </w:pPr>
    </w:p>
    <w:p w:rsidR="0025129F" w:rsidRDefault="0025129F" w:rsidP="0025129F">
      <w:pPr>
        <w:pStyle w:val="TextoNormal"/>
      </w:pPr>
      <w:r w:rsidRPr="0025129F">
        <w:rPr>
          <w:rStyle w:val="NumeroAFNegritaCaracter"/>
        </w:rPr>
        <w:t>7</w:t>
      </w:r>
      <w:r>
        <w:t>. Por escrito registrado el 24 de julio de 2001 la actora comunica a este Tribunal la recepción de providencia de la Sala de lo Contencioso-Administrativo del Tribunal Supremo por la que acuerda dejar en los autos originales copia del disco de datos (CD-ROM) y del disquete que ella acompañó como medios de prueba en su demanda contencioso-administrativa, solicitando de la Sala Primera de este Tribunal que reclamase las actuaciones completas y, en particular, los mencionados soportes informáticos. Por escrito de la misma fecha, la Sala Primera de este Tribunal reitera oficio a la Sala Tercera del Tribunal Supremo solicitando actuaciones y emplazamientos, a tenor del art. 51 LOTC.</w:t>
      </w:r>
    </w:p>
    <w:p w:rsidR="0025129F" w:rsidRDefault="0025129F" w:rsidP="0025129F">
      <w:pPr>
        <w:pStyle w:val="TextoNormal"/>
      </w:pPr>
    </w:p>
    <w:p w:rsidR="0025129F" w:rsidRDefault="0025129F" w:rsidP="0025129F">
      <w:pPr>
        <w:pStyle w:val="TextoNormal"/>
      </w:pPr>
      <w:r w:rsidRPr="0025129F">
        <w:rPr>
          <w:rStyle w:val="NumeroAFNegritaCaracter"/>
        </w:rPr>
        <w:t>8</w:t>
      </w:r>
      <w:r>
        <w:t>. Por escritos registrados en este Tribunal el 25, 27 y 31 de julio, se personaron en el presente recurso don Juan Ángel Bustillo Gutiérrez y don Gervasio Acevedo Fernández, la Junta Electoral Central y el Partido Popular, respectivamente.</w:t>
      </w:r>
    </w:p>
    <w:p w:rsidR="0025129F" w:rsidRDefault="0025129F" w:rsidP="0025129F">
      <w:pPr>
        <w:pStyle w:val="TextoNormal"/>
      </w:pPr>
    </w:p>
    <w:p w:rsidR="0025129F" w:rsidRDefault="0025129F" w:rsidP="0025129F">
      <w:pPr>
        <w:pStyle w:val="TextoNormal"/>
      </w:pPr>
      <w:r w:rsidRPr="0025129F">
        <w:rPr>
          <w:rStyle w:val="NumeroAFNegritaCaracter"/>
        </w:rPr>
        <w:t>9</w:t>
      </w:r>
      <w:r>
        <w:t>. Este Tribunal reitera por tercera vez a la Sala de lo Contencioso-Administrativo del Tribunal Supremo, en oficio de fecha 26 de septiembre de 2001, la remisión de testimonio íntegro de las actuaciones correspondiente a los recursos en los que se dictó la Sentencia impugnada.</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la Sala Primera de este Tribunal de 29 de octubre de 2001 se tienen por recibidos testimonio completo de las actuaciones de los recursos solicitados, incluidas las copias del disco de datos y del disquete especificadas por la actora, por comparecidos los Sres. Juan Ángel Bustillo Gutiérrez y Gervasio Acevedo Fernández, la Junta Electoral Central y el Partido Popular, y se acuerda dar vista de las actuaciones a todos los personados y al Ministerio Fiscal para que en el plazo de veinte días presentasen las alegaciones que a sus derechos conviniera.</w:t>
      </w:r>
    </w:p>
    <w:p w:rsidR="0025129F" w:rsidRDefault="0025129F" w:rsidP="0025129F">
      <w:pPr>
        <w:pStyle w:val="TextoNormal"/>
      </w:pPr>
    </w:p>
    <w:p w:rsidR="0025129F" w:rsidRDefault="0025129F" w:rsidP="0025129F">
      <w:pPr>
        <w:pStyle w:val="TextoNormal"/>
      </w:pPr>
      <w:r w:rsidRPr="0025129F">
        <w:rPr>
          <w:rStyle w:val="NumeroAFNegritaCaracter"/>
        </w:rPr>
        <w:t>11</w:t>
      </w:r>
      <w:r>
        <w:t>. Por escrito registrado en este Tribunal el 4 de diciembre de 2001, el Letrado de las Cortes Generales y de la Junta Electoral Central formula sus alegaciones. En ellas, previo recordatorio de la posición institucional e imparcial de la Administración electoral, puesta de manifiesto en la regulación que la LOREG hace del recurso contencioso-electoral, que no contempla la existencia de ninguna Administración demandada, y sin perjuicio de dar por reiterado su escrito de alegaciones presentado en el recurso contencioso-administrativo anterior, entiende que no se ha producido en el presente caso vulneración de ninguno de los dos derechos invocados. El de la tutela judicial efectiva en lo que se refiere al recurso núm. 559-2000, que resulta inadmitido, porque tenía por objeto un Acuerdo de la Junta Electoral Central que era mera reproducción de los actos de escrutinio general y de proclamación de electos acordados por las Juntas Electorales competentes, sin que la publicación de los mismos que ordenaba dicho Acuerdo tuviera efectos en cuanto al acceso de los candidatos a sus cargos; y en lo que se refiere al recurso 568-2000, porque la Sentencia del Tribunal Supremo da una respuesta motivada y fundada que supone una satisfacción plena de la actora en el marco del art. 24 CE. En cuanto al derecho recogido en el art. 23 CE, recuerda la reciente jurisprudencia de este Tribunal en dos Sentencias de la Sala Segunda, ambas de 4 de agosto de 1999, que somete las pretensiones basadas en tal precepto a las exigencias y cauces procesales adecuados de acuerdo con el carácter pleno y de entera protección de los derechos fundamentales que corresponde legalmente al recurso contencioso-electoral, como pone de manifiesto la Sentencia recurrida.</w:t>
      </w:r>
    </w:p>
    <w:p w:rsidR="0025129F" w:rsidRDefault="0025129F" w:rsidP="0025129F">
      <w:pPr>
        <w:pStyle w:val="TextoNormal"/>
      </w:pPr>
    </w:p>
    <w:p w:rsidR="0025129F" w:rsidRDefault="0025129F" w:rsidP="0025129F">
      <w:pPr>
        <w:pStyle w:val="TextoNormal"/>
      </w:pPr>
      <w:r w:rsidRPr="0025129F">
        <w:rPr>
          <w:rStyle w:val="NumeroAFNegritaCaracter"/>
        </w:rPr>
        <w:t>12</w:t>
      </w:r>
      <w:r>
        <w:t>. Por escrito registrado al día siguiente, 5 de diciembre, los recurrentes presentan sus alegaciones que, con carácter general, dan por reproducidos los elementos fácticos y los fundamentos de derecho expuestos en la demanda y en las alegaciones en virtud del art. 50.3 LOTC, que, sin embargo, procede a extractar, haciendo suyos, además, los razonamientos jurídicos del Ministerio Fiscal en este último trámite, interesando la estimación del amparo referido.</w:t>
      </w:r>
    </w:p>
    <w:p w:rsidR="0025129F" w:rsidRDefault="0025129F" w:rsidP="0025129F">
      <w:pPr>
        <w:pStyle w:val="TextoNormal"/>
      </w:pPr>
    </w:p>
    <w:p w:rsidR="0025129F" w:rsidRDefault="0025129F" w:rsidP="0025129F">
      <w:pPr>
        <w:pStyle w:val="TextoNormal"/>
      </w:pPr>
      <w:r w:rsidRPr="0025129F">
        <w:rPr>
          <w:rStyle w:val="NumeroAFNegritaCaracter"/>
        </w:rPr>
        <w:t>13</w:t>
      </w:r>
      <w:r>
        <w:t>. En la misma fecha, la representación del Partido Popular presenta sus alegaciones, que concluyen solicitando la desestimación del recurso y la imposición de las costas a los demandantes. Su razonamiento principal es la falta de diligencia demostrada por los recurrentes al no haber recurrido en plazo y forma, lo que, de acuerdo con la abundante y reciente jurisprudencia de este Tribunal, deslegitima para poder impetrar la tutela de los Tribunales en general (de donde, a contrario, se infiere que no puede esgrimirse la vulneración del derecho garantizado en el art. 24 CE), e igualmente impide alegar la vulneración del derecho material de que se trate, en lo que en el caso importa, el art. 23.2 CE, dada la especial naturaleza de los procesos electorales, que requiere singularmente tal diligencia. Se reseña, además, la jurisprudencia constitucional que prioriza la diligencia de los de</w:t>
      </w:r>
      <w:r>
        <w:lastRenderedPageBreak/>
        <w:t>mandantes en amparo electoral sobre el conocimiento de la verdad material (STC 157/1991, de 15 de julio, FJ 4), Sentencia citada en abundancia por los recurrentes de cuyo presupuesto de hecho esta contraparte subraya la falta de similitud con el que origina el presente proceso de amparo. Y, en fin, se subraya que la LOREG ha optado por la seguridad jurídica a la hora de hacer efectiva la configuración legal que tiene por naturaleza el art. 23.2 CE en el concreto aspecto de los plazos del contencioso-electoral que establece, haciéndolos preventivos; en los términos que utilizan las alegaciones, "la tensión entre el principio de seguridad jurídica y principio de realidad" ha de resolverse a favor del primero por exigencias del propio orden constitucional, como -se afirma- este Tribunal ha dicho, y tal pugna ha sido ya resuelta por la LOREG con el sistema de reclamaciones y recursos que contiene.</w:t>
      </w:r>
    </w:p>
    <w:p w:rsidR="0025129F" w:rsidRDefault="0025129F" w:rsidP="0025129F">
      <w:pPr>
        <w:pStyle w:val="TextoNormal"/>
      </w:pPr>
    </w:p>
    <w:p w:rsidR="0025129F" w:rsidRDefault="0025129F" w:rsidP="0025129F">
      <w:pPr>
        <w:pStyle w:val="TextoNormal"/>
      </w:pPr>
      <w:r w:rsidRPr="0025129F">
        <w:rPr>
          <w:rStyle w:val="NumeroAFNegritaCaracter"/>
        </w:rPr>
        <w:t>14</w:t>
      </w:r>
      <w:r>
        <w:t xml:space="preserve">. El 7 de diciembre se registra en este Tribunal el escrito de alegaciones de la representación de don Juan Ángel Bustillo Gutiérrez y de don Gervasio Acevedo Fernández. En el mismo, tras una exposición de los antecedentes en la que se precisan extremos importantes para la correcta ubicación de la cuestión a dilucidar (como que en ningún momento se ha entrado en el examen de si hubo o no el error denunciado por los demandantes, ni por tanto en la valoración de sus consecuencias; que el soporte informático se entregó en todo caso tres horas después de levantada el acta de escrutinio; y que, aceptada la buena fe de los recurrentes, ello no obsta para concluir su negligencia, como señala la Sentencia cuya anulación se insta), refuta individualmente los razonamientos del escrito de amparo específicamente dedicados al objeto del mismo. En cuanto a las cuestiones previas que expone la demanda, insiste en que no se ha entrado en el proceso en si ha habido error o ha dejado de haberlo, dada la evidente inadecuación de la vía seguida por los recurrentes para hacerlo valer como consecuencia de su negligencia; y por lo que se refiere a la declaración de inadmisibilidad del primero de los recursos interpuestos ante el Tribunal Supremo, declaración tenida por contradictoria por los demandantes dado lo que dispone el art. 117.2 LJCA, señala la inexistencia de tal contradicción, interpretado dicho precepto en su simple literalidad. </w:t>
      </w:r>
    </w:p>
    <w:p w:rsidR="0025129F" w:rsidRDefault="0025129F" w:rsidP="0025129F">
      <w:pPr>
        <w:pStyle w:val="TextoNormal"/>
      </w:pPr>
      <w:r>
        <w:t>Por lo que se refiere a las supuestas vulneraciones de los derechos, niega que éstas se hayan producido. La del art. 24.1 CE no ha tenido lugar por la mencionada negligencia de los recurrentes, refutando las citas de jurisprudencia constitucional que éstos traen a colación en apoyo de su interés con otros distintos incisos de las mismas Sentencias. La del art. 23.2 CE tampoco se ha dado, porque no resulta posible aplicar el art. 105.2 de la Ley de régimen jurídico de la Administración pública cuando se encuentra en juego la LOREG, pues, de otro modo, el régimen jurídico que ésta establece, sobraría. Por lo demás, el criterio mantenido por los recurrentes sobre tal precepto no se ajusta a la doctrina de este Tribunal y conculca el principio de seguridad jurídica del art. 9.3 CE; en tal sentido, la Sentencia constitucional más citada por los demandantes, la STC 157/1991, es ejemplo manifiesto de lo contrario a lo que ellos deducen de la misma, pues condiciona el conocimiento de la "verdad material" a la actuación debidamente diligente de los recurrentes; ratifica esta jurisprudencia la posterior STC 48/2000, que afirma, recordando lo ya mantenido por el Tribunal en otras ocasiones, que la perentoriedad es inherente a la naturaleza de los recursos electorales. En fin y por último, la vulneración de la literalidad del 23.2 CE viene dada por los propios recurrentes, al disponer tal precepto constitucional, como apunta la Sentencia impugnada, que el derecho a acceder a las funciones y cargos públicos ha de entenderse "con los requisitos que señalan las leyes", requisitos que pretenden ser desconocidos por quienes interpretan indebidamente el amparo constitucional en esta ocasión.</w:t>
      </w:r>
    </w:p>
    <w:p w:rsidR="0025129F" w:rsidRDefault="0025129F" w:rsidP="0025129F">
      <w:pPr>
        <w:pStyle w:val="TextoNormal"/>
      </w:pPr>
    </w:p>
    <w:p w:rsidR="0025129F" w:rsidRDefault="0025129F" w:rsidP="0025129F">
      <w:pPr>
        <w:pStyle w:val="TextoNormal"/>
      </w:pPr>
      <w:r w:rsidRPr="0025129F">
        <w:rPr>
          <w:rStyle w:val="NumeroAFNegritaCaracter"/>
        </w:rPr>
        <w:t>15</w:t>
      </w:r>
      <w:r>
        <w:t>. Por escrito presentado en este Tribunal el 17 de diciembre de 2001, el Ministerio Fiscal presenta sus alegaciones, en las que comienza afirmando la posibilidad de protección de los derechos fundamentales por distintas vías, entre ellas la del recurso contencioso-administrativo elegido por los recurrentes, según jurisprudencia de este Tribunal que cita. Como quiera que la Sentencia impugnada no ha entrado en el fondo de la cuestión planteada (la vulneración de los derechos recogidos en el art. 23 CE) por entender el Tribunal sentenciador que la LOREG, al establecer el recurso contencioso electoral, "excluye toda otra vía de alegación de estos derechos y, concretamente, el procedimiento especial para la protección de los derechos fundamentales de la persona", lo que implica una interpretación que no es la más favorable para la protección de tales derechos al impedir el acceso a los recursos y restringir las posibilidades de alegación de los mismos con los breves plazos establecidos en la LOREG, concluye que se ha vulnerado el derecho a la tutela judicial efectiva de los recurrentes; máxime teniendo en cuenta que, frente a lo que sucede con los órganos de la Administración electoral, la jurisdicción no se encuentra limitada en orden a llegar a la verdad material. En lo que a este concreto proceso respecta, al no haber entrado el órgano sentenciador a valorar los hechos ni a ponderar las pruebas y documentos que figuran en el proceso, el Tribunal Constitucional no puede basarse en prueba alguna para resolver la cuestión material planteada, pues, aunque excepcionalmente haya entrado a "valorar las pruebas y determinar los hechos" en materia contencioso electoral, los supuestos en que ello tuvo lugar no eran como el que nos ocupa. En suma, interesa la anulación de la Sentencia recurrida en amparo y la retroacción de las actuaciones al momento anterior a dictarse la misma.</w:t>
      </w:r>
    </w:p>
    <w:p w:rsidR="0025129F" w:rsidRDefault="0025129F" w:rsidP="0025129F">
      <w:pPr>
        <w:pStyle w:val="TextoNormal"/>
      </w:pPr>
    </w:p>
    <w:p w:rsidR="0025129F" w:rsidRDefault="0025129F" w:rsidP="0025129F">
      <w:pPr>
        <w:pStyle w:val="TextoNormal"/>
      </w:pPr>
      <w:r w:rsidRPr="0025129F">
        <w:rPr>
          <w:rStyle w:val="NumeroAFNegritaCaracter"/>
        </w:rPr>
        <w:t>16</w:t>
      </w:r>
      <w:r>
        <w:t>. Por providencia de 18 de marzo de 2002 se señaló para la deliberación y votación de la presente Sentencia el día 21 del mismo mes y año, fecha en que se inició el trámite que ha finalizado el día de la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Los recurrentes solicitan amparo en relación con la violación de los derechos garantizados en los arts. 23 y 24 CE como consecuencia de un error que condujo a que no le fuera atribuido un escaño que correspondería a la formación política demandante, el Partido Socialista Obrero Español-Progresistas, si se hubieran asignado correctamente los sufragios emitidos por los electores, en concreto el escaño que debiera ocupar el aquí recurrente, don Álvaro Cuesta Martínez. La no corrección de ese error por el órgano jurisdiccional que hubiera podido hacerlo, la Sala de lo Contencioso-Administrativo del Tribunal Supremo, ha supuesto la vulneración del derecho a la tutela judicial efectiva (art. 24.1 CE). Y el otorgamiento del escaño disputado a la formación política aquí personada en razón de su interés en mantenerlo, el Partido Popular, dando así lugar a la quiebra de la correlación entre la voluntad de los electores y la distribución de los puestos representativos, comporta la vulneración tanto del derecho al sufragio activo de aquéllos (art. 23.1 CE), como, en particular, al del sufragio pasivo del aquí solicitante individual de amparo (núm. 2 del citado artículo).</w:t>
      </w:r>
    </w:p>
    <w:p w:rsidR="0025129F" w:rsidRDefault="0025129F" w:rsidP="0025129F">
      <w:pPr>
        <w:pStyle w:val="TextoNormal"/>
      </w:pPr>
      <w:r>
        <w:t>Los personados opuestos a tal pretensión, el Partido Popular y sus dos concretos diputados que pudieran verse afectados por lo que resulte de este recurso, niegan que se haya producido vulneración alguna de los derechos fundamentales alegados, centrando su ar</w:t>
      </w:r>
      <w:r>
        <w:lastRenderedPageBreak/>
        <w:t>gumentación en el primero de ellos, la tutela judicial efectiva, que, una vez concluido que ha sido perfectamente respetado, impide considerar violado el derecho sustantivo reconocido en el art. 23 CE. Del mismo parecer es el Letrado que asiste a la Junta Electoral Central. En cambio, el Ministerio Fiscal entiende, con los recurrentes, que se ha producido la conculcación del derecho a la tutela judicial efectiva por cuanto la Sentencia de la Sala de lo Contencioso- Administrativo del Tribunal Supremo no entró a conocer del fondo asunto, esto es, a comprobar si se produjo el error alegado por los solicitantes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Conviene aclarar la cuestión controvertida en los términos en que ha sido planteada hasta llegar a esta sede: mientras los recurrentes alegan como fundamento de su pretensión la existencia de un error, no en el cómputo de los sufragios emitidos, ni tampoco en el reflejo de ellos en las actas originales de las Mesas correspondientes en que fueron emitidos, ni siquiera en el acto del escrutinio general, sino en la mera transcripción o "volcado" de algunos de los datos reflejados en esas actas al soporte informático luego utilizado para calcular la distribución de escaños, los distintos órganos ante los que se planteó tal alegación, de naturaleza administrativa o jurisdiccional, en ningún caso se pronuncian sobre tal cuestión, sino que se refieren sólo de forma hipotética al posible error. En efecto, el informe de la Junta Electoral Provincial afirma literalmente que "la corrección del error -si es que lo hay-..."; el Acuerdo de la Junta Electoral Central que responde a la reclamación contra el anterior apostilla que, en la hipótesis de proceder a la rectificación interesada, ello "podría llevar consigo una completa revisión del acto de escrutinio a los efectos de la comprobación de si los supuestos errores alegados no pudieran estar compensados por otros de signo contrario"; y la Sentencia de la Sala de lo Contencioso- Administrativo del Tribunal Supremo aquí objeto de impugnación considera en su fundamento noveno y último "acertadas las resoluciones de las Juntas Electorales" impugnadas, comprendidos, pues, los contenidos anteriores. De manera que el debate habido sobre la cuestión en las distintas sedes citadas no ha versado sobre el error material, "indubitado e indubitable" para los recurrentes y que constituye su causa petendi, error cuya existencia ni han afirmado ni han negado los órganos mencionados.</w:t>
      </w:r>
    </w:p>
    <w:p w:rsidR="0025129F" w:rsidRDefault="0025129F" w:rsidP="0025129F">
      <w:pPr>
        <w:pStyle w:val="TextoNormal"/>
      </w:pPr>
      <w:r>
        <w:t>Es precisamente esta ausencia de conocimiento y respuesta sobre el fondo del asunto por el órgano jurisdiccional, al que se le solicitó por los demandantes el remedio que a su juicio no habían puesto las Juntas Electorales previamente intervinientes, la que lleva al Ministerio Fiscal a entender vulnerado el derecho a la tutela judicial efectiva y a interesar la estimación de este recurso de amparo, no con la misma finalidad que los recurrentes (la de que la Junta Electoral Provincial proceda a corregir el error en cuestión y, en consecuencia, se proclame al Sr. Cuesta diputado electo), sino -en la línea de lo ya propuesto por el Fiscal ante el Tribunal Supremo, salvando la diferencia de instancias- con la muy distinta de que se anule la Sentencia impugnada para que se retrotraigan las actuaciones y el Tribunal entre a conocer del susodicho error.</w:t>
      </w:r>
    </w:p>
    <w:p w:rsidR="0025129F" w:rsidRDefault="0025129F" w:rsidP="0025129F">
      <w:pPr>
        <w:pStyle w:val="TextoNormal"/>
      </w:pPr>
      <w:r>
        <w:t>De acuerdo con lo expuesto, se comprende fácilmente que la hipotética violación del art.  24 CE resultaría sólo instrumental en relación con el derecho sustantivo invocado, el derecho de representación reconocido en el art. 23 CE, por lo que procede determinar previamente si se ha producido la vulneración del derecho a la tutela judicial efectiva que el Ministerio Fiscal sostiene, y sólo si se concluyese que este derecho no resultó vulnerado, proceder, en su caso, a analizar si lo fue el derecho sustantivo alegado. En efecto, así lo exige, por un lado y de forma genérica, la naturaleza subsidiaria de la presente vía de amparo, naturaleza en cuya virtud hemos dicho numerosas veces y de forma expresiva que los jueces y tribunales constituyen "la primera línea de defensa" de los derechos funda</w:t>
      </w:r>
      <w:r>
        <w:lastRenderedPageBreak/>
        <w:t>mentales (recientemente, en la STC 59/2000, de 3 de marzo, FJ 1); y, por otro, y como razón específica en la materia sobre la que versa el presente caso, que, según recuerda el Ministerio público, hemos afirmado ya en varias ocasiones la mayor capacidad de revisión que tienen los Tribunales para controlar las eventuales irregularidades que puedan producirse en los procesos electorales en orden a llegar a la verdad material, frente a la sensiblemente más limitada que tienen los órganos administrativos electorales (SSTC 131/1990, de 16 de julio, FJ 6, y las en ella citadas, o 157/1991, de 15 de julio, FJ 4).</w:t>
      </w:r>
    </w:p>
    <w:p w:rsidR="0025129F" w:rsidRDefault="0025129F" w:rsidP="0025129F">
      <w:pPr>
        <w:pStyle w:val="TextoNormal"/>
      </w:pPr>
      <w:r>
        <w:t>Ahora bien, que esto último sea así, no significa que la jurisdicción ordinaria haya de entrar forzosamente a conocer del fondo del asunto en todos los casos, según parece desprenderse del razonamiento del Ministerio Fiscal: hemos afirmado en numerosas ocasiones que el contenido normal del derecho a la tutela judicial efectiva comporta la obtención de una resolución judicial que se pronuncie, favorable o desfavorablemente, sobre el fondo de la pretensión deducida, pero que "también se ve satisfecho cuando el órgano judicial entiende que no se han respetado las exigencias que el ordenamiento impone en cada caso para acceder a la acción o recurso concreto, si bien dichas exigencias han de interpretarse de la manera más favorable a la plena eficacia de los derechos fundamentales (SSTC 90/1983, 34/1989 y 216/1989, entre otras)" (en los literales términos de la Sentencia de este Tribunal más frecuentemente citada en la demanda, la STC 157/1991, de 15 de julio, FJ 3). Como quiera que, según hemos relatado antes, la Sala de lo Contencioso-Administrativo del Tribunal Supremo acoge como acertadas las previas resoluciones de las Juntas Electorales ante él impugnadas, de la solución anterior se derivará la corrección o incorrección de la actuación de las mismas. De hecho, lo que la Sentencia impugnada hace respecto de los dos recursos acumulados es inadmitir el primero y desestimar el segundo, adoptando como suyas, previo detallado razonamiento, las motivaciones que para ello ya esgrimieron tanto la Junta Electoral Provincial como, sobre todo, la Central, y en las que abundó también la contraparte.</w:t>
      </w:r>
    </w:p>
    <w:p w:rsidR="0025129F" w:rsidRDefault="0025129F" w:rsidP="0025129F">
      <w:pPr>
        <w:pStyle w:val="TextoNormal"/>
      </w:pPr>
      <w:r>
        <w:t>La concreción que se acaba de hacer de los extremos a los que se ciñe la cuestión, resulta crucial, pues sitúa el plano del análisis inicial no en la cuestión material (los votos emitidos y su cómputo), sino en las formales o procesales (relativas al tiempo y la forma en que la reclamación contra el error tiene lugar). Crucial porque, como insistentemente recuerda la demanda para fundamentar su petición, este Tribunal ha resaltado de modo notoriamente intenso, como no podía ser de otro modo, no ya la importancia del derecho de sufragio activo y pasivo y su extraordinaria significación en relación con la soberanía popular (como hemos dicho, "el más importante ejercicio de la soberanía por los ciudadanos": STC 144/1999, de 22 de julio, FJ 4), sino que ha subrayado, en lo que en concreto interesa al presente caso, la necesidad de respetar en los procesos electorales la voluntad real de los votantes (SSTC 131/1990, de 16 de julio, FJ 6, STC 157/1991, de 15 de julio, FJ 4, 87/1999, de 25 de mayo, FJ 3, o 144/1999, de 22 de julio, FJ 6). La cuestión, por tanto, estriba en analizar si las razones que han llevado a los órganos intervinientes a no entrar en el fondo de la cuestión, permitiendo con ello la mera posibilidad de mantener un error que desdice la debida correspondencia entre la voluntad popular expresada en sufragios y su concreto reflejo en puestos representativos, resultan constitucionalmente asumibles en relación con la garantía que el texto constitucional presta al respeto a la verdad material del derecho de representación.</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Esas razones que esgrime la Sala de lo Contencioso-Administrativo del Tribunal Supremo en la Sentencia aquí impugnada son, sintéticamente, dos: a) la extemporaneidad, y b) la inadecuación del cauce empleado por los recurrentes para hacer valer su pretensión. </w:t>
      </w:r>
      <w:r>
        <w:lastRenderedPageBreak/>
        <w:t>Es innecesario apuntar el radical carácter obstativo de ambas cuando se concluye su innegable presencia en el caso de que se trate, esto es, cuando resultan imposibles de salvar mediante razonamientos interpretativos. Procede, por ello, observar con algún detalle si las mismas realmente se daban en el caso, con el fin de concluir lo que corresponda sobre la actuación del órgano jurisdiccional, constitucionalmente discutida por los solicitantes de amparo.</w:t>
      </w:r>
    </w:p>
    <w:p w:rsidR="0025129F" w:rsidRDefault="0025129F" w:rsidP="0025129F">
      <w:pPr>
        <w:pStyle w:val="TextoNormal"/>
      </w:pPr>
      <w:r>
        <w:t>a) Comenzando por la primera de las citadas, a tenor de la sucesión temporal de los hechos, que gráficamente presenta la Sentencia en forma de tabla cronológica, resulta manifiesta la extemporaneidad de la pretensión de corregir el error material en relación con los plazos que establece la LOREG, extemporaneidad que en ningún momento niegan los recurrentes. Lo que éstos alegan es que no pudieron advertir el error dado el momento y, sobre todo, el modo en que tuvo lugar, pues fue en la transcripción de los datos correctamente reflejados en el acta final del escrutinio al soporte informático que luego sería el empleado para el cálculo de la distribución de escaños según la fórmula D'Hondt y, por lo mismo, no pudo reflejarse en el acta del escrutinio ninguna incidencia, según requiere el art. 108.2 LOREG como objeto del proceso que regula a continuación; confiaron, de buena fe, en la correcta actuación de la Administración electoral, representada en este caso por la Junta Electoral Provincial; y recuerdan lo que este Tribunal ha dicho respecto del citado precepto en la citada STC 157/1991, en la que literalmente se afirmó que "la Sentencia recurrida ha vulnerado el derecho a la tutela judicial efectiva, impidiendo un juicio sobre el fondo de la cuestión planteada ante la Sala de lo Contencioso-Administrativo mediante una interpretación rigorista y excesivamente formal del art. 108.2 LOREG" (FJ 4).</w:t>
      </w:r>
    </w:p>
    <w:p w:rsidR="0025129F" w:rsidRDefault="0025129F" w:rsidP="0025129F">
      <w:pPr>
        <w:pStyle w:val="TextoNormal"/>
      </w:pPr>
      <w:r>
        <w:t>En efecto, más que "no ser fácil de advertir" una anomalía del tipo de la planteada -como dice la Sentencia impugnada- durante la sesión del escrutinio ni en las actas de la misma resultaba, en rigor, imposible. Pero, dicho esto, y con independencia de lo que luego sea necesario añadir acerca de la actuación de la Junta Electoral Provincial, lo cierto es que la Sentencia a la que se imputa la vulneración del derecho recogido en art. 24.1 CE responde cumplidamente a estos argumentos cuando señala que, si bien es cierto que el hipotético error tuvo lugar una vez finalizado el escrutinio y firmadas las actas correspondientes en las que no se habían podido reflejar unas irregularidades que no se habían producido, también lo es que los soportes que contenían el error que los recurrentes aducen les fueron entregados apenas tres horas después de finalizado aquel acto, según ellos mismos reconocen en su escrito de interposición del recurso ante el Tribunal Supremo.</w:t>
      </w:r>
    </w:p>
    <w:p w:rsidR="0025129F" w:rsidRDefault="0025129F" w:rsidP="0025129F">
      <w:pPr>
        <w:pStyle w:val="TextoNormal"/>
      </w:pPr>
      <w:r>
        <w:t xml:space="preserve">Como es evidente, si hubiera mediado la diligencia exigible a quienes más interesados en el proceso electoral se presumía, y que por ello mismo más vigilantes debían estar en la proclamación de los resultados por los que habían luchado en la contienda electoral, podían haber acudido a la Junta Electoral Provincial en virtud del mencionado art. 108.2 LOREG (como lo hizo la actora en el caso de la STC 157/1991 que los demandantes citan constantemente en su apoyo), sin que, desde luego, constituyese impedimento alguno la no constancia de la incidencia en el acta de la sesión, pues es del todo evidente que, dado el tipo de error hipotéticamente cometido, sin duda podían los interesados hacer su protesta por tal cauce; y, de recibir una respuesta negativa, hubieran podido recurrir ante la Junta Electoral Central a continuación, como prevén los números 3 y 4 del mismo artículo, dando lugar a un procedimiento contradictorio en plenitud. En todo caso, de entenderse que el plazo de un día que señala el citado art. 108.2 hubiera resultado insuficiente dado el tipo de error que se consideraba cometido, el art. 112.1 de la misma LOREG permite interponer el recurso contencioso-electoral en el plazo más amplio de los tres días siguientes a la proclamación de electos, donde sin duda podía haberse discutido el pretendido error, de </w:t>
      </w:r>
      <w:r>
        <w:lastRenderedPageBreak/>
        <w:t>acuerdo con esa mayor capacidad de revisión que tiene el orden jurisdiccional para conocer de las irregularidades que entorpezcan el proceso electoral, a la que antes hacíamos referencia.</w:t>
      </w:r>
    </w:p>
    <w:p w:rsidR="0025129F" w:rsidRDefault="0025129F" w:rsidP="0025129F">
      <w:pPr>
        <w:pStyle w:val="TextoNormal"/>
      </w:pPr>
      <w:r>
        <w:t>Frente a estos plazos que concede la normativa electoral, la sucesión cronológica de los hechos pone de relieve, como se ha dicho, que la presentación por los recurrentes de su reclamación sobrepasó, con creces, los plazos dispuestos en la Ley electoral, pues habiéndose finalizado el escrutinio general el día 15 de marzo de 2000, no se interpuso reclamación hasta casi un mes después, el 11 de abril, y, desde que tuvo lugar la proclamación de electos con el acta correspondiente, el 20 de marzo, no se presentó hasta transcurridas más de tres semanas, el 14 de abril, en el Juzgado de guardia, el primero de los recursos contencioso administrativos. Resulta inconcusa, pues, la extemporaneidad apreciada en un primer momento por la propia Junta Electoral Provincial, después por la Central al hacer suyo el razonamiento de la anterior y, finalmente, por el Tribunal Supremo.</w:t>
      </w:r>
    </w:p>
    <w:p w:rsidR="0025129F" w:rsidRDefault="0025129F" w:rsidP="0025129F">
      <w:pPr>
        <w:pStyle w:val="TextoNormal"/>
      </w:pPr>
      <w:r>
        <w:t>Ante un comportamiento de este orden hemos afirmado ya que "es exigible ... la existencia de una suficiente diligencia, por parte de los actores del proceso electoral, valorable en cada supuesto con el fin de no dejar a la mera voluntad de dichos actores la forma y el momento de denunciar irregularidades, otorgando con ello suficiente seguridad al propio proceso electoral"; de modo que "los procesos electorales, dada su naturaleza, su regulación y la función que cumplen, exigen la mayor colaboración y diligencia posible por parte de todas las personas y actores políticos que en ellos participan (STC 67/1987, FJ 2)" (STC 157/1991, FJ 4). Ello no es incompatible con la exigencia de que los procedimientos electorales se ordenen al conocimiento de la verdad material manifestada en las urnas por los electores. Pero tal demanda no puede escindirse de la diligencia de los protagonistas de dicho proceso. De manera que ha de afirmarse que este es, en efecto, el orden lógico y cronológico que ha de observarse en cualquier ámbito: al conocimiento de la verdad material debe preceder la suficiente diligencia de los interesados en su descubrimiento y efectividad, y si ello es exigible en mayor medida en algunos ámbitos, entre ellos se encuentra sin duda, por su peculiar naturaleza, el electoral. Por eso mismo, resaltamos en la tantas veces citada por los recurrentes STC 157/1991, que en aquel supuesto "se actuó con la suficiente celeridad ... [y]... supuso el agotamiento de la vía administrativa previa al contencioso- electoral, puesto que, efectivamente, se acudió en tiempo ante la Junta Electoral Provincial..." y ello "por más que la regulación del art. 108.2 LOREG y las propias facultades tasadas de las Juntas Electorales hicieran inviable a ésta en ... [el concreto] ... caso la revisión del escrutinio con el fin de determinar si existió o no error".</w:t>
      </w:r>
    </w:p>
    <w:p w:rsidR="0025129F" w:rsidRDefault="0025129F" w:rsidP="0025129F">
      <w:pPr>
        <w:pStyle w:val="TextoNormal"/>
      </w:pPr>
      <w:r>
        <w:t>b) La segunda razón aducida por la Sentencia impugnada para no entrar en el fondo de la cuestión es, como adelantamos, la inadecuación del cauce utilizado por los solicitantes de amparo, cauce que trae su causa del art. 105.2 de la Ley de régimen jurídico de las Administraciones públicas y del procedimiento administrativo común (LPC), cuya aplicación supletoria reclaman los demandantes en aplicación del art. 120 LOREG. Determina éste que "En todo lo no expresamente regulado por esta Ley en materia de procedimiento será de aplicación la Ley de Procedimiento Administrativo", y dispone aquél que "Las Administraciones Públicas podrán, asimismo, rectificar en cualquier momento, de oficio o a instancia de los interesados, los errores materiales, de hecho o aritméticos existentes en sus actos". La conexión de estos dos preceptos plantea dos cuestiones.</w:t>
      </w:r>
    </w:p>
    <w:p w:rsidR="0025129F" w:rsidRDefault="0025129F" w:rsidP="0025129F">
      <w:pPr>
        <w:pStyle w:val="TextoNormal"/>
      </w:pPr>
      <w:r>
        <w:t>La primera es la relativa a si el art. 120 LOREG, en su referencia a "lo no expresamente regulado por esta Ley en materia de procedimiento", incluye o excluye la rectificación de errores.  Que literalmente la LOREG no se refiere a tal rectificación es manifiesto, pero igual de manifiesto es que no se requiere utilizar una precisa semántica para concebir co</w:t>
      </w:r>
      <w:r>
        <w:lastRenderedPageBreak/>
        <w:t>mo expreso lo que realmente lo está, aunque no aparezcan los términos en su literalidad. En lo que aquí interesa, la exhaustividad regulatoria de la LOREG a propósito de los modos y plazos para presentar y resolver reclamaciones y protestas desde el inicio hasta el final del proceso electoral, pasando por el escrutinio general y las vicisitudes que en él pudieran surgir, es evidente, sobre todo a raíz de su reforma por la Ley Orgánica 8/1991, de 13 de marzo, que tuvo como una de sus finalidades, expresamente declarada en su Exposición de Motivos, la mejora del proceso electoral en lo que a la "depuración y necesaria corrección" de "incidencias técnicas" se refiere. Por ello debe entenderse, sin duda, que tal regulación comprende todas las operaciones relacionadas con el escrutinio general, incluida la operación puramente material del traslado o "volcado" de los resultados del mismo a soportes que proporcionan las nuevas tecnologías, operación que obviamente no puede considerarse desconectada del escrutinio, esto es, con autonomía o entidad propia, por el mero hecho de que la cumplimentación del acta de escrutinio sea realizada de forma manuscrita y no sobre los datos ya trasladados en soporte informático. Por lo demás, si de la interpretación de la literalidad del art. 108.2 LOREG se tratase, como pretenden los recurrentes al aducir que tal precepto dispone que sólo pueden ser objeto de protesta o reclamación las "incidencias recogidas en ... el acta de sesión del escrutinio de la Junta Electoral", entre las que no pueden figurar las debidas a la transcripción posterior de los resultados a soporte informático, este Tribunal ha insistido ya varias veces en la inadecuación de "una interpretación rigorista y excesivamente formal del art. 108.2 LOREG" (así, en la constantemente mencionada por los recurrentes STC 157/1991, FJ 4, reproducida en la STC 115/1995, de 10 de julio, FJ 4, o en la STC 168/1991, de 19 de julio, FJ 2).</w:t>
      </w:r>
    </w:p>
    <w:p w:rsidR="0025129F" w:rsidRDefault="0025129F" w:rsidP="0025129F">
      <w:pPr>
        <w:pStyle w:val="TextoNormal"/>
      </w:pPr>
      <w:r>
        <w:t>De acuerdo con lo dicho, por tanto, y sin perjuicio de la corrección de argumentar con el principio lex specialis derogat generali, según hace la Sentencia impugnada, porque, al prever la LOREG detalladamente los plazos y modos en los que caben las rectificaciones correspondientes de los eventuales errores que puedan producirse, no queda margen para la supletoriedad pretendida en el caso presentado por los demandantes ex art. 120 de la propia LOREG, la razón de que no puedan ser aplicados como supletorios al régimen electoral los mencionados preceptos de la Ley administrativa es anterior y más relevante, ya que deriva directamente del texto constitucional, a saber: la reserva a ley orgánica del régimen electoral general que lleva a cabo el art.  81.1 CE. De este régimen debe formar parte, sin duda, el modo de resolver las divergencias surgidas en torno al resultado del proceso alrededor del cual gira tal sistema, el proceso electoral, en concreto los órganos y procedimientos y, dentro de éstos, los plazos en los cuales hayan de resolverse los litigios electorales. Así ha sucedido desde el inicio de la regulación postconstitucional del régimen electoral general mediante la tan citada Ley Orgánica 5/1985, de 19 de junio, del régimen electoral general, y así sucede en la actualidad, donde tal regulación ocupa las últimas Secciones del Capítulo VI, regulador del "Procedimiento electoral", inserto en el Título I, que se ocupa a su vez de las "Disposiciones comunes para las Elecciones por sufragio universal directo".</w:t>
      </w:r>
    </w:p>
    <w:p w:rsidR="0025129F" w:rsidRDefault="0025129F" w:rsidP="0025129F">
      <w:pPr>
        <w:pStyle w:val="TextoNormal"/>
      </w:pPr>
      <w:r>
        <w:t xml:space="preserve">Ya antes de la emanación de esta Ley interpretamos esta reserva razonando que "para que una Ley merezca el calificativo de electoral es necesario que contenga por lo menos el núcleo central de la normativa atinente al proceso electoral, materia en la que se comprende" a quién y cómo se puede elegir, por cuánto tiempo y también "bajo qué criterios organizativos desde el punto de vista procedimental y territorial. Utilizando una nomenclatura que es cara a nuestra Constitución puede decirse que existe un contenido esencial de la Ley Electoral" que se cumple cuando el legislador regula las referidas materias, materias que constituyen "un conjunto de problemas y situaciones entrelazadas y próximas entre sí" </w:t>
      </w:r>
      <w:r>
        <w:lastRenderedPageBreak/>
        <w:t>que requieren, ex Constitutione, una "unidad de legislación", que es la que proporciona la tan mencionada LOREG (STC 72/1984, de 14 de junio, FFJJ 4 y 5).</w:t>
      </w:r>
    </w:p>
    <w:p w:rsidR="0025129F" w:rsidRDefault="0025129F" w:rsidP="0025129F">
      <w:pPr>
        <w:pStyle w:val="TextoNormal"/>
      </w:pPr>
      <w:r>
        <w:t>La segunda cuestión a la que aludíamos que plantea la conexión de los citados preceptos esgrimidos por los recurrentes, el art. 120 LOREG con el art. 105.2 LPC, es de orden lógico hermenéutico. En efecto, la exhaustividad de la regulación que lleva a cabo el legislador electoral (cualificado y no "ordinario", como desliza la Sentencia objeto de impugnación), no le impide llamar a las leyes ordinarias administrativas, ya a la jurisdiccional -en los arts. 112.5 o 116.2 LOREG, por ejemplo-, ya a la procedimental, como precisamente sucede con el citado art. 120, a colaborar con él. Ahora bien, resulta claro que tal colaboración no puede contradecir en su resultado la finalidad perseguida por la ley que la solicita. En el supuesto que se nos somete a consideración, es manifiesto que si un fin pretende la LOREG con su regulación de las quejas, reclamaciones y recursos, notablemente perfeccionada -ha de reiterarse- tras la reforma de la Ley Orgánica 8/1991, ese es, justamente, la seguridad jurídica mediante la fiabilidad y la celeridad en la resolución de aquéllas, habida cuenta de la trascendencia que la misma tiene en la vida institucional toda del país, como recuerda la resolución judicial impugnada y como luego insistiremos. En razón de ello hemos subrayado que un procedimiento como el electoral cuenta con "plazos fugaces, perentorios y preclusivos" (STC 170/1991, de 19 de julio, FJ único), y hemos insistido en la perentoriedad de los mismos (recientemente, STC 48/2000, de 24 de febrero, FJ 3, y las que ella recuerda en igual sentido), y por eso resulta palmaria la incompatibilidad con esta conclusión de la apertura de un plazo sine die para la rectificación de los errores materiales que determina el citado art. 105.2 LPC al posibilitar que la misma pueda ser efectuada "en cualquier momento". A lo que hemos añadido, refiriéndonos precisamente a la flexibilidad interpretativa del tenor literal del art. 108.2 LOREG antes aludida, que "una cosa es que quepa modular las exigencias del principio de preclusividad en materia de procedimiento electoral (art. 108.2 LOREG), evitando rigorismos excesivos que impidan la plena revisión jurisdiccional, mediante la exigencia tan sólo de la diligencia debida en cada supuesto a la hora de advertir el momento en que los actores pudieron denunciar la irregularidad, tal y como este Tribunal Constitucional ha tenido ocasión de exponer en la STC 157/1991, y otra bien distinta es que las candidaturas que reclamen la presencia de irregularidades en el procedimiento electoral puedan disponer a su antojo del agotamiento o no de la vía administrativa  previa a la contencioso-electoral" (STC 168/1991, de 19 de julio, FJ 2).</w:t>
      </w:r>
    </w:p>
    <w:p w:rsidR="0025129F" w:rsidRDefault="0025129F" w:rsidP="0025129F">
      <w:pPr>
        <w:pStyle w:val="TextoNormal"/>
      </w:pPr>
      <w:r>
        <w:t>Según lo dicho, por tanto, queda fuera de toda duda la fundamentación de la respuesta jurisdiccional, que convalida, a su vez, las previas de las Juntas Electorales a las que califica de acertadas: ni el empleo del cauce para pretender la rectificación del error presuntamente cometido, el del art. 105.2 LPC, era posible, ni, sobre todo, se accionó a su debido tiempo el derecho que se estimó vulnerado, y, por ello, la alegación de los recurrentes y del Ministerio Fiscal de que hubo lesión del derecho fundamental a la tutela judicial efectiva debe desecharse, pues el Tribunal Supremo satisfizo perfectamente ese derecho con la Sentencia que dictó aunque no entrase en el fondo del asunto, como pretendían los recurrentes. Según dice la Sala de lo Contencioso- Administrativo del Tribunal Supremo, llevó a cabo su labor jurisdiccional de acuerdo con lo determinado en el art. 117.3 CE, esto es, "según las normas de competencia y procedimiento" que las leyes establecen, criterio éste que no impide interpretar las normas a aplicar, pero sí ignorarlas o afirmar cabalmente lo opuesto de lo que contienen. En este caso, las normas a aplicar eran las que, en efecto, lo fueron por los distintos órganos intervinientes en el procedimiento del que trae causa este recurso de amparo.</w:t>
      </w:r>
    </w:p>
    <w:p w:rsidR="0025129F" w:rsidRDefault="0025129F" w:rsidP="0025129F">
      <w:pPr>
        <w:pStyle w:val="TextoNormal"/>
      </w:pPr>
    </w:p>
    <w:p w:rsidR="0025129F" w:rsidRDefault="0025129F" w:rsidP="0025129F">
      <w:pPr>
        <w:pStyle w:val="TextoNormal"/>
      </w:pPr>
      <w:r w:rsidRPr="0025129F">
        <w:rPr>
          <w:rStyle w:val="NumeroAFNegritaCaracter"/>
        </w:rPr>
        <w:t>4</w:t>
      </w:r>
      <w:r>
        <w:t>. Ahora bien, si lo anterior es cierto, no lo es menos que, al no entrar en la cuestión de fondo, esto es, en si realmente se produjo el error material que los recurrentes afirman, ha quedado sin determinar si el derecho sustantivo alegado, el garantizado por el art. 23 CE, fue, o no, vulnerado.</w:t>
      </w:r>
    </w:p>
    <w:p w:rsidR="0025129F" w:rsidRDefault="0025129F" w:rsidP="0025129F">
      <w:pPr>
        <w:pStyle w:val="TextoNormal"/>
      </w:pPr>
      <w:r>
        <w:t>Como hemos dicho ya en ocasiones similares a ésta en lo que al petitum y a la invocación de derechos se refiere, la comprobación de que las resoluciones adoptadas por los órganos administrativo-electorales y judiciales han hecho una interpretación razonable de la normativa electoral, satisfaciendo así el derecho a la tutela judicial efectiva, no es suficiente cuando se han invocado derechos sustantivos como los que aquí están en juego, en concreto el contenido en el art. 23.2 CE. El amparo solicitado en estas ocasiones "está ante todo al servicio de la preservación y protección de tal derecho y la determinación de si el mismo ha sido o no respetado requiere también, por nuestra parte, de una indagación de carácter sustantivo, que no se cumple, por tanto, con el simple reconocimiento de la razonable interpretación que exhiben, como es el caso, las resoluciones administrativa y judicial impugnadas. De otro modo, toda interpretación de la legislación electoral que se estime lesiva de cualquier otro derecho fundamental de carácter sustantivo, como en este caso el derecho a acceder en condiciones de igualdad a los cargos públicos, sería reconducible al marco del derecho a la tutela judicial efectiva, que, al mismo tiempo que se convertiría en un confuso cajón de sastre, perdería los perfiles sustantivos que le caracterizan, tal como ha sido construido a través de la jurisprudencia de este Tribunal. Si esa interpretación de la legalidad, en sí misma explícita, razonada y motivada en Derecho contiene razonamientos y pronunciamientos lesivos de un derecho fundamental de carácter sustantivo podrá ser anulada en esta sede constitucional, pero por vulneradora de este derecho y no del derecho a la tutela judicial efectiva (STC 24/1990, FJ 4)" (STC 185/1999, de 11 de octubre, FJ 3).  En consecuencia, hemos concluido que, en supuestos como el que ahora nos ocupa, nos corresponde determinar "incluso, si la valoración jurídica de los hechos llevada a cabo por los órganos judiciales 'ha ponderado adecuadamente los derechos fundamentales en juego'" (recientemente, STC 48/2000, de 24 de febrero, FJ 2, y las en ella citadas en igual sentido).</w:t>
      </w:r>
    </w:p>
    <w:p w:rsidR="0025129F" w:rsidRDefault="0025129F" w:rsidP="0025129F">
      <w:pPr>
        <w:pStyle w:val="TextoNormal"/>
      </w:pPr>
      <w:r>
        <w:t>De acuerdo con lo que se acaba de decir, debemos comprobar si se produjo, o no, el error considerado por los demandantes como "indubitado e indubitable", causa petendi sustantiva del presente recurso. Y, a la vista de la prueba aportada, esto es, a la vista de los soportes informáticos que se adjuntan, en contraste con la copia de las actas obrantes en las actuaciones, el error en cuestión resulta fehaciente en los términos enunciados por aquéllos: una transposición de los votos obtenidos por la fuerza política recurrente en las Mesas referidas de Piloña y Gijón (según se puede observar en las diversas actas, incluidas las de sesión y las de escrutinio de la Junta Electoral), a la entidad política "Plataforma España 2000 (ES-2000)", situada en la línea inmediatamente superior de los modelos de las actas, entidad política que no había obtenido ningún sufragio ni en una Mesa ni en otra. Queda así al desnudo la discordancia entre lo realmente acaecido, esto es, la voluntad del electorado expresada en los sufragios emitidos, y lo reflejado en el soporte informático que sirvió para calcular la distribución de los puestos representativos en juego. Hemos, pues, de determinar si en virtud de tal discordancia, con las consecuencias que ello ha podido producir en la distribución de puestos representativos finalmente adoptada, se produjo la lesión de los derechos contenidos en el art. 23 CE que los recurrentes afirman.</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5</w:t>
      </w:r>
      <w:r>
        <w:t>. A los efectos que en verdad interesan en este recurso de amparo, hemos de prescindir de la vulneración alegada por los demandantes de amparo del derecho recogido en el art. 23.1 CE, que se identifica con el derecho al sufragio activo, pues es evidente que, en cuanto tal derecho, no les fue obstaculizado ni impedido a sus titulares, los votantes, y que sólo por la íntima interconexión que hemos señalado numerosas veces entre ambos tipos de sufragio (por todas, STC 185/1999, de 11 de octubre, FJ 4) cabría entender lesionado tal derecho. Es el derecho de sufragio pasivo recogido en el núm. 2 del citado art. 23 el que los recurrentes entienden principalmente vulnerado y por el que cobra todo su sentido la contradicción entre lo manifestado por los votantes de las Mesas electorales citadas y su posible traducción incorrecta en escaños.  Pues bien, tampoco cabe entender vulnerado este derecho en el presente supuesto.</w:t>
      </w:r>
    </w:p>
    <w:p w:rsidR="0025129F" w:rsidRDefault="0025129F" w:rsidP="0025129F">
      <w:pPr>
        <w:pStyle w:val="TextoNormal"/>
      </w:pPr>
      <w:r>
        <w:t>La primera de las razones de que ello sea así, apuntada por la Sentencia impugnada, se refiere a la naturaleza del derecho reconocido en el art. 23.2 CE, que de forma constante hemos señalado como de configuración legal, naturaleza que condiciona el acceso a los cargos públicos a "los requisitos que señalen las leyes". Entre tales requisitos deben entenderse comprendidos no sólo los sustantivos, sino también los procedimentales, y, dentro de estos, tratándose de cargos representativos, los requisitos dispuestos legalmente para la resolución de los conflictos sobre los resultados electorales, por lo afirmado con anterioridad, esto es, por formar parte del régimen electoral general: dichos requisitos figuran en la misma norma, la LOREG, y aun en el mismo Título -el que se ocupa de las "Disposiciones comunes para las Elecciones por sufragio universal directo"- que regula, entre otros aspectos, quién puede elegir y ser elegido (arts. 2 a 7), o condiciona la plenitud del cargo obtenido mediante sufragio al acatamiento de la Constitución "y a la cumplimentación de los demás requisitos previstos en las leyes o reglamentos correspondientes" (art. 108.8). Consecuentemente, no puede considerarse vulnerado un derecho por no cumplir los requisitos legalmente exigidos para su efectividad (en este caso el accionamiento en tiempo y forma frente a su eventual lesión) cuyo propio enunciado constitucional, mediante remisión al legislador, incluye como parte integrante de él.</w:t>
      </w:r>
    </w:p>
    <w:p w:rsidR="0025129F" w:rsidRDefault="0025129F" w:rsidP="0025129F">
      <w:pPr>
        <w:pStyle w:val="TextoNormal"/>
      </w:pPr>
      <w:r>
        <w:t xml:space="preserve">Pero pese a que la anterior sea una razón jurídico-constitucional suficiente, con virtualidad por sí sola para negar que en el presente caso haya habido conculcación del citado derecho al sufragio pasivo, no puede considerarse, sin embargo, la única, sino que se acompaña de otra "de más calado", según los términos de la propia resolución judicial impugnada, y que, por ello, merece una consideración más detenida. Nos referimos al principio de seguridad jurídica que garantiza el art. 9.3 CE. En esencia, tal principio comporta la imposición jurídica de la finalización de los efectos derivados de insuficiencias, anomalías o errores, por más fehacientes que éstos sean, en razón de que su trascendencia más allá del término temporal fijado por el legislador implica trastornos, disfunciones o detrimento de otros derechos, bienes o intereses jurídicamente protegidos. De acuerdo con este concepto aproximativo, lo que el caso aquí objeto de análisis plantea es un claro dilema entre verdad material y seguridad jurídica, dilema en el que los elementos que lo componen han de considerarse en el mismo plano, el del normal funcionamiento del Estado democrático, y en el que lógica y necesariamente la segunda ha de ser premisa de la primera. En el presente supuesto, de poco serviría la total seguridad de una exacta correlación entre la voluntad del electorado y el resultado proclamado si la misma no tiene lugar en el momento en el que ha de constituirse la institución representativa de la que, como bien apunta la Sentencia impugnada, depende el nombramiento del Presidente del Gobierno y la formación de éste, y el comienzo del procedimiento legislativo, o si tal relación puede ser hecha valer "en cualquier momento", en los reiterados términos del art. 105.2 de </w:t>
      </w:r>
      <w:r>
        <w:lastRenderedPageBreak/>
        <w:t>la Ley 30/1992, que los recurrentes utilizan como elemento esencial de su construcción argumental. Como señalan acertadamente las demás partes personadas en este proceso, la aplicación de tal precepto al ámbito del proceso electoral resulta sencillamente inviable.</w:t>
      </w:r>
    </w:p>
    <w:p w:rsidR="0025129F" w:rsidRDefault="0025129F" w:rsidP="0025129F">
      <w:pPr>
        <w:pStyle w:val="TextoNormal"/>
      </w:pPr>
      <w:r>
        <w:t>Y es que el régimen electoral general resulta ser un régimen específico y singular, no equiparable normalmente al régimen administrativo común, desde el punto de vista material por su especial objeto, y desde el punto de vista formal porque el constituyente, como antes decíamos, lo ha reservado de una forma particular y reforzada en el citado art. 81.1 CE, frente al procedimiento administrativo común que no es objeto de una reserva similar, sino de una reserva genérica en el art. 105 c) de la Norma Fundamental. Si este Tribunal ha interpretado que debe formar parte de dicho régimen electoral materias tales como las incompatibilidades de los Diputados y Senadores (en la citada STC 72/1984), a fortiori debe entenderse un contenido más propio aún de tal régimen el escrutinio general y el contencioso-electoral en cuanto partes integrantes del procedimiento electoral y, dentro de ello naturalmente, los plazos para reclamar o protestar sobre las incidencias en general (entre las cuales, por supuesto, deben entenderse comprendidos los eventuales errores que pudieran producirse) y para interponer los recursos correspondientes una vez proclamados los electos si tal proclamación no se considera ajustada al concreto reparto debido de los sufragios emitidos.</w:t>
      </w:r>
    </w:p>
    <w:p w:rsidR="0025129F" w:rsidRDefault="0025129F" w:rsidP="0025129F">
      <w:pPr>
        <w:pStyle w:val="TextoNormal"/>
      </w:pPr>
    </w:p>
    <w:p w:rsidR="0025129F" w:rsidRDefault="0025129F" w:rsidP="0025129F">
      <w:pPr>
        <w:pStyle w:val="TextoNormal"/>
      </w:pPr>
      <w:r w:rsidRPr="0025129F">
        <w:rPr>
          <w:rStyle w:val="NumeroAFNegritaCaracter"/>
        </w:rPr>
        <w:t>6</w:t>
      </w:r>
      <w:r>
        <w:t>. Así ha venido sucediendo en la LOREG, desde su versión inicial, luego modificada parcialmente -en lo que aquí interesa- por la mencionada Ley Orgánica 8/1991, de 13 de marzo. Conviene recordar, al citar esta modificación, que la Exposición de Motivos justifica su promulgación por la mejora técnica de determinados aspectos aislados del procedimiento electoral, entre los que se encuentran, justamente, los aspectos antes aludidos que aquí interesan. Los plazos que disponía y dispone la LOREG para reclamar o protestar las incidencias que eventualmente ocurran en el escrutinio, o para interponer el recurso contencioso-electoral o, incluso, para solicitar el amparo constitucional electoral, son extremadamente breves y, como recordábamos antes que es jurisprudencia consolidada, ello es así porque lo demanda la propia naturaleza del proceso electoral: "como este Tribunal señaló en la STC 93/1999, de 27 de mayo (FJ 3), recordando lo ya dicho en la SSTC 67/1987, de 21 de mayo (FJ 2), y 73/1995, de 12 de mayo (FJ 3),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(STC 48/2000, de 24 de febrero, FJ 3).</w:t>
      </w:r>
    </w:p>
    <w:p w:rsidR="0025129F" w:rsidRDefault="0025129F" w:rsidP="0025129F">
      <w:pPr>
        <w:pStyle w:val="TextoNormal"/>
      </w:pPr>
      <w:r>
        <w:t>Es patente que tal naturaleza resulta incompatible con una apertura indefinida de la determinación de sus resultados. Lo que significa, en suma, retomando los términos del dilema antes enunciado, que el legislador electoral al regular los plazos de reclamación e impugnación de los resultados electorales como lo ha hecho ha optado por una determinada concepción de la específica seguridad jurídica en material electoral. En esa concepción el legislador ha integrado también, o si se quiere, ha previsto, los supuestos en los que la realidad material de los sufragios no se cohoneste con la distribución final de los mismos en puestos representativos, supuestos para los que otorga los lapsos temporales que aparecen en la Ley y no otros.  Transcurridos los mismos, el descubrimiento de una realidad material distinta a la que por error se ha entendido producida debe ceder en aras de la específica seguridad jurídica electoral, pues de las distorsiones que puede llegar a generar la anulación de las situaciones ya creadas pueden derivarse perjuicios mucho más notables que los que supondría la indudable comprobación de aquella desconexión. Si en el presen</w:t>
      </w:r>
      <w:r>
        <w:lastRenderedPageBreak/>
        <w:t>te supuesto la atribución del escaño en liza no supondría una alteración sustancial en la composición del Congreso de los Diputados dada la composición global de la misma, en la que la fuerza dominante dispone de una mayoría absoluta holgada, no resulta precisamente difícil imaginar situaciones en las que una alteración de los resultados proclamados en tiempo anterior supondría un cambio no ya importante, sino sencillamente radical, de las situaciones generadas como consecuencia de los resultados tenidos por válidos de acuerdo con los trámites y plazos de que el proceso electoral se compone.</w:t>
      </w:r>
    </w:p>
    <w:p w:rsidR="0025129F" w:rsidRDefault="0025129F" w:rsidP="0025129F">
      <w:pPr>
        <w:pStyle w:val="TextoNormal"/>
      </w:pPr>
      <w:r>
        <w:t>Como es notorio, el carácter perentorio de los plazos permitidos por la regulación electoral comporta inexorablemente una diligencia especialmente exigente de los protagonistas del proceso electoral. En ello se centra, como no podía ser de otro modo, la argumentación de las partes comparecidas en este recurso, recordando nuestra jurisprudencia al respecto, ya antes referida. En efecto, la debida diligencia es, por así decir, la premisa de la que debe partirse a la hora de comenzar a considerar cualquier pretensión relacionada con impugnaciones de carácter electoral que sean presentadas fuera de plazo. Por la razón que se acaba de exponer relativa a las muy importantes distorsiones en la vida institucional del país que puede implicar el cambio en la representación inicialmente determinada, la diligencia que demanda el régimen electoral de impugnaciones de resultados electorales es, dicho de forma tan concisa como radical, extrema. Y precisamente por ello también el ordenamiento dispone un relativamente complejo sistema específico para garantizar la corrección de los procesos electorales y para que, de producirse incorrecciones, anomalías o errores, pueda procederse a la mayor brevedad a su remedio.</w:t>
      </w:r>
    </w:p>
    <w:p w:rsidR="0025129F" w:rsidRDefault="0025129F" w:rsidP="0025129F">
      <w:pPr>
        <w:pStyle w:val="TextoNormal"/>
      </w:pPr>
    </w:p>
    <w:p w:rsidR="0025129F" w:rsidRDefault="0025129F" w:rsidP="0025129F">
      <w:pPr>
        <w:pStyle w:val="TextoNormal"/>
      </w:pPr>
      <w:r w:rsidRPr="0025129F">
        <w:rPr>
          <w:rStyle w:val="NumeroAFNegritaCaracter"/>
        </w:rPr>
        <w:t>7</w:t>
      </w:r>
      <w:r>
        <w:t>. El primer componente de ese sistema es una Administración ad hoc, la Administración electoral, que la LOREG regula -de forma significativa- inmediatamente después de los derechos de sufragio activo y pasivo, esto es, en el Capítulo III del Título I, cuyo primer precepto determina que "tiene por finalidad garantizar en los términos de la presente Ley, la transparencia y objetividad del proceso electoral y del principio de igualdad" (art. 8.1). Como bien recuerdan los demandantes de amparo, hemos definido a tal Administración como "Administración de garantía" (STC 197/1988, de 24 de octubre, FJ 4) del proceso electoral. Por eso, lógicamente, la extrema diligencia a la que nos venimos refiriendo ha de comenzar por la propia Administración encargada de garantizar el correcto transcurso del proceso electoral. Y por ello precisamente, aunque por las razones que expusimos y reiteramos en su momento, no pueda ser esgrimido el principio de la buena fe por los protagonistas de los procesos electorales, resulta especialmente reprochable a la Administración electoral, en el presente caso a la Junta Electoral Provincial, su falta de esmero en la comprobación de los datos antes y después de las distintas transcripciones, y muy en especial en la destinada al cálculo de la distribución de los escaños en juego. La diligencia exigible a los protagonistas naturales de las elecciones (fuerzas políticas en general y candidatos) no exime a la Administración electoral de la suya, como hemos dicho ya (STC 170/1991).</w:t>
      </w:r>
    </w:p>
    <w:p w:rsidR="0025129F" w:rsidRDefault="0025129F" w:rsidP="0025129F">
      <w:pPr>
        <w:pStyle w:val="TextoNormal"/>
      </w:pPr>
      <w:r>
        <w:t xml:space="preserve">Ahora bien, la falta de celo de la Administración electoral, en este caso de la Junta Electoral Provincial, tampoco exonera a los interesados por definición en los resultados de los mismos de su imprescindible diligencia. Además de la Administración electoral, que desde su neutralidad como tal Administración está en el ejercicio de sus funciones al servicio de quienes concurran a los comicios, el ordenamiento prevé, para que éstos puedan velar porque no les sean quebrantados sus intereses electorales, todo un entramado en el que destaca la posibilidad de que estén presentes durante las votaciones, recuentos y escrutinios los interventores, apoderados o representantes de candidaturas, con facilidades </w:t>
      </w:r>
      <w:r>
        <w:lastRenderedPageBreak/>
        <w:t>legitimatorias para protestar, reclamar o recurrir, y un sistema de financiación pública a estos efectos especialmente favorable para las grandes formaciones, como es el caso de la aquí recurrente. Todo ello no puede reputarse gratuito, sino preordenado a una finalidad, que, sin duda, es la de facilitar la defensa de sus intereses en juego en cada proceso electoral, porque, en su calidad de protagonistas del pluralismo político, resultan revestidos del carácter de intereses objetivos en orden a procurar el correcto desenvolvimiento de la vida institucional que deviene a partir de las consultas electorales y directamente condicionada por los resultados de éstas.</w:t>
      </w:r>
    </w:p>
    <w:p w:rsidR="0025129F" w:rsidRDefault="0025129F" w:rsidP="0025129F">
      <w:pPr>
        <w:pStyle w:val="TextoNormal"/>
      </w:pPr>
      <w:r>
        <w:t>En definitiva, por tanto, es claro que los candidatos y las formaciones políticas que los avalan tienen suficientes posibilidades -más aún las formaciones políticas de entidad notoria en sus respectivos ámbitos territoriales, como es la que acude ante nosotros en el presente caso-, para llevar a cabo con la diligencia precisa la defensa de sus intereses, y con ella la de los intereses objetivos, en tiempo y forma. Sólo, por tanto, circunstancias realmente extraordinarias que impidiesen o distorsionasen el conocimiento por los interesados o por la Administración electoral de los resultados habidos en los comicios dentro de los plazos que la LOREG marca (así, por ejemplo, si tal impedimento o distorsión fuese un resultado intencionadamente buscado) podrían llevar a la revisión de tales resultados si se demostrase la vulneración de los derechos recogidos en el art. 23 CE. La prolija regulación que lleva a cabo la LOREG de los actos de recuento y de escrutinio, así como la notable tutela que incorpora en tales actos, deja poco margen a tan extraordinarias causas sin llegar a excluirlas: ése, justamente, debe entenderse que fue el espíritu que animó al legislador cuando la estableció en un principio y, sobre todo, cuando la reformó en 1991.</w:t>
      </w:r>
    </w:p>
    <w:p w:rsidR="0025129F" w:rsidRDefault="0025129F" w:rsidP="0025129F">
      <w:pPr>
        <w:pStyle w:val="TextoNormal"/>
      </w:pPr>
      <w:r>
        <w:t>El corolario de todo lo dicho es, como resulta claro, que en el caso que se nos presenta tampoco han resultado conculcados los derechos sustantivos garantizados en el art. 23 CE, y en particular en el art. 23.2 en su contenido del acceso al cargo representativo del recurrente Sr.  Cuesta Martínez. Ello, unido a la inexistente violación del derecho a la tutela judicial efectiva, según lo razonado en su momento, aboca a la denegación del amparo solicitado en el presente caso.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don Álvaro Cuesta Martínez y por el Partido Socialista Obrero Español-Progresistas.</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ocho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4" w:name="SENTENCIA_2002_81"/>
      <w:r>
        <w:lastRenderedPageBreak/>
        <w:t>SENTENCIA 81/2002, de 22 de abril de 2002</w:t>
      </w:r>
    </w:p>
    <w:bookmarkEnd w:id="84"/>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ECLI:ES:TC:2002:81</w:t>
      </w:r>
    </w:p>
    <w:p w:rsidR="0025129F" w:rsidRDefault="0025129F" w:rsidP="0025129F">
      <w:pPr>
        <w:pStyle w:val="SntesisDescriptiva"/>
      </w:pPr>
    </w:p>
    <w:p w:rsidR="0025129F" w:rsidRDefault="0025129F" w:rsidP="0025129F">
      <w:pPr>
        <w:pStyle w:val="SntesisDescriptiva"/>
      </w:pPr>
      <w:r>
        <w:t>Recurso de amparo 4397/1997. Promovido por don Eleuterio Gómez López y otra frente a la Sentencia de la Audiencia Provincial de Barcelona que, en apelación, absolvió al acusado de un delito de alzamiento de bienes.</w:t>
      </w:r>
    </w:p>
    <w:p w:rsidR="0025129F" w:rsidRDefault="0025129F" w:rsidP="0025129F">
      <w:pPr>
        <w:pStyle w:val="SntesisDescriptiva"/>
      </w:pPr>
    </w:p>
    <w:p w:rsidR="0025129F" w:rsidRDefault="0025129F" w:rsidP="0025129F">
      <w:pPr>
        <w:pStyle w:val="SntesisAnaltica"/>
      </w:pPr>
      <w:r>
        <w:t>Vulneración del derecho a la tutela judicial sin indefensión: Sentencia de apelación penal que falla sin que el Tribunal hubiera resuelto la solicitud de prueba presentada por la acusación al impugnar el recurso. Voto particular.</w:t>
      </w:r>
    </w:p>
    <w:p w:rsidR="0025129F" w:rsidRDefault="0025129F" w:rsidP="0025129F">
      <w:pPr>
        <w:pStyle w:val="SntesisAnaltica"/>
      </w:pPr>
    </w:p>
    <w:p w:rsidR="0025129F" w:rsidRDefault="0025129F" w:rsidP="0025129F">
      <w:pPr>
        <w:pStyle w:val="Extracto"/>
      </w:pPr>
      <w:r>
        <w:t>1.</w:t>
      </w:r>
      <w:r>
        <w:tab/>
        <w:t>La Audiencia Provincial, al fundamentar su fallo absolutorio precisamente en la no constancia de aquello que se les impidió probar a los demandantes de amparo, al no dar respuesta a su solicitud de prueba, realiza una conducta arbitraria, que limita los derechos de defensa de la parte y genera indefensión material, proscrita por el art. 24.1 CE [FJ 5].</w:t>
      </w:r>
    </w:p>
    <w:p w:rsidR="0025129F" w:rsidRDefault="0025129F" w:rsidP="0025129F">
      <w:pPr>
        <w:pStyle w:val="Extracto"/>
      </w:pPr>
    </w:p>
    <w:p w:rsidR="0025129F" w:rsidRDefault="0025129F" w:rsidP="0025129F">
      <w:pPr>
        <w:pStyle w:val="Extracto"/>
      </w:pPr>
      <w:r>
        <w:t>2.</w:t>
      </w:r>
      <w:r>
        <w:tab/>
        <w:t>Derecho a utilizar los medios de prueba pertinentes (STC 10/2000) [FJ 3].</w:t>
      </w:r>
    </w:p>
    <w:p w:rsidR="0025129F" w:rsidRDefault="0025129F" w:rsidP="0025129F">
      <w:pPr>
        <w:pStyle w:val="Extracto"/>
      </w:pPr>
    </w:p>
    <w:p w:rsidR="0025129F" w:rsidRDefault="0025129F" w:rsidP="0025129F">
      <w:pPr>
        <w:pStyle w:val="Extracto"/>
      </w:pPr>
      <w:r>
        <w:t>3.</w:t>
      </w:r>
      <w:r>
        <w:tab/>
        <w:t>Este Tribunal ha configurado el derecho de acción penal esencialmente como un ius ut procedatur que ha de enjuiciarse en sede de amparo constitucional desde la perspectiva del art. 24.1 CE y al que, desde luego, son aplicables las garantías del art. 24.2 CE (STC 218/1997) [FFJJ 2 y 6].</w:t>
      </w:r>
    </w:p>
    <w:p w:rsidR="0025129F" w:rsidRDefault="0025129F" w:rsidP="0025129F">
      <w:pPr>
        <w:pStyle w:val="Extracto"/>
      </w:pPr>
    </w:p>
    <w:p w:rsidR="0025129F" w:rsidRDefault="0025129F" w:rsidP="0025129F">
      <w:pPr>
        <w:pStyle w:val="Extracto"/>
      </w:pPr>
      <w:r>
        <w:t>4.</w:t>
      </w:r>
      <w:r>
        <w:tab/>
        <w:t>Una Sentencia absolutoria puede anularse por este Tribunal si se han vulnerado los derechos relativos a las reglas esenciales del desarrollo del proceso (SSTC 218/1997, 215/1999) [FJ 6].</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4397/97, promovido por don Eleuterio Gómez López y doña Pilar Requena Melero, representados por el Procurador de los Tribunales don Luis </w:t>
      </w:r>
      <w:r>
        <w:lastRenderedPageBreak/>
        <w:t>Alfaro Rodríguez y asistidos por el Abogado don José Luis Vázquez Carrera, contra la Sentencia de la Audiencia Provincial de Barcelona, Sección Sexta, de 29 de septiembre de 1997, rollo de apelación número 334/97. Ha intervenido el Ministerio Fiscal.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el Juzgado de guardia el día 29 de octubre de 1997 y en este Tribunal el 3 de noviembre don Luis Alfaro Rodríguez, Procurador de los Tribunales, actuando en nombre y representación de don Eleuterio Gómez López y doña Pilar Requena Melero, interpone recurso de amparo contra la Sentencia antes mencionada.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en los que tiene su origen el presente recurso y relevantes para su resolución son, sucintamente expuestos, los siguientes: </w:t>
      </w:r>
    </w:p>
    <w:p w:rsidR="0025129F" w:rsidRDefault="0025129F" w:rsidP="0025129F">
      <w:pPr>
        <w:pStyle w:val="TextoNormal"/>
      </w:pPr>
      <w:r>
        <w:t xml:space="preserve">a) Don Manuel Valero Merino había sido condenado por Sentencia de la Audiencia Provincial de Lleida, de 22 de enero de 1982, como autor responsable de una falta de imprudencia con resultado de muerte, a indemnizar a don Eleuterio Gómez López y doña Pilar Requena Melero en un millón de pesetas a cada uno, por el fallecimiento del hijo de ambos. La ejecución de dicha Sentencia se fue dilatando en el tiempo, al hallarse el condenado en ignorado paradero, hasta que en 1986 fue localizado en Irún, y no ser hallados bienes embargables para su realización. </w:t>
      </w:r>
    </w:p>
    <w:p w:rsidR="0025129F" w:rsidRDefault="0025129F" w:rsidP="0025129F">
      <w:pPr>
        <w:pStyle w:val="TextoNormal"/>
      </w:pPr>
      <w:r>
        <w:t xml:space="preserve">b) Se dice en la demanda de amparo que los ahora recurrentes "tuvieron conocimiento de la existencia de una finca a nombre del condenado, lo que se notificó al Juzgado, por el cual se procedió a notificarle el embargo de la misma, diligencia que se practicó mediante exhorto al Juzgado de 1ª Instancia e Instrucción de Esplugues de Llobregat (lugar de la finca y domicilio del querellado y su esposa). Dicho Juzgado remitió la resolución por correo certificado con acuse de recibo, en el reverso del cual consta la firma, el nombre y el D.N.I. del señor Manuel Valero Merino, y el recibo de la misma en fecha 3/01/94, sin ningún género de dudas. El 7/02/94 el querellado y su esposa procedieron a disolver su sociedad de gananciales adjudicándose la finca la esposa y quedando para el marido una finca de Martorell que poco después era adjudicada en subasta a otra persona. El exhorto cumplimentado se devolvió a Lleida al día siguiente de dicha disolución (8/02/94) con la mención del Secretario de Espluges: '(Queda pendiente el mandamiento al Registro de la Propiedad)'. Cuando con posterioridad se quiso, por el Juzgado de Lleida, practicar la inscripción al Registro de la Propiedad se notificó por éste que la finca aparecía a nombre de otra persona". </w:t>
      </w:r>
    </w:p>
    <w:p w:rsidR="0025129F" w:rsidRDefault="0025129F" w:rsidP="0025129F">
      <w:pPr>
        <w:pStyle w:val="TextoNormal"/>
      </w:pPr>
      <w:r>
        <w:t>c) Los recurrentes interpusieron el 19 de octubre de 1994 querella por delito de alzamiento de bienes contra don Manuel Valero Merino y su esposa, que dio lugar a la tramitación de procedimiento abreviado núm. 285/96, del Juzgado de Instrucción núm. 28 de Barcelona, en el que el Magistrado-Juez del Juzgado de lo Penal núm. 10 de Barcelona dictó Sentencia, con fecha 7 de enero de 1997, cuya parte dispositiva es del tenor literal siguiente: "Que debo condenar y condeno a Manuel Valero Merino, como autor penalmente responsable de un delito de alzamiento de bienes ya definido, a la pena de tres meses de arresto mayor, accesorias legales y al pago de la mitad de las costas procesales, incluidas las causadas por la Acusación particular, y debo absolver y absuelvo a Josefa Tejerizo Ramiro del delito de alzamiento de bienes del que venía acusada, declarándose de oficio las costas procesales.- Se decreta la nulidad de la escritura pública de capitulaciones ma</w:t>
      </w:r>
      <w:r>
        <w:lastRenderedPageBreak/>
        <w:t xml:space="preserve">trimoniales otorgada por los cónyuges Manuel Valero Merino y Josefa Tejerizo Ramiro ante el Notario de Barcelona D. Juan Francisco Boisán Benito con fecha 7 de febrero de 1994, acordando la cancelación de las inscripciones registrales a que haya dado lugar, dejando a salvo los derechos adquiridos por terceros de buena fe". </w:t>
      </w:r>
    </w:p>
    <w:p w:rsidR="0025129F" w:rsidRDefault="0025129F" w:rsidP="0025129F">
      <w:pPr>
        <w:pStyle w:val="TextoNormal"/>
      </w:pPr>
      <w:r>
        <w:t xml:space="preserve">El relato de hechos probados de dicha Sentencia decía lo siguiente: "El acusado Manuel Valero Merino, mayor de edad y sin antecedentes penales, fue condenado en virtud de sentencia dictada por la Audiencia Provincial de Lleida en fecha 22-1-1982, como autor responsable de una falta de imprudencia con resultado de muerte, a indemnizar a Eleuterio Gómez López y Pilar Requena Melero, en un millón de pesetas a cada uno, declarándose la responsabilidad civil subsidiaria de la entidad 'Gaset-Valero S.A.', empresa de la que era socio el acusado. En ejecución de la citada sentencia, el acusado fue requerido personalmente por el Juzgado de Esplugas en fecha 29-4-87 al pago de la indemnización a que venía condenado, habiendo estado dicho acusado en ignorado paradero hasta el 20-2-86 en que fue localizado por la Policía en un hotel de Irún. Con fecha 9-9-87 el referido acusado compareció en el Juzgado de Esplugas manifestando la imposibilidad de hacer efectiva la indemnización reclamada por encontrarse en situación de desempleo, solicitando se le declarara insolvente. Mediante providencia de fecha 14 de diciembre de 1993 se acordó por el Juzgado de 1ª Instancia núm. 1 de Esplugas trabar embargo sobre la finca sita en la calle Francisco Layret, núm. 18-7º C de la localidad de Esplugas de Llobregat, finca que había sido adquirida por el acusado junto con su esposa para su sociedad de gananciales mediante escritura pública de fecha 26 de mayo de 1982. El acusado, siendo conocedor de que la referida vivienda estaba embargada, y con el fin de impedir que la misma se viera afecta al pago de la indemnización a que venía obligado, procedió junto con su esposa, la también acusada Josefa Tejerizo Ramiro, mayor de edad y sin antecedentes penales, a modificar notarialmente el régimen económico matrimonial de sociedad de gananciales por el de absoluta separación de bienes, lo que verificaron mediante escritura pública otorgada en fecha 7 de febrero de 1994 ante el Notario de Barcelona D. Juan Francisco Boisán Benito, y en cuya virtud la esposa se adjudicó la finca sita en la c/. Francisco Layret de Esplugas, impidiendo de este modo la anotación preventiva de embargo sobre dicha vivienda que había sido acordada por el Juzgado de Primera Instancia núm. 1 de Esplugas, pues el Registrador de la Propiedad denegó la anotación solicitada al no constar la vivienda inscrita a favor del condenado y acusado Manuel Valero Merino. En la escritura pública de fecha 7-2-94, por la que los acusados disolvieron la sociedad conyugal de gananciales, el acusado Manuel Valero se adjudicó una vivienda sita en Martorell, C/. Abrera, números 6 y 8, piso segundo, puerta primera, de la escalera uno, vivienda que estaba gravada con una hipoteca que en tal fecha se encontraba en fase de ejecución en los autos seguidos con el núm. 2129/92 al amparo del artículo 131 de la Ley Hipotecaria por el Juzgado de Primera Instancia núm. 31 de Madrid, en los que finalmente con fecha 5-10-1994 recayó auto por el que la referida vivienda se adjudicaba a un tercero.- La referida escritura de fecha 7 de febrero de 1994, por la que los acusados modificaban su régimen económico matrimonial, fue presentada para su inscripción en el Registro de la Propiedad de Esplugas, en cuanto la finca sita en la calle Francisco Layret, con fecha 9 de marzo de 1994, mientras que respecto a la vivienda sita en Martorell fue presentada a inscripción en el Registro de la Propiedad de dicha localidad el 22 de marzo de 1994.- No ha resultado acreditado que la acusada Josefa Tejerizo Ramiro tuviera conocimiento de la Sentencia dictada por la Audiencia Provincial de Lleida ni tampoco de la ejecución y embargo trabado sobre la vivienda sita en Esplugas al tiempo de otorgar la escritura de capitulaciones matrimoniales de 7 de febrero de 1994". </w:t>
      </w:r>
    </w:p>
    <w:p w:rsidR="0025129F" w:rsidRDefault="0025129F" w:rsidP="0025129F">
      <w:pPr>
        <w:pStyle w:val="TextoNormal"/>
      </w:pPr>
      <w:r>
        <w:lastRenderedPageBreak/>
        <w:t xml:space="preserve">d) El condenado Sr. Valero Merino interpuso recurso de apelación, que fue resuelto por Sentencia de la Sección Sexta de la Audiencia Provincial de Barcelona, de fecha 29 de septiembre de 1997. Esta Sentencia de la Audiencia estimó el recurso de apelación, revocando la de instancia, y absolvió a Manuel Valero Merino del delito por el que había sido condenado, manteniendo la absolución de Josefa Tejerizo Ramiro. Asimismo, en el quinto de sus antecedentes de hecho dice la Sentencia de apelación lo siguiente: "Se admiten los hechos que se declaran como probados con las siguientes modificaciones: Después de la frase solicitando se le declarara insolvente añadir 'Por providencia de fecha 6 de julio de 1988 se acordó el archivo definitivo de la ejecutoria'. Se elimina de los hechos probados lo siguiente: 'siendo conocedor de que la referida vivienda estaba embargada, y con el fin de impedir que la misma se viera afecta al pago de la indemnización a que venía obligado'". </w:t>
      </w:r>
    </w:p>
    <w:p w:rsidR="0025129F" w:rsidRDefault="0025129F" w:rsidP="0025129F">
      <w:pPr>
        <w:pStyle w:val="TextoNormal"/>
      </w:pPr>
      <w:r>
        <w:t xml:space="preserve">e) La acusación particular, mantenida por los ahora recurrentes en amparo, había propuesto en la instancia, en su escrito de conclusiones provisionales, de fecha 21 de marzo de 1995, la siguiente prueba documental, entre otras: "Primera. Que se libre mandamiento al Juzgado de Instrucción núm. 2 de los de Lleida para que expida testimonio de la ejecución de la sentencia dictada en los autos de preparatorias 21/80, el cual deberá incluir en particular lo siguiente: a) La sentencia de la que dimana la ejecución.- b) La notificación de la misma a los acusados.- c) La notificación del embargo llevado a cabo sobre la finca, comprendido en la providencia del Juez de Espulgues de Lóbrega, de fecha 14 de diciembre de 1993". Esta prueba, juntamente con otras también propuesta, fue admitida por Auto de 28 de octubre de 1996. </w:t>
      </w:r>
    </w:p>
    <w:p w:rsidR="0025129F" w:rsidRDefault="0025129F" w:rsidP="0025129F">
      <w:pPr>
        <w:pStyle w:val="TextoNormal"/>
      </w:pPr>
      <w:r>
        <w:t xml:space="preserve">Respecto de la práctica de esta prueba, se afirma en la demanda de amparo lo siguiente: "Entendemos que el hecho de que en el envío de la prueba desde Lleida no se contuviera un acuse de recibo en el que se exponía claramente que el querellado recibió la notificación el día 3 de enero de 1994, supuso la infracción del derecho a contar con la prueba necesaria para la defensa del caso, así como el de tutela judicial efectiva. Situación ésta que no tuvo trascendencia en primera instancia, ya que se obtuvo sentencia condenatoria y puesto que constaban en las actuaciones una serie de pruebas e indicios suficientes para la condena, entre otros, la diligencia del Secretario de Esplugues que daba por notificado el embargo, así como la constancia en la fotocopia que adjuntamos a nuestro escrito de querella, documento nº 1, y en su margen superior izquierdo, de la firma del acuse de recibo que luego se localizó, y que no fue enviado en primera instancia". </w:t>
      </w:r>
    </w:p>
    <w:p w:rsidR="0025129F" w:rsidRDefault="0025129F" w:rsidP="0025129F">
      <w:pPr>
        <w:pStyle w:val="TextoNormal"/>
      </w:pPr>
      <w:r>
        <w:t>f) Posteriormente, y como concretamente se afirma en la demanda de amparo, los hoy recurrentes en amparo solicitaron en el escrito de impugnación del recurso de apelación, mediante otrosí, el recibimiento del recurso a prueba, al amparo de los arts. 795.3 y 4 LECrim, reiterando su petición en la instancia de que se aportara "copia testimoniada de la diligencia de notificación del embargo (por providencia de 14 de diciembre de 1993 del juez de Espluges), recibida por el Sr. Valero el día 3 de enero de 1994, contenida en las actuaciones del Juzgado de Instrucción nº 2 de los de Lleida (Preparatorias 21/80)", añadiendo que "dicho testimonio es acompañado numerado como documentos 1, 2 y 3". Se dice asimismo en la demanda de amparo que "la Audiencia, frente a esta propuesta, dio el silencio por respuesta, un silencio que se plasma en el antecedente de hecho cuarto de su Sentencia, cuando dice: 'Cuarto.- Recibidos los autos y registrados en esta Sección, sin más trámite, quedaron los mismos para sentencia'".</w:t>
      </w:r>
    </w:p>
    <w:p w:rsidR="0025129F" w:rsidRDefault="0025129F" w:rsidP="0025129F">
      <w:pPr>
        <w:pStyle w:val="TextoNormal"/>
      </w:pPr>
    </w:p>
    <w:p w:rsidR="0025129F" w:rsidRDefault="0025129F" w:rsidP="0025129F">
      <w:pPr>
        <w:pStyle w:val="TextoNormal"/>
      </w:pPr>
      <w:r w:rsidRPr="0025129F">
        <w:rPr>
          <w:rStyle w:val="NumeroAFNegritaCaracter"/>
        </w:rPr>
        <w:t>3</w:t>
      </w:r>
      <w:r>
        <w:t>. Los recurrentes fundamentan su demanda de amparo en la presunta vulneración de los derechos fundamentales a la tutela judicial efectiva, a un proceso con todas las garan</w:t>
      </w:r>
      <w:r>
        <w:lastRenderedPageBreak/>
        <w:t xml:space="preserve">tías, a la utilización de los medios de prueba pertinentes para la defensa, y a un proceso sin dilaciones indebidas (art. 24 CE, apartados primero y segundo). </w:t>
      </w:r>
    </w:p>
    <w:p w:rsidR="0025129F" w:rsidRDefault="0025129F" w:rsidP="0025129F">
      <w:pPr>
        <w:pStyle w:val="TextoNormal"/>
      </w:pPr>
      <w:r>
        <w:t xml:space="preserve">Dichas vulneraciones se habrían producido, en primer lugar, por la actuación del Juzgado de Instrucción núm. 1 de Espluges de Llobregat, que tardó un tiempo excesivo en la cumplimentación del exhorto para la notificación del embargo -amén de haber remitido la notificación por correo certificado con acuse de recibo en vez de hacerlo personalmente a la persona notificada-, tras lo cual tardó un mes en devolverlo cumplimentado, circunstancia que se produjo al día siguiente de la disolución de la comunidad de gananciales por el querellado. En segundo lugar, y fundamentalmente, por la Audiencia de Barcelona, que no tuvo en cuenta, ni siquiera para desestimarla, la proposición de prueba de los recurrentes, ni la documental aportada (copia testimoniada de la notificación, con expresión de la fecha), ni valoró las demás pruebas obrantes en autos para fundamentar la condena, entre ellas la diligencia ya mencionada del Secretario del Juzgado de Esplugues de Llobregat. En tercer lugar, se denuncia también un anormal funcionamiento de la Administración de Justicia, en relación con el procedimiento de ejecución de la indemnización inicial, cuyas irregularidades y excesiva duración podrían provocar la inefectividad de la sentencia de origen. </w:t>
      </w:r>
    </w:p>
    <w:p w:rsidR="0025129F" w:rsidRDefault="0025129F" w:rsidP="0025129F">
      <w:pPr>
        <w:pStyle w:val="TextoNormal"/>
      </w:pPr>
      <w:r>
        <w:t xml:space="preserve">Bajo el epígrafe "petición que se formula" se dice en la demanda de amparo que lo que se pretende es la anulación de la Sentencia impugnada, "de tal forma que se repongan las actuaciones al momento anterior al fallo de dicha Sala, para que la misma se pronuncie sobre la propuesta al otrosí del escrito de impugnación al recurso de apelación formulado de contrario y dicte nueva sentencia teniendo en consideración dicha prueba y valorando la existencia de fe publica judicial que prueba la notificación del embargo por el Juzgado de Primera Instancia e Instrucción de Esplugues de Llobregat". </w:t>
      </w:r>
    </w:p>
    <w:p w:rsidR="0025129F" w:rsidRDefault="0025129F" w:rsidP="0025129F">
      <w:pPr>
        <w:pStyle w:val="TextoNormal"/>
      </w:pPr>
      <w:r>
        <w:t xml:space="preserve">Al formular la súplica del recurso de amparo solicitan los recurrentes que se dicte Sentencia por la que se otorgue el amparo solicitado, "decretando la nulidad de la Sentencia de la Audiencia Provincial de Barcelona (Sección Sexta - rollo apelación penal 334/97) de 29 de septiembre de 1997, reconociendo expresamente la existencia de la vulneración del derecho de los recurrentes a la tutela judicial efectiva, a un proceso público sin dilaciones indebidas y con todas las garantías, así como a utilizar todos los medios pertinentes a la defensa del asunto; se restablezca a los recurrentes en la integridad de su derecho, retrotrayendo el proceso penal al momento inmediato anterior al de dictar la sentencia anulada donde se vulneraron aquellos derechos". </w:t>
      </w:r>
    </w:p>
    <w:p w:rsidR="0025129F" w:rsidRDefault="0025129F" w:rsidP="0025129F">
      <w:pPr>
        <w:pStyle w:val="TextoNormal"/>
      </w:pPr>
      <w:r>
        <w:t>Por otrosí solicitaron los recurrentes "la suspensión de la ejecución (es decir, de su efectividad) de la Sentencia de la Audiencia Provincial", a fin de que, comunicando la existencia del recurso de amparo a don Manuel Valero Merino y doña Josefa Tejerizo Ramiro, "no se halle amparada por la legalidad la posibilidad de disponer de la finca objeto de debate a favor de un tercero hasta que se resuelva la presente demanda".</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Con anterioridad a la admisión a trámite de la demanda, mediante providencia de 8 de junio de 1998 se acordó solicitar certificación o copia adverada de las actuaciones. </w:t>
      </w:r>
    </w:p>
    <w:p w:rsidR="0025129F" w:rsidRDefault="0025129F" w:rsidP="0025129F">
      <w:pPr>
        <w:pStyle w:val="TextoNormal"/>
      </w:pPr>
      <w:r>
        <w:t xml:space="preserve">Del examen de las actuaciones, una vez recibidas mediante certificación o copia adverada, aparece que en ellas constan los particulares que a continuación se indican, en relación con los extremos a que se refiere la demanda de amparo, relacionados en el antecedente 2 f) de esta Sentencia. </w:t>
      </w:r>
    </w:p>
    <w:p w:rsidR="0025129F" w:rsidRDefault="0025129F" w:rsidP="0025129F">
      <w:pPr>
        <w:pStyle w:val="TextoNormal"/>
      </w:pPr>
      <w:r>
        <w:t>a) Mediante "otrosí" del escrito de impugnación del recurso de apelación, la representación procesal de los ahora recurrentes en amparo solicita "se reciba el presente recurso a prueba de acuerdo con lo dispuesto en el art. 795, apartados 3 y 4, de la Ley de Enjuicia</w:t>
      </w:r>
      <w:r>
        <w:lastRenderedPageBreak/>
        <w:t xml:space="preserve">miento Criminal, por lo que se refiere a la documental consistente en copia testimoniada de la diligencia de notificación del embargo (por providencia de 14 de diciembre de 1993 del Juez de Esplugues), recibida por el Sr. Valero el día 3 de enero de 1994, contenida en las actuaciones del Juzgado de Instrucción nº 2 de los de Lleida (Preparatorias 21/80). Dicho testimonio es acompañado numerado como documentos 1, 2 y 3. Esta petición se ampara en el art. 759 [sic]. 3 y 4, por cuanto dicha prueba fue solicitada en tiempo y forma en nuestro escrito de acusación, numerada como documental primera: 3º c), al otrosí de nuestro escrito de conclusiones, de fecha 21 de marzo de 1995 (folios 78, 79 y 80), en los siguientes términos: 'Que se libre mandamiento al Juzgado de Instrucción nº 2 de los de Lleida para que expida testimonio de la ejecución de la sentencia dictada en los autos de preparatorias 21/80, el cual deberá incluir en particular lo siguiente: .../... c) la notificación del embargo llevado a cabo sobre la finca, comprendido en la Providencia del Juez de Esplugues de Llobregat, de fecha 14 de Diciembre de 1993'". A dicho escrito siguió diligencia de ordenación de la Secretaría del Juzgado de lo Penal núm. 10 de Barcelona, de fecha 27 de marzo de 1997, en la que se tiene por presentado el anterior escrito -del que se acuerda su unión a los autos- y por evacuado el trámite conferido a las partes. </w:t>
      </w:r>
    </w:p>
    <w:p w:rsidR="0025129F" w:rsidRDefault="0025129F" w:rsidP="0025129F">
      <w:pPr>
        <w:pStyle w:val="TextoNormal"/>
      </w:pPr>
      <w:r>
        <w:t xml:space="preserve">b) En el testimonio, también remitido, del rollo de apelación núm. 334/97, "formado para sustanciar el recurso interpuesto por Manuel Valero Merino contra la sentencia dictada por el Juzgado de lo Penal Diez de Barcelona en fecha 7 de enero de 1997", obran los particulares que a continuación se relacionan, todos los cuales preceden a la Sentencia dictada el 29 de septiembre de 1997. </w:t>
      </w:r>
    </w:p>
    <w:p w:rsidR="0025129F" w:rsidRDefault="0025129F" w:rsidP="0025129F">
      <w:pPr>
        <w:pStyle w:val="TextoNormal"/>
      </w:pPr>
      <w:r>
        <w:t xml:space="preserve">En primer lugar, oficio del Juzgado de lo Penal núm. 10 de Barcelona, de 20 de junio de 1997, dirigido a la Sección Sexta de la Audiencia Provincial de Barcelona, comunicando la remisión de los autos de Procedimiento Abreviado núm. 285/96, sobre alzamiento de bienes, en virtud del recurso de apelación interpuesto contra la Sentencia de instancia. </w:t>
      </w:r>
    </w:p>
    <w:p w:rsidR="0025129F" w:rsidRDefault="0025129F" w:rsidP="0025129F">
      <w:pPr>
        <w:pStyle w:val="TextoNormal"/>
      </w:pPr>
      <w:r>
        <w:t xml:space="preserve">En segundo lugar, providencia de la Sección Sexta de la Audiencia Provincial, de fecha 26 de junio de 1997, en la que se acuerda la formación del pertinente rollo, y su registro,"con el anterior oficio y autos que se reciben", y además de hace la designación de Magistrado Ponente. </w:t>
      </w:r>
    </w:p>
    <w:p w:rsidR="0025129F" w:rsidRDefault="0025129F" w:rsidP="0025129F">
      <w:pPr>
        <w:pStyle w:val="TextoNormal"/>
      </w:pPr>
      <w:r>
        <w:t xml:space="preserve">En tercer lugar, providencia de la mencionada Sección Sexta de la Audiencia Provincial, de fecha 16 de julio de 1997, del tenor literal siguiente: "Dada cuenta y; se señala para la deliberación y fallo del presente recurso, la audiencia del próximo día cinco de septiembre de 1997.- Así lo acuerda la Sala y rubrica el Ilmo. Sr. Presidente; de lo que certifico". </w:t>
      </w:r>
    </w:p>
    <w:p w:rsidR="0025129F" w:rsidRDefault="0025129F" w:rsidP="0025129F">
      <w:pPr>
        <w:pStyle w:val="TextoNormal"/>
      </w:pPr>
      <w:r>
        <w:t xml:space="preserve">c) La Sentencia de apelación se dictó el 29 de septiembre de 1997 El tercero de sus antecedentes de hecho (después de que en el segundo se trascribiese la parte dispositiva de la Sentencia de instancia) es del tenor literal siguiente: "Notificada dicha resolución, contra la misma se interpuso recurso de apelación por la representación de Manuel Valero Merino, en cuyo escrito, tras expresar los fundamentos del recurso, interesó la revocación de la sentencia recurrida y en su lugar se dicte otra absolutoria para el recurrente en los mismos términos que ya interesó en las conclusiones definitivas formuladas en el acto del juicio oral; y una vez admitido a trámite dicho recurso se dio traslado del mismo a las demás partes para que en el término legal formulasen las alegaciones que estimasen convenientes a sus respectivos derechos, trámite que fue evacuado por la representación de Eleuterio Gómez López y Pilar Requena Melero que interesaron la confirmación de la sentencia recurrida, remitiéndose las actuaciones a esta Sección de la Audiencia Provincial para la resolución del recurso". </w:t>
      </w:r>
    </w:p>
    <w:p w:rsidR="0025129F" w:rsidRDefault="0025129F" w:rsidP="0025129F">
      <w:pPr>
        <w:pStyle w:val="TextoNormal"/>
      </w:pPr>
      <w:r>
        <w:lastRenderedPageBreak/>
        <w:t>El cuarto de los antecedentes de hecho de la Sentencia de apelación dice así: "Recibidos los autos y registrados en esta Sección, sin más trámite, quedaron los mismos para sentencia".</w:t>
      </w:r>
    </w:p>
    <w:p w:rsidR="0025129F" w:rsidRDefault="0025129F" w:rsidP="0025129F">
      <w:pPr>
        <w:pStyle w:val="TextoNormal"/>
      </w:pPr>
    </w:p>
    <w:p w:rsidR="0025129F" w:rsidRDefault="0025129F" w:rsidP="0025129F">
      <w:pPr>
        <w:pStyle w:val="TextoNormal"/>
      </w:pPr>
      <w:r w:rsidRPr="0025129F">
        <w:rPr>
          <w:rStyle w:val="NumeroAFNegritaCaracter"/>
        </w:rPr>
        <w:t>5</w:t>
      </w:r>
      <w:r>
        <w:t>. Recibida la certificación o copia adverada de las actuaciones, la Sección Cuarta de este Tribunal, mediante providencia de 26 de octubre de 1998, acordó la admisión parcial de la demanda de amparo, exclusivamente en lo referente a la queja relativa a la vulneración del derecho a un proceso con todas las garantías y a la tutela judicial efectiva (art. 24 CE), inadmitiendo la queja atinente a la vulneración del derecho a un proceso sin dilaciones indebidas, por cuanto ni se acredita la pronta y formal invocación del derecho en el proceso ordinario, ni se especifica a qué acción u omisión concreta se atribuye ni a qué periodo se refiere.</w:t>
      </w:r>
    </w:p>
    <w:p w:rsidR="0025129F" w:rsidRDefault="0025129F" w:rsidP="0025129F">
      <w:pPr>
        <w:pStyle w:val="TextoNormal"/>
      </w:pPr>
    </w:p>
    <w:p w:rsidR="0025129F" w:rsidRDefault="0025129F" w:rsidP="0025129F">
      <w:pPr>
        <w:pStyle w:val="TextoNormal"/>
      </w:pPr>
      <w:r w:rsidRPr="0025129F">
        <w:rPr>
          <w:rStyle w:val="NumeroAFNegritaCaracter"/>
        </w:rPr>
        <w:t>6</w:t>
      </w:r>
      <w:r>
        <w:t>. En esa misma providencia de 26 de octubre de 1998 se acordó la apertura de pieza separada para la tramitación de la medida cautelar de suspensión solicitada por los recurrentes. Y en otra providencia de la misma fecha, se concedió un plazo común de tres días a la parte recurrente y al Ministerio Fiscal para que formularan alegaciones respecto de este particular, conforme a lo previsto en el art. 56 LOTC. Evacuado dicho trámite, mediante Auto de 22 de julio de 1999 la Sala Segunda de este Tribunal acordó no haber lugar a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7</w:t>
      </w:r>
      <w:r>
        <w:t>. Por providencia de 23 de septiembre de 1999 se acordó dar vista de las actuaciones recibidas a la parte recurrente y al Ministerio Fiscal, por plazo común de veinte días, para que formularan las alegaciones que estimasen pertinentes, de conformidad con el art. 52.1 LOTC.</w:t>
      </w:r>
    </w:p>
    <w:p w:rsidR="0025129F" w:rsidRDefault="0025129F" w:rsidP="0025129F">
      <w:pPr>
        <w:pStyle w:val="TextoNormal"/>
      </w:pPr>
    </w:p>
    <w:p w:rsidR="0025129F" w:rsidRDefault="0025129F" w:rsidP="0025129F">
      <w:pPr>
        <w:pStyle w:val="TextoNormal"/>
      </w:pPr>
      <w:r w:rsidRPr="0025129F">
        <w:rPr>
          <w:rStyle w:val="NumeroAFNegritaCaracter"/>
        </w:rPr>
        <w:t>8</w:t>
      </w:r>
      <w:r>
        <w:t>. La representación procesal del recurrente, mediante escrito que tuvo su entrada en este Tribunal el día 29 de octubre de 1999, se limitó a reiterar las alegaciones de la demanda de amparo.</w:t>
      </w:r>
    </w:p>
    <w:p w:rsidR="0025129F" w:rsidRDefault="0025129F" w:rsidP="0025129F">
      <w:pPr>
        <w:pStyle w:val="TextoNormal"/>
      </w:pPr>
    </w:p>
    <w:p w:rsidR="0025129F" w:rsidRDefault="0025129F" w:rsidP="0025129F">
      <w:pPr>
        <w:pStyle w:val="TextoNormal"/>
      </w:pPr>
      <w:r w:rsidRPr="0025129F">
        <w:rPr>
          <w:rStyle w:val="NumeroAFNegritaCaracter"/>
        </w:rPr>
        <w:t>9</w:t>
      </w:r>
      <w:r>
        <w:t>. El 3 de noviembre de 1999 tuvieron su entrada en el Registro General de este Tribunal las alegaciones del Ministerio Fiscal, en las que éste solicita que se estime el recurso de amparo. Entiende el Ministerio Público que las dos alegaciones admitidas a trámite tienen realmente el mismo objeto, pues se refieren al error sufrido por la Sala de apelación en lo relativo a la falta de acreditación de la notificación del embargo, cuando en la causa existen elementos de prueba en cuya valoración no ha entrado la Sala. Se estaría, por tanto, ante un caso de error patente incompatible, desde la perspectiva constitucional, con el derecho a la tutela judicial efectiva (pues se trata de un error evidente y que ha incidido causalmente en el sentido del fallo, que se funda exclusivamente en él, por lo que cumple con los requisitos ineludibles para adquirir transcendencia constitucional). Entiende asimismo el Fiscal que el error produjo indefensión a la parte y quebranto del derecho a un proceso debido, al no haber reparado la Sala de apelación en la existencia de la prueba documental que la parte propuso y que figuraba en autos.</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18 de abril de 2002 se señaló para la deliberación y fallo del presente recurso el día 22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la Sentencia dictada el 29 de septiembre de 1997 por la Sección Sexta de la Audiencia Provincial de Barcelona en el rollo de apelación núm. 334/97. Esta Sentencia absolvió al entonces recurrente en apelación, don Manuel Valero Merino, del delito de alzamiento de bienes, por el que le había condenado la Sentencia del Juzgado de lo Penal núm. 10 de Barcelona, dictada en 7 de enero de 1997 en el procedimiento abreviado núm. 285/96, procedente del Juzgado de Instrucción núm. 28 de Barcelona.</w:t>
      </w:r>
    </w:p>
    <w:p w:rsidR="0025129F" w:rsidRDefault="0025129F" w:rsidP="0025129F">
      <w:pPr>
        <w:pStyle w:val="TextoNormal"/>
      </w:pPr>
      <w:r>
        <w:t>El recurso de amparo, formulado por don Eleuterio Gómez López y doña Pilar Requena Melero, que en el proceso penal de referencia intervinieron como querellantes y acusadores particulares, fue admitido a trámite respecto de las quejas formuladas en la demanda, relativas a la vulneración de los derechos a la tutela judicial efectiva (art. 24.1 CE) y a un proceso con todas las garantías, invocado en relación con el derecho a utilizar los medios de prueba pertinentes para la defensa (art. 24.2 CE), y fue inadmitido respecto de la queja atinente a la vulneración del derecho a un proceso sin dilaciones indebidas (art. 24.2 CE).</w:t>
      </w:r>
    </w:p>
    <w:p w:rsidR="0025129F" w:rsidRDefault="0025129F" w:rsidP="0025129F">
      <w:pPr>
        <w:pStyle w:val="TextoNormal"/>
      </w:pPr>
      <w:r>
        <w:t>Se fundamenta sustancialmente el recurso, en cuanto a las quejas por las que fue admitido, en la denegación tácita (por silencio y sin motivación alguna) por parte de la Audiencia de un medio de prueba (la acreditación de la notificación del embargo y de la fecha de la misma al querellado), visto que el fallo absolutorio se basa precisamente en la no constancia de aquello que se pretendía acreditar a través de la prueba denegada, aparte el hecho de que en todo caso, según alega el recurrente y sostiene también el Ministerio Fiscal, resultaban ya suficientemente acreditados tales extremos con las pruebas obrantes en autos.</w:t>
      </w:r>
    </w:p>
    <w:p w:rsidR="0025129F" w:rsidRDefault="0025129F" w:rsidP="0025129F">
      <w:pPr>
        <w:pStyle w:val="TextoNormal"/>
      </w:pPr>
      <w:r>
        <w:t>El Ministerio Fiscal interesa la estimación del amparo por haber mediado error patente en el Tribunal que dictó la Sentencia impugnada, ya que del examen de las actuaciones, según afirma, "aparece documentada la notificación del embargo de la finca, trabado por providencia del Juzgado de Esplugues de Llobregat, que cumplimentaba el exhorto del Juzgado de Instrucción núm. 2 de Lérida, de 14 de diciembre de 1993, el aviso de recibo del despacho postal certificado, con fecha 3 de enero de 1994, en el que consta el nombre del destinatario y el D.N.I. y se hace constar que ha sido efectivamente entregado". Añade además el hecho de que "obvio es que la Sala de apelación no reparó en la existencia de la prueba documental que la parte propuso en la impugnación del recurso de apelación y figuraba en autos, como resulta de los términos de su fundamento jurídico 1 ... lo que constituye un error patente, cualquiera que hubiera sido el resultado de la valoración de la prueba misma".</w:t>
      </w:r>
    </w:p>
    <w:p w:rsidR="0025129F" w:rsidRDefault="0025129F" w:rsidP="0025129F">
      <w:pPr>
        <w:pStyle w:val="TextoNormal"/>
      </w:pPr>
    </w:p>
    <w:p w:rsidR="0025129F" w:rsidRDefault="0025129F" w:rsidP="0025129F">
      <w:pPr>
        <w:pStyle w:val="TextoNormal"/>
      </w:pPr>
      <w:r w:rsidRPr="0025129F">
        <w:rPr>
          <w:rStyle w:val="NumeroAFNegritaCaracter"/>
        </w:rPr>
        <w:t>2</w:t>
      </w:r>
      <w:r>
        <w:t>. Con carácter previo conviene realizar algunas precisiones adicionales acerca del objeto del recurso, dado que los demandantes de amparo son los querellantes en el proceso penal.</w:t>
      </w:r>
    </w:p>
    <w:p w:rsidR="0025129F" w:rsidRDefault="0025129F" w:rsidP="0025129F">
      <w:pPr>
        <w:pStyle w:val="TextoNormal"/>
      </w:pPr>
      <w:r>
        <w:t>Pese a que reiteradamente hemos afirmado que la Constitución no otorga ningún derecho fundamental a obtener condenas penales (SSTC 157/1990, de 18 de octubre, FJ 4; 31/1996, de 27 de febrero, FJ 10; 177/1996, de 11 de noviembre, FJ 11; 199/1996, 3 de diciembre, FJ 5; 41/1997, de 10 de marzo, FJ 4; 74/1997, de 21 de abril, FJ 5; 67/1998, de 18 de marzo, FJ 2; 138/1999, de 22 de julio, FJ 5; 215/1999, 29 de noviembre, FJ 1; 21/2000, de 31 de enero, FJ 2; 16/2001, de 29 de enero, FJ 4), hemos precisado que ello no implica que "quien vea lesionados sus derechos fundamentales, y en general sus intere</w:t>
      </w:r>
      <w:r>
        <w:lastRenderedPageBreak/>
        <w:t>ses, no tenga derecho, en los términos que prevea la legislación procesal pertinente, a acudir a un procedimiento judicial para la defensa de los mismos.  Tampoco comporta que en el seno de dicho proceso no puedan verse lesionados, no ya sus derechos procesales, sino también sus derechos sustantivos con consideraciones o declaraciones judiciales que atenten a su contenido" (STC 218/1997, de 4 de diciembre, FJ 2).</w:t>
      </w:r>
    </w:p>
    <w:p w:rsidR="0025129F" w:rsidRDefault="0025129F" w:rsidP="0025129F">
      <w:pPr>
        <w:pStyle w:val="TextoNormal"/>
      </w:pPr>
      <w:r>
        <w:t>Este Tribunal "ha configurado el derecho de acción penal esencialmente como un ius ut procedatur, es decir, no como parte de ningún otro derecho fundamental sustantivo, sino estrictamente como manifestación específica del derecho a la jurisdicción" (por todas, SSTC 31/1996, de 27 de febrero, FJ 10 y 11; 199/1996, de 3 de diciembre, FJ 5; 41/1997, 10 de marzo, FJ 5; 16/2001, de 29 de enero, FJ 4), "que ha de enjuiciarse en sede de amparo constitucional desde la perspectiva del art. 24.1 CE y al que, desde luego, son aplicables las garantías del art.  24.2 CE" (STC 41/1997, de 10 de marzo, FJ 5 y, reproduciéndola, SSTC 218/1997, de 4 de diciembre, FJ 2; 16/2001, de 29 de enero, FJ 4).  De ello se deduce que ese ius ut procedatur no puede "quedar reducido a un mero impulso del proceso o una mera comparecencia en el mismo, sino que de él derivan con naturalidad y necesidad los derechos relativos a las reglas esenciales del desarrollo del proceso" (SSTC 218/1997, de 4 de diciembre, FJ 2; 215/1999, de 29 de noviembre, FJ 1; 16/2001, de 29 de enero, FJ 4), que no se agotan, en el proceso penal, "con el mero respeto de las garantías allí establecidas a favor del imputado, procesado o acusado, según las distintas fases de aquél", sino que se extienden a todos los partícipes (SSTC 116/1997, de 23 de junio, FJ 5; 138/1999, de 22 de julio, FJ 5; 16/2001, de 29 de enero, FJ 4).</w:t>
      </w:r>
    </w:p>
    <w:p w:rsidR="0025129F" w:rsidRDefault="0025129F" w:rsidP="0025129F">
      <w:pPr>
        <w:pStyle w:val="TextoNormal"/>
      </w:pPr>
      <w:r>
        <w:t>Por consiguiente, el análisis de los derechos procesales invocados por el recurrente ha de enjuiciarse desde la perspectiva del art. 24.1 CE (derecho a la tutela judicial efectiva sin indefensión), al que son aplicables las garantías del art. 24.2 (en concreto, en este caso, el derecho a la utilización de los medios de prueba pertinentes para la defensa).</w:t>
      </w:r>
    </w:p>
    <w:p w:rsidR="0025129F" w:rsidRDefault="0025129F" w:rsidP="0025129F">
      <w:pPr>
        <w:pStyle w:val="TextoNormal"/>
      </w:pPr>
    </w:p>
    <w:p w:rsidR="0025129F" w:rsidRDefault="0025129F" w:rsidP="0025129F">
      <w:pPr>
        <w:pStyle w:val="TextoNormal"/>
      </w:pPr>
      <w:r w:rsidRPr="0025129F">
        <w:rPr>
          <w:rStyle w:val="NumeroAFNegritaCaracter"/>
        </w:rPr>
        <w:t>3</w:t>
      </w:r>
      <w:r>
        <w:t>. Por lo que respecta a las relaciones entre los dos apartados del art. 24 CE, en diversas ocasiones este Tribunal ha sostenido que la conexión es estrecha, pues ambos reconocen a los ciudadanos derechos, tanto en su acceso a los órganos judiciales como en los procesos seguidos ante ellos, orientados a asegurarles una efectiva tutela judicial en el ejercicio de sus derechos e intereses legítimos (SSTC 46/1982, de 12 de julio, FJ 2; 324/1994, de 1 de diciembre, FJ 2; 10/2000, de 17 de enero, FJ 2; 208/2001, de 22 de octubre, FJ 3).</w:t>
      </w:r>
    </w:p>
    <w:p w:rsidR="0025129F" w:rsidRDefault="0025129F" w:rsidP="0025129F">
      <w:pPr>
        <w:pStyle w:val="TextoNormal"/>
      </w:pPr>
      <w:r>
        <w:t>El derecho a la tutela judicial efectiva se satisface, en esencia, con una respuesta jurídicamente fundada, motivada y razonable de los órganos jurisdiccionales a las pretensiones de quien acude ante ellos para la defensa de sus intereses (por todas, SSTC 46/1982, de 12 de julio, FJ 2; 324/1994, de 1 de diciembre, FJ 2; 10/2000, de 17 de enero, FJ 2). También hemos dicho que, en ocasiones, la respuesta del órgano judicial, aunque fundada en Derecho y formalmente motivada, puede resultar viciada de raíz cuando es arbitraria (por todas, STC 160/1997, de 2 de octubre, FJ 7).</w:t>
      </w:r>
    </w:p>
    <w:p w:rsidR="0025129F" w:rsidRDefault="0025129F" w:rsidP="0025129F">
      <w:pPr>
        <w:pStyle w:val="TextoNormal"/>
      </w:pPr>
      <w:r>
        <w:t xml:space="preserve">Entre los supuestos en que hemos afirmado dicha arbitrariedad se encuentra aquél en que el órgano judicial frustra con su actitud la práctica de determinada prueba de parte, impidiendo a quien la propuso, y solicitó su colaboración en su práctica, la utilización de un medio de prueba pertinente para su defensa, y después desestima la pretensión con el argumento de que no ha quedado probado precisamente lo que se pretendía acreditar con la prueba no practicada. En estos supuestos lo relevante no es que las pretensiones de la parte se hayan desestimado, sino que la desestimación "sea la consecuencia de la previa conculcación por el propio órgano judicial de un derecho fundamental del perjudicado, </w:t>
      </w:r>
      <w:r>
        <w:lastRenderedPageBreak/>
        <w:t>encubriéndose tras una aparente resolución judicial fundada en Derecho una efectiva denegación de justicia" (STC 10/2000, de 17 de enero, FJ 2, y, reproduciéndola, STC 208/2001, de 22 de octubre, FJ 3).  Hemos dicho concretamente sobre este particular en la STC 10/2000, de 17 de enero, FJ 2, que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y 183/1999, de 11 de octubre). Con ello, el órgano judicial limita los derechos de defensa del demandante al frustrar los medios de prueba de los que se pretendía servir para fundar sus alegaciones por causas que sólo al propio órgano judicial son imputables, resolviendo desestimarlas, justamente, por no haberlas acreditado (SSTC 48/1984, de 4 de abril; 90/1987, de 3 de junio; 29/1990, de 26 de febrero, y 138/1999, de 22 de julio, entre otras muchas)".</w:t>
      </w:r>
    </w:p>
    <w:p w:rsidR="0025129F" w:rsidRDefault="0025129F" w:rsidP="0025129F">
      <w:pPr>
        <w:pStyle w:val="TextoNormal"/>
      </w:pPr>
    </w:p>
    <w:p w:rsidR="0025129F" w:rsidRDefault="0025129F" w:rsidP="0025129F">
      <w:pPr>
        <w:pStyle w:val="TextoNormal"/>
      </w:pPr>
      <w:r w:rsidRPr="0025129F">
        <w:rPr>
          <w:rStyle w:val="NumeroAFNegritaCaracter"/>
        </w:rPr>
        <w:t>4</w:t>
      </w:r>
      <w:r>
        <w:t>. La doctrina que acaba de exponerse resulta aplicable al presente caso, en los términos que se exponen a continuación. En efecto, los demandantes de amparo propusieron inicialmente en la instancia la prueba documental relativa, entre otros extremos, a que se expidiese testimonio de la notificación del embargo de determinada finca "comprendido en la providencia del Juez de Esplugues de Llobregat, de fecha 14 de diciembre de 1993", interesando al efecto se librase el correspondiente despacho al Juzgado de Instrucción núm. 2 de Lleida. Tal prueba fue admitida y parcialmente practicada, pues consta en las actuaciones el testimonio de la providencia del Juez de Esplugues de Llobregat de 14 de diciembre de 1993, por la que se traba el embargo, incluido el acuerdo de "notifíquese la presente al interesado", e incluida asimismo la diligencia firmada por el Secretario Judicial que dice: "Seguidamente se cumple lo ordenado. Doy fe". Ahora bien, el Juzgado no remitió testimonio del acuse de recibo de la notificación hecha por correo, firmado por el acusado y en el que constaba la fecha de 3 de enero de 1994. Esta circunstancia, como señala el demandante, no tuvo trascendencia en la primera instancia, pues sobre la base del resto de la prueba obrante en autos se dicta una sentencia condenatoria.</w:t>
      </w:r>
    </w:p>
    <w:p w:rsidR="0025129F" w:rsidRDefault="0025129F" w:rsidP="0025129F">
      <w:pPr>
        <w:pStyle w:val="TextoNormal"/>
      </w:pPr>
      <w:r>
        <w:t>Ya en trámite de apelación, en el escrito de impugnación del recurso, y a la vista de las alegaciones del condenado, en las que negaba que le hubiera sido notificado el embargo, se vuelve a solicitar la práctica de la prueba, lo que se hace en los siguientes términos: "Otrosí digo que se reciba el presente recurso a prueba de acuerdo con lo dispuesto en el art. 795, apartados 3 y 4, de la Ley de Enjuiciamiento Criminal, por lo que se refiere a la documental consistente en copia testimoniada de la diligencia de notificación del embargo (por providencia de 14 de diciembre de 1993 del Juez de Esplugues), recibida por el Sr. Valero el día 3 de enero de 1994, contenida en las actuaciones del Juzgado de Instrucción núm. 2 de los de Lleida (Preparatorias 21/80). Dicho testimonio es acompañado numerado como documentos 1, 2 y 3.  Esta petición se ampara en el art. 759 [sic], 3 y 4, por cuanto dicha prueba fue solicitada en tiempo y forma en nuestro escrito de acusación, numerada como documental primera 3 c), al otrosí de nuestro escrito de conclusiones".</w:t>
      </w:r>
    </w:p>
    <w:p w:rsidR="0025129F" w:rsidRDefault="0025129F" w:rsidP="0025129F">
      <w:pPr>
        <w:pStyle w:val="TextoNormal"/>
      </w:pPr>
      <w:r>
        <w:t xml:space="preserve">Esta nueva solicitud, a la que acaba de hacerse referencia, no obtiene respuesta alguna por parte de la Audiencia, que, tras dictar dos providencias -una vez recibidos los autos del procedimiento abreviado para formar el rollo de apelación-, una de ellas acordando la formación del rollo, el registro y la designación de Magistrado Ponente, y la otra haciendo el oportuno señalamiento "para deliberación y fallo", dicta sin más trámite una Sentencia </w:t>
      </w:r>
      <w:r>
        <w:lastRenderedPageBreak/>
        <w:t>absolutoria, que se fundamenta precisamente en la no constancia de la notificación del embargo con anterioridad al otorgamiento de las capitulaciones matrimoniales (capitulaciones en las que precisamente el querellado en el procedimiento abreviado y su esposa habían acordado la separación de bienes y la adjudicación de la expresada finca -la que había sido objeto de embargo- a la esposa).</w:t>
      </w:r>
    </w:p>
    <w:p w:rsidR="0025129F" w:rsidRDefault="0025129F" w:rsidP="0025129F">
      <w:pPr>
        <w:pStyle w:val="TextoNormal"/>
      </w:pPr>
    </w:p>
    <w:p w:rsidR="0025129F" w:rsidRDefault="0025129F" w:rsidP="0025129F">
      <w:pPr>
        <w:pStyle w:val="TextoNormal"/>
      </w:pPr>
      <w:r w:rsidRPr="0025129F">
        <w:rPr>
          <w:rStyle w:val="NumeroAFNegritaCaracter"/>
        </w:rPr>
        <w:t>5</w:t>
      </w:r>
      <w:r>
        <w:t>. La exposición precedente pone de manifiesto que la Audiencia Provincial, al fundamentar su fallo absolutorio precisamente en la no constancia de aquello que se les impidió probar a los demandantes de amparo (en este caso por la conducta omisiva de la propia Audiencia, al no dar respuesta a la formulada solicitud de prueba), realiza una conducta arbitraria, que limita los derechos de defensa de la parte y genera indefensión material, proscrita por el art. 24.1 CE, deparando a los recurrentes un perjuicio real y efectivo en sus derechos e intereses legítimos.</w:t>
      </w:r>
    </w:p>
    <w:p w:rsidR="0025129F" w:rsidRDefault="0025129F" w:rsidP="0025129F">
      <w:pPr>
        <w:pStyle w:val="TextoNormal"/>
      </w:pPr>
      <w:r>
        <w:t>No obsta a la conclusión expresada el hecho de que pudiera en principio entenderse que el art. 795 LECrim se refiere únicamente al recurrente al tratar de la proposición de prueba en la segunda instancia (pues habla del "recurso" y del "escrito de formalización" en sus apartados 3 y 4, bien que la expresión "escritos de recurso" del apartado 7 admite una interpretación más amplia). Ciertamente los ahora demandantes de amparo no eran entonces recurrentes, sino parte recurrida. Pues bien, sin perjuicio de señalar que no nos corresponde la interpretación de la legalidad ordinaria, salvo en los aspectos que pudieran afectar a los derechos fundamentales, entre ellos el de no sufrir indefensión, es lo cierto, en todo caso, que la formulación de una concreta y explícita petición (la de recibimiento del recurso a prueba) exigía una explícita decisión del órgano judicial, aunque fuera denegatoria, decisión inexistente en este caso, con lo que se impidió a la parte defender sus intereses respecto de tal circunstancia.</w:t>
      </w:r>
    </w:p>
    <w:p w:rsidR="0025129F" w:rsidRDefault="0025129F" w:rsidP="0025129F">
      <w:pPr>
        <w:pStyle w:val="TextoNormal"/>
      </w:pPr>
    </w:p>
    <w:p w:rsidR="0025129F" w:rsidRDefault="0025129F" w:rsidP="0025129F">
      <w:pPr>
        <w:pStyle w:val="TextoNormal"/>
      </w:pPr>
      <w:r w:rsidRPr="0025129F">
        <w:rPr>
          <w:rStyle w:val="NumeroAFNegritaCaracter"/>
        </w:rPr>
        <w:t>6</w:t>
      </w:r>
      <w:r>
        <w:t>. De lo expuesto se concluye que procede la estimación del presente recurso de amparo, por haberse causado indefensión a los ahora demandantes de amparo (art. 24.1 CE) en el procedimiento de segunda instancia seguido ante la Audiencia Provincial. Tal consideración hace innecesario el examen del resto de las vulneraciones denunciadas.</w:t>
      </w:r>
    </w:p>
    <w:p w:rsidR="0025129F" w:rsidRDefault="0025129F" w:rsidP="0025129F">
      <w:pPr>
        <w:pStyle w:val="TextoNormal"/>
      </w:pPr>
      <w:r>
        <w:t>Establecida esta conclusión, debe determinarse cuál sea el alcance del fallo. Y ello por las peculiaridades que impone el que estemos declarando la lesión de un derecho fundamental en el seno de un proceso penal que ha finalizado con una Sentencia absolutoria firme.</w:t>
      </w:r>
    </w:p>
    <w:p w:rsidR="0025129F" w:rsidRDefault="0025129F" w:rsidP="0025129F">
      <w:pPr>
        <w:pStyle w:val="TextoNormal"/>
      </w:pPr>
      <w:r>
        <w:t xml:space="preserve">Al respecto, hemos declarado "la inviabilidad de anular en esta sede una Sentencia con un pronunciamiento absolutorio de fondo que haya adquirido firmeza, sobre la base de un derecho de acción que el legislador, en virtud de un sólido fundamento constitucional, ha declarado ya extinguido, prolongando indebidamente, en sede de amparo, el proceso penal" (STC 41/1997, de 10 de marzo, FJ 6). Ciertamente, una sentencia absolutoria no puede anularse por este Tribunal con base en razones de fondo, dado que el proceso penal ha concluido; pero la cuestión es distinta si se han vulnerado derechos fundamentales de naturaleza procesal. En este sentido, hemos dicho en la STC 215/1999, de 29 de noviembre, FJ 1, que "el ius ut procedatur que asiste a la víctima de un delito no se agota en un mero impulso del proceso o una mera comparecencia en el mismo, 'sino que de él derivan con naturalidad y necesidad los derechos relativos a las reglas esenciales del desarrollo del proceso' (STC 218/1997, FJ 2)" de modo que "el análisis y la declaración de vulneración de los derechos procesales invocados es ajeno a la inexistencia de un derecho de la víctima </w:t>
      </w:r>
      <w:r>
        <w:lastRenderedPageBreak/>
        <w:t>del proceso penal a la condena penal de otro y ha de efectuarse tomando como referente el canon de los derechos contenidos en los arts. 24.1 y 2 CE (STC 41/1997, FJ 5)".</w:t>
      </w:r>
    </w:p>
    <w:p w:rsidR="0025129F" w:rsidRDefault="0025129F" w:rsidP="0025129F">
      <w:pPr>
        <w:pStyle w:val="TextoNormal"/>
      </w:pPr>
      <w:r>
        <w:t>En directa relación con todo ello dijimos igualmente en dicha STC 215/1999, de 29 de noviembre, FJ 1, que "tampoco la consiguiente anulación de la Sentencia absolutoria dictada en resolución de recurso de apelación y la retroacción de actuaciones al momento anterior a producirse la vulneración de la garantía procesal resulta contradictoria con las declaraciones efectuadas por este Tribunal en el sentido de que la declaración de lesión de un derecho fundamental en el seno de un proceso penal no puede llevar aparejada la anulación en esta jurisdicción de amparo de una Sentencia firme absolutoria 'por poderosas razones de seguridad jurídica' (STC 218/1997, FJ 2), ya que ello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Precisamente dijimos a continuación en dicha Sentencia que "este es el fundamento de que en las SSTC 116/1997 y 138/1999, tras la declaración de lesión del derecho a la tutela judicial efectiva sin indefensión, se haya procedido a anular las resoluciones impugnadas y a retrotraer las actuaciones al momento procesal oportuno anterior a la verificación de la lesión procedimental estimada".</w:t>
      </w:r>
    </w:p>
    <w:p w:rsidR="0025129F" w:rsidRDefault="0025129F" w:rsidP="0025129F">
      <w:pPr>
        <w:pStyle w:val="TextoNormal"/>
      </w:pPr>
      <w:r>
        <w:t>Pues bien, puesto que en el presente caso la estimación del amparo se fundamenta en el quebrantamiento de garantías procesales esenciales de una de las partes, ello ha de conducir en aplicación de la doctrina expuesta -al igual que en los casos de las Sentencias 138/1999, de 22 de julio, y 215/1999, de 29 de noviembre- a la anulación de la Sentencia recurrida y a la retroacción de las actuaciones judiciales al momento en el que la Audiencia Provincial debió pronunciarse sobre la prueba propuesta por los ahora demandantes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su virtud:</w:t>
      </w:r>
    </w:p>
    <w:p w:rsidR="0025129F" w:rsidRDefault="0025129F" w:rsidP="0025129F">
      <w:pPr>
        <w:pStyle w:val="TextoNormal"/>
      </w:pPr>
      <w:r>
        <w:t>1º Reconocer que la Sentencia de la Sección Sexta de la Audiencia Provincial de Barcelona, de 29 de septiembre de 1997, produjo a los recurrentes en amparo la indefensión proscrita por el art. 24 CE.</w:t>
      </w:r>
    </w:p>
    <w:p w:rsidR="0025129F" w:rsidRDefault="0025129F" w:rsidP="0025129F">
      <w:pPr>
        <w:pStyle w:val="TextoNormal"/>
      </w:pPr>
      <w:r>
        <w:t>2º Restablecerles en su derecho y, a este fin, anular la Sentencia de la Sección Sexta de la Audiencia Provincial de Barcelona, de 29 de septiembre de 1997, dictada en el rollo de apelación núm. 334/97, y retrotraer las actuaciones al momento inmediatamente anterior a aquel en el cual la Audiencia Provincial de Barcelona debió resolver sobre la prueba propuesta por los demandantes de amparo en su escrito de impugnación del recurso de apelación, que había sido formalizado en dicho rollo de apelación.</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rsidP="0025129F">
      <w:pPr>
        <w:pStyle w:val="ParrafoNormal"/>
      </w:pPr>
    </w:p>
    <w:p w:rsidR="0025129F" w:rsidRDefault="0025129F" w:rsidP="0025129F">
      <w:pPr>
        <w:pStyle w:val="TextoNormalNegritaCentrado"/>
        <w:keepNext/>
      </w:pPr>
      <w:r>
        <w:lastRenderedPageBreak/>
        <w:t>Voto particular que formula el Magistrado don Pablo Cachón Villar respecto de la Sentencia dictada en el recurso de amparo número 4397/97.</w:t>
      </w:r>
    </w:p>
    <w:p w:rsidR="0025129F" w:rsidRDefault="0025129F" w:rsidP="0025129F">
      <w:pPr>
        <w:pStyle w:val="TextoNormalNegritaCentrado"/>
        <w:keepNext/>
      </w:pPr>
    </w:p>
    <w:p w:rsidR="0025129F" w:rsidRDefault="0025129F" w:rsidP="0025129F">
      <w:pPr>
        <w:pStyle w:val="TextoNormal"/>
      </w:pPr>
      <w:r>
        <w:t>En mi condición de Ponente de la Sentencia expresé el parecer mayoritario de la Sala.  Ahora bien, como no coincido con tal parecer en algunos extremos que estimo de interés, me parece oportuno hacer uso de la facultad reconocida por el art. 90.2 LOTC, exponiendo mi criterio mediante el presente Voto particular, al mismo tiempo que expreso mi respeto a la decisión mayoritaria y a quienes la adoptaron.</w:t>
      </w:r>
    </w:p>
    <w:p w:rsidR="0025129F" w:rsidRDefault="0025129F" w:rsidP="0025129F">
      <w:pPr>
        <w:pStyle w:val="TextoNormal"/>
      </w:pPr>
      <w:r>
        <w:t>1. Mi discrepancia con la Sentencia lo es respecto del segundo apartado de su parte dispositiva y de la doctrina en que se basa, que se expone en el fundamento jurídico sexto.</w:t>
      </w:r>
    </w:p>
    <w:p w:rsidR="0025129F" w:rsidRDefault="0025129F" w:rsidP="0025129F">
      <w:pPr>
        <w:pStyle w:val="TextoNormal"/>
      </w:pPr>
      <w:r>
        <w:t>Es decir, no estoy de acuerdo con la anulación de la Sentencia impugnada (la dictada por la Sección Sexta de la Audiencia Provincial de Barcelona) y consiguiente retroacción de actuaciones (en este caso, al trámite procesal en que se produjo la indefensión de los recurrentes en amparo), ni, en consecuencia, con la doctrina de que, mediando vulneración de derechos fundamentales de naturaleza procesal, cabe la anulación de las sentencias absolutorias dictadas por los órganos judiciales de la jurisdicción penal.</w:t>
      </w:r>
    </w:p>
    <w:p w:rsidR="0025129F" w:rsidRDefault="0025129F" w:rsidP="0025129F">
      <w:pPr>
        <w:pStyle w:val="TextoNormal"/>
      </w:pPr>
      <w:r>
        <w:t>2. El hecho central y fundamental es que en el presente caso la Sentencia contra la que se recurre en amparo es una Sentencia absolutoria que da fin a un proceso penal. Se trata de Sentencia dictada en apelación y firme: como exige el art. 44.1 a) LOTC, contra ella no cabían ya "recursos utilizables dentro de la vía judicial".</w:t>
      </w:r>
    </w:p>
    <w:p w:rsidR="0025129F" w:rsidRDefault="0025129F" w:rsidP="0025129F">
      <w:pPr>
        <w:pStyle w:val="TextoNormal"/>
      </w:pPr>
      <w:r>
        <w:t>Pues bien, entiendo que una sentencia penal absolutoria, firme ya en vía judicial ordinaria, debe en todo caso mantenerse como tal, sin que pueda ser anulada ni siquiera en vía de amparo, sean de naturaleza sustantiva sean de naturaleza procesal los derechos fundamentales cuya vulneración se invoque y se estime en el recurso de amparo. Y ello por las razones que expongo a continuación, estimadas conjuntamente.</w:t>
      </w:r>
    </w:p>
    <w:p w:rsidR="0025129F" w:rsidRDefault="0025129F" w:rsidP="0025129F">
      <w:pPr>
        <w:pStyle w:val="TextoNormal"/>
      </w:pPr>
      <w:r>
        <w:t>En primer lugar, así lo exige, a mi entender, la seguridad jurídica. Quien se halla sometido a un proceso penal en condición de denunciado o querellado, primero, imputado o procesado, después, y acusado, finalmente, debe tener una referencia precisa de la actuación procesal que, en último término, ha de poner fin a tal situación. Estimo que tal referencia no puede ser otra que la del acto judicial con el que concluye la vía procesal penal ante la jurisdicción ordinaria: la sentencia de última instancia o del último grado jurisdiccional. Otra conclusión supone mantener (en un marco temporal de incertidumbre, que puede prolongarse varios años) una situación como la expresada, ciertamente vejatoria en cuanto marcada por el estigma o el desdoro social.</w:t>
      </w:r>
    </w:p>
    <w:p w:rsidR="0025129F" w:rsidRDefault="0025129F" w:rsidP="0025129F">
      <w:pPr>
        <w:pStyle w:val="TextoNormal"/>
      </w:pPr>
      <w:r>
        <w:t>En segundo lugar, entiendo que el sometimiento a un nuevo juicio penal (después de haberse agotado la doble instancia penal de la vía judicial ordinaria) puede ser contrario al derecho a un proceso con todas las garantías (art. 24.2 CE), en la medida en que tal derecho debe comportar la previsibilidad del final del proceso, según los términos antes expuestos.</w:t>
      </w:r>
    </w:p>
    <w:p w:rsidR="0025129F" w:rsidRDefault="0025129F" w:rsidP="0025129F">
      <w:pPr>
        <w:pStyle w:val="TextoNormal"/>
      </w:pPr>
      <w:r>
        <w:t>Por último, los hechos que dan lugar a la anulación de la Sentencia (y consecuente prórroga de dicha situación de incertidumbre, al acordarse la retroacción de las actuaciones) no tienen su causa en el propio interesado (acusado y luego absuelto) sino en el error o la inoperancia de los órganos del Estado (los órganos jurisdiccionales), al ser un acto judicial, en este caso la omisión de respuesta a la petición de prueba, el causante de la vulneración del derecho fundamental invocado.</w:t>
      </w:r>
    </w:p>
    <w:p w:rsidR="0025129F" w:rsidRDefault="0025129F" w:rsidP="0025129F">
      <w:pPr>
        <w:pStyle w:val="TextoNormal"/>
      </w:pPr>
      <w:r>
        <w:t xml:space="preserve">3. Las consideraciones precedentes no excluyen la estimación del recurso de amparo.  Ahora bien, tal estimación ha de tener exclusivamente carácter declarativo, mediante el </w:t>
      </w:r>
      <w:r>
        <w:lastRenderedPageBreak/>
        <w:t>reconocimiento del derecho o de la libertad pública cuya lesión haya motivado la demanda de amparo, pronunciamiento expresamente previsto en el art. 55.1 b) LOTC.</w:t>
      </w:r>
    </w:p>
    <w:p w:rsidR="0025129F" w:rsidRDefault="0025129F" w:rsidP="0025129F">
      <w:pPr>
        <w:pStyle w:val="TextoNormal"/>
      </w:pPr>
      <w:r>
        <w:t>Dicho pronunciamiento no tiene un carácter meramente formal, sino que también genera efectos jurídico-materiales: en primer término, constituye en sí mismo la reparación del derecho fundamental vulnerado, proporcionándose a los recurrentes una efectiva reparación moral; en segundo término, como efecto potencial, constituye un título válido para ejercitar una acción de responsabilidad patrimonial contra el Estado por anormal funcionamiento de la Administración de Justicia (STC 218/1997, de 4 de diciembre, FJ 2, y STC 21/2000, de 31 de enero, FJ 2).</w:t>
      </w:r>
    </w:p>
    <w:p w:rsidR="0025129F" w:rsidRDefault="0025129F" w:rsidP="0025129F">
      <w:pPr>
        <w:pStyle w:val="TextoNormal"/>
      </w:pPr>
      <w:r>
        <w:t>4. Así pues, entiendo que debió otorgarse el amparo solamente mediante el pronunciamiento declarativo contenido en el apartado primero de la parte dispositiva de la Sentencia: "Reconocer que la Sentencia de la Sección Sexta de la Audiencia Provincial de Barcelona, de 29 de septiembre de 1997, produjo a los recurrentes en amparo la indefensión proscrita por el art. 24 CE".</w:t>
      </w:r>
    </w:p>
    <w:p w:rsidR="0025129F" w:rsidRDefault="0025129F" w:rsidP="0025129F">
      <w:pPr>
        <w:pStyle w:val="TextoNormal"/>
      </w:pPr>
      <w:r>
        <w:t>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5" w:name="SENTENCIA_2002_82"/>
      <w:r>
        <w:lastRenderedPageBreak/>
        <w:t>SENTENCIA 82/2002, de 22 de abril de 2002</w:t>
      </w:r>
    </w:p>
    <w:bookmarkEnd w:id="85"/>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ECLI:ES:TC:2002:82</w:t>
      </w:r>
    </w:p>
    <w:p w:rsidR="0025129F" w:rsidRDefault="0025129F" w:rsidP="0025129F">
      <w:pPr>
        <w:pStyle w:val="SntesisDescriptiva"/>
      </w:pPr>
    </w:p>
    <w:p w:rsidR="0025129F" w:rsidRDefault="0025129F" w:rsidP="0025129F">
      <w:pPr>
        <w:pStyle w:val="SntesisDescriptiva"/>
      </w:pPr>
      <w:r>
        <w:t>Recurso de amparo 5369/1997. Promovido por don Manuel Ruiz Claros y otro frente a la Sentencia de la Audiencia Provincial de Málaga que revocó su absolución de un delito de contrabando de tabaco, y ordenó nuevo juicio.</w:t>
      </w:r>
    </w:p>
    <w:p w:rsidR="0025129F" w:rsidRDefault="0025129F" w:rsidP="0025129F">
      <w:pPr>
        <w:pStyle w:val="SntesisDescriptiva"/>
      </w:pPr>
    </w:p>
    <w:p w:rsidR="0025129F" w:rsidRDefault="0025129F" w:rsidP="0025129F">
      <w:pPr>
        <w:pStyle w:val="SntesisAnaltica"/>
      </w:pPr>
      <w:r>
        <w:t>Supuesta vulneración de los derechos al secreto de las comunicaciones y a la tutela judicial efectiva (resolución fundada en Derecho): intervención telefónica proporcionada, motivada y controlada (STC 14/2001); ausencia de razonamiento explícito sobre el cumplimiento de los requisitos legales para la entrada y registro en lugar cerrado que no es domicilio.</w:t>
      </w:r>
    </w:p>
    <w:p w:rsidR="0025129F" w:rsidRDefault="0025129F" w:rsidP="0025129F">
      <w:pPr>
        <w:pStyle w:val="SntesisAnaltica"/>
      </w:pPr>
    </w:p>
    <w:p w:rsidR="0025129F" w:rsidRDefault="0025129F" w:rsidP="0025129F">
      <w:pPr>
        <w:pStyle w:val="Extracto"/>
      </w:pPr>
      <w:r>
        <w:t>1.</w:t>
      </w:r>
      <w:r>
        <w:tab/>
        <w:t>Si bien debió ser reputado el trastero de la casa como un lugar cerrado, para cuya entrada y registro es preceptivo el oportuno mandamiento judicial, no puede afirmarse que la ausencia de razonamiento explícito en las resoluciones judiciales sobre la aplicación o inaplicación de determinados preceptos legales implique una absoluta falta de motivación ni defecto tan desmedido como la arbitrariedad, pues la resolución impugnada no cae en el mero voluntarismo judicial ni expresa un proceso deductivo irracional o absurdo [FJ 8].</w:t>
      </w:r>
    </w:p>
    <w:p w:rsidR="0025129F" w:rsidRDefault="0025129F" w:rsidP="0025129F">
      <w:pPr>
        <w:pStyle w:val="Extracto"/>
      </w:pPr>
    </w:p>
    <w:p w:rsidR="0025129F" w:rsidRDefault="0025129F" w:rsidP="0025129F">
      <w:pPr>
        <w:pStyle w:val="Extracto"/>
      </w:pPr>
      <w:r>
        <w:t>2.</w:t>
      </w:r>
      <w:r>
        <w:tab/>
        <w:t>Derecho a la tutela judicial efectiva en la vertiente de derecho a obtener una resolución fundada en Derecho (SSTC 160/1997, 214/1999) [FJ 7].</w:t>
      </w:r>
    </w:p>
    <w:p w:rsidR="0025129F" w:rsidRDefault="0025129F" w:rsidP="0025129F">
      <w:pPr>
        <w:pStyle w:val="Extracto"/>
      </w:pPr>
    </w:p>
    <w:p w:rsidR="0025129F" w:rsidRDefault="0025129F" w:rsidP="0025129F">
      <w:pPr>
        <w:pStyle w:val="Extracto"/>
      </w:pPr>
      <w:r>
        <w:t>3.</w:t>
      </w:r>
      <w:r>
        <w:tab/>
        <w:t>La existencia de una organización de considerables dimensiones dedicada al contrabando de tabaco, y la relevancia de los intereses que con este delito se intentan proteger, nos lleva a considerar proporcionada la intervención acordada por el órgano judicial (STC 202/2001) [FJ 4].</w:t>
      </w:r>
    </w:p>
    <w:p w:rsidR="0025129F" w:rsidRDefault="0025129F" w:rsidP="0025129F">
      <w:pPr>
        <w:pStyle w:val="Extracto"/>
      </w:pPr>
    </w:p>
    <w:p w:rsidR="0025129F" w:rsidRDefault="0025129F" w:rsidP="0025129F">
      <w:pPr>
        <w:pStyle w:val="Extracto"/>
      </w:pPr>
      <w:r>
        <w:t>4.</w:t>
      </w:r>
      <w:r>
        <w:tab/>
        <w:t>El Auto de autorización de las intervenciones telefónicas está motivado porque contiene el presupuesto habitante, así como los datos relativos al delito investigado, a los números de los teléfonos intervenidos, a quiénes llevarán a cabo la intervención, y a su duración (SSTC 49/1999) [FJ 5].</w:t>
      </w:r>
    </w:p>
    <w:p w:rsidR="0025129F" w:rsidRDefault="0025129F" w:rsidP="0025129F">
      <w:pPr>
        <w:pStyle w:val="Extracto"/>
      </w:pPr>
    </w:p>
    <w:p w:rsidR="0025129F" w:rsidRDefault="0025129F" w:rsidP="0025129F">
      <w:pPr>
        <w:pStyle w:val="Extracto"/>
      </w:pPr>
      <w:r>
        <w:t>5.</w:t>
      </w:r>
      <w:r>
        <w:tab/>
        <w:t>Tampoco el Auto de prórroga de la intervención telefónica carece de motivación, en tanto el Juez tuvo en cuenta los datos obtenidos en el primer período de intervención (STC 171/1999) [FJ 5].</w:t>
      </w:r>
    </w:p>
    <w:p w:rsidR="0025129F" w:rsidRDefault="0025129F" w:rsidP="0025129F">
      <w:pPr>
        <w:pStyle w:val="Extracto"/>
      </w:pPr>
    </w:p>
    <w:p w:rsidR="0025129F" w:rsidRDefault="0025129F" w:rsidP="0025129F">
      <w:pPr>
        <w:pStyle w:val="Extracto"/>
      </w:pPr>
      <w:r>
        <w:t>6.</w:t>
      </w:r>
      <w:r>
        <w:tab/>
        <w:t>La intervención de las comunicaciones telefónicas sólo puede entenderse constitucionalmente legítima cuando se adopta para la prevención y represión de delitos calificables de infracciones punibles graves y es idónea e imprescindible para la investigación de los mismos (SSTC 49/1999, 14/2001) [FJ 3].</w:t>
      </w:r>
    </w:p>
    <w:p w:rsidR="0025129F" w:rsidRDefault="0025129F" w:rsidP="0025129F">
      <w:pPr>
        <w:pStyle w:val="Extracto"/>
      </w:pPr>
    </w:p>
    <w:p w:rsidR="0025129F" w:rsidRDefault="0025129F" w:rsidP="0025129F">
      <w:pPr>
        <w:pStyle w:val="Extracto"/>
      </w:pPr>
      <w:r>
        <w:lastRenderedPageBreak/>
        <w:t>7.</w:t>
      </w:r>
      <w:r>
        <w:tab/>
        <w:t>Resulta suficiente el control judicial realizado porque se fijaron plazos para la intervención telefónica y el Juez tuvo conocimiento de sus resultados a través de los informes y transcripción parcial de las cintas [FJ 6].</w:t>
      </w:r>
    </w:p>
    <w:p w:rsidR="0025129F" w:rsidRDefault="0025129F" w:rsidP="0025129F">
      <w:pPr>
        <w:pStyle w:val="Extracto"/>
      </w:pPr>
    </w:p>
    <w:p w:rsidR="0025129F" w:rsidRDefault="0025129F" w:rsidP="0025129F">
      <w:pPr>
        <w:pStyle w:val="Extracto"/>
      </w:pPr>
      <w:r>
        <w:t>8.</w:t>
      </w:r>
      <w:r>
        <w:tab/>
        <w:t>Afectan al derecho al proceso con todas las garantías (art. 24.2 CE), las irregularidades en el control judicial cometidas con posterioridad a las intervenciones practicadas, pues dichas irregularidades no tienen lugar durante el acto limitativo del derecho, sino en el momento de incorporación de sus resultados al proceso (SSTC 121/1998, 202/2001) [FJ 6].</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5369/97, promovido por don Manuel Ruiz Claros y don Francisco Vivar Andrades, representados por el Procurador de los Tribunales don Victorio Venturini Medina y asistidos por el Letrado don Manuel José Guerrero Galán, contra la Sentencia de la Audiencia Provincial de Málaga de 28 de noviembre de 1997. Han intervenido el Ministerio Fiscal y el Abogado del Estado. Ha sido Ponente la Magistrada doña María Emilia Casas Baamonde,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22 de diciembre de 1997, don Victorio Venturini Medina, Procurador de los Tribunales, en nombre y representación de don Manuel Ruiz Claros y don Francisco Vivar Andrades, interpuso demanda de amparo contra la Sentencia de la Audiencia Provincial de Málaga de 28 de noviembre de 1997, que revocó la Sentencia absolutoria dictada por el Juzgado de lo Penal núm. 8 de Málaga de 1 de octubre de 1997 y ordenó se dictara un nuevo pronunciamiento, aceptando la licitud de las pruebas declarada en la misma.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y circunstancias procesales relevantes para la resolución del presente amparo son, sucintamente expuestos, los siguientes: </w:t>
      </w:r>
    </w:p>
    <w:p w:rsidR="0025129F" w:rsidRDefault="0025129F" w:rsidP="0025129F">
      <w:pPr>
        <w:pStyle w:val="TextoNormal"/>
      </w:pPr>
      <w:r>
        <w:t>a) En el Juzgado de Instrucción núm. 8 de Málaga se incoaron diligencias previas núm. 5380/96 por presunto delito de contrabando a raíz de las investigaciones realizadas por la Jefatura Provincial de Málaga del Servicio de Vigilancia Aduanera y la solicitud de inter</w:t>
      </w:r>
      <w:r>
        <w:lastRenderedPageBreak/>
        <w:t xml:space="preserve">vención telefónica cursada por este Servicio de 4 de septiembre de 1996. Dicha solicitud es del siguiente tenor literal: </w:t>
      </w:r>
    </w:p>
    <w:p w:rsidR="0025129F" w:rsidRDefault="0025129F" w:rsidP="0025129F">
      <w:pPr>
        <w:pStyle w:val="TextoNormal"/>
      </w:pPr>
      <w:r>
        <w:t xml:space="preserve">"En esta Jefatura Provincial se vienen llevando a cabo investigaciones sobre los conocidos contrabandistas de tabaco Manuel Ruiz Claros, con DNI 25028054 ..., y sobre Francisco Andrades, con DNI 24803316 ... ambos con antecedentes en este Servicio y domiciliados en Málaga capital. </w:t>
      </w:r>
    </w:p>
    <w:p w:rsidR="0025129F" w:rsidRDefault="0025129F" w:rsidP="0025129F">
      <w:pPr>
        <w:pStyle w:val="TextoNormal"/>
      </w:pPr>
      <w:r>
        <w:t xml:space="preserve">Se deriva de estas investigaciones que en la actualidad ambos contrabandistas están asociados y están recibiendo partidas de tabaco de unas cien cajas (cada caja contiene quinientas cajetillas) de sus proveedores, que son de la provincia de Málaga y de otras provincias limítrofes, para su posterior distribución en partidas más pequeñas. </w:t>
      </w:r>
    </w:p>
    <w:p w:rsidR="0025129F" w:rsidRDefault="0025129F" w:rsidP="0025129F">
      <w:pPr>
        <w:pStyle w:val="TextoNormal"/>
      </w:pPr>
      <w:r>
        <w:t xml:space="preserve">Para realizar sus contractos, tanto para la compra del mencionado tabaco como para su posterior distribución, vienen utilizando, Manuel Ruiz Claros el TMA nº 908 65 16 88 y Francisco Vivar Andrades, el TMA nº 908 65 16 34. </w:t>
      </w:r>
    </w:p>
    <w:p w:rsidR="0025129F" w:rsidRDefault="0025129F" w:rsidP="0025129F">
      <w:pPr>
        <w:pStyle w:val="TextoNormal"/>
      </w:pPr>
      <w:r>
        <w:t xml:space="preserve">Con el fin de continuar las investigaciones sería fundamental poder intervenir los mencionados teléfonos móviles, por lo que se solicita a V.I., si lo estima oportuno. La intervención de los referidos teléfonos, que de concederla sería llevada a cabo por funcionarios de esta Jefatura Provincial, dando puntual cuenta de los resultados de dichas investigaciones a este Juzgado. </w:t>
      </w:r>
    </w:p>
    <w:p w:rsidR="0025129F" w:rsidRDefault="0025129F" w:rsidP="0025129F">
      <w:pPr>
        <w:pStyle w:val="TextoNormal"/>
      </w:pPr>
      <w:r>
        <w:t xml:space="preserve">Igualmente sería de interés para la investigación la relación de llamadas y titulares efectuadas por dichos teléfonos móviles durante el tiempo que durase la intervención, por lo que le solicito, si lo estima oportuno, autorice a la Compañía Telefónica a facilitar a este Servicio dicha relación de llamadas." </w:t>
      </w:r>
    </w:p>
    <w:p w:rsidR="0025129F" w:rsidRDefault="0025129F" w:rsidP="0025129F">
      <w:pPr>
        <w:pStyle w:val="TextoNormal"/>
      </w:pPr>
      <w:r>
        <w:t xml:space="preserve">b) El Juzgado de Instrucción núm. 8 de Málaga en Auto de 4 de septiembre de 1996 denegó la solicitud de intervención telefónica de los teléfonos móviles solicitada "teniendo en cuenta la entidad del hecho y la proporcionalidad del mismo con el derecho fundamental del secreto de las comunicaciones y dado que en el escrito presentado no se justifica suficientemente los indicios de participación en los hechos de las personas titulares de los teléfonos". No obstante, se acordó acceder a la solicitud de instar de la Compañía Telefónica la relación de llamadas realizadas durante el mes de agosto, "diligencia ésta que servirá de inicio y que podrá conducir a obtener otras pruebas o indicios que permitan, si acaso, la intervención telefónica u otras medidas convenientes". </w:t>
      </w:r>
    </w:p>
    <w:p w:rsidR="0025129F" w:rsidRDefault="0025129F" w:rsidP="0025129F">
      <w:pPr>
        <w:pStyle w:val="TextoNormal"/>
      </w:pPr>
      <w:r>
        <w:t xml:space="preserve">c) El 16 de septiembre de 1996 el Servicio de Vigilancia Aduanera solicitó la intervención de los teléfonos de los domicilios de los recurrentes de amparo adjuntando escrito de ampliación de la investigación realizada sobre las presuntas actividades de contrabando de tabaco de los mismos. En dicho escrito se detalla: </w:t>
      </w:r>
    </w:p>
    <w:p w:rsidR="0025129F" w:rsidRDefault="0025129F" w:rsidP="0025129F">
      <w:pPr>
        <w:pStyle w:val="TextoNormal"/>
      </w:pPr>
      <w:r>
        <w:t xml:space="preserve">"Por funcionarios de esta Jefatura Provincial se han venido llevando a cabo investigaciones sobre los presuntos contrabandistas de tabaco Manuel Ruiz Claros ... y sobre Francisco Vivar Andrades ... y que actualmente se encuentran asociados para la compra y posterior distribución del tabaco de contrabando. </w:t>
      </w:r>
    </w:p>
    <w:p w:rsidR="0025129F" w:rsidRDefault="0025129F" w:rsidP="0025129F">
      <w:pPr>
        <w:pStyle w:val="TextoNormal"/>
      </w:pPr>
      <w:r>
        <w:t xml:space="preserve">Durante el pasado mes de Agosto esta organización ha distribuido entre sus clientes más de quinientas cajas de tabaco de contrabando, cuyo valor oficial de mercado ascendería a la cantidad de setenta y cinco millones de pesetas. </w:t>
      </w:r>
    </w:p>
    <w:p w:rsidR="0025129F" w:rsidRDefault="0025129F" w:rsidP="0025129F">
      <w:pPr>
        <w:pStyle w:val="TextoNormal"/>
      </w:pPr>
      <w:r>
        <w:t xml:space="preserve">El modus operandi de dicha organización es el siguiente: </w:t>
      </w:r>
    </w:p>
    <w:p w:rsidR="0025129F" w:rsidRDefault="0025129F" w:rsidP="0025129F">
      <w:pPr>
        <w:pStyle w:val="TextoNormal"/>
      </w:pPr>
      <w:r>
        <w:t xml:space="preserve">Contactan o se reúnen con sus proveedores de tabaco que son los siguientes, Juan Campaña Gómez (contrabandista de tabaco a gran escala de la localidad de Córdoba y con numerosos antecedentes por delito de esta misma naturaleza) Domingo (igualmente de la localidad de Córdoba y proveedor habitual que les suele suministrar tabaco por cantidades superiores a las cincuenta cajas de tabaco y que en la actualidad viene utilizando el T.M.A. </w:t>
      </w:r>
      <w:r>
        <w:lastRenderedPageBreak/>
        <w:t xml:space="preserve">908 363179). Manolo de Campanillas (en la actualidad el principal proveedor de tabaco de esta organización que suele introducir doscientas cajas de tabaco de contrabando por semana y de las cuales la mitad de la mercancía se las vende directamente a la organización que se viene investigando). </w:t>
      </w:r>
    </w:p>
    <w:p w:rsidR="0025129F" w:rsidRDefault="0025129F" w:rsidP="0025129F">
      <w:pPr>
        <w:pStyle w:val="TextoNormal"/>
      </w:pPr>
      <w:r>
        <w:t xml:space="preserve">Con cada uno de estos proveedores se funciona de una forma diferente, con Juan Campaña una vez que quedan de acuerdo en la cantidad y precio de la mercancía (tabaco) quedan en un lugar determinado y Manuel Ruiz Claros y Francisco Vivar Andrades acuden en una furgoneta para traerse el tabaco (en la actualidad no se conoce la matrícula de la furgoneta en la que van a por el tabaco). Con Domingo una vez acordado la cantidad de tabaco a comprar y el precio del mismo, Domingo con sus propios vehículos (que pudieran ser bien una furgoneta grande o un camión) les trae el tabaco hasta los almacenes que dispone esta organización para guardar el tabaco y posteriormente distribuirlos entre sus clientes. Con Manuel de Campanillas actúan de la siguiente forma, Manuel de Campanilla trae el tabaco de contrabando de cien cajas en cien cajas en un camión matrícula S-6904-L, descargando la mercancía en un almacén que tiene Manolo de Campanillas y del que se conoce la carretera por donde va el vehículo que posteriormente saca el tabaco del almacén. El pasado mes de Agosto se estuvo controlando al vehículo Renault 19 de color rojo matrícula MA-3652-BW (vehículo de alquiler) que era el coche en el que sacaban de nueve en nueve cajas de tabaco, el tabaco que se encontraba en el almacén de Manolo de Campanillas para llevárselo a la organización que se está investigando a su almacén que se encuentra en una cochera de los aparcamientos de varios bloques que se encuentra en c/Goya de Málaga. En uno de los controles que se ... hacia al vehículo antes reseñado, el conductor del mismo se percató de la presencia de los funcionarios y llegó a arrojar tres cajas de tabaco del vehículo. </w:t>
      </w:r>
    </w:p>
    <w:p w:rsidR="0025129F" w:rsidRDefault="0025129F" w:rsidP="0025129F">
      <w:pPr>
        <w:pStyle w:val="TextoNormal"/>
      </w:pPr>
      <w:r>
        <w:t xml:space="preserve">La organización de Manuel Ruiz Claros y Francisco Vivar Andrades aparte del almacén que poseen en c/Goya tienen otros almacenes del que actualmente se desconocen donde pudieran estar. </w:t>
      </w:r>
    </w:p>
    <w:p w:rsidR="0025129F" w:rsidRDefault="0025129F" w:rsidP="0025129F">
      <w:pPr>
        <w:pStyle w:val="TextoNormal"/>
      </w:pPr>
      <w:r>
        <w:t xml:space="preserve">Una vez el tabaco en manos de esta organización [sic] los distribuye entre sus clientes siempre en cantidades inferiores al millón de pesetas para evitar si son cogidos que sea delito de contrabando y pasa a ser una mera infracción de contrabando. </w:t>
      </w:r>
    </w:p>
    <w:p w:rsidR="0025129F" w:rsidRDefault="0025129F" w:rsidP="0025129F">
      <w:pPr>
        <w:pStyle w:val="TextoNormal"/>
      </w:pPr>
      <w:r>
        <w:t xml:space="preserve">Algunos de los vehículos utilizados por esta organización para distribuir el tabaco entre sus clientes son, un Fiat Regata de color azul matrícula MA-1950-AN, un Fiat Croma de color gris oscuro matrícula MA- 6657-AL ". </w:t>
      </w:r>
    </w:p>
    <w:p w:rsidR="0025129F" w:rsidRDefault="0025129F" w:rsidP="0025129F">
      <w:pPr>
        <w:pStyle w:val="TextoNormal"/>
      </w:pPr>
      <w:r>
        <w:t xml:space="preserve">d) El Juzgado de Instrucción acordó la intervención telefónica de los teléfonos solicitados en Auto de 16 de septiembre de 1996, cuyo contenido es el siguiente: </w:t>
      </w:r>
    </w:p>
    <w:p w:rsidR="0025129F" w:rsidRDefault="0025129F" w:rsidP="0025129F">
      <w:pPr>
        <w:pStyle w:val="TextoNormal"/>
      </w:pPr>
      <w:r>
        <w:t xml:space="preserve">"Hechos. Único: que por el Servicio de Vigilancia Aduanera de Málaga se solicita la intervención de los teléfonos fijos 2.325.40.15 y 2.32.35.16, el primero a nombre de Dolores Cortes Flores y usado por su esposo Manuel Ruiz Claros y el último a nombre de Pilar Gonzalez Perez y usado por su esposo Francisco Vivar Andrades, por tener indicios de que están incursos en delito de contrabando, ampliando anterior solicitud y explicando las investigaciones llevadas a cabo. </w:t>
      </w:r>
    </w:p>
    <w:p w:rsidR="0025129F" w:rsidRDefault="0025129F" w:rsidP="0025129F">
      <w:pPr>
        <w:pStyle w:val="TextoNormal"/>
      </w:pPr>
      <w:r>
        <w:t xml:space="preserve">Razonamientos jurídicos. Único: A la vista del informe ampliando la anterior solicitud y las investigaciones llevadas a cabo por el Servicio de Vigilancia Aduanera, se estima pertinente, como medio de investigación del delito y al existir indicios de que la intervención de los teléfonos de tipo fijo aludidos puede servir para la comprobación del ilícito penal, procede acceder a la misma, por el tiempo de un mes a tenor de lo prevenido en el art. 579 L.E.Cr. </w:t>
      </w:r>
    </w:p>
    <w:p w:rsidR="0025129F" w:rsidRDefault="0025129F" w:rsidP="0025129F">
      <w:pPr>
        <w:pStyle w:val="TextoNormal"/>
      </w:pPr>
      <w:r>
        <w:t xml:space="preserve">Vistas las normas del Titulo VIII, Libro II, de la L.E.Cr.,". </w:t>
      </w:r>
    </w:p>
    <w:p w:rsidR="0025129F" w:rsidRDefault="0025129F" w:rsidP="0025129F">
      <w:pPr>
        <w:pStyle w:val="TextoNormal"/>
      </w:pPr>
      <w:r>
        <w:lastRenderedPageBreak/>
        <w:t xml:space="preserve">e) El 20 de septiembre de 1996 el Servicio de Vigilancia Aduanera solicitó nuevamente la intervención de los teléfonos móviles números 908651688 y 908651634 utilizados por los investigados, argumentado que, por las intervenciones telefónicas acordadas, se comprueba que reciben muchas llamadas de personas, pero que al no estar en su domicilio, quienes cogen el teléfono les remiten a sus teléfonos móviles, razón por la cual se considera necesaria la intervención de los móviles y que la compañía Sistema de Móviles S.A. facilite al Servicio de Vigilancia Aduanera la relación de llamadas y titulares de los teléfonos marcados mientras dure la intervención. El Juzgado de Instrucción accedió a las dos peticiones solicitadas en Auto de 20 de septiembre de 1996, con remisión expresa al escrito del Servicio de Vigilancia Aduanera. </w:t>
      </w:r>
    </w:p>
    <w:p w:rsidR="0025129F" w:rsidRDefault="0025129F" w:rsidP="0025129F">
      <w:pPr>
        <w:pStyle w:val="TextoNormal"/>
      </w:pPr>
      <w:r>
        <w:t xml:space="preserve">"En relación a las Diligencias Previas número 5380/96 de ese Juzgado de Instrucción, por las cuales se vienen llevando a cabo investigaciones sobre la organización de contrabandistas compuesta por los vecinos de Málaga Manuel Ruiz Claros y Francisco Vivar Andrades. </w:t>
      </w:r>
    </w:p>
    <w:p w:rsidR="0025129F" w:rsidRDefault="0025129F" w:rsidP="0025129F">
      <w:pPr>
        <w:pStyle w:val="TextoNormal"/>
      </w:pPr>
      <w:r>
        <w:t xml:space="preserve">Desde el día 18.9.96 se tienen intervenido los teléfonos fijos núm. 2.32.35.16 instalado en c/Betsaida núm. 2-1-cº (utilizado por Francisco Vivar Andrades) y el teléfono 2.35.40.15 instalado en c/Almogia núm. 1 1- A (utilizado por Manuel Ruiz Claros), por dichas intervenciones se puede comprobar claramente que la actividad que vienen desarrollando ambos vecinos de Málaga es la de contrabando de tabaco; e igualmente se puede comprobar que en la mayoría de los casos estas personas no suelen estar en sus domicilio y las personas que llaman a que realicen sus contactos con Manuel Ruiz Claros y Francisco Vivar Andrades a los teléfonos móviles que ambos vienen utilizando. </w:t>
      </w:r>
    </w:p>
    <w:p w:rsidR="0025129F" w:rsidRDefault="0025129F" w:rsidP="0025129F">
      <w:pPr>
        <w:pStyle w:val="TextoNormal"/>
      </w:pPr>
      <w:r>
        <w:t xml:space="preserve">Por todo lo expuesto y como se explica en el informe remitido a ese Juzgado el pasado día 16.9.96, para poder continuar con las investigaciones sería necesario poder intervenir los teléfonos móviles que ambos vienen utilizando, el 908 651688 (utilizado por Manuel Ruiz Claros) y el 908 651634 (utilizado por Francisco Vivar Andrades); y es que por lo que se solicita a V.I., por si lo estima oportuno, la intervención de los dos teléfonos móviles antes reseñados, que de concederla sería llevado a cabo por funcionarios de esta Jefatura Provincial, dando puntual cuenta de los resultados de las investigaciones a ese Juzgado. </w:t>
      </w:r>
    </w:p>
    <w:p w:rsidR="0025129F" w:rsidRDefault="0025129F" w:rsidP="0025129F">
      <w:pPr>
        <w:pStyle w:val="TextoNormal"/>
      </w:pPr>
      <w:r>
        <w:t xml:space="preserve">Igualmente sería de interés para las investigaciones que V.I. autorice a Sistemas Móviles S.A. a que facilite a este Servicio la relación de llamadas y titulares de los teléfonos marcados mientras durase la intervención de dichos T.M.A. </w:t>
      </w:r>
    </w:p>
    <w:p w:rsidR="0025129F" w:rsidRDefault="0025129F" w:rsidP="0025129F">
      <w:pPr>
        <w:pStyle w:val="TextoNormal"/>
      </w:pPr>
      <w:r>
        <w:t xml:space="preserve">Actualmente y según las conversaciones que mantienen por los teléfonos intervenidos están tratando de comprar una cantidad de tabaco (no han reseñado la cantidad por los teléfonos) y posiblemente en la provincia de Córdoba." </w:t>
      </w:r>
    </w:p>
    <w:p w:rsidR="0025129F" w:rsidRDefault="0025129F" w:rsidP="0025129F">
      <w:pPr>
        <w:pStyle w:val="TextoNormal"/>
      </w:pPr>
      <w:r>
        <w:t xml:space="preserve">"Hechos. Primero: Que en el escrito que antecede, del Servicio de Vigilancia Aduanera se interesa la intervención de los T.M.A. número 908 651688 y 908 651634, utilizados, respectivamente, por Manuel Ruiz Claros y Francisco Vivar Andrades, para los efectos relacionados con la investigación ordenada sobre la existencia de un posible delito contrabando. </w:t>
      </w:r>
    </w:p>
    <w:p w:rsidR="0025129F" w:rsidRDefault="0025129F" w:rsidP="0025129F">
      <w:pPr>
        <w:pStyle w:val="TextoNormal"/>
      </w:pPr>
      <w:r>
        <w:t xml:space="preserve">Razonamientos jurídicos. Primero.- Se estima pertinente, a los fines de la investigación del delito objeto de las presentes actuaciones, acceder a lo pedido y decretar la intervención del teléfono aludido por el plazo de un mes, a tenor de lo que previenen los preceptos legales del Título VIII del Libro II de la Ley de Enjuiciamiento Criminal." </w:t>
      </w:r>
    </w:p>
    <w:p w:rsidR="0025129F" w:rsidRDefault="0025129F" w:rsidP="0025129F">
      <w:pPr>
        <w:pStyle w:val="TextoNormal"/>
      </w:pPr>
      <w:r>
        <w:t xml:space="preserve">f) En escrito de 15 de octubre de 1996, el Servicio de Vigilancia Aduanera solicitó la prórroga de los cuatro teléfonos intervenidos, así como autorización para que la compañía Sistemas de Móviles S.A. facilitase la relación de llamadas y titulares de los teléfonos marcadas a través de los móviles intervenidos, durante el tiempo de su intervención. A </w:t>
      </w:r>
      <w:r>
        <w:lastRenderedPageBreak/>
        <w:t xml:space="preserve">dicha solicitud se adjunta informe detallado de cinco páginas -folios 19 a 23-, en el que se exponen las informaciones más relevantes sobre las actividades de contrabando de tabaco obtenidas a través de las investigaciones y de las intervenciones telefónicas, con especificación del número de las cintas y los pasos de las mismas. El citado informe finaliza con una estimación aproximada del volumen de las operaciones realizadas y de la posibilidad de recibir en días próximos cuarenta cajas de tabaco ofrecidas por una persona, conocido contrabandista y del que se sospecha es distribuidor de los investigados. Se adjunta asimismo la transcripción de las conversaciones más relevantes de las cintas grabadas -folios 24 a 71-. El Juzgado de Instrucción accedió a dichas peticiones en Auto de 15 de septiembre de 1996, con remisión expresa al escrito del Servicio de Vigilancia Aduanera. </w:t>
      </w:r>
    </w:p>
    <w:p w:rsidR="0025129F" w:rsidRDefault="0025129F" w:rsidP="0025129F">
      <w:pPr>
        <w:pStyle w:val="TextoNormal"/>
      </w:pPr>
      <w:r>
        <w:t xml:space="preserve">g) Según consta en el atestado y en la relación de hechos probados de la Sentencia del Juzgado de lo Penal núm. 8 de Málaga de 1 de octubre de 1997, hacia las 23:30 horas del día 28 de octubre de 1996 don Manuel Ruiz Claros se dirigió junto con don Francisco Vivar Andrades, a bordo del vehículo marca Fiat Regata matrícula B-6118- BJ, a la calle Alcalde Díaz Zafra de Málaga a la puerta del garaje existente en los bajos del bloque 39, edificio don Salvador, bloque A. En este lugar, se bajó uno de ellos y abrió la puerta del mismo, introduciéndose ambos en el garaje y saliendo nuevamente cerrando la puerta. En dicho vehículo fueron interceptados a escasa distancia del lugar por Agentes del Servicio de Vigilancia Aduanera, que tenían montado un servicio de seguimiento y vigilancia sobre los acusados, incautándose 2.000 cajetillas de tabaco Winston americano y 1.000 cajetillas de la marca Marlboro que se encontraron en el turismo y que carecían de las precintas reglamentarias acreditativas de su legal importación en España, de cualquier otra marca que justifique su legal tenencia y de las que deben llevar los cigarrillos fabricados y recibidos en el ámbito comunitario. Posteriormente, los funcionarios regresaron al garaje con los acusados y al no encontrar nada se marcharon al garaje de la casa de Manuel Ruiz Claros, donde tampoco encontraron nada, y desde allí a las dependencias de la Agencia Tributaria. Tales Agentes volvieron una vez más, en compañía de los acusados, al garaje de la calle Alcalde Díaz Zafra, y al llegar encontraron a otros Agentes del Servicio que se habían quedado realizando la inspección, que habían abierto la puerta metálica corredera del trastero número 21, en el que habían encontrado 5.500 cajetillas de tabaco rubio americano, sin que contaran para ello con el consentimiento de los acusados, ni tampoco con mandamiento judicial que autorizara tal registro. Las cajetillas encontradas carecían también de las precintas y marcas necesarias para su legal tenencia en España. El trastero en el que se encontraron las cajetillas lo poseía Manuel Ruiz Claros en régimen de alquiler y estaba ubicado en el garaje citado al que sólo podían acceder las personas titulares de las plazas de garaje. </w:t>
      </w:r>
    </w:p>
    <w:p w:rsidR="0025129F" w:rsidRDefault="0025129F" w:rsidP="0025129F">
      <w:pPr>
        <w:pStyle w:val="TextoNormal"/>
      </w:pPr>
      <w:r>
        <w:t>h) El Juzgado de lo Penal núm. 8 de Málaga, en Sentencia de 1 de octubre de 1997, absolvió a los acusados y hoy recurrentes de amparo del delito de contrabando de los arts. 2.1.d y 2.3.b de la Ley Orgánica 12/1995, de 12 de diciembre, de los que habían sido acusados, acogiendo la tesis de las defensas relativa a la inexistencia de prueba de cargo válida para enervar la presunción de inocencia. De un lado, se sostiene que los Autos de autorización y prórroga de las intervenciones telefónicas no estarían motivados al no haberse ponderado la proporcionalidad y el carácter imprescindible de la medida, así como que las mismas no se habrían realizado con un control judicial efectivo, pues las cintas y sus transcripciones se habrían entregado en el Juzgado el 31 de octubre de 1996, después de haberse dictado la prórroga. De otro, se argumenta que el trastero en el que se encontraron las cajetillas es un lugar cerrado, de modo que, de acuerdo con los arts. 546, 547 y concordantes LECrim., su entrada y registro requiere el oportuno mandamiento judicial o con</w:t>
      </w:r>
      <w:r>
        <w:lastRenderedPageBreak/>
        <w:t xml:space="preserve">sentimiento de su titular. Ante la falta de cualquiera de ambos títulos habilitantes el Juzgado considera nulo el registro y entiende que carece de forma absoluta de validez como prueba, de conformidad con el art. 11 LOPJ. </w:t>
      </w:r>
    </w:p>
    <w:p w:rsidR="0025129F" w:rsidRDefault="0025129F" w:rsidP="0025129F">
      <w:pPr>
        <w:pStyle w:val="TextoNormal"/>
      </w:pPr>
      <w:r>
        <w:t xml:space="preserve">i) El Abogado del Estado recurrió la Sentencia en apelación alegando que no concurrían los motivos de nulidad de la prueba acogidos en la misma. La Sección Segunda de la Audiencia Provincial de Málaga, en Sentencia de 28 de noviembre de 1997, estimó parcialmente el recurso de apelación del Abogado del Estado, declarando la nulidad de la Sentencia recurrida y ordenando se dictara un nuevo pronunciamiento "sin necesidad de la celebración de nuevo juicio y aceptando la licitud de las pruebas". El fundamento de esta resolución reside, en primer término, con abundante cita de jurisprudencia del Tribunal Supremo, en la suficiencia de la motivación de las resoluciones judiciales que autorizaron las intervenciones y sus prórrogas, en su integración con las solicitudes a las que se remiten, y en la irrelevancia de las irregularidades cometidas en la ejecución de la medida, como la falta de entrega de las cintas originales o la extemporaneidad de su remisión. De otra parte, la resolución se asienta en la licitud de la entrada y registro en el trastero núm. 21 del garaje citado, pues, según reiterada doctrina del Tribunal Supremo, los trasteros de las viviendas no constituyen parte de las mismas o espacios destinados a la habitación de las personas, "por lo que no puede extenderse a ellos la protección constitucional ni por ende serles de aplicación las normas procesales reguladoras de las garantías que han de observarse en la práctica de las diligencias de entrada y registro en el domicilio de los particulares". Por ello, estima parcialmente el recurso y en aras de garantizar el derecho a la doble instancia, ordena la retroacción al Juzgado de lo Penal. </w:t>
      </w:r>
    </w:p>
    <w:p w:rsidR="0025129F" w:rsidRDefault="0025129F" w:rsidP="0025129F">
      <w:pPr>
        <w:pStyle w:val="TextoNormal"/>
      </w:pPr>
      <w:r>
        <w:t>j) El recurso de amparo se interpuso contra esta Sentencia. Con posterioridad, el Juzgado de lo Penal, en cumplimiento de lo ordenado, dictó la Sentencia de 25 de junio de 1999 en la que condenó a los recurrentes como autores del delito de contrabando. A don Manuel Ruiz Claros, apreciando la circunstancia agravante de reincidencia, le condenó a la pena de un año y diez meses de prisión, y a don Francisco Vivar Andrades a la pena de seis meses de prisión, así como a ambos a la multa de ocho millones setecientas mil pesetas, y a indemnizar conjuntamente al Estado en setenta y siete millones setecientas mil ochocientas dos pesetas, importe del valor de la cuota tributaria dejada de ingresar. Sentencia confirmada por la de la Audiencia Provincial de Málaga de 5 de noviembre de 1999, no impugnada, como tampoco aquella condenatoria primera, en amparo.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Los demandantes de amparo alegan la vulneración del derecho al secreto de las comunicaciones telefónicas (art. 18.3 CE), del derecho a la tutela judicial efectiva (art. 24.1 CE) y del derecho a la presunción de inocencia (art. 24.2 CE). </w:t>
      </w:r>
    </w:p>
    <w:p w:rsidR="0025129F" w:rsidRDefault="0025129F" w:rsidP="0025129F">
      <w:pPr>
        <w:pStyle w:val="TextoNormal"/>
      </w:pPr>
      <w:r>
        <w:t xml:space="preserve">a) La lesión del derecho al secreto de las comunicaciones se sustenta, de un lado, en la falta de proporcionalidad de la medida, pues el sacrificio del derecho sólo resultaría justificado para la averiguación de delitos graves y el delito investigado, contrabando, no podría considerarse grave, ni en atención a la pena prevista al mismo - prisión de seis meses a tres años-, conforme a la cual ha de considerarse menos grave -art. 33 CP-, ni en atención a la alarma social que genera, que es escasa, ni, por último, desde un punto de vista criminológico o social. En el mismo orden de consideraciones se sostiene que la medida no era imprescindible, ya que la investigación realizada por el Servicio de Vigilancia Aduanera habría aportado el conocimiento de todas las circunstancias del delito -con independencia de que se niegue su veracidad. </w:t>
      </w:r>
    </w:p>
    <w:p w:rsidR="0025129F" w:rsidRDefault="0025129F" w:rsidP="0025129F">
      <w:pPr>
        <w:pStyle w:val="TextoNormal"/>
      </w:pPr>
      <w:r>
        <w:lastRenderedPageBreak/>
        <w:t xml:space="preserve">De otra parte, se razona la falta de motivación de los Autos de autorización y prórroga de las intervenciones telefónicas, tanto de los teléfonos fijos como móviles, por ser Autos genéricos, estereotipados y sin razonamientos referidos al caso concreto. </w:t>
      </w:r>
    </w:p>
    <w:p w:rsidR="0025129F" w:rsidRDefault="0025129F" w:rsidP="0025129F">
      <w:pPr>
        <w:pStyle w:val="TextoNormal"/>
      </w:pPr>
      <w:r>
        <w:t xml:space="preserve">Finalmente, se argumenta la falta de control judicial de la medida, pues la transcripción de las cintas no es literal, ni en su integridad, ya que se seleccionaron los pasajes, y, por cuanto las cintas originales no se entregaron al Juzgado, parcialmente, hasta el 31 de octubre de 1996, y hasta el 20 de noviembre de 1996; en todo caso, dicha entrega se efectuó con posterioridad al momento en que se dictaron los Autos de 20 de septiembre y de 15 de octubre de 1996, de manera que el Juez de Instrucción no tuvo en cuenta las cintas al valorar la conveniencia de continuar la intervención telefónica. </w:t>
      </w:r>
    </w:p>
    <w:p w:rsidR="0025129F" w:rsidRDefault="0025129F" w:rsidP="0025129F">
      <w:pPr>
        <w:pStyle w:val="TextoNormal"/>
      </w:pPr>
      <w:r>
        <w:t xml:space="preserve">b) La lesión de los derechos a la tutela judicial efectiva (art. 24.1 CE) y a la presunción de inocencia (art. 24.2 CE) en relación con el registro realizado en el trastero citado en los antecedentes, se habría producido al infringir las normas de la Ley de Enjuiciamiento Criminal (arts. 545 y ss.) que regulan los registros no sólo de los domicilios, sino de lugares cerrados no constitutivos de domicilio que se consideran edificios o lugares públicos (art. 547.3) y preceptúan la necesidad de que los mismos se realicen con autorización judicial (art. 546) y en presencia de los procesados y del Secretario judicial (art. 569). Se cita jurisprudencia del Tribunal Supremo que señala que, aunque a los efectos de la protección de art. 18.2 CE, el trastero de una casa no es un domicilio, sin embargo, como se deduce de los arts. 547.3, 569 en relación con los arts. 567 y 568 LECrim, la ley sí exige que el registro se realice en presencia del interesado o de la persona que legítimamente le represente, de modo que su ausencia determina una infracción procesal. Dichas infracciones procesales determinarían la nulidad de la prueba practicada en aplicación de los arts. 11.1 y 238.3 LOPJ. </w:t>
      </w:r>
    </w:p>
    <w:p w:rsidR="0025129F" w:rsidRDefault="0025129F" w:rsidP="0025129F">
      <w:pPr>
        <w:pStyle w:val="TextoNormal"/>
      </w:pPr>
      <w:r>
        <w:t xml:space="preserve">Como derivación de lo anterior se habría ocasionado la lesión del derecho a la presunción de inocencia al impedirse a los interesados, privados de libertad, presenciar el registro y no darles ocasión para nombrar representante, afectándose su facultad de contradicción y menoscabándose sus posibilidades de defensa; por consiguiente, la ilicitud de la diligencia determina que su resultado no pueda ser utilizado como prueba de cargo. </w:t>
      </w:r>
    </w:p>
    <w:p w:rsidR="0025129F" w:rsidRDefault="0025129F" w:rsidP="0025129F">
      <w:pPr>
        <w:pStyle w:val="TextoNormal"/>
      </w:pPr>
      <w:r>
        <w:t>También se habría vulnerado el derecho a la tutela judicial efectiva (art. 24.1 CE) en cuanto al derecho a una resolución motivada y fundada, al no aplicarse las citadas normas de la Ley de Enjuiciamiento Criminal, ya que este derecho se conculca cuando la decisión sea arbitraria o irrazonable. En el caso se sostiene que la resolución no puede considerarse fundada en Derecho por cuanto ignorar totalmente las normas aplicables al caso "supone una aplicación de la legalidad arbitraria".</w:t>
      </w:r>
    </w:p>
    <w:p w:rsidR="0025129F" w:rsidRDefault="0025129F" w:rsidP="0025129F">
      <w:pPr>
        <w:pStyle w:val="TextoNormal"/>
      </w:pPr>
    </w:p>
    <w:p w:rsidR="0025129F" w:rsidRDefault="0025129F" w:rsidP="0025129F">
      <w:pPr>
        <w:pStyle w:val="TextoNormal"/>
      </w:pPr>
      <w:r w:rsidRPr="0025129F">
        <w:rPr>
          <w:rStyle w:val="NumeroAFNegritaCaracter"/>
        </w:rPr>
        <w:t>4</w:t>
      </w:r>
      <w:r>
        <w:t>. En escrito de 16 de febrero de 1998, la representación legal de don Manuel Ruiz Claros interesó la suspensión de la ejecución de la Sentencia recurrida en amparo. A 15 de febrero de 2000 se tiene por recibido escrito de la misma representación reiterando la petición de suspensión y adjuntando la Sentencia condenatoria dictada por el Juzgado de lo Penal núm. 8 de Málaga de 25 de junio de 1999 y providencia de 2 de febrero de 2000 del mismo Juzgado acordando el cumplimiento de la pena impuesta a don Manuel Ruiz Claros y remisión de la misma al Ministerio Fiscal para que informe sobre la suspensión condicional de la condena impuesta a don Francisco Vivar Andrades.</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diligencia de ordenación de la Secretaria de la Sala Primera de 11 de septiembre de 2000, se acordó, de conformidad con el art. 88 LOTC, requerir a la Audiencia Provincial de Málaga y al Juzgado de lo Penal núm. 8 de la misma ciudad para que, en el plazo </w:t>
      </w:r>
      <w:r>
        <w:lastRenderedPageBreak/>
        <w:t>de diez días, remitieran respectivamente testimonio del rollo de Sala núm. 956/97 y procedimiento abreviado núm. 238/97.</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29 de octubre de 2001, la Sección Segunda, tras recibir las actuaciones el 28 de octubre de 2000, acordó la admisión a trámite de la demanda de amparo y a tenor de lo dispuesto en el art. 51 LOTC, requerir al Juzgado de lo Penal núm. 8 de Málaga para que en el plazo de diez días se emplazare a quienes fueron parte en el procedimiento abreviado núm. 238/97, con excepción del recurrente en amparo, para que en el plazo de diez días pudieran comparecer en el presente proceso de amparo. Se acordó igualmente abrir pieza separada de suspensión.</w:t>
      </w:r>
    </w:p>
    <w:p w:rsidR="0025129F" w:rsidRDefault="0025129F" w:rsidP="0025129F">
      <w:pPr>
        <w:pStyle w:val="TextoNormal"/>
      </w:pPr>
    </w:p>
    <w:p w:rsidR="0025129F" w:rsidRDefault="0025129F" w:rsidP="0025129F">
      <w:pPr>
        <w:pStyle w:val="TextoNormal"/>
      </w:pPr>
      <w:r w:rsidRPr="0025129F">
        <w:rPr>
          <w:rStyle w:val="NumeroAFNegritaCaracter"/>
        </w:rPr>
        <w:t>7</w:t>
      </w:r>
      <w:r>
        <w:t>. Por Auto de la Sala Primera de 27 de noviembre de 2001, se acordó la suspensión de la ejecución de la Sentencia de la Audiencia Provincial de Málaga de 28 de noviembre de 1997 en el rollo núm. 956/97 y de las resoluciones dictadas en ejecución de la misma, Sentencia de 25 de junio de 1999 del Juzgado de lo Penal núm. 8 y Sentencia de 5 de noviembre de 1999 de la Sección Segunda de la Audiencia Provincial de Málaga, exclusivamente en lo que se refiere a las penas privativas de libertad impuestas a los demandantes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En diligencia de ordenación de la Secretaría de la Sala Primera de 5 de diciembre de 2001 se tuvo por personado y parte al Abogado del Estado en la representación ostentada y, a tenor de lo dispuesto en el art. 52 LOTC, se acordó dar vista de las actuaciones a las partes personadas, por plazo común de veinte días, para que en dicho plazo efectuaren las alegaciones que estimaren pertinentes sobre la demanda de amparo.</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En escrito de 11 de enero de 2002, el Abogado del Estado en interés de la Administración General del Estado efectuó las alegaciones interesando la desestimación de la demanda de amparo. Comienza el escrito argumentado que, aunque se aceptara la fundamentación de la demanda, no se podría acoger la petición relativa a que se declarase ajustada a Derecho la Sentencia absolutoria del Juzgado, por cuanto dicho pronunciamiento excedería de las competencias de este Tribunal y con el mismo se privaría al Estado del derecho al recurso. </w:t>
      </w:r>
    </w:p>
    <w:p w:rsidR="0025129F" w:rsidRDefault="0025129F" w:rsidP="0025129F">
      <w:pPr>
        <w:pStyle w:val="TextoNormal"/>
      </w:pPr>
      <w:r>
        <w:t xml:space="preserve">a) En relación con las lesiones relativas a los derechos a la tutela judicial efectiva y a la presunción de inocencia, se sostiene que, si bien es cierto que la STC 171/1999, afirma que un garaje y trastero constituye domicilio, sin embargo, dicha declaración no se atempera con la doctrina de otras resoluciones (SSTC 69/1999 y 283/2000). Además, se advierte que el trastero se abrió con un llavero que los propios actores facilitaron (folio 88) y que, en todo caso, ni la demanda de amparo está fundamentada en la lesión del derecho a la inviolabilidad del domicilio, no debiendo reconstruirse ni alterar de oficio la causa de pedir, ni se invocó dicha infracción en la vía judicial previa. </w:t>
      </w:r>
    </w:p>
    <w:p w:rsidR="0025129F" w:rsidRDefault="0025129F" w:rsidP="0025129F">
      <w:pPr>
        <w:pStyle w:val="TextoNormal"/>
      </w:pPr>
      <w:r>
        <w:t xml:space="preserve">De otra parte, se razona que no puede reprocharse a la Sentencia de la Sala de apelación la violación del derecho a la presunción de inocencia, pues, para que dicha lesión pudiera entenderse actual y efectivamente ocurrida, sería menester una Sentencia penal condenatoria y la Sentencia recurrida carece de dicha naturaleza. </w:t>
      </w:r>
    </w:p>
    <w:p w:rsidR="0025129F" w:rsidRDefault="0025129F" w:rsidP="0025129F">
      <w:pPr>
        <w:pStyle w:val="TextoNormal"/>
      </w:pPr>
      <w:r>
        <w:t xml:space="preserve">En cuanto a las infracciones de la legalidad procesal en el registro denunciadas su examen quedaría fuera de la jurisdicción constitucional de amparo y aunque se aceptara dialécticamente su relevancia en el marco del derecho al proceso con todas las garantías (art. </w:t>
      </w:r>
      <w:r>
        <w:lastRenderedPageBreak/>
        <w:t xml:space="preserve">24.2 CE) el amparo sería prematuro, pues tampoco se actualizaría su lesión hasta que se dictara una Sentencia condenatoria. </w:t>
      </w:r>
    </w:p>
    <w:p w:rsidR="0025129F" w:rsidRDefault="0025129F" w:rsidP="0025129F">
      <w:pPr>
        <w:pStyle w:val="TextoNormal"/>
      </w:pPr>
      <w:r>
        <w:t xml:space="preserve">b) En cuanto a la vulneración del derecho al secreto de las comunicaciones (art. 18.3 CE), aduce el Abogado del Estado, de un lado, en lo que se refiere a la falta de proporcionalidad de la medida dado que el delito de contrabando no sería un delito grave, que, de acuerdo con la jurisprudencia constitucional (SSTC 229/2000, FJ 2; 14/2001, FJ 3; 202/201, FJ 3), la gravedad del delito no se determina sólo en atención a la pena, sino al bien jurídico protegido, a la relevancia social de la actividad, así como al elemento de que sean organizaciones complejas las que se dedican a la misma. De modo que en atención a estos criterios habría de considerarse el delito de contrabando como grave. </w:t>
      </w:r>
    </w:p>
    <w:p w:rsidR="0025129F" w:rsidRDefault="0025129F" w:rsidP="0025129F">
      <w:pPr>
        <w:pStyle w:val="TextoNormal"/>
      </w:pPr>
      <w:r>
        <w:t xml:space="preserve">Respecto de la proporcionalidad de los Autos de intervención telefónica, sostiene el Abogado del Estado que, si bien en un primer momento se denegó la medida por entenderse que los datos aportados por el Servicio de Vigilancia Aduanera no eran suficientes, éste aportó un informe complementario detallado -el 16 de septiembre de 1996- en el se contienen datos suficientes sobre los indicios de la participación en el delito de los titulares de los teléfonos, remitiéndose el Auto de autorización del Juzgado a dicho informe. Se afirma, además, que la finalidad de la intervención telefónica era conocer el momento futuro en que podrían aprehenderse a los recurrentes géneros de contrabando, de modo que carece de sentido que los esfuerzos del Servicio de Vigilancia Aduanera en proporcionar datos sobre la actividad delictiva "puedan ser empleados como argumentos para denegar esa medida" de intervención telefónica. En el mismo orden de consideraciones se razona que el Auto de 20 de septiembre de 1996, en el que se amplia la intervención a los teléfonos móviles, asume como necesidad de la medida la justificación alegada por el Servicio de Vigilancia Aduanera en el sentido de que los investigados no estaban en sus domicilios y por ello se remitía a quienes llamaban a los teléfonos móviles de éstos. </w:t>
      </w:r>
    </w:p>
    <w:p w:rsidR="0025129F" w:rsidRDefault="0025129F" w:rsidP="0025129F">
      <w:pPr>
        <w:pStyle w:val="TextoNormal"/>
      </w:pPr>
      <w:r>
        <w:t xml:space="preserve">Finalmente en cuanto a la falta de motivación de los Autos se sostiene que, siendo constitucionalmente posible la integración de los mismos con la solicitud e informes del Servicio de Vigilancia Aduanera (SSTC 299/2000, FJ 4; 202/2001, FJ 5), conjuntamente considerados recogen todos los requisitos constitucionales de la motivación en punto a la expresión de indicios objetivos de criminalidad, identidad de los investigados, determinación de números de teléfono intervenidos, plazo y modo de llevar a cabo la intervención. Igualmente entiende que el Auto de prórroga se adoptó teniendo en cuenta los datos obtenidos por la intervención previa, pues el Servicio de Vigilancia Aduanera presentó al Juzgado la transcripción de las cintas en sus aspectos más relevantes, y nadie ha sostenido que dicha transcripción puesta a disposición judicial contuviera errores destacables, alteraciones u omisiones importantes, de modo que, con ello se satisfacen las exigencias constitucionales respecto de la prórroga (STC 202/2001, FJ 6). </w:t>
      </w:r>
    </w:p>
    <w:p w:rsidR="0025129F" w:rsidRDefault="0025129F" w:rsidP="0025129F">
      <w:pPr>
        <w:pStyle w:val="TextoNormal"/>
      </w:pPr>
      <w:r>
        <w:t xml:space="preserve">En cuanto al control judicial de la medida, y al margen de que no constituyen vulneración autónoma del derecho al secreto de las comunicaciones (STC 202/2001, FJ 7), sólo es constitucionalmente exigible, como ya se ha dicho, que el juez conozca los resultados de la misma, por lo que la exigencia se habría cumplido dado que el Servicio de Vigilancia Aduanera facilitó al Juzgado la transcripción ya referida, además de que al día siguiente de la detención de los acusados -31 de octubre- entregó un grupo de cintas y, veinte días después -20 de noviembre-, otro grupo de cintas. </w:t>
      </w:r>
    </w:p>
    <w:p w:rsidR="0025129F" w:rsidRDefault="0025129F" w:rsidP="0025129F">
      <w:pPr>
        <w:pStyle w:val="TextoNormal"/>
      </w:pPr>
      <w:r>
        <w:t xml:space="preserve">Finalmente, se aduce que resulta digno de ser resaltado que tras dictarse la Sentencia condenatoria el 25 de junio de 1999, los demandantes de amparo no alegaron infracción alguna del art. 18.3 CE en relación con el derecho a la presunción de inocencia, por lo que dicha falta de invocación, si bien no podría ser ponderada como falta de invocación previa </w:t>
      </w:r>
      <w:r>
        <w:lastRenderedPageBreak/>
        <w:t xml:space="preserve">(art. 44.1.c LOTC), si podría valorarse como aquiescencia sobrevenida sobre la constitucionalidad de la intervención telefónica. </w:t>
      </w:r>
    </w:p>
    <w:p w:rsidR="0025129F" w:rsidRDefault="0025129F" w:rsidP="0025129F">
      <w:pPr>
        <w:pStyle w:val="TextoNormal"/>
      </w:pPr>
      <w:r>
        <w:t>c) En otrosí a dicho escrito de alegaciones solicitó el Abogado del Estado, de conformidad con el art. 89.1 LOTC, la práctica de la prueba consistente en documental pública en que los Secretarios de las Salas del Tribunal certificaran si de los libros y archivos de su Secretaría, obra recurso de amparo de los demandantes contra las Sentencias de 25 de junio de 1999, del Juzgado de lo Penal núm. 8 de Málaga, y de 5 de noviembre de 1999, de la Sección Segunda de la Audiencia Provincial de Málaga. Asimismo, de haberse interpuesto tal amparo, se solicita también certificación de haber sido admitido o inadmitido, acompañándose testimonio correspondiente de la resolución y demanda de amparo para ser unidos a los autos del presente amparo.</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En escrito registrado en este Tribunal el 17 de enero de 2002, el Ministerio Fiscal en trámite de alegaciones interesó que se declarase prematura la demanda de amparo y, en su defecto, la desestimación de la demanda. </w:t>
      </w:r>
    </w:p>
    <w:p w:rsidR="0025129F" w:rsidRDefault="0025129F" w:rsidP="0025129F">
      <w:pPr>
        <w:pStyle w:val="TextoNormal"/>
      </w:pPr>
      <w:r>
        <w:t xml:space="preserve">a) En cuanto al objeto de la demanda, reitera el Fiscal afirmaciones realizadas en el escrito de alegaciones efectuado en relación con la suspensión de la ejecución, señalando que el amparo no se refiere a Sentencia condenatoria alguna, sino a la Sentencia de 28 de noviembre de 1997 que declaró nula la Sentencia de instancia y ordenó dictar otra aceptando la licitud de las pruebas. Entiende que, por consiguiente, no resulta posible examinar enjuiciamiento condenatorio alguno alcanzado por valoración de pruebas determinadas, sino, en todo caso, analizar la decisión puntual (sobre la licitud y validez de dos pruebas) realizada por el Tribunal de apelación. En este contexto, sostiene que, si bien es cierto que "la Audiencia Provincial ha dicho su 'última palabra' en lo que respecta a la licitud de las escuchas telefónicas y que, en este sentido y por lo que respecta a este punto, la vía judicial puede entenderse agotada" y que, incluso, "ocurre lo mismo por lo que hace a la entrada y registro en el trastero del garaje donde se encontró la mayor parte de las cajetillas", no es menos cierto que cuando se interpuso la demanda de amparo el Juez de lo Penal no se había pronunciado y no se podía saber si dicha resolución sería condenatoria o absolutoria. Por ello considera el Fiscal que la demanda fue prematura, que debió esperar a que resolviera el Juez y el Tribunal de apelación, y, en consecuencia, que la demanda debe ser inadmitida de acuerdo con el art. 44.1 a) y c) LOTC. Salvando las distancias, sostiene que el caso sería similar a los supuestos en que como cuestiones previas en el procedimiento abreviado, el Juez decidiera declarar lícitas pruebas que la parte considera que no lo son, aunque es verdad que en ese caso la resolución se consideraría interlocutoria porque todavía podía repararse por las vías del proceso y de los recursos, mientras que en el presente recurso de amparo no ocurre lo mismo. El supuesto es similar en la medida en que todavía no se habría producido una valoración de conjunto de la prueba, para saber si podía establecerse o no una conexión de antijuridicidad con otras pruebas, por ejemplo con el tabaco hallado en el coche. </w:t>
      </w:r>
    </w:p>
    <w:p w:rsidR="0025129F" w:rsidRDefault="0025129F" w:rsidP="0025129F">
      <w:pPr>
        <w:pStyle w:val="TextoNormal"/>
      </w:pPr>
      <w:r>
        <w:t xml:space="preserve">b) Para el caso de que no se considere este motivo de inadmisión, razona el Fiscal la inexistencia de vulneración de los derechos alegados. Así, respecto del derecho a la presunción de inocencia, por cuanto los recurrentes no fueron condenados en la Sentencia impugnada. En cuanto al derecho a la tutela judicial efectiva por falta de motivación de la Sentencia de apelación, al justificar la licitud de la entrada y registro en el trastero, entiende que no afectando la alegación al derecho a la inviolabilidad del domicilio, no invocado en la demanda, el motivo ha de reconducirse a una cuestión de legalidad ordinaria; y, de otra parte, sostiene que la Sentencia impugnada contiene suficientes razonamientos como </w:t>
      </w:r>
      <w:r>
        <w:lastRenderedPageBreak/>
        <w:t xml:space="preserve">para que no pueda considerarse incursa en error patente, o arbitrariedad, lesiva del derecho a la tutela judicial efectiva. </w:t>
      </w:r>
    </w:p>
    <w:p w:rsidR="0025129F" w:rsidRDefault="0025129F" w:rsidP="0025129F">
      <w:pPr>
        <w:pStyle w:val="TextoNormal"/>
      </w:pPr>
      <w:r>
        <w:t>Con base y cita literal extensa de la STC 14/2001, sostiene el Fiscal la inexistencia de vulneración del derecho al secreto de las comunicaciones, por cuanto, de un lado, las intervenciones serían proporcionadas, atendiendo a las noticias facilitadas por el Servicio de Vigilancia Aduanera, y, de otro, los Autos que acordaron las escuchas y su prórroga contuvieron motivación bastante, teniendo en cuenta la remisión que efectúan a la solicitud de dicho Servicio. Finalmente, habría existido suficiente control judicial de la medida teniendo en cuenta la recepción de las cintas originales al concluir la intervención junto a la transcripción adverada por el Secretario judicial y los fragmentos que durante el desarrollo de las escuchas fueron remitidos al Juez para que pudiera conceder las prórrogas.</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25 de febrero de 2002, la Sala Primera acordó denegar la petición de prueba interesada por el Abogado del Estado, al no estimarla necesaria.</w:t>
      </w:r>
    </w:p>
    <w:p w:rsidR="0025129F" w:rsidRDefault="0025129F" w:rsidP="0025129F">
      <w:pPr>
        <w:pStyle w:val="TextoNormal"/>
      </w:pPr>
    </w:p>
    <w:p w:rsidR="0025129F" w:rsidRDefault="0025129F" w:rsidP="0025129F">
      <w:pPr>
        <w:pStyle w:val="TextoNormal"/>
      </w:pPr>
      <w:r w:rsidRPr="0025129F">
        <w:rPr>
          <w:rStyle w:val="NumeroAFNegritaCaracter"/>
        </w:rPr>
        <w:t>12</w:t>
      </w:r>
      <w:r>
        <w:t>. Por providencia 18 de abril de 2002 se señaló para deliberación y votación de la presente Sentencia el día 22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se dirige contra la Sentencia de la Sección Segunda de la Audiencia Provincial de Málaga de 28 de noviembre de 1997, a la que los recurrentes imputan que ha lesionado sus derechos al secreto de las comunicaciones (art.  18.3 CE), a la presunción de inocencia (art. 24.2 CE) y a la tutela judicial efectiva sin indefensión (art. 24.1 CE). Como ha quedado expuesto en los antecedentes, dicha Sentencia anuló la Sentencia absolutoria de los recurrentes de amparo, que había sido dictada por el Juzgado de lo Penal, al estimar parcialmente el recurso interpuesto por el Abogado del Estado. Asimismo, ordenó la retroacción de actuaciones para que dicho Juzgado de lo Penal dictara nueva resolución valorando las pruebas que previamente había considerado ilícitas, puesto que, según la Sentencia de la Audiencia Provincial, dichas pruebas no estaban aquejadas de ilicitud. En cumplimiento de lo ordenado, el Juzgado de lo Penal dictó Sentencia condenatoria el 25 de junio de 1999, confirmada por la Audiencia Provincial en Sentencia de 5 de noviembre de 1999. Objeto del presente amparo es, no obstante, tan sólo la Sentencia de la Sección Segunda de la Audiencia Provincial de Málaga de 28 de noviembre de 1997 y las vulneraciones de derechos fundamentales que sean imputables a ella de forma directa e inmediata (art. 44.1.b LOTC).</w:t>
      </w:r>
    </w:p>
    <w:p w:rsidR="0025129F" w:rsidRDefault="0025129F" w:rsidP="0025129F">
      <w:pPr>
        <w:pStyle w:val="TextoNormal"/>
      </w:pPr>
    </w:p>
    <w:p w:rsidR="0025129F" w:rsidRDefault="0025129F" w:rsidP="0025129F">
      <w:pPr>
        <w:pStyle w:val="TextoNormal"/>
      </w:pPr>
      <w:r w:rsidRPr="0025129F">
        <w:rPr>
          <w:rStyle w:val="NumeroAFNegritaCaracter"/>
        </w:rPr>
        <w:t>2</w:t>
      </w:r>
      <w:r>
        <w:t>. Con carácter previo al examen de las vulneraciones expuestas procede atender a las alegaciones del Abogado del Estado y del Ministerio Fiscal en orden a considerar la posible concurrencia de defectos de admisibilidad en la demanda de amparo en su conjunto o respecto de alguna de sus pretensiones.</w:t>
      </w:r>
    </w:p>
    <w:p w:rsidR="0025129F" w:rsidRDefault="0025129F" w:rsidP="0025129F">
      <w:pPr>
        <w:pStyle w:val="TextoNormal"/>
      </w:pPr>
      <w:r>
        <w:t>En primer término, conviene advertir que, como señalan ambas partes y deriva de su mera lectura, en la demanda de amparo no se invoca el derecho a la inviolabilidad del domicilio (art.  18.2 CE). No se trata sólo de que formalmente los demandantes de amparo no invoquen este derecho, sino de que expresamente los recurrentes parten de la interpretación acogida por el Tribunal Supremo de que el trastero y el garaje no constituyen domi</w:t>
      </w:r>
      <w:r>
        <w:lastRenderedPageBreak/>
        <w:t>cilio a los efectos de la protección constitucional del art. 18.2 CE y aceptan esta interpretación.</w:t>
      </w:r>
    </w:p>
    <w:p w:rsidR="0025129F" w:rsidRDefault="0025129F" w:rsidP="0025129F">
      <w:pPr>
        <w:pStyle w:val="TextoNormal"/>
      </w:pPr>
      <w:r>
        <w:t>Coinciden ambas partes también en entender que la pretensión relativa a la lesión del derecho a la presunción de inocencia ha de considerarse prematura, dado que la demanda no se dirige frente a una Sentencia condenatoria. En este extremo, hemos de coincidir también con el Abogado del Estado y el Ministerio Fiscal, pues, en virtud del contenido del derecho a la presunción de inocencia constitucionalmente protegido (art. 24.2 CE) como derecho a no ser condenado si no es en virtud de pruebas obtenidas con todas las garantías que puedan considerarse constitucionalmente legítimas acreditativas de forma sólida y razonable de los hechos y de la intervención en los mismos del acusado (por todas, STC 31/1981, de 28 de julio, FJ 3; 239/1999, de 20 de diciembre, FJ 4; 149/2001, de 27 de junio, FJ 6), ciertamente sólo es posible atribuir su lesión de forma directa e inmediata a una Sentencia condenatoria (art. 44.1.b LOTC). Por consiguiente, dado que el recurso de amparo no se interpone frente a una Sentencia que tenga tal carácter, la eventual lesión del derecho a la presunción de inocencia debe quedar imprejuzgada.</w:t>
      </w:r>
    </w:p>
    <w:p w:rsidR="0025129F" w:rsidRDefault="0025129F" w:rsidP="0025129F">
      <w:pPr>
        <w:pStyle w:val="TextoNormal"/>
      </w:pPr>
      <w:r>
        <w:t>Diferente es la cuestión relativa a si las pretensiones de vulneración del derecho a la tutela judicial efectiva en relación con las presuntas irregularidades cometidas en el registro del trastero y a la lesión del derecho al secreto de las comunicaciones reúnen los requisitos de admisibilidad de nuestra Ley Orgánica. Así, respecto del registro, sostiene el Abogado del Estado que el amparo en este punto sería prematuro, pues, aunque se aceptara su relevancia en el marco del derecho al proceso con todas las garantías (art. 24.2 CE), no se podría considerar actualizada su lesión hasta que se dictara una Sentencia condenatoria. En relación con el derecho al secreto de las comunicaciones, sin embargo, el argumento del Abogado del Estado no se basa en el carácter prematuro de la demanda, sino en el aquietamiento de los demandantes de amparo, habida cuenta de que no volvieron a alegar esta vulneración contra la Sentencia condenatoria dictada por el Juzgado de lo Penal y confirmada por la Audiencia Provincial, ni han interpuesto nuevo recurso de amparo contra estas resoluciones. Por su parte, el Ministerio Fiscal, si bien sostiene que ha de considerarse agotada la vía judicial previa en lo que se refiere a la vulneración del derecho al secreto de las comunicaciones y a las irregularidades eventualmente cometidas durante el registro, sin embargo, considera que la demanda ha de ser inadmitida por prematura puesto que la Audiencia Provincial no habría dicho su "última palabra" sobre dichas cuestiones, en la medida en que no se impugna ninguna valoración de pruebas realizada y dado que en el momento de interponerse la demanda no se podía saber si las posteriores resoluciones serían absolutorias o condenatorias.</w:t>
      </w:r>
    </w:p>
    <w:p w:rsidR="0025129F" w:rsidRDefault="0025129F" w:rsidP="0025129F">
      <w:pPr>
        <w:pStyle w:val="TextoNormal"/>
      </w:pPr>
      <w:r>
        <w:t>Pues bien, ni la alegación de vulneración del derecho al secreto de las comunicaciones ni tampoco la del derecho a la tutela judicial efectiva sin indefensión pueden considerarse prematuras, pues, sobre la cuestión relativa a la lesión del derecho al secreto de las comunicaciones, ya ha dicho su "última palabra" la Audiencia Provincial. Las vulneraciones de los derechos sustantivos al secreto de las comunicaciones o, en su caso, al derecho a la inviolabilidad del domicilio han de considerarse perfeccionadas, a los efectos de la interposición del recurso de amparo, en la resolución que pone fin a la vía judicial penal, con independencia de que la misma no sea una Sentencia condenatoria (STC 149/2001, de 27 de junio, FJ 3).  Consecuencia de ello es que, una vez dictadas las posteriores resoluciones judiciales tras la retroacción de actuaciones ordenada por la Audiencia Provincial de Málaga, el examen de dichas vulneraciones por este Tribunal, en su caso en el marco de la demanda de amparo contra estas resoluciones, que según se ha dejado constancia en los antecedentes no se interpuso, sólo podría efectuarse con función instrumental, en la medi</w:t>
      </w:r>
      <w:r>
        <w:lastRenderedPageBreak/>
        <w:t>da en que ello fuera necesario para analizar la lesión del derecho a la presunción de inocencia, en caso de ser alegada (STC 149/2001, FJ 3). Por esta razón no puede entenderse que los demandantes de amparo se hayan aquietado ante esta vulneración, al no haber reiterado su alegación frente a las resoluciones dictadas con posterioridad a la que es objeto del presente amparo.</w:t>
      </w:r>
    </w:p>
    <w:p w:rsidR="0025129F" w:rsidRDefault="0025129F" w:rsidP="0025129F">
      <w:pPr>
        <w:pStyle w:val="TextoNormal"/>
      </w:pPr>
      <w:r>
        <w:t>Tampoco puede considerarse prematura la pretensión relativa a la lesión del derecho a la tutela judicial efectiva sin indefensión (art. 24.1 CE) en su vertiente de derecho a obtener una resolución fundada en Derecho que no sea arbitraria, irrazonable o fruto de un error patente, pretensión bajo la que se impugnan las eventuales irregularidades cometidas en el registro del trastero; porque, de un lado, ciertamente, la lesión relativa a la falta de motivación de la resolución judicial, tanto en sí misma considerada como en relación con el objeto sobre el que se proyecta la eventual ilicitud del registro, habría quedado perfeccionada en la resolución aquí recurrida sin que la misma pudiera analizarse en un eventual recurso de amparo frente a las posteriores Sentencias condenatorias dictadas al amparo de la retroacción de actuaciones ordenada; y, de otro, como declaramos en la STC 149/2001, FJ 3, "la revocación de una Sentencia penal absolutoria que habilita la posibilidad de un nuevo enjuiciamiento constituye en sí misma gravamen suficiente a los efectos de interponer el recurso de amparo, con independencia de los efectivos perjuicios adicionales que un nuevo juicio penal pueda llevar aparejados".</w:t>
      </w:r>
    </w:p>
    <w:p w:rsidR="0025129F" w:rsidRDefault="0025129F" w:rsidP="0025129F">
      <w:pPr>
        <w:pStyle w:val="TextoNormal"/>
      </w:pPr>
      <w:r>
        <w:t>En conclusión, y en atención a lo expuesto, debemos analizar las alegaciones referidas al derecho al secreto de las comunicaciones y al derecho a la tutela judicial efectiva sin indefensión.</w:t>
      </w:r>
    </w:p>
    <w:p w:rsidR="0025129F" w:rsidRDefault="0025129F" w:rsidP="0025129F">
      <w:pPr>
        <w:pStyle w:val="TextoNormal"/>
      </w:pPr>
    </w:p>
    <w:p w:rsidR="0025129F" w:rsidRDefault="0025129F" w:rsidP="0025129F">
      <w:pPr>
        <w:pStyle w:val="TextoNormal"/>
      </w:pPr>
      <w:r w:rsidRPr="0025129F">
        <w:rPr>
          <w:rStyle w:val="NumeroAFNegritaCaracter"/>
        </w:rPr>
        <w:t>3</w:t>
      </w:r>
      <w:r>
        <w:t>. Sostienen los recurrentes que la lesión del derecho al secreto de las comunicaciones (art. 18.3 CE) se ha producido como consecuencia de la falta de proporcionalidad de la medida, de la ausencia de motivación de los Autos de autorización judicial y de la falta de control judicial de las intervenciones telefónicas. Para el examen de esta pretensión hemos de comenzar por recordar que, de conformidad con nuestra jurisprudencia, la intervención de las comunicaciones telefónicas sólo puede entenderse constitucionalmente legítima cuando está legalmente prevista con suficiente precisión, autorizada por la Autoridad judicial en el curso de un proceso mediante una decisión suficientemente motivada y se ejecuta con observancia del principio de proporcionalidad; es decir, cuando su autorización se dirige a alcanzar un fin constitucionalmente legítimo, como acontece en los casos en que se adopta para la prevención y represión de delitos calificables de infracciones punibles graves y es idónea e imprescindible para la investigación de los mismos (SSTC 49/1999, de 5 de abril, FJ 8; 166/1999, de 27 de septiembre, FFJJ 1 y 2; 171/1999, de 27 de septiembre, FJ 5; 126/2000, de 16 de mayo, FJ 2; 299/2000, de 11 de diciembre, FJ 2; 14/2001, de 29 de enero, FJ 2; y 202/2001, de 15 de octubre, FJ 2, entre las últimas); de modo que la comprobación de la proporcionalidad de la medida ha de efectuarse analizando las circunstancias concurrentes en el momento de su adopción (SSTC 126/2000, de 16 de mayo, FJ 8; y 299/2000, de 11 de diciembre, FJ 2).</w:t>
      </w:r>
    </w:p>
    <w:p w:rsidR="0025129F" w:rsidRDefault="0025129F" w:rsidP="0025129F">
      <w:pPr>
        <w:pStyle w:val="TextoNormal"/>
      </w:pPr>
      <w:r>
        <w:t>También incide en la legitimidad de la medida y, por tanto, en el derecho al secreto de las comunicaciones, la falta de expresión o exteriorización, por parte del órgano judicial, tanto de la existencia de los presupuestos materiales de la intervención -datos objetivos que hagan pensar en la posible existencia de delito grave, conexión de los usuarios de los teléfonos con los hechos-, como de la necesidad y adecuación de la medida -razones y finalidad perseguida- (STC 54/1996, FJ 8). El presupuesto habilitante es, como hemos afirmado reiteradamente, un prius lógico "pues, de una parte, mal puede estimarse realiza</w:t>
      </w:r>
      <w:r>
        <w:lastRenderedPageBreak/>
        <w:t>do ese juicio, en el momento de adopción de la medida, si no se manifiesta, al menos, que concurre efectivamente el presupuesto que la legitima. Y, de otra, sólo a través de esa expresión podrá comprobarse ulteriormente la idoneidad y necesidad (en definitiva, la razonabilidad) de la medida limitativa del derecho fundamental (SSTC 37/1989, 3/1992, 12/1994, 13/1994, 52/1995, 128/1995, 181/1995 y 34/1996)" (STC 49/1999, de 5 de abril, FJ 7).</w:t>
      </w:r>
    </w:p>
    <w:p w:rsidR="0025129F" w:rsidRDefault="0025129F" w:rsidP="0025129F">
      <w:pPr>
        <w:pStyle w:val="TextoNormal"/>
      </w:pPr>
    </w:p>
    <w:p w:rsidR="0025129F" w:rsidRDefault="0025129F" w:rsidP="0025129F">
      <w:pPr>
        <w:pStyle w:val="TextoNormal"/>
      </w:pPr>
      <w:r w:rsidRPr="0025129F">
        <w:rPr>
          <w:rStyle w:val="NumeroAFNegritaCaracter"/>
        </w:rPr>
        <w:t>4</w:t>
      </w:r>
      <w:r>
        <w:t>. Los recurrentes basan la ausencia de proporcionalidad de la medida en dos motivos: en primer término, que el delito investigado, contrabando, no puede considerarse grave dada la pena con la que se conmina -de seis meses a tres años-; en segundo lugar, que, si se dan por ciertos los datos aportados por el Servicio de Vigilancia Aduanera, la intervención telefónica sería innecesaria, ya que dicho Servicio tendría todos los datos necesarios sobre la comisión del delito.</w:t>
      </w:r>
    </w:p>
    <w:p w:rsidR="0025129F" w:rsidRDefault="0025129F" w:rsidP="0025129F">
      <w:pPr>
        <w:pStyle w:val="TextoNormal"/>
      </w:pPr>
      <w:r>
        <w:t>Sobre la proporcionalidad de las intervenciones telefónicas acordadas para la investigación del delito de contrabando ya nos hemos pronunciado en el sentido de que, de un lado, la gravedad del delito no se determina exclusivamente por la pena con la que el mismo se sanciona, sino también en atención al bien jurídico protegido y a la relevancia social de los hechos. De modo que, aunque, conforme al nuevo Código Penal, la pena para este delito sea considerada menos grave, sin embargo, "no cabe sostener que, cuando el contrabando de tabaco se realiza a gran escala a través de una organización, ... merece un reproche social muy escaso, dada la incidencia de tal actividad, no sólo sobre los intereses recaudatorios de la Hacienda Pública, sino también sobre la finalidad extrafiscal inherente a la imposición específica sobre consumos, justificada en el caso del tabaco por los costes sociales, sanitarios en concreto, que genera por tratarse de un producto perjudicial para la salud (Ley 38/1992, de 28 de diciembre, de Impuestos Especiales). El legislador democrático ... ha plasmado esa relevancia social que presenta el contrabando de tabaco, mayor que la que se dice en la demanda de amparo, al proclamar que 'el impacto social, económico y recaudatorio del comercio legítimo de labores de tabaco obliga a intensificar la reacción jurídica frente a ese delito' (Exposición de Motivos Ley Orgánica 12/1995, de 12 de diciembre, de represión del contrabando). Pero es que a la hora de ponderar la relevancia social de los hechos y su gravedad, el elemento de que sean organizaciones complejas las que se dedican a su comisión es, sin duda, un factor de suma importancia a atender, por la potencial eficacia de dichas organizaciones en su embate contra los intereses sociales y públicos garantizados por la legalidad que atacan" (STC 299/2001, de 11 de diciembre, FJ 2; reiterado en SSTC 14/2001, de 29 de enero, FJ 3; y 202/2001, de 15 de octubre, FJ 3).</w:t>
      </w:r>
    </w:p>
    <w:p w:rsidR="0025129F" w:rsidRDefault="0025129F" w:rsidP="0025129F">
      <w:pPr>
        <w:pStyle w:val="TextoNormal"/>
      </w:pPr>
      <w:r>
        <w:t>Por consiguiente, y en aplicación de la doctrina expuesta, también en este caso, en el que existe una organización de considerables dimensiones dedicada al contrabando de tabaco y dada la relevancia de los intereses que con este delito se intentan proteger, hemos de considerar proporcionada la medida en lo que se refiere a la comprobación de su fin constitucionalmente legítimo, cual es la investigación de un delito grave.</w:t>
      </w:r>
    </w:p>
    <w:p w:rsidR="0025129F" w:rsidRDefault="0025129F" w:rsidP="0025129F">
      <w:pPr>
        <w:pStyle w:val="TextoNormal"/>
      </w:pPr>
      <w:r>
        <w:t xml:space="preserve">Tampoco puede acogerse el segundo argumento de los recurrentes referido a la falta de proporcionalidad de la medida, pues, de un lado, las solicitudes de intervención telefónica se sustentaron en su necesidad para "continuar la investigación", y, de otro, los Autos apelan a su carácter necesario para comprobar el delito; de modo que, ciertamente, como sostiene el Abogado del Estado, no puede considerarse irrazonable que, a pesar de que la autoridad solicitante tuviera datos sobre la comisión del delito, la intervención telefónica fuera necesaria para averiguar el momento de entrega o posesión de grandes cantidades de tabaco. Así, el informe complementario del Servicio de Vigilancia Aduanera adjuntado a </w:t>
      </w:r>
      <w:r>
        <w:lastRenderedPageBreak/>
        <w:t>la solicitud de prórroga finaliza con una estimación sobre la posibilidad de que los investigados recibieran en los próximos días cuarenta cajas de tabaco. A tal efecto se ha de tener en cuenta que las infracciones en materia de contrabando sólo constituyen delito si el valor del objeto de contrabando supera la cuantía de un millón de pesetas -seis mil euros- [art. 2.3 d) Ley 12/1995, de 12 de diciembre, de represión del contrabando], de modo que de ello derivaba la trascendencia de proseguir la investigación para obtener información sobre el momento puntual de entrega de grandes cantidades.</w:t>
      </w:r>
    </w:p>
    <w:p w:rsidR="0025129F" w:rsidRDefault="0025129F" w:rsidP="0025129F">
      <w:pPr>
        <w:pStyle w:val="TextoNormal"/>
      </w:pPr>
      <w:r>
        <w:t>Hemos de rechazar, desde esta perspectiva, la lesión del derecho al secreto de las comunicaciones.</w:t>
      </w:r>
    </w:p>
    <w:p w:rsidR="0025129F" w:rsidRDefault="0025129F" w:rsidP="0025129F">
      <w:pPr>
        <w:pStyle w:val="TextoNormal"/>
      </w:pPr>
    </w:p>
    <w:p w:rsidR="0025129F" w:rsidRDefault="0025129F" w:rsidP="0025129F">
      <w:pPr>
        <w:pStyle w:val="TextoNormal"/>
      </w:pPr>
      <w:r w:rsidRPr="0025129F">
        <w:rPr>
          <w:rStyle w:val="NumeroAFNegritaCaracter"/>
        </w:rPr>
        <w:t>5</w:t>
      </w:r>
      <w:r>
        <w:t>. Aducen los recurrentes, en un segundo orden argumental, la falta de motivación de los Autos de autorización y prórroga de las intervenciones telefónicas, por considerar que dichas resoluciones son genéricas, estereotipadas y no contienen razonamientos referidos al caso concreto. Esta queja tampoco puede ser estimada, pues aunque lo deseable sería que la resolución judicial expresara directamente todos los elementos que son necesarios para considerar fundamentada la medida (STC 299/2000, de 11 de diciembre, FJ 4), sin embargo este Tribunal viene admitiendo que una resolución judicial puede considerarse motivada si, integrada con la solicitud de la autoridad a la que se remite, "contiene todos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126/2000, de 16 de mayo, FJ 7; 299/2000, de 11 de diciembre, FJ 4). Estos elementos se refieren al presupuesto habilitante, esto es, a la posible existencia de un delito y a la conexión con tal delito de los titulares o usuarios de los teléfonos, de modo que deben exteriorizarse los datos o hechos objetivos que puedan considerarse indicios de la existencia del delito y de su comisión por las personas investigadas, así como los datos relativos al delito investigado, a los números de los teléfonos intervenidos, a quienes llevarán a cabo la intervención, y a su duración (por todas SSTC 49/1999, de 5 de abril, FJ 8; y 171/1999, de 27 de septiembre, FJ 8).</w:t>
      </w:r>
    </w:p>
    <w:p w:rsidR="0025129F" w:rsidRDefault="0025129F" w:rsidP="0025129F">
      <w:pPr>
        <w:pStyle w:val="TextoNormal"/>
      </w:pPr>
      <w:r>
        <w:t>En el caso, la queja de los recurrentes se refiere claramente a las resoluciones judiciales aisladamente consideradas, de manera que, teniendo en cuenta que, como ha quedado expuesto en los antecedentes, todas ellas se remiten expresamente a las respectivas solicitudes del Servicio de Vigilancia Aduanera y a los informes incorporados por dicho Servicio, resulta posible su integración con los mismos. Mediante dicha integración se obtienen todos los datos que, de conformidad con nuestra jurisprudencia, resultan exigibles: el delito investigado (contrabando), la investigación previa y los datos obtenidos a través de ella sobre las actividades de los sospechosos, los datos de los teléfonos y sus titulares, el tiempo de duración de la medida (un mes), las personas que la llevarían a cabo (funcionarios de la Jefatura Provincial del Servicio de Vigilancia Aduanera).</w:t>
      </w:r>
    </w:p>
    <w:p w:rsidR="0025129F" w:rsidRDefault="0025129F" w:rsidP="0025129F">
      <w:pPr>
        <w:pStyle w:val="TextoNormal"/>
      </w:pPr>
      <w:r>
        <w:t>La queja relativa a la falta de motivación de los Autos se imputa también al Auto de prórroga de la intervención telefónica, y, aunque en relación con la falta de control judicial de la medida, se sostiene que ese Auto fue acordado sin que el Juez hubiera tenido en cuenta los resultados de la intervención previa. Tampoco esta queja puede prosperar, pues, si bien es cierto que hemos declarado que la autorización de prórroga de la medida debe tener en cuenta los resultados obtenidos previamente (SSTC 49/1999, de 5 de abril, FJ 11; y 171/1999, de 27 de septiembre, FJ 8), no puede negarse, en este caso, que el Juzgado no haya tenido en cuenta dichos resultados. Como resulta de las actuaciones y ha quedado expuesto en los antecedentes, el Servicio de Vigilancia Aduanera complementó la solici</w:t>
      </w:r>
      <w:r>
        <w:lastRenderedPageBreak/>
        <w:t>tud de prórroga con un detallado informe -folios 19 a 23- en el que se exponen las informaciones más relevantes obtenidas sobre las actividades de contrabando, así como la transcripción de las conversaciones más significativas de las cintas grabadas -folios 24 a 71. A dicho informe y transcripción se remite el Auto de 15 de octubre de 1996. Todo ello prueba de modo suficiente que el Juez tuvo en cuenta los datos obtenidos en el primer período de intervención; de modo que a tal fin no resulta necesario, como pretenden los recurrentes, que se entreguen las cintas en ese momento por la autoridad que lleve a cabo la medida, pues el Juez puede tener puntual información de los resultados de la intervención telefónica a través de los informes de quien la lleva a cabo.</w:t>
      </w:r>
    </w:p>
    <w:p w:rsidR="0025129F" w:rsidRDefault="0025129F" w:rsidP="0025129F">
      <w:pPr>
        <w:pStyle w:val="TextoNormal"/>
      </w:pPr>
    </w:p>
    <w:p w:rsidR="0025129F" w:rsidRDefault="0025129F" w:rsidP="0025129F">
      <w:pPr>
        <w:pStyle w:val="TextoNormal"/>
      </w:pPr>
      <w:r w:rsidRPr="0025129F">
        <w:rPr>
          <w:rStyle w:val="NumeroAFNegritaCaracter"/>
        </w:rPr>
        <w:t>6</w:t>
      </w:r>
      <w:r>
        <w:t>. Alegan, por último, los recurrentes la falta de control judicial de la medida, sustentando dicha queja básicamente en que las cintas se entregaron al Juzgado con posterioridad a ser autorizada la prórroga de las intervenciones telefónicas y en que la transcripción de las cintas no fue literal ni íntegra, habiendo seleccionado el Servicio de Vigilancia Aduanera los pasajes transcritos. En relación con esta queja hemos de precisar que la falta de control judicial de la medida puede ocasionar la lesión del derecho al secreto de las comunicaciones (art. 18.3 CE) si no se fijan períodos para dar cuenta al Juez de los resultados de la intervención, o, en caso de su incumplimiento, o si, por otras razones, el Juez no efectúa un seguimiento de las vicisitudes del desarrollo y del cese de la intervención o no conoce los resultados de la investigación (por todas SSTC 49/1999, de 5 de abril, FJ 5; 166/1999, de 27 de septiembre, FJ 3; y 202/2001, de 15 de octubre, FJ 7). Sin embargo, no afectan a este derecho, sino al derecho al proceso con todas las garantías (art. 24.2 CE), las irregularidades en el control judicial cometidas con posterioridad a las intervenciones practicadas, pues dichas irregularidades no tienen lugar durante el acto limitativo del derecho, sino en el momento de incorporación de sus resultados al proceso. Así, todo lo relativo a la entrega y selección de las cintas grabadas, a la custodia de los originales y a la transcripción de su contenido no forma parte de las garantías derivadas del art. 18.3 CE, sin perjuicio de su relevancia a efectos probatorios, pues es posible que su defectuosa incorporación a las actuaciones no reúna las garantías de control judicial y contradicción suficientes como para convertir las grabaciones o su transcripción en prueba válida para desvirtuar la presunción de inocencia (por todas, SSTC 121/1998, de 15 de junio, FJ 5; 49/1999, de 5 de abril, FFJJ 12 y 13; y 202/2001, de 15 de octubre, FJ 7).</w:t>
      </w:r>
    </w:p>
    <w:p w:rsidR="0025129F" w:rsidRDefault="0025129F" w:rsidP="0025129F">
      <w:pPr>
        <w:pStyle w:val="TextoNormal"/>
      </w:pPr>
      <w:r>
        <w:t>De conformidad con dicha doctrina y teniendo en cuenta que sólo podemos pronunciarnos sobre la lesión del derecho al secreto de las comunicaciones, hemos de reiterar que, a efectos de la existencia de control judicial de la medida durante la ejecución del acto limitativo, resulta suficiente el realizado; pues, como hemos señalado se fijaron plazos para la intervención y el Juez tuvo conocimiento de sus resultados a través de los informes y transcripción parcial de las cintas.</w:t>
      </w:r>
    </w:p>
    <w:p w:rsidR="0025129F" w:rsidRDefault="0025129F" w:rsidP="0025129F">
      <w:pPr>
        <w:pStyle w:val="TextoNormal"/>
      </w:pPr>
      <w:r>
        <w:t>El resto de los defectos alegados, relativos a las transcripciones de las cintas no pueden ser examinados en la presente demanda, pues en cuanto constitutivos, en su caso, de una vulneración del derecho al proceso con todas las garantías, sólo pueden imputarse a una Sentencia que eventualmente valorase las mismas como prueba, y, como ya ha quedado dicho, no es este el caso de la resolución impugnada en este amparo.</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Resta únicamente por examinar la vulneración del derecho a la tutela judicial efectiva sin indefensión (art. 24.1 CE) que los recurrentes cifran en la lesión del derecho a obtener una resolución fundada en Derecho, en tanto que, en su opinión, la Audiencia Provincial "ha ignorado totalmente las normas aplicables al caso" y ello "supone una aplicación </w:t>
      </w:r>
      <w:r>
        <w:lastRenderedPageBreak/>
        <w:t>de la legalidad arbitraria".  En particular, sostienen que la Ley de Enjuiciamiento Criminal no regula sólo la entrada y registro en domicilio, sino también en lugares cerrados no constitutivos de domicilio que se consideran edificios o lugares públicos (art. 547.3), normas que exigen que esa entrada y registro se realice con autorización judicial (art. 546) y en presencia de los procesados y del Secretario judicial (art.  569). Se cita la jurisprudencia del Tribunal Supremo a este propósito, que sostiene que, aunque a los efectos de la protección del art. 18.2 CE el trastero de una casa no es un domicilio, sin embargo, a los de su registro, como se deduce de los arts. 547.3, 569 en relación con los arts. 567 y 568 LECrim, se precisa su realización en presencia del interesado o de la persona que legítimamente le represente, de modo que su ausencia determina una infracción procesal. En opinión de los recurrentes, la infracción de las normas procesales citadas provoca la nulidad de la prueba practicada en aplicación de los arts. 11.1 y 238.3 LOPJ.</w:t>
      </w:r>
    </w:p>
    <w:p w:rsidR="0025129F" w:rsidRDefault="0025129F" w:rsidP="0025129F">
      <w:pPr>
        <w:pStyle w:val="TextoNormal"/>
      </w:pPr>
      <w:r>
        <w:t>Precisada así la pretensión, conviene recordar que el derecho a la tutela judicial efectiva "integra en su contenido, además del derecho a la defensa y a la ejecución de las resoluciones judiciales, el derecho al acceso a la jurisdicción y, en su caso, a los recursos, para obtener una resolución sobre el fondo de la pretensión planteada, que sin embargo puede ser de inadmisión si concurren las causas legalmente previstas para ello. En todo caso, la respuesta debe ser motivada, razonada y congruente.  Por el contrario, este derecho constitucional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FJ 4; 309/1994, FJ 2 )" (STC 214/1999, de 29 de noviembre).</w:t>
      </w:r>
    </w:p>
    <w:p w:rsidR="0025129F" w:rsidRDefault="0025129F" w:rsidP="0025129F">
      <w:pPr>
        <w:pStyle w:val="TextoNormal"/>
      </w:pPr>
      <w:r>
        <w:t>Además, hemos sostenido con reiteración, por lo que la cita de nuestras Sentencias se hace innecesaria, que para entender que una resolución judicial está razonada es preciso que el razonamiento que en ella se contiene no sea arbitrario, ni irrazonable, ni incurra en un error patente. Ahora bien, "en rigor, cuando lo que se debate es ...,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FJ 5)</w:t>
      </w:r>
    </w:p>
    <w:p w:rsidR="0025129F" w:rsidRDefault="0025129F" w:rsidP="0025129F">
      <w:pPr>
        <w:pStyle w:val="TextoNormal"/>
      </w:pPr>
      <w:r>
        <w:lastRenderedPageBreak/>
        <w:t>El carácter restrictivo del canon constitucional aplicado en estos casos, cuyo sentido y finalidad, convendrá reiterarlo, reside en conjurar los riesgos de que, mediante la invocación del derecho a la tutela judicial efectiva sin indefensión, este Tribunal se convierta en un órgano de casación universal y, por tanto, en la necesidad de preservar la función de estricta protección de los derechos fundamentales que este Tribunal Constitucional tiene encomendada, explica que hayamos declarado la lesión de esta garantía en escasas ocasiones en procesos constitucionales de amparo en los que la controversia se refería únicamente a la selección, interpretación y aplicación de la legalidad infraconstitucional (SSTC 22/1994, de 27 de enero; 126/1994, de 25 de abril; 112/1996, de 24 de junio; 214/1999, de 29 de noviembre; 226/2000, de 2 de octubre; 256/2000, de 30 de octubre; 261/2000, de 30 de octubre; y 151/2001, de 2 de julio).</w:t>
      </w:r>
    </w:p>
    <w:p w:rsidR="0025129F" w:rsidRDefault="0025129F" w:rsidP="0025129F">
      <w:pPr>
        <w:pStyle w:val="TextoNormal"/>
      </w:pPr>
      <w:r>
        <w:t>De otra parte, en la medida en que los recurrentes ciñen su queja a considerar que el defecto en que incurre la resolución impugnada, y en virtud del cual ha de entenderse que la motivación de la misma no constituye una fundamentación en Derecho, es la arbitrariedad, hemos de señalar también que "esta tacha extrema de arbitrariedad ... supone que la resolución judicial impugnada no es expresión de la Administración de Justicia sino mera apariencia de la misma (STC 148/1994), lo que implica 'negación radical de la tutela judicial' (STC 54/1997, FJ 3),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244/1994, FJ 2)" (STC 160/1997, de 2 de octubre, FJ 7).</w:t>
      </w:r>
    </w:p>
    <w:p w:rsidR="0025129F" w:rsidRDefault="0025129F" w:rsidP="0025129F">
      <w:pPr>
        <w:pStyle w:val="TextoNormal"/>
      </w:pPr>
    </w:p>
    <w:p w:rsidR="0025129F" w:rsidRDefault="0025129F" w:rsidP="0025129F">
      <w:pPr>
        <w:pStyle w:val="TextoNormal"/>
      </w:pPr>
      <w:r w:rsidRPr="0025129F">
        <w:rPr>
          <w:rStyle w:val="NumeroAFNegritaCaracter"/>
        </w:rPr>
        <w:t>8</w:t>
      </w:r>
      <w:r>
        <w:t>. Pues bien, la aplicación de esta doctrina al caso analizado conduce asimismo a la desestimación de la vulneración alegada. Como ha quedado expuesto en los antecedentes, la resolución impugnada de la Audiencia Provincial de Málaga sostiene que no puede compartirse la decisión del Juzgado de lo Penal en lo atinente a la "nulidad de la diligencia de entrada y registro practicada en el trastero ... pues es doctrina reiterada del Tribunal Supremo ... que los trasteros de las viviendas no constituyen parte de las mismas o espacios destinados a la habitación de las personas, por lo que no puede extenderse a ellos la protección constitucional ni por ende serles de aplicación las normas procesales reguladoras de las garantías que han de observarse en la práctica de las diligencias de entrada y registro en el domicilio de los particulares" (fundamento de Derecho 1).</w:t>
      </w:r>
    </w:p>
    <w:p w:rsidR="0025129F" w:rsidRDefault="0025129F" w:rsidP="0025129F">
      <w:pPr>
        <w:pStyle w:val="TextoNormal"/>
      </w:pPr>
      <w:r>
        <w:t>En el párrafo transcrito se comprueba la existencia de argumentación y que la misma contiene un razonamiento que no resulta ajeno a la lógica, pues, ni parte de premisas falsas, ni ilógicas, ni de las mismas extrae una consecuencia que no derive de ellas.  Pues, ciertamente, el Tribunal Supremo sostiene que el trastero y el garaje no son domicilio, y, si se parte de dicha premisa, a estos lugares no le son aplicables ni la protección constitucional de la inviolabilidad del domicilio, ni las normas procesales que regulan garantías relativas a la entrada y registro en el domicilio de particulares.</w:t>
      </w:r>
    </w:p>
    <w:p w:rsidR="0025129F" w:rsidRDefault="0025129F" w:rsidP="0025129F">
      <w:pPr>
        <w:pStyle w:val="TextoNormal"/>
      </w:pPr>
      <w:r>
        <w:t>Tampoco la resolución impugnada puede considerarse arbitraria. En efecto, la Ley de Enjuiciamiento Criminal no sólo regula las entradas y registros en los domicilios, sino también en edificios y lugares públicos, considerando tales "cualesquiera otros edificios o lugares cerrados que no constituyeren domicilio de un particular con arreglo a lo dispuesto en el artículo 554" (art. 547.3 LECrim) en orden a la observancia de los requisitos exigidos en sus arts. 546 y 569: autorización judicial (art.  546 LECrim) y presencia del interesado y del Secretario judicial (art. 569 LECrim). Estas normas de la Ley de Enjuiciamiento Criminal, que establecen garantías de carácter legal y no constitucional, aunque en al</w:t>
      </w:r>
      <w:r>
        <w:lastRenderedPageBreak/>
        <w:t>gunos casos puedan considerarse conectadas con la protección del derecho a la intimidad (art. 18.1 CE), no fueron tomadas en consideración expresamente por la Audiencia Provincial en el caso concreto, a pesar de que los absueltos apelaban a su aplicación para considerar nulo el registro del trastero en el que se halló parte del tabaco aprehendido, y a pesar de que la Sentencia del Juzgado de lo Penal núm. 8 de Málaga de 1 de octubre de 1997 también recurrió a su aplicación en su fundamento jurídico séptimo en los siguientes términos: "Pues bien, debiendo ser reputado tal trastero como un lugar cerrado, es evidente, de acuerdo con los artículos 546, 547 y concordantes de la LECrim, que para su entrada y registro es preceptivo el oportuno mandamiento judicial, ... a falta de consentimiento del titular o titulares. Si se ha realizado, pues, sin contar con ninguno de esos dos títulos habilitantes, preciso es concluir declarando la nulidad del mismo y, consecuentemente, su carencia absoluta de validez como prueba, según el art. 11.1 de la LOPJ".</w:t>
      </w:r>
    </w:p>
    <w:p w:rsidR="0025129F" w:rsidRDefault="0025129F" w:rsidP="0025129F">
      <w:pPr>
        <w:pStyle w:val="TextoNormal"/>
      </w:pPr>
      <w:r>
        <w:t>Ahora bien, aunque el sometimiento de los jueces al imperio de la ley en el ejercicio de su función jurisdiccional (art. 117.3 CE) y las exigencias constitucionales de fundamentación en Derecho de las resoluciones judiciales (art. 24.1 CE) deberían haber conducido a que el órgano judicial ponderara expresamente la licitud del registro no sólo en atención al derecho a la inviolabilidad del domicilio (art. 18.2 CE), sino también desde la óptica de los requisitos exigidos por la Ley de Enjuiciamiento Criminal para la licitud del registro de lugares cerrados, no puede afirmarse que la ausencia de razonamiento explícito sobre la aplicación o inaplicación de dichos preceptos legales implique una absoluta falta de motivación ni defecto tan desmedido como la arbitrariedad, pues la resolución impugnada no cae en el mero voluntarismo judicial que la prohibición constitucional de incurrir en motivación arbitraria intenta evitar.</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presente recurso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6" w:name="SENTENCIA_2002_83"/>
      <w:r>
        <w:lastRenderedPageBreak/>
        <w:t>SENTENCIA 83/2002, de 22 de abril de 2002</w:t>
      </w:r>
    </w:p>
    <w:bookmarkEnd w:id="86"/>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ECLI:ES:TC:2002:83</w:t>
      </w:r>
    </w:p>
    <w:p w:rsidR="0025129F" w:rsidRDefault="0025129F" w:rsidP="0025129F">
      <w:pPr>
        <w:pStyle w:val="SntesisDescriptiva"/>
      </w:pPr>
    </w:p>
    <w:p w:rsidR="0025129F" w:rsidRDefault="0025129F" w:rsidP="0025129F">
      <w:pPr>
        <w:pStyle w:val="SntesisDescriptiva"/>
      </w:pPr>
      <w:r>
        <w:t>Recurso de amparo 182/1998. Promovido por don Alberto de Alcocer Torra frente a la Sentencia de la Sala de lo Civil del Tribunal Supremo que, estimando el recurso de casación, desestimó su demanda por las fotografías publicadas en la revista “Diez Minutos” en las que aparece con una señora.</w:t>
      </w:r>
    </w:p>
    <w:p w:rsidR="0025129F" w:rsidRDefault="0025129F" w:rsidP="0025129F">
      <w:pPr>
        <w:pStyle w:val="SntesisDescriptiva"/>
      </w:pPr>
    </w:p>
    <w:p w:rsidR="0025129F" w:rsidRDefault="0025129F" w:rsidP="0025129F">
      <w:pPr>
        <w:pStyle w:val="SntesisAnaltica"/>
      </w:pPr>
      <w:r>
        <w:t>Vulneración de los derechos a la intimidad y a la propia imagen: publicación de fotografías privadas obtenidas sin consentimiento de los interesados (STC 139/2001), y que atañen a sus relaciones afectivas, ajenas a su notoriedad profesional.</w:t>
      </w:r>
    </w:p>
    <w:p w:rsidR="0025129F" w:rsidRDefault="0025129F" w:rsidP="0025129F">
      <w:pPr>
        <w:pStyle w:val="SntesisAnaltica"/>
      </w:pPr>
    </w:p>
    <w:p w:rsidR="0025129F" w:rsidRDefault="0025129F" w:rsidP="0025129F">
      <w:pPr>
        <w:pStyle w:val="Extracto"/>
      </w:pPr>
      <w:r>
        <w:t>1.</w:t>
      </w:r>
      <w:r>
        <w:tab/>
        <w:t>Queda evidenciado el carácter personal, privado y reservado de las fotografías, cuya publicación se llevó a cabo sin averiguar su procedencia ni obtener el consentimiento del recurrente, lo cual resulta decisivo para determinar que existió vulneración del derecho a la propia imagen (STC 139/2001) [FJ 4].</w:t>
      </w:r>
    </w:p>
    <w:p w:rsidR="0025129F" w:rsidRDefault="0025129F" w:rsidP="0025129F">
      <w:pPr>
        <w:pStyle w:val="Extracto"/>
      </w:pPr>
    </w:p>
    <w:p w:rsidR="0025129F" w:rsidRDefault="0025129F" w:rsidP="0025129F">
      <w:pPr>
        <w:pStyle w:val="Extracto"/>
      </w:pPr>
      <w:r>
        <w:t>2.</w:t>
      </w:r>
      <w:r>
        <w:tab/>
        <w:t>La notoriedad pública del recurrente en el ámbito de su actividad profesional no le priva de mantener un ámbito reservado de su vida, como es el que atañe a sus relaciones afectivas (STC 115/2000) [FJ 5].</w:t>
      </w:r>
    </w:p>
    <w:p w:rsidR="0025129F" w:rsidRDefault="0025129F" w:rsidP="0025129F">
      <w:pPr>
        <w:pStyle w:val="Extracto"/>
      </w:pPr>
    </w:p>
    <w:p w:rsidR="0025129F" w:rsidRDefault="0025129F" w:rsidP="0025129F">
      <w:pPr>
        <w:pStyle w:val="Extracto"/>
      </w:pPr>
      <w:r>
        <w:t>3.</w:t>
      </w:r>
      <w:r>
        <w:tab/>
        <w:t>Tampoco puede estimarse que la difusión de las controvertidas fotografías estuviera amparada en un interés público constitucionalmente prevalente (SSTC 134/1999, 52/2002) [FJ 5].</w:t>
      </w:r>
    </w:p>
    <w:p w:rsidR="0025129F" w:rsidRDefault="0025129F" w:rsidP="0025129F">
      <w:pPr>
        <w:pStyle w:val="Extracto"/>
      </w:pPr>
    </w:p>
    <w:p w:rsidR="0025129F" w:rsidRDefault="0025129F" w:rsidP="0025129F">
      <w:pPr>
        <w:pStyle w:val="Extracto"/>
      </w:pPr>
      <w:r>
        <w:t>4.</w:t>
      </w:r>
      <w:r>
        <w:tab/>
        <w:t>Doctrina sobre los derechos a la intimidad y a la propia imagen (SSTC 115/2000, 81/2001) [FFJJ 4 y 5].</w:t>
      </w:r>
    </w:p>
    <w:p w:rsidR="0025129F" w:rsidRDefault="0025129F" w:rsidP="0025129F">
      <w:pPr>
        <w:pStyle w:val="Extracto"/>
      </w:pPr>
    </w:p>
    <w:p w:rsidR="0025129F" w:rsidRDefault="0025129F" w:rsidP="0025129F">
      <w:pPr>
        <w:pStyle w:val="Extracto"/>
      </w:pPr>
      <w:r>
        <w:t>5.</w:t>
      </w:r>
      <w:r>
        <w:tab/>
        <w:t>Este Tribunal debe resolver el eventual conflicto entre el derecho a la libertad de información, y los derechos a la intimidad y a la propia imagen, aplicando los cánones de constitucionalidad propios de dichos derechos (SSTC 297/2000, 52/2002) [FJ 3].</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182/98, promovido por don Alberto de Alcocer Torra, representado por el Procurador de los Tribunales don Román Velasco Fernández y asistido por el Abogado don Francisco García-Mon Marañés, contra la Sentencia de 17 de diciembre de 1997 de la Sala de lo Civil del Tribunal Supremo, por la que se declara haber lugar al recurso de casación núm. 30/94 promovido contra la Sentencia dictada por la Sección Decimoctava de la Audiencia Provincial de Madrid de 27 de septiembre de 1993, que confirmó en apelación la Sentencia del Juzgado de Primera Instancia núm. 6 de Madrid de 9 de septiembre de 1991, en autos de juicio incidental de protección jurisdiccional de los derechos fundamentales de la persona. Han intervenido el Ministerio Fiscal y la compañía mercantil Editorial Gráficas Espejo, S.A. (actualmente Hachette Filipacchi, S.A.), representada por el Procurador de los Tribunales don Javier Vázquez Hernández, y con asistencia letrada de don Julio Iturriaga de Pablo. Ha sido Ponente el Magistrado don Pablo García Manzano,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14 de enero de 1998, el Procurador de los Tribunales don Román Velasco Fernández, en nombre y representación de don Alberto de Alcocer Torra, interpuso recurso de amparo contra la Sentencia a la que se hace referencia en el encabezamiento, alegando vulneración del derecho a la intimidad y a la propia imagen (art. 18.1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relevantes para la resolución del caso son, en síntesis, los siguientes: </w:t>
      </w:r>
    </w:p>
    <w:p w:rsidR="0025129F" w:rsidRDefault="0025129F" w:rsidP="0025129F">
      <w:pPr>
        <w:pStyle w:val="TextoNormal"/>
      </w:pPr>
      <w:r>
        <w:t xml:space="preserve">a) El solicitante de amparo formuló demanda incidental de juicio de protección de los derechos fundamentales, al amparo de la Ley 62/1978, de 26 de diciembre, contra don Jesús López Campos, director de la revista "Diez Minutos", contra Editorial Gráficas Espejo, S.A., y contra don Luis Gozalo, por considerar que la publicación de unas fotografías en la portada y en el interior de aquella revista (págs. 16 y 17), en su núm. 2.061, de 22 de febrero de 1991, y en el núm. 2.064 (pág. 61), constituyeron una intromisión ilegítima en sus derechos a la intimidad y a la propia imagen. </w:t>
      </w:r>
    </w:p>
    <w:p w:rsidR="0025129F" w:rsidRDefault="0025129F" w:rsidP="0025129F">
      <w:pPr>
        <w:pStyle w:val="TextoNormal"/>
      </w:pPr>
      <w:r>
        <w:t xml:space="preserve">La demanda fue estimada por Sentencia del Juzgado de Primera Instancia núm. 6 de Madrid de 9 de septiembre de 1991, al considerar que el actor había sufrido una intromisión ilegítima en sus derechos a la intimidad y a la propia imagen con la publicación de dichas fotografías, condenando a los demandados a pasar por tal declaración; a publicar el fallo, anunciándolo en la portada, en el siguiente número de la revista a la fecha de firmeza de la resolución; a la destrucción o inutilización de los clichés, planchas de imprenta o soporte de cualquier clase que contengan las fotografías de autos; y a indemnizar conjunta y solidariamente al demandante en la suma de veinte millones de pesetas más los intereses legales. </w:t>
      </w:r>
    </w:p>
    <w:p w:rsidR="0025129F" w:rsidRDefault="0025129F" w:rsidP="0025129F">
      <w:pPr>
        <w:pStyle w:val="TextoNormal"/>
      </w:pPr>
      <w:r>
        <w:t>En su fundamento jurídico segundo, la Sentencia razona: "De las pruebas propuestas y practicadas en los autos ha quedado acreditado que con ocasión de encontrarse el Sr. Alcocer, junto con doña Margarita Hernández y otros amigos en una playa pública, el primeramente citado entregó a uno de esos amigos, el Sr. Sobrino una cámara fotográfica de su propiedad, con la cual éste, a instancias de aquél fotografió juntos y en situación de afecti</w:t>
      </w:r>
      <w:r>
        <w:lastRenderedPageBreak/>
        <w:t xml:space="preserve">vidad a los dos primeramente citados, devolviendo acto seguido el Sr. Sobrino la cámara a su propietario el actor. Con posterioridad, en el número 2.061 de fecha 22-2-91, la revista 'Diez Minutos', dirigida por el demandado Sr. López Campos y editada por la codemandada Editorial Gráficas Espejo S.A., publicó en portada y en el interior esas fotografías, con el titular 'Tras el escándalo Alberto Cortina-Marta Chávarri ahora gran exclusiva. Las fotos definitivas de Alberto Alcocer-Margarita Hernández', las que igualmente se utilizaron para la confección de un póster publicitario de la mencionada revista que fue exhibido en numerosos puntos de venta con finalidad propagandística de la revista, no de ese número concreto. Nuevamente en el número 2.064 de la citada publicación, se publicó nuevamente una de las fotografías como apoyo gráfico de un determinado reportaje. Tales instantáneas fueron vendidas a la editora por el codemandado D. Luis Gonzalo, que las adquirió no consta cómo, abonándole la empresa aproximadamente, cuatro millones de pesetas por las mismas." </w:t>
      </w:r>
    </w:p>
    <w:p w:rsidR="0025129F" w:rsidRDefault="0025129F" w:rsidP="0025129F">
      <w:pPr>
        <w:pStyle w:val="TextoNormal"/>
      </w:pPr>
      <w:r>
        <w:t xml:space="preserve">Entiende el Juzgado que el supuesto de hecho encaja en el art. 7.5 de la Ley Orgánica 1/1982, de 5 de mayo, de protección civil del derecho al honor, a la intimidad personal y familiar y a la propia imagen, puesto que a cualquier observador objetivo le es palpable que es totalmente privado hallarse en cualquier lugar apartado, en compañía de unos amigos, uno de los cuales hace una fotografía con la propia cámara del fotografiado, al que se devuelve y conserva, salvo que se quiera privar del derecho de estar con amigos y fotografiarse con ellos a una persona por el mero hecho de que tenga negocios. Asimismo, descarta la aplicación de la excepción contemplada en el art. 8.2 de la citada Ley, por cuanto el Sr. Alcocer, si bien es una persona pública en el plano económico, las fotografías no se utilizaron para informar sobre las actividades profesionales del demandante, y por otro lado, a pesar de que la playa es un lugar abierto al público, la captación de las fotografías se hizo fuera de la esfera económica y profesional del actor. </w:t>
      </w:r>
    </w:p>
    <w:p w:rsidR="0025129F" w:rsidRDefault="0025129F" w:rsidP="0025129F">
      <w:pPr>
        <w:pStyle w:val="TextoNormal"/>
      </w:pPr>
      <w:r>
        <w:t xml:space="preserve">b) Contra la anterior resolución, el Sr. López Campos y Editorial Gráficas Espejo, S .A., interpusieron recurso de apelación, que fue desestimado por Sentencia de 27 de septiembre de 1993 de la Sección Decimoctava de lo Civil de la Audiencia Provincial de Madrid, por entender que la difusión de las controvertidas fotografías constituyó un ataque a la intimidad del demandante así como a su derecho a la propia imagen. Rechaza la Audiencia Provincial que en este caso existiera consentimiento para la divulgación y publicación de las imágenes, que el carácter de personaje público del Sr. Alcocer se extienda a su vida íntima, y que el carácter abierto y público de una playa excluya que haya lugares apartados que permitan la intimidad. Por otra parte, se añade que en el presente caso no podía prevalecer el derecho a la información dado que la publicación de las fotografías en absoluto podía contribuir a generar una opinión pública responsable sino que simplemente se limitaban a satisfacer la curiosidad de los ciudadanos. La Sentencia rechaza finalmente que se infringieran los principios de rogación y congruencia, al condenar al pago de una cantidad concreta frente a la petición de la parte de una indemnización a determinar en ejecución, y confirma la cantidad fijada en instancia. </w:t>
      </w:r>
    </w:p>
    <w:p w:rsidR="0025129F" w:rsidRDefault="0025129F" w:rsidP="0025129F">
      <w:pPr>
        <w:pStyle w:val="TextoNormal"/>
      </w:pPr>
      <w:r>
        <w:t xml:space="preserve">c) La mercantil Editorial Gráficas Espejo, S.A., posteriormente absorbida por la entidad Hachette Filipacchi, S.A., interpuso recurso de casación frente a la anterior Sentencia, basado en siete motivos: tres de ellos al amparo del art. 1692.2 LEC, por infracción del art. 20 CE, del art. 2 de la Ley Orgánica 1/1982, y del art. 8.2 a) de la misma Ley; y cuatro motivos al amparo del art. 1692.3 LEC. </w:t>
      </w:r>
    </w:p>
    <w:p w:rsidR="0025129F" w:rsidRDefault="0025129F" w:rsidP="0025129F">
      <w:pPr>
        <w:pStyle w:val="TextoNormal"/>
      </w:pPr>
      <w:r>
        <w:t xml:space="preserve">Por Sentencia de 17 de diciembre de 1996 la Sala de lo Civil del Tribunal Supremo declaró haber lugar al recurso de casación, anulando la Sentencia de la Audiencia Provincial de Madrid y desestimando la demanda interpuesta por el Sr. Alcocer Torra. La Sala estimó </w:t>
      </w:r>
      <w:r>
        <w:lastRenderedPageBreak/>
        <w:t xml:space="preserve">los tres primeros motivos de casación, sin entrar en los otro cuatro motivos alegados por la recurrente. El primero, porque se considera que la libertad de información ampara el reportaje de autos frente a la intimidad del demandante; el segundo, porque los usos personales del mismo y los usos sociales en general eliminan el concepto de intromisión en la intimidad; y el tercero porque concurre la exclusión de la intromisión al derecho a la imagen que contempla el art. 8.2 a) de la Ley Orgánica 1/1982. Y todo ello porque se dan tres elementos: el demandante es persona pública, se da un interés general de la información, y la imagen se tomó en lugar público. </w:t>
      </w:r>
    </w:p>
    <w:p w:rsidR="0025129F" w:rsidRDefault="0025129F" w:rsidP="0025129F">
      <w:pPr>
        <w:pStyle w:val="TextoNormal"/>
      </w:pPr>
      <w:r>
        <w:t>En relación a lo primero, sostiene la Sala que el demandante es persona de proyección pública en su faceta de trascendencia económica, pero rechaza los argumentos de las Sentencias de instancia y apelación, y afirma que "la persona de proyección pública no tiene estas escisiones de su personalidad, en el sentido de que para un ámbito es público y para otro es privado". En relación a lo segundo, declara que en el reportaje concurre un interés general, que no se halla en la importancia o trascendencia del reportaje sino en que se trata de unos actos privados en que la persona, por los usos sociales y por el ámbito que mantiene reservado, le ha convertido en punto de atención de los medios de comunicación, y lo son por constituir en casos semejantes motivo para importantes cambios financieros. Por último, la Sala afirma que la playa es un lugar abierto al público no sólo por ley sino por realidad, rechazando igualmente los argumentos de la instancia.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la demanda se alega como motivo único de amparo la vulneración de los derechos a la intimidad y a la propia imagen (art. 18.1 CE) por cuanto la Sentencia recurrida habría efectuado una ponderación constitucionalmente incorrecta de los derechos en conflicto, en este caso, los alegados y el derecho a la libertad de información [art. 20.1 d) CE]. Se señala de entrada que la publicación de las repetidas fotografías por la revista "Diez Minutos", sin el consentimiento del demandante, motivó que éste presentara en su día demanda de protección civil por considerar que ello entrañó una intromisión ilegítima tanto en su derecho a la intimidad como en su derecho a la propia imagen, y así lo declararon las Sentencias de instancia y apelación. </w:t>
      </w:r>
    </w:p>
    <w:p w:rsidR="0025129F" w:rsidRDefault="0025129F" w:rsidP="0025129F">
      <w:pPr>
        <w:pStyle w:val="TextoNormal"/>
      </w:pPr>
      <w:r>
        <w:t>Se aduce que la Sentencia impugnada, por el contrario, hace prevalecer el derecho a la información por considerar que el recurrente es una personalidad de proyección pública, olvidando que no toda información que se refiera a estos personajes goza de especial protección porque junto a ese elemento subjetivo debe concurrir el elemento objetivo de que los hechos constitutivos de la información, por su relevancia pública, no afecten a la intimidad. Se alega que el demandante no es propiamente "persona pública" sino de proyección pública, mientras la Sentencia impugnada equipara ambas figuras de forma inadmisible desde el punto de vista de la limitación de un derecho fundamental, que sólo debe ceder ante razones superiores de otro de la misma naturaleza que se sobrepone a aquél con base en un interés general. En este sentido, se afirma que no juega en el presente supuesto la excepción contemplada en el art. 8.1 de la Ley Orgánica 1/1982 ("que predomine un interés histórico, científico, o cultural relevante"), ni la prevista para el derecho a la propia imagen en el art. 8.2 de la misma Ley. Sin embargo, la resolución recurrida equipara el interés relevante especificado en aquel precepto con la frívola curiosidad intrascendente, cuando no cabe subordinar el derecho a la privacidad a una curiosidad malsana. Finalmente, se aduce que las controvertidas imágenes no fueron captadas por un profesional del periodismo, sino que son fotografías privadas y de recuerdo, las cuales trascendieron al medio de comunicación sin intervención del demandante, quien nunca otorgó el consenti</w:t>
      </w:r>
      <w:r>
        <w:lastRenderedPageBreak/>
        <w:t xml:space="preserve">miento para su publicación, razón por la cual ésta no puede ampararse en el derecho a la información. </w:t>
      </w:r>
    </w:p>
    <w:p w:rsidR="0025129F" w:rsidRDefault="0025129F" w:rsidP="0025129F">
      <w:pPr>
        <w:pStyle w:val="TextoNormal"/>
      </w:pPr>
      <w:r>
        <w:t>Por todo ello, se solicita el otorgamiento del amparo y, en consecuencia, se reconozca que se ha vulnerado al recurrente sus derechos a la intimidad y a la propia imagen, anulando la Sentencia impugnada, con determinación de la extensión de sus efectos.</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8 de julio de 1998, la Sección Segunda del Tribunal acordó la admisión a trámite de la demanda de amparo y, en aplicación de lo dispuesto en el art. 51 LOTC, dirigir atenta comunicación a los órganos judiciales para que remitieran certificación adverada de las actuaciones y emplazaran a quienes hubieran sido parte en el procedimiento, excepto al demandante de amparo, a fin de que en el término de diez días pudieran comparecer en este proceso y formular las alegaciones pertinentes.</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registrado el 2 de septiembre de 1998, el Procurador de los Tribunales don Javier Vázquez Hernández, en nombre y representación de Hachette Filipacchi, S.A., se personó en el proceso de amparo, solicitando que se entendieran con él las actuaciones sucesivas.</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escrito presentado el 24 de noviembre de 1998, la representación procesal del demandante de amparo solicitó la suspensión de la ejecución de la Sentencia recurrida en amparo.</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providencia de 4 de diciembre de 1998, la Sección Segunda tuvo por recibidas las actuaciones remitidas por los órganos judiciales; acordó tener por personado y parte en el procedimiento al Procurador de los Tribunales don Javier Vázquez Hernández, en nombre y representación de Hachette Filipacchi, S.A.; y tuvo por recibido el escrito de solicitud de suspensión de ejecución de la Sentencia recurrida. Asimismo, acordó dar vista de las actuaciones recibidas, por un plazo común de veinte días, a las partes personadas y al Ministerio Fiscal para que, de conformidad con el art. 52.1 LOTC, presentaran las alegaciones pertinentes. Finalmente, acordó formar la correspondiente pieza separada de suspensión.</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providencia de la misma fecha, la Sección Segunda acordó, de conformidad con lo dispuesto en el art. 56 LOTC, otorgar un plazo de tres días a las partes y al Ministerio Fiscal para que alegaran lo que estimasen pertinente sobre la suspensión solicitada. </w:t>
      </w:r>
    </w:p>
    <w:p w:rsidR="0025129F" w:rsidRDefault="0025129F" w:rsidP="0025129F">
      <w:pPr>
        <w:pStyle w:val="TextoNormal"/>
      </w:pPr>
      <w:r>
        <w:t>Evacuado el trámite de alegaciones conferido, la Sala Primera del Tribunal dictó Auto de 25 de enero de 1999 por el que acordó denegar la suspensión de la ejecución de la Sentencia impugnada.</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En su escrito de alegaciones registrado en este Tribunal el 31 de diciembre de 1998, el recurrente da por reproducidas las contenidas en el escrito de demanda. Reitera que la Sentencia impugnada realizó una inadecuada ponderación de los derechos en conflicto al dar prevalencia al derecho a la información frente al derecho a la intimidad con base exclusivamente en la circunstancia de ser el Sr. Alcocer una persona de proyección pública, y considerar la playa un lugar abierto al público, lo cual conduce a negar los derechos de la personalidad por el simple hecho de ser una persona conocida y encontrarse en un lugar </w:t>
      </w:r>
      <w:r>
        <w:lastRenderedPageBreak/>
        <w:t>abierto. Además, la resolución impugnada habría ignorado que la prevalencia del derecho a la información frente a los derechos de la personalidad requiere que esa información satisfaga un interés general, lo cual no ocurre en este caso pues la imágenes divulgadas no suministran tal información, ni con ellas se satisface ningún interés social legítimo y sí un afán comercial de dar a conocer situaciones privadas sin ninguna relevancia. Por otra parte, de los propios actos del demandante no se desprendería que éste favoreciera la publicidad o divulgación de su vida privada. Se alega finalmente que la Sentencia recurrida ignora que las mencionadas fotografías no fueron captadas por un profesional del periodismo sino por un amigo del recurrente, y que llegaron a poder de una agencia por causas desconocidas, circunstancias que en sí mismas serían suficientes para amparar sin más razonamientos la prevalencia del derecho a la intimidad frente al derecho a la información. Por todo ello, se solicita de nuevo el otorgamiento del amparo.</w:t>
      </w:r>
    </w:p>
    <w:p w:rsidR="0025129F" w:rsidRDefault="0025129F" w:rsidP="0025129F">
      <w:pPr>
        <w:pStyle w:val="TextoNormal"/>
      </w:pPr>
    </w:p>
    <w:p w:rsidR="0025129F" w:rsidRDefault="0025129F" w:rsidP="0025129F">
      <w:pPr>
        <w:pStyle w:val="TextoNormal"/>
      </w:pPr>
      <w:r w:rsidRPr="0025129F">
        <w:rPr>
          <w:rStyle w:val="NumeroAFNegritaCaracter"/>
        </w:rPr>
        <w:t>10</w:t>
      </w:r>
      <w:r>
        <w:t>. En las alegaciones presentadas el 31 de diciembre de 1998 por el Procurador de los Tribunales don Javier Vázquez Hernández, en nombre de la mercantil Hachette Filipacchi, S.A., se interesa la desestimación de la demanda de amparo por entender que la resolución recurrida no ha vulnerado los derechos a la intimidad y a la propia imagen del recurrente. Y ello porque el Tribunal Supremo habría realizado una correcta ponderación de aquellos derechos con el derecho a la información al tener en cuenta la condición de personaje público del Sr. Alcocer, el carácter abierto del lugar donde se tomaron las fotografías, la inexistencia de afectación de la intimidad y la naturaleza noticiable de lo publicado. En relación a este último extremo, se aduce que el interés general de la información contenida en el reportaje se desprendía de la propia publicación pues el artículo se refería a las consecuencias económicas que se generaron a raíz de la publicación de las fotografías del primo del recurrente, don Alberto Cortina junto a doña Marta Chávarri, y que en este caso los usos personales y sociales del demandante eliminaron el concepto de intromisión ilegítima. Se añade que en el escrito del demandante se realiza una interpretación insostenible de los arts. 7.5 y 8.2 a) de la Ley Orgánica 1/1982, la cual conduciría a que ninguna persona pública pudiera ser fotografiada en lugares abiertos salvo cuando ejerciera su oficio o actividad habitual. Se señala asimismo que la consideración de personas públicas y el lugar abierto de captación de las fotografías legitiman su publicación, destacando la trascendencia pública que han tenido las relaciones afectivas de los Sres. Alcocer y Cortina. Concurrirían además las causas justificativas previstas por el art. 8.2 de la Ley Orgánica 1/1982, en relación al derecho a la propia imagen, sin necesidad de conjugarlas con las causas justificativas generales contempladas en el art. 8.1 de la misma Ley. Por último, se alega que la procedencia de las fotografías no es objeto de la litis, pues no se discute en este proceso el modo en que aquéllas llegaron a la redacción de la revista que las publicó, por lo que debe centrarse exclusivamente en la existencia de una pretendida intromisión ilegítima en los derechos a la intimidad y a la propia imagen del recurrente.</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Finalmente, el Ministerio Fiscal presentó su escrito de alegaciones el 13 de enero de 1999, en el cual interesa el otorgamiento del amparo por entender que la Sentencia recurrida ha desprotegido indebidamente el derecho a la intimidad del recurrente. Comienza el Fiscal señalando que en el presente caso se hallan implicados tanto el derecho a la propia imagen como el derecho a la intimidad, de acuerdo con el art. 7.5 de la Ley Orgánica 1/1982, y distingue entre la fotografía donde los dos protagonistas aparecen tumbados en la playa, y aquella otra en la que aparecen besándose, a la que no debería aplicarse la excepción prevista en el art. 8.2 de dicha Ley, reservada a la protección de la propia imagen. </w:t>
      </w:r>
      <w:r>
        <w:lastRenderedPageBreak/>
        <w:t xml:space="preserve">Ello a pesar de que las fotografías se tomaran en una playa, pues fueron realizadas con la cámara del propio actor, que no prestó en ningún momento su consentimiento a la publicación. Se trataría pues de una imagen reveladora de una relación amorosa entre los protagonistas cuya publicación supuso un ataque a su intimidad. </w:t>
      </w:r>
    </w:p>
    <w:p w:rsidR="0025129F" w:rsidRDefault="0025129F" w:rsidP="0025129F">
      <w:pPr>
        <w:pStyle w:val="TextoNormal"/>
      </w:pPr>
      <w:r>
        <w:t xml:space="preserve">En relación al carácter público del recurrente, se afirma su inequívoca notoriedad pública, que sin embargo no le privaría de todo derecho a su vida privada, pues únicamente en aquellos casos en que una persona, por sus propios actos, descuide manifiestamente el ámbito protegido por este derecho fundamental cabe entender desprotegida su intimidad. Por otra parte, el Fiscal discrepa del criterio del Tribunal Supremo, que considera de interés público la información publicada por cuanto en este caso no se atisba tal interés sino mera curiosidad. </w:t>
      </w:r>
    </w:p>
    <w:p w:rsidR="0025129F" w:rsidRDefault="0025129F" w:rsidP="0025129F">
      <w:pPr>
        <w:pStyle w:val="TextoNormal"/>
      </w:pPr>
      <w:r>
        <w:t xml:space="preserve">Finalmente, alega que la ponderación realizada por el Tribunal Supremo obedece más a la jurisprudencia americana que a la doctrina de este Tribunal puesto que en el sistema americano no existen prácticamente límites a la libertad de expresión, mientras nuestra Constitución establece expresamente tales límites (art. 20.1 CE) y reconoce el derecho a la intimidad con carácter fundamental (art. 18.1 CE). De ahí que la ponderación realizada por la Sentencia impugnada resulte insuficiente para proteger adecuadamente el derecho a la intimidad al aplicar una posición preferente a la libertad de información debido a un interés público inexistente, estimando causas de exclusión de la antijuridicidad inadecuadas para la conducta del actor en relación a su intimidad. </w:t>
      </w:r>
    </w:p>
    <w:p w:rsidR="0025129F" w:rsidRDefault="0025129F" w:rsidP="0025129F">
      <w:pPr>
        <w:pStyle w:val="TextoNormal"/>
      </w:pPr>
      <w:r>
        <w:t>Concluye, pues, el Ministerio Fiscal que el derecho a la intimidad del actor ha quedado desprotegido indebidamente por la Sentencia impugnada, y por ello debe ser anulada para que se dicte otra que reconozca la existencia de una intromisión ilegítima en la intimidad del recurrente.</w:t>
      </w:r>
    </w:p>
    <w:p w:rsidR="0025129F" w:rsidRDefault="0025129F" w:rsidP="0025129F">
      <w:pPr>
        <w:pStyle w:val="TextoNormal"/>
      </w:pPr>
    </w:p>
    <w:p w:rsidR="0025129F" w:rsidRDefault="0025129F" w:rsidP="0025129F">
      <w:pPr>
        <w:pStyle w:val="TextoNormal"/>
      </w:pPr>
      <w:r w:rsidRPr="0025129F">
        <w:rPr>
          <w:rStyle w:val="NumeroAFNegritaCaracter"/>
        </w:rPr>
        <w:t>12</w:t>
      </w:r>
      <w:r>
        <w:t>. Por providencia de 18 de abril de 2002 se señaló para votación y fallo del presente recurso el día 22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la Sentencia de la Sala de lo Civil del Tribunal Supremo de 17 de diciembre de 1997, a la que atribuye lesión de sus derechos a la intimidad y a la propia imagen (art. 18.1 CE). Dicha Sentencia casó la dictada por la Audiencia Provincial de Madrid de 27 de septiembre de 1993, que había confirmado en apelación la pronunciada el 9 de septiembre de 1991 por el Juzgado de Primera Instancia núm. 6 de Madrid, acogiendo tres de los siete motivos de casación.</w:t>
      </w:r>
    </w:p>
    <w:p w:rsidR="0025129F" w:rsidRDefault="0025129F" w:rsidP="0025129F">
      <w:pPr>
        <w:pStyle w:val="TextoNormal"/>
      </w:pPr>
      <w:r>
        <w:t xml:space="preserve">La mencionada Sentencia del Juzgado de Primera Instancia declaró, y la Audiencia Provincial confirmó, que la publicación de unas fotografías en la portada y en el interior de la revista "Diez Minutos", en su núm. 2.061, de 22 de febrero de 1991, y en el núm. 2.064, constituyeron una intromisión ilegítima en los derechos a la intimidad y a la propia imagen del demandante de amparo. De acuerdo con los hechos probados, dichas imágenes recogen al recurrente junto con doña Margarita Hernández tumbados en una playa, en situación de afectividad, y fueron tomadas con la cámara fotográfica del primero por un amigo suyo, el Sr.  Sobrino, quien la devolvió al Sr. Alcocer, procediendo posteriormente éste a su revelado. Sin quedar acreditada su procedencia, las fotografías llegaron a poder de don Luis Gozalo, quien las vendió por cuatro millones de pesetas a la mercantil Editorial Gráficas Espejo, S.A., posteriormente absorbida por Hachette Filipacchi, S.A. Sin </w:t>
      </w:r>
      <w:r>
        <w:lastRenderedPageBreak/>
        <w:t>comprobar la procedencia de las fotos ni recabar el consentimiento de los que aparecen en ellas, la editorial las publicó en la portada de la revista "Diez Minutos" de 22 de febrero de 1991 con el titular: "Tras el escándalo Alberto Cortina- Marta Chávarri, ahora gran exclusiva: las fotos definitivas de Alberto Alcocer y Margarita Hernández". Las mismas fotografías sirvieron también para confeccionar un cartel publicitario de la revista, distribuido en los puestos de venta, y una de ellas, como se ha dicho, fue nuevamente publicada en un número posterior.</w:t>
      </w:r>
    </w:p>
    <w:p w:rsidR="0025129F" w:rsidRDefault="0025129F" w:rsidP="0025129F">
      <w:pPr>
        <w:pStyle w:val="TextoNormal"/>
      </w:pPr>
      <w:r>
        <w:t>La Sentencia dictada en casación declaró que la publicación de las repetidas fotografías no vulneró los derechos a la intimidad y a la propia imagen del recurrente al considerar, en primer lugar, que el reportaje publicado estaba amparado por la libertad de información; en segundo lugar, por estimar que los usos personales del recurrente y los usos sociales en general eliminan el concepto de intromisión en la intimidad; y en tercer lugar, por concurrir la exclusión de la intromisión al derecho a la imagen que contempla el art. 8.2 a) de la Ley Orgánica 1/1982. La Sala funda tales declaraciones en tres circunstancias: que el demandante es persona de proyección pública, que se da un interés general de la información, y que la imagen se tomó en lugar abierto al público, como es una playa.</w:t>
      </w:r>
    </w:p>
    <w:p w:rsidR="0025129F" w:rsidRDefault="0025129F" w:rsidP="0025129F">
      <w:pPr>
        <w:pStyle w:val="TextoNormal"/>
      </w:pPr>
    </w:p>
    <w:p w:rsidR="0025129F" w:rsidRDefault="0025129F" w:rsidP="0025129F">
      <w:pPr>
        <w:pStyle w:val="TextoNormal"/>
      </w:pPr>
      <w:r w:rsidRPr="0025129F">
        <w:rPr>
          <w:rStyle w:val="NumeroAFNegritaCaracter"/>
        </w:rPr>
        <w:t>2</w:t>
      </w:r>
      <w:r>
        <w:t>. Alega el demandante en amparo que la Sentencia impugnada vulnera los derechos a la intimidad y a la propia imagen (art. 18.1 CE) por cuanto efectúa una ponderación constitucionalmente incorrecta entre tales derechos y el derecho a la libertad de información [art. 20.1 d) CE], al declarar la prevalencia de este último con base en la condición de personaje público del demandante, en el interés general de la información, y en el carácter abierto del lugar en que se tomaron las fotografías publicadas por la revista, tres criterios que se rebaten. Se alega que el demandante no es propiamente "persona pública" sino de proyección pública, circunstancia que por sí sola no protege cualquier información referida a ella, especialmente si lo hechos revelados afectan a su intimidad. Tampoco concurriría la excepción contemplada en el art. 8.1 de la Ley Orgánica 1/1982 ("que predomine un interés histórico, científico, o cultural relevante"), ni la prevista para el derecho a la propia imagen en el art. 8.2 de la misma Ley, pues la información publicada no satisface un interés general sino la frívola curiosidad intrascendente y un afán comercial de dar a conocer situaciones privadas sin ninguna relevancia. Finalmente, se aduce que las imágenes difundidas no fueron captadas por un profesional del periodismo, sino que son fotografías privadas y de recuerdo, las cuales fueron obtenidas por el medio de comunicación sin intervención del demandante, quien nunca otorgó el consentimiento para su publicación, circunstancia que por sí solo impediría que pudieran ampararse en el derecho a la información.</w:t>
      </w:r>
    </w:p>
    <w:p w:rsidR="0025129F" w:rsidRDefault="0025129F" w:rsidP="0025129F">
      <w:pPr>
        <w:pStyle w:val="TextoNormal"/>
      </w:pPr>
      <w:r>
        <w:t xml:space="preserve">Por su parte, la representación procesal de Hachette Filipacchi, S.A., entidad que absorbió a Editorial Gráficas Espejo, S.A., editora de la revista, interesa la desestimación de la demanda de amparo por entender que la resolución recurrida no vulneró los derechos invocados por el demandante. Alega que la Sentencia del Tribunal Supremo realizó una correcta ponderación entre aquellos derechos y el derecho a la información, haciendo prevalecer este último teniendo en cuenta la condición de personaje público del demandante, el carácter abierto del lugar donde se tomaron las fotografías, la inexistencia de afectación de la intimidad y la naturaleza noticiable de lo publicado. El interés general de la información difundida vendría confirmado por las consecuencias económicas que se generaron a raíz de la publicación de las fotografías de don Alberto Cortina junto a doña Marta Chávarri, destacando la trascendencia pública que tuvieron las relaciones afectivas de los Sres. Alcocer y Cortina.  Concurrirían, además, las causas justificativas previstas por el art. 8.2 </w:t>
      </w:r>
      <w:r>
        <w:lastRenderedPageBreak/>
        <w:t>de la Ley Orgánica 1/1982 en relación al derecho a la propia imagen, al tratarse de fotografías de personas públicas en un lugar abierto, lo cual legitima su publicación.  Asimismo, dicha parte sostiene que la procedencia de las fotografías no es objeto del proceso de amparo, el cual debe centrarse exclusivamente en la existencia o no de una pretendida intromisión ilegítima en los derechos a la intimidad y a la propia imagen del recurrente, excluyendo el modo y manera en que las fotografías llegaron a la revista.</w:t>
      </w:r>
    </w:p>
    <w:p w:rsidR="0025129F" w:rsidRDefault="0025129F" w:rsidP="0025129F">
      <w:pPr>
        <w:pStyle w:val="TextoNormal"/>
      </w:pPr>
      <w:r>
        <w:t>El Ministerio Fiscal solicita la estimación del recurso de amparo ya que, a su juicio, la Sentencia recurrida, inspirándose en la jurisprudencia americana, ha llevado a cabo una ponderación de los derechos en conflicto que ha desprotegido indebidamente el derecho a la intimidad del recurrente, al asignar una posición preferente a la libertad de información debido a un interés público inexistente, estimando causas de exclusión de la antijuridicidad inadecuadas para la conducta del actor. A juicio del Fiscal, la imagen en la que aparecen los protagonistas besándose revela una relación amorosa entre aquéllos, cuya publicación supuso un ataque a su intimidad, y por ello no sería aquí de aplicación la excepción prevista en el art.  8.2 de la Ley Orgánica 1/1982, reservada a la protección de la propia imagen. Y ello a pesar de que las fotografías se tomaran en una playa, pues fueron realizadas con la cámara fotográfica del propio actor, que no prestó en ningún momento su consentimiento a la publicación.  Por otra parte, la notoriedad pública del recurrente no privaría a éste de todo derecho a su vida privada, pues únicamente en aquellos casos en que una persona, por sus propios actos, descuide manifiestamente el ámbito protegido por este derecho fundamental cabe entender desprotegida su intimidad. Por último, el Fiscal discrepa del criterio del Tribunal Supremo, que considera de interés público la información publicada, por cuanto en este caso no se atisba tal interés sino mera curiosidad.  Por todo ello interesa el otorgamiento del amparo y la anulación de la Sentencia impugnada para que se dicte otra que reconozca la existencia de una intromisión ilegítima en la intimidad del recurrente.</w:t>
      </w:r>
    </w:p>
    <w:p w:rsidR="0025129F" w:rsidRDefault="0025129F" w:rsidP="0025129F">
      <w:pPr>
        <w:pStyle w:val="TextoNormal"/>
      </w:pPr>
    </w:p>
    <w:p w:rsidR="0025129F" w:rsidRDefault="0025129F" w:rsidP="0025129F">
      <w:pPr>
        <w:pStyle w:val="TextoNormal"/>
      </w:pPr>
      <w:r w:rsidRPr="0025129F">
        <w:rPr>
          <w:rStyle w:val="NumeroAFNegritaCaracter"/>
        </w:rPr>
        <w:t>3</w:t>
      </w:r>
      <w:r>
        <w:t>. Debe señalarse, ante todo, la gran similitud entre el presente recurso de amparo y el que fue resuelto por nuestra STC 139/2001, de 18 de junio, dada la práctica identidad de los supuestos de hecho, el objeto de ambos procesos y los términos en los que se plantea el debate jurídico en los dos casos.</w:t>
      </w:r>
    </w:p>
    <w:p w:rsidR="0025129F" w:rsidRDefault="0025129F" w:rsidP="0025129F">
      <w:pPr>
        <w:pStyle w:val="TextoNormal"/>
      </w:pPr>
      <w:r>
        <w:t>En efecto, al igual que en la citada Sentencia, debemos determinar en este recurso si la publicación en la portada y en el interior de la revista "Diez Minutos" de unas fotografías del recurrente junto con doña Margarita Hernández constituyó una intromisión ilegítima en su derecho a la propia imagen, y también en su derecho a la intimidad. En el proceso a quo quedó probado que dichas imágenes, en las que aparecen ambos tumbados en una playa, en situación de afectividad, fueron tomadas con la cámara fotográfica del recurrente por un amigo suyo, quien la devolvió al Sr. Alcocer, procediendo posteriormente éste a su revelado. Y, asimismo, se acreditó que dichas fotografías, sin quedar determinado a través de qué medio, llegaron a poder de don Luis Gonzalo, quien las vendió por cuatro millones de pesetas a la mercantil Editorial Gráficas Espejo, S.A., posteriormente absorbida por Hachette Filipacchi, S.A., la cual sin recabar el consentimiento de los que aparecen en ellas, procedió a su publicación en la portada de la citada revista, en su número de 22 de febrero de 1991, con el titular: "Tras el escándalo Alberto Cortina-Marta Chávarri, ahora gran exclusiva: las fotos definitivas de Alberto Alcocer y Margarita Hernández". Las controvertidas fotografías sirvieron también para confeccionar un cartel publicitario de la revista, distribuido en los puestos de venta, y una de ellas, como se ha dicho, fue nuevamente publicada en un número posterior.</w:t>
      </w:r>
    </w:p>
    <w:p w:rsidR="0025129F" w:rsidRDefault="0025129F" w:rsidP="0025129F">
      <w:pPr>
        <w:pStyle w:val="TextoNormal"/>
      </w:pPr>
      <w:r>
        <w:lastRenderedPageBreak/>
        <w:t>La queja del demandante de amparo cuestiona la ponderación que el Tribunal Supremo ha realizado entre el derecho a la libertad de información, que ha considerado prevalente, y los derechos a la intimidad y a la propia imagen, que se estimaron vulnerados en las Sentencias de instancia y apelación. Hemos declarado en numerosas ocasiones que en estos casos nuestro juicio no se circunscribe a un examen externo de la suficiencia y consistencia de la motivación de las resoluciones judiciales bajo el prisma del art. 24.1 CE, sino que este Tribunal, en su condición de garante máximo de los derechos fundamentales, debe resolver el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49/2001, de 26 de febrero, FJ 3; 204/2001, de 15 de octubre, FJ 2; 46/2002, de 25 de febrero, FJ 5; 52/2002, de 25 de febrero, FJ 4). En consecuencia, en casos como el presente, hemos de aplicar los cánones de constitucionalidad propios de dichos derechos a los hechos establecidos por los Jueces y Tribunales (STC 297/2000, de 11 de diciembre, FJ 3), que nuestro examen debe respetar escrupulosamente [art.44.1 b) LOTC].</w:t>
      </w:r>
    </w:p>
    <w:p w:rsidR="0025129F" w:rsidRDefault="0025129F" w:rsidP="0025129F">
      <w:pPr>
        <w:pStyle w:val="TextoNormal"/>
      </w:pPr>
    </w:p>
    <w:p w:rsidR="0025129F" w:rsidRDefault="0025129F" w:rsidP="0025129F">
      <w:pPr>
        <w:pStyle w:val="TextoNormal"/>
      </w:pPr>
      <w:r w:rsidRPr="0025129F">
        <w:rPr>
          <w:rStyle w:val="NumeroAFNegritaCaracter"/>
        </w:rPr>
        <w:t>4</w:t>
      </w:r>
      <w:r>
        <w:t>. Pues bien, el recurrente aduce que las imágenes publicadas en la revista "Diez Minutos" vulneraron su derecho a la propia imagen y su derecho a la intimidad, dos derechos fundamentales consagrados en el art. 18.1 de la Constitución, que a pesar de su estrecha relación en tanto que derechos de la personalidad, derivados de la dignidad humana y dirigidos a la protección del patrimonio moral de las personas, tienen, no obstante, un contenido propio y específico (STC 156/2001, de 2 de julio, FJ 3).  Dado, pues, que son derechos autónomos (STC 81/2001, de 26 de marzo, FJ 2), debemos enjuiciar por separado las vulneraciones aducidas, y a efectos del canon de enjuiciamiento aplicable, examinar respecto de cada derecho si ha existido una intromisión en su contenido y posteriormente si, a pesar de ello, esa intromisión resulta o no justificada por la existencia de otros derechos o bienes constitucionales más dignos de protección dadas las circunstancias del caso (STC 156/2001, FJ 3).</w:t>
      </w:r>
    </w:p>
    <w:p w:rsidR="0025129F" w:rsidRDefault="0025129F" w:rsidP="0025129F">
      <w:pPr>
        <w:pStyle w:val="TextoNormal"/>
      </w:pPr>
      <w:r>
        <w:t xml:space="preserve">El canon de constitucionalidad aplicable al conflicto entre el derecho a la propia imagen del recurrente y el derecho a la libertad de información, invocado por la editora de la revista, no puede ser otro que el fijado en los fundamentos jurídicos 4 y 5 de la STC 139/2001, puesto que ésta, como se ha dicho, resolvió un supuesto de hecho idéntico al que se da el presente recurso. Invocando las SSTC 99/1994, de 11 de abril; 117/1994, de 17 de abril, y especialmente, la STC 81/2001, de 26 de marzo, recordamos allí la caracterización constitucional del derecho a la propia imagen como "un derecho de la personalidad, derivado de la dignidad humana y dirigido a proteger la dimensión moral de las personas, que atribuye a su titular un derecho a determinar la información gráfica generada por sus rasgos físicos personales que puede tener difusión pública. La facultad otorgada por este derecho, en tanto que derecho fundamental, consiste en esencia en impedir la obtención, reproducción o publicación de la propia imagen por parte de un tercero no autorizado, sea cual sea la finalidad - informativa, comercial, científica, cultural, etc.- perseguida por quien la capta o difunde" (STC 81/2001, FJ 2). Y precisando aún los contornos del mismo, afirmamos que "se trata de un derecho constitucional autónomo que dispone de un ámbito específico de protección frente a reproducciones de la imagen que, afectando a la </w:t>
      </w:r>
      <w:r>
        <w:lastRenderedPageBreak/>
        <w:t>esfera personal de su titular, no lesionan su buen nombre ni dan a conocer su vida íntima, pretendiendo la salvaguarda de un ámbito propio y reservado, aunque no íntimo, frente a la acción y conocimiento de los demás. Por ello atribuye a su titular la facultad para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(SSTC 231/1988, FJ 3; 99/1994, de 11 de abril, FJ 5)" (STC 81/2001, FJ 2).</w:t>
      </w:r>
    </w:p>
    <w:p w:rsidR="0025129F" w:rsidRDefault="0025129F" w:rsidP="0025129F">
      <w:pPr>
        <w:pStyle w:val="TextoNormal"/>
      </w:pPr>
      <w:r>
        <w:t>La aplicación de los anteriores criterios a la reproducción de las fotografías aquí enjuiciada conduce a la conclusión de que su publicación por parte de la revista "Diez Minutos" constituye una intromisión ilegítima en el derecho a la propia imagen del recurrente, que no puede encontrar protección en el derecho a comunicar libre información veraz [art. 20.1 d) CE]. Dicha conclusión se alcanza partiendo de la naturaleza de las imágenes, un documento personal de carácter estrictamente privado y familiar, que se insertan en el ámbito propio y reservado de lo que es la esfera personal de los afectados, y, por lo tanto, también de la esfera personal del recurrente en amparo. Su pertenencia a dicho ámbito personal y privado queda además acreditada por las propias circunstancias que han rodeado a las fotografías cuestionadas: su obtención por un amigo del demandante, con la cámara de éste, en una playa en compañía de amigos y con destino a un recuerdo íntimo. En el contexto que acaba de expresarse, dijimos en la STC 139/2001, queda evidenciado dicho carácter personal, privado y reservado de las expresadas fotografías, cualesquiera que fueran las personas a las que reproducían y el lugar en que se hubieran hecho. Por otra parte, no es ocioso destacar el hecho de que dichas fotografías salieran a la luz pública sin el consentimiento de los afectados, y mediante una operación de terceros ajena a su voluntad.</w:t>
      </w:r>
    </w:p>
    <w:p w:rsidR="0025129F" w:rsidRDefault="0025129F" w:rsidP="0025129F">
      <w:pPr>
        <w:pStyle w:val="TextoNormal"/>
      </w:pPr>
      <w:r>
        <w:t>Ciertamente, no quedó determinado en el proceso cómo las fotos llegaron a manos del Sr.  Gozalo, y no puede este Tribunal sustituir a los órganos judiciales en la constatación de los hechos probados [art. 44.1 b) LOTC], pero sí se acreditó que su publicación por parte de la revista se llevó a cabo sin averiguar su procedencia ni obtener el consentimiento del recurrente (fundamento de Derecho primero de la Sentencia impugnada), lo cual resulta decisivo para determinar que existió vulneración del derecho a la propia imagen, pues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w:t>
      </w:r>
    </w:p>
    <w:p w:rsidR="0025129F" w:rsidRDefault="0025129F" w:rsidP="0025129F">
      <w:pPr>
        <w:pStyle w:val="TextoNormal"/>
      </w:pPr>
      <w:r>
        <w:t>La Sentencia recurrida en amparo estimó el recurso de casación, entre otros motivos, porque consideró que concurría la exclusión de la intromisión en el derecho a la imagen que contempla el art. 8.2 a) de la Ley Orgánica 1/1982, al ser el demandante una persona pública, darse un interés general de la información, y haberse tomado la imagen en lugar público. El órgano judicial no tuvo en cuenta, en su juicio de ponderación, la naturaleza privada y el carácter personal y familiar de las fotografías ni su forma de obtención, mediante una operación ajena a la voluntad del actor y sin su consentimiento, razones por las cuales no es adecuado, pues no ha ponderado el derecho a la propia imagen del recurrente y el derecho a comunicar información, respetando la definición constitucional de cada derecho y sus límites.</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Procede examinar ahora si la publicación de las fotos objeto de este amparo constituyó también una intromisión ilegítima en la intimidad personal y familiar del recurrente, como éste sostiene en su demanda. Coincide en esta alegación el Ministerio Fiscal, quien </w:t>
      </w:r>
      <w:r>
        <w:lastRenderedPageBreak/>
        <w:t>estima que una de las imágenes del reportaje, concretamente aquélla en la que el ahora demandante y su acompañante aparecen besándose, revelaría una relación amorosa entre los protagonistas cuya publicación supuso un ataque a su intimidad, sin estar amparada por la notoriedad pública del Sr. Alcocer ni por el interés público de la información.</w:t>
      </w:r>
    </w:p>
    <w:p w:rsidR="0025129F" w:rsidRDefault="0025129F" w:rsidP="0025129F">
      <w:pPr>
        <w:pStyle w:val="TextoNormal"/>
      </w:pPr>
      <w:r>
        <w:t>Hemos ya avanzado que, dado el carácter autónomo de los derechos garantizados en el art.  18.1 CE, mediante la captación y reproducción de una imagen pueden lesionarse al mismo tiempo el derecho a la intimidad y el derecho a la propia imagen, lo que ocurriría en los casos en los que la imagen difundida, además de mostrar los rasgos físicos que permiten la identificación de una persona determinada, revelara aspectos de su vida privada y familiar que se han querido reservar del público conocimiento.  En tales supuestos la apreciación de la vulneración del derecho a la imagen no impedirá, en su caso, la apreciación de las eventuales lesiones al derecho a la intimidad que se hayan podido causar, pues, desde la perspectiva constitucional, el desvalor de la acción no es el mismo cuando los hechos realizados sólo pueden considerarse lesivos del derecho a la imagen que cuando, además, a través de la imagen pueda vulnerarse también el derecho a la intimidad (STC 156/2001, FJ 3).</w:t>
      </w:r>
    </w:p>
    <w:p w:rsidR="0025129F" w:rsidRDefault="0025129F" w:rsidP="0025129F">
      <w:pPr>
        <w:pStyle w:val="TextoNormal"/>
      </w:pPr>
      <w:r>
        <w:t>Sentado lo anterior, debe recordarse ahora la reiterada doctrina de este Tribunal (por todas, la STC 115/2000, de 10 de mayo, FJ 4, con cita de las SSTC 134/1999, de 15 de julio; 73/1982, de 2 de diciembre; 110/1984, de 26 de noviembre; 231/1988, de 2 de diciembre; 197/1991, de 17 de octubre; 143/1994, de 9 de mayo, y 151/1997, de 29 de septiembre) según la cual el derecho fundamental a la intimidad reconocido por el art. 18.1 CE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una intimidad determinada sino el derecho a poseerla, disponiendo a este fin de un poder jurídico sobre la publicidad de la información relativa al círculo reservado de su persona y su familia, con independencia del contenido de aquello que se desea mantener al abrigo del conocimiento público. Lo que el art. 18.1 CE garantiza es, pues, el secreto sobre nuestra propia esfera de vida personal y, por tanto, veda que sean los terceros, particulares o poderes públicos, quienes decidan cuáles son los contornos de nuestra vida privada.</w:t>
      </w:r>
    </w:p>
    <w:p w:rsidR="0025129F" w:rsidRDefault="0025129F" w:rsidP="0025129F">
      <w:pPr>
        <w:pStyle w:val="TextoNormal"/>
      </w:pPr>
      <w:r>
        <w:t>La aplicación de esta doctrina al presente caso conduce a apreciar que la publicación de las controvertidas fotografías por la revista "Diez Minutos" invadió ilegítimamente la esfera de la intimidad personal y familiar del recurrente, al revelar sus relaciones afectivas con la Sra.  Hernández, propósito indiscutible del reportaje como se desprende del texto que acompaña a las imágenes, en el que se dice que la relación entre los dos protagonistas no era tan conocida como la relación Cortina-Chávarri, añadiendo: "Nosotros hemos conseguido en exclusiva las fotografías de la pareja. Como se puede comprobar, las imágenes son suficientemente elocuentes: dos enamorados que, ajenos a cuanto les rodea, dan rienda suelta a sus sentimientos". Asimismo, el pie de foto de una de ellas reza: "Esta imagen pone en evidencia los sentimientos de un hombre y una mujer libres para amar: Alberto Alcocer y Margarita Hernández". Se trata de una clara intromisión en la intimidad del recurrente que no puede considerarse amparada en la existencia de un bien o derecho fundamental merecedor de mayor protección, como el derecho a comunicar información.</w:t>
      </w:r>
    </w:p>
    <w:p w:rsidR="0025129F" w:rsidRDefault="0025129F" w:rsidP="0025129F">
      <w:pPr>
        <w:pStyle w:val="TextoNormal"/>
      </w:pPr>
      <w:r>
        <w:t xml:space="preserve">En la Sentencia recurrida, por el contrario, el Tribunal Supremo sostiene que las imágenes difundidas estaban amparadas en la libertad de información por ser el demandante </w:t>
      </w:r>
      <w:r>
        <w:lastRenderedPageBreak/>
        <w:t>una persona pública y darse un interés general de la información. Lo primero por ser aquél una persona de proyección pública en su faceta de trascendencia económica, afirmando que la persona de proyección pública no tiene escisiones en su personalidad, en el sentido de que para un ámbito es público y para otro es privado, como se declara en las Sentencias de instancia y apelación. Y lo segundo porque el interés general no se halla en la importancia o trascendencia del reportaje sino en que se trata de unos actos privados en que la persona, por los usos sociales y por el ámbito que mantiene reservado, le ha convertido en punto de atención de los medios de comunicación, y lo son por constituir en casos semejantes motivo para importantes cambios financieros, en alusión a las relaciones entre el Sr. Cortina y la Sra. Chávarri, desveladas por la misma revista.</w:t>
      </w:r>
    </w:p>
    <w:p w:rsidR="0025129F" w:rsidRDefault="0025129F" w:rsidP="0025129F">
      <w:pPr>
        <w:pStyle w:val="TextoNormal"/>
      </w:pPr>
      <w:r>
        <w:t>Tales criterios, sin embargo, no se acomodan a la definición constitucional y los límites de los derechos en conflicto, de acuerdo con la jurisprudencia de este Tribunal. En efecto el recurrente es, desde luego, una persona con notoriedad pública por diversas razones, entre ellas su frecuente presencia en los medios de comunicación exponiendo al conocimiento de terceros su actividad profesional, por lo que cabe incluirla en el grupo de aquellos sujetos que, junto con quienes tienen atribuidas la administración del poder público, por su actividad asumen un mayor riesgo frente a informaciones que les conciernen.</w:t>
      </w:r>
    </w:p>
    <w:p w:rsidR="0025129F" w:rsidRDefault="0025129F" w:rsidP="0025129F">
      <w:pPr>
        <w:pStyle w:val="TextoNormal"/>
      </w:pPr>
      <w:r>
        <w:t>No obstante, como declaramos en la STC 115/2000, de 10 de mayo, FJ 5, si bien los personajes con notoriedad pública inevitablemente ven reducida su esfera de intimidad, no es menos cierto que, más allá de ese ámbito abierto al conocimiento de los demás su intimidad permanece y, por tanto, el derecho constitucional que la protege no se ve minorado en el ámbito que el sujeto se ha reservado y su eficacia como límite al derecho de información es igual a la de quien carece de toda notoriedad (STC 134/1999, de 15 de julio, FJ 7, por todas). De otro lado, no toda información que se refiere a una persona con notoriedad pública goza de esa especial protección, sino que para ello es exigible, junto a ese elemento subjetivo del carácter público de la persona afectada, el elemento objetivo de que los hechos constitutivos de la información, por su relevancia pública, no afecten a la intimidad, por restringida que ésta sea (STC 197/1991, FJ 4).</w:t>
      </w:r>
    </w:p>
    <w:p w:rsidR="0025129F" w:rsidRDefault="0025129F" w:rsidP="0025129F">
      <w:pPr>
        <w:pStyle w:val="TextoNormal"/>
      </w:pPr>
      <w:r>
        <w:t>Pues bien, la notoriedad pública del recurrente en el ámbito de su actividad profesional, y en concreto su proyección pública en el campo de las finanzas, no le priva de mantener, más allá de esta esfera abierta al conocimiento de los demás, un ámbito reservado de su vida como es el que atañe a sus relaciones afectivas, sin que su conducta en aquellas actividades profesionales elimine el derecho a la intimidad de su vida amorosa, si por propia voluntad decide, como en este caso, mantenerla alejada del público conocimiento ya que corresponde a cada persona acotar el ámbito de intimidad personal y familiar que reserva al conocimiento ajeno. De nuevo, las circunstancias en que las fotografías fueron captadas, difundidas y presentadas ponen de relieve que, en este caso, no se justifica el descenso de las barreras de reserva impuestas por el propio recurrente; a tal efecto es irrelevante el sólo dato de que las imágenes fueran captadas en una playa, como lugar abierto al uso público, pues ello no elimina la relevante circunstancia de que aquéllas fueron obtenidas en el círculo íntimo de las personas afectadas, sin que éstas, atendidas todas las circunstancias concurrentes, descuidasen su intimidad personal y familiar, abriéndola al público conocimiento.</w:t>
      </w:r>
    </w:p>
    <w:p w:rsidR="0025129F" w:rsidRDefault="0025129F" w:rsidP="0025129F">
      <w:pPr>
        <w:pStyle w:val="TextoNormal"/>
      </w:pPr>
      <w:r>
        <w:t xml:space="preserve">Por otra parte, tampoco puede estimarse que la difusión de las controvertidas fotografías estuviera amparada en un interés público constitucionalmente prevalente. Hemos declarado que éste concurre cuando la información que se comunica es relevante para la comunidad, lo cual justifica la exigencia de que se asuman perturbaciones o molestias ocasionadas por la difusión de una determinada noticia (SSTC 134/1999, de 15 de julio, FJ 8; </w:t>
      </w:r>
      <w:r>
        <w:lastRenderedPageBreak/>
        <w:t>154/1999, de 14 de septiembre, FJ 9; 52/2002, de 25 de febrero, FJ 8).  En este punto, como advertimos en la STC 115/2000, FJ 9, resulta decisivo determinar si nos encontramos ante unos hechos o circunstancias susceptibles de afectar al conjunto de los ciudadanos, lo cual es sustancialmente distinto ya sea de la simple satisfacción de la curiosidad humana por conocer la vida de otros, o bien de lo que a juicio de uno de dichos medios puede resultar noticioso en un determinado momento (STC 134/1999, FJ 8, entre otras muchas). Pues hemos declarado que la preservación de ese reducto de inmunidad sólo puede ceder, cuando del derecho a la información se trata, si lo difundido afecta, por su objeto y su valor, al ámbito de lo público, que no coincide, claro es, con aquéllo que pueda suscitar o despertar, meramente, la curiosidad ajena (STC 29/1992, de 11 de febrero, FJ 3).</w:t>
      </w:r>
    </w:p>
    <w:p w:rsidR="0025129F" w:rsidRDefault="0025129F" w:rsidP="0025129F">
      <w:pPr>
        <w:pStyle w:val="TextoNormal"/>
      </w:pPr>
      <w:r>
        <w:t>En el presente caso, es claro que la revelación de las relaciones afectivas del recurrente, propósito inequívoco del reportaje en el que se incluyen las controvertidas fotografías, carece en absoluto de cualquier trascendencia para la comunidad porque no afecta al conjunto de los ciudadanos ni a la vida económica o política del país, al margen de la mera curiosidad generada por la propia revista en este caso al atribuir un valor noticioso a la publicación de las repetidas imágenes, el cual no debe ser confundido con un interés público digno de protección constitucional.</w:t>
      </w:r>
    </w:p>
    <w:p w:rsidR="0025129F" w:rsidRDefault="0025129F" w:rsidP="0025129F">
      <w:pPr>
        <w:pStyle w:val="TextoNormal"/>
      </w:pPr>
      <w:r>
        <w:t>De todo lo anterior debe, pues, concluirse que la publicación por parte de la revista "Diez Minutos" de las fotografías en las que aparece el recurrente junto a la Sra. Hernández vulneró sus derechos a la intimidad y a la propia imagen (art. 18.1 CE), y por ello debe otorgarse al demandante el amparo solicitado, procediendo anular la Sentencia de la Sala de lo Civil del Tribunal Supremo de 17 de diciembre de 1997, que así no lo apreció.</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por don Alberto de Alcocer Torra y, en consecuencia:</w:t>
      </w:r>
    </w:p>
    <w:p w:rsidR="0025129F" w:rsidRDefault="0025129F" w:rsidP="0025129F">
      <w:pPr>
        <w:pStyle w:val="TextoNormal"/>
      </w:pPr>
      <w:r>
        <w:t>1º Reconocer los derechos fundamentales del demandante a la intimidad y a la propia imagen (art. 18.1 CE).</w:t>
      </w:r>
    </w:p>
    <w:p w:rsidR="0025129F" w:rsidRDefault="0025129F" w:rsidP="0025129F">
      <w:pPr>
        <w:pStyle w:val="TextoNormal"/>
      </w:pPr>
      <w:r>
        <w:t>2º Anular la Sentencia de la Sala de lo Civil del Tribunal Supremo, de 17 de diciembre de 1997, pronunciada en el recurso de casación núm. 30/94.</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7" w:name="SENTENCIA_2002_84"/>
      <w:r>
        <w:lastRenderedPageBreak/>
        <w:t>SENTENCIA 84/2002, de 22 de abril de 2002</w:t>
      </w:r>
    </w:p>
    <w:bookmarkEnd w:id="87"/>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ECLI:ES:TC:2002:84</w:t>
      </w:r>
    </w:p>
    <w:p w:rsidR="0025129F" w:rsidRDefault="0025129F" w:rsidP="0025129F">
      <w:pPr>
        <w:pStyle w:val="SntesisDescriptiva"/>
      </w:pPr>
    </w:p>
    <w:p w:rsidR="0025129F" w:rsidRDefault="0025129F" w:rsidP="0025129F">
      <w:pPr>
        <w:pStyle w:val="SntesisDescriptiva"/>
      </w:pPr>
      <w:r>
        <w:t>Recurso de amparo 2639/1998. Promovido por doña Isabel Velázquez Vila y otro respecto a las Sentencias de la Sala de lo Social del Tribunal Superior de Justicia de Andalucía y de un Juzgado de lo Social de Sevilla, que desestimaron su demanda contra la Diputación Provincial de Sevilla sobre ocupación efectiva.</w:t>
      </w:r>
    </w:p>
    <w:p w:rsidR="0025129F" w:rsidRDefault="0025129F" w:rsidP="0025129F">
      <w:pPr>
        <w:pStyle w:val="SntesisDescriptiva"/>
      </w:pPr>
    </w:p>
    <w:p w:rsidR="0025129F" w:rsidRDefault="0025129F" w:rsidP="0025129F">
      <w:pPr>
        <w:pStyle w:val="SntesisAnaltica"/>
      </w:pPr>
      <w:r>
        <w:t>Vulneración del derecho a la libertad sindical: indicios racionales de marginación laboral de trabajadores por su condición de representantes sindicales.</w:t>
      </w:r>
    </w:p>
    <w:p w:rsidR="0025129F" w:rsidRDefault="0025129F" w:rsidP="0025129F">
      <w:pPr>
        <w:pStyle w:val="SntesisAnaltica"/>
      </w:pPr>
    </w:p>
    <w:p w:rsidR="0025129F" w:rsidRDefault="0025129F" w:rsidP="0025129F">
      <w:pPr>
        <w:pStyle w:val="Extracto"/>
      </w:pPr>
      <w:r>
        <w:t>1.</w:t>
      </w:r>
      <w:r>
        <w:tab/>
        <w:t>Los actores han sufrido una conducta empresarial contraria a su derecho fundamental de libertad sindical (art. 28.1 CE), al no haber quedado acreditado por la parte contraria que la reunificación de oficinas llevara aparejada un cambio de funciones [FJ 6].</w:t>
      </w:r>
    </w:p>
    <w:p w:rsidR="0025129F" w:rsidRDefault="0025129F" w:rsidP="0025129F">
      <w:pPr>
        <w:pStyle w:val="Extracto"/>
      </w:pPr>
    </w:p>
    <w:p w:rsidR="0025129F" w:rsidRDefault="0025129F" w:rsidP="0025129F">
      <w:pPr>
        <w:pStyle w:val="Extracto"/>
      </w:pPr>
      <w:r>
        <w:t>2.</w:t>
      </w:r>
      <w:r>
        <w:tab/>
        <w:t>La privación de sus despachos y de personal auxiliar, los cambios en sus funciones, la conflictividad previa y el clima de confrontación preexistente permiten afirmar la existencia de un fondo o panorama discriminatorio general que son indicios racionales de la lesión alegada [FJ 5].</w:t>
      </w:r>
    </w:p>
    <w:p w:rsidR="0025129F" w:rsidRDefault="0025129F" w:rsidP="0025129F">
      <w:pPr>
        <w:pStyle w:val="Extracto"/>
      </w:pPr>
    </w:p>
    <w:p w:rsidR="0025129F" w:rsidRDefault="0025129F" w:rsidP="0025129F">
      <w:pPr>
        <w:pStyle w:val="Extracto"/>
      </w:pPr>
      <w:r>
        <w:t>3.</w:t>
      </w:r>
      <w:r>
        <w:tab/>
        <w:t>Doctrina sobre la distribución de la carga de la prueba relativa a la vulneración de derechos fundamentales (SSTC 38/1981, 90/1997, 30/2002) [FJ 3].</w:t>
      </w:r>
    </w:p>
    <w:p w:rsidR="0025129F" w:rsidRDefault="0025129F" w:rsidP="0025129F">
      <w:pPr>
        <w:pStyle w:val="Extracto"/>
      </w:pPr>
    </w:p>
    <w:p w:rsidR="0025129F" w:rsidRDefault="0025129F" w:rsidP="0025129F">
      <w:pPr>
        <w:pStyle w:val="Extracto"/>
      </w:pPr>
      <w:r>
        <w:t>4.</w:t>
      </w:r>
      <w:r>
        <w:tab/>
        <w:t>La libertad de organización empresarial encuentra un límite infranqueable en el derecho fundamental a la libertad sindical (STC 29/2002) [FJ 6].</w:t>
      </w:r>
    </w:p>
    <w:p w:rsidR="0025129F" w:rsidRDefault="0025129F" w:rsidP="0025129F">
      <w:pPr>
        <w:pStyle w:val="Extracto"/>
      </w:pPr>
    </w:p>
    <w:p w:rsidR="0025129F" w:rsidRDefault="0025129F" w:rsidP="0025129F">
      <w:pPr>
        <w:pStyle w:val="Extracto"/>
      </w:pPr>
      <w:r>
        <w:t>5.</w:t>
      </w:r>
      <w:r>
        <w:tab/>
        <w:t>Cuando se enjuicia la presunta vulneración de un derecho sustantivo, como lo es el relativo a la libertad sindical, el test de razonabilidad que este Tribunal aplica a los derechos del art. 24 CE queda absorbido por el canon propio de aquel derecho (STC 14/2002)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2639/98, promovido por doña Isabel Velázquez Vila y don Rafael García Garaizabal, representados por el Procurador de los Tribunales don Eduardo Muñoz Barona y asistidos por la Letrada doña Aurora León González, contra Sentencia de la Sala de lo Social del Tribunal Superior de Justicia de Andalucía de fecha 5 de mayo de 1998, recaída en recurso de suplicación núm. 867/98.Ha intervenido el Ministerio Fiscal. Ha comparecido el Organismo Provincial de Asistencia Económica y Fiscal de la Diputación Provincial de Sevilla, representado por el Procurador don Antonio de Palma Villalón y asistido por el Letrado don Francisco de Cossío Martínez. Ha sido Ponente el Magistrado don Roberto García-Calvo y Montiel,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ante este Tribunal el 11 de junio de 1998 doña Isabel Velázquez Vila y don Rafael García Garaizabal, representados por el Procurador de los Tribunales don Eduardo Muñoz Barona, interpuso recurso de amparo contra la resolución judicial de la que se hace mérito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Constituyen la base fáctica de la demanda los siguientes antecedentes de hecho: </w:t>
      </w:r>
    </w:p>
    <w:p w:rsidR="0025129F" w:rsidRDefault="0025129F" w:rsidP="0025129F">
      <w:pPr>
        <w:pStyle w:val="TextoNormal"/>
      </w:pPr>
      <w:r>
        <w:t xml:space="preserve">a) Los recurrentes en amparo, en fecha 2 de febrero de 1997, en su calidad de Jefes de Zona del Organismo Provincial de Asistencia Económica y Fiscal, dependiente de la Diputación Provincial de Sevilla, recibieron una comunicación del Jefe de Personal del referido organismo, en la que se les informaba de la unificación de sus respectivas oficinas (Sevilla - 2 y Sevilla - 3) en la Oficina de Recaudación Ejecutiva Provincial, por lo que debían desalojar sus despachos y trasladarse a la planta segunda del mismo edificio, poniéndose a las órdenes del Jefe de la citada Unidad. </w:t>
      </w:r>
    </w:p>
    <w:p w:rsidR="0025129F" w:rsidRDefault="0025129F" w:rsidP="0025129F">
      <w:pPr>
        <w:pStyle w:val="TextoNormal"/>
      </w:pPr>
      <w:r>
        <w:t xml:space="preserve">El 12 de febrero de 1997 contestaron ambos a la anterior comunicación, haciendo constar que los trabajados que en lo sucesivo se les encomendasen, debían permitirles el ejercicio de las funciones y competencias que tenían atribuidas en virtud de lo establecido en el convenio colectivo entonces vigente -que en éste punto constituye la concreción de la normativa contenida en el Reglamento General de Recaudación- y en particular, el ejercicio de la jefatura inmediata en los procedimientos en la vía de apremio, el asesoramiento sobre la cobranza en período ejecutivo, el impulso y dirección de la gestión recaudatoria, el dictado de las providencias de apremio y la expedición de mandamientos de anotación preventiva de embargo. No obstante, una vez incorporados a su nuevo puesto, los recurrentes en amparo constataron que se les ha marginado del impulso y dirección ininterrumpida de la gestión recaudatoria en vía ejecutiva. </w:t>
      </w:r>
    </w:p>
    <w:p w:rsidR="0025129F" w:rsidRDefault="0025129F" w:rsidP="0025129F">
      <w:pPr>
        <w:pStyle w:val="TextoNormal"/>
      </w:pPr>
      <w:r>
        <w:t>b) Al no haber sido atendidas las peticiones de los actores contenidas en el escrito de fecha 12 de febrero de 1997, interpusieron demanda sobre tutela de la libertad sindical, que fue turnada al Juzgado de lo Social núm. 10 de los de Sevilla. Dicho Juzgado, en Sentencia de 23 de octubre de 1997, estimó que no existían indicios suficientes para considerar que tales modificaciones tenían su origen en la actividad sindical de aquéllos. En los hechos probados se reflejaba que: 1) A los actores, en el año 1993, se les ordenó su traslado a las oficinas centrales sitas en la calle Farmacéutico Murillo Herrera, por lo que éstos interpusieron demanda sobre tutela de derechos fundamentales, que fue estimada por Sen</w:t>
      </w:r>
      <w:r>
        <w:lastRenderedPageBreak/>
        <w:t xml:space="preserve">tencia de fecha 12 de diciembre de 1994, dictada por el Juzgado de lo Social núm. 3 de Sevilla, declarándose su derecho a ser repuestos en sus funciones y que cesara el comportamiento discriminatorio y antisindical (hecho probado primero). 2) Doña Isabel Velázquez Vila es delegada de la Sección Sindical de CC OO y don Rafael García Garaizábal es miembro del Comité de empresa por la candidatura de dicho sindicato, habiendo desarrollado ambos la actividad sindical y seguido las orientaciones del sindicato CC OO, manteniendo discrepancias con la dirección de la entidad demandada, habiendo denunciado desde varios años antes supuestas conductas discriminatorias e irregularidades en la contratación de personal, solicitando con reiteración el cese del director del organismo. Los actores son los únicos jefes de zona que prestan servicios en el organismo demandando. La Sra. Velázquez interpuso demanda declarativa de derechos al entender que los jefes de zona eran discriminados en la aplicación de determinadas cláusulas convencionales relativas al pago de incentivos. La demanda fue estimada por la Sentencia de instancia que entendió discriminatorio el sistema de cálculo de los incentivos para los jefes de zona. Por la Sala de lo Social del Tribunal Superior de Justicia se estimó la falta de acción, puesto que entendía se trataba de anticipar una resolución a los posibles conflictos futuros que se produjeran como consecuencia del cálculo de tales incentivos (hecho probado 2). 3) Se recoge extensamente las diferencias que en relación con la aplicación del cálculo de incentivos se ha producido entre los actores y los demás trabajadores (hecho probado 3). 4) En el convenio colectivo para el año 1996, se eliminó el concepto de "incentivo variable", por lo que la representación de CC OO hizo constar su disconformidad con lo que consideraba un tratamiento discriminatorio para los actores (hecho probado 4). 5) En lo relativo a las funciones de los actores, y responsabilidades propias del cargo, el 2 de febrero de 1997 el Jefe de Personal les remitió comunicación indicándoles que se habían unificado las oficinas (Sevilla - 2 y Sevilla - 3) afectando a su trabajo, y que debían ponerse a las órdenes del Jefe de la ejecutiva provincial. Los actores dirigieron escrito de 12 de febrero de 1997 al Jefe de Personal haciendo constar que los trabajos que se les encomienden deben permitirles el ejercicio de las funciones propias de su puesto. Habiéndose incorporado a su nuevo despacho, siguiendo las órdenes recibidas, los actores han podido constatar que se les ha marginado del impulso y dirección ininterrumpida de la gestión recaudatoria en vía ejecutivas (hecho probado 5). 6) No existe ningún acuerdo de la demanda en que se haya decidido privar de sus competencias a los actores, ni se ha cursado comunicación alguna sobre ello al Comité de empresa (hecho probado 6). 7) Que el Consejo de Administración, en sesión de 28 de marzo de 1989, nombró a doña Isabel Velázquez Vila y don Rafael García Garaizábal, Jefes de Zona Recaudatoria y que en dicho Consejo se aprobaron las funciones propias de la plaza, entre las que se encuentran las de "impulsar y dirigir la gestión recaudatoria en vía ejecutiva, mediante el uso de las facultades y prerrogativas de su función dentro del correspondiente ámbito territorial, dictando al efecto cuantas providencias sean necesarias para la realización de los débitos en vía ejecutiva, especialmente la providencia de embargo" (hecho probado 7). </w:t>
      </w:r>
    </w:p>
    <w:p w:rsidR="0025129F" w:rsidRDefault="0025129F" w:rsidP="0025129F">
      <w:pPr>
        <w:pStyle w:val="TextoNormal"/>
      </w:pPr>
      <w:r>
        <w:t xml:space="preserve">El Juzgado afirma en su fundamentación jurídica, con cita de la doctrina sentada en esta materia por el Tribunal Constitucional, que siendo necesario que del juicio resulten indicios de que las actuaciones empresariales se han debido a motivos sindicales, estos indicios no aparecen. Señala, finalmente, que tales indicios "han sido profusamente alegados pero no han sido probados. Es cierto que ha habido variaciones de tipo salarial y funcional, pero no se ha demostrado que se deba a que la actora pertenezca a CC OO ni a sus actuaciones sindicales". </w:t>
      </w:r>
    </w:p>
    <w:p w:rsidR="0025129F" w:rsidRDefault="0025129F" w:rsidP="0025129F">
      <w:pPr>
        <w:pStyle w:val="TextoNormal"/>
      </w:pPr>
      <w:r>
        <w:lastRenderedPageBreak/>
        <w:t xml:space="preserve">c) Contra el referido pronunciamiento se presentó el correspondiente recurso de suplicación articulando dos motivos: el primero dirigido a modificar el relato histórico de la Sentencia y el segundo de carácter jurídico. La Sentencia de la Sala de lo Social del Tribunal Superior de Justicia de Andalucía, sede Sevilla, de 5 de mayo de 1998, desestimó el recurso interpuesto. La Sala procedió, en primer lugar, a rechazar la modificación del hecho probado primero por considerar se pretendía introducir valoraciones jurídicas o de hecho, impropias de la premisa fáctica. En segundo lugar, accedió a la modificación del hecho probado segundo interesada por los recurrentes en el sentido de adicionar que el sindicato CC OO y en su nombre los actores y otros miembros del mismo vienen denunciando desde hace varios años la marginación y discriminación a la que se encuentran sometidos en razón de su adscripción sindical. Finalmente, rechazó la revisión solicitada del hecho probado séptimo. </w:t>
      </w:r>
    </w:p>
    <w:p w:rsidR="0025129F" w:rsidRDefault="0025129F" w:rsidP="0025129F">
      <w:pPr>
        <w:pStyle w:val="TextoNormal"/>
      </w:pPr>
      <w:r>
        <w:t>Entrando en la revisión de la fundamentación jurídica, la Sentencia de la Sala de lo Social del Tribunal consideró, en relación con la inversión de la carga de la prueba y la exigencia de indicios aportados por la parte demandante, partiendo de la distinción de la Sentencia del Tribunal Supremo, Sala de lo Social, de 9 de febrero de 1996 entre indicios y sospecha, que "todo el esfuerzo revisorio y argumental del recurso va dirigido a poner de relieve la existencia de una antigua actitud en la conducta del organismo demandado, lo que hubo de ser impugnado en la vía judicial y sancionado en ésta, así como que también se dan tensiones entre los actores y dicho organismo derivadas de las funciones sindicales que aquéllos tienen encomendadas. Pero aun así, de ello lo máximo que cabe deducir es la sospecha abstracta de que la demanda pudiera tener un interés genérico de no favorecer o incluso perjudicar a los actores, mas, ya hemos dicho que la mera sospecha no es suficiente, sino que han de existir indicios racionales de que el concreto actuar de la empresa se debía a los móviles discriminatorios o antisindicales denunciados". Para la Sala esos indicios no son constatables en este caso "sino que por el contrario se da por probado, de un lado, que el cambio de centro de trabajo obedeció a una unificación de oficinas, pero sin que ello supusiera privar a los actores de sus competencias". Por otro lado, en cuanto a las mermas retributivas son debidas "a lo previsto con carácter general por el nuevo convenio colectivo, que fue suscrito, entre otros sindicatos, también por CC OO, sindicato que, pese a que ha mostrado cierta oposición a dicho convenio, no consta que lo haya impugnado", ni la impugnación puede entenderse realizada por la presente acción al no ser acumulables la acción de tutela de libertad sindical y la de impugnación de convenio colectivo (art. 176 LPL).</w:t>
      </w:r>
    </w:p>
    <w:p w:rsidR="0025129F" w:rsidRDefault="0025129F" w:rsidP="0025129F">
      <w:pPr>
        <w:pStyle w:val="TextoNormal"/>
      </w:pPr>
    </w:p>
    <w:p w:rsidR="0025129F" w:rsidRDefault="0025129F" w:rsidP="0025129F">
      <w:pPr>
        <w:pStyle w:val="TextoNormal"/>
      </w:pPr>
      <w:r w:rsidRPr="0025129F">
        <w:rPr>
          <w:rStyle w:val="NumeroAFNegritaCaracter"/>
        </w:rPr>
        <w:t>3</w:t>
      </w:r>
      <w:r>
        <w:t>. Se interpone recurso de amparo contra la resolución judicial de que se hace mérito en el encabezamiento de esta Sentencia interesando su nulidad por vulneración de los arts. 24 y 28 CE. Se alega que en su demanda inicial los recurrentes en amparo solicitaban el cese del comportamiento antisindical así como que se les reintegrara en todas las responsabilidades y competencias propias de su cargo de jefes de zona. La Sentencia de instancia declaró en el hecho probado quinto que los actores han sido privados de sus competencias de impulso y dirección de la gestión recaudatoria sin que existiera ningún acuerdo al respecto. Sin embargo, un razonamiento de la Sentencia de suplicación que constituye un argumento determinante del fallo es el de que "el cambio de centro de trabajo obedeció a una unificación de oficinas, pero sin que ello supusiera privar a los actores de competencias", lo que supone una modificación de oficio de los hechos probados en perjuicio de los recurrentes, que también lo eran en suplicación. Entiende la parte recurrente que tal modificación de los hechos probados al margen de los cauces procesales del recurso de suplica</w:t>
      </w:r>
      <w:r>
        <w:lastRenderedPageBreak/>
        <w:t xml:space="preserve">ción, atribuyéndose la Sala una facultad de revisión fáctica como si de una segunda instancia se tratara, empeorando la situación de los recurrentes declarada por la sentencia de instancia en base a su solo recurso, lesiona el art. 24.1 CE. </w:t>
      </w:r>
    </w:p>
    <w:p w:rsidR="0025129F" w:rsidRDefault="0025129F" w:rsidP="0025129F">
      <w:pPr>
        <w:pStyle w:val="TextoNormal"/>
      </w:pPr>
      <w:r>
        <w:t>Finalmente, considera la demanda de amparo vulnerado el art. 28.1 CE. A juicio de los recurrentes, la lesión del derecho de libertad sindical se habría producido, pues, partiendo de los hechos probados, tal y como quedaron reforzados por la modificación admitida en suplicación, se deducen indicios reales, y no meras sospechas, de un entorno antisindical contrario al sindicato de los actores y a los propios actores. No se acredita por la parte contraria que la reunificación de oficinas llevara aparejada un cambio de funciones, ni ningún órgano competente así lo ha declarado; dicho cambio se impuso por vía de los hechos, para dificultar la prueba a los actores, y el mismo carece de toda justificación objetiva y razonable. La Sala convierte en exigencia de prueba plena lo que es una exigencia de indicios en la doctrina constitucional sobre carga de la prueba en estos supuestos, exigiendo una prueba imposible y diabólica al sólo poderse probar hechos, pero no las intenciones subyacentes a los mismos. En el presente caso, continúan los recurrentes, se ha acreditado que ya en 1993 y 1994 fueron discriminados en su situación profesional por motivos sindicales, según declara Sentencia firme. También se desprende de los hechos la marginación salarial que vienen sufriendo. Estas discriminaciones se sitúan en un marco de denuncias sobre marginación del sindicato CC OO y de las irregularidades empresariales. De todo lo anterior se deduce un trasfondo discriminatorio del que no es difícil deducir una motivación antisindical. Entiende la demanda de amparo, por último, que por la parte contraria sólo se ha negado la marginación funcional de los actores, pero no se ha aportado ninguna justificación objetiva y razonable de dicha marginación.</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26 de abril de 1999 la Sección Primera de este Tribunal acordó admitir a trámite la demanda de amparo y, a tenor de lo dispuesto en el art. 51 LOTC, requerir al Juzgado de lo Social núm. 10 de Sevilla y, a la Sala de lo Social del Tribunal Superior de Justicia de Andalucía, sede Sevilla, para que, en plazo de diez días, remitieran certificación o fotocopia adverada de las actuaciones, así como para que se procediera a la práctica de los emplazamientos pertinentes.</w:t>
      </w:r>
    </w:p>
    <w:p w:rsidR="0025129F" w:rsidRDefault="0025129F" w:rsidP="0025129F">
      <w:pPr>
        <w:pStyle w:val="TextoNormal"/>
      </w:pPr>
    </w:p>
    <w:p w:rsidR="0025129F" w:rsidRDefault="0025129F" w:rsidP="0025129F">
      <w:pPr>
        <w:pStyle w:val="TextoNormal"/>
      </w:pPr>
      <w:r w:rsidRPr="0025129F">
        <w:rPr>
          <w:rStyle w:val="NumeroAFNegritaCaracter"/>
        </w:rPr>
        <w:t>5</w:t>
      </w:r>
      <w:r>
        <w:t>. Por escrito de 12 de agosto de 1999 se personó la representación procesal de Organismo Provincial de Asistencia Económica y Fiscal de la Diputación Provincial de Sevilla y, por providencia de fecha de 22 de noviembre de 1999, la Sala Primera la tuvo por personada y parte en el procedimiento, acordando, conforme al art. 52.1 LOTC, dar vista de las actuaciones recibidas a las partes y al Ministerio Fiscal por plazo común de veinte días.</w:t>
      </w:r>
    </w:p>
    <w:p w:rsidR="0025129F" w:rsidRDefault="0025129F" w:rsidP="0025129F">
      <w:pPr>
        <w:pStyle w:val="TextoNormal"/>
      </w:pPr>
    </w:p>
    <w:p w:rsidR="0025129F" w:rsidRDefault="0025129F" w:rsidP="0025129F">
      <w:pPr>
        <w:pStyle w:val="TextoNormal"/>
      </w:pPr>
      <w:r w:rsidRPr="0025129F">
        <w:rPr>
          <w:rStyle w:val="NumeroAFNegritaCaracter"/>
        </w:rPr>
        <w:t>6</w:t>
      </w:r>
      <w:r>
        <w:t>. Por escrito registrado ante este Tribunal el 22 de diciembre de 1999 la representación actora formuló alegaciones, en las cuales reiteró las ya vertidas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El Fiscal ante el Tribunal Constitucional, en escrito de 23 de diciembre de 1999, solicitó la estimación del recurso de amparo, al haber existido la vulneración denunciada del derecho fundamental. El Fiscal procede a exponer la doctrina constitucional sobre la inversión de la carga de la prueba en materia de protección sindical y, puesta en relación con el caso concreto que da lugar al presente recurso de amparo, concluye que se aprecia en él que la valoración que los órganos judiciales han hecho de todas las circunstancias concu</w:t>
      </w:r>
      <w:r>
        <w:lastRenderedPageBreak/>
        <w:t>rrentes puede considerase lesiva del derecho fundamental de libertad sindical. En efecto, del relato de hechos probados se dejan entrever la realidad de una conducta discriminatoria. En primer lugar, en el convenio colectivo para 1993-1994, se pactó un sistema de cómputo del incentivo variable, que suponía una diferenciación porcentual que sólo afectaba a los actores, ya que eran los dos únicos jefes de zona; convenio que, por otra parte, no podrían los demandantes impugnar. En segundo lugar, una ulterior sentencia de fecha 12 de diciembre de 1994 dictada por el Juzgado de lo Social núm. 3 de Sevilla declaró, por similares actuaciones de la empresa, la existencia de un comportamiento discriminatorio y antisindical. En tercer lugar, la Sentencia del Juzgado de lo Social núm. 4 de Sevilla de fecha 29 de febrero de 1996 entendió discriminatorio el sistema de cálculo de los incentivos para los jefes de zona, si bien por la Sala de lo Social del Tribunal Superior de Justicia se estimó la falta de acción, puesto que entendía se trataba de anticipar una resolución a los posibles conflictos futuros que se produjeran como consecuencia del cálculo de tales incentivos. En cuarto lugar, la Sentencia dictada por el Juzgado de lo Social núm. 10, aunque desestima la demanda por entender que no puede deducirse que el interés de la empresa sea el de afectar el ejercicio de la libertad sindical, afirma, no obstante, la existencia del trato discriminatorio denunciado. Y, en fin, el acta del juicio celebrado en fecha 30 de septiembre de 1997, recoge las manifestaciones de dos testigos propuestos por la parte actora que, entre otros extremos, afirman que se hizo una objeción al convenio de 1996, consistente en que existía discriminación salarial; que no hubo reestructuración del área de recaudación del Organismo Provincial de Asistencia Económica y Fiscal, ni ningún acuerdo para introducir cambios en el desarrollo de su cometidos, que no se unificaron las zonas, sino sólo el funcionamiento interno de las oficinas y que cuando los actores desempeñaban sus funciones, todos los integrantes de la respectiva oficina de cada zona estaban bajo sus exclusivas órdenes.</w:t>
      </w:r>
    </w:p>
    <w:p w:rsidR="0025129F" w:rsidRDefault="0025129F" w:rsidP="0025129F">
      <w:pPr>
        <w:pStyle w:val="TextoNormal"/>
      </w:pPr>
    </w:p>
    <w:p w:rsidR="0025129F" w:rsidRDefault="0025129F" w:rsidP="0025129F">
      <w:pPr>
        <w:pStyle w:val="TextoNormal"/>
      </w:pPr>
      <w:r w:rsidRPr="0025129F">
        <w:rPr>
          <w:rStyle w:val="NumeroAFNegritaCaracter"/>
        </w:rPr>
        <w:t>8</w:t>
      </w:r>
      <w:r>
        <w:t>. Por escrito registrado ante este Tribunal el 24 de diciembre de 1999, el Organismo Provincial de Asistencia Económica y Fiscal formuló alegaciones en las que entiende que la imputación que se hace en la demanda de amparo a tenor de la cual se ha producido una actuación irregular del Tribunal Superior de Justicia al haberse sustituido los hechos probados por otros fundamentos jurídicos no puede considerarse como tal por considerarse que lo que hace la Sala no es modificar los hechos probados sino aplicar su propia interpretación de los mismos. Por un lado, el hecho de si los actores han sido cambiados de centro de trabajo o de planta es absolutamente irrelevante, más aun cuando dicho cambio fue expresamente aceptado por los mismos. Por otro lado, lo que ha entendido la Sala y el Juzgado de lo Social ha sido que se ha producido una reorganización de las oficinas, centralizando el servicio, pero no sólo a los actores, sino todo el personal afecto a las anteriores oficinas que dirigían los actores y si se centralizan los servicios es necesario reorganizar las competencias. Finalmente, entiende que "ni un solo dato hay en el procedimiento, ni de lejos, que esta reorganización general se haya hecho para perjudicar a los actores, no ya en su condiciones de trabajadores del Organismo, sino tampoco en su calidad de representantes de los trabajadores o de miembros de un sindicato".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21 de febrero de 2002 se acordó señalar el día 25 del mismo mes y año para la deliberación y votación del presente recurso de amparo, día en el que comenzó habiendo terminado en el día de hoy.</w:t>
      </w:r>
    </w:p>
    <w:p w:rsidR="0025129F" w:rsidRDefault="0025129F" w:rsidP="0025129F">
      <w:pPr>
        <w:pStyle w:val="TextoNormal"/>
      </w:pPr>
    </w:p>
    <w:p w:rsidR="0025129F" w:rsidRDefault="0025129F" w:rsidP="0025129F">
      <w:pPr>
        <w:pStyle w:val="TextoNormalNegritaCentrado"/>
        <w:keepNext/>
      </w:pPr>
      <w:r>
        <w:lastRenderedPageBreak/>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tiene por objeto la impugnación de la Sentencia de la Sala de lo Social de Tribunal Superior de Justicia de Andalucía, sede Sevilla, de fecha 5 de mayo de 1998, interpuesto contra la Sentencia del Juzgado de lo Social núm.  10 de Sevilla, de 23 de octubre de 1997, en la que se desestimó la demanda de tutela de derechos fundamentales en la que se solicitaba el cese del Organismo Provincial de Asistencia Económica y Fiscal de la Diputación de Sevilla en su comportamiento antisindical contra los ahora recurrentes en amparo y el reintegro de todas sus responsabilidades y competencias propias de su cargo.</w:t>
      </w:r>
    </w:p>
    <w:p w:rsidR="0025129F" w:rsidRDefault="0025129F" w:rsidP="0025129F">
      <w:pPr>
        <w:pStyle w:val="TextoNormal"/>
      </w:pPr>
      <w:r>
        <w:t>Los recurrentes en amparo afirman que la Sentencia impugnada lesiona el art. 24.1 CE, al introducir una modificación de oficio de los hechos probados en perjuicio de los recurrentes.  Considera también vulnerado el art.  28.1 CE, al no haber quedado acreditado por la parte contraria que la reunificación de oficinas llevara aparejada un cambio de funciones, ni ningún órgano competente así lo ha declarado, sino que dicho cambio se impuso por vía de los hechos, para dificultar la prueba a los actores, y el mismo carece de toda justificación objetiva y razonable. En el presente caso, continúan los recurrentes, se ha acreditado que ya en 1993 y 1994 fueron discriminados en su situación profesional por motivos sindicales, según declara Sentencia firme.  De todo lo anterior se desprende un trasfondo discriminatorio del que no es difícil deducir una motivación antisindical.</w:t>
      </w:r>
    </w:p>
    <w:p w:rsidR="0025129F" w:rsidRDefault="0025129F" w:rsidP="0025129F">
      <w:pPr>
        <w:pStyle w:val="TextoNormal"/>
      </w:pPr>
      <w:r>
        <w:t>Se opone a esta tesis el Organismo Provincial de Asistencia Económica y Fiscal, que entiende que la imputación que se hace en la demanda de amparo a tenor de la cual se ha producido una actuación irregular del Tribunal Superior de Justicia al haberse sustituido los hechos probados por otros no puede considerarse tal por entender que lo que hace la Sala no es modificar los hechos probados sino aplicar su propia interpretación de los mismos. Entiende, finalmente, que "ni un solo dato hay en el procedimiento, ni de lejos que esta reorganización general se haya hecho para perjudicar a los actores, no ya en su condiciones de trabajadores del Organismo, sino tampoco en su calidad de representantes de los trabajadores o de miembros de un sindicato".</w:t>
      </w:r>
    </w:p>
    <w:p w:rsidR="0025129F" w:rsidRDefault="0025129F" w:rsidP="0025129F">
      <w:pPr>
        <w:pStyle w:val="TextoNormal"/>
      </w:pPr>
      <w:r>
        <w:t>Por su parte, el Fiscal interesa a este Tribunal que se estime el recurso de amparo, al haber existido la vulneración denunciada del derecho fundamental. El Ministerio público procede a exponer la doctrina constitucional sobre la inversión de la carga de la prueba en materia de protección sindical y, puesta en relación con el caso concreto que da lugar al presente recurso de amparo, concluye que se aprecia en él que la valoración que los órganos judiciales han hecho de todas las circunstancias concurrentes puede considerase lesiva del derecho fundamental de libertad sindical.</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Bajo la invocación del art. 24.1 CE se reprocha a la Sala haber revisado de oficio los hechos probados por la Sentencia de instancia al margen de los motivos articulados por los recurrentes, como si de una segunda instancia se tratara. La lectura de la Sentencia no permite alcanzar dicha conclusión. Ciertamente, la Sala parte de un entendimiento diverso de los hechos probados, si bien lo que los actores tildan de modificación o cambio de los hechos probados no es tan obvio, sino que más bien puede entenderse como una interpretación diversa de lo acaecido en el presente supuesto. En todo caso, en la medida en que el razonamiento judicial en cuestión ha llevado a la Sala a reforzar su apreciación sobre la inexistencia de la conducta antisindical, destruyendo los resultados probatorios de la parte demandante, la queja también se ubicaría en la lesión del art. 28.1 CE, por transgresión de </w:t>
      </w:r>
      <w:r>
        <w:lastRenderedPageBreak/>
        <w:t>la doctrina constitucional sobre la carga de la prueba. Y ello porque, como este Tribunal ha declarado reiteradamente, la finalidad de aquélla radica en evitar las dificultades o la imposibilidad de desvelar los verdaderos motivos de la actuación del empleador que impidan declarar la lesión del derecho fundamental del trabajador, por lo que trasciende del ámbito puramente procesal para dirigirse a garantizar efectivamente el derecho (por todas STC 90/1997, de 6 de mayo, FJ 5, reiterada en la STC 80/2001, de 26 de marzo, FJ 4)</w:t>
      </w:r>
    </w:p>
    <w:p w:rsidR="0025129F" w:rsidRDefault="0025129F" w:rsidP="0025129F">
      <w:pPr>
        <w:pStyle w:val="TextoNormal"/>
      </w:pPr>
    </w:p>
    <w:p w:rsidR="0025129F" w:rsidRDefault="0025129F" w:rsidP="0025129F">
      <w:pPr>
        <w:pStyle w:val="TextoNormal"/>
      </w:pPr>
      <w:r w:rsidRPr="0025129F">
        <w:rPr>
          <w:rStyle w:val="NumeroAFNegritaCaracter"/>
        </w:rPr>
        <w:t>3</w:t>
      </w:r>
      <w:r>
        <w:t>. Limitado así el objeto de la presente demanda de amparo, nuestro enjuiciamiento debe centrarse en determinar si los actores han sufrido una conducta empresarial contraria a su derecho fundamental de la libertad sindical (art. 28.1 CE). Para ello es preciso recordar que el art. 12 de la Ley Orgánica de libertad sindical (LOLS) sanciona con la nulidad las decisiones unilaterales del empresario que contengan o supongan cualquier tipo de discriminación en el empleo o en las condiciones de trabajo por razón de adhesión o no a un sindicato, a sus acuerdos, o al ejercicio, en general, de actividades sindicales. Previsión legal que, de otro lado, recoge lo ya dispuesto en el art. 1.2.b del Convenio núm. 98 de la Organización Internacional del Trabajo, conforme al cual se protege al trabajador afiliado frente a todo acto empresarial que tenga por objeto perjudicarle de cualquier forma en razón de su afiliación o de su participación en actividades sindicales. Es doctrina reiterada, como señala la STC 191/1998, de 29 de septiembre (FJ 4), con cita de las anteriores SSTC 74/1998, de 31 de marzo, y 87/1998, de 21 de abril, y recuerdan las SSTC 30/2000, de 31 de enero (FJ 2), y 44/2001, de 20 de febrero, que "este Tribunal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w:t>
      </w:r>
    </w:p>
    <w:p w:rsidR="0025129F" w:rsidRDefault="0025129F" w:rsidP="0025129F">
      <w:pPr>
        <w:pStyle w:val="TextoNormal"/>
      </w:pPr>
      <w:r>
        <w:t>A tal efecto, es preciso tener presente, como ha puesto de manifiesto este Tribunal desde la STC 38/1981, de 23 de noviembre, la importancia que en estos supuestos tiene la regla de la distribución de la carga de la prueba para garantizar el derecho a la libertad sindical frente a posibles decisiones empresariales que puedan constituir una discriminación por motivos sindicales (art. 179.2 LPL). Por ello ha establecido que, en los casos en los que se alegue que un acto es discriminatorio o lesivo de los derechos fundamentales del trabajador, recae sobre el empresario la carga de probar la existencia de causas suficientes reales y serias para calificar de razonable, desde la perspectiva disciplinaria, la decisión extintiva, y que dichas causas han de explicar por sí mismas el despido, permitiendo eliminar cualquier sospecha o presunción de la existencia de un vicio en él deducible claramente de las circunstancias concurrentes (STC 90/1997, de 6 de mayo, FJ 5). En el entendimiento de este Tribunal, no se trata de situar al demandado ante la prueba diabólica de un hecho negativo, como es la inexistencia de un móvil lesivo de derechos fundamentales (STC 266/1993, de 20 de septiembre, FJ 2, 144/1999, de 22 de julio, FJ 5, 29/2000, de 31 de enero FJ 3), sino de que le corresponde probar, sin que le baste el intentarlo (STC 114/1989, de 22 de junio, FJ 6), que su actuación tiene causas reales, absolutamente extrañas a la pretendida vulneración de derechos fundamentales, y que tales causas tuvieron entidad suficiente para adoptar la decisión, único medio de destruir la apariencia lesiva creada por los indicios (SSTC 74/1998, de 31 de marzo; 87/1998, de 9 de julio, FJ 3; 144/1999, de 22 de julio, FJ. 5 y 29/2000, de 31 de enero, FJ 3).</w:t>
      </w:r>
    </w:p>
    <w:p w:rsidR="0025129F" w:rsidRDefault="0025129F" w:rsidP="0025129F">
      <w:pPr>
        <w:pStyle w:val="TextoNormal"/>
      </w:pPr>
      <w:r>
        <w:t xml:space="preserve">Ahora bien, como recordaron las STC 21/1992, de 14 de febrero (FJ 3), 266/1993, de 20 de septiembre (FJ 2), 142/2001, de 18 de junio (FJ 5), y, más recientemente, las SSTC </w:t>
      </w:r>
      <w:r>
        <w:lastRenderedPageBreak/>
        <w:t>14/2002, de 28 de enero (FJ 4), 29/2002, de 11 de febrero (FJ 5), y 30/2002, de 11 de febrero (FJ 5), para imponer al empresario la carga probatoria descrita resulta insuficiente la mera afirmación por el trabajador de discriminación o lesión de un derecho fundamental, sino que tal afirmación ha de reflejarse en unos hechos de los que resulte una presunción o apariencia de aquella discriminación o lesión. Se hace necesario, por ello, que quien afirme la referida vulneración deba acreditar la existencia de indicios racionales de la probabilidad de la lesión alegada. La aportación de tales indicios es, por tanto, el deber que recae sobre el trabajador demandante que está lejos de hallarse liberado de toda carga probatoria y no le basta alegar, sin más, la discriminación o lesión de un derecho fundamental. El mismo deberá aportar algún elemento que, sin servir para formar de una manera plena la convicción del Juez sobre la existencia de hechos atentatorios contra el derecho, le induzca a una creencia racional sobre su posibilidad.</w:t>
      </w:r>
    </w:p>
    <w:p w:rsidR="0025129F" w:rsidRDefault="0025129F" w:rsidP="0025129F">
      <w:pPr>
        <w:pStyle w:val="TextoNormal"/>
      </w:pPr>
    </w:p>
    <w:p w:rsidR="0025129F" w:rsidRDefault="0025129F" w:rsidP="0025129F">
      <w:pPr>
        <w:pStyle w:val="TextoNormal"/>
      </w:pPr>
      <w:r w:rsidRPr="0025129F">
        <w:rPr>
          <w:rStyle w:val="NumeroAFNegritaCaracter"/>
        </w:rPr>
        <w:t>4</w:t>
      </w:r>
      <w:r>
        <w:t>. En todo caso, y si bien es cierto que los indicios declarados probados en la instancia fueron valorados por el Tribunal Superior de Justicia llegando a una conclusión razonada de que no alcanzaron la entidad suficiente para invertir la carga de la prueba sobre la entidad demandada, al hallarse en juego la potencial vulneración del derecho de libertad sindical no bastará, para enjuiciar la presente controversia, con la simple evaluación de la razonabilidad de la decisión judicial, sino que será preciso analizar si ésta resulta o no vulneradora del ejercicio de los derechos fundamentales alegados, como ha señalado la STC 14/2002, de 28 de enero (FJ 4).</w:t>
      </w:r>
    </w:p>
    <w:p w:rsidR="0025129F" w:rsidRDefault="0025129F" w:rsidP="0025129F">
      <w:pPr>
        <w:pStyle w:val="TextoNormal"/>
      </w:pPr>
      <w:r>
        <w:t>Y ello porque es perfectamente posible que se den resoluciones judiciales que no infrinjan el derecho proclamado en el art. 24.1 CE, pese a su parquedad, por contener una fundamentación que exprese razones (de hecho y de derecho) en virtud de las cuales el órgano judicial acuerda una determinada medida, pero que, desde la perspectiva del libre ejercicio de los derechos fundamentales, como los aquí en juego, no expresen de modo constitucionalmente adecuado las razones justificativas de las decisiones adoptadas. En estos casos,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24.1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por el canon propio de aquel derecho (STC 14/2002, de 28 de enero, FJ 4).  A tal fin, se hace necesario interpretar, a la luz de los valores constitucionales, los indicios que sirven de base al enjuiciamiento, todo ello sin que tal actuación suponga la revisión de la valoración de la prueba efectuada por el juzgador, por ser firme doctrina constitucional que dicha valoración se encuentra atribuida en exclusiva a los órganos judiciales, sin que competa a este Tribunal revisar en vía de amparo las apreciaciones de aquéllos ni la ponderación que lleven a cabo, salvo que unas u otra resulten arbitrarias o irrazonables (SSTC 140/1994, de 9 de mayo, FJ 3, y 136/1996, de 23 de julio, FJ 4).</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Abordando el enjuiciamiento que nos corresponde con ese criterio y desde aquel esquema de distribución de cargas probatorias, debemos examinar el primer elemento al que antes nos referíamos. Se trata del factor desencadenante de la propia hipótesis de la lesión, elemento que deviene de cumplimiento inexcusable para quien invoca la vulneración, a saber: la necesidad de aportar una "prueba verosímil" (STC 207/2001, de 22 de octubre, FJ </w:t>
      </w:r>
      <w:r>
        <w:lastRenderedPageBreak/>
        <w:t>5) o "principio de prueba" revelador de la existencia de un fondo o panorama discriminatorio general o de hechos de los que surja la sospecha vehemente de una discriminación por razones sindicales o de una quiebra del derecho fundamental de que se trate (por todas, SSTC 214/2001, de 29 de octubre, FJ 4, y 14/2002, de 28 de enero, FJ 4). En ese sentido, debe subrayarse que en la aportación de una prueba verosímil o principio de prueba de la vulneración denunciada resultará insuficiente la simple afirmación de la discriminación o lesión de un derecho fundamental.</w:t>
      </w:r>
    </w:p>
    <w:p w:rsidR="0025129F" w:rsidRDefault="0025129F" w:rsidP="0025129F">
      <w:pPr>
        <w:pStyle w:val="TextoNormal"/>
      </w:pPr>
      <w:r>
        <w:t>Conforme a lo que antecede, corresponde a este Tribunal analizar si la parte actora ha acreditado suficientemente la existencia de indicios que generen una razonable sospecha, apariencia o presunción de discriminación antisindical, y si, en tal caso, la parte demandada ha probado que los hechos motivadores de su actuación se presentan razonablemente ajenos a todo móvil discriminatorio. A tal fin, es necesario recordar que los recurrentes en amparo, afiliados al sindicato CC OO, reprochan al Organismo Provincial de Asistencia Económica y Fiscal que la unificación de las respectivas oficinas, "Sevilla 2" y "Sevilla 3" en las que venían prestando servicios, dentro de la Oficina de Recaudación Ejecutiva Provincial, y que supuso que debieran desalojar sus despachos y trasladarse a la planta segunda del mismo edificio, poniéndose a las órdenes del Jefe de la citada Unidad, había llevado consigo su marginación en las tareas a ellos atribuidas de impulso y dirección ininterrumpida de la gestión recaudatoria en vía ejecutiva. Apoyan dicha afirmación en el hecho de que un anterior traslado fue considerado judicialmente vulnerador del derecho de libertad sindical, dato al que añaden el haber denunciado desde varios años antes supuestas conductas discriminatorias e irregularidades en la contratación de personal y el haber efectuado reclamaciones frente a determinadas modificaciones salariales.</w:t>
      </w:r>
    </w:p>
    <w:p w:rsidR="0025129F" w:rsidRDefault="0025129F" w:rsidP="0025129F">
      <w:pPr>
        <w:pStyle w:val="TextoNormal"/>
      </w:pPr>
      <w:r>
        <w:t>El Juzgado de lo Social no consideró acreditados los indicios de antisindicalidad, al considerar que, siendo necesario que del juicio resulten indicios de que las actuaciones empresariales se han debido a motivos sindicales, estos indicios no aparecen, entendiendo que si bien "es cierto que ha habido variaciones de tipo salarial y funcional, no se ha demostrado que se deba a que los actores pertenezcan a CC OO ni a sus actuaciones sindicales". Recurrida en suplicación la Sentencia dictada, la Sala de lo Social del Tribunal Superior de Justicia de Andalucía, sede Sevilla, después de revisar los hechos declarados probados por la Sentencia de instancia, consideró que "lo máximo que cabe deducir, en este caso, es la sospecha abstracta de que la demandada pudiera tener un interés genérico de no favorecer o incluso perjudicar a los actores, mas, ya hemos dicho que la mera sospecha no es suficiente, sino que han de existir indicios racionales de que el concreto actuar de la empresa se debía a los móviles discriminatorios o antisindicales denunciados". Para la Sala, esos indicios no son constatables en este caso "sino que por el contrario se da por probado, de un lado, que el cambio de centro de trabajo obedeció a una unificación de oficinas, pero sin que ello supusiera privar a los actores de sus competencias".</w:t>
      </w:r>
    </w:p>
    <w:p w:rsidR="0025129F" w:rsidRDefault="0025129F" w:rsidP="0025129F">
      <w:pPr>
        <w:pStyle w:val="TextoNormal"/>
      </w:pPr>
      <w:r>
        <w:t>Pero del relato de hechos probados y de lo actuado se deduce que los demandantes habían desarrollado una actividad alegatoria suficientemente concreta y precisa, en torno a una posible violación de su derecho de libertad sindical, creando con ello una apariencia o sospecha de comportamiento empresarial contrario a este derecho fundamental sobre la base de diversos hechos conectados entre sí, concretamente:</w:t>
      </w:r>
    </w:p>
    <w:p w:rsidR="0025129F" w:rsidRDefault="0025129F" w:rsidP="0025129F">
      <w:pPr>
        <w:pStyle w:val="TextoNormal"/>
      </w:pPr>
      <w:r>
        <w:t>a) En 1993 y 1994, los actores fueron privados de sus despachos y de personal auxiliar, limitándoles sus funciones básicas, siendo condenado el Organismo Provincial de Asistencia Económico y Social a cesar en su actuación antisindical contra los actores por la Sentencia del Juzgado de lo Social núm. 3 de Sevilla de 12 de diciembre de 1994.</w:t>
      </w:r>
    </w:p>
    <w:p w:rsidR="0025129F" w:rsidRDefault="0025129F" w:rsidP="0025129F">
      <w:pPr>
        <w:pStyle w:val="TextoNormal"/>
      </w:pPr>
      <w:r>
        <w:lastRenderedPageBreak/>
        <w:t>b) La Sentencia dictada por el Juzgado de lo Social núm. 4 de Sevilla en fecha 29 de febrero de 1996 estimó que el cálculo de incentivos para los jefes de zona era discriminatorio, si bien la Sala de lo Social del Tribunal Superior de Justicia de Andalucía, conociendo el recurso de suplicación, falló la falta de acción de los demandantes por entender que lo que se pretendía con la demanda era anticipar los efectos de la Sentencia a posibles modificaciones futuras de incentivos.</w:t>
      </w:r>
    </w:p>
    <w:p w:rsidR="0025129F" w:rsidRDefault="0025129F" w:rsidP="0025129F">
      <w:pPr>
        <w:pStyle w:val="TextoNormal"/>
      </w:pPr>
      <w:r>
        <w:t>c) Con carácter anticipatorio y dentro del conflicto que aquí se dirime, en escrito de fecha 12 de febrero de 1997, los actores contestaron a la comunicación del Jefe de Personal del organismo referido, en la que se les informaba de la unificación de sus respectivas oficinas en la Oficina de Recaudación Ejecutiva Provincial, haciendo constar que los trabajos que en lo sucesivo se les encomendasen, debían permitirles el ejercicio de las funciones y competencias que tenían atribuidas en virtud de lo establecido en el Convenio Colectivo entonces vigente y en particular, debían ser mantenidos en el ejercicio de la jefatura inmediata en los procedimientos en la vía de apremio, en el asesoramiento sobre la cobranza en período ejecutivo, en el impulso y dirección de la gestión recaudatoria, en el dictado de las providencias de apremio y en la expedición de mandamientos de anotación preventiva de embargo.</w:t>
      </w:r>
    </w:p>
    <w:p w:rsidR="0025129F" w:rsidRDefault="0025129F" w:rsidP="0025129F">
      <w:pPr>
        <w:pStyle w:val="TextoNormal"/>
      </w:pPr>
      <w:r>
        <w:t>d) La Sentencia del Juzgado de lo Social núm. 10 de los de Sevilla de 23 de octubre de 1997, estimó que al incorporarse a su nuevo despacho, siguiendo las órdenes recibidas, los actores pudieron constatar que se les había marginado del impulso y dirección ininterrumpida de la gestión recaudatoria en vía ejecutiva (hecho probado 5).</w:t>
      </w:r>
    </w:p>
    <w:p w:rsidR="0025129F" w:rsidRDefault="0025129F" w:rsidP="0025129F">
      <w:pPr>
        <w:pStyle w:val="TextoNormal"/>
      </w:pPr>
      <w:r>
        <w:t>e) Finalmente, la Sentencia de la Sala de lo Social del Tribunal Superior de Justicia de Andalucía, sede Sevilla, de 5 de mayo de 1998, frente a la que se demanda en amparo, aunque desestima el recurso interpuesto, adiciona como hecho probado, a petición de los recurrentes, la mención relativa a una serie de denuncias que desde hace varios años se habían formulando por los actores frente a la dirección del organismo, aduciendo en ellas irregularidades en la contratación del personal y discriminación hacia ellos mismos, además de mostrar su oposición a la privatización del organismo y pedir la dimisión del jefe director.</w:t>
      </w:r>
    </w:p>
    <w:p w:rsidR="0025129F" w:rsidRDefault="0025129F" w:rsidP="0025129F">
      <w:pPr>
        <w:pStyle w:val="TextoNormal"/>
      </w:pPr>
      <w:r>
        <w:t>La correlación y proximidad temporal de las anteriores circunstancias que se han venido sucediendo sin solución de continuidad (SSTC 87/1998, de 21 de abril, FJ 4; 101/2000, de 10 de abril, FJ 5; 214/2001, de 29 de octubre, FJ 6), la conflictividad previa (STC 90/1997, de 6 de mayo, FJ 6) y el clima de confrontación preexistente, así como el hecho de que la reunificación de oficinas llevase aparejada una privación de funciones - dato éste que no puede ser desvirtuado sin alterar los hechos probados por valoraciones o razonamientos-, sin que ningún órgano competente por lo demás así lo hubiese declarado imponiéndose el mismo por vía de hecho, son factores que permiten afirmar la existencia de un fondo o panorama discriminatorio general o de hechos que facultan para adentrarnos en la posible vulneración de la libertad sindical de los recurrentes al convertir los anteriores hechos en indicios racionales de la lesión alegada.</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Alcanzada la anterior conclusión, y con arreglo a la doctrina constitucional más arriba reproducida, correspondía a la entidad empleadora la carga de probar que sus decisiones se basaban en causas reales, serias y suficientes para destruir la apariencia de discriminación creada por los trabajadores. En efecto, conforme recogíamos en el fundamento jurídico tercero, existente un principio de prueba o apariencia verosímil de la vulneración de derechos fundamentales, aquí de la libertad sindical, esa carga probatoria incumbe al empresario incluso en el supuesto de decisiones discrecionales, o no causales, y que no </w:t>
      </w:r>
      <w:r>
        <w:lastRenderedPageBreak/>
        <w:t>precisan por tanto ser motivadas, ya que, como hemos declarado, ello no excluye que, desde la perspectiva constitucional, sea igualmente ilícita una decisión de esta naturaleza contraria a los derechos fundamentales del trabajador.</w:t>
      </w:r>
    </w:p>
    <w:p w:rsidR="0025129F" w:rsidRDefault="0025129F" w:rsidP="0025129F">
      <w:pPr>
        <w:pStyle w:val="TextoNormal"/>
      </w:pPr>
      <w:r>
        <w:t>De ahí que no pueda reputarse suficiente el dato, acogido en la Sentencia impugnada, a tenor del cual la reorganización de oficinas que es causa del presente conflicto posee carácter general, afectando a la totalidad del personal integrado en las mismas y que la misma no ha supuesto a los actores una privación sustantiva de sus competencias básicas. Por el contrario, concurrente un panorama como el descrito, era exigible una justificación causal de la decisión que resultara suficiente en su específica y singular proyección sobre el caso concreto, explicando objetiva, razonable y proporcionadamente tal decisión y eliminando toda sospecha de que ésta ocultara la lesión de un derecho fundamental de los recurrentes, sin que pueda servir para lograrlo la abstracta razón invocada.</w:t>
      </w:r>
    </w:p>
    <w:p w:rsidR="0025129F" w:rsidRDefault="0025129F" w:rsidP="0025129F">
      <w:pPr>
        <w:pStyle w:val="TextoNormal"/>
      </w:pPr>
      <w:r>
        <w:t>La libertad de organización empresarial presenta aquí una clara dimensión constitucional, pues encuentra un límite infranqueable en el derecho fundamental a la libertad sindical: los poderes empresariales, como se recordó anteriormente, se encuentran limitados en su ejercicio no sólo por las normas legales o convencionales que los regulan, sino también por los derechos fundamentales del trabajador, constituyendo un resultado prohibido la utilización lesiva de éstos (STC 29/2002, de 11 de febrero, FJ 7). En definitiva, no existió en la actuación procesal de la demandada ninguna actividad probatoria tendente a demostrar que la decisión de modificar o suspender las funciones que hasta la fecha venían desarrollando los demandantes de amparo tenía como causa un motivo justificado, objetivo y razonable; puesto que esa invocada reestructuración de oficinas no derivó de ningún acuerdo previo ni de ningún programa dirigido a buscar una mayor eficacia en la gestión recaudatoria, con lo que puede establecerse entre la actividad sindical de los recurrentes y la modificación de sus funciones una relación de causa a efecto. Correspondía, por todo ello, al Organismo Provincial de Asistencia Económica y Social justificar suficientemente los motivos de autoorganización en que se fundó una medida que, como la adoptada, ha de soportar las consecuencias desfavorables que de ello se derivan.</w:t>
      </w:r>
    </w:p>
    <w:p w:rsidR="0025129F" w:rsidRDefault="0025129F" w:rsidP="0025129F">
      <w:pPr>
        <w:pStyle w:val="TextoNormal"/>
      </w:pPr>
      <w:r>
        <w:t>Las anteriores conclusiones conducen a la estimación del amparo solicitado, así como a la anulación de la Sentencia del Tribunal Superior de Justicia recurrida, por vulnerar el derecho fundamental protegido por el art. 28.1 CE.</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el recurso de amparo promovido por doña Isabel Velázquez Vila y don Rafael García Garaizabal y, en su virtud:</w:t>
      </w:r>
    </w:p>
    <w:p w:rsidR="0025129F" w:rsidRDefault="0025129F" w:rsidP="0025129F">
      <w:pPr>
        <w:pStyle w:val="TextoNormal"/>
      </w:pPr>
      <w:r>
        <w:t>1º Reconocer a los recurrentes su derecho fundamental a la libertad sindical (art. 28.1 CE).</w:t>
      </w:r>
    </w:p>
    <w:p w:rsidR="0025129F" w:rsidRDefault="0025129F" w:rsidP="0025129F">
      <w:pPr>
        <w:pStyle w:val="TextoNormal"/>
      </w:pPr>
      <w:r>
        <w:t>2º Anular la Sentencia de la Sala de lo Social del Tribunal Superior de Justicia de Andalucía de fecha 5 de mayo de 1998, recaída en recurso de suplicación núm. 867/98; así como la Sentencia dictada por el Juzgado de lo Social núm. 10 de los de Sevilla de fecha 23 de octubre de 1997.</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8" w:name="SENTENCIA_2002_85"/>
      <w:r>
        <w:lastRenderedPageBreak/>
        <w:t>SENTENCIA 85/2002, de 22 de abril de 2002</w:t>
      </w:r>
    </w:p>
    <w:bookmarkEnd w:id="88"/>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ECLI:ES:TC:2002:85</w:t>
      </w:r>
    </w:p>
    <w:p w:rsidR="0025129F" w:rsidRDefault="0025129F" w:rsidP="0025129F">
      <w:pPr>
        <w:pStyle w:val="SntesisDescriptiva"/>
      </w:pPr>
    </w:p>
    <w:p w:rsidR="0025129F" w:rsidRDefault="0025129F" w:rsidP="0025129F">
      <w:pPr>
        <w:pStyle w:val="SntesisDescriptiva"/>
      </w:pPr>
      <w:r>
        <w:t>Recurso de amparo 2770/1998. Promovido por Comisiones Obreras y otros frente a la Sentencia de la Sala de lo Social del Tribunal Superior de Justicia de Cataluña que desestimó su recurso de suplicación en litigio contra Magneti Marelli Ibérica, S.A., sobre el plan de viabilidad.</w:t>
      </w:r>
    </w:p>
    <w:p w:rsidR="0025129F" w:rsidRDefault="0025129F" w:rsidP="0025129F">
      <w:pPr>
        <w:pStyle w:val="SntesisDescriptiva"/>
      </w:pPr>
    </w:p>
    <w:p w:rsidR="0025129F" w:rsidRDefault="0025129F" w:rsidP="0025129F">
      <w:pPr>
        <w:pStyle w:val="SntesisAnaltica"/>
      </w:pPr>
      <w:r>
        <w:t>Alegada vulneración del derecho a la tutela judicial efectiva: falta de agotamiento de los recursos en la vía judicial, por no pedir la nulidad de actuaciones por incongruencia del fallo (STC 284/2000).</w:t>
      </w:r>
    </w:p>
    <w:p w:rsidR="0025129F" w:rsidRDefault="0025129F" w:rsidP="0025129F">
      <w:pPr>
        <w:pStyle w:val="SntesisAnaltica"/>
      </w:pPr>
    </w:p>
    <w:p w:rsidR="0025129F" w:rsidRDefault="0025129F" w:rsidP="0025129F">
      <w:pPr>
        <w:pStyle w:val="Extracto"/>
      </w:pPr>
      <w:r>
        <w:t>1.</w:t>
      </w:r>
      <w:r>
        <w:tab/>
        <w:t>Resultaba obligado intentar el incidente de nulidad de actuaciones por incongruencia de la Sentencia impugnada y, al no haberse hecho así, concurre en el presente recurso el óbice procesal de no haberse agotado todos los recursos utilizables en la vía judicial [FJ 3].</w:t>
      </w:r>
    </w:p>
    <w:p w:rsidR="0025129F" w:rsidRDefault="0025129F" w:rsidP="0025129F">
      <w:pPr>
        <w:pStyle w:val="Extracto"/>
      </w:pPr>
    </w:p>
    <w:p w:rsidR="0025129F" w:rsidRDefault="0025129F" w:rsidP="0025129F">
      <w:pPr>
        <w:pStyle w:val="Extracto"/>
      </w:pPr>
      <w:r>
        <w:t>2.</w:t>
      </w:r>
      <w:r>
        <w:tab/>
        <w:t>Los defectos insubsanables de que pudiera estar afectado el recurso de amparo no resultan sanados porque la demanda haya sido inicialmente admitida (SSTC 129/2000, 32/2002)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2770/98, promovido por la Sección Sindical de Comisiones Obreras (CCOO), la Sección Sindical de Unión General de Trabajadores (UGT) y el Comité de empresa de Magneti Marelli Ibérica, S.A., representados por la Procuradora de los Tribunales doña Isabel Cañedo Vega y asistidos por su Abogado, contra la Sentencia de la Sala de lo Social del Tribunal Superior de Justicia de Cataluña, de 7 de mayo de 1998, en rollo 8763/97, y contra la Sentencia del Juzgado de lo Social núm. 16 de Barcelona de 27 de octubre de 1997, en autos 1080/97, que desestiman la demanda en tutela de los derechos fundamentales de libertad sindical y huelga. Han intervenido el Ministerio Fiscal y don Roberto Sastre Moyano, Procurador de los Tribunales y de Magneti Marelli </w:t>
      </w:r>
      <w:r>
        <w:lastRenderedPageBreak/>
        <w:t>Ibérica, S.A., asistida por don Salvador Vivas Puig. Ha sido Ponente el Magistrado don Eugeni Gay Montalvo,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20 de junio de 1998, doña Isabel Cañedo Vega, Procuradora de los Tribunales, en nombre y representación de la Sección Sindical de Comisiones Obreras (CC OO), la Sección Sindical de Unión General de Trabajadores (UGT) y el Comité de empresa de Magneti Marelli Ibérica, S.A., interpuso recurso de amparo contra las resoluciones judiciales citadas en el encabezamiento de la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más relevantes, de los que trae causa la demanda, son los siguientes: </w:t>
      </w:r>
    </w:p>
    <w:p w:rsidR="0025129F" w:rsidRDefault="0025129F" w:rsidP="0025129F">
      <w:pPr>
        <w:pStyle w:val="TextoNormal"/>
      </w:pPr>
      <w:r>
        <w:t xml:space="preserve">a) La demandada Magneti Marelli Ibérica, S.A., es titular de una fábrica de montaje de "cuadros de a bordo" integrada en la multinacional Magneti Marelli que, a su vez, está integrada en el Grupo Fiat. En el mes de marzo de 1997 la dirección de la empresa demandada presentó un plan de viabilidad que incorporaba la presentación de un expediente de regulación de empleo para 1997 que comportaba la extinción de 155 contratos y 113 en 1998. </w:t>
      </w:r>
    </w:p>
    <w:p w:rsidR="0025129F" w:rsidRDefault="0025129F" w:rsidP="0025129F">
      <w:pPr>
        <w:pStyle w:val="TextoNormal"/>
      </w:pPr>
      <w:r>
        <w:t xml:space="preserve">b) Contra dicho plan se declaró un proceso de huelga de 11 días de duración que se prolongó hasta el 19 de abril de 1997, fecha en la que, ante el Delegado Territorial del Servei de Barcelona del Departament de Treball de la Generalitat de Catalunya se logró un acuerdo con el siguiente contenido: </w:t>
      </w:r>
    </w:p>
    <w:p w:rsidR="0025129F" w:rsidRDefault="0025129F" w:rsidP="0025129F">
      <w:pPr>
        <w:pStyle w:val="TextoNormal"/>
      </w:pPr>
      <w:r>
        <w:t xml:space="preserve">"Reunidos: de una parte los miembros del Comité de Empresa de Magneti Marelli con sus asesores; de otra la representación de la empresa. Después de un proceso de negociación delante de la autoridad laboral, representada por José Antonio Gómez Cid. </w:t>
      </w:r>
    </w:p>
    <w:p w:rsidR="0025129F" w:rsidRDefault="0025129F" w:rsidP="0025129F">
      <w:pPr>
        <w:pStyle w:val="TextoNormal"/>
      </w:pPr>
      <w:r>
        <w:t xml:space="preserve">La empresa se compromete: 1) A la retirada del plan de viabilidad, 2) La retirada del expediente de regulación de empleo, 3) La presentación lo más urgente posible de un plan de viabilidad que garantice el futuro de la empresa de Barberá del Vallés, a negociar antes de su presentación con el Comité de Empresa. Estas condiciones ofertadas por la empresa quedan supeditas al reinicio del trabajo el lunes día 21". </w:t>
      </w:r>
    </w:p>
    <w:p w:rsidR="0025129F" w:rsidRDefault="0025129F" w:rsidP="0025129F">
      <w:pPr>
        <w:pStyle w:val="TextoNormal"/>
      </w:pPr>
      <w:r>
        <w:t xml:space="preserve">c) Desde dicha fecha, 19 de abril de 1997, la representación legal de los trabajadores no solicitó de la empresa plan de viabilidad alguno. En la reunión trimestral celebrada a principios de junio de 1997 entre la empresa y la representación de los trabajadores, la primera comunicó que estaba elaborando un plan. Y en fecha 29 de septiembre de 1997 se convocó al Comité de Empresa a una reunión a celebrar el 2 de octubre de 1997 cuyo orden del día era el plan de viabilidad. En la reunión del 2 de octubre de 1997 y tras exponer la situación de la empresa se convocó a otra reunión para el día 8 de octubre de 1997, fecha ésta en la que se entregó un resumen del plan de viabilidad, indicándose por la empresa que salvo el plan industrial y el número de afectados por el expediente de regulación de empleo los demás aspectos del plan de viabilidad eran negociables. Este mismo día se accede a que el Comité de empresa celebre una asamblea para discutir el mencionado plan. </w:t>
      </w:r>
    </w:p>
    <w:p w:rsidR="0025129F" w:rsidRDefault="0025129F" w:rsidP="0025129F">
      <w:pPr>
        <w:pStyle w:val="TextoNormal"/>
      </w:pPr>
      <w:r>
        <w:t xml:space="preserve">d) El 9 de octubre de 1997 el Comité de empresa solicita nueva reunión que se convoca y tiene lugar el día 10 de octubre de 1997. En esta reunión se responde por don Giuseppe Troia, Gerente de la empresa, a todas las preguntas que le son formuladas sobre el plan de viabilidad, reiterando que salvo el plan industrial y reducción de personal, todo es negociable. A continuación se entregó el plan y tras una pausa de una hora no fue firmado el </w:t>
      </w:r>
      <w:r>
        <w:lastRenderedPageBreak/>
        <w:t xml:space="preserve">recibí. El plan de viabilidad entregado el 10 de octubre de 1997, a diferencia del de marzo de 1997, únicamente preveía una reducción de plantilla (159) para 1997 pero no para 1998, incluyendo a diferencia del anterior un incremento de aforados y cuadros de mando. </w:t>
      </w:r>
    </w:p>
    <w:p w:rsidR="0025129F" w:rsidRDefault="0025129F" w:rsidP="0025129F">
      <w:pPr>
        <w:pStyle w:val="TextoNormal"/>
      </w:pPr>
      <w:r>
        <w:t xml:space="preserve">e) En fecha 14 de octubre de 1997 la empresa presentó expediente de regulación de empleo en solicitud de la extinción de 159 contratos de trabajo. Ante este hecho, el Comité de empresa, sección sindical de Comisiones Obreras y de UGT, presentaron demanda en tutela de los derechos fundamentales de libertad sindical (por el manifiesto incumplimiento del deber de negociar conjuntamente el nuevo plan de viabilidad comprometido) y de huelga (defraudado por la actuación de la empresa demandada que puso fin a una situación de huelga asumiendo un compromiso, el de negociar conjuntamente el futuro plan de viabilidad que no pensaba cumplir). </w:t>
      </w:r>
    </w:p>
    <w:p w:rsidR="0025129F" w:rsidRDefault="0025129F" w:rsidP="0025129F">
      <w:pPr>
        <w:pStyle w:val="TextoNormal"/>
      </w:pPr>
      <w:r>
        <w:t xml:space="preserve">f) La Sentencia del Juzgado de lo Social núm. 16 de Barcelona de 27 de octubre de 1997, en línea con lo propuesto por el Ministerio Fiscal, desestimó la demanda por no acreditarse falta de negociación por parte de la empresa, ni constar violación del derecho fundamental invocado en la demanda. Tras rechazar la excepción de falta de legitimación del Comité de empresa y de las secciones sindicales demandantes, la Sentencia entiende que no se ha producido ninguna vulneración del derecho de huelga porque la empresa no ha impedido ni lesionado dicho derecho siendo prueba de ello que tienen convocada una huelga, ni ha vulnerado el pacto al no haber incumplido su obligación de negociar pues negociar no significa alcanzar un acuerdo sino únicamente abordar temas procurando su mejor fin y negociando de buena fe. Asimismo, afirma que es la empresa la única parte que ha intentado la negociación y que el hecho de que hubiera presentado un expediente de regulación de empleo facilita la existencia de un periodo de negociación y no excluye la propuesta de negociación de la empresa pues el pacto nada dice sobre la duración de la negociación ni que sea previa a la presentación de un expediente de regulación de empleo y menos que excluya dicho procedimiento. </w:t>
      </w:r>
    </w:p>
    <w:p w:rsidR="0025129F" w:rsidRDefault="0025129F" w:rsidP="0025129F">
      <w:pPr>
        <w:pStyle w:val="TextoNormal"/>
      </w:pPr>
      <w:r>
        <w:t xml:space="preserve">g) La Sentencia fue recurrida en suplicación por la representación de los trabajadores. El primer motivo del recurso pretendía la modificación de los hechos declarados probados al amparo del art. 191.b LPL. El segundo motivo, al amparo del art. 191.c LPL denunciaba la infracción de la garantía constitucional de la libertad sindical (art. 28.1 CE) que integra el derecho a la negociación colectiva, con cita de la STC 105/1992, de 1 de julio. Los recurrentes entienden que no se ha producido una verdadera negociación y que, además, negar la posibilidad de discutir el "plan industrial" equivale en la práctica a negar la discusión sobre el propio plan de viabilidad y restringir la negociación al importe de las indemnizaciones. En el tercer motivo de suplicación se denuncia la vulneración de la garantía constitucional del derecho de huelga (art. 28.2 CE). Los recurrentes alegan que la empresa suscribió el acuerdo fin de huelga con "engaño", sólo para poner fin a la misma pero sin ninguna intención de darle cumplimiento propiciando, además, una acumulación de stocks posterior para hacer ineficaz cualquier hipotética nueva situación de huelga. Se trataría así pues de un comportamiento antisindical que vació de contenido el derecho de huelga y la finalidad perseguida por la misma, solicitando por ello además una indemnización de daños y perjuicios. </w:t>
      </w:r>
    </w:p>
    <w:p w:rsidR="0025129F" w:rsidRDefault="0025129F" w:rsidP="0025129F">
      <w:pPr>
        <w:pStyle w:val="TextoNormal"/>
      </w:pPr>
      <w:r>
        <w:t xml:space="preserve">El Tribunal Superior de Justicia de Cataluña desestima el recurso en Sentencia de 7 de mayo de 1998. La Sentencia de suplicación examina en su fundamento de Derecho primero como cuestión previa la legitimación activa del comité de empresa para interponer demanda de tutela y la rechaza porque no son titulares del derecho de libertad sindical, pero entiende que sí la tienen las secciones sindicales que también firmaron el pacto. En cuanto al fondo del asunto, en su fundamento de Derecho segundo examina la modificación del </w:t>
      </w:r>
      <w:r>
        <w:lastRenderedPageBreak/>
        <w:t>relato histórico interesado por los recurrentes que se rechazan por discutir exclusivamente la valoración jurídica de los acontecimientos y no las cuestiones de hecho. Finalmente, el fundamento tercero examina el motivo segundo que denuncia infracción del art. 28.1 CE y doctrina jurisprudencial que se invoca y rechaza que exista incumplimiento del deber de negociar de la empresa.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Contra estas resoluciones se interpuso recurso de amparo invocando la vulneración del art. 24.1 CE y de los arts. 28.1 y 28.2 CE. </w:t>
      </w:r>
    </w:p>
    <w:p w:rsidR="0025129F" w:rsidRDefault="0025129F" w:rsidP="0025129F">
      <w:pPr>
        <w:pStyle w:val="TextoNormal"/>
      </w:pPr>
      <w:r>
        <w:t xml:space="preserve">La demanda alega la vulneración de los derechos de libertad sindical y huelga por parte de la empresa y por las Sentencias impugnadas por el incumplimiento del compromiso adquirido por parte de la empresa de negociar el plan de viabilidad asumido en el acuerdo de fin de conflicto. </w:t>
      </w:r>
    </w:p>
    <w:p w:rsidR="0025129F" w:rsidRDefault="0025129F" w:rsidP="0025129F">
      <w:pPr>
        <w:pStyle w:val="TextoNormal"/>
      </w:pPr>
      <w:r>
        <w:t xml:space="preserve">Asimismo, señala que el Tribunal Superior de Justicia vulneró los derechos de libertad sindical y tutela judicial efectiva del Comité de empresa por negarle la legitimación activa en el procedimiento de tutela de la libertad sindical. </w:t>
      </w:r>
    </w:p>
    <w:p w:rsidR="0025129F" w:rsidRDefault="0025129F" w:rsidP="0025129F">
      <w:pPr>
        <w:pStyle w:val="TextoNormal"/>
      </w:pPr>
      <w:r>
        <w:t>Finalmente y con carácter subsidiario se denuncia la vulneración del derecho fundamental a la tutela judicial efectiva en dos momentos: a) por parte del órgano de instancia al no recoger en la declaración de hechos probados, hechos trascendentes en orden a la apreciación de la existencia o no de las vulneraciones constitucionales denunciadas, b) por parte de la Sala de lo Social, al no dar respuesta al tercer motivo del recurso de suplicación referido a la infracción del art. 28.2 CE incurriendo, en consecuencia, en una incongruencia omisiva, y por no reparar la insuficiencia fáctica de la Sentencia de instancia a pesar de la prolija revisión interesada en el recurso de suplicación.</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providencia de 26 de mayo de 1999, la Sala Segunda del Tribunal Constitucional acordó, por unanimidad, la inadmisión de varias de las alegaciones del presente recurso de amparo, conforme a lo dispuesto en el art. 50.1 c) LOTC, por carecer manifiestamente de contenido que justifique una decisión sobre su fondo por parte de este Tribunal. Concretamente, se inadmiten las siguientes: </w:t>
      </w:r>
    </w:p>
    <w:p w:rsidR="0025129F" w:rsidRDefault="0025129F" w:rsidP="0025129F">
      <w:pPr>
        <w:pStyle w:val="TextoNormal"/>
      </w:pPr>
      <w:r>
        <w:t xml:space="preserve">a) La alegación de la demanda que invoca la vulneración del derecho de libertad sindical por las Sentencias impugnadas al no haber reparado la lesión del mismo cometida por la empresa, que incumplió el compromiso de negociar asumido en un acuerdo de fin de conflicto, toda vez que las Sentencias impugnadas consideraron acreditado en el presente caso atendiendo a los hechos probados que la empresa ha cumplido su compromiso de negociar al haber realizado reuniones al efecto, siendo distinto que el acuerdo no se alcanzase, por lo que en todo caso ninguna lesión del derecho de libertad sindical sería imputable a las mismas. </w:t>
      </w:r>
    </w:p>
    <w:p w:rsidR="0025129F" w:rsidRDefault="0025129F" w:rsidP="0025129F">
      <w:pPr>
        <w:pStyle w:val="TextoNormal"/>
      </w:pPr>
      <w:r>
        <w:t xml:space="preserve">b) La alegación de la demanda que invoca la vulneración del derecho de huelga por las Sentencia de instancia impugnada con base, igualmente, en no haber reparado tal lesión cometida por la empresa, como consecuencia de su incumplimiento del acuerdo de fin de conflicto, por la misma razón antes expresada, pues, en todo caso y al margen de cualquier otra consideración, la Sentencia de instancia consideró probado el cumplimiento empresarial del compromiso adquirido en el acuerdo que puso fin a la huelga. </w:t>
      </w:r>
    </w:p>
    <w:p w:rsidR="0025129F" w:rsidRDefault="0025129F" w:rsidP="0025129F">
      <w:pPr>
        <w:pStyle w:val="TextoNormal"/>
      </w:pPr>
      <w:r>
        <w:t xml:space="preserve">c) La alegación de la demanda que invoca la lesión de los derechos de libertad sindical y del derecho a la tutela judicial efectiva del Comité de empresa al haberle negado legitimación activa en el procedimiento de tutela de la libertad sindical, pues tal decisión se ajusta a la doctrina de este Tribunal desde la STC 118/1983, y expresamente resulta avalada por la STC 74/1996. </w:t>
      </w:r>
    </w:p>
    <w:p w:rsidR="0025129F" w:rsidRDefault="0025129F" w:rsidP="0025129F">
      <w:pPr>
        <w:pStyle w:val="TextoNormal"/>
      </w:pPr>
      <w:r>
        <w:lastRenderedPageBreak/>
        <w:t xml:space="preserve">d) La alegación de la demanda formulada subsidiariamente que invoca la lesión del derecho a la tutela judicial efectiva por el Juzgado de lo Social, al no recoger en la declaración de hechos probados hechos transcendentes en orden a la apreciación de la existencia o no de las vulneraciones constitucionales denunciadas, pues la valoración de las pruebas está atribuida en exclusiva a los órganos judiciales en el ejercicio de la función jurisdiccional que les es propia (art. 117.3 CE), por lo que no corresponde a este Tribunal revisar en vía de amparo sus apreciaciones, ni la ponderación llevada a cabo por aquéllos (por todas, SSTC 140/1994, 136/1996). </w:t>
      </w:r>
    </w:p>
    <w:p w:rsidR="0025129F" w:rsidRDefault="0025129F" w:rsidP="0025129F">
      <w:pPr>
        <w:pStyle w:val="TextoNormal"/>
      </w:pPr>
      <w:r>
        <w:t xml:space="preserve">e) La alegación de la demanda formulada subsidiariamente que invoca la lesión del derecho a la tutela judicial efectiva por la Sala de lo Social, al no reparar la insuficiencia fáctica de la Sentencia de instancia, por las mismas razones expresadas en el apartado anterior, habiendo declarado ya este Tribunal que el art. 44.1 b) LOTC, al impedir entrar a conocer de los hechos que dieron lugar al proceso, nos veda corregir el contenido de los hechos declarados probados dándoles un contenido diferente, so pretexto de valorar y analizar un acto procesal -la negativa a adicionar un hecho probado- que no puede ser objeto de un control de mera legalidad (ATC 183/1983). Que el órgano judicial no acceda a la revisión de los hechos probados interesada al formalizar un recurso no entraña una indefensión constitucionalmente relevante (ATC 296/1983). </w:t>
      </w:r>
    </w:p>
    <w:p w:rsidR="0025129F" w:rsidRDefault="0025129F" w:rsidP="0025129F">
      <w:pPr>
        <w:pStyle w:val="TextoNormal"/>
      </w:pPr>
      <w:r>
        <w:t>En esta misma providencia, no obstante, la Sala acordó al mismo tiempo la admisión a trámite de la alegación de la demanda de amparo que denuncia la vulneración del derecho fundamental a la tutela judicial efectiva (art. 24.1 CE) por incurrir la Sentencia del Tribunal Superior de Justicia impugnada en incongruencia omisiva al no dar respuesta al tercer motivo del recurso de suplicación que resolvía. Por ello, en aplicación de lo dispuesto en el art. 51 LOTC, acordó igualmente dirigir atenta comunicación a la Sala de lo Social del Tribunal Superior de Justicia de Cataluña y al Juzgado de lo Social núm. 16 de Barcelona a fin de que, en plazo que no exceda de diez días, remitieran certificación o fotocopia adverada de las actuaciones correspondientes al rollo núm. 8763/97 y al procedimiento sobre derechos fundamentales núm. 1080/97, respectivamente. Al propio tiempo se interesó que se emplazara a quienes hubiesen sido parte en el procedimiento, a excepción de la parte recurrente en amparo, para que pudieran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Por escrito registrado el 25 de junio de 1999, don Roberto Sastre Moyano, Procurador de los Tribunales y de la empresa Magneti Marelli Ibérica, S.A., comparece ante este Tribunal para oponerse a la estimación el amparo solicitado. En particular, aduce que no se produce la incongruencia omisiva alegada en el motivo cuarto del recurso de amparo porque la Sentencia del Tribunal Superior de Justicia de Cataluña sí resuelve el tercer motivo del recurso de suplicación relativo a la vulneración del derecho de huelga. Entiende que la alegación de la vulneración del derecho de huelga la basan los recurrentes en que el pacto de 19 de abril de 1997, que puso fin a aquélla, realmente fue un "engaño" a los trabajadores para que depusieran su actitud huelguista, a cambio de la promesa de negociar el futuro de la planta de Barberá, siendo así que la empresa no tenía intención de cumplir con dicho pacto. Sin embargo, el hecho de que la Sentencia del Tribunal Superior de Justicia de Cataluña estime que la empresa "no sólo no ha mostrado una actitud reticente a reunirse con los trabajadores para negociar el plan de viabilidad tal y como se obligó en el pacto que puso fin a la huelga, sino que ha mantenido un total de 4 reuniones para tratar de este tema" y concluya que "ha cumplido suficientemente la obligación de negociar asumida en el susodicho pacto", impide entender que no exista pronunciamiento judicial sobre la cuestión. Vinculadas, pues, la obligación de negociación colectiva con la conculcación del </w:t>
      </w:r>
      <w:r>
        <w:lastRenderedPageBreak/>
        <w:t>derecho de huelga, es patente que, al estimarse que la empresa cumplió con la obligación de negociar asumida en el pacto, queda desestimada la violación del derecho de huelga, porque ello supone que el pacto que puso fin a ésta se concertó de buena fe y fue cumplido por la empresa. Estas razones hicieron prescindir del examen pormenorizado de la conculcación del derecho de huelga.</w:t>
      </w:r>
    </w:p>
    <w:p w:rsidR="0025129F" w:rsidRDefault="0025129F" w:rsidP="0025129F">
      <w:pPr>
        <w:pStyle w:val="TextoNormal"/>
      </w:pPr>
    </w:p>
    <w:p w:rsidR="0025129F" w:rsidRDefault="0025129F" w:rsidP="0025129F">
      <w:pPr>
        <w:pStyle w:val="TextoNormal"/>
      </w:pPr>
      <w:r w:rsidRPr="0025129F">
        <w:rPr>
          <w:rStyle w:val="NumeroAFNegritaCaracter"/>
        </w:rPr>
        <w:t>6</w:t>
      </w:r>
      <w:r>
        <w:t>. Por providencia de 5 de julio de 1999, la Sala Segunda de este Tribunal tuvo por personado y parte al Procurador don Roberto Sastre Moyano, en nombre y representación de Magnetti Marelli Ibérica, S.A., acordándose con él las sucesivas actuaciones si bien condicionado todo ello a que en el plazo de diez días presentara escritura de poder original acreditativa de la representación que decía ostentar. Asimismo, se acordó dar vista de las actuaciones a las partes personadas y al Ministerio Fiscal por plazo común de veinte días, a fin de que pudieran presentar las alegaciones que, en su caso, estimaran pertinentes.</w:t>
      </w:r>
    </w:p>
    <w:p w:rsidR="0025129F" w:rsidRDefault="0025129F" w:rsidP="0025129F">
      <w:pPr>
        <w:pStyle w:val="TextoNormal"/>
      </w:pPr>
    </w:p>
    <w:p w:rsidR="0025129F" w:rsidRDefault="0025129F" w:rsidP="0025129F">
      <w:pPr>
        <w:pStyle w:val="TextoNormal"/>
      </w:pPr>
      <w:r w:rsidRPr="0025129F">
        <w:rPr>
          <w:rStyle w:val="NumeroAFNegritaCaracter"/>
        </w:rPr>
        <w:t>7</w:t>
      </w:r>
      <w:r>
        <w:t>. El 20 de julio de 1999, doña Isabel Cañedo Vega, Procuradora de los Tribunales de la parte recurrente, se ratificó en su demanda de amparo y dio por reproducidas todas las alegaciones y fundamentos de derecho.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El Ministerio Fiscal, en escrito registrado el 29 de julio de 1999, interesa que se desestime el amparo solicitado. </w:t>
      </w:r>
    </w:p>
    <w:p w:rsidR="0025129F" w:rsidRDefault="0025129F" w:rsidP="0025129F">
      <w:pPr>
        <w:pStyle w:val="TextoNormal"/>
      </w:pPr>
      <w:r>
        <w:t xml:space="preserve">En primer lugar, entiende el Ministerio Fiscal que existe un óbice procesal que impide entrar en el fondo de la cuestión planteada. Concretamente, aduce que no ha agotado la vía judicial previa tal y como exige el art. 44.1 a) LOTC en relación con el art. 50.1 a) de la misma norma legal, por cuanto el art. 240.3 LOPJ, en la redacción establecida por la Ley Orgánica 5/1997, de 4 de diciembre, permitía ya la posibilidad de instar la nulidad de actuaciones con fundamento en la incongruencia del fallo en plazo de veinte días desde la notificación de la sentencia. Requisito de agotamiento que constituye una exigencia indeclinable derivada del carácter subsidiario del recurso de amparo constitucional que no permite traer per saltum ante este Tribunal pretensiones sobre las cuales debió darse la posibilidad de pronunciarse al órgano judicial sentenciador (ATC 170/1999, de 24 de junio). El hecho de que esta causa de inadmisibilidad no fuera debatida en el trámite del art. 50 -que no es preceptivo, sino potestativo-, siendo alegada en el trámite a que da lugar el art. 52, ambos de la LOTC, como en el presente caso sucede, no impide que pueda convertirse en motivo de desestimación, si la Sala la aprecia, en cuyo caso no sería necesario ya analizar el fondo del asunto (STC 156/1986). </w:t>
      </w:r>
    </w:p>
    <w:p w:rsidR="0025129F" w:rsidRDefault="0025129F" w:rsidP="0025129F">
      <w:pPr>
        <w:pStyle w:val="TextoNormal"/>
      </w:pPr>
      <w:r>
        <w:t xml:space="preserve">En segundo lugar, y por si la Sala no apreciara la concurrencia del óbice procesal detectado, el Ministerio Fiscal examina la tacha de incongruencia. Tras exponer la doctrina constitucional en la materia, manifiesta que aunque es cierto que la Sentencia de la Sala de lo Social no explicita ninguna respuesta al tercero de los motivos articulados en el recurso de suplicación, puede apreciarse una denegación tácita suficiente permitida por este Tribunal cuando puede deducirse así de otros razonamientos de la Sentencia (SSTC 95/1990, de 23 de mayo, FJ 2, y 187/1998, de 28 de septiembre, FJ 2). El tercer motivo del recurso de suplicación argumentaba que la defraudación del legítimo derecho de huelga es la consecuencia lógica de un antecedente, constituido éste por la premisa establecida de que el acuerdo de negociación fue incumplido; es decir, que según los recurrentes no hubo negociación. Por el contrario, la Sentencia de la Sala de lo Social del Tribunal Superior de Justicia de Cataluña, en el tercero de los fundamentos de derecho, tras poner de manifiesto </w:t>
      </w:r>
      <w:r>
        <w:lastRenderedPageBreak/>
        <w:t>que "sostienen los demandantes que la empresa no ha cumplido la obligación de negociar el plan de viabilidad asumida en el pacto que puso fin a la huelga", estima que "la empresa no sólo no ha mostrado una actitud reticente a reunirse con los trabajadores para negociar el plan de viabilidad tal y como se obligó en el pacto que puso fin a la huelga, sino que ha mantenido un total de cuatro reuniones para tratar de este tema", concluyendo que la empresa "ha cumplido suficientemente la obligación de negociar asumida en el susodicho pacto", siendo lo sucedido, según, aprecia la Sentencia de la Sala de lo Social, "que las posiciones de ambas partes continúen enfrentadas y no se haya logrado acercamiento alguno". Por consiguiente, negada por la Sentencia de la Sala de lo Social la premisa del incumplimiento del acuerdo de negociación, puede deducirse que para el órgano jurisdiccional carece de soporte lógico la pretendida defraudación del legítimo derecho de huelga. En resumen, constatada la ausencia de respuesta expresa, pero deducida razonablemente del contenido de la Sentencia una respuesta tácita o implícita, en el sentido apuntado en el párrafo anterior, de que no sufrió menoscabo el derecho de huelga, resulta improcedente sostener que medió incongruencia omisiva a efectos de otorgar el amparo solicitado por pretendida vulneración del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18 de abril 2002, se acordó para deliberación y votación de la presente Sentencia el día 22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Los recurrentes en amparo alegan que la resolución impugnada vulnera su derecho a la tutela judicial efectiva amparada en el art. 24.1 CE por incurrir en incongruencia omisiva, al no haber dado la Sala de lo Social del Tribunal Superior de Justicia de Madrid respuesta alguna al tercer motivo del recurso de suplicación en el que se alegaba la vulneración derecho de huelga y se solicitaba una indemnización de daños y perjuicios.</w:t>
      </w:r>
    </w:p>
    <w:p w:rsidR="0025129F" w:rsidRDefault="0025129F" w:rsidP="0025129F">
      <w:pPr>
        <w:pStyle w:val="TextoNormal"/>
      </w:pPr>
      <w:r>
        <w:t>El Ministerio Fiscal, por su parte, no sólo niega que se haya producido la incongruencia omisiva esgrimida, por estar ante un caso claro de denegación tácita, sino que, además, entiende que concurre un óbice procesal insubsanable que aboca a inadmitir la demanda de amparo por falta de agotamiento de la vía judicial previa [arts.  44.1 a) y 50.1 a) LOTC], habida cuenta de que la supuesta infracción que se dice cometida por la sentencia recurrida pudo y debió hacerse valer mediante la vía del incidente de nulidad de actuaciones contemplado en el art. 240.3 LOPJ.</w:t>
      </w:r>
    </w:p>
    <w:p w:rsidR="0025129F" w:rsidRDefault="0025129F" w:rsidP="0025129F">
      <w:pPr>
        <w:pStyle w:val="TextoNormal"/>
      </w:pPr>
    </w:p>
    <w:p w:rsidR="0025129F" w:rsidRDefault="0025129F" w:rsidP="0025129F">
      <w:pPr>
        <w:pStyle w:val="TextoNormal"/>
      </w:pPr>
      <w:r w:rsidRPr="0025129F">
        <w:rPr>
          <w:rStyle w:val="NumeroAFNegritaCaracter"/>
        </w:rPr>
        <w:t>2</w:t>
      </w:r>
      <w:r>
        <w:t>. Con arreglo a la habitual prioridad del examen de las cuestiones de admisibilidad sobre el análisis de las de fondo, hemos de comenzar pronunciándonos acerca de la alegación del Ministerio Fiscal, en el sentido de considerar que la demanda no cumple el requisito de agotamiento de los recursos de la vía judicial previa. En caso de verificarse esta circunstancia, la demanda incurriría en la causa de inadmisión del art. 50.1 a) LOTC en relación con el art. 44.1 a) de la misma Ley y, por consiguiente, sería inadmitida, impidiéndonos entrar a enjuiciar en cuanto al fondo las pretensiones formuladas por los demandantes a pesar de que pueda existir una falta de respuesta, expresa, sobre la vulneración del derecho fundamental alegada en el recurso de suplicación.</w:t>
      </w:r>
    </w:p>
    <w:p w:rsidR="0025129F" w:rsidRDefault="0025129F" w:rsidP="0025129F">
      <w:pPr>
        <w:pStyle w:val="TextoNormal"/>
      </w:pPr>
      <w:r>
        <w:t>A este examen prioritario no empece el hecho de que la presente demanda de amparo fuera inicialmente admitida a trámite pues, como hemos declarado en otras ocasiones, los defectos insubsanables de que pudiera estar afectado el recurso de amparo no resultan sa</w:t>
      </w:r>
      <w:r>
        <w:lastRenderedPageBreak/>
        <w:t>nados porque la demanda haya sido inicialmente admitida (SSTC 129/2000, de 16 de mayo, FJ 2 y 192/2001, de 1 de octubre, FJ 3). Por ello, la comprobación de los requisitos procesales puede también realizarse en un momento distinto del previsto para la admisión de los recursos de amparo, siendo viable en la propia Sentencia un pronunciamiento de inadmisión por la falta de presupuestos procesales y sin que para ello constituya un obstáculo el carácter tasado de los pronunciamientos previstos en el art. 53 LOTC (por todas, SSTC 146/1998, de 30 de junio, FJ 2, y 32/2002, de 11 de febrero, FJ 2).</w:t>
      </w:r>
    </w:p>
    <w:p w:rsidR="0025129F" w:rsidRDefault="0025129F" w:rsidP="0025129F">
      <w:pPr>
        <w:pStyle w:val="TextoNormal"/>
      </w:pPr>
    </w:p>
    <w:p w:rsidR="0025129F" w:rsidRDefault="0025129F" w:rsidP="0025129F">
      <w:pPr>
        <w:pStyle w:val="TextoNormal"/>
      </w:pPr>
      <w:r w:rsidRPr="0025129F">
        <w:rPr>
          <w:rStyle w:val="NumeroAFNegritaCaracter"/>
        </w:rPr>
        <w:t>3</w:t>
      </w:r>
      <w:r>
        <w:t>. Pues bien, el Ministerio Fiscal fundamenta el óbice procesal de la falta de agotamiento de la vía judicial previa en la ausencia de interposición del incidente de nulidad de actuaciones establecido en el art. 240.3 LOPJ, en la redacción establecida por la Ley Orgánica 5/1997, de 4 de diciembre.</w:t>
      </w:r>
    </w:p>
    <w:p w:rsidR="0025129F" w:rsidRDefault="0025129F" w:rsidP="0025129F">
      <w:pPr>
        <w:pStyle w:val="TextoNormal"/>
      </w:pPr>
      <w:r>
        <w:t>Como es sabido, la Ley Orgánica 5/1997, de 4 de diciembre, introdujo un nuevo apartado tercero en el art. 240 LOPJ donde se reconoce a quienes sean parte legítima en un proceso la posibilidad de instar la nulidad de actuaciones fundada en vicios formales causantes de indefensión o en la incongruencia del fallo. Este remedio, cuya entrada en vigor se produjo el 6 de diciembre de 1997 (Disposición final única), desde entonces (y con un ámbito subjetivo más amplio desde la Ley Orgánica 13/1999, de 14 de mayo) permite a los órganos judiciales subsanar ellos mismos los defectos procesales causantes de indefensión o las resoluciones incongruentes que hubieren adquirido firmeza, en el plazo de veinte días desde su notificación.</w:t>
      </w:r>
    </w:p>
    <w:p w:rsidR="0025129F" w:rsidRDefault="0025129F" w:rsidP="0025129F">
      <w:pPr>
        <w:pStyle w:val="TextoNormal"/>
      </w:pPr>
      <w:r>
        <w:t>En el presente caso, aun admitiéndose que no cupiese el recurso de casación para unificación de doctrina, como quiera que la admisión de la demanda se limitó exclusivamente a la vulneración de la tutela judicial efectiva por existencia de un vicio de incongruencia omisiva de la Sentencia impugnada y ésta fue notificada el 28 de mayo de 1998, la posibilidad de interponer el mencionado incidente era plenamente factible al estar en dicho momento plenamente vigente la reforma y el incidente de nulidad de actuaciones regulado en el art. 240.3 LOPJ. Por ello, resultaba obligado intentar el remedio procesal establecido en este precepto y, al no haberse hecho así, concurre el presente recurso en el óbice procesal, al no haberse agotado todos los recursos utilizables en la vía judicial, requisito cuyo cumplimiento se convierte en exigencia indeclinable derivada del carácter subsidiario del recurso de amparo constitucional.</w:t>
      </w:r>
    </w:p>
    <w:p w:rsidR="0025129F" w:rsidRDefault="0025129F" w:rsidP="0025129F">
      <w:pPr>
        <w:pStyle w:val="TextoNormal"/>
      </w:pPr>
    </w:p>
    <w:p w:rsidR="0025129F" w:rsidRDefault="0025129F" w:rsidP="0025129F">
      <w:pPr>
        <w:pStyle w:val="TextoNormal"/>
      </w:pPr>
      <w:r w:rsidRPr="0025129F">
        <w:rPr>
          <w:rStyle w:val="NumeroAFNegritaCaracter"/>
        </w:rPr>
        <w:t>4</w:t>
      </w:r>
      <w:r>
        <w:t>. En consecuencia, se inadmite el amparo solicitado en aplicación de los arts. 50.1 a) y 44.1 a), ambos de la LOTC, sin pronunciamiento alguno sobre el fondo de las pretensiones de los recurrentes.</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Inadmitir la demanda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lastRenderedPageBreak/>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89" w:name="SENTENCIA_2002_86"/>
      <w:r>
        <w:lastRenderedPageBreak/>
        <w:t>SENTENCIA 86/2002, de 22 de abril de 2002</w:t>
      </w:r>
    </w:p>
    <w:bookmarkEnd w:id="89"/>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ECLI:ES:TC:2002:86</w:t>
      </w:r>
    </w:p>
    <w:p w:rsidR="0025129F" w:rsidRDefault="0025129F" w:rsidP="0025129F">
      <w:pPr>
        <w:pStyle w:val="SntesisDescriptiva"/>
      </w:pPr>
    </w:p>
    <w:p w:rsidR="0025129F" w:rsidRDefault="0025129F" w:rsidP="0025129F">
      <w:pPr>
        <w:pStyle w:val="SntesisDescriptiva"/>
      </w:pPr>
      <w:r>
        <w:t>Recurso de amparo 3757/1998. Promovido por don Rafael Aranda Barrionuevo frente a la Sentencia y al Auto de aclaración de la Audiencia Provincial de Sevilla, en un pleito por su exclusión como socio de una cooperativa de enseñanza.</w:t>
      </w:r>
    </w:p>
    <w:p w:rsidR="0025129F" w:rsidRDefault="0025129F" w:rsidP="0025129F">
      <w:pPr>
        <w:pStyle w:val="SntesisDescriptiva"/>
      </w:pPr>
    </w:p>
    <w:p w:rsidR="0025129F" w:rsidRDefault="0025129F" w:rsidP="0025129F">
      <w:pPr>
        <w:pStyle w:val="SntesisAnaltica"/>
      </w:pPr>
      <w:r>
        <w:t>Supuesta vulneración del derecho a la tutela judicial efectiva (acceso a la justicia): incompetencia de la jurisdicción civil para conocer de la nulidad de un acuerdo de cooperativa laboral, y denegación de conflicto de competencia con los Tribunales del orden social, que habían resuelto pretensiones diferentes.</w:t>
      </w:r>
    </w:p>
    <w:p w:rsidR="0025129F" w:rsidRDefault="0025129F" w:rsidP="0025129F">
      <w:pPr>
        <w:pStyle w:val="SntesisAnaltica"/>
      </w:pPr>
    </w:p>
    <w:p w:rsidR="0025129F" w:rsidRDefault="0025129F" w:rsidP="0025129F">
      <w:pPr>
        <w:pStyle w:val="Extracto"/>
      </w:pPr>
      <w:r>
        <w:t>1.</w:t>
      </w:r>
      <w:r>
        <w:tab/>
        <w:t>El art. 50.1 de la Ley Orgánica del Poder Judicial exige, para la procedencia del recurso por defecto de jurisdicción, que los dos órganos judiciales que declaran su falta de jurisdicción lo hagan con respecto a las mismas pretensiones, requisito este que aquí no concurre. Sólo un orden jurisdiccional, el civil, se ha declarado incompetente en la motivación de la Sentencia ahora impugnada y ello con remisión expresa de las partes al orden social, lo cual no vulnera el derecho a la tutela judicial efectiva [FJ 4].</w:t>
      </w:r>
    </w:p>
    <w:p w:rsidR="0025129F" w:rsidRDefault="0025129F" w:rsidP="0025129F">
      <w:pPr>
        <w:pStyle w:val="Extracto"/>
      </w:pPr>
    </w:p>
    <w:p w:rsidR="0025129F" w:rsidRDefault="0025129F" w:rsidP="0025129F">
      <w:pPr>
        <w:pStyle w:val="Extracto"/>
      </w:pPr>
      <w:r>
        <w:t>2.</w:t>
      </w:r>
      <w:r>
        <w:tab/>
        <w:t>Jurisprudencia sobre la declaración de incompetencia realizada por un órgano judicial (SSTC 43/1984, 26/1991, 177/2001) [FJ 3].</w:t>
      </w:r>
    </w:p>
    <w:p w:rsidR="0025129F" w:rsidRDefault="0025129F" w:rsidP="0025129F">
      <w:pPr>
        <w:pStyle w:val="Extracto"/>
      </w:pPr>
    </w:p>
    <w:p w:rsidR="0025129F" w:rsidRDefault="0025129F" w:rsidP="0025129F">
      <w:pPr>
        <w:pStyle w:val="Extracto"/>
      </w:pPr>
      <w:r>
        <w:t>3.</w:t>
      </w:r>
      <w:r>
        <w:tab/>
        <w:t>La exigencia de agotar la previa vía judicial no obliga a utilizar en cada caso todos los medios de impugnación posibles, sino tan sólo aquellos normales que, de manera clara, se manifiestan como ejercitables (STC 190/2001) [FJ 2].</w:t>
      </w:r>
    </w:p>
    <w:p w:rsidR="0025129F" w:rsidRDefault="0025129F" w:rsidP="0025129F">
      <w:pPr>
        <w:pStyle w:val="Extracto"/>
      </w:pPr>
    </w:p>
    <w:p w:rsidR="0025129F" w:rsidRDefault="0025129F" w:rsidP="0025129F">
      <w:pPr>
        <w:pStyle w:val="Extracto"/>
      </w:pPr>
      <w:r>
        <w:t>4.</w:t>
      </w:r>
      <w:r>
        <w:tab/>
        <w:t>El recurrente en amparo carece de legitimación para invocar la supuesta vulneración del derecho a la tutela judicial efectiva de la otra parte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3757/98 promovido por don Rafael Aranda Barrionuevo, representado por el Procurador de los Tribunales don Luciano Rosch Nadal y asistido por el Abogado don Rogelio Vázquez Alves, contra la Sentencia de la Sección Sexta de la Audiencia Provincial de Sevilla de 2 de diciembre de 1997 (rollo de apelación núm. 135/97), por la que se desestima el recurso de apelación interpuesto frente a la Sentencia del Juzgado de Primera Instancia núm. 4 de Sevilla de 18 de noviembre de 1996, dictada en autos de juicio de menor cuantía núm. 314/96, y contra el Auto de la citada Sección de la Audiencia Provincial de 29 de junio de 1998, por el que se desestima la solicitud de aclaración y de declaración de nulidad de actuaciones formulada respecto de la primera de las mencionadas Sentencias. Han comparecido la Procuradora de los Tribunales doña Lydia Leyva Cavero, en nombre y representación de Euclides de Enseñanza, Sociedad Cooperativa Andaluza, que ha sido asistida por el Abogado José Afanador Bellido, y el Ministerio Fiscal. Ha sido Ponente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Por escrito registrado en este Tribunal el 11 de agosto de 1998 el Procurador de los Tribunales don Luciano Rosch Nadal, en nombre y representación de don Rafael Aranda Barrionuevo, interpuso recurso de amparo contra las resoluciones mencionadas en el encabezamiento de esta Sentencia, a las que imputa la vulneración del derecho a la tutela judicial efectiva.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deriva la presente demanda de amparo son, en síntesis, los siguientes: </w:t>
      </w:r>
    </w:p>
    <w:p w:rsidR="0025129F" w:rsidRDefault="0025129F" w:rsidP="0025129F">
      <w:pPr>
        <w:pStyle w:val="TextoNormal"/>
      </w:pPr>
      <w:r>
        <w:t xml:space="preserve">a) Don Rafael Aranda Barrionuevo era socio trabajador de Euclides de Enseñanza, Sociedad Cooperativa Andaluza, cuyo objeto social es el desarrollo de actividades docentes. Tras aprobar las oposiciones para el acceso a una plaza en la enseñanza pública, la Asamblea General de la citada cooperativa, a instancia del Sr. Aranda, autorizó al ahora demandante de amparo a mantener su condición de socio en concepto de socio inactivo durante el curso escolar 1991/92. En julio de 1992, el Sr. Aranda volvió a solicitar que se le permitiera permanecer como socio inactivo un año más. La solicitud del socio trabajador, en la que se alegaba la incompatibilidad de las tareas de la docencia pública y privada y la conveniencia de mantener la condición de socio inactivo mientras se resolvía determinada cuestión relativa a la transmisión de sus aportaciones sociales, fue denegada por el Consejo Rector de la cooperativa que, en el mismo acuerdo, ordenaba al Sr. Aranda su inmediata incorporación a sus tareas docentes en el colegio de la cooperativa. El 26 de septiembre de 1992, el Consejo Rector acordó incoar expediente disciplinario contra el recurrente en amparo por presunta comisión de falta grave. El expediente, en el que el Sr. Aranda formuló escrito de descargo, terminó con acuerdo de exclusión del socio de fecha 9 de noviembre de 1992. El 9 de marzo de 1993 el Consejo Rector de la cooperativa decidió proceder al reembolso al Sr. Aranda de las aportaciones obligatorias integrantes del capital social, de acuerdo con la liquidación provisional que se practicaba. </w:t>
      </w:r>
    </w:p>
    <w:p w:rsidR="0025129F" w:rsidRDefault="0025129F" w:rsidP="0025129F">
      <w:pPr>
        <w:pStyle w:val="TextoNormal"/>
      </w:pPr>
      <w:r>
        <w:t>b) El recurrente formuló demanda ante el orden jurisdiccional social en la que solicitó que se declarara su derecho a recibir íntegramente la cantidad a la que ascendían sus apor</w:t>
      </w:r>
      <w:r>
        <w:lastRenderedPageBreak/>
        <w:t xml:space="preserve">taciones en el capital social de la cooperativa, sin reducción alguna y calculada en función de su participación en el activo de la sociedad, valorado en veinte millones de pesetas. El proceso laboral (autos núm. 869/94) terminó por Sentencia del Juzgado de lo Social núm. 9 de Sevilla de 13 de marzo de 1995 en la que, con estimación de la excepción de incompetencia de jurisdicción por razón de la materia, alegada por la demandada Euclides de Enseñanza, S.C.A., el órgano judicial se abstenía de conocer del fondo del asunto y remitía a las partes a los Tribunales del orden civil. </w:t>
      </w:r>
    </w:p>
    <w:p w:rsidR="0025129F" w:rsidRDefault="0025129F" w:rsidP="0025129F">
      <w:pPr>
        <w:pStyle w:val="TextoNormal"/>
      </w:pPr>
      <w:r>
        <w:t xml:space="preserve">c) Ante el orden jurisdiccional civil formuló posteriormente demanda el recurrente de amparo, en cuyo suplico se solicitaba que se declarara nulo el acuerdo de exclusión adoptado por el Consejo Rector de la cooperativa y se sustituyera por una declaración de baja voluntaria y se condenara a la demandada a abonar al actor una cantidad en razón a sus participaciones que habría de determinarse en ejecución de sentencia. Los autos se tramitaron conforme a las reglas del juicio de menor cuantía (núm. 314/96), que concluyó por Sentencia del Juzgado de Primera Instancia núm. 4 de Sevilla de 18 de noviembre de 1996, que se pronunciaba sobre el fondo de las cuestiones y desestimó la demanda formulada por el Sr. Aranda, sin expresa condena en costas. </w:t>
      </w:r>
    </w:p>
    <w:p w:rsidR="0025129F" w:rsidRDefault="0025129F" w:rsidP="0025129F">
      <w:pPr>
        <w:pStyle w:val="TextoNormal"/>
      </w:pPr>
      <w:r>
        <w:t xml:space="preserve">d) Contra la Sentencia del Juzgado de Primera Instancia interpusieron ambas partes recurso de apelación ante la Audiencia Provincial de Sevilla. El recurrente en amparo solicitó que se revocara la Sentencia y se accediera a las dos pretensiones formuladas en la demanda. Euclides de Enseñanza, S.C.A., por su parte, se limitó en su recurso a solicitar la revocación de la Sentencia de primera instancia en cuanto a la falta de condena en costas a la demandada pues, a su juicio, no concurría ninguna circunstancia excepcional que justificara la inaplicación de la regla del vencimiento objetivo establecida en el art. 523 de la Ley de Enjuiciamiento Civil (de 1881). La Sección Sexta de la Audiencia Provincial, en el rollo de apelación núm. 135/97, dictó Sentencia el 2 de diciembre de 1997. En el fundamento de Derecho único de la misma, con respecto a la pretensión deducida por el recurrente en amparo de que se declarara la nulidad del acuerdo de exclusión, la Sentencia declara la incompetencia del orden jurisdiccional civil para resolver sobre ella y remite a las partes al orden jurisdiccional social, lo que se fundamenta, por una parte, en el art. 2 o) de la Ley de Procedimiento Laboral, que atribuye a los órganos judiciales de ese orden el conocimiento de las cuestiones litigiosas que se promuevan entre las sociedades cooperativas de trabajo asociado o anónimas laborales y sus socios trabajadores por su condición de tales; y, por otra, en que la razón de la expulsión del actor se debía a un incumplimiento de sus obligaciones como trabajador docente en el colegio de la cooperativa. La Sentencia analiza, a continuación, la pretensión de condena al pago de cantidad, que desestima por entender que la sociedad cooperativa había actuado conforme a Derecho. Por último, aunque en el encabezamiento de la Sentencia hace referencia expresa la Audiencia Provincial a que se había interpuesto recurso de apelación por ambas partes, el fallo sólo desestima expresamente el recurso del Sr. Aranda, con una declaración del siguiente tenor: "desestimamos el recurso de apelación interpuesto por Rafael Aranda Barrionuevo frente a la Sentencia de fecha 18 de noviembre de 1996, dictada por el Juzgado de Primera Instancia núm. 4 de Sevilla en autos núm. 314/96, la que confirmamos en todos sus pronunciamientos, e imponemos las costas de esta alzada a la parte apelante". </w:t>
      </w:r>
    </w:p>
    <w:p w:rsidR="0025129F" w:rsidRDefault="0025129F" w:rsidP="0025129F">
      <w:pPr>
        <w:pStyle w:val="TextoNormal"/>
      </w:pPr>
      <w:r>
        <w:t xml:space="preserve">e) El Sr. Aranda, por escrito presentado en la Audiencia Provincial de Sevilla el 19 de diciembre de 1997, conforme a lo dispuesto por el art. 267 de la Ley Orgánica del Poder Judicial (LOPJ), solicitó la aclaración de la Sentencia. En concreto solicitaba el recurrente de amparo que se supliera en la Sentencia la omisión del planteamiento del correspondiente conflicto de competencia, conforme a lo dispuesto por los arts. 42 y 43 LOPJ, pues esa </w:t>
      </w:r>
      <w:r>
        <w:lastRenderedPageBreak/>
        <w:t xml:space="preserve">omisión supondría una denegación de tutela judicial contraria al art. 24 CE, dado que la jurisdicción social ya se había declarado incompetente para resolver sobre la cuestión planteada. Asimismo, solicitaba que se incluyera en la Sentencia la condena en las costas causadas en la apelación también a la otra parte, dado que también su recurso de apelación había sido desestimado, o que se declarara que no se condenaba en costas a ninguno de los apelantes; que se aclarara si en lo que se refiere a la declaración de incompetencia del orden civil para conocer de la declaración de nulidad del acuerdo de exclusión de la cooperativa se había revocado o confirmado la Sentencia de la primera instancia; y que se incluyera en la Sentencia el correspondiente pie de recurso o se declarara la firmeza de la resolución. </w:t>
      </w:r>
    </w:p>
    <w:p w:rsidR="0025129F" w:rsidRDefault="0025129F" w:rsidP="0025129F">
      <w:pPr>
        <w:pStyle w:val="TextoNormal"/>
      </w:pPr>
      <w:r>
        <w:t xml:space="preserve">f) Ante la falta de respuesta a la aclaración solicitada, la representación procesal del Sr. Aranda promovió por escrito de 13 de enero de 1998, conforme a lo previsto en el art. 240.3 LOPJ, incidente de nulidad de actuaciones. En el escrito se alegaba que le habían causado indefensión contraria al art. 24 CE la falta de planteamiento por la Audiencia Provincial del conflicto de competencia y la incongruencia omisiva de la Sentencia que, al no pronunciarse sobre la desestimación del recurso de apelación de Euclides de Enseñanza, S.C.A., había condenado al pago de las costas causadas en la apelación exclusivamente al Sr. Aranda. </w:t>
      </w:r>
    </w:p>
    <w:p w:rsidR="0025129F" w:rsidRDefault="0025129F" w:rsidP="0025129F">
      <w:pPr>
        <w:pStyle w:val="TextoNormal"/>
      </w:pPr>
      <w:r>
        <w:t>g) A la solicitud de aclaración de la citada Sentencia y al escrito por el que se promovía el incidente de nulidad de actuaciones dio respuesta conjunta la Audiencia Provincial por Auto de 29 de junio de 1998, en el que se expone que no procedía el planteamiento del conflicto de competencia porque no constaba que ante el orden jurisdiccional social se hubiera deducido acción de declaración de nulidad del acuerdo de exclusión de la cooperativa; que la Sentencia del Juzgado de Primera Instancia se confirmaba en todo, también en la declaración de incompetencia del orden civil para conocer de la mencionada pretensión; que la Sentencia de la Audiencia Provincial no era firme; y que no se pronunciaba sobre la falta de condena en costas en la primera instancia para no incurrir en una reformatio in peius.</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En su demanda de amparo argumenta el recurrente que la declaración realizada por la Sentencia de la Audiencia Provincial de que el orden civil es incompetente para pronunciarse sobre la nulidad del acuerdo de exclusión de la cooperativa, sin que el órgano judicial hubiera planteado el conflicto de competencia, vulnera su derecho a la tutela judicial efectiva (art. 24 CE), puesto que anteriormente se había dictado otra Sentencia, ya firme, del orden jurisdiccional social en la que se había formulado la misma declaración de incompetencia y de remisión al orden civil. Las dos Sentencias firmes contradictorias habrían privado al recurrente de una resolución sobre el fondo. Por lo demás, la declaración de incompetencia realizada en la Sentencia de la Audiencia Provincial incurriría en una flagrante vulneración del art. 26.6 de la Ley 2/1985, de 2 de mayo, de sociedades cooperativas andaluzas, que, en su sentir, atribuye la competencia para conocer de las impugnaciones contra los acuerdos de exclusión de los socios a los órganos judiciales del orden civil. Invoca expresamente la demanda de amparo el art. 24.2 CE, en su vertiente de derecho a los recursos establecidos por la ley. </w:t>
      </w:r>
    </w:p>
    <w:p w:rsidR="0025129F" w:rsidRDefault="0025129F" w:rsidP="0025129F">
      <w:pPr>
        <w:pStyle w:val="TextoNormal"/>
      </w:pPr>
      <w:r>
        <w:t>Además, señala la demanda en su relato de los hechos que la Sentencia contra la que se dirige este recurso, después de señalar en su encabezamiento que se interpuso recurso de alzada contra la Sentencia del Juzgado de Primera Instancia por ambas partes, sólo resuelve la apelación formulada por el Sr. Aranda y no vuelve a hacer alusión alguna a la apelación formulada por Euclides Enseñanza, de forma tal que en el fallo no se contiene decla</w:t>
      </w:r>
      <w:r>
        <w:lastRenderedPageBreak/>
        <w:t>ración alguna de desestimación de este recurso. Termina la demanda con el suplico, invocando el art. 24.1 CE, de que se declare nula la Sentencia de la Audiencia Provincial de 2 de diciembre de 1997 y se ordene a dicho órgano judicial conocer sobre el fondo o, alternativamente, remitir las actuaciones a la Sala especial de conflictos del Tribunal Supremo, para que por ésta se determine la jurisdicción competente. Por otrosí se interesaba también la suspensión de la Sentencia recurrida.</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13 de marzo de 2000 la Sección Segunda de este Tribunal acordó la admisión a trámite de la demanda de amparo y, conforme a lo dispuesto por el art. 51 LOTC, requerir atentamente al Juzgado de lo Social núm. 9 de Sevilla, al Juzgado de Primera Instancia núm. 4 de Sevilla y a la Sección Sexta de la Audiencia Provincial de Sevilla para que, en el plazo de diez días, remitieran, respectivamente, testimonio de los autos núm. 869/94, de los autos del juicio declarativo de menor cuantía núm. 314/96 y del rollo núm. 135/97, interesándose, al propio tiempo, que se emplazara a quienes fueron parte en los mencionados procedimientos, con excepción del recurrente en amparo, para que, en el plazo de diez días, pudieran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13 de marzo de 2000 la Sección Segunda de este Tribunal acordó formar pieza separada de suspensión y, conforme a lo dispuesto por el art. 56 LOTC, conceder un plazo común de tres días al Ministerio Fiscal y al solicitante de amparo para que alegaran lo que estimasen pertinente en relación con la petición de suspensión interesada. Sustanciado el incidente, por Auto de 12 de junio de 2000, la Sala Primera del Tribunal Constitucional denegó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6</w:t>
      </w:r>
      <w:r>
        <w:t>. Por diligencia de ordenación de 4 de mayo de 2000 se tuvieron por recibidos los testimonios de las actuaciones remitidos por la Sección Sexta de la Audiencia Provincial de Sevilla y por el Juzgado de Primera Instancia núm. 4 de dicha capital y por presentado escrito de la Procuradora doña Lydia Leyva Cavero, a quien se tuvo por personada y parte, en nombre y representación de Euclides de Enseñanza, S.C.A.; y se acordó, conforme a lo dispuesto por el art. 52 LOTC, dar vista de todas las actuaciones del presente recurso de amparo, por plazo común de veinte días, al Ministerio Fiscal, a la Procuradora Sra. Leyva Cavero y al solicitante de amparo, para que dentro de dicho término, formularan las alegaciones que tuvieran por procedentes.</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Ministerio Fiscal formuló sus alegaciones por escrito que tuvo entrada en este Tribunal el 29 de mayo de 2000. Después de su exposición de los hechos, alega el Fiscal que, según se deduce de la demanda, el objeto del recurso de amparo lo constituye la pretensión que se dirige contra la Sentencia de la Audiencia Provincial con fundamento únicamente en que ésta no se había pronunciado sobre el fondo de la solicitud de que se declarara la nulidad del acuerdo de exclusión de la cooperativa, sin plantear conflicto de competencia. Ha de quedar fuera del objeto de este recurso tanto la cuestión relativa a la condena en costas en la apelación exclusivamente al ahora demandante -cuestión que, por lo demás, no sale del ámbito de la legalidad ordinaria-, como la falta de resolución del recurso de apelación interpuesto por la cooperativa, contra la que no puede dirigirse el recurrente en amparo por falta de legitimación activa. </w:t>
      </w:r>
    </w:p>
    <w:p w:rsidR="0025129F" w:rsidRDefault="0025129F" w:rsidP="0025129F">
      <w:pPr>
        <w:pStyle w:val="TextoNormal"/>
      </w:pPr>
      <w:r>
        <w:t xml:space="preserve">Plantea, a continuación, el Ministerio Fiscal la posible falta de agotamiento de los recursos en la vía judicial previa, dado que, aunque el proceso civil se tramitó como de </w:t>
      </w:r>
      <w:r>
        <w:lastRenderedPageBreak/>
        <w:t xml:space="preserve">cuantía indeterminada, en el previo proceso laboral la cantidad solicitada en la demanda fue de veinte millones de pesetas, y que el Auto de la Audiencia Provincial de 29 de junio de 1998 afirmaba expresamente que su Sentencia no era firme. Aunque fuera posible entender que era procedente el recurso de casación, concluye el Fiscal que esta cuestión no resulta suficientemente clara en las actuaciones, por lo que hay que entender cumplido el requisito del agotamiento de la vía judicial previa. </w:t>
      </w:r>
    </w:p>
    <w:p w:rsidR="0025129F" w:rsidRDefault="0025129F" w:rsidP="0025129F">
      <w:pPr>
        <w:pStyle w:val="TextoNormal"/>
      </w:pPr>
      <w:r>
        <w:t>Con respecto al fondo de la cuestión planteada en la demanda de amparo, considera el Fiscal que no existe la doble declaración de incompetencia que alega el recurrente, porque lo que se planteó ante el Juzgado de lo Social y ante los órganos judiciales del orden civil fueron pretensiones distintas: respectivamente, ante el primero, una pretensión de devolución de las cuotas impagadas y, después, ante éstos, otra de declaración de nulidad de un acuerdo social de exclusión que no había sido planteada ante la jurisdicción social. Con respecto a la pretensión de condena al pago de cantidad sí obtuvo el recurrente una respuesta por parte de los órganos judiciales del orden civil, desestimatoria, pero razonada y fundada en Derecho. En consecuencia, interesa el Ministerio Fiscal la desestimación del recurso de amparo.</w:t>
      </w:r>
    </w:p>
    <w:p w:rsidR="0025129F" w:rsidRDefault="0025129F" w:rsidP="0025129F">
      <w:pPr>
        <w:pStyle w:val="TextoNormal"/>
      </w:pPr>
    </w:p>
    <w:p w:rsidR="0025129F" w:rsidRDefault="0025129F" w:rsidP="0025129F">
      <w:pPr>
        <w:pStyle w:val="TextoNormal"/>
      </w:pPr>
      <w:r w:rsidRPr="0025129F">
        <w:rPr>
          <w:rStyle w:val="NumeroAFNegritaCaracter"/>
        </w:rPr>
        <w:t>8</w:t>
      </w:r>
      <w:r>
        <w:t>. El Procurador del demandante de amparo presentó el escrito de alegaciones el 29 de mayo de 2000 en el Juzgado de guardia. En dicho escrito se ratificaba el recurrente en lo que se había expuesto en la demanda y reiteraba que la Sentencia de la Audiencia Provincial, en cuanto declaraba la incompetencia de este órgano para conocer de la nulidad del acuerdo de exclusión, le había provocado indefensión y era flagrantemente contraria al art. 26.6 de la Ley de sociedades cooperativas andaluzas, por lo que solicitaba el otorgamiento del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escrito que tuvo entrada en este Tribunal el 2 de junio de 2000 presentó sus alegaciones la Procuradora doña Lydia Leyva Cavero, en representación de Euclides de Enseñanza, S.C.A. La cooperativa alega que lo que pidió el Sr. Aranda del órgano judicial del orden social fue una condena al pago de la cantidad a la que ascendían sus aportaciones al capital social, pretensión cuyo enjuiciamiento consideró este Juzgado que no era de su competencia. El acuerdo de exclusión fue impugnado por primera vez ante el orden jurisdiccional civil y el conflicto entre las partes derivado de dicho acuerdo sí que es una cuestión atribuida al ámbito de la jurisdicción social, por lo que la Audiencia Provincial no podía hacer nada que no fuera declararse incompetente, sin que fuera necesario promover el conflicto de competencia ante la Sala de Conflictos del Tribunal Supremo. En cuanto a la incongruencia omisiva en la que incurriría la Sentencia de la Audiencia Provincial, reconoce la cooperativa ser cierto que no se ha resuelto el recurso de apelación en el que ella impugnaba que la Sentencia de Primera Instancia por no haber condenado en costas al Sr. Aranda; y alega que, en el supuesto de ampliarse o modificarse la Sentencia de alzada en este punto, tendría que estimarse su pedimento. Termina el escrito con la solicitud de que se desestime el recurso de amparo.</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18 de abril de 2002 se acordó señalar para deliberación y votación de esta Sentencia el día 22 siguiente del mismo mes y año.</w:t>
      </w:r>
    </w:p>
    <w:p w:rsidR="0025129F" w:rsidRDefault="0025129F" w:rsidP="0025129F">
      <w:pPr>
        <w:pStyle w:val="TextoNormal"/>
      </w:pPr>
    </w:p>
    <w:p w:rsidR="0025129F" w:rsidRDefault="0025129F" w:rsidP="0025129F">
      <w:pPr>
        <w:pStyle w:val="TextoNormalNegritaCentrado"/>
        <w:keepNext/>
      </w:pPr>
      <w:r>
        <w:lastRenderedPageBreak/>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la Sentencia de la Audiencia Provincial de Sevilla de 2 de diciembre de 1997, dictada en los recursos de apelación formulados contra la Sentencia del Juzgado de Primera Instancia núm. 4 de la misma capital de 18 de noviembre de 1996, por la parte en su día demandante, el Sr. Aranda, ahora recurrente en amparo, y por la demandada, Euclides de Enseñanza, Sociedad Cooperativa Andaluza. La Sentencia dictada por la Audiencia Provincial en segunda instancia declara la falta de jurisdicción del orden civil para resolver sobre la primera de las pretensiones formuladas por el Sr. Aranda en su demanda y le remite expresamente a los órganos judiciales del orden social y desestima la segunda pretensión, que también había sido desestimada por el Juzgado de Primera Instancia en su Sentencia.</w:t>
      </w:r>
    </w:p>
    <w:p w:rsidR="0025129F" w:rsidRDefault="0025129F" w:rsidP="0025129F">
      <w:pPr>
        <w:pStyle w:val="TextoNormal"/>
      </w:pPr>
      <w:r>
        <w:t>Los hechos de los que derivaba la demanda planteada ante el orden jurisdiccional civil ya habían dado lugar a otro proceso en el orden social, que había concluido por Sentencia del Juzgado de lo Social núm. 9 de Sevilla, en la que este órgano judicial había estimado la excepción de incompetencia por razón de la materia alegada por la cooperativa demandada, y sin entrar en el fondo del asunto había remitido a las partes a los órganos judiciales del orden civil para resolver la cuestión planteada.</w:t>
      </w:r>
    </w:p>
    <w:p w:rsidR="0025129F" w:rsidRDefault="0025129F" w:rsidP="0025129F">
      <w:pPr>
        <w:pStyle w:val="TextoNormal"/>
      </w:pPr>
      <w:r>
        <w:t>El demandante de amparo alega que la declaración de falta de jurisdicción realizada por la citada Sentencia de la Audiencia Provincial, unida a la negativa de este órgano judicial a plantear el conflicto de competencia regulado por los arts. 42 y ss.  de la Ley Orgánica del Poder Judicial (LOPJ), le ha causado una denegación de justicia. Aunque en la demanda de amparo se cita expresamente el art. 24.2 CE y se invoca el derecho a la tutela judicial efectiva en su vertiente relativa al derecho a los recursos establecidos por la ley, es claro, dados los términos en que se formula la pretensión, que ésta ha de situarse, sin más, en el ámbito del derecho a la tutela judicial efectiva sin indefensión, reconocido por el art. 24.1 CE, derecho que, según reiteradísima jurisprudencia de este Tribunal, tiene como contenido normal la obtención de una resolución judicial fundada en Derecho sobre el fondo de las pretensiones planteadas, salvo cuando exista alguna causa impeditiva prevista por la ley que no vaya en contra del contenido esencial del derecho, que ha de respetar el legislador, y aplicada razonadamente por el órgano jurisdiccional.</w:t>
      </w:r>
    </w:p>
    <w:p w:rsidR="0025129F" w:rsidRDefault="0025129F" w:rsidP="0025129F">
      <w:pPr>
        <w:pStyle w:val="TextoNormal"/>
      </w:pPr>
    </w:p>
    <w:p w:rsidR="0025129F" w:rsidRDefault="0025129F" w:rsidP="0025129F">
      <w:pPr>
        <w:pStyle w:val="TextoNormal"/>
      </w:pPr>
      <w:r w:rsidRPr="0025129F">
        <w:rPr>
          <w:rStyle w:val="NumeroAFNegritaCaracter"/>
        </w:rPr>
        <w:t>2</w:t>
      </w:r>
      <w:r>
        <w:t>. Antes de proceder al examen de las pretensiones formuladas en la demanda de amparo es necesario pronunciarse sobre la causa de inadmisión del recurso a la que en su escrito de alegaciones alude el Ministerio Fiscal. Como se ha expuesto en los antecedentes, el Fiscal manifiesta sus dudas sobre el cumplimiento del requisito de haber agotado todos los recursos utilizables dentro de la vía judicial antes de interponer el recurso de amparo [art. 44.1 a) LOTC] pues, aunque el proceso en el orden jurisdiccional civil se tramitó conforme a las reglas del juicio declarativo de menor cuantía por haberse formulado la demanda como de cuantía indeterminada, en la previa acción deducida ante el Juzgado de lo Social la cantidad que el demandante reclamaba de la cooperativa era de veinte millones de pesetas. Pese a ello, entiende que puede estimarse cumplido aquel requisito.</w:t>
      </w:r>
    </w:p>
    <w:p w:rsidR="0025129F" w:rsidRDefault="0025129F" w:rsidP="0025129F">
      <w:pPr>
        <w:pStyle w:val="TextoNormal"/>
      </w:pPr>
      <w:r>
        <w:t>Ciertamente, el proceso civil se tramitó como de cuantía indeterminada, sin que nadie formulara oposición alguna a esta circunstancia. Sin embargo, ha de señalarse que la suma reclamada en la jurisdicción social, indeterminada, había de ser "calculada en función de mi participación en el activo de la sociedad, valorado al día de la fecha y que establecemos en la cantidad de 20.000.000 ptas." -suplico de la demanda.</w:t>
      </w:r>
    </w:p>
    <w:p w:rsidR="0025129F" w:rsidRDefault="0025129F" w:rsidP="0025129F">
      <w:pPr>
        <w:pStyle w:val="TextoNormal"/>
      </w:pPr>
      <w:r>
        <w:lastRenderedPageBreak/>
        <w:t>En estos términos la concreción de la cifra, indeterminada también en la vía civil, a la que ascenderían las aportaciones que habrían de ser reintegradas al recurrente, muy difícilmente excedería de los 6.000.000 pesetas, lo que hace más dudosa la procedencia del recurso de casación -arts. 1867, 1, c) y 1710, 1, 4 de la Ley de enjuiciamiento civil vigente a la sazón.</w:t>
      </w:r>
    </w:p>
    <w:p w:rsidR="0025129F" w:rsidRDefault="0025129F" w:rsidP="0025129F">
      <w:pPr>
        <w:pStyle w:val="TextoNormal"/>
      </w:pPr>
      <w:r>
        <w:t>Y este Tribunal ha declarado reiteradamente que "la exigencia de agotar la previa vía judicial no obliga a utilizar en cada caso todos los medios de impugnación posibles, sino tan sólo aquellos normales que, de manera clara, se manifiestan como ejercitables, de forma que no quepa duda respecto de la procedencia y la posibilidad real y efectiva de interponer el recurso" (STC 190/2001, de 1 de octubre, FJ 2). Procede, por tanto, considerar que se ha cumplido con el requisito de agotar los recursos utilizables en la vía judicial previa, garantía del carácter subsidiario del recurso de amparo, y entrar al análisis de las cuestiones de fondo planteadas en la demanda en este proceso constitucional desde la perspectiva del art. 24.1 CE.</w:t>
      </w:r>
    </w:p>
    <w:p w:rsidR="0025129F" w:rsidRDefault="0025129F" w:rsidP="0025129F">
      <w:pPr>
        <w:pStyle w:val="TextoNormal"/>
      </w:pPr>
    </w:p>
    <w:p w:rsidR="0025129F" w:rsidRDefault="0025129F" w:rsidP="0025129F">
      <w:pPr>
        <w:pStyle w:val="TextoNormal"/>
      </w:pPr>
      <w:r w:rsidRPr="0025129F">
        <w:rPr>
          <w:rStyle w:val="NumeroAFNegritaCaracter"/>
        </w:rPr>
        <w:t>3</w:t>
      </w:r>
      <w:r>
        <w:t>. Como ya se ha dicho, el recurrente imputa a la Sentencia impugnada de la Audiencia Provincial una denegación de justicia contraria al derecho a la tutela judicial efectiva y derivada de la declaración de falta de jurisdicción del orden civil para conocer de una determinada pretensión y de la negativa a plantear el conflicto de competencia regulado en los arts. 42 y ss. LOPJ. Expone el demandante de amparo que ya anteriormente se había planteado la misma cuestión ante un órgano judicial del orden social y había obtenido análoga respuesta, pero contradictoria con aquélla, puesto que también el Juzgado de lo Social se había declarado incompetente remitiendo el planteamiento de la cuestión litigiosa al orden jurisdiccional civil.</w:t>
      </w:r>
    </w:p>
    <w:p w:rsidR="0025129F" w:rsidRDefault="0025129F" w:rsidP="0025129F">
      <w:pPr>
        <w:pStyle w:val="TextoNormal"/>
      </w:pPr>
      <w:r>
        <w:t>En supuestos planteados en términos parecidos a los del presente recurso de amparo ha declarado este Tribunal que la decisión sobre la propia competencia corresponde a los Jueces y Tribunales ante los que se ejercita la acción, cuestión situada, en principio, en el ámbito de la legalidad ordinaria y que la declaración de la propia incompetencia realizada por un órgano judicial, que le impide entrar al análisis del fondo de las pretensiones planteadas, no lesiona el derecho a la tutela judicial efectiva, salvo cuando esa omisión de un juicio sobre el fondo del asunto no responda a la falta de un presupuesto procesal necesario o la apreciación del órgano judicial resulte arbitraria, irrazonable o patentemente errónea (STC 177/2001, de 17 de septiembre, FJ 3). No obstante, también ha considerado nuestra jurisprudencia que en los casos en que no se dicta una resolución sobre el fondo por impedirlo una causa de inadmisión, si el legislador ha previsto una actuación de carácter tutelar por parte del órgano judicial para facilitar que el ciudadano obtenga una resolución que se pronuncie sobre el fondo de sus pretensiones, como es la remisión al orden jurisdiccional que se estime competente, el incumplimiento de esa medida tutelar indicativa por parte del órgano judicial vulnera el derecho a la tutela judicial efectiva sin indefensión (STC 43/1984, de 26 de marzo, FJ 2).</w:t>
      </w:r>
    </w:p>
    <w:p w:rsidR="0025129F" w:rsidRDefault="0025129F" w:rsidP="0025129F">
      <w:pPr>
        <w:pStyle w:val="TextoNormal"/>
      </w:pPr>
      <w:r>
        <w:t xml:space="preserve">Y, con carácter general, el art. 9.6 LOPJ impone a los órganos jurisdiccionales esa función tutelar, que se completa con el recurso por defecto de jurisdicción previsto en el art. 50 LOPJ, preceptos estos con trascendencia constitucional desde la perspectiva del art. 24.1 CE en la medida en que regulan aquella función tutelar comprendida en el ámbito de ese derecho fundamental, lo que llevó a este Tribunal a otorgar el amparo por vulneración del mismo en un supuesto en que un órgano judicial del orden contencioso-administrativo declaró su incompetencia para conocer de una pretensión, tras una declaración análoga pero de sentido contrario de un órgano judicial del orden social, sin que aquél indicara </w:t>
      </w:r>
      <w:r>
        <w:lastRenderedPageBreak/>
        <w:t>expresamente qué orden jurisdiccional consideraba competente, ni instruyera a la parte sobre el recurso procedente ante tal pronunciamiento de falta de jurisdicción (STC 26/1991, de 11 de febrero).</w:t>
      </w:r>
    </w:p>
    <w:p w:rsidR="0025129F" w:rsidRDefault="0025129F" w:rsidP="0025129F">
      <w:pPr>
        <w:pStyle w:val="TextoNormal"/>
      </w:pPr>
    </w:p>
    <w:p w:rsidR="0025129F" w:rsidRDefault="0025129F" w:rsidP="0025129F">
      <w:pPr>
        <w:pStyle w:val="TextoNormal"/>
      </w:pPr>
      <w:r w:rsidRPr="0025129F">
        <w:rPr>
          <w:rStyle w:val="NumeroAFNegritaCaracter"/>
        </w:rPr>
        <w:t>4</w:t>
      </w:r>
      <w:r>
        <w:t>. No incurre, sin embargo, la Sentencia de la Audiencia Provincial contra la que se dirige este recurso de amparo en este tipo de vulneración del art. 24.1 CE, porque, como en sus escritos de alegaciones destacan el Ministerio Fiscal y la cooperativa que ha comparecido en este proceso constitucional, no son las mismas las pretensiones para cuya resolución se declararon incompetentes el Juzgado de lo Social y el mencionado órgano del orden jurisdiccional civil.</w:t>
      </w:r>
    </w:p>
    <w:p w:rsidR="0025129F" w:rsidRDefault="0025129F" w:rsidP="0025129F">
      <w:pPr>
        <w:pStyle w:val="TextoNormal"/>
      </w:pPr>
      <w:r>
        <w:t>En efecto, consta en las actuaciones judiciales previas, de las que se ha remitido testimonio a este recurso de amparo, que en la demanda que el Sr. Aranda dedujo ante el Juzgado de lo Social contra la cooperativa de la que había sido expulsado lo que se pedía era la declaración de su derecho a recibir de ésta la cantidad íntegra a la que ascendían sus aportaciones al capital social, sin reducción alguna. Es patente que no pidió el demandante al órgano judicial un enjuiciamiento y una declaración de nulidad del acuerdo, adoptado por la sociedad cooperativa, de exclusión del Sr. Aranda como socio de aquélla. La Sentencia del Juzgado de lo Social, tras destacar expresamente que no constaba la impugnación del mencionado acuerdo de exclusión, consideró que la pretensión sometida a su resolución no se situaba en el ámbito de las relaciones entre trabajador y cooperativa, sino en el de las que se dan entre socio y cooperativa, por lo que declaró su incompetencia para resolver sobre la reclamación de cantidad formulada.</w:t>
      </w:r>
    </w:p>
    <w:p w:rsidR="0025129F" w:rsidRDefault="0025129F" w:rsidP="0025129F">
      <w:pPr>
        <w:pStyle w:val="TextoNormal"/>
      </w:pPr>
      <w:r>
        <w:t>La declaración de nulidad del acuerdo de exclusión adoptado por la cooperativa se pide por primera vez en la demanda presentada ante el Juzgado de Primera Instancia, junto con la pretensión de que se declarara la baja voluntaria y el derecho a recibir de la sociedad una cantidad por las aportaciones al capital social que habría de determinarse en ejecución de sentencia. El Juzgado de Primera Instancia desestimó, con una sucinta motivación ambas pretensiones. El demandante interpuso recurso de apelación y la Audiencia Provincial, en ejercicio de la plena jurisdicción sobre el caso que es propia de la segunda instancia, consideró, en la correspondiente motivación, sin embargo, que la declaración de nulidad del acuerdo de exclusión de un socio trabajador de una cooperativa de trabajo asociado no es competencia del orden civil, por lo que expresamente indicó al aquí demandante que esta cuestión debía resolverse por el orden social. Y, al propio tiempo, declaró conformes a Derecho las liquidaciones y el pago de las cantidades debidas al socio excluido por sus aportaciones sociales.</w:t>
      </w:r>
    </w:p>
    <w:p w:rsidR="0025129F" w:rsidRDefault="0025129F" w:rsidP="0025129F">
      <w:pPr>
        <w:pStyle w:val="TextoNormal"/>
      </w:pPr>
      <w:r>
        <w:t>Así pues y por lo que se refiere a la pretensión de declaración de nulidad del acuerdo de exclusión, única que aquí importa dado el planteamiento que se hace en la demanda de amparo, sólo un orden jurisdiccional, el civil, se ha declarado incompetente en la motivación de la Sentencia ahora impugnada y ello con remisión expresa de las partes al orden social.</w:t>
      </w:r>
    </w:p>
    <w:p w:rsidR="0025129F" w:rsidRDefault="0025129F" w:rsidP="0025129F">
      <w:pPr>
        <w:pStyle w:val="TextoNormal"/>
      </w:pPr>
      <w:r>
        <w:t xml:space="preserve">No estamos, en consecuencia, ante dos sentencias firmes contradictorias que pudieran vulnerar el art. 24.1 CE, ni ante un incumplimiento de la función tutelar, a la que nos hemos referido más arriba, encomendada a los órganos judiciales que no entran en el fondo de una pretensión como consecuencia de la apreciación de su falta de jurisdicción. Cabalmente, el art.  50.1 LOPJ exige, para la procedencia del recurso por defecto de jurisdicción, que los dos órganos judiciales que declaran su falta de jurisdicción lo hagan con respecto a las mismas pretensiones, requisito éste que, como se ha expuesto, aquí no concurre. Es necesario concluir, pues, que la declaración de dicha falta de jurisdicción realizada </w:t>
      </w:r>
      <w:r>
        <w:lastRenderedPageBreak/>
        <w:t>en la Sentencia de la Audiencia Provincial que aquí se impugna no vulnera el derecho a la tutela judicial afectiva.</w:t>
      </w:r>
    </w:p>
    <w:p w:rsidR="0025129F" w:rsidRDefault="0025129F" w:rsidP="0025129F">
      <w:pPr>
        <w:pStyle w:val="TextoNormal"/>
      </w:pPr>
    </w:p>
    <w:p w:rsidR="0025129F" w:rsidRDefault="0025129F" w:rsidP="0025129F">
      <w:pPr>
        <w:pStyle w:val="TextoNormal"/>
      </w:pPr>
      <w:r w:rsidRPr="0025129F">
        <w:rPr>
          <w:rStyle w:val="NumeroAFNegritaCaracter"/>
        </w:rPr>
        <w:t>5</w:t>
      </w:r>
      <w:r>
        <w:t>. Se ha expuesto en los antecedentes que en el relato de los hechos contenido en la demanda de amparo también destaca el recurrente que la Sentencia de la Audiencia Provincial no resuelve el recurso de apelación interpuesto por Euclides Enseñanza, S.C.A., a pesar de recoger en su encabezamiento expresamente que la Sentencia de primera instancia había sido recurrida por ambas partes. Esta eventual incongruencia omisiva es reconocida también de forma expresa por la cooperativa, que, en el escrito de alegaciones admite que su recurso de apelación, ceñido a la no imposición de las costas al demandante en la primera instancia, no fue resuelto por la Sentencia de la Audiencia Provincial. Es evidente, sin embargo, y así lo pone de manifiesto el Ministerio Fiscal, que el recurrente en amparo carece de legitimación para invocar la supuesta vulneración del derecho a la tutela judicial efectiva de la otra parte.</w:t>
      </w:r>
    </w:p>
    <w:p w:rsidR="0025129F" w:rsidRDefault="0025129F" w:rsidP="0025129F">
      <w:pPr>
        <w:pStyle w:val="TextoNormal"/>
      </w:pPr>
      <w:r>
        <w:t>Procedente será, por consecuencia de los razonamientos anteriores, el pronunciamiento denegatorio del amparo previsto en el art. 53 a) LOTC.</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 por don Rafael Aranda Barrionuevo.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0" w:name="SENTENCIA_2002_87"/>
      <w:r>
        <w:lastRenderedPageBreak/>
        <w:t>SENTENCIA 87/2002, de 22 de abril de 2002</w:t>
      </w:r>
    </w:p>
    <w:bookmarkEnd w:id="90"/>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ECLI:ES:TC:2002:87</w:t>
      </w:r>
    </w:p>
    <w:p w:rsidR="0025129F" w:rsidRDefault="0025129F" w:rsidP="0025129F">
      <w:pPr>
        <w:pStyle w:val="SntesisDescriptiva"/>
      </w:pPr>
    </w:p>
    <w:p w:rsidR="0025129F" w:rsidRDefault="0025129F" w:rsidP="0025129F">
      <w:pPr>
        <w:pStyle w:val="SntesisDescriptiva"/>
      </w:pPr>
      <w:r>
        <w:t>Recurso de amparo 3864/1998. Promovido por doña Alba Merán Merán frente a la Sentencia de la Sala de lo Contencioso-Administrativo de la Audiencia Nacional que, en un litigio entre el Consejo General de los Colegios Oficiales de Odontólogos y Estomatólogos de España y el Ministerio de Educación y Ciencia, anuló la homologación de su título de Licenciada en Odontología.</w:t>
      </w:r>
    </w:p>
    <w:p w:rsidR="0025129F" w:rsidRDefault="0025129F" w:rsidP="0025129F">
      <w:pPr>
        <w:pStyle w:val="SntesisDescriptiva"/>
      </w:pPr>
    </w:p>
    <w:p w:rsidR="0025129F" w:rsidRDefault="0025129F" w:rsidP="0025129F">
      <w:pPr>
        <w:pStyle w:val="SntesisAnaltica"/>
      </w:pPr>
      <w:r>
        <w:t>Vulneración del derecho a la tutela judicial sin indefensión: emplazamiento edictal de una profesional colegiada, cuyo domicilio era conocido por la entidad demandante (STC 126/1999).</w:t>
      </w:r>
    </w:p>
    <w:p w:rsidR="0025129F" w:rsidRDefault="0025129F" w:rsidP="0025129F">
      <w:pPr>
        <w:pStyle w:val="SntesisAnaltica"/>
      </w:pPr>
    </w:p>
    <w:p w:rsidR="0025129F" w:rsidRDefault="0025129F" w:rsidP="0025129F">
      <w:pPr>
        <w:pStyle w:val="Extracto"/>
      </w:pPr>
      <w:r>
        <w:t>1.</w:t>
      </w:r>
      <w:r>
        <w:tab/>
        <w:t>La demandante de amparo tenía derecho a ser llamada al proceso por ostentar un evidente interés directo en él, en cuanto se trataba de un recurso tendente a la anulación de la homologación del título que le habilitaba para ejercer su actual profesión de odontólogo [FJ 4].</w:t>
      </w:r>
    </w:p>
    <w:p w:rsidR="0025129F" w:rsidRDefault="0025129F" w:rsidP="0025129F">
      <w:pPr>
        <w:pStyle w:val="Extracto"/>
      </w:pPr>
    </w:p>
    <w:p w:rsidR="0025129F" w:rsidRDefault="0025129F" w:rsidP="0025129F">
      <w:pPr>
        <w:pStyle w:val="Extracto"/>
      </w:pPr>
      <w:r>
        <w:t>2.</w:t>
      </w:r>
      <w:r>
        <w:tab/>
        <w:t>El órgano jurisdiccional no debió conformarse con el emplazamiento edictal pues la recurrente tenìa un domicilio fácilmente identificable (STC 126/1999) [ FFJJ 4 y 5].</w:t>
      </w:r>
    </w:p>
    <w:p w:rsidR="0025129F" w:rsidRDefault="0025129F" w:rsidP="0025129F">
      <w:pPr>
        <w:pStyle w:val="Extracto"/>
      </w:pPr>
    </w:p>
    <w:p w:rsidR="0025129F" w:rsidRDefault="0025129F" w:rsidP="0025129F">
      <w:pPr>
        <w:pStyle w:val="Extracto"/>
      </w:pPr>
      <w:r>
        <w:t>3.</w:t>
      </w:r>
      <w:r>
        <w:tab/>
        <w:t>El emplazamiento o citación no es un mero trámite o requisito formal ni una simple diligencia de ordenación que permite la continuación del proceso sino que, muy al contrario, constituye la pieza clave que garantiza que los interesados y las partes puedan comparecer en juicio en defensa de sus intereses (STC 126/1999) [FJ 4].</w:t>
      </w:r>
    </w:p>
    <w:p w:rsidR="0025129F" w:rsidRDefault="0025129F" w:rsidP="0025129F">
      <w:pPr>
        <w:pStyle w:val="Extracto"/>
      </w:pPr>
    </w:p>
    <w:p w:rsidR="0025129F" w:rsidRDefault="0025129F" w:rsidP="0025129F">
      <w:pPr>
        <w:pStyle w:val="Extracto"/>
      </w:pPr>
      <w:r>
        <w:t>4.</w:t>
      </w:r>
      <w:r>
        <w:tab/>
        <w:t>Para que la falta de emplazamiento tenga relevancia constitucional y pueda dar lugar al otorgamiento del amparo es preciso que se cumplan estos tres requisitos: que el demandante de amparo sea titular de un derecho o de un interés legítimo y propio; que se haya ocasionado una situación de indefensión real y efectiva del recurrente y, por último, que el interesado sea identificable por el órgano jurisdiccional (STC 18/2002) [FJ 3].</w:t>
      </w:r>
    </w:p>
    <w:p w:rsidR="0025129F" w:rsidRDefault="0025129F" w:rsidP="0025129F">
      <w:pPr>
        <w:pStyle w:val="Extracto"/>
      </w:pPr>
    </w:p>
    <w:p w:rsidR="0025129F" w:rsidRDefault="0025129F" w:rsidP="0025129F">
      <w:pPr>
        <w:pStyle w:val="Extracto"/>
      </w:pPr>
      <w:r>
        <w:t>5.</w:t>
      </w:r>
      <w:r>
        <w:tab/>
        <w:t>Los recursos de utilización previa obligada son sólo aquellos cuya procedencia se desprenda de modo claro y terminante del tenor de las previsiones legales y, además, que dada su naturaleza y finalidad sean adecuados para reparar la lesión presuntamente sufrida (STC 168/2001; ATC 218/2000) [FJ 2].</w:t>
      </w:r>
    </w:p>
    <w:p w:rsidR="0025129F" w:rsidRDefault="0025129F" w:rsidP="0025129F">
      <w:pPr>
        <w:pStyle w:val="Extracto"/>
      </w:pPr>
    </w:p>
    <w:p w:rsidR="0025129F" w:rsidRDefault="0025129F" w:rsidP="0025129F">
      <w:pPr>
        <w:pStyle w:val="Extracto"/>
      </w:pPr>
      <w:r>
        <w:t>6.</w:t>
      </w:r>
      <w:r>
        <w:tab/>
        <w:t>El otorgamiento del amparo ha de consistir, para que sea efectivo el restablecimiento en la integridad de su derecho, no sólo en la anulación de la Sentencia con retroacción de actuaciones sino también en la anulación de la resolución del Ministerio y la comunicación del colegio profesional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3864/98, interpuesto por doña Alba Merán Merán, representada por el Procurador don Julián Sanz Aragón y asistida por el Letrado don Carmelo J. Calderín González, contra la Sentencia de la Sala de lo Contencioso-Administrativo (Sección Quinta) de la Audiencia Nacional de 10 de marzo de 1995, parcialmente estimatoria del recurso núm. 962/91, formulado por el Consejo General de los Colegios Oficiales de Odontólogos y Estomatólogos de España contra la Orden del Ministerio de Educación y Ciencia de 6 de marzo de 1990, sobre homologación de título académico obtenido en la República Dominicana. Han intervenido el Abogado del Estado y el Ministerio Fiscal. Ha sido Ponente el Magistrado don Pablo Cachón Villar,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24 de agosto de 1998, don Julián Sanz Aragón, Procurador de los Tribunales y de doña Alba Merán Merán, formuló demanda de amparo constitucional contra la resolución judicial de la que se hace mérito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Sintéticamente expuestos, son hechos relevantes para la resolución del caso los siguientes: </w:t>
      </w:r>
    </w:p>
    <w:p w:rsidR="0025129F" w:rsidRDefault="0025129F" w:rsidP="0025129F">
      <w:pPr>
        <w:pStyle w:val="TextoNormal"/>
      </w:pPr>
      <w:r>
        <w:t xml:space="preserve">a) La ahora solicitante de amparo obtuvo en la Universidad Autónoma de Santo Domingo (República Dominicana) el título de Doctor en Odontología, que fue posteriormente homologado al español de Licenciado en Odontología mediante Orden del Ministerio de Educación y Ciencia de 6 de marzo de 1990. Con fecha 2 de abril de 1992 ingresó en el Colegio Oficial de Odontólogos y Estomatólogos de la XV Región, con sede en Santa Cruz de Tenerife. </w:t>
      </w:r>
    </w:p>
    <w:p w:rsidR="0025129F" w:rsidRDefault="0025129F" w:rsidP="0025129F">
      <w:pPr>
        <w:pStyle w:val="TextoNormal"/>
      </w:pPr>
      <w:r>
        <w:t xml:space="preserve">b) La citada Orden Ministerial fue impugnada por el Consejo General de los Colegios Oficiales de Odontólogos y Estomatólogos de España ante la Sala de lo Contencioso- Administrativo de la Audiencia Nacional. </w:t>
      </w:r>
    </w:p>
    <w:p w:rsidR="0025129F" w:rsidRDefault="0025129F" w:rsidP="0025129F">
      <w:pPr>
        <w:pStyle w:val="TextoNormal"/>
      </w:pPr>
      <w:r>
        <w:t xml:space="preserve">c) El conocimiento de este recurso, registrado con el núm. 962/91, correspondió a la Sección Quinta de la precitada Sala. El meritado órgano judicial dictó providencia de 30 de septiembre de 1991 admitiéndolo a trámite, ordenando la reclamación del expediente al indicado Departamento ministerial y requiriendo a éste para que emplazase personalmente </w:t>
      </w:r>
      <w:r>
        <w:lastRenderedPageBreak/>
        <w:t xml:space="preserve">a doña Alba Merán Merán a fin de que pudiera personarse en el proceso. Este requerimiento fue reiterado por nuevo proveído de 4 de junio de 1993. </w:t>
      </w:r>
    </w:p>
    <w:p w:rsidR="0025129F" w:rsidRDefault="0025129F" w:rsidP="0025129F">
      <w:pPr>
        <w:pStyle w:val="TextoNormal"/>
      </w:pPr>
      <w:r>
        <w:t xml:space="preserve">d) En cumplimiento de lo indicado, el Ministerio de Educación y Ciencia remitió al órgano jurisdiccional sendos oficios de 5 de julio de 1993 y 2 de junio de 1994. En ellos se indicaba que se había efectuado el emplazamiento, si bien no constaba en el expediente el acuse de recibo por la interesada, procediéndose al emplazamiento edictal mediante la publicación de la correspondiente resolución en el "Boletín Oficial del Estado" núm. 234, de 30 de septiembre de 1993. </w:t>
      </w:r>
    </w:p>
    <w:p w:rsidR="0025129F" w:rsidRDefault="0025129F" w:rsidP="0025129F">
      <w:pPr>
        <w:pStyle w:val="TextoNormal"/>
      </w:pPr>
      <w:r>
        <w:t xml:space="preserve">e) La Sección tuvo por practicado el emplazamiento por diligencia de ordenación de 12 de septiembre de 1994. </w:t>
      </w:r>
    </w:p>
    <w:p w:rsidR="0025129F" w:rsidRDefault="0025129F" w:rsidP="0025129F">
      <w:pPr>
        <w:pStyle w:val="TextoNormal"/>
      </w:pPr>
      <w:r>
        <w:t xml:space="preserve">f) Una vez sustanciados los trámites correspondientes, se dictó Sentencia de 10 de marzo de 1995, por la que se acordó la estimación parcial del recurso, anulando la convalidación del título de doña Alba Merán Merán y supeditando su concesión "a la superación de una prueba de conjunto sobre los conocimientos básicos que proporcionaba la formación española". </w:t>
      </w:r>
    </w:p>
    <w:p w:rsidR="0025129F" w:rsidRDefault="0025129F" w:rsidP="0025129F">
      <w:pPr>
        <w:pStyle w:val="TextoNormal"/>
      </w:pPr>
      <w:r>
        <w:t xml:space="preserve">g) Por Orden Ministerial de 13 de septiembre de 1995 se dispuso el cumplimiento de la Sentencia, lo que se llevó a efecto por nueva Orden de 26 de octubre de 1995, que anulaba la homologación del título de doña Alba Merán Merán y se condicionaba su otorgamiento a la previa superación de una prueba de conjunto general sobre los conocimientos básicos de la formación española requeridos para la obtención del título de Licenciado en Odontología. </w:t>
      </w:r>
    </w:p>
    <w:p w:rsidR="0025129F" w:rsidRDefault="0025129F" w:rsidP="0025129F">
      <w:pPr>
        <w:pStyle w:val="TextoNormal"/>
      </w:pPr>
      <w:r>
        <w:t>h) Con fecha 5 de agosto de 1998 el Colegio Oficial de Odontólogos y Estomatólogos de Las Palmas comunicó a la ahora recurrente en amparo su baja colegial en aplicación de lo acordado en la Sentencia antes referida.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solicitante de amparo postula la anulación de la resolución judicial impugnada y de los actos dictados en ejecución de la misma por estar basados en una Sentencia que ha vulnerado su derecho fundamental a la tutela judicial efectiva (art. 24.1 CE) al haber sido dictada inaudita parte. En defensa de su pretensión anulatoria invoca la doctrina constitucional relativa al valor que revisten los actos procesales de comunicación, en particular las citaciones y emplazamientos, para evitar que pueda causarse indefensión a quienes ostentan la condición de parte en un proceso. </w:t>
      </w:r>
    </w:p>
    <w:p w:rsidR="0025129F" w:rsidRDefault="0025129F" w:rsidP="0025129F">
      <w:pPr>
        <w:pStyle w:val="TextoNormal"/>
      </w:pPr>
      <w:r>
        <w:t xml:space="preserve">La demandante de amparo suplica que se declare "la nulidad de la Sentencia de la Sala de lo Contencioso-Administrativo de la Audiencia Nacional (Sección Quinta) de fecha 10 de marzo de 1995, recaída en el recurso contencioso-administrativo nº 962/91, y en consecuencia la nulidad también de los actos ejecutados en ejecución de dicha Sentencia, es decir, la Resolución del Ministerio de Educación y Ciencia de 26 de octubre de 1995 y la comunicación del Ilustre Colegio Oficial de Odontólogos y Estomatólogos de Las Palmas de fecha 5 de agosto de 1998, por estar basadas en la Sentencia aquí directamente impugnada, reconociendo expresamente el derecho de la recurrente a que se acuerde el emplazamiento personal en el referido recurso". </w:t>
      </w:r>
    </w:p>
    <w:p w:rsidR="0025129F" w:rsidRDefault="0025129F" w:rsidP="0025129F">
      <w:pPr>
        <w:pStyle w:val="TextoNormal"/>
      </w:pPr>
      <w:r>
        <w:t xml:space="preserve">Mediante otrosí, y de acuerdo con lo dispuesto en el art. 56 LOTC, la recurrente interesó igualmente la suspensión de la ejecución de la Sentencia. </w:t>
      </w:r>
    </w:p>
    <w:p w:rsidR="0025129F" w:rsidRDefault="0025129F" w:rsidP="0025129F">
      <w:pPr>
        <w:pStyle w:val="TextoNormal"/>
      </w:pPr>
      <w:r>
        <w:t xml:space="preserve">Entre la documentación acompañada a la demanda de amparo se hallan sendas copias de la resolución (Orden Ministerial) del Ministerio de Educación y Ciencia de 26 de octubre de 1995 y de la comunicación del Ilustre Colegio Oficial de Odontólogos y Estomatólogos de Las Palmas de fecha 5 de agosto de 1998, cuya anulación pide la recurrente. La parte dispositiva de la meritada resolución de 26 de octubre de 1995 es del siguiente tenor </w:t>
      </w:r>
      <w:r>
        <w:lastRenderedPageBreak/>
        <w:t>literal: "Este Ministerio, en ejecución de la sentencia dictada con fecha 10 de marzo de 1995 por la Audiencia Nacional, ha dispuesto lo siguiente: 1) Anular la resolución de 6 de marzo de 1990 por la que se acordó que el título de Doctor en Odontología, obtenido por Dª Alba Merán Merán en la Universidad Autónoma de Santo Domingo (República Dominicana), quedase homologado al título español de Licenciado en Odontología, dejando sin efecto la misma así como la credencial acreditativa de dicha homologación expedida por la Subdirección General de Títulos, Convalidaciones y Homologaciones de este Departamento.- 2) Que la homologación del título de Doctor en Odontología, obtenido por Dª Alba Merán Merán, en la Universidad Autónoma de Santo Domingo (República Dominicana), al título español de Licenciado en Odontología, quede condicionada a la previa superación de una prueba de conjunto general sobre aquellos conocimientos básicos de la formación española requeridos para la obtención del título. Se autoriza al interesado para realizar la mencionada prueba en la Facultad de Odontología de la Universidad española que libremente elija". En la expresada comunicación del Colegio profesional se le dice a la ahora recurrente, con fundamento en la Orden Ministerial de 26 de octubre de 1995, lo siguiente: "Te notificamos que nos vemos en la obligación de descolegiarte a partir del día de la fecha puesto que tu titulación de Licenciada en Odontología queda condicionada a la previa superación de una Prueba de Conjunto General que podrás realizar en la Facultad de Odontología de la Universidad Española que libremente elijas".</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22 de octubre de 1998 la Sección Cuarta acordó, con carácter previo a la decisión sobre la admisión de la demanda, dirigir atenta comunicación a la Sección Quinta de la Sala de lo Contencioso-Administrativo de la Audiencia Nacional a fin de que, a la mayor brevedad posible, remitiera certificación sobre si en el recurso núm. 962/91, interpuesto por el Consejo General de los Colegios Oficiales de Odontólogos y Estomatólogos de España, contra la Orden del Ministerio de Educación y Ciencia de 6 de marzo de 1990, fue emplazada la hoy demandante de amparo. El precitado órgano jurisdiccional remitió la correspondiente certificación, expedida por el Secretario Judicial, en la que se dice, en el particular interesado, lo siguiente: "Que en relación a la demandada Doña Alba Merán Merán esta Sala en resolución de fecha 4 de junio de 1993, acordó requerir a la Administración para que llevase a cabo el emplazamiento en forma legal a la citada demandada, contestando la Administración con oficio de fecha de salida 30 de julio de 1993, según el cual el emplazamiento se había llevado a cabo si bien no consta en el expediente el acuse de recibo. Ante esta deficiencia, con fecha 4 de junio de 1994 la Administración remitió nuevo oficio al que acompañaba justificante del Edicto publicado en el Boletín Oficial del Estado de fecha 30 de septiembre de 1993 por el que se emplazaba a la citada demandada.- Se acompañan a este oficio fotocopias de los documentos aludidos".</w:t>
      </w:r>
    </w:p>
    <w:p w:rsidR="0025129F" w:rsidRDefault="0025129F" w:rsidP="0025129F">
      <w:pPr>
        <w:pStyle w:val="TextoNormal"/>
      </w:pPr>
    </w:p>
    <w:p w:rsidR="0025129F" w:rsidRDefault="0025129F" w:rsidP="0025129F">
      <w:pPr>
        <w:pStyle w:val="TextoNormal"/>
      </w:pPr>
      <w:r w:rsidRPr="0025129F">
        <w:rPr>
          <w:rStyle w:val="NumeroAFNegritaCaracter"/>
        </w:rPr>
        <w:t>5</w:t>
      </w:r>
      <w:r>
        <w:t>. Mediante nuevo proveído de 4 de noviembre de 1999 esta Sala acordó admitir a trámite el presente recurso de amparo. Igualmente, en aplicación de lo dispuesto en el art. 51 LOTC, ordenó que se dirigiera atenta comunicación a la Sección Quinta de la Sala de lo Contencioso-Administrativo de la Audiencia Nacional a fin de que, en plazo que no excediera de diez días, remitiese certificación o fotocopia adverada de las actuaciones correspondientes al recurso núm. 962/91, debiendo previamente emplazarse, para que en el plazo de diez días pudiera comparecer, si lo deseaban, en el recurso de amparo a quienes hubieran sido parte en el procedimiento, excepto la recurrente en amparo.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En igual fecha se procedió a la apertura de la correspondiente pieza separada de suspensión, dictándose en ella el ATC 160/2000, de 26 de junio, que denegó la medida cautelar solicitada.</w:t>
      </w:r>
    </w:p>
    <w:p w:rsidR="0025129F" w:rsidRDefault="0025129F" w:rsidP="0025129F">
      <w:pPr>
        <w:pStyle w:val="TextoNormal"/>
      </w:pPr>
    </w:p>
    <w:p w:rsidR="0025129F" w:rsidRDefault="0025129F" w:rsidP="0025129F">
      <w:pPr>
        <w:pStyle w:val="TextoNormal"/>
      </w:pPr>
      <w:r w:rsidRPr="0025129F">
        <w:rPr>
          <w:rStyle w:val="NumeroAFNegritaCaracter"/>
        </w:rPr>
        <w:t>7</w:t>
      </w:r>
      <w:r>
        <w:t>. El 22 de noviembre de 1999 se recibió escrito del Abogado del Estado solicitando se le tuviera por personado en la representación que legalmente ostenta.</w:t>
      </w:r>
    </w:p>
    <w:p w:rsidR="0025129F" w:rsidRDefault="0025129F" w:rsidP="0025129F">
      <w:pPr>
        <w:pStyle w:val="TextoNormal"/>
      </w:pPr>
    </w:p>
    <w:p w:rsidR="0025129F" w:rsidRDefault="0025129F" w:rsidP="0025129F">
      <w:pPr>
        <w:pStyle w:val="TextoNormal"/>
      </w:pPr>
      <w:r w:rsidRPr="0025129F">
        <w:rPr>
          <w:rStyle w:val="NumeroAFNegritaCaracter"/>
        </w:rPr>
        <w:t>8</w:t>
      </w:r>
      <w:r>
        <w:t>. Con fecha 10 de julio de 2000 se dictó diligencia de ordenación acordando dar vista de las actuaciones recibidas a la parte recurrente, al Abogado del Estado y al Ministerio Fiscal por plazo común de veinte días, durante los cuales podían presentar las alegaciones que estimasen convenientes, conforme determina el art. 52.1 LOTC.</w:t>
      </w:r>
    </w:p>
    <w:p w:rsidR="0025129F" w:rsidRDefault="0025129F" w:rsidP="0025129F">
      <w:pPr>
        <w:pStyle w:val="TextoNormal"/>
      </w:pPr>
    </w:p>
    <w:p w:rsidR="0025129F" w:rsidRDefault="0025129F" w:rsidP="0025129F">
      <w:pPr>
        <w:pStyle w:val="TextoNormal"/>
      </w:pPr>
      <w:r w:rsidRPr="0025129F">
        <w:rPr>
          <w:rStyle w:val="NumeroAFNegritaCaracter"/>
        </w:rPr>
        <w:t>9</w:t>
      </w:r>
      <w:r>
        <w:t xml:space="preserve">. El escrito de alegaciones del Abogado del Estado se registró en este Tribunal el 8 de septiembre de 2000. </w:t>
      </w:r>
    </w:p>
    <w:p w:rsidR="0025129F" w:rsidRDefault="0025129F" w:rsidP="0025129F">
      <w:pPr>
        <w:pStyle w:val="TextoNormal"/>
      </w:pPr>
      <w:r>
        <w:t xml:space="preserve">a) Dicho escrito se abre con la indicación de que no se ha agotado la vía judicial previa a la interposición del presente recurso de amparo. Al respecto, parte de la afirmación realizada por la propia demandante conforme a la cual habría tenido conocimiento de la resolución judicial impugnada el 5 de agosto de 1998 a través de un escrito que le remitió el Colegio Oficial de Odontólogos y Estomatólogos de Las Palmas de Gran Canarias. </w:t>
      </w:r>
    </w:p>
    <w:p w:rsidR="0025129F" w:rsidRDefault="0025129F" w:rsidP="0025129F">
      <w:pPr>
        <w:pStyle w:val="TextoNormal"/>
      </w:pPr>
      <w:r>
        <w:t xml:space="preserve">Para el Abogado del Estado este caso presenta analogías con el amparo núm. 5533/98, fallado por STC 126/1999, de 28 de junio, pero también ofrece algunas diferencias. La primera de ellas es que la recurrente no intentó la anulación de la Sentencia de 10 de marzo de 1995 por la vía regulada en los apartados 3 y 4 del art. 240 LOPJ, en la redacción dada por la Ley Orgánica 5/1997, de 4 de diciembre. Consecuentemente, no puede entenderse satisfecho el requisito procesal del art. 44.1 a) LOTC ya que la actora disponía de una vía judicial, bien que excepcional, para satisfacer la pretensión que ahora trata de hacer valer, por lo que no ha respetado la excepcionalidad y subsidiariedad del remedio constitucional. </w:t>
      </w:r>
    </w:p>
    <w:p w:rsidR="0025129F" w:rsidRDefault="0025129F" w:rsidP="0025129F">
      <w:pPr>
        <w:pStyle w:val="TextoNormal"/>
      </w:pPr>
      <w:r>
        <w:t xml:space="preserve">El Abogado del Estado entiende que no cabe oponer frente a ello la Disposición transitoria primera de la Ley Orgánica 5/1997, pues ésta no impide promover la nulidad de Sentencias dictadas con anterioridad al 5 de noviembre de 1997 pero conocidas tras la entrada en vigor de la mencionada Ley Orgánica, siendo éste el presente caso. El sentido de esta transitoria es más bien permisivo y no impeditivo pues faculta para aplicar el nuevo remedio excepcional a las Sentencias firmes dictadas y notificadas (o conocidas) dentro del mes anterior a la entrada en vigor de la Ley, otorgándoles un plazo especial de veinte días desde su promulgación, que tuvo lugar el 4 de diciembre de 1997. </w:t>
      </w:r>
    </w:p>
    <w:p w:rsidR="0025129F" w:rsidRDefault="0025129F" w:rsidP="0025129F">
      <w:pPr>
        <w:pStyle w:val="TextoNormal"/>
      </w:pPr>
      <w:r>
        <w:t xml:space="preserve">No era en cambio exigible que la solicitante de amparo interpusiera recurso de casación por mor de lo dispuesto en el art. 96.3 LJCA, en la interpretación que de este precepto legal han efectuado los Autos del Tribunal Supremo de 23 de noviembre de 1994 y 17 de septiembre de 1996. </w:t>
      </w:r>
    </w:p>
    <w:p w:rsidR="0025129F" w:rsidRDefault="0025129F" w:rsidP="0025129F">
      <w:pPr>
        <w:pStyle w:val="TextoNormal"/>
      </w:pPr>
      <w:r>
        <w:t xml:space="preserve">b) Subsidiariamente, y entrando en el examen del fondo del asunto, postula el otorgamiento del amparo. La recurrente era perfectamente identificable como persona a cuyo favor se derivaban derechos del acto administrativo de homologación recurrido en vía contencioso-administrativa, de tal suerte que la falta de emplazamiento personal y directo podía causarle un perjuicio real y efectivo, como de hecho ocurrió. </w:t>
      </w:r>
    </w:p>
    <w:p w:rsidR="0025129F" w:rsidRDefault="0025129F" w:rsidP="0025129F">
      <w:pPr>
        <w:pStyle w:val="TextoNormal"/>
      </w:pPr>
      <w:r>
        <w:t>Correspondía por tanto al órgano jurisdiccional vigilar por que el emplazamiento personal y directo de doña Alba Merán Merán se efectuara adecuadamente, siéndole impu</w:t>
      </w:r>
      <w:r>
        <w:lastRenderedPageBreak/>
        <w:t xml:space="preserve">tables los defectos y omisiones en los que incurrió la Administración (entre otras, SSTC 197/1997, de 24 de noviembre; 161/1998, de 14 de julio, y 26/1999, de 8 de marzo). Más aún, de acuerdo con la doctrina de las SSTC 239/1998, de 15 de diciembre, y 126/1999, le era exigible a la parte actora que colaborase para la identificación de la ahora solicitante de amparo como codemandada, facilitando el conocimiento de su domicilio a través del Colegio territorial al que se había incorporado. </w:t>
      </w:r>
    </w:p>
    <w:p w:rsidR="0025129F" w:rsidRDefault="0025129F" w:rsidP="0025129F">
      <w:pPr>
        <w:pStyle w:val="TextoNormal"/>
      </w:pPr>
      <w:r>
        <w:t xml:space="preserve">El Abogado del Estado señala que el relato de los hechos efectuado en el escrito de demanda revela una proliferación de datos domiciliarios de la recurrente, personales y profesionales, no constándole a la Administración demandada en el proceso judicial más que el domicilio de una tercera persona, quien la representó en el procedimiento administrativo de convalidación del título universitario. </w:t>
      </w:r>
    </w:p>
    <w:p w:rsidR="0025129F" w:rsidRDefault="0025129F" w:rsidP="0025129F">
      <w:pPr>
        <w:pStyle w:val="TextoNormal"/>
      </w:pPr>
      <w:r>
        <w:t xml:space="preserve">Sentado esto, lo decisivo es, a juicio del Abogado del Estado, que en el momento en que se procedió al emplazamiento de la recurrente, esto es, el 4 de junio de 1993, la organización colegial que formuló el recurso contencioso-administrativo conocía ya un domicilio en el que podía ser hallada. Concretamente, el 2 de abril de 1992 había ingresado en el Colegio de la Región XV y sin duda en los archivos colegiales habían de figurar sus datos domiciliarios. Por tanto, cuando se notificó a la representación procesal del Consejo General de los Colegios Oficiales de Odontólogos y Estomatólogos de España la providencia de 4 de junio de 1993 requiriendo a la Administración demandada para que emplazase a doña Alba Merán Merán, esta corporación hubiera podido proporcionar al órgano jurisdiccional un domicilio donde localizarla. </w:t>
      </w:r>
    </w:p>
    <w:p w:rsidR="0025129F" w:rsidRDefault="0025129F" w:rsidP="0025129F">
      <w:pPr>
        <w:pStyle w:val="TextoNormal"/>
      </w:pPr>
      <w:r>
        <w:t>Pues bien, de acuerdo con la doctrina de las SSTC 239/1998, FJ 2, y 126/1999, FJ 4, el Consejo General de los Colegios Oficiales de Odontólogos y Estomatólogos de España no cumplió con su deber de cooperar en la identificación de la codemandada facilitando sus datos domiciliarios. Y el órgano jurisdiccional no satisfizo su deber de esmerarse al máximo en procurar la defensión asegurando el emplazamiento personal y directo de la Sra. Merán Merán, pues debiera haber requerido al Consejo General para que le procurara dichos datos toda vez que era fácil suponer que, como efectivamente ocurría, se habría dado de alta en el Colegio profesional. De este modo puede entenderse existente una omisión imputable al órgano judicial y vulneradora del derecho a la tutela judicial efectiva sin indefensión de la recurrente.</w:t>
      </w:r>
    </w:p>
    <w:p w:rsidR="0025129F" w:rsidRDefault="0025129F" w:rsidP="0025129F">
      <w:pPr>
        <w:pStyle w:val="TextoNormal"/>
      </w:pPr>
    </w:p>
    <w:p w:rsidR="0025129F" w:rsidRDefault="0025129F" w:rsidP="0025129F">
      <w:pPr>
        <w:pStyle w:val="TextoNormal"/>
      </w:pPr>
      <w:r w:rsidRPr="0025129F">
        <w:rPr>
          <w:rStyle w:val="NumeroAFNegritaCaracter"/>
        </w:rPr>
        <w:t>10</w:t>
      </w:r>
      <w:r>
        <w:t>. El 8 de septiembre de 2000 se presentó el escrito de alegaciones de la solicitante de amparo, quien se ratificó en el contenido del escrito de demanda.</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El escrito de alegaciones del Ministerio Fiscal tuvo entrada en este Tribunal el 14 de septiembre de 2000. Después de una sucinta relación de los hechos expone los motivos por los que, en su opinión, procede otorgar el amparo solicitado. </w:t>
      </w:r>
    </w:p>
    <w:p w:rsidR="0025129F" w:rsidRDefault="0025129F" w:rsidP="0025129F">
      <w:pPr>
        <w:pStyle w:val="TextoNormal"/>
      </w:pPr>
      <w:r>
        <w:t xml:space="preserve">El presente recurso plantea nuevamente la ya reiterada cuestión de la falta de emplazamiento personal en los procesos contencioso-administrativos de quienes, ostentando un interés legítimo en la validez y eficacia de los actos impugnados, no han sido, pese a ello, emplazados personalmente, incumpliendo lo dispuesto en el art. 64 LJCA. De modo reiterado este Tribunal (v.gr. SSTC 1 y 20/2000) ha insistido, con fundamento en el art. 24.1 CE, en la necesidad de que, sobre todo en relación con el primer conocimiento de la existencia de un proceso que pueda afectar a los intereses legítimos de un ciudadano que aparezca identificado en las actuaciones correspondientes, el órgano jurisdiccional extreme su diligencia en el cumplimiento de los actos de comunicación para que aquél pueda tener </w:t>
      </w:r>
      <w:r>
        <w:lastRenderedPageBreak/>
        <w:t xml:space="preserve">conocimiento real y efectivo de la existencia del proceso, de la pretensión ejercitada y pueda, además, comparecer en él para la defensa de sus intereses. </w:t>
      </w:r>
    </w:p>
    <w:p w:rsidR="0025129F" w:rsidRDefault="0025129F" w:rsidP="0025129F">
      <w:pPr>
        <w:pStyle w:val="TextoNormal"/>
      </w:pPr>
      <w:r>
        <w:t xml:space="preserve">Esta doctrina debe completarse con la toma en consideración de algunos condicionantes que modulan la eventual infracción del derecho aquí invocado: los medios de los que haya podido disponer el órgano judicial para practicar y hacer efectivo el emplazamiento personal, la diligencia del presuntamente lesionado, el conocimiento extraprocesal del litigio, la apreciación de que no hubo falta de diligencia por su parte para poder comparecer en el proceso y ejercitar de modo efectivo sus derechos, son aspectos que deben ser tenidos en cuenta. </w:t>
      </w:r>
    </w:p>
    <w:p w:rsidR="0025129F" w:rsidRDefault="0025129F" w:rsidP="0025129F">
      <w:pPr>
        <w:pStyle w:val="TextoNormal"/>
      </w:pPr>
      <w:r>
        <w:t xml:space="preserve">Analizando el supuesto actual a la luz de la doctrina constitucional expuesta, el Ministerio Fiscal concluye que debe estimarse el recurso porque, en primer lugar, consta que la solicitante de amparo no fue emplazada personalmente a pesar de ostentar un claro y manifiesto interés legítimo en la preservación del acto administrativo impugnado. Además, la Administración primero y el órgano judicial después tuvieron a su alcance la posibilidad de llevar a cabo dicho emplazamiento personal habida cuenta que el Colegio de Odontólogos en el que se hallaba matriculada pudo facilitar su localización. Ello sin perjuicio de que también estaba dada de alta en los diferentes registros públicos en los que era necesaria su inscripción para el ejercicio efectivo de la profesión. </w:t>
      </w:r>
    </w:p>
    <w:p w:rsidR="0025129F" w:rsidRDefault="0025129F" w:rsidP="0025129F">
      <w:pPr>
        <w:pStyle w:val="TextoNormal"/>
      </w:pPr>
      <w:r>
        <w:t xml:space="preserve">Ciertamente, el órgano jurisdiccional mostró una inicial preocupación por el emplazamiento efectivo, requiriendo reiteradamente para ello a la Administración demandada. No obstante, en opinión del Ministerio Fiscal, al aceptar el emplazamiento edictal sin extremar su diligencia para procurar el personal, infringió abiertamente el art. 64 LJCA entonces vigente y, por ende, el derecho fundamental de la interesada a obtener la tutela judicial efectiva sin padecer indefensión. </w:t>
      </w:r>
    </w:p>
    <w:p w:rsidR="0025129F" w:rsidRDefault="0025129F" w:rsidP="0025129F">
      <w:pPr>
        <w:pStyle w:val="TextoNormal"/>
      </w:pPr>
      <w:r>
        <w:t xml:space="preserve">Por otro lado, no se aprecia en la lectura de las actuaciones que la demandante de amparo hubiera tenido conocimiento extraprocesal de la existencia del litigio ni tampoco que observara un comportamiento omisivo y negligente tras ser informada del contenido de la Sentencia pues reaccionó con presteza interponiendo el presente recurso de amparo constitucional. </w:t>
      </w:r>
    </w:p>
    <w:p w:rsidR="0025129F" w:rsidRDefault="0025129F" w:rsidP="0025129F">
      <w:pPr>
        <w:pStyle w:val="TextoNormal"/>
      </w:pPr>
      <w:r>
        <w:t>En lo que se refiere al alcance del amparo, el Ministerio Fiscal entiende que el derecho fundamental a la tutela judicial efectiva sin indefensión quedará restablecido con la anulación de la Sentencia de la Sala de lo Contencioso-Administrativo (Sección Quinta) de la Audiencia Nacional de 10 de marzo de 1995, debiendo retrotraerse las actuaciones al momento procesal en que debió ser emplazada personalmente la actora.</w:t>
      </w:r>
    </w:p>
    <w:p w:rsidR="0025129F" w:rsidRDefault="0025129F" w:rsidP="0025129F">
      <w:pPr>
        <w:pStyle w:val="TextoNormal"/>
      </w:pPr>
    </w:p>
    <w:p w:rsidR="0025129F" w:rsidRDefault="0025129F" w:rsidP="0025129F">
      <w:pPr>
        <w:pStyle w:val="TextoNormal"/>
      </w:pPr>
      <w:r w:rsidRPr="0025129F">
        <w:rPr>
          <w:rStyle w:val="NumeroAFNegritaCaracter"/>
        </w:rPr>
        <w:t>12</w:t>
      </w:r>
      <w:r>
        <w:t>. Por providencia de 18 de abril de 2002 se señaló para deliberación y votación de la presente Sentencia el día 22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En el presente recurso de amparo se impugna la Sentencia dictada por la Sala de lo Contencioso-Administrativo (Sección Quinta) de la Audiencia Nacional de 10 de marzo de 1995 en la que se estima parcialmente el recurso contencioso-administrativo núm.</w:t>
      </w:r>
    </w:p>
    <w:p w:rsidR="0025129F" w:rsidRDefault="0025129F" w:rsidP="0025129F">
      <w:pPr>
        <w:pStyle w:val="TextoNormal"/>
      </w:pPr>
      <w:r>
        <w:t xml:space="preserve">962/91 formulado por el Consejo General de los Colegios Oficiales de Odontólogos y Estomatólogos de España contra la Orden del Ministerio de Educación y Ciencia de 6 de marzo de 1990, por la que se acordaba que el título de Doctor en Odontología obtenido por doña Alba Merán Merán en la República Dominicana quedase homologado en España </w:t>
      </w:r>
      <w:r>
        <w:lastRenderedPageBreak/>
        <w:t>a los efectos que tiene el título español de Licenciado en Odontología. En la parte dispositiva de la resolución judicial se anula dicha Orden Ministerial, condicionándose la homologación del título antes referido a la superación de una prueba de conjunto sobre los conocimientos básicos de la formación española.</w:t>
      </w:r>
    </w:p>
    <w:p w:rsidR="0025129F" w:rsidRDefault="0025129F" w:rsidP="0025129F">
      <w:pPr>
        <w:pStyle w:val="TextoNormal"/>
      </w:pPr>
      <w:r>
        <w:t>Para la recurrente en amparo, la mencionada Sentencia ha vulnerado su derecho fundamental a la tutela judicial efectiva sin indefensión (art. 24.1 CE) puesto que, pese a ostentar un evidente interés legítimo surgido del contenido mismo del acto objeto de recurso, no fue llamada al proceso mediante el correspondiente emplazamiento personal, privándosele con ello de la oportunidad de actuar en defensa de sus intereses. De este mismo parecer es el Ministerio Fiscal, quien postula el otorgamiento del amparo.</w:t>
      </w:r>
    </w:p>
    <w:p w:rsidR="0025129F" w:rsidRDefault="0025129F" w:rsidP="0025129F">
      <w:pPr>
        <w:pStyle w:val="TextoNormal"/>
      </w:pPr>
      <w:r>
        <w:t>A su vez, el Abogado del Estado interesa en primer lugar la inadmisión del recurso por falta de cumplimiento del requisito establecido en el art. 44.1 a) LOTC puesto que no se habría agotado la vía judicial previa al no acudir la demandante de amparo al remedio excepcional de la nulidad de actuaciones del art. 240.3 y 4 LOPJ, en la redacción dada a estos preceptos por la Ley Orgánica 5/1997, de 4 de diciembre. Subsidiariamente, y para el caso de que se entienda satisfecho el mencionado requisito de procedibilidad, postula también la estimación del presente recurso de amparo constitucional.</w:t>
      </w:r>
    </w:p>
    <w:p w:rsidR="0025129F" w:rsidRDefault="0025129F" w:rsidP="0025129F">
      <w:pPr>
        <w:pStyle w:val="TextoNormal"/>
      </w:pPr>
    </w:p>
    <w:p w:rsidR="0025129F" w:rsidRDefault="0025129F" w:rsidP="0025129F">
      <w:pPr>
        <w:pStyle w:val="TextoNormal"/>
      </w:pPr>
      <w:r w:rsidRPr="0025129F">
        <w:rPr>
          <w:rStyle w:val="NumeroAFNegritaCaracter"/>
        </w:rPr>
        <w:t>2</w:t>
      </w:r>
      <w:r>
        <w:t>. Hemos de comenzar nuestro análisis de las cuestiones planteadas en el presente proceso constitucional exponiendo sucintamente los motivos por los que debemos rechazar la concurrencia del óbice procesal al que ha hecho referencia el Abogado del Estado.</w:t>
      </w:r>
    </w:p>
    <w:p w:rsidR="0025129F" w:rsidRDefault="0025129F" w:rsidP="0025129F">
      <w:pPr>
        <w:pStyle w:val="TextoNormal"/>
      </w:pPr>
      <w:r>
        <w:t>Apunta éste que la solicitante de amparo no agotó todos los recursos utilizables en la vía judicial previa, tal y como exige el art. 44.1 a) LOTC porque no acudió al incidente de nulidad de actuaciones previsto en el art. 240.3 y 4, en la redacción dada por el artículo 1 de la Ley Orgánica 5/1997, de 4 de diciembre. Para el Abogado del Estado, el hecho de que la Sentencia aquí impugnada fuera dictada el 10 de marzo de 1995, esto es, mucho antes del dies a quo al que se extiende la eficacia de la reforma conforme a lo establecido en la Disposición transitoria primera de la mencionada Ley Orgánica 5/1997, no era óbice para que cupiera hacer uso de este remedio revisorio excepcional. Siempre según el Abogado del Estado, una cabal comprensión de esta Disposición transitoria debería primar su propósito permisivo, pues facultaría para utilizar el nuevo remedio también frente a las Sentencias de las que se hubiera tenido conocimiento dentro del mes anterior a la entrada en vigor de la referida Ley Orgánica, otorgándose para tales supuestos un plazo especial de veinte días desde su promulgación, que tuvo lugar el 4 de diciembre de 1997.</w:t>
      </w:r>
    </w:p>
    <w:p w:rsidR="0025129F" w:rsidRDefault="0025129F" w:rsidP="0025129F">
      <w:pPr>
        <w:pStyle w:val="TextoNormal"/>
      </w:pPr>
      <w:r>
        <w:t>Debemos señalar, al respecto, que no consta en absoluto que la ahora recurrente en amparo tuviera conocimiento de la Sentencia en fecha anterior a la que ella misma señala, y que es la de la recepción del escrito del Ilustre Colegio de Odontólogos y Estomatólogos de Las Palmas, de 5 de agosto de 1998. Pues bien, en ese momento el incidente de nulidad de actuaciones introducido en el articulado de la LOPJ por la Ley Orgánica 5/1997 se hallaba plenamente vigente: lo que, por el contrario, no resulta indubitado es que la demandante de amparo hubiera de acudir a este remedio procesal extraordinario en defensa de la pretensión anulatoria deducida en este proceso constitucional, según se expone a continuación.</w:t>
      </w:r>
    </w:p>
    <w:p w:rsidR="0025129F" w:rsidRDefault="0025129F" w:rsidP="0025129F">
      <w:pPr>
        <w:pStyle w:val="TextoNormal"/>
      </w:pPr>
      <w:r>
        <w:t>A este fin interesa recordar que el art. 240.3 LOPJ fue nuevamente reformado por el art. 2 de la Ley Orgánica 13/1999, de 14 de mayo, que tiene por objeto, según se indica en la propia Exposición de Motivos, perfeccionar la regulación del incidente de nulidad de actuaciones, para lo que amplía el ámbito subjetivo de los legitimados para acudir a este remedio excepcional, incluyendo entre los mismos no sólo quienes hayan sido parte legí</w:t>
      </w:r>
      <w:r>
        <w:lastRenderedPageBreak/>
        <w:t>tima en el proceso, sino también quienes "hubieran debido serlo".  La efectividad de esta reforma se retrotrae, por virtud de la Disposición transitoria única de la referida Ley Orgánica 13/1999, que sigue en este punto el precedente de la Disposición transitoria primera de la ya mencionada Ley Orgánica 5/1997, a los procesos que hubiesen finalizado dentro del mes anterior a la entrada en vigor de aquella Ley Orgánica, esto es, cuando el presente recurso de amparo ya había sido interpuesto.</w:t>
      </w:r>
    </w:p>
    <w:p w:rsidR="0025129F" w:rsidRDefault="0025129F" w:rsidP="0025129F">
      <w:pPr>
        <w:pStyle w:val="TextoNormal"/>
      </w:pPr>
      <w:r>
        <w:t>Sentado esto parece pertinente recordar la doctrina contenida en el ATC 218/2000, de 26 de septiembre, para un supuesto que, en punto al agotamiento de todos los recursos posibles en la vía judicial previa, guarda una evidente similitud con el actual.  Entonces se dijo que "es legítimo pensar, a partir de la reforma del incidente de nulidad de actuaciones operada por la Ley Orgánica 13/1999, de 14 de mayo, que frente a aquellas resoluciones judiciales que hubieran ganado firmeza en el ínterin que media entre la introducción del incidente por la Ley Orgánica 1997, de 4 de diciembre, y su reforma, no era posible acudir a dicho incidente cuando el defecto procedimental causante de indefensión era justamente la falta de emplazamiento personal ahora denunciada. No corresponde a este Tribunal fijar la interpretación que deba darse a los textos legales en presencia, sino únicamente apreciar que no le era razonablemente exigible a la solicitante de amparo hacer uso de un remedio procesal cuya idoneidad en el presente supuesto sólo puede ser el resultado de una compleja labor interpretativa que no venía obligada a efectuar" [loc. cit., FJ 3; en parecidos términos, STC 178/2000, de 26 de junio, FJ 3 b)].</w:t>
      </w:r>
    </w:p>
    <w:p w:rsidR="0025129F" w:rsidRDefault="0025129F" w:rsidP="0025129F">
      <w:pPr>
        <w:pStyle w:val="TextoNormal"/>
      </w:pPr>
      <w:r>
        <w:t>Aun en la hipótesis de aceptarse la tesis propugnada por el Abogado del Estado, quien equipara a los efectos que ahora interesan las resoluciones judiciales que ganen firmeza en ese lapso temporal al que se hace alusión en el mencionado Auto con aquellas otras de las que se tenga conocimiento, la aplicación de la doctrina de este Tribunal acerca del cumplimiento del requisito establecido en el art. 44.1 a) LOTC conduce directamente al rechazo de la causa de inadmisión aducida por aquél. Concretamente, este Tribunal ha afirmado en reiteradas ocasiones que los recursos de utilización previa obligada son sólo aquellos "cuya procedencia se desprenda de modo claro y terminante del tenor de las previsiones legales y, además, que dada su naturaleza y finalidad sean adecuados para reparar la lesión presuntamente sufrida" (por todas, STC 168/2001, de 16 de julio, FJ 2, y las numerosas resoluciones allí mencionadas). De este modo, existiendo una duda más que fundada -como así lo pone de manifiesto el cambio normativo del que hemos dado cuenta y al que se hace referencia igualmente en la STC 178/2000, de 26 de junio, FJ 3 b)- sobre la admisibilidad del incidente en casos como el ahora examinado, no resulta razonable exigir a la recurrente que afronte los riesgos que pudieran resultar de su previsible inadmisión.</w:t>
      </w:r>
    </w:p>
    <w:p w:rsidR="0025129F" w:rsidRDefault="0025129F" w:rsidP="0025129F">
      <w:pPr>
        <w:pStyle w:val="TextoNormal"/>
      </w:pPr>
    </w:p>
    <w:p w:rsidR="0025129F" w:rsidRDefault="0025129F" w:rsidP="0025129F">
      <w:pPr>
        <w:pStyle w:val="TextoNormal"/>
      </w:pPr>
      <w:r w:rsidRPr="0025129F">
        <w:rPr>
          <w:rStyle w:val="NumeroAFNegritaCaracter"/>
        </w:rPr>
        <w:t>3</w:t>
      </w:r>
      <w:r>
        <w:t>. Despejado el óbice procesal hemos de pasar a examinar, una vez más, si la falta de emplazamiento personal de un tercero interesado en el objeto de un proceso contencioso- administrativo ha entrañado una vulneración del derecho a la tutela judicial efectiva que reconoce el art. 24.1 CE. Se trata de una cuestión sobre la que existe una consolidada y detallada doctrina jurisprudencial, convenientemente sistematizada en diversas resoluciones (destacadamente, SSTC 1/2000, de 14 de enero, FJ 3; 178/2000, de 26 de junio, FJ 4; 300/2000, de 11 de diciembre, FJ 2; 91/2001, de 2 de abril, FJ 4; 18/2002, de 28 de enero, FJ 6, y 31/2002, de 11 de febrero, FJ 4), a las que, sin perjuicio de recordar ahora los cánones de enjuiciamiento en ellas identificados, resulta pertinente que nos remitamos.</w:t>
      </w:r>
    </w:p>
    <w:p w:rsidR="0025129F" w:rsidRDefault="0025129F" w:rsidP="0025129F">
      <w:pPr>
        <w:pStyle w:val="TextoNormal"/>
      </w:pPr>
      <w:r>
        <w:t xml:space="preserve">Como punto de partida este Tribunal ha venido afirmando desde la temprana STC 9/1981, de 31 de marzo, FJ 6, que el art. 24.1 CE "contiene un mandato implícito al legislador -y al intérprete- consistente en promover la defensión, en la medida de lo posible, </w:t>
      </w:r>
      <w:r>
        <w:lastRenderedPageBreak/>
        <w:t>mediante la correspondiente contradicción". Uno de los medios conducentes a este fin son los actos de comunicación procesal, en particular del emplazamiento a través del cual el órgano judicial pone en conocimiento de quienes ostentan algún derecho o interés la existencia misma del proceso, dada la trascendencia que estos actos revisten para garantizar el principio de contradicción, integrante del citado derecho fundamental (STC 20/2000, de 31 de enero, FJ 2). Por ello mismo pesa sobre los órganos jurisdiccionales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personados en el proceso" (STC 268/2000, de 13 de noviembre, FJ 4).</w:t>
      </w:r>
    </w:p>
    <w:p w:rsidR="0025129F" w:rsidRDefault="0025129F" w:rsidP="0025129F">
      <w:pPr>
        <w:pStyle w:val="TextoNormal"/>
      </w:pPr>
      <w:r>
        <w:t>En lo que específicamente se refiere al emplazamiento ante el orden jurisdiccional contencioso-administrativo, este Tribunal ha venido insistiendo, desde mucho antes de la reforma del art. 64 LJCA llevada a cabo por la Ley 10/1992, de 30 de abril, que introdujo la obligación de notificar la remisión del expediente y emplazar a cuantos aparezcan como interesados en el mismo, en que ese mandato implícito del art. 24.1 CE conlleva el emplazamiento personal de quienes puedan comparecer como demandados -e incluso, entonces, como coadyuvantes, figura suprimida por la Ley 29/1998, de 13 de julio- siempre que ello resulte factible, como ocurre cuando sean conocidos o identificables a partir de los datos que se deduzcan del escrito de interposición, del expediente administrativo, o de la demanda (por todas, STC 36/2001, de 12 de febrero, FJ 3, y las resoluciones allí mencionadas).</w:t>
      </w:r>
    </w:p>
    <w:p w:rsidR="0025129F" w:rsidRDefault="0025129F" w:rsidP="0025129F">
      <w:pPr>
        <w:pStyle w:val="TextoNormal"/>
      </w:pPr>
      <w:r>
        <w:t>Sintetizando los cánones de nuestro enjuiciamiento, y según hemos advertido recientemente en la ya citada STC 18/2002, FJ 6, para que la falta de emplazamiento tenga relevancia constitucional y pueda dar lugar al otorgamiento del amparo es preciso que se cumplan estos tres requisitos:</w:t>
      </w:r>
    </w:p>
    <w:p w:rsidR="0025129F" w:rsidRDefault="0025129F" w:rsidP="0025129F">
      <w:pPr>
        <w:pStyle w:val="TextoNormal"/>
      </w:pPr>
      <w:r>
        <w:t>"a) Que el demandante de amparo sea titular de un derecho o de un interés legítimo y propio, susceptible de afección por los efectos que produzca la resolución dictada en el proceso; la situación de interés legítimo resulta identificable con cualquier ventaja o utilidad jurídica (SSTC 97/1991, de 9 de mayo, FJ 2 y 264/1994, de 3 de octubre, FJ 3).  En todo caso, hay que destacar que la titularidad del derecho o interés legítimo debe darse al tiempo de la iniciación del proceso contencioso-administrativo (SSTC 65/1994, de 28 de febrero, FJ 3; 90/1996, de 27 de mayo, FJ 2, y 122/1998, de 15 de junio, FJ 3).</w:t>
      </w:r>
    </w:p>
    <w:p w:rsidR="0025129F" w:rsidRDefault="0025129F" w:rsidP="0025129F">
      <w:pPr>
        <w:pStyle w:val="TextoNormal"/>
      </w:pPr>
      <w:r>
        <w:t>b) Que se haya ocasionado una situación de indefensión real y efectiva del recurrente.  No hay indefensión real y efectiva cuando el interesado tiene conocimiento extraprocesal del asunto y, por su propia falta de diligencia, no se persona en la causa (SSTC 117/1983, de 12 de diciembre, FJ 3; 74/1984, de 27 de junio, FJ 2; 97/1991, de 9 de mayo, FJ 4; 264/1994, de 3 de octubre, FJ 5, y 229/1997, de 12 de diciembre, FJ 3).</w:t>
      </w:r>
    </w:p>
    <w:p w:rsidR="0025129F" w:rsidRDefault="0025129F" w:rsidP="0025129F">
      <w:pPr>
        <w:pStyle w:val="TextoNormal"/>
      </w:pPr>
      <w:r>
        <w:t>c) Por último, que el interesado sea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El examen del presente caso a la luz de estos cánones conduce, como así han coincidido en afirmar todas las partes personadas en el proceso, al otorgamiento del amparo solicitado. Al respecto parece oportuno avanzar que la concreta cuestión a dilucidar atañe tanto a la comprobación de que concurrían en la ahora solicitante de amparo los requisitos que venimos exigiendo para que hubiera de ser considerada parte en el proceso judicial </w:t>
      </w:r>
      <w:r>
        <w:lastRenderedPageBreak/>
        <w:t>como a la verificación de que el órgano jurisdiccional desplegó todo el celo que le era exigible en la indagación del domicilio real o actual de la ahora demandante de amparo, con vistas a garantizar en la medida de lo posible su emplazamiento personal.</w:t>
      </w:r>
    </w:p>
    <w:p w:rsidR="0025129F" w:rsidRDefault="0025129F" w:rsidP="0025129F">
      <w:pPr>
        <w:pStyle w:val="TextoNormal"/>
      </w:pPr>
      <w:r>
        <w:t>En efecto, al igual que sucediera en el recurso de amparo resuelto por la STC 126/1999, de 28 de junio, que guarda notables paralelismos con el presente caso, paralelismos que han sido pertinentemente puestos de relieve por el Abogado del Estado, "es indudable que la demandante de amparo tenía derecho a ser llamada al proceso por ostentar un evidente interés directo en él, en cuanto se trataba de un recurso tendente a la anulación de la homologación del título que le habilitaba para ejercer su actual profesión de odontólogo, homologación que le había concedido la Administración. Por ello, según el entonces vigente art. 29.1 b) de la LJCA 1956, tenía la condición de parte demandada necesaria (codemandada junto a la Administración autora del acto impugnado)" (loc. cit., FJ 4). De otra parte, resulta indudable que se le ha ocasionado a la ahora solicitante de amparo una real y efectiva indefensión material, pues en un proceso tramitado a sus espaldas se ventilaba nada menos que la posibilidad de continuar ejerciendo la profesión, que no puede achacarse a una actitud negligente de su parte que le haya situado al margen del proceso.  Tanto menos cuanto que no existen datos que inviten a presumir que tuviera un conocimiento extraprocesal de la existencia del litigio al que no fue personalmente emplazada, por lo que no quedando este extremo fehacientemente acreditado, y ni siquiera apuntado por ninguno de los intervinientes en el actual proceso constitucional, no puede tener eficacia suficiente para enervar la lesión del derecho fundamental a la tutela judicial efectiva (por todas, STC 185/2001, de 17 de septiembre, FJ 3).</w:t>
      </w:r>
    </w:p>
    <w:p w:rsidR="0025129F" w:rsidRDefault="0025129F" w:rsidP="0025129F">
      <w:pPr>
        <w:pStyle w:val="TextoNormal"/>
      </w:pPr>
      <w:r>
        <w:t>En el presente caso, el órgano judicial identificó a la ahora demandante de amparo como titular de un interés de entidad suficiente para ser personalmente emplazada al proceso. Así lo demuestran los requerimientos dirigidos en tal sentido a la Administración demandada mediante proveídos de 30 de septiembre de 1991 y 4 de junio de 1993. Sin embargo, se procedió al emplazamiento edictal en el "Boletín Oficial del Estado" núm. 234, de 30 de septiembre de 1993, que el órgano jurisdiccional dio por bueno, abriendo el trámite de conclusiones de las partes.</w:t>
      </w:r>
    </w:p>
    <w:p w:rsidR="0025129F" w:rsidRDefault="0025129F" w:rsidP="0025129F">
      <w:pPr>
        <w:pStyle w:val="TextoNormal"/>
      </w:pPr>
      <w:r>
        <w:t>Pues bien, no es posible concluir que la Sala de lo Contencioso-Administrativo (Sección Quinta) de la Audiencia Nacional se condujera en este punto con el celo que le es exigible en garantía de la proscripción de indefensión proclamada en el art. 24.1 CE.  Toda vez que era verosímil pensar que el Consejo General de los Colegios Oficiales de Odontólogos y Estomatólogos de España conocía el domicilio profesional de la ahora recurrente, el indicado órgano jurisdiccional no debió conformarse con el emplazamiento edictal sino que debió intentar la práctica de las pertinentes diligencias ante dicho Consejo (en idéntico sentido, la ya citada STC 126/1999, FJ 4). Asimismo, resulta pertinente destacar que dicho domicilio era, en efecto, perfectamente conocido por una de las partes en el pleito, al menos en el momento en que se reiteró el requerimiento, ya que la recurrente en amparo había ingresado en el Colegio Oficial de Odontólogos y Estomatólogos de la XV Región el 2 de abril de 1992, según se ha acreditado en este proceso constitucional. De donde se deduce que era posible su localización, a los efectos del emplazamiento personal y directo, por el órgano judicial si éste hubiera actuado con una razonable diligencia y la corporación entonces demandante se hubiera conducido con la responsabilidad y buena fe que cabe esperar de quien pretende obtener la protección de sus intereses en un proceso judicial, habida cuenta que esta pretensión es radicalmente incompatible con cualquier comportamiento que dificulte o impida la contradicción de quien ostenta unos intereses que han de ventilarse en el litigio.</w:t>
      </w:r>
    </w:p>
    <w:p w:rsidR="0025129F" w:rsidRDefault="0025129F" w:rsidP="0025129F">
      <w:pPr>
        <w:pStyle w:val="TextoNormal"/>
      </w:pPr>
      <w:r>
        <w:lastRenderedPageBreak/>
        <w:t>Sobre este particular hemos de recordar que en la mencionada STC 126/1999, FJ 4, con remisión expresa a la STC 239/1998, de 15 de diciembre, FJ 2, este Tribunal ha subrayado que "el deber de emplazar pesa sobre el Tribunal siempre que sepa que existen personas legitimadas cuyo emplazamiento resulta factible, sin perjuicio de la colaboración que las partes están obligadas a prestarle para asegurar el cumplimiento efectivo de ese deber judicial de emplazar lo cual refuerza la responsabilidad de lealtad, colaboración y buena fe que pesaba en este caso sobre quien actuaba como demandante". Por consiguiente, al igual que en aquella ocasión, debemos concluir que, al darse por bueno el emplazamiento edictal sin agotar todas las posibilidades tendentes a asegurar la comunicación personal y directa indagando el domicilio de la hoy solicitante de amparo, el recurso a la publicación de edictos no ha sido fruto de la utilización de un criterio de racionalidad al no haberse utilizado excepcional y supletoriamente como último remedio procesal, lo que contraviene una doctrina constitucional reiterada y consolidada según la cual "el emplazamiento o citación no es un mero trámite o requisito formal ni una simple diligencia de ordenación que permite la continuación del proceso sino que, muy al contrario, constituye la pieza clave que garantiza que los interesados y las partes puedan comparecer en juicio en defensa de sus intereses" (STC 126/1999, FJ 4).</w:t>
      </w:r>
    </w:p>
    <w:p w:rsidR="0025129F" w:rsidRDefault="0025129F" w:rsidP="0025129F">
      <w:pPr>
        <w:pStyle w:val="TextoNormal"/>
      </w:pPr>
    </w:p>
    <w:p w:rsidR="0025129F" w:rsidRDefault="0025129F" w:rsidP="0025129F">
      <w:pPr>
        <w:pStyle w:val="TextoNormal"/>
      </w:pPr>
      <w:r w:rsidRPr="0025129F">
        <w:rPr>
          <w:rStyle w:val="NumeroAFNegritaCaracter"/>
        </w:rPr>
        <w:t>5</w:t>
      </w:r>
      <w:r>
        <w:t>. De lo expuesto resulta que la ahora solicitante de amparo debió ser emplazada directa y personalmente al proceso para defender sus legítimos derechos e intereses, pues tenía un domicilio fácilmente identificable para la práctica de dicha comunicación.  Por otro lado, no existe constancia alguna de que mantuviera un comportamiento pasivo o negligente que le impidiera alcanzar un conocimiento extraprocesal del litigio. Todo lo cual conduce a la estimación del presente recurso de amparo porque en la tramitación del recurso contencioso-administrativo núm.  962/91 ante la Sala de lo Contencioso-Administrativo (Sección Quinta) de la Audiencia Nacional se lesionó el derecho de doña Alba Merán Merán a la tutela judicial efectiva sin indefensión (art.  24.1 CE).</w:t>
      </w:r>
    </w:p>
    <w:p w:rsidR="0025129F" w:rsidRDefault="0025129F" w:rsidP="0025129F">
      <w:pPr>
        <w:pStyle w:val="TextoNormal"/>
      </w:pPr>
      <w:r>
        <w:t>De conformidad con lo postulado por la recurrente, el otorgamiento del amparo ha de consistir en el presente caso, para que sea efectivo el "restablecimiento del recurrente en la integridad de su derecho" [art. 55.1 c) LOTC], no sólo en la anulación de la Sentencia con retroacción de actuaciones para el emplazamiento de aquélla, sino también en la anulación de la Resolución del Ministerio de Educación y Ciencia de 26 de octubre de 1995 (adoptada, según sus propios términos, en ejecución de dicha Sentencia) y la comunicación del Ilustre Colegio Profesional de 5 de agosto de 1998, dando cumplimiento a la resolución ministerial, transcritas ambas, en lo pertinente, en el tercero de los antecedentes de esta Sentencia.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consecuencia:</w:t>
      </w:r>
    </w:p>
    <w:p w:rsidR="0025129F" w:rsidRDefault="0025129F" w:rsidP="0025129F">
      <w:pPr>
        <w:pStyle w:val="TextoNormal"/>
      </w:pPr>
      <w:r>
        <w:t>1º Declarar que se ha vulnerado el derecho fundamental de doña Alba Merán Merán a la tutela judicial efectiva sin indefensión (art. 24.1 CE).</w:t>
      </w:r>
    </w:p>
    <w:p w:rsidR="0025129F" w:rsidRDefault="0025129F" w:rsidP="0025129F">
      <w:pPr>
        <w:pStyle w:val="TextoNormal"/>
      </w:pPr>
      <w:r>
        <w:lastRenderedPageBreak/>
        <w:t>2º Anular la Sentencia de la Sala de lo Contencioso-Administrativo (Sección Quinta) de la Audiencia Nacional de 10 de marzo de 1995, dictada en el recurso contencioso- administrativo núm. 962/91.</w:t>
      </w:r>
    </w:p>
    <w:p w:rsidR="0025129F" w:rsidRDefault="0025129F" w:rsidP="0025129F">
      <w:pPr>
        <w:pStyle w:val="TextoNormal"/>
      </w:pPr>
      <w:r>
        <w:t>3º Retrotraer las actuaciones al momento procesal inmediatamente posterior a la formulación de la demanda de dicho recurso contencioso-administrativo, al objeto de que sea emplazada directa y personalmente.</w:t>
      </w:r>
    </w:p>
    <w:p w:rsidR="0025129F" w:rsidRDefault="0025129F" w:rsidP="0025129F">
      <w:pPr>
        <w:pStyle w:val="TextoNormal"/>
      </w:pPr>
      <w:r>
        <w:t>4º Anular la Orden del Ministerio de Educación y Ciencia de 26 de octubre de 1995, dictada en ejecución de dicha Sentencia, y la comunicación que, en cumplimiento de dicha Orden ministerial, dirigió el Ilustre Colegio Oficial de Odontólogos y Estomatólogos de Las Palmas a la recurrente en amparo en fecha 5 de agosto de 1998.</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1" w:name="SENTENCIA_2002_88"/>
      <w:r>
        <w:lastRenderedPageBreak/>
        <w:t>SENTENCIA 88/2002, de 22 de abril de 2002</w:t>
      </w:r>
    </w:p>
    <w:bookmarkEnd w:id="91"/>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ECLI:ES:TC:2002:88</w:t>
      </w:r>
    </w:p>
    <w:p w:rsidR="0025129F" w:rsidRDefault="0025129F" w:rsidP="0025129F">
      <w:pPr>
        <w:pStyle w:val="SntesisDescriptiva"/>
      </w:pPr>
    </w:p>
    <w:p w:rsidR="0025129F" w:rsidRDefault="0025129F" w:rsidP="0025129F">
      <w:pPr>
        <w:pStyle w:val="SntesisDescriptiva"/>
      </w:pPr>
      <w:r>
        <w:t>Recurso de amparo 1548/1999. Promovido por Uralita, S.A., y otras respecto al Auto de la Sala de lo Social del Tribunal Superior de Justicia de Andalucía que desestimó su recurso de queja en un incidente de ejecución de Sentencia sobre despido.</w:t>
      </w:r>
    </w:p>
    <w:p w:rsidR="0025129F" w:rsidRDefault="0025129F" w:rsidP="0025129F">
      <w:pPr>
        <w:pStyle w:val="SntesisDescriptiva"/>
      </w:pPr>
    </w:p>
    <w:p w:rsidR="0025129F" w:rsidRDefault="0025129F" w:rsidP="0025129F">
      <w:pPr>
        <w:pStyle w:val="SntesisAnaltica"/>
      </w:pPr>
      <w:r>
        <w:t>Supuesta vulneración del derecho a la tutela judicial efectiva (acceso al recurso legal): término inicial del plazo para interponer recurso de queja, apreciado sin error patente.</w:t>
      </w:r>
    </w:p>
    <w:p w:rsidR="0025129F" w:rsidRDefault="0025129F" w:rsidP="0025129F">
      <w:pPr>
        <w:pStyle w:val="SntesisAnaltica"/>
      </w:pPr>
    </w:p>
    <w:p w:rsidR="0025129F" w:rsidRDefault="0025129F" w:rsidP="0025129F">
      <w:pPr>
        <w:pStyle w:val="Extracto"/>
      </w:pPr>
      <w:r>
        <w:t>1.</w:t>
      </w:r>
      <w:r>
        <w:tab/>
        <w:t>El Auto de la Sala de lo Social del Tribunal Superior de Justicia, que inadmitió el recurso de queja contra la inadmisión de la suplicación por el Juzgado, no incurrió en un error patente e incontrovertible, sino que partió implicítamente del único presupuesto aceptable, a saber, el cumplimiento de la Ley por parte del órgano a quo [FJ 3].</w:t>
      </w:r>
    </w:p>
    <w:p w:rsidR="0025129F" w:rsidRDefault="0025129F" w:rsidP="0025129F">
      <w:pPr>
        <w:pStyle w:val="Extracto"/>
      </w:pPr>
    </w:p>
    <w:p w:rsidR="0025129F" w:rsidRDefault="0025129F" w:rsidP="0025129F">
      <w:pPr>
        <w:pStyle w:val="Extracto"/>
      </w:pPr>
      <w:r>
        <w:t>2.</w:t>
      </w:r>
      <w:r>
        <w:tab/>
        <w:t>Procederá otorgar el amparo en el caso de resoluciones judiciales que inadmiten un recurso cuando incurran en error patente (SSTC 55/1993, 171/2000) [ FJ 2].</w:t>
      </w:r>
    </w:p>
    <w:p w:rsidR="0025129F" w:rsidRDefault="0025129F" w:rsidP="0025129F">
      <w:pPr>
        <w:pStyle w:val="Extracto"/>
      </w:pPr>
    </w:p>
    <w:p w:rsidR="0025129F" w:rsidRDefault="0025129F" w:rsidP="0025129F">
      <w:pPr>
        <w:pStyle w:val="Extracto"/>
      </w:pPr>
      <w:r>
        <w:t>3.</w:t>
      </w:r>
      <w:r>
        <w:tab/>
        <w:t>El derecho a obtener de los Jueces y Tribunales una resolución razonada y fundada en Derecho, también se satisface con la obtención de una resolución de inadmisión (SSTC 19/1981, 22/2002)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1548/99, promovido por Uralita, S.A., Tisa Instalaciones, S.A., y Contenur, S.A., representadas por la Procuradora de los Tribunales doña Margarita López Jiménez y asistidas por el Abogado don Jesús Pardo de Santayana Dubois, contra el Auto de la Sala de lo Social, con sede en Sevilla, del Tribunal Superior de Justicia de Andalucía, de 15 de febrero de 1999, que desestima el recurso de queja (núm. 4433/98) incoado contra el Auto de 18 de noviembre de 1998 del Juzgado de lo Social núm. 4 de Sevilla. Ha intervenido el Ministerio Fiscal y ha sido parte don Manuel Álvarez </w:t>
      </w:r>
      <w:r>
        <w:lastRenderedPageBreak/>
        <w:t>Amor, representado por el Procurador don Luciano Rosh Nadal y bajo la dirección del Letrado don Francisco Goñi Ysern. Ha sido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el Tribunal el 12 de abril de 1999, las sociedades Uralita, S.A., Tisa Instalaciones, S.A., y Contenur, S.A., representadas por la Procuradora de los Tribunales doña Margarita López Jiménez, interponen recurso de amparo contra el Auto de la Sala de lo Social del Tribunal Superior de Justicia de Andalucía, en su sede de Sevilla, que se cita en el encabezamiento.</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Constituyen la base fáctica de la demanda los siguientes antecedentes: </w:t>
      </w:r>
    </w:p>
    <w:p w:rsidR="0025129F" w:rsidRDefault="0025129F" w:rsidP="0025129F">
      <w:pPr>
        <w:pStyle w:val="TextoNormal"/>
      </w:pPr>
      <w:r>
        <w:t xml:space="preserve">a) El 13 de mayo de 1997 el Juzgado de lo Social núm.4 de Sevilla dictó Sentencia en procedimiento de despido, estimando la demanda formulada contra las recurrentes en amparo por uno de sus trabajadores, don Manuel Álvarez Amor, declarando improcedente su despido. Las empresas condenadas anunciaron recurso de suplicación, en escrito registrado en el Juzgado de lo Social núm.4 de Sevilla el día 11 de junio de 1997. </w:t>
      </w:r>
    </w:p>
    <w:p w:rsidR="0025129F" w:rsidRDefault="0025129F" w:rsidP="0025129F">
      <w:pPr>
        <w:pStyle w:val="TextoNormal"/>
      </w:pPr>
      <w:r>
        <w:t xml:space="preserve">b) El interesado solicitó la ejecución provisional de la Sentencia por escrito de 18 de junio de 1997, formándose la correspondiente pieza separada y acordándose lo solicitado en providencia del Juzgado de lo Social de 19 de junio de 1997, conforme a lo prevenido en el art. 295.1 LPL. </w:t>
      </w:r>
    </w:p>
    <w:p w:rsidR="0025129F" w:rsidRDefault="0025129F" w:rsidP="0025129F">
      <w:pPr>
        <w:pStyle w:val="TextoNormal"/>
      </w:pPr>
      <w:r>
        <w:t xml:space="preserve">c) Por escrito de 26 de junio de 1997 la representación de las sociedades condenadas presentó recurso de reposición contra la precitada providencia, impugnándose de contrario. Razonaban las recurrentes que no sería aplicable al caso el art. 295.1 LPL, pensado, decían, para supuestos en los que la opción se realiza en favor de la readmisión del trabajador despedido, justo lo contrario de lo que habría de entenderse en el caso de autos toda vez que, habiéndose anunciado recurso de suplicación y aportado a tal fin un aval equivalente al importe de la indemnización, tenía que convenirse que optaban por ésta. </w:t>
      </w:r>
    </w:p>
    <w:p w:rsidR="0025129F" w:rsidRDefault="0025129F" w:rsidP="0025129F">
      <w:pPr>
        <w:pStyle w:val="TextoNormal"/>
      </w:pPr>
      <w:r>
        <w:t xml:space="preserve">d) Por Auto de 31 de julio de 1997 el Juzgado de lo Social desestimó el recurso de reposición. A su juicio las recurrentes no optaron expresamente por la indemnización en el plazo legalmente previsto para ello, de forma que, al amparo del art. 56.3 LET, tácitamente lo hicieron por la readmisión del trabajador, razón por la que acuerda continuar la ejecución provisional iniciada en la providencia de 19 de junio. </w:t>
      </w:r>
    </w:p>
    <w:p w:rsidR="0025129F" w:rsidRDefault="0025129F" w:rsidP="0025129F">
      <w:pPr>
        <w:pStyle w:val="TextoNormal"/>
      </w:pPr>
      <w:r>
        <w:t xml:space="preserve">e) El interesado solicitó la continuación de la ejecución provisional, reclamando el abono de salarios que consideraba adeudados en fase de ejecución. En providencia de 9 de septiembre de 1997 el juzgador requirió a las condenadas el abono del importe de los salarios devengados desde el día posterior a la notificación de la Sentencia, apercibiéndolas de su exacción por la vía de apremio de no darse cumplimiento a lo ordenado. </w:t>
      </w:r>
    </w:p>
    <w:p w:rsidR="0025129F" w:rsidRDefault="0025129F" w:rsidP="0025129F">
      <w:pPr>
        <w:pStyle w:val="TextoNormal"/>
      </w:pPr>
      <w:r>
        <w:t xml:space="preserve">f) La Sentencia del proceso principal devino firme tras el desistimiento del recurso de suplicación que previamente habían interpuesto las condenadas, acordándose así por la Sala de lo Social del Tribunal Superior de Justicia en Auto de 26 de noviembre de 1997. </w:t>
      </w:r>
    </w:p>
    <w:p w:rsidR="0025129F" w:rsidRDefault="0025129F" w:rsidP="0025129F">
      <w:pPr>
        <w:pStyle w:val="TextoNormal"/>
      </w:pPr>
      <w:r>
        <w:t xml:space="preserve">g) La providencia de fecha 2 de febrero de 1998 del Juzgado de lo Social núm. 4 de Sevilla acusa recibo de la certificación de aquella resolución de la Sala de lo Social, de 26 de noviembre de 1997. Y acuerda, en su virtud, dar el curso legal a las consignaciones y depósitos habidos para recurrir, manteniendo el aval prestado hasta la total ejecución de la Sentencia ya firme. Al mismo tiempo requiere a las condenadas el pago de las cantidades </w:t>
      </w:r>
      <w:r>
        <w:lastRenderedPageBreak/>
        <w:t xml:space="preserve">adeudadas correspondientes a los salarios de trámite hasta la fecha de declaración de la firmeza, con la advertencia de que, de no acreditarse el cumplimiento en plazo, se ejecutaría el aval prestado. En providencia de 23 de febrero de 1998 se ordenó hacer efectivo el citado aval. </w:t>
      </w:r>
    </w:p>
    <w:p w:rsidR="0025129F" w:rsidRDefault="0025129F" w:rsidP="0025129F">
      <w:pPr>
        <w:pStyle w:val="TextoNormal"/>
      </w:pPr>
      <w:r>
        <w:t xml:space="preserve">h) Por otra parte, firme la Sentencia, el día 3 de marzo de 1998 la parte actora presentó escrito instando incidente de no readmisión, al no haberse dado cumplimiento a lo establecido en el art. 281 LPL. Se citó a comparecencia a las partes, celebrándose el día 27 de abril de 1998. </w:t>
      </w:r>
    </w:p>
    <w:p w:rsidR="0025129F" w:rsidRDefault="0025129F" w:rsidP="0025129F">
      <w:pPr>
        <w:pStyle w:val="TextoNormal"/>
      </w:pPr>
      <w:r>
        <w:t xml:space="preserve">i) La providencia de 23 de febrero fue recurrida en reposición por las empresas solicitantes de amparo, aduciendo que, a través de un escrito de 11 de febrero, habían dado cumplimiento al requerimiento contenido en la providencia del día 2 de ese mes, de modo que el órgano judicial no podía hacer efectivo el aval como decidió en la resolución impugnada, cuya anulación se solicitaba. </w:t>
      </w:r>
    </w:p>
    <w:p w:rsidR="0025129F" w:rsidRDefault="0025129F" w:rsidP="0025129F">
      <w:pPr>
        <w:pStyle w:val="TextoNormal"/>
      </w:pPr>
      <w:r>
        <w:t xml:space="preserve">j) El Juzgado de lo Social, por Auto de 18 de septiembre de 1998, desestimó el indicado recurso al no constarle en autos la recepción del escrito de 11 de febrero al que se referían las ejecutadas. Por otra parte resolvía en el mismo Auto el incidente de no readmisión instado con fecha de 3 de marzo de 1998, declarando extinguida la relación laboral y fijando la indemnización y el importe de los salarios dejados de percibir que debían abonar las condenadas. </w:t>
      </w:r>
    </w:p>
    <w:p w:rsidR="0025129F" w:rsidRDefault="0025129F" w:rsidP="0025129F">
      <w:pPr>
        <w:pStyle w:val="TextoNormal"/>
      </w:pPr>
      <w:r>
        <w:t xml:space="preserve">k) Éstas formalizaron recurso de reposición contra el Auto de 18 de septiembre. Esgrimían, básicamente, una supuesta prescripción de la acción para instar la ejecución de la Sentencia firme de despido, puesto que el ejecutante habría actuado fuera del plazo de tres meses establecido en los arts. 277.2 y 3 LPL. En Auto de 26 de octubre de 1998 el recurso de reposición resultó desestimado, remitiéndose el juzgador a lo señalado en el recurrido. </w:t>
      </w:r>
    </w:p>
    <w:p w:rsidR="0025129F" w:rsidRDefault="0025129F" w:rsidP="0025129F">
      <w:pPr>
        <w:pStyle w:val="TextoNormal"/>
      </w:pPr>
      <w:r>
        <w:t xml:space="preserve">l) Las empresas ejecutadas anunciaron recurso de suplicación contra el Auto de 26 de octubre, con base en el art. 189.2 LPL, al haberse resuelto en él puntos sustanciales no controvertidos en el pleito y no decididos en la sentencia. En Auto de 18 de noviembre de 1998, el Juzgado de lo Social núm. 4 de Sevilla dispuso que no había lugar a tener por anunciado el recurso, y en su consecuencia declaró firme el Auto de 26 de octubre, al no darse ninguno de los supuestos que conforme al art. 189.2 LPL permiten recurrir en suplicación. Se advertía que contra la resolución dictada cabía recurso de queja ante la Sala de lo Social del Tribunal Superior de Justicia de Andalucía "en el término de los diez dias siguientes a la recepción del testimonio del presente auto que podrá ser reiterado de este Juzgado en el plazo de los seis dias siguientes al de su notificación". </w:t>
      </w:r>
    </w:p>
    <w:p w:rsidR="0025129F" w:rsidRDefault="0025129F" w:rsidP="0025129F">
      <w:pPr>
        <w:pStyle w:val="TextoNormal"/>
      </w:pPr>
      <w:r>
        <w:t xml:space="preserve">m) El Auto de 18 de noviembre fue, efectivamente, recurrido en queja, desestimada por la Sala de lo Social del Tribunal Superior de Justicia de Andalucía, en su sede de Sevilla, por Auto de 15 de febrero de 1999. En él se declaraba el recurso extemporáneo. Según indican los hechos de este último Auto, y puede verificarse en las actuaciones remitidas por ese Tribunal, la resolución de 18 de noviembre fue notificada a las empresas el 7 de diciembre de 1998 y el escrito del recurso de queja ingresó en la Sala de lo Social el día 23 de ese mismo mes, circunstancia temporal en la que la Sala se apoya para apreciar la extemporaneidad reseñada. En concreto dicen sus hechos: "Según es de ver en el folio 248 de los actuados de instancia y se reconoce en el escrito donde se formula el presente recurso, el auto al que éste se refiere se notificó a las empresas que suscriben aquél el 7/12/98, con entrega del testimonio que se ha acompañado, como se acordó en el auto recurrido, habiendo ingresado esta queja en la Sala el 23/12/98". Su razonamiento jurídico único señala: "De lo expuesto anteriormente resulta con claridad que las empresas recurrentes han superado con exceso el plazo de diez días hábiles desde la entrega del testimonio que </w:t>
      </w:r>
      <w:r>
        <w:lastRenderedPageBreak/>
        <w:t>se le advirtió en el auto combatido y establecen los arts. 1698 y 1700 de la Ley de Enjuiciamiento Civil, a la que se remite el art. 187 de la Ley de Procedimiento Laboral, de ahí que deba declararse la extemporaneidad de esta queja, con advertencia de que no cabe recurso alguno, a tenor del mentado art. 1700, como dijo el TS en el auto de 25/2/93".</w:t>
      </w:r>
    </w:p>
    <w:p w:rsidR="0025129F" w:rsidRDefault="0025129F" w:rsidP="0025129F">
      <w:pPr>
        <w:pStyle w:val="TextoNormal"/>
      </w:pPr>
    </w:p>
    <w:p w:rsidR="0025129F" w:rsidRDefault="0025129F" w:rsidP="0025129F">
      <w:pPr>
        <w:pStyle w:val="TextoNormal"/>
      </w:pPr>
      <w:r w:rsidRPr="0025129F">
        <w:rPr>
          <w:rStyle w:val="NumeroAFNegritaCaracter"/>
        </w:rPr>
        <w:t>3</w:t>
      </w:r>
      <w:r>
        <w:t>. La demanda de amparo se dirige contra el Auto de 15 de febrero de 1999, dictado por la Sala de lo Social del Tribunal Superior de Justicia de Andalucía en el recurso de queja núm. 4433/98. Las recurrentes aducen que el día 7 de diciembre de 1998 recibieron la notificación del Auto de 18 de noviembre, en el que se indicaba que contra el mismo cabía recurso de queja en el término de los diez días siguientes a la recepción del testimonio del Auto en un plazo máximo de seis desde su notificación. Aportan copia del Auto, con el sello original del Juzgado en el que se indica la fecha de 18 de noviembre de 1998, y que dicen haber recibido como notificación el día 7 de diciembre. Señalan que el siguiente día 15 solicitaron y recibieron la copia testimoniada, presentando seguidamente la queja en plazo (concretamente el día 23 de diciembre), esto es, dentro de los diez días posteriores a la entrega por el Juzgado del testimoniado. La Sala de lo Social, así pues, declarando extemporáneo el recurso de queja por error en el dies a quo, vulneró el art. 24.1 CE en su vertiente del derecho al recurso. Se nos solicita, en consecuencia, la anulación del Auto de 15 de febrero de 1999, teniendo por anunciado en tiempo y forma el recurso de queja formalizado.</w:t>
      </w:r>
    </w:p>
    <w:p w:rsidR="0025129F" w:rsidRDefault="0025129F" w:rsidP="0025129F">
      <w:pPr>
        <w:pStyle w:val="TextoNormal"/>
      </w:pPr>
    </w:p>
    <w:p w:rsidR="0025129F" w:rsidRDefault="0025129F" w:rsidP="0025129F">
      <w:pPr>
        <w:pStyle w:val="TextoNormal"/>
      </w:pPr>
      <w:r w:rsidRPr="0025129F">
        <w:rPr>
          <w:rStyle w:val="NumeroAFNegritaCaracter"/>
        </w:rPr>
        <w:t>4</w:t>
      </w:r>
      <w:r>
        <w:t>. El 23 de junio de 1999, la Sala Segunda del Tribunal Constitucional requirió al Juzgado de lo Social núm. 4 de Sevilla la remisión de certificación acreditativa de la fecha de notificación del Auto de 18 de noviembre de 1998, así como de la fecha de entrega del testimonio de dicho Auto a la representación procesal de los recurrentes a los fines de la interposición del recurso de queja. El día 9 de julio de 1999 se recibió escrito del Secretario del Juzgado de lo Social núm. 4 de Sevilla en el que certifica que "en los autos nº 290/97C de este órgano consta que el Auto de 18/11/98 se notifico a la representación procesal de las entidades Uralita, S.A., Tisa Instalaciones, S.A. y Contenur, S.A., el día 7-diciembre de 1998. Asimismo que no consta fecha de entrega del testimonio de dicho Auto a los fines de interposición de Recurso de Queja".</w:t>
      </w:r>
    </w:p>
    <w:p w:rsidR="0025129F" w:rsidRDefault="0025129F" w:rsidP="0025129F">
      <w:pPr>
        <w:pStyle w:val="TextoNormal"/>
      </w:pPr>
    </w:p>
    <w:p w:rsidR="0025129F" w:rsidRDefault="0025129F" w:rsidP="0025129F">
      <w:pPr>
        <w:pStyle w:val="TextoNormal"/>
      </w:pPr>
      <w:r w:rsidRPr="0025129F">
        <w:rPr>
          <w:rStyle w:val="NumeroAFNegritaCaracter"/>
        </w:rPr>
        <w:t>5</w:t>
      </w:r>
      <w:r>
        <w:t>. La Sala Segunda del Tribunal Constitucional, en providencia de 5 de octubre de 1999, acordó conocer del presente recurso de amparo y admitir a trámite la demanda presentada por la Procuradora doña Margarita López Jiménez, en nombre y representación de las entidades recurrentes. En aplicación de lo dispuesto en el art. 51 LOTC se solicitaba a los órganos judiciales de instancia y suplicación la remisión de las actuaciones y el emplazamiento de quienes hubieren sido parte en el procedimiento, excepto de las recurrentes en amparo, al objeto de que pudieran comparecer, si lo deseaban, para defender sus derechos.</w:t>
      </w:r>
    </w:p>
    <w:p w:rsidR="0025129F" w:rsidRDefault="0025129F" w:rsidP="0025129F">
      <w:pPr>
        <w:pStyle w:val="TextoNormal"/>
      </w:pPr>
    </w:p>
    <w:p w:rsidR="0025129F" w:rsidRDefault="0025129F" w:rsidP="0025129F">
      <w:pPr>
        <w:pStyle w:val="TextoNormal"/>
      </w:pPr>
      <w:r w:rsidRPr="0025129F">
        <w:rPr>
          <w:rStyle w:val="NumeroAFNegritaCaracter"/>
        </w:rPr>
        <w:t>6</w:t>
      </w:r>
      <w:r>
        <w:t>. La Sala Segunda de este Tribunal acordó, en providencia de 16 de diciembre de 1999, tener por personado y parte al Procurador de los Tribunales don Luciano Rosh Nadal, en nombre y representación de don Manuel Álvarez Amor, y, a tenor de lo dispuesto en el art. 52.1 LOTC, dar vista de las actuaciones recibidas a todas las partes personadas y al Ministerio Fiscal para que presentasen las alegaciones que estimaran pertinentes.</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7</w:t>
      </w:r>
      <w:r>
        <w:t>. El Ministerio Fiscal formula las suyas en escrito registrado el 18 de enero de 2000, interesando la estimación del presente recurso. Atendiendo a la certificación del Secretario del Juzgado de lo Social expedida a instancias de este Tribunal, según la cual no constaría fecha de entrega del testimonio del Auto del Juzgado de lo Social que tuvo por no anunciado el recurso de suplicación, la interpretación más favorable a la plena efectividad del derecho al acceso a los recursos obligaría a situar la entrega de la copia testimoniada en el último día del plazo de los seis concedidos por el Juzgado para retirarla, lo que determinaría que el inicio del plazo para formalizar la queja comenzara el día 16 de diciembre de 1998, resultando el recurso presentado en tiempo y forma.</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Por escrito de 8 de enero de 2000 se reciben las alegaciones de don Manuel Álvarez Amor. Sostiene, en primer término, que las recurrentes tuvieron una conducta procesal fraudulenta y abusiva, resistente al pago de las cantidades objeto de la condena. </w:t>
      </w:r>
    </w:p>
    <w:p w:rsidR="0025129F" w:rsidRDefault="0025129F" w:rsidP="0025129F">
      <w:pPr>
        <w:pStyle w:val="TextoNormal"/>
      </w:pPr>
      <w:r>
        <w:t>Por otro lado afirma que sólo cabe plantear en esta sede, visto que no se recurrieron en amparo directamente las resoluciones anteriores, las razones de la inadmisión del recurso de queja contenidas en el Auto que cerró la vía judicial. A mayor abundamiento, aduce que, conforme a las propias declaraciones de las recurrentes, éstas recogieron el testimonio fuera de plazo, puesto que en el de seis días que el Auto de 18 de noviembre ofrecía debía comprenderse el de la notificación, estando por ello precluido el plazo si se recibió el testimonio el día 15 de diciembre, como señalan los solicitantes de amparo. Finalmente denuncia que la demanda de amparo se interpuso indebidamente y respecto de derechos no susceptibles de amparo, ámbito excluido en el que, según parece, pretende comprender el derecho al recurso.</w:t>
      </w:r>
    </w:p>
    <w:p w:rsidR="0025129F" w:rsidRDefault="0025129F" w:rsidP="0025129F">
      <w:pPr>
        <w:pStyle w:val="TextoNormal"/>
      </w:pPr>
    </w:p>
    <w:p w:rsidR="0025129F" w:rsidRDefault="0025129F" w:rsidP="0025129F">
      <w:pPr>
        <w:pStyle w:val="TextoNormal"/>
      </w:pPr>
      <w:r w:rsidRPr="0025129F">
        <w:rPr>
          <w:rStyle w:val="NumeroAFNegritaCaracter"/>
        </w:rPr>
        <w:t>9</w:t>
      </w:r>
      <w:r>
        <w:t>. La parte recurrente formula sus alegaciones en escrito registrado el 13 de enero de 2000. Pone de manifiesto que el testimonio del Auto de 18 de noviembre le fue entregado el día 15 de diciembre, insistiendo en que el obrar negligente de quien entregó el testimonio sin dejar nota bastante del mismo en las actuaciones no puede perjudicarle privándole del recurso de queja al que tiene, por Ley, derecho. Añade que el testimonio que le fue entregado no llevaba fecha tras el protocolario "Corresponde bien y fielmente con su original al que me remito y para que conste y sirva de notificación en forma a las partes, expido la presente en Sevilla a" y que en las actuaciones obrantes en la Sala de lo Social y procedentes del Juzgado, folio 246, aparece un documento de contenido no idéntico al que le fue entregado en fecha 15 de diciembre, aunque coincidente con el notificado el día 7 de diciembre.</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fecha 18 de abril de 2002, se acordó señalar el día 22 siguiente, para deliberación y votación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presente recurso de amparo se interpone por Uralita, S.A., Tisa Instalaciones, S.A., y Contenur, S.A., contra el Auto de la Sala de lo Social, con sede en Sevilla, del Tribunal Superior de Justicia de Andalucía, de 15 de febrero de 1999, que desestima el recurso de queja (núm. 4433/98) incoado contra el Auto de 18 de noviembre de 1998 del Juzgado de lo Social núm. 4 de Sevilla. La denuncia de la parte recurrente se basa en entender </w:t>
      </w:r>
      <w:r>
        <w:lastRenderedPageBreak/>
        <w:t>que el Tribunal Superior de Justicia le privó de su derecho al recurso, vulnerando la tutela judicial efectiva en razón de un cómputo erróneo del plazo para la formalización del indicado recurso de queja. En ese sentido, a juicio de las actoras, el cómputo debía iniciarse el día siguiente a la fecha en la que dicen haber solicitado y recibido la copia testimoniada del Auto que pretendían recurrir en suplicación, el 16 de diciembre de 1998 por tanto. El Ministerio Fiscal, por su parte, atendiendo a la certificación del Secretario del Juzgado de lo Social expedida a instancias de este Tribunal, postula la interpretación más favorable a la plena efectividad del derecho al acceso a los recursos, situando la entrega de la copia testimoniada en el último día del plazo de los seis concedidos por el Juzgado en el Auto que tenía por no anunciada la suplicación, e imputando al Tribunal Superior de Justicia, en consecuencia, la vulneración de aquel derecho al declarar extemporánea la queja tras contar el plazo desde la fecha acreditada de la notificación, la de 7 de diciembre de 1998. La representación de don Manuel Álvarez Amor, trabajador que instó el proceso judicial en el que fueron condenadas las demandantes en amparo, interesa la desestimación del presente recurso en atención a las razones reseñadas en los antecedentes, señaladamente la recepción del testimonio fuera de plazo y la caracterización del derecho invocado como no susceptible de amparo.</w:t>
      </w:r>
    </w:p>
    <w:p w:rsidR="0025129F" w:rsidRDefault="0025129F" w:rsidP="0025129F">
      <w:pPr>
        <w:pStyle w:val="TextoNormal"/>
      </w:pPr>
    </w:p>
    <w:p w:rsidR="0025129F" w:rsidRDefault="0025129F" w:rsidP="0025129F">
      <w:pPr>
        <w:pStyle w:val="TextoNormal"/>
      </w:pPr>
      <w:r w:rsidRPr="0025129F">
        <w:rPr>
          <w:rStyle w:val="NumeroAFNegritaCaracter"/>
        </w:rPr>
        <w:t>2</w:t>
      </w:r>
      <w:r>
        <w:t>. Recordábamos en la reciente STC 22/2002, de 28 de enero,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0025129F" w:rsidRDefault="0025129F" w:rsidP="0025129F">
      <w:pPr>
        <w:pStyle w:val="TextoNormal"/>
      </w:pPr>
      <w:r>
        <w:t xml:space="preserve">El derecho a obtener una resolución sobre el fondo, como se sabe, rige tanto en el acceso a la primera instancia judicial como en la fase de recurso, resultando ambos estadios exponentes de los contenidos típicos de la tutela judicial efectiva, pese a lo que sin fundamento alguno apunta en su escrito de alegaciones la representación de don Manuel Álvarez Amor.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y 108/2000, de 5 de mayo), en la fase de recurso el principio pro actione pierde intensidad, pues el derecho al recurso no nace directamente de la Constitución, sino de lo que hayan dispuesto las leyes procesales, </w:t>
      </w:r>
      <w:r>
        <w:lastRenderedPageBreak/>
        <w:t>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ello,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proceda estimar como arbitraria o manifiestamente irrazonable (STC 133/2000, de 16 de mayo),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w:t>
      </w:r>
    </w:p>
    <w:p w:rsidR="0025129F" w:rsidRDefault="0025129F" w:rsidP="0025129F">
      <w:pPr>
        <w:pStyle w:val="TextoNormal"/>
      </w:pPr>
      <w:r>
        <w:t>Por lo que concierne a esta última posible causa determinante de la vulneración del art.  24.1 CE, por haber incurrido el órgano judicial en un "error patente" con efectos negativos en la esfera jurídica del litigante, tenemos dicho que procederá otorgar el amparo siempre que: a) el error no sea imputable a la negligencia de la parte, sino atribuible al órgano judicial; b) se trate de un yerro, predominantemente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Proyectando la referida doctrina al caso enjuiciado debemos comenzar recordando que el art.  1698 LEC-1881, aplicable por razón temporal y por la remisión que efectúa el art. 187 LPL, disponía que: "En el acto de la notificación del auto denegatorio se dará copia certificada del mismo al que hubiere intentado la preparación del recurso de casación [aquí, de suplicación] para que pueda recurrir en queja". En ausencia de toda evidencia de lo contrario - circunstancia que se mantiene tras la certificación remitida por el Secretario del Juzgado de lo Social a instancias de este Tribunal- el Tribunal Superior de Justicia se limitó a situar el inicio del plazo en la fecha de la notificación del Auto de 18 de noviembre de 1998, esto es, el 7 de diciembre siguiente, partiendo implícitamente del único presupuesto aceptable a falta de otros elementos que lo contradijeran, a saber, el cumplimiento de la Ley por parte del órgano a quo.  Frente a esa razonable apreciación fáctica, que, en principio, este Tribunal no puede revisar [art. 44.1 b) LOTC], no se ofrece fundamento alguno en el que hacer descansar el pretendido error de la Sala de lo Social, no siendo el mismo, por lo demás, inmediatamente verificable de forma incontrovertible a partir de las propias actuaciones judiciales. Bajo esas circunstancias, en efecto, de haberse efectivamente producido el error denunciado resultaría imputable a la parte recurrente el defecto </w:t>
      </w:r>
      <w:r>
        <w:lastRenderedPageBreak/>
        <w:t>de acreditación de aquél a los fines de la concesión del amparo que interesa.  Las circunstancias relatadas conducen, en suma, a estimar que el mencionado Auto de la Sala de lo Social, con sede en Sevilla, del Tribunal Superior de Justicia de Andalucía, de 15 de febrero de 1999, no incurrió en un error patente e incontrovertible que, al ser determinante de la decisión de inadmisión del recurso de queja, vulnerara el derecho a la tutela judicial efectiva de las recurrentes en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Denegar el amparo solicitado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2" w:name="SENTENCIA_2002_89"/>
      <w:r>
        <w:lastRenderedPageBreak/>
        <w:t>SENTENCIA 89/2002, de 22 de abril de 2002</w:t>
      </w:r>
    </w:p>
    <w:bookmarkEnd w:id="92"/>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ECLI:ES:TC:2002:89</w:t>
      </w:r>
    </w:p>
    <w:p w:rsidR="0025129F" w:rsidRDefault="0025129F" w:rsidP="0025129F">
      <w:pPr>
        <w:pStyle w:val="SntesisDescriptiva"/>
      </w:pPr>
    </w:p>
    <w:p w:rsidR="0025129F" w:rsidRDefault="0025129F" w:rsidP="0025129F">
      <w:pPr>
        <w:pStyle w:val="SntesisDescriptiva"/>
      </w:pPr>
      <w:r>
        <w:t>Recurso de amparo 2330/1999. Promovido por don José Marceliano Mateos Montero frente al Auto de la Sala Tercera del Tribunal Supremo que confirmó la denegación de la preparación de su recurso de casación en un contencioso contra la Consejería de Agricultura y Comercio de la Junta de Extremadura sobre adjudicación de una vivienda.</w:t>
      </w:r>
    </w:p>
    <w:p w:rsidR="0025129F" w:rsidRDefault="0025129F" w:rsidP="0025129F">
      <w:pPr>
        <w:pStyle w:val="SntesisDescriptiva"/>
      </w:pPr>
    </w:p>
    <w:p w:rsidR="0025129F" w:rsidRDefault="0025129F" w:rsidP="0025129F">
      <w:pPr>
        <w:pStyle w:val="SntesisAnaltica"/>
      </w:pPr>
      <w:r>
        <w:t>Supuesta vulneración del derecho a la tutela judicial efectiva (acceso al recurso legal): inadmisión de recurso de casación por no justificar la infracción de una norma no autonómica (STC 181/2001) tras la sucesión de Administraciones públicas.</w:t>
      </w:r>
    </w:p>
    <w:p w:rsidR="0025129F" w:rsidRDefault="0025129F" w:rsidP="0025129F">
      <w:pPr>
        <w:pStyle w:val="SntesisAnaltica"/>
      </w:pPr>
    </w:p>
    <w:p w:rsidR="0025129F" w:rsidRDefault="0025129F" w:rsidP="0025129F">
      <w:pPr>
        <w:pStyle w:val="Extracto"/>
      </w:pPr>
      <w:r>
        <w:t>1.</w:t>
      </w:r>
      <w:r>
        <w:tab/>
        <w:t>La inadmisión del recurso de casación no vulneró el derecho a la tutela judicial efectiva porque en el escrito de preparación del recurso, no sólo no se justificaba qué normas no emanadas de la Comunidad Autónoma hubieran sido relevantes y determinantes del fallo de la Sentencia recurrida, como exige el art. 96.2 LJCA de 1956 en la redacción dada por la Ley 10/1992, de 30 de abril, sino que ni tan siquiera se citaba qué norma de ese carácter resultaba infringida (STC 181/2001) [FJ 3].</w:t>
      </w:r>
    </w:p>
    <w:p w:rsidR="0025129F" w:rsidRDefault="0025129F" w:rsidP="0025129F">
      <w:pPr>
        <w:pStyle w:val="Extracto"/>
      </w:pPr>
    </w:p>
    <w:p w:rsidR="0025129F" w:rsidRDefault="0025129F" w:rsidP="0025129F">
      <w:pPr>
        <w:pStyle w:val="Extracto"/>
      </w:pPr>
      <w:r>
        <w:t>2.</w:t>
      </w:r>
      <w:r>
        <w:tab/>
        <w:t>Tampoco cabe apreciar vulneración del derecho fundamental por estimar que el defecto de incumplimiento de la carga prevista en el art. 96.2 LJCA es un vicio sustancial insubsanable (STC 181/2001) [FJ 3].</w:t>
      </w:r>
    </w:p>
    <w:p w:rsidR="0025129F" w:rsidRDefault="0025129F" w:rsidP="0025129F">
      <w:pPr>
        <w:pStyle w:val="Extracto"/>
      </w:pPr>
    </w:p>
    <w:p w:rsidR="0025129F" w:rsidRDefault="0025129F" w:rsidP="0025129F">
      <w:pPr>
        <w:pStyle w:val="Extracto"/>
      </w:pPr>
      <w:r>
        <w:t>3.</w:t>
      </w:r>
      <w:r>
        <w:tab/>
        <w:t>El Auto del Tribunal Supremo no incurrió en arbitrariedad o irrazonabilidad al considerar que el acto administrativo recurrido procedía de un órgano de la Comunidad Autónoma, y no del Estado, por la subrogación de los derechos y deberes producida por la transferencia de competencias [FJ 4].</w:t>
      </w:r>
    </w:p>
    <w:p w:rsidR="0025129F" w:rsidRDefault="0025129F" w:rsidP="0025129F">
      <w:pPr>
        <w:pStyle w:val="Extracto"/>
      </w:pPr>
    </w:p>
    <w:p w:rsidR="0025129F" w:rsidRDefault="0025129F" w:rsidP="0025129F">
      <w:pPr>
        <w:pStyle w:val="Extracto"/>
      </w:pPr>
      <w:r>
        <w:t>4.</w:t>
      </w:r>
      <w:r>
        <w:tab/>
        <w:t>A la peculiar caracterización del recurso de casación se une el carácter aún más excepcional de dicho recurso cuando se interpone frente a Sentencias dictadas en única instancia por las Salas de lo Contencioso-Administrativo de los Tribunales Superiores de Justicia respecto de actos y disposiciones de las Comunidades Autónomas (ATC 3/2000) [FJ 2].</w:t>
      </w:r>
    </w:p>
    <w:p w:rsidR="0025129F" w:rsidRDefault="0025129F" w:rsidP="0025129F">
      <w:pPr>
        <w:pStyle w:val="Extracto"/>
      </w:pPr>
    </w:p>
    <w:p w:rsidR="0025129F" w:rsidRDefault="0025129F" w:rsidP="0025129F">
      <w:pPr>
        <w:pStyle w:val="Extracto"/>
      </w:pPr>
      <w:r>
        <w:t>5.</w:t>
      </w:r>
      <w:r>
        <w:tab/>
        <w:t>Doctrina sobre el derecho de acceso a los recursos legales (SSTC 37/1995, 230/2001)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2330/99, promovido por don José Marceliano Mateos Montero, representado por la Procuradora de los Tribunales doña Alicia Casado Deleito y asistido por el Letrado don José López-Carrasco Morales, contra Auto de 19 de abril de 1999 dictado por la Sala Tercera del Tribunal Supremo en el recurso de queja 1374/98. Ha intervenido la Junta de Extremadura, representada por Letrado de su Servicio Jurídico, así como el Ministerio Fiscal. Ha sido Ponente el Magistrado don Guillermo Jiménez Sánchez,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Registro General de este Tribunal el día 1 de junio de 1999 la Procuradora doña Alicia Casado Deleito, en la representación indicada, presentó demanda de amparo contra el Auto del Tribunal Supremo del que se ha hecho mérito en el encabezamiento de esta Sentencia. Dicho Auto resolvió el recurso de queja presentado por el demandante de amparo contra otro anterior, de 3 de febrero de 1999, dictado por la Sala de lo Contencioso- Administrativo del Tribunal Superior de Justicia de Extremadura en el cual se acordó no tener por preparado el recurso de casación deducido contra la Sentencia dictada en el recurso contencioso- administrativo núm. 3341/94.</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tiene su origen en los siguientes hechos: </w:t>
      </w:r>
    </w:p>
    <w:p w:rsidR="0025129F" w:rsidRDefault="0025129F" w:rsidP="0025129F">
      <w:pPr>
        <w:pStyle w:val="TextoNormal"/>
      </w:pPr>
      <w:r>
        <w:t xml:space="preserve">a) Con fecha 27 de febrero de 1995 el demandante de amparo presentó recurso contencioso- administrativo contra "la Resolución de la Consejería de Agricultura y Comercio de la Junta de Extremadura de fecha 8 de septiembre de 1994", desestimatoria del recurso de reposición deducido contra la Resolución de la misma Consejería de abril de 1994, la cual denegaba, a su vez, la notificación al demandante de amparo de la Resolución de 24 de abril de 1981 sobre adjudicación de la casa núm. 1 de la Calle Virgen del Pilar del poblado protegido de Santa María de las Lomas a la Comunidad de Regantes de la margen izquierda del Pantano de Rosarito. </w:t>
      </w:r>
    </w:p>
    <w:p w:rsidR="0025129F" w:rsidRDefault="0025129F" w:rsidP="0025129F">
      <w:pPr>
        <w:pStyle w:val="TextoNormal"/>
      </w:pPr>
      <w:r>
        <w:t xml:space="preserve">b) Seguido el recurso por sus trámites, el 8 de enero de 1998 se dictó Sentencia declarando su inadmisibilidad por corresponder el conocimiento de la pretensión deducida a la jurisdicción civil. En el cuerpo de la Sentencia se entendía que "lo discutido en definitiva es la propiedad de esa vivienda y no siendo peculiar del orden contencioso- administrativo la confrontación de titulaciones para resolver a favor del titular de mejor derecho ni la declaración de nulidad de escrituras públicas (declaración implícita a la pretensión del recurrente), de conformidad con lo dispuesto en el art. 2-a) de la Ley Jurisdiccional, procede en definitiva declarar, de acuerdo con el art. 82-a) del mismo cuerpo legal, la inadmisibilidad del presente recurso contencioso- administrativo, sin entrar a analizar el resto de las cuestiones planteadas por tal motivo". </w:t>
      </w:r>
    </w:p>
    <w:p w:rsidR="0025129F" w:rsidRDefault="0025129F" w:rsidP="0025129F">
      <w:pPr>
        <w:pStyle w:val="TextoNormal"/>
      </w:pPr>
      <w:r>
        <w:lastRenderedPageBreak/>
        <w:t xml:space="preserve">c) Contra dicha Sentencia el demandante de amparo preparó recurso de casación ante el Tribunal Superior de Justicia mediante escrito en el cual, tras exponer la concurrencia de los requisitos legales precisos para que la Sentencia fuese recurrible en casación, terminaba diciendo que "el anunciado recurso se fundamentará en el núm. 4 del art. 95 de la citada Ley, es decir, por infracción de las normas del Ordenamiento Jurídico y de la jurisprudencia aplicables en la resolución de la cuestión litigiosa planteada". </w:t>
      </w:r>
    </w:p>
    <w:p w:rsidR="0025129F" w:rsidRDefault="0025129F" w:rsidP="0025129F">
      <w:pPr>
        <w:pStyle w:val="TextoNormal"/>
      </w:pPr>
      <w:r>
        <w:t>d) La Sala de lo Contencioso-Administrativo del Tribunal Superior de Justicia dictó Auto de 3 de febrero de 1998 acordando no tener por preparado el recurso de casación por ser la cuantía litigiosa inferior a 6.000.000 de pesetas, lo que fundaba en que el valor de la vivienda que solicitaba le fuese adjudicada era claramente inferior a dicha suma, "concretamente 195.825 pts., debiendo abonarse en realidad 170.042 pts.". Contra este Auto se interpuso recurso de queja ante el Tribunal Supremo, el cual fue desestimado mediante el Auto de 19 de abril de 1999 que constituye el objeto del presente recurso de amparo. En este Auto se razona que, aun cuando no existen elementos suficientes para corroborar las afirmaciones del Auto recurrido (el dictado por el Tribunal Superior de Justicia no teniendo por preparado el recurso) acerca de la cuantía del asunto, en relación con el valor de la vivienda en discusión, ya que el valor real de la vivienda adjudicada muy bien pudiera resultar indeterminado, existían razones de economía procesal que aconsejaban la desestimación del recurso de queja, pues, aun en el supuesto de que la cuantía litigiosa superase los seis millones de pesetas de acuerdo con lo alegado por el recurrente, el recurso de casación no sería admisible de conformidad con lo dispuesto en el art. 93.4 LJCA en relación con el art. 96.2 del mismo texto legal. A continuación el Auto del Tribunal Supremo realiza un estudio de los requisitos que ha de contener el escrito de preparación del recurso de casación en los supuestos en que el acto administrativo recurrido procede de las Comunidades Autónomas, llegando a la conclusión de que el recurrente no había cumplido las exigencias del art. 96.2, pues no había justificado que el recurso habría "de fundarse en la infracción de una norma no emanada de los órganos de la Comunidad Autónoma" que fuese "relevante y determinante del fallo de la Sentencia recurrida", toda vez que el escrito de preparación se reducía, en lo que ahora interesa, a afirmar que la Sentencia impugnada no se hallaba entre las excepciones relacionadas en el número 2 del mismo precepto (se alude al art. 93 LJCA) y a que "el anunciado recurso se fundamentará en el núm. 4 del art. 95 de la citada Ley, es decir, por infracción de las normas del Ordenamiento Jurídico y de la jurisprudencia aplicables en la resolución de la cuestión litigiosa planteada".</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demandante de amparo aduce vulneración del derecho a la tutela judicial efectiva (art. 24.1 CE), en su vertiente de derecho de acceso a los recursos legalmente establecidos. Comienza por razonar que la exigencia establecida en el art. 96.2 en relación con el 93.4 LJCA encuentra su fundamento en el art. 58.4 LOPJ, que estableció una única instancia para los recursos interpuestos contra los actos derivados de disposiciones de las Comunidades Autónomas, pero que tal finalidad no resultaba desconocida en el presente supuesto, toda vez que la normativa infringida al declarar la inadmisibilidad del recurso por quedar sometida la cuestión a la jurisdicción civil es, sin ningún género de duda, una disposición ajena a la Comunidad Autónoma de Extremadura; obviamente se trata de una infracción de los arts. 1 y 2 de la Ley de la jurisdicción contencioso-administrativa, en los que se regula el ámbito reservado al conocimiento de tal jurisdicción. Añade que la exigencia formal de justificar la infracción "de una norma no emanada de los órganos de la Comunidad Autónoma" sólo es aplicable respecto de Sentencias dictadas por los Tribunales Superiores de Justicia en relación con actos o disposiciones de tales Comunidades, pero no </w:t>
      </w:r>
      <w:r>
        <w:lastRenderedPageBreak/>
        <w:t>cuando el acto administrativo ha sido dictado por órganos independientes de éstas, como es el caso del IRYDA, que el 24 de abril de 1981 (fecha en la que se produjo la adjudicación de la vivienda a la Comunidad de Regantes) no dependía de las Comunidades Autónomas.</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Tercera de este Tribunal, mediante providencia de 11 de octubre de 1999 acordó, de conformidad con lo dispuesto en el número 3 del art. 50 LOTC, conceder al demandante de amparo y al Ministerio Fiscal el plazo común de diez días para que, con las aportaciones documentales que estimasen procedentes, formulasen alegaciones en relación con la carencia manifiesta de contenido constitucional de la demanda [art. 50.1 c)].</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El demandante de amparo evacuó el trámite conferido mediante escrito presentado el 5 de noviembre de 1999. </w:t>
      </w:r>
    </w:p>
    <w:p w:rsidR="0025129F" w:rsidRDefault="0025129F" w:rsidP="0025129F">
      <w:pPr>
        <w:pStyle w:val="TextoNormal"/>
      </w:pPr>
      <w:r>
        <w:t xml:space="preserve">En él, tras recoger los antecedentes del caso, reproduce la argumentación ya vertida en la demanda y precisa que el Auto recurrido en amparo le produjo indefensión en la medida en que, sin darle audiencia, aprecia una causa de inadmisión del recurso distinta a la acogida por el Tribunal Superior de Justicia. De haberse invocado por el órgano a quo dicha causa, en el recurso de queja se hubiera argumentado acerca de lo inadecuado de su apreciación, pues las exigencias del art. 9.2 LJCA sólo son aplicables a los supuestos previstos en el art. 93.4 de dicha norma, y el acto recurrido en vía contencioso-administrativa no procedía de la Comunidad Autónoma de Extremadura. Sabido es que el IRYDA era el 24 de abril de 1981 un organismo encuadrado en el Ministerio de Agricultura, y por lo tanto dependía de la Administración central, y que la trasferencia de competencias relativas a tal Instituto no se produjo sino con el Decreto 1080/85, de 5 de junio. En consecuencia no era preciso justificar que el recurso de casación habría de fundarse en norma no emanada de la Comunidad Autónoma, pues el recurso contencioso-administrativo se deducía en relación a un acto que no emanaba de aquélla. En función de tales circunstancias el recurrente estima que se vio imposibilitado de formular alegaciones, dada la apreciación por el Tribunal Supremo de la referida causa de inadmisión sin abrir un trámite de alegaciones previas. </w:t>
      </w:r>
    </w:p>
    <w:p w:rsidR="0025129F" w:rsidRDefault="0025129F" w:rsidP="0025129F">
      <w:pPr>
        <w:pStyle w:val="TextoNormal"/>
      </w:pPr>
      <w:r>
        <w:t xml:space="preserve">En segundo lugar concreta que la vulneración del derecho a la tutela judicial efectiva se habría producido por el Tribunal Supremo al no ponderar suficientemente la entidad real de las omisiones padecidas en el escrito de preparación del recurso de casación, pues la fundamentación legal de la Sentencia se encuentra con toda evidencia en los arts. 1 y 2 LJCA, de suerte que no era preciso justificar que la norma en la cual habría de basarse el recurso de casación tenía carácter estatal. Bastaba para ello la simple lectura de la Sentencia recurrida en casación. </w:t>
      </w:r>
    </w:p>
    <w:p w:rsidR="0025129F" w:rsidRDefault="0025129F" w:rsidP="0025129F">
      <w:pPr>
        <w:pStyle w:val="TextoNormal"/>
      </w:pPr>
      <w:r>
        <w:t>Finalmente aduce que, de mantenerse la Sentencia del Tribunal Superior de Justicia, el demandante no encontraría órgano judicial al cual acudir en solicitud de declaración de su derecho, pues la jurisdicción civil se ha declarado también incompetente para el conocimiento de la cuestión litigiosa, alegación que justifica aportando la correspondiente resolución judicial.</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Ministerio público formuló alegaciones mediante escrito presentado el 16 de noviembre de 1999. Tras extractar el íter procesal que condujo al dictado del Auto del Tribunal Supremo que ahora se recurre en amparo, recuerda la doctrina constitucional en relación con la cuestión del acceso a los recursos legalmente previstos. Alude a que tal jurisprudencia se funda en que en estos supuestos ha existido ya un pronunciamiento judicial </w:t>
      </w:r>
      <w:r>
        <w:lastRenderedPageBreak/>
        <w:t>sobre el objeto del proceso y a que el legislador es libre a la hora de configurar el sistema de recursos con una u otra amplitud. Se trata así de un derecho de configuración legal, en el que la interpretación de sus requisitos es materia de legalidad ordinaria que incumbe a Jueces y Tribunales, y con mayor razón al Tribunal Supremo, como órgano que culmina la organización judicial española, limitándose este Tribunal a la comprobación de que las resoluciones de inadmisión de un recurso no son radicalmente formalistas y, en definitiva, sin una auténtica base legal. La aplicación de estos criterios al caso concreto lleva al Fiscal a entender que la demanda carece manifiestamente de contenido, porque lo único que se cuestiona en ella es el criterio de la Sala Tercera del Tribunal Supremo, según el cual ha de ser objeto de inclusión expresa en el escrito de su preparación el extremo de que el recurso de casación habrá de fundarse en infracción de normas no emanadas de la Comunidad Autónoma que fueron relevantes y determinantes en el fallo de la Sentencia. Tal cuestión no ha sido apreciada por el Tribunal Supremo con un formalismo enervante, pues para llegar a la conclusión sostenida se ha efectuado una interpretación sistemática y finalista de las normas que está suficientemente razonada y fundada, lo que descarta la vulneración del derecho fundamental aducido.</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providencia de la Sala Segunda, de fecha 27 de enero de 2000, se acordó la admisión a trámite de la demanda de amparo. Por ello, en aplicación de lo dispuesto en el art. 51 LOTC, se acordó dirigir atenta comunicación a la Sección Primera de la Sala Tercera del Tribunal Supremo y a la Sala de lo Contencioso-Administrativo del Tribunal Superior de Justicia de Extremadura a fin de que, en el plazo de 10 días, remitiesen certificación o copia adverada de las actuaciones correspondientes al recurso de queja núm. 1364/98 y al recurso contencioso- administrativo núm. 3341/94, respectivamente, debiendo emplazarse por el Tribunal Superior de Justicia a quienes hubieran sido parte en el proceso, a excepción del recurrente en amparo, a fin de que pudieran comparecer en este recurso, si así lo estimasen conveniente, en el término de diez días.</w:t>
      </w:r>
    </w:p>
    <w:p w:rsidR="0025129F" w:rsidRDefault="0025129F" w:rsidP="0025129F">
      <w:pPr>
        <w:pStyle w:val="TextoNormal"/>
      </w:pPr>
    </w:p>
    <w:p w:rsidR="0025129F" w:rsidRDefault="0025129F" w:rsidP="0025129F">
      <w:pPr>
        <w:pStyle w:val="TextoNormal"/>
      </w:pPr>
      <w:r w:rsidRPr="0025129F">
        <w:rPr>
          <w:rStyle w:val="NumeroAFNegritaCaracter"/>
        </w:rPr>
        <w:t>8</w:t>
      </w:r>
      <w:r>
        <w:t>. El Letrado de la Junta de Extremadura, en la representación que ostenta por ministerio de la Ley, compareció en el presente recurso de amparo a través de escrito presentado en el Registro General de este Tribunal el 24 de febrero de 2000.</w:t>
      </w:r>
    </w:p>
    <w:p w:rsidR="0025129F" w:rsidRDefault="0025129F" w:rsidP="0025129F">
      <w:pPr>
        <w:pStyle w:val="TextoNormal"/>
      </w:pPr>
    </w:p>
    <w:p w:rsidR="0025129F" w:rsidRDefault="0025129F" w:rsidP="0025129F">
      <w:pPr>
        <w:pStyle w:val="TextoNormal"/>
      </w:pPr>
      <w:r w:rsidRPr="0025129F">
        <w:rPr>
          <w:rStyle w:val="NumeroAFNegritaCaracter"/>
        </w:rPr>
        <w:t>9</w:t>
      </w:r>
      <w:r>
        <w:t>. La Sala Segunda, mediante providencia de 16 de marzo de 2000, acordó tener por personado y parte al Letrado de la Junta de Extremadura en la representación que ostenta, así como dar vista de las actuaciones recibidas a las partes personadas y al Ministerio Fiscal por término de veinte días, dentro de los cuales podrían presentar las alegaciones que estimasen pertinentes (art. 52.1 LOTC).</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demandante de amparo presentó sus alegaciones el 12 de abril de 2000, reiterando la argumentación ya vertida en la demanda y en el escrito presentado con ocasión de la apertura del trámite de alegaciones establecido en el art. 50.3 LOTC a que antes nos hemos referido. </w:t>
      </w:r>
    </w:p>
    <w:p w:rsidR="0025129F" w:rsidRDefault="0025129F" w:rsidP="0025129F">
      <w:pPr>
        <w:pStyle w:val="TextoNormal"/>
      </w:pPr>
      <w:r>
        <w:t xml:space="preserve">Por su parte la Junta de Extremadura formuló alegaciones en escrito presentado ante el Registro General de este Tribunal el 5 de abril de 2000. A través de ellas sostiene que el demandante trata de otorgar relevancia constitucional a una cuestión que es de legalidad ordinaria. Tal cuestión está definitivamente resuelta desde la STC 37/1995, del Pleno de este Tribunal, según la cual el principio interpretativo pro actione no rige con la misma </w:t>
      </w:r>
      <w:r>
        <w:lastRenderedPageBreak/>
        <w:t xml:space="preserve">intensidad cuando se trata del acceso a los recursos legalmente previstos que en los casos de primer acceso a la jurisdicción, de suerte que el canon de control de las resoluciones de inadmisión de un recurso no es otro que el de la absoluta arbitrariedad en la selección de las normas aplicables, la completa irrazonabilidad en su interpretación o la existencia de un error patente en su aplicación a las circunstancias del caso. En el Auto impugnado en amparo el Tribunal Supremo realiza una interpretación conjunta de los arts. 93.4 y 96.2 de la Ley de la jurisdicción contencioso-administrativa de 27 de diciembre de 1957 que le conduce a la inadmisión del recurso, no por exigir una formalidad injustificada en el escrito de interposición, sino porque tal escrito carecía de los requisitos de fundamentación exigidos normativamente. </w:t>
      </w:r>
    </w:p>
    <w:p w:rsidR="0025129F" w:rsidRDefault="0025129F" w:rsidP="0025129F">
      <w:pPr>
        <w:pStyle w:val="TextoNormal"/>
      </w:pPr>
      <w:r>
        <w:t>Finalmente el Ministerio público evacuó el trámite de alegaciones que le había sido conferido mediante escrito presentado el 12 de abril de 2000, en el que insistía en el criterio ya expresado de la carencia manifiesta de contenido constitucional de la demanda de amparo, lo que en este momento procesal le condujo a solicitar la desestimación de la demanda.</w:t>
      </w:r>
    </w:p>
    <w:p w:rsidR="0025129F" w:rsidRDefault="0025129F" w:rsidP="0025129F">
      <w:pPr>
        <w:pStyle w:val="TextoNormal"/>
      </w:pPr>
    </w:p>
    <w:p w:rsidR="0025129F" w:rsidRDefault="0025129F" w:rsidP="0025129F">
      <w:pPr>
        <w:pStyle w:val="TextoNormal"/>
      </w:pPr>
      <w:r w:rsidRPr="0025129F">
        <w:rPr>
          <w:rStyle w:val="NumeroAFNegritaCaracter"/>
        </w:rPr>
        <w:t>11</w:t>
      </w:r>
      <w:r>
        <w:t>. Por providencia de 18 de abril de 2002 se señaló para la deliberación y votación de la presente Sentencia el día 22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cuestión suscitada en el presente recurso de amparo es si se vulneró o no la tutela judicial efectiva del demandante de amparo en la vertiente de este derecho relativa al acceso a los recursos legalmente establecidos. La resolución judicial a la que directamente se imputa la vulneración del derecho fundamental es el Auto de la Sala Tercera del Tribunal Supremo de 19 de abril de 1999 que desestimó el recurso de queja deducido contra el Auto de 3 de febrero de 1999, dictado por la Sala de lo Contencioso-Administrativo del Tribunal Superior de Justicia de Extremadura, mediante el cual se acordaba no tener por preparado el recurso de casación deducido contra la Sentencia dictada en el recurso contencioso-administrativo núm. 3341/94. Tal Sentencia había declarado inadmisible el recurso por estimar que el orden jurisdiccional competente para conocer de las pretensiones deducidas era el civil y no el contencioso- administrativo, y al pretender ser preparado el recurso de casación la Sala de instancia estimó que no podía accederse a ello porque la cuantía del recurso no superaba los 6.000.00 de pesetas establecida en el entonces vigente art. 93.2.b de la Ley reguladora de la jurisdicción contencioso-administrativa, de 1956. Al ser recurrido en queja el Auto del Tribunal Superior de Justicia de Extremadura el Tribunal Supremo dictó el Auto ahora recurrido en el cual, pese a entenderse que la cuantía del recurso pudiera resultar indeterminada, lo que conduciría a que la Sentencia fuese recurrible en casación, se declaró que el recurso era igualmente inadmisible porque en el escrito de su preparación no se justificaba, conforme exigía el art. 96.2 de la indicada Ley, que el recurso habría de fundarse "en la infracción de una norma no emanada de los órganos de la Comunidad Autónoma que fuese relevante y determinante del fallo de la Sentencia recurrida".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Para abordar tal cuestión hemos de partir de nuestra consolidada doctrina sobre el canon de fiscalización de las resoluciones por las que se inadmite un determinado recurso previsto legalmente. En la reciente STC 230/2001, de 26 de noviembre, recordábamos </w:t>
      </w:r>
      <w:r>
        <w:lastRenderedPageBreak/>
        <w:t>que, desde la inicial STC 37/1995, de 7 de febrero, venimos afirmando de manera reiterada (por todas, SSTC 184/2000, de 10 de julio, FJ 4; 258/2000, de 30 de octubre; 295/2000, de 11 de diciembre; o 181/2001, de 17 de septiembre)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w:t>
      </w:r>
    </w:p>
    <w:p w:rsidR="0025129F" w:rsidRDefault="0025129F" w:rsidP="0025129F">
      <w:pPr>
        <w:pStyle w:val="TextoNormal"/>
      </w:pPr>
      <w:r>
        <w:t>Expresado en otros términos, el sistema de recursos "se incorpora a la tutela judicial en la configuración que le otorga cada una de las leyes reguladoras de los diversos órdenes jurisdiccionales"(STC 119/1998, de 4 de junio, FJ 1); remisión que, en el caso que analizamos, ha de entenderse hecha a la configuración efectuada por la LJCA de 1956. Las referidas leyes pueden establecer distintos requisitos procesales para la admisión de los recursos, cuya interpretación es competencia exclusiva de los Jueces y Tribunales ordinarios. Y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está sometido en su admisión a rigurosos requisitos, incluso de naturaleza formal" (SSTC 119/1998, de 4 de junio, FJ 2, y 160/1996, de 15 de octubre, FJ 3).</w:t>
      </w:r>
    </w:p>
    <w:p w:rsidR="0025129F" w:rsidRDefault="0025129F" w:rsidP="0025129F">
      <w:pPr>
        <w:pStyle w:val="TextoNormal"/>
      </w:pPr>
      <w:r>
        <w:t>Esta regla general de la libertad judicial en la interpretación de la legalidad ordinaria no tiene más limitaciones, a la luz del art. 24.1 CE, en su dimensión del derecho de acceso a los recursos, que las derivadas del canon del error patente, la arbitrariedad o la irrazonabilidad lógica.  Y, salvo que en una decisión judicial concreta concurra alguna de estas circunstancias de manera manifiesta, este Tribunal no puede intervenir, puesto que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(STC 37/1995)" (por todas, SSTC 94/2000, de 10 de abril, FJ 6; y 181/2001, de 17 de septiembre, FJ 4).</w:t>
      </w:r>
    </w:p>
    <w:p w:rsidR="0025129F" w:rsidRDefault="0025129F" w:rsidP="0025129F">
      <w:pPr>
        <w:pStyle w:val="TextoNormal"/>
      </w:pPr>
      <w:r>
        <w:t>Lo determinante, por tanto, para decidir si la queja de la recurrente tiene o no relevancia constitucional consiste en comprobar si el Auto del Tribunal Supremo objeto de este recurso de amparo, al inadmitir el recurso de casación por considerar que el escrito de preparación no respeta las exigencias procesales contenidas en los arts. 93.4 y 96.2 LJCA de 1956 (en la redacción dada a los mismos por la Ley 10/1992, de 30 de abril), incurre de manera manifiesta en error material, arbitrariedad o irrazonabilidad lógica. Sobre tal concreta problemática este Tribunal ya ha tenido la oportunidad de pronunciarse, al menos, en los Autos 2/2000, de 10 de enero, y 3/2000, de 10 de enero, y en las SSTC 181/2001, de 17 de septiembre, y 230/2001, de 26 de noviembre, descartando que el proceder del Tribunal Supremo en esta cuestión viole el art.  24.1 CE, pues la decisión del Tribunal Supremo podrá, tal vez, discutirse desde la perspectiva de la legalidad ordinaria, pero no se puede afirmar que sea patentemente arbitraria, errónea o irrazonable desde el punto de vista lógico.</w:t>
      </w:r>
    </w:p>
    <w:p w:rsidR="0025129F" w:rsidRDefault="0025129F" w:rsidP="0025129F">
      <w:pPr>
        <w:pStyle w:val="TextoNormal"/>
      </w:pPr>
      <w:r>
        <w:t xml:space="preserve">Coadyuva decisivamente a que lleguemos a la anterior conclusión la propia naturaleza del recurso en cuyo seno se dicta la resolución judicial impugnada. Nos encontramos, en </w:t>
      </w:r>
      <w:r>
        <w:lastRenderedPageBreak/>
        <w:t>efecto, ante un Auto, desestimatorio de un recurso de queja, que aprecia una causa de inadmisión de un recurso, como el de casación, que, según hemos tenido ocasión de recordar en distintas ocasiones, fue instaurado: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(SSTC 37/1995, de 7 de febrero, FJ 5; 125/1997, de 1 de julio, FJ 4; 197/1999, de 25 de octubre, FJ 3). Es más, a la peculiar caracterización del recurso de casación: "se une el carácter aún más excepcional de dicho recurso cuando se interpone frente a Sentencias dictadas en única instancia por las Salas de lo Contencioso-Administrativo de los Tribunales Superiores de Justicia respecto de actos y disposiciones de las Comunidades Autónomas (art. 93.4 LJCA). En estos casos la mayor restricción en el acceso a la vía casacional responde, como es evidente, a la posición constitucional de los Tribunales Superiores de Justicia (art. 152.1 CE), posición que, a su vez, justifica las exigencias del tan citado art. 96.2 LJCA, destinadas a que tanto el Tribunal de instancia, en fase de preparación del recurso, como el Tribunal Supremo, en fase de interposición [en nuestro supuesto al resolver un recurso de queja contra la denegación de la preparación del recurso], verifiquen a limine si se da o no el presupuesto sobreañadido para la admisión de estos recursos, a saber: que en el enjuiciamiento sobre disposiciones o actos de las Comunidades Autónomas se hayan infringido normas no emanadas de los órganos de dichas Comunidades" (ATC 3/2000, de 10 de enero, FJ 4).</w:t>
      </w:r>
    </w:p>
    <w:p w:rsidR="0025129F" w:rsidRDefault="0025129F" w:rsidP="0025129F">
      <w:pPr>
        <w:pStyle w:val="TextoNormal"/>
      </w:pPr>
      <w:r>
        <w:t>Esta naturaleza tan particular del recurso que analizamos exige una especial diligencia y pericia técnica por parte de la asistencia letrada de los recurrentes que decida utilizar esta vía, puesto que debe conocer necesariamente las exigencias procesales establecidas en las leyes para este tipo de recurso, así como la interpretación que de dichas exigencias (en tanto que cuestiones de legalidad ordinaria) hace el Tribunal Supremo, y ello tanto más cuanto que exista una doctrina consolidada al respecto, como ocurre en el caso de la interpretación que del contenido de los arts.  93.4 y 96.2 LJCA de 1956 (en la redacción dada a los mismos por la Ley 10/1992) ha venido haciendo la Sala Tercera del Tribunal Supremo desde mucho antes de que la parte ahora recurrente en amparo presentase su escrito de preparación del recurso de casación el 14 de abril de 1998. En el Auto de inadmisión del recurso de casación de 17 de mayo de 1999, objeto de la presente queja constitucional, la Sección Primera de la Sala Tercera del Tribunal Supremo cita, en el fundamento jurídico tercero, como botón de muestra de esta doctrina "por todos [el] Auto de 18 de septiembre de 1995".</w:t>
      </w:r>
    </w:p>
    <w:p w:rsidR="0025129F" w:rsidRDefault="0025129F" w:rsidP="0025129F">
      <w:pPr>
        <w:pStyle w:val="TextoNormal"/>
      </w:pPr>
    </w:p>
    <w:p w:rsidR="0025129F" w:rsidRDefault="0025129F" w:rsidP="0025129F">
      <w:pPr>
        <w:pStyle w:val="TextoNormal"/>
      </w:pPr>
      <w:r w:rsidRPr="0025129F">
        <w:rPr>
          <w:rStyle w:val="NumeroAFNegritaCaracter"/>
        </w:rPr>
        <w:t>3</w:t>
      </w:r>
      <w:r>
        <w:t>. La aplicación de la anterior doctrina ha de conducirnos a denegar el amparo solicitado.</w:t>
      </w:r>
    </w:p>
    <w:p w:rsidR="0025129F" w:rsidRDefault="0025129F" w:rsidP="0025129F">
      <w:pPr>
        <w:pStyle w:val="TextoNormal"/>
      </w:pPr>
      <w:r>
        <w:t>En efecto, el examen de las actuaciones judiciales revela que en el escrito de preparación del recurso de casación, no sólo no se justificaba que normas no emanadas de la Comunidad Autónoma hubieran sido relevantes y determinantes del fallo de la Sentencia recurrida, como exige el art. 96.2 LJCA de 1956 en la redacción dada por la Ley 10/1992, de 30 de abril, sino que ni tan siquiera se citaba qué norma de ese carácter resultaba in</w:t>
      </w:r>
      <w:r>
        <w:lastRenderedPageBreak/>
        <w:t>fringida. En el caso que nos ocupa el demandante de amparo entiende que no era precisa tal justificación, pues, dado que la Sentencia recurrida en casación declaraba la inadmisibilidad del recurso por estimar competente para resolver el litigio planteado a la jurisdicción civil, la mera lectura de esta resolución judicial revelaba que el recurso de casación habría de fundarse en la vulneración de los arts. 1 y 2 LJCA de 1956, porque en ellos se delimita el ámbito de lo reservado al conocimiento de la jurisdicción contencioso-administrativa. Ahora bien, tal objeción no hace variar las cosas, pues la exigencia legal de justificar las normas no autonómicas relevantes y determinantes del fallo comprende la necesidad de que el recurso se funde en la infracción de dichas normas. Tal apreciación resulta corroborada por la exigencia añadida en el art. 86.4 de la nueva Ley reguladora de la jurisdicción contencioso- administrativa (Ley 29/1998, de 13 de julio), semejante, pero no idéntico, al 93.4 de la Ley precedente, según el cual el precepto estatal o comunitario europeo en que se pretenda fundar el recuso deberá haber sido invocado oportunamente en el proceso o considerado por la Sala sentenciadora. Es más, este Tribunal, en su STC 230/2001, de 26 de noviembre, ha considerado que no vulnera el derecho fundamental invocado en la presente demanda por el solicitante de amparo la inadmisión de un recurso de casación como consecuencia de haberse omitido la cita y la justificación del precepto no estatal en el cual se pretende fundar el recurso de casación, pese a que en el momento de dictarse la resolución de inadmisión, al haberse presentado ya el escrito de interposición, constaba al Tribunal Supremo cuál habría de ser el fundamento del recurso.</w:t>
      </w:r>
    </w:p>
    <w:p w:rsidR="0025129F" w:rsidRDefault="0025129F" w:rsidP="0025129F">
      <w:pPr>
        <w:pStyle w:val="TextoNormal"/>
      </w:pPr>
      <w:r>
        <w:t>Y la aplicación de la doctrina reseñada en el fundamento jurídico precedente parece especialmente obligada dado que, como ya hemos resueltamente mantenido, "tampoco cabe apreciar vulneración del derecho a la tutela judicial efectiva sin indefensión (art. 24.1 CE) en la interpretación sostenida por la Sala Tercera del Tribunal Supremo acerca de la no subsanabilidad del defecto de incumplimiento de la carga prevista en el art. 96.2 LJCA por estimar que se trata de un vicio sustancial insubsanable y que el art. 129 LJCA sólo permite subsanar los defectos formales, no los de carácter material o sustancial" (STC 181/2001, FJ 7; ATC 3/2000, FJ 5).</w:t>
      </w:r>
    </w:p>
    <w:p w:rsidR="0025129F" w:rsidRDefault="0025129F" w:rsidP="0025129F">
      <w:pPr>
        <w:pStyle w:val="TextoNormal"/>
      </w:pPr>
    </w:p>
    <w:p w:rsidR="0025129F" w:rsidRDefault="0025129F" w:rsidP="0025129F">
      <w:pPr>
        <w:pStyle w:val="TextoNormal"/>
      </w:pPr>
      <w:r w:rsidRPr="0025129F">
        <w:rPr>
          <w:rStyle w:val="NumeroAFNegritaCaracter"/>
        </w:rPr>
        <w:t>4</w:t>
      </w:r>
      <w:r>
        <w:t>. En una segunda línea argumental el demandante de amparo viene a sostener que se le produjo indefensión al no habérsele dado oportunidad de alegar sobre la concurrencia de la causa de inadmisibilidad del recurso de casación acogida por el Auto del Tribunal Supremo, que, como se indicó, era distinta de la apreciada por el Tribunal Superior de Justicia al denegar la preparación del recurso de casación. Si hubiera dispuesto de tal ocasión habría expuesto su criterio sobre la inaplicabilidad al caso de los arts. 93.4 y 96.2 LJCA, porque el acto que se recurría había sido dictado por el IRYDA antes de la trasferencia a la Comunidad Autónoma de las competencias ejercidas por aquel organismo estatal, de suerte que el acto recurrido no procedía de un órgano de la Comunidad Autónoma, supuesto al que se restringía la aplicación de los preceptos últimamente citados.</w:t>
      </w:r>
    </w:p>
    <w:p w:rsidR="0025129F" w:rsidRDefault="0025129F" w:rsidP="0025129F">
      <w:pPr>
        <w:pStyle w:val="TextoNormal"/>
      </w:pPr>
      <w:r>
        <w:t xml:space="preserve">Esta queja tampoco puede ser acogida, toda vez que la audiencia previa sobre la concurrencia de la causa de inadmisión solo está prevista en los supuestos contemplados en el art.  100.2.c, y no en los que son objeto de la regulación contenida en el art. 100.2.b, a los que hay que reconducir el planteado en el caso sometido a nuestro enjuiciamiento. Tal como afirmábamos en las SSTC 160/1996, de 15 de octubre, y 181/2001, de 17 de septiembre, no es arbitrario ni irrazonable afirmar que el trámite de audiencia previsto en el art. 100.2.c LJCA de 1956 no se aplica a las inadmisiones por incumplimiento de los arts. 93.4 y 96.2 de la repetida Ley. Es más, tampoco habría obstáculo en que la causa de inadmisión resultase apreciada, tras la sustanciación de la totalidad del recurso de casación, en </w:t>
      </w:r>
      <w:r>
        <w:lastRenderedPageBreak/>
        <w:t>la Sentencia dictada en él, tal como sucedió en el caso resuelto por nuestra STC 230/2001, de 26 de noviembre.</w:t>
      </w:r>
    </w:p>
    <w:p w:rsidR="0025129F" w:rsidRDefault="0025129F" w:rsidP="0025129F">
      <w:pPr>
        <w:pStyle w:val="TextoNormal"/>
      </w:pPr>
      <w:r>
        <w:t>La cuestión se desplaza por tanto a si resulta arbitraria e irrazonable la aplicación al caso de los arts. 93.4 y 96.2 LJCA de 1956 al considerar que el acto administrativo recurrido procedía de un órgano de la Comunidad Autónoma de Extremadura, pese a que la adjudicación de la vivienda que en definitiva se recurría en vía contencioso- administrativa había sido realizada por el IRYDA antes de que se produjese la transferencia a la Comunidad Autónoma de las competencias ejercidas por tal organismo.  Aunque tal perspectiva no es exactamente la empleada por el demandante de amparo, que, en las alegaciones efectuadas en el trámite abierto al amparo del art.  50.3 LOTC, utiliza esta argumentación con el exclusivo fin de ilustrar la indefensión en que, a su juicio, le situó la apreciación de la causa de inadmisión inaudita parte, tampoco puede sostenerse que el Auto del Tribunal Supremo recurrido ahora en amparo incurriese en arbitrariedad o irrazonabilidad al hacer aplicación de los arts. 93.4 y 96.2 LJCA de 1956.</w:t>
      </w:r>
    </w:p>
    <w:p w:rsidR="0025129F" w:rsidRDefault="0025129F" w:rsidP="0025129F">
      <w:pPr>
        <w:pStyle w:val="TextoNormal"/>
      </w:pPr>
      <w:r>
        <w:t>En efecto, basta observar que el propio demandante de amparo, al interponer el recurso contencioso-administrativo, identifica el acto recurrido como dictado por la Consejería de Agricultura y Comercio de la Junta de Extremadura. Lo mismo sucede en el encabezamiento del escrito preparando el recurso de casación contra la Sentencia del Tribunal Superior de Justicia de Extremadura y en el recurso de queja deducido contra el Auto en el que se denegó tal preparación.  A ello ha de añadirse que, pese a que en la demanda y en la Sentencia del Tribunal Superior de Justicia se hiciese referencia a la adjudicación de la vivienda por parte del IRYDA, la transferencia de las competencias del Estado a la Comunidad Autónoma, realizada con anterioridad a la interposición del recurso contencioso-administrativo del que este proceso de amparo trae causa, produjo lo que el Tribunal Supremo ha calificado en alguna ocasión (STS de 21 de julio de 2001) como una verdadera sucesión de Administraciones (prevista en el artículo 21.1 de la propia Ley 12/1983 con referencia a las concesiones y contratos administrativos pero que es aplicable a la total operación de transferencia), en virtud de la cual se producirá "la subrogación en los derechos y deberes de la Administración estatal ... por la Administración de la Comunidad autónoma correspondiente".  En consecuencia, aunque cupiese otra interpretación de la legalidad ordinaria, lo cierto es que la aplicación por el Tribunal Supremo de tal legalidad no es irrazonable ni arbitraria ni incurre en error patente, por lo que no cabe afirmar que se haya vulnerado el derecho fundamental aducido por el demandante.</w:t>
      </w:r>
    </w:p>
    <w:p w:rsidR="0025129F" w:rsidRDefault="0025129F" w:rsidP="0025129F">
      <w:pPr>
        <w:pStyle w:val="TextoNormal"/>
      </w:pPr>
    </w:p>
    <w:p w:rsidR="0025129F" w:rsidRDefault="0025129F" w:rsidP="0025129F">
      <w:pPr>
        <w:pStyle w:val="TextoNormal"/>
      </w:pPr>
      <w:r w:rsidRPr="0025129F">
        <w:rPr>
          <w:rStyle w:val="NumeroAFNegritaCaracter"/>
        </w:rPr>
        <w:t>5</w:t>
      </w:r>
      <w:r>
        <w:t>. Finalmente no cabe sino calificar de retórica la alegación de indefensión en la cual, según la demanda de amparo, se habría colocado al demandante como consecuencia de que, al devenir firme la declaración de incompetencia del orden contencioso-administrativo, no tendría órgano judicial donde acudir en solicitud de declaración de su derecho al haberse declarado la jurisdicción civil también incompetente para el conocimiento de la cuestión litigiosa, ya que nuestro Ordenamiento jurídico (arts. 42 y siguientes LOPJ) ofrece cauces precisos y aptos para evitar la denunciada denegación de acceso a la justicia que no consta que se hayan utilizado.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Desestimar el recurso amparo presentado por don José Marceliano Mateos Montero.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3" w:name="SENTENCIA_2002_90"/>
      <w:r>
        <w:lastRenderedPageBreak/>
        <w:t>SENTENCIA 90/2002, de 22 de abril de 2002</w:t>
      </w:r>
    </w:p>
    <w:bookmarkEnd w:id="93"/>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ECLI:ES:TC:2002:90</w:t>
      </w:r>
    </w:p>
    <w:p w:rsidR="0025129F" w:rsidRDefault="0025129F" w:rsidP="0025129F">
      <w:pPr>
        <w:pStyle w:val="SntesisDescriptiva"/>
      </w:pPr>
    </w:p>
    <w:p w:rsidR="0025129F" w:rsidRDefault="0025129F" w:rsidP="0025129F">
      <w:pPr>
        <w:pStyle w:val="SntesisDescriptiva"/>
      </w:pPr>
      <w:r>
        <w:t>Recurso de amparo 2508/1999. Promovido por don Indalecio Guerra González frente a los Autos de la Sala de lo Social del Tribunal Superior de Justicia de Extremadura y de un Juzgado de lo Social de Badajoz que inadmitieron su recurso de suplicación en un litigio sobre reclamación de cantidad.</w:t>
      </w:r>
    </w:p>
    <w:p w:rsidR="0025129F" w:rsidRDefault="0025129F" w:rsidP="0025129F">
      <w:pPr>
        <w:pStyle w:val="SntesisDescriptiva"/>
      </w:pPr>
    </w:p>
    <w:p w:rsidR="0025129F" w:rsidRDefault="0025129F" w:rsidP="0025129F">
      <w:pPr>
        <w:pStyle w:val="SntesisAnaltica"/>
      </w:pPr>
      <w:r>
        <w:t>Vulneración del derecho a la tutela judicial efectiva (acceso al recurso legal): presentación de escrito en otro Juzgado el último día del plazo.</w:t>
      </w:r>
    </w:p>
    <w:p w:rsidR="0025129F" w:rsidRDefault="0025129F" w:rsidP="0025129F">
      <w:pPr>
        <w:pStyle w:val="SntesisAnaltica"/>
      </w:pPr>
    </w:p>
    <w:p w:rsidR="0025129F" w:rsidRDefault="0025129F" w:rsidP="0025129F">
      <w:pPr>
        <w:pStyle w:val="Extracto"/>
      </w:pPr>
      <w:r>
        <w:t>1.</w:t>
      </w:r>
      <w:r>
        <w:tab/>
        <w:t>El error en el lugar de presentación del anuncio del recurso de suplicación no puede llevar aparejada tan grave consecuencia como es la inadmisión de un recurso legalmente establecido [FJ 4].</w:t>
      </w:r>
    </w:p>
    <w:p w:rsidR="0025129F" w:rsidRDefault="0025129F" w:rsidP="0025129F">
      <w:pPr>
        <w:pStyle w:val="Extracto"/>
      </w:pPr>
    </w:p>
    <w:p w:rsidR="0025129F" w:rsidRDefault="0025129F" w:rsidP="0025129F">
      <w:pPr>
        <w:pStyle w:val="Extracto"/>
      </w:pPr>
      <w:r>
        <w:t>2.</w:t>
      </w:r>
      <w:r>
        <w:tab/>
        <w:t>Hemos admitido que en situaciones excepcionales debe considerarse plenamente eficaz la presentación datada y cierta de un escrito ante un registro público distinto al del órgano judicial (SSTC 287/1994, 41/2001; STEDH Pérez de Rada Cavanillas de 1998) [FJ 3].</w:t>
      </w:r>
    </w:p>
    <w:p w:rsidR="0025129F" w:rsidRDefault="0025129F" w:rsidP="0025129F">
      <w:pPr>
        <w:pStyle w:val="Extracto"/>
      </w:pPr>
    </w:p>
    <w:p w:rsidR="0025129F" w:rsidRDefault="0025129F" w:rsidP="0025129F">
      <w:pPr>
        <w:pStyle w:val="Extracto"/>
      </w:pPr>
      <w:r>
        <w:t>3.</w:t>
      </w:r>
      <w:r>
        <w:tab/>
        <w:t>Doctrina sobre el derecho de acceso a los recursos legales (SSTC 37/19995, 43/2000) [FJ 2].</w:t>
      </w:r>
    </w:p>
    <w:p w:rsidR="0025129F" w:rsidRDefault="0025129F" w:rsidP="0025129F">
      <w:pPr>
        <w:pStyle w:val="Extracto"/>
      </w:pPr>
    </w:p>
    <w:p w:rsidR="0025129F" w:rsidRDefault="0025129F" w:rsidP="0025129F">
      <w:pPr>
        <w:pStyle w:val="Extracto"/>
      </w:pPr>
      <w:r>
        <w:t>4.</w:t>
      </w:r>
      <w:r>
        <w:tab/>
        <w:t>El control que compete a la jurisdicción constitucional no alcanza a revisar los pronunciamientos jurisdiccionales referidos a la inadmisión de recursos salvo arbitrariedad, irrazonabilidad o error patente del órgano judicial (SSTC 162/1998, 181/2001)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 xml:space="preserve">En el recurso de amparo núm. 2508/99, promovido por don Indalecio Guerra González, representado por la Procuradora de los Tribunales doña Paloma Izquierdo Labra y asistido </w:t>
      </w:r>
      <w:r>
        <w:lastRenderedPageBreak/>
        <w:t>por el Abogado don Juan Francisco Montero Carbonero, contra Auto de 14 de mayo de 1999 de la Sala de lo Social del Tribunal Superior de Justicia de Extremadura que desestima el recurso de queja interpuesto contra Auto de 26 de febrero de 1999 del Juzgado de lo Social núm. 3 de Badajoz, por el que se tuvo por no anunciado el recurso de suplicación del recurrente contra Sentencia dictada por dicho Juzgado en autos núm. 663/98. Ha intervenido el Ministerio Fiscal. Ha sido Ponente el Magistrado don Fernando Garrido Falla,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11 de junio de 1999, don Indalecio Guerra González solicitó que se le designase Procurador de oficio para interponer recurso de amparo contra los Autos arriba referenciados, significando que el Letrado don Juan Francisco Montero Carbonero, que había asumido su defensa en la vía judicial previa, aceptaba encargarse de su defensa en amparo con renuncia al cobro de honorarios. Efectuada la designación de Procurador del turno de oficio, que correspondió a la Procuradora de los Tribunales doña Paloma Izquierdo Labra, la Sección Primera de este Tribunal, mediante diligencia de ordenación de 2 de noviembre de 1999, procedió a emplazarla para formalizar la demanda de amparo en el plazo de veinte días, lo que efectivamente tuvo lugar mediante escrito registrado en este Tribunal el 27 de noviembre de 1999.</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demanda de amparo trae causa de los siguientes hechos: </w:t>
      </w:r>
    </w:p>
    <w:p w:rsidR="0025129F" w:rsidRDefault="0025129F" w:rsidP="0025129F">
      <w:pPr>
        <w:pStyle w:val="TextoNormal"/>
      </w:pPr>
      <w:r>
        <w:t xml:space="preserve">a) El recurrente formuló demanda sobre reclamación de cantidad ante la jurisdicción social, que dio lugar a los autos núm. 663/98 del Juzgado de lo Social núm. 3 de Badajoz, siendo finalmente desestimada mediante Sentencia de 14 de enero de 1999, notificada el 19 de dicho mes. </w:t>
      </w:r>
    </w:p>
    <w:p w:rsidR="0025129F" w:rsidRDefault="0025129F" w:rsidP="0025129F">
      <w:pPr>
        <w:pStyle w:val="TextoNormal"/>
      </w:pPr>
      <w:r>
        <w:t xml:space="preserve">b) El Letrado del recurrente presentó con fecha 25 de enero de 1999 (último día del plazo de cinco días hábiles para anunciar recurso de suplicación) en el registro del Juzgado de lo Social núm. 2 de Badajoz, escrito dirigido a ese mismo Juzgado por el que se anunciaba recurso de suplicación contra la Sentencia antes indicada. Dicho escrito fue entregado al día siguiente en el Juzgado de lo Social núm. 3 de Badajoz por un funcionario del Juzgado de lo Social núm. 2, al apercibirse del error cometido por el Letrado del recurrente. </w:t>
      </w:r>
    </w:p>
    <w:p w:rsidR="0025129F" w:rsidRDefault="0025129F" w:rsidP="0025129F">
      <w:pPr>
        <w:pStyle w:val="TextoNormal"/>
      </w:pPr>
      <w:r>
        <w:t xml:space="preserve">c) Mediante providencia de la misma fecha, 26 de enero de 1999, el Juzgado de lo Social núm. 3 de Badajoz acordó tener por no anunciado recurso de suplicación contra la Sentencia referida, por haber tenido entrada el escrito de anuncio en este Juzgado fuera de plazo. Interpuesto recurso de reposición contra esta providencia, fue desestimado por Auto de 26 de febrero de 1999. Razona el Juzgado que, de conformidad con lo dispuesto en el art. 44 de la Ley de Procedimiento Laboral (LPL), los escritos deben presentarse, como regla general, en el registro de entrada del Juzgado o Sala de lo Social competente, si bien como excepción cabe presentar escritos el último día de plazo ante el Juzgado de guardia si se presentan a hora en la que se halle cerrado ya el registro de entrado del órgano judicial competente, conforme a lo dispuesto en el art. 45 LPL. Como quiera que en el presente caso la parte recurrente presenta su escrito de anuncio del recurso el último día de plazo en un Juzgado distinto y el escrito tiene entrada en el registro del Juzgado competente al día siguiente, se concluye que el anuncio del recurso ha sido efectuado fuera del plazo establecido. </w:t>
      </w:r>
    </w:p>
    <w:p w:rsidR="0025129F" w:rsidRDefault="0025129F" w:rsidP="0025129F">
      <w:pPr>
        <w:pStyle w:val="TextoNormal"/>
      </w:pPr>
      <w:r>
        <w:lastRenderedPageBreak/>
        <w:t>d) Contra dicho Auto interpuso recurso de queja que fue desestimado por Auto de 14 de mayo de 1999 de la Sala de lo Social del Tribunal Superior de Justicia de Extremadura (recurso de queja núm. 10/99), confirmando la decisión de tener por no anunciado el recurso de suplicación, por haber sido interpuesto fuera de plazo.</w:t>
      </w:r>
    </w:p>
    <w:p w:rsidR="0025129F" w:rsidRDefault="0025129F" w:rsidP="0025129F">
      <w:pPr>
        <w:pStyle w:val="TextoNormal"/>
      </w:pPr>
    </w:p>
    <w:p w:rsidR="0025129F" w:rsidRDefault="0025129F" w:rsidP="0025129F">
      <w:pPr>
        <w:pStyle w:val="TextoNormal"/>
      </w:pPr>
      <w:r w:rsidRPr="0025129F">
        <w:rPr>
          <w:rStyle w:val="NumeroAFNegritaCaracter"/>
        </w:rPr>
        <w:t>3</w:t>
      </w:r>
      <w:r>
        <w:t>. En la demanda de amparo se denuncia que los Autos recurridos han vulnerado el derecho del demandante a la tutela judicial efectiva (art. 24.1 CE), por cuanto, mediante una interpretación excesivamente rigorista de los requisitos procesales relativos al lugar y plazo de presentación de escritos dirigidos a los órganos judiciales del orden social, se le ha privado de su derecho al recurso de suplicación, al haberse tenido por no anunciado el recurso de suplicación por haber sido interpuesto fuera de plazo. El recurrente señala que presentó el escrito de anuncio dentro del último día de plazo para recurrir, si bien lo hizo por error en un Juzgado distinto, que remitió al día siguiente el anuncio al Juzgado competente, por lo que debe entenderse que el escrito ha sido presentado dentro del plazo legalmente establecido, pues se trata de un Juzgado de igual clase y situado en la misma sede que el Juzgado de lo Social núm. 3 de Badajoz. Considera que la situación es comparable a la de presentación de escritos de término en el Juzgado de guardia del art. 45.1 LPL o incluso al supuesto de presentación de recursos administrativos ante un órgano no competente, que viene obligado a remitir el recurso al órgano competente para resolver conforme a la legislación sobre procedimiento administrativo.</w:t>
      </w:r>
    </w:p>
    <w:p w:rsidR="0025129F" w:rsidRDefault="0025129F" w:rsidP="0025129F">
      <w:pPr>
        <w:pStyle w:val="TextoNormal"/>
      </w:pPr>
    </w:p>
    <w:p w:rsidR="0025129F" w:rsidRDefault="0025129F" w:rsidP="0025129F">
      <w:pPr>
        <w:pStyle w:val="TextoNormal"/>
      </w:pPr>
      <w:r w:rsidRPr="0025129F">
        <w:rPr>
          <w:rStyle w:val="NumeroAFNegritaCaracter"/>
        </w:rPr>
        <w:t>4</w:t>
      </w:r>
      <w:r>
        <w:t>. Mediante providencia de 28 de febrero de 2000, la Sección Primera de este Tribunal acordó admitir a trámite la demanda de amparo y, a tenor de lo dispuesto en el art. 51 LOTC, requerir atentamente a los órganos judiciales la remisión del testimonio de las actuaciones respectivas, interesando al propio tiempo el emplazamiento de quienes fueron parte en el procedimiento, con excepción del recurrente en amparo, ya personado, para que en el plazo de diez días pudiesen comparecer en este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Recibidos los testimonios de actuaciones, mediante diligencia de ordenación del Secretario de Justicia de la Sala Primera de este Tribunal de 10 de mayo de 2000 se otorgó, de conformidad con el art. 52 LOTC, un plazo común de veinte días al Ministerio Fiscal y a la Procuradora del demandante de amparo para que dentro de dicho plazo alegasen lo que a su derecho conviniere.</w:t>
      </w:r>
    </w:p>
    <w:p w:rsidR="0025129F" w:rsidRDefault="0025129F" w:rsidP="0025129F">
      <w:pPr>
        <w:pStyle w:val="TextoNormal"/>
      </w:pPr>
    </w:p>
    <w:p w:rsidR="0025129F" w:rsidRDefault="0025129F" w:rsidP="0025129F">
      <w:pPr>
        <w:pStyle w:val="TextoNormal"/>
      </w:pPr>
      <w:r w:rsidRPr="0025129F">
        <w:rPr>
          <w:rStyle w:val="NumeroAFNegritaCaracter"/>
        </w:rPr>
        <w:t>6</w:t>
      </w:r>
      <w:r>
        <w:t>. La representación del recurrente en amparo presentó su escrito de alegaciones con fecha 6 de junio de 2000, resumiendo los expresados en su demanda e insistiendo en que el error cometido al presentar el escrito es excusable y no debe llevar aparejada tan grave consecuencia como es la privación del derecho a recurrir en suplicación.</w:t>
      </w:r>
    </w:p>
    <w:p w:rsidR="0025129F" w:rsidRDefault="0025129F" w:rsidP="0025129F">
      <w:pPr>
        <w:pStyle w:val="TextoNormal"/>
      </w:pPr>
    </w:p>
    <w:p w:rsidR="0025129F" w:rsidRDefault="0025129F" w:rsidP="0025129F">
      <w:pPr>
        <w:pStyle w:val="TextoNormal"/>
      </w:pPr>
      <w:r w:rsidRPr="0025129F">
        <w:rPr>
          <w:rStyle w:val="NumeroAFNegritaCaracter"/>
        </w:rPr>
        <w:t>7</w:t>
      </w:r>
      <w:r>
        <w:t>. El Ministerio Fiscal presentó su escrito de alegaciones con fecha 5 de junio de 2000, interesando el otorgamiento del amparo. Estima el Fiscal que las resoluciones judiciales impugnadas hubiesen sido impecables si la presentación del escrito de anuncio del recurso en Juzgado distinto al competente hubiese respondido a una decisión deliberada del recurrente; pero como quiera que ello no fue así, sino que se debió a un error, evidente y carente de trascendencia, debió admitirse a trámite el recurso, entendiendo que había sido presentado dentro de plazo. En consecuencia solicita el Fiscal que se otorgue el amparo, anu</w:t>
      </w:r>
      <w:r>
        <w:lastRenderedPageBreak/>
        <w:t>lando las resoluciones judiciales recurridas, con retroacción de actuaciones a fin de que el recurso de suplicación del demandante de amparo se tenga por anunciado.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4 de abril de 2002, se señaló para deliberación y votación de la presente Sentencia el día 8 del mismo mes y año, trámite que ha finalizado en el día de la fecha.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 que se discute en el presente recurso de amparo es si la decisión del Juzgado de lo Social núm. 3 de Badajoz, confirmada por la Sala de lo Social del Tribunal Superior de Justicia de Extremadura, de tener por no anunciado el recurso de suplicación del demandante vulneró el derecho de éste a la tutela judicial efectiva sin indefensión (art. 24.1 CE), en su vertiente de derecho a acceder a los recursos legalmente establecidos.</w:t>
      </w:r>
    </w:p>
    <w:p w:rsidR="0025129F" w:rsidRDefault="0025129F" w:rsidP="0025129F">
      <w:pPr>
        <w:pStyle w:val="TextoNormal"/>
      </w:pPr>
    </w:p>
    <w:p w:rsidR="0025129F" w:rsidRDefault="0025129F" w:rsidP="0025129F">
      <w:pPr>
        <w:pStyle w:val="TextoNormal"/>
      </w:pPr>
      <w:r w:rsidRPr="0025129F">
        <w:rPr>
          <w:rStyle w:val="NumeroAFNegritaCaracter"/>
        </w:rPr>
        <w:t>2</w:t>
      </w:r>
      <w:r>
        <w:t>. Es doctrina constitucional consolidada que el derecho a acceder a los recursos legalmente establecidos, contrariamente al derecho a acceder a la jurisdicción, se incorpora al derecho a la tutela judicial efectiva sin indefensión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un error patente (por no citar más que resoluciones de los últimos años,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Hemos señalado asimismo que "entre los presupuestos o condiciones de los actos procesales y como requisito para su válida y eficaz realización figura la determinación del lugar donde deben producirse" (por todas, SSTC 165/1996, de 28 de octubre, FJ 4, y ATC 80/1999, de 8 de abril, FJ 3, y 137/1999, de 31 de mayo, FJ 2). Por eso mismo hemos declarado que no menoscaba el derecho a la tutela judicial efectiva la interpretación judicial de que la llegada de un escrito de parte, presentado en tiempo en otro órgano judicial distinto del competente, o del Juzgado de guardia, en su caso, resulta extemporánea (así, SSTC 117/1999, de 28 de junio, FJ 3; 260/2000, de 30 de octubre, FFJJ 3 y 4; y 41/2001, de 12 de febrero, FJ 5, y AATC 134/1997, de 7 de mayo, FJ 2; 80/1999, de 8 de abril, FFJJ 2 y 3; 137/1999, de 31 de mayo, FJ 2, y 182/1999, de 14 de julio, FJ 3). Sin perjuicio de lo anterior, como recuerda la citada STC 41/2001 (FJ 5), "hemos admitido que en situaciones excepcionales debe considerarse plenamente eficaz la presentación datada y cierta </w:t>
      </w:r>
      <w:r>
        <w:lastRenderedPageBreak/>
        <w:t>de un escrito ante un registro público distinto al del órgano judicial; así lo ha hecho este Tribunal en relación con los recursos de amparo que llegan de forma extemporánea y son interpuestos por quienes actúan sin postulación y tienen su domicilio en una localidad lejana a Madrid (STC 287/1994, de 27 de octubre, FJ 2). Sin duda, en situaciones excepcionales, y en las que no concurre negligencia alguna de parte, la inadmisión de un recurso por llegada extemporánea al órgano judicial - aunque presentado en tiempo y con certeza en otro registro público- puede ser tachada de desproporcionadamente rigurosa e irrazonable y, por tanto, contraria al art. 24.1 CE. Así lo entendió también el Tribunal Europeo de Derechos Humanos en su Sentencia de 28 de octubre de 1998, asunto Pérez de Rada Cavanillas c. Reino de España, §§ 47 y siguientes, en relación con el art. 6.1 CEDH".</w:t>
      </w:r>
    </w:p>
    <w:p w:rsidR="0025129F" w:rsidRDefault="0025129F" w:rsidP="0025129F">
      <w:pPr>
        <w:pStyle w:val="TextoNormal"/>
      </w:pPr>
      <w:r>
        <w:t>Y continúa señalando la STC 41/2001 (FJ 6) que "la excepcionalidad de la situación y la diligencia de la parte sólo se puede apreciar, lógicamente, caso por caso. Con todo, la STC 287/1994 y la STEDH en el caso Pérez de Rada Cavanillas c. Reino de España proporcionan criterios para medir la excepcionalidad y la diligencia ... En la STC 287/1994, FJ 2, la excepcionalidad quedó cifrada en la conjunción o suma de una serie de circunstancias relativas a la falta de asistencia letrada y postulación procesal, la lejanía entre el domicilio de la parte y el órgano judicial y la interposición temporánea del recurso en otro registro que permitía tener constancia de la fecha de presentación. En la STEDH de 28 de mayo de 1998 (Pérez de Rada Cavanillas c. Reino de España) se consideró que no era exigible la presentación de un recurso civil de reposición en la sede del órgano judicial al concurrir las siguientes particularidades: el recurso debía ser motivado e interpuesto en un breve plazo perentorio (tres días); la notificación de la resolución recurrible tenía lugar en otro sitio alejado (Madrid, respecto de Aoiz, en Navarra); la recurrente había intentado sin éxito remitir su recurso por medio del Juzgado de guardia de Madrid y, finalmente, lo registró en plazo en el registro del Servicio de Correos de Madrid".</w:t>
      </w:r>
    </w:p>
    <w:p w:rsidR="0025129F" w:rsidRDefault="0025129F" w:rsidP="0025129F">
      <w:pPr>
        <w:pStyle w:val="TextoNormal"/>
      </w:pPr>
    </w:p>
    <w:p w:rsidR="0025129F" w:rsidRDefault="0025129F" w:rsidP="0025129F">
      <w:pPr>
        <w:pStyle w:val="TextoNormal"/>
      </w:pPr>
      <w:r w:rsidRPr="0025129F">
        <w:rPr>
          <w:rStyle w:val="NumeroAFNegritaCaracter"/>
        </w:rPr>
        <w:t>4</w:t>
      </w:r>
      <w:r>
        <w:t>. Para resolver el caso que nos ocupa conviene recordar que del régimen legal sobre presentación de escritos dirigidos a los órganos judiciales del orden social vigente en el momento de anunciarse el recurso de suplicación resulta que la regla general es que las partes deben presentar los escritos en los registros de entrada del órgano judicial competente (arts.  268.1 LOPJ y 44 LPL), si bien se admite para los escritos de término la presentación en el Juzgado de guardia, si la presentación del escrito se realiza en hora en la que ya estuviese cerrado el registro del órgano judicial al que va dirigido, y con obligación de dejar constancia de ello al día siguiente hábil en dicho órgano (art. 45 LPL). Asimismo cabe realizar la presentación de escritos en el Registro General a que se refiere el art. 272.3 LOPJ, cuando estuviere establecido tal servicio (como hemos recordado con frecuencia: por todas, SSTC 165/1996, de 28 de octubre, FJ 4, y 41/2001, de 12 de febrero, FJ 4, y AATC 80/1999, de 26 de abril, FJ 3, y 182/1999, de 11 de octubre, FJ 3).</w:t>
      </w:r>
    </w:p>
    <w:p w:rsidR="0025129F" w:rsidRDefault="0025129F" w:rsidP="0025129F">
      <w:pPr>
        <w:pStyle w:val="TextoNormal"/>
      </w:pPr>
      <w:r>
        <w:t xml:space="preserve">El Juzgado de lo Social núm. 3 de Badajoz adopta la resolución (confirmada por la Sala de lo Social del Tribunal Superior de Justicia de Extremadura) de tener por no anunciado el recurso de suplicación del actor por ser extemporáneo, al haber tenido entrada en el registro de dicho Juzgado fuera del plazo de cinco días hábiles que establece el art. 192.1 LPL, siendo así que, en efecto, el art. 193.2 LPL determina que el órgano judicial declarará mediante Auto tener por no anunciado el recurso si el recurso no se hubiera anunciado en tiempo. Es un hecho incuestionable que el escrito de anuncio del recurso, que iba dirigido al Juzgado de lo Social núm.  2 de Badajoz, fue presentado en este Juzgado el último día de plazo, y no tuvo entrada en el Juzgado de lo Social núm. 3, que era el competente, </w:t>
      </w:r>
      <w:r>
        <w:lastRenderedPageBreak/>
        <w:t>hasta el día siguiente, cuando la oficina judicial del Juzgado de lo Social núm. 2 se apercibió del error cometido por el Letrado del recurrente.</w:t>
      </w:r>
    </w:p>
    <w:p w:rsidR="0025129F" w:rsidRDefault="0025129F" w:rsidP="0025129F">
      <w:pPr>
        <w:pStyle w:val="TextoNormal"/>
      </w:pPr>
      <w:r>
        <w:t>Ciertamente el error en el lugar de presentación del anuncio del recurso de suplicación (consecuencia del error material padecido en el encabezamiento del escrito sobre el número del Juzgado al que se dirigía) es imputable al Letrado que asumía la representación y defensa del recurrente, como expresamente se reconoce en la demanda de amparo y se deduce, en cualquier caso, de las actuaciones. Sin embargo, como señala el Ministerio Fiscal, este error material sufrido por el Letrado no puede llevar aparejada tan grave consecuencia para el demandante de amparo como es la inadmisión de un recurso legalmente establecido por la aplicación rigurosa de las reglas sobre presentación de escritos dirigidos a los órganos judiciales del orden social y sin ponderar las circunstancias concretas del caso. En efecto, el Juzgado dio a un mero error material del Letrado el mismo tratamiento que si la presentación del escrito en un Juzgado distinto hubiera obedecido a una decisión deliberada y con intención de fraude de ley o a una "triquiñuela forense", como se insinúa en el Auto de 26 de febrero de 1999 por el que se desestima el recurso de reposición contra la providencia por la que acuerda tener por no anunciado el recurso de suplicación del demandante de amparo. A ello hay que añadir, como asimismo advierte el Ministerio Fiscal, que la entrada del escrito de anuncio del recurso en el Juzgado competente no se dilató más allá de lo que lo hubiera hecho si el Letrado hubiera presentado el escrito en el Juzgado de guardia.</w:t>
      </w:r>
    </w:p>
    <w:p w:rsidR="0025129F" w:rsidRDefault="0025129F" w:rsidP="0025129F">
      <w:pPr>
        <w:pStyle w:val="TextoNormal"/>
      </w:pPr>
      <w:r>
        <w:t>En rigor, la inadmisión del recurso de suplicación, teniéndolo por no anunciado, descansa en la extemporaneidad del anuncio por haberse presentado el escrito fuera del plazo preclusivo.  No es, pues, lo determinante, a efectos de las resoluciones judiciales de inadmisión, el lugar de presentación de dicho escrito ni su verdadero destinatario. La singularidad del caso radica en que la equivocación padecida al señalar el Juzgado de lo Social no puede obviar el hecho de que dicho escrito estuviese presentado el último día del plazo y siendo ello así y habiéndolo podido comprobar en tal sentido el Juzgado como después la Sala de lo Social, no se atuvieron a dicha realidad.</w:t>
      </w:r>
    </w:p>
    <w:p w:rsidR="0025129F" w:rsidRDefault="0025129F" w:rsidP="0025129F">
      <w:pPr>
        <w:pStyle w:val="TextoNormal"/>
      </w:pPr>
      <w:r>
        <w:t>En definitiva, las especiales circunstancias concurrentes en el asunto que nos ocupa permiten asimilarlo a los supuestos excepcionales a los que antes nos hemos referido, en los que la inadmisión de un recurso por llegada extemporánea al órgano judicial -aunque presentado en tiempo y con certeza en otro registro público- puede ser tachada de contraria al derecho a la tutela judicial efectiva (art. 24.1 CE), en su vertiente de acceso a los recursos legalmente establecidos, lo que conduce a la estimación del recurso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Otorgar el amparo solicitado y, en consecuencia:</w:t>
      </w:r>
    </w:p>
    <w:p w:rsidR="0025129F" w:rsidRDefault="0025129F" w:rsidP="0025129F">
      <w:pPr>
        <w:pStyle w:val="TextoNormal"/>
      </w:pPr>
      <w:r>
        <w:t>1º Declarar que ha sido vulnerado el derecho del recurrente a la tutela judicial efectiva.</w:t>
      </w:r>
    </w:p>
    <w:p w:rsidR="0025129F" w:rsidRDefault="0025129F" w:rsidP="0025129F">
      <w:pPr>
        <w:pStyle w:val="TextoNormal"/>
      </w:pPr>
      <w:r>
        <w:t xml:space="preserve">2º Anular la providencia de 26 de enero de 1999 y el Auto de 26 de febrero de 1999 del Juzgado de lo Social núm. 3 de Badajoz en los autos núm. 663/98, así como el Auto de 14 </w:t>
      </w:r>
      <w:r>
        <w:lastRenderedPageBreak/>
        <w:t>de mayo de 1999 dictado por la Sala de lo Social del Tribunal Superior de Justicia de Extremadura en el recurso de queja núm. 10/99.</w:t>
      </w:r>
    </w:p>
    <w:p w:rsidR="0025129F" w:rsidRDefault="0025129F" w:rsidP="0025129F">
      <w:pPr>
        <w:pStyle w:val="TextoNormal"/>
      </w:pPr>
      <w:r>
        <w:t>3º Retrotraer las actuaciones al momento procesal inmediatamente anterior al dictado por la providencia de 26 de enero de 1999, a fin de que el Juzgado tenga por anunciado en tiempo el recurso de suplicación del demandante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4" w:name="SENTENCIA_2002_91"/>
      <w:r>
        <w:lastRenderedPageBreak/>
        <w:t>SENTENCIA 91/2002, de 22 de abril de 2002</w:t>
      </w:r>
    </w:p>
    <w:bookmarkEnd w:id="94"/>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ECLI:ES:TC:2002:91</w:t>
      </w:r>
    </w:p>
    <w:p w:rsidR="0025129F" w:rsidRDefault="0025129F" w:rsidP="0025129F">
      <w:pPr>
        <w:pStyle w:val="SntesisDescriptiva"/>
      </w:pPr>
    </w:p>
    <w:p w:rsidR="0025129F" w:rsidRDefault="0025129F" w:rsidP="0025129F">
      <w:pPr>
        <w:pStyle w:val="SntesisDescriptiva"/>
      </w:pPr>
      <w:r>
        <w:t>Recurso de amparo 2692/1999. Promovido por doña Isabel Ariza Fernández frente a los Autos de la Audiencia Provincial de Málaga y del Juzgado de Instrucción de Torrox que inadmitieron su apelación contra su condena por una falta de lesiones.</w:t>
      </w:r>
    </w:p>
    <w:p w:rsidR="0025129F" w:rsidRDefault="0025129F" w:rsidP="0025129F">
      <w:pPr>
        <w:pStyle w:val="SntesisDescriptiva"/>
      </w:pPr>
    </w:p>
    <w:p w:rsidR="0025129F" w:rsidRDefault="0025129F" w:rsidP="0025129F">
      <w:pPr>
        <w:pStyle w:val="SntesisAnaltica"/>
      </w:pPr>
      <w:r>
        <w:t>Vulneración del derecho a la tutela judicial efectiva (acceso al recurso penal): inadmisión de recurso de apelación penal tomando como término inicial la notificación al Procurador, ignorando la notificación personal indebidamente omitida.</w:t>
      </w:r>
    </w:p>
    <w:p w:rsidR="0025129F" w:rsidRDefault="0025129F" w:rsidP="0025129F">
      <w:pPr>
        <w:pStyle w:val="SntesisAnaltica"/>
      </w:pPr>
    </w:p>
    <w:p w:rsidR="0025129F" w:rsidRDefault="0025129F" w:rsidP="0025129F">
      <w:pPr>
        <w:pStyle w:val="Extracto"/>
      </w:pPr>
      <w:r>
        <w:t>1.</w:t>
      </w:r>
      <w:r>
        <w:tab/>
        <w:t>Las resoluciones judiciales cuestionadas obviaron la necesaria notificación personal de la Sentencia a la demandante de amparo, y establecieron el dies a quo para el cómputo del plazo para apelar la Sentencia a partir de su notificación al Procurador de la actora, produciéndose un efecto desproporcionadamente gravoso en el derecho del recurrente a que su causa rea revisada por un Tribunal superior [FJ 4].</w:t>
      </w:r>
    </w:p>
    <w:p w:rsidR="0025129F" w:rsidRDefault="0025129F" w:rsidP="0025129F">
      <w:pPr>
        <w:pStyle w:val="Extracto"/>
      </w:pPr>
    </w:p>
    <w:p w:rsidR="0025129F" w:rsidRDefault="0025129F" w:rsidP="0025129F">
      <w:pPr>
        <w:pStyle w:val="Extracto"/>
      </w:pPr>
      <w:r>
        <w:t>2.</w:t>
      </w:r>
      <w:r>
        <w:tab/>
        <w:t>Cuando se trata del acceso a un recurso penal de quien resultó condenado en la primera instancia judicial, la interpretación de las causas de inadmisión es más rigurosa, siendo aquí de aplicación el principio de interpretación pro actione en virtud de la exigencia constitucional de una doble instancia en favor del reo (SSTC 91/1994, 88/1997) [FJ 3].</w:t>
      </w:r>
    </w:p>
    <w:p w:rsidR="0025129F" w:rsidRDefault="0025129F" w:rsidP="0025129F">
      <w:pPr>
        <w:pStyle w:val="Extracto"/>
      </w:pPr>
    </w:p>
    <w:p w:rsidR="0025129F" w:rsidRDefault="0025129F" w:rsidP="0025129F">
      <w:pPr>
        <w:pStyle w:val="Extracto"/>
      </w:pPr>
      <w:r>
        <w:t>3.</w:t>
      </w:r>
      <w:r>
        <w:tab/>
        <w:t>Derecho de acceso al recurso al recurso legal (SSTC 37/1995, 181/2001) [FJ 3].</w:t>
      </w:r>
    </w:p>
    <w:p w:rsidR="0025129F" w:rsidRDefault="0025129F" w:rsidP="0025129F">
      <w:pPr>
        <w:pStyle w:val="Extracto"/>
      </w:pPr>
    </w:p>
    <w:p w:rsidR="0025129F" w:rsidRDefault="0025129F" w:rsidP="0025129F">
      <w:pPr>
        <w:pStyle w:val="Extracto"/>
      </w:pPr>
      <w:r>
        <w:t>4.</w:t>
      </w:r>
      <w:r>
        <w:tab/>
        <w:t>La exigencia constitucional de motivación no obliga a un razonamiento exhaustivo y pormenorizado (STC 215/1998)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2692/99, promovido por doña Isabel Ariza Fernández, representada por el Procurador de los Tribunales don Santos de Gandarillas Carmona y asistida por el Letrado don Juan José Recio Ranea, contra Auto de la Sección Tercera de la Audiencia Provincial de Málaga de 24 de mayo de 1999, por el que se desestimó el recurso de queja interpuesto contra el Auto del Juzgado de Instrucción núm. 1 de Torrox, de inadmisión del recurso de apelación interpuesto contra la Sentencia recaída en el juicio de faltas núm. 200/97. Ha intervenido el Ministerio Fiscal y ha sido Ponente la Magistrada doña Elisa Pérez Vera,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Registro de este Tribunal el 21 de junio de 1999, el Procurador don Santos de Gandarillas Carmona, actuando en representación de doña Isabel Ariza Fernández, interpuso recurso de amparo contra el Auto de la Sección Tercera de la Audiencia Provincial de Málaga, de 24 de mayo de 1999, por el que se desestimó el recurso de queja interpuesto contra el Auto del Juzgado de Instrucción núm. 1 de Torrox, fechado el 19 de diciembre de 1998, en cuya virtud se resolvió el recurso de reforma formulado contra la providencia del mismo Juzgado de 5 de noviembre de 1998, que inadmitió a trámite el recurso de apelación deducido por la demandante de amparo contra la Sentencia de 2 de junio de 1998, recaída en el juicio de faltas núm. 200/97.</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que fundamentan la demanda de amparo son, en síntesis, los siguientes: </w:t>
      </w:r>
    </w:p>
    <w:p w:rsidR="0025129F" w:rsidRDefault="0025129F" w:rsidP="0025129F">
      <w:pPr>
        <w:pStyle w:val="TextoNormal"/>
      </w:pPr>
      <w:r>
        <w:t xml:space="preserve">a) Por Sentencia de 2 de junio de 1998, dictada por el Juzgado de Instrucción núm. 1 de Torrox en el juicio de faltas núm. 200/97, doña Isabel Ariza Fernández fue condenada como autora de una falta de lesiones del art. 617 CP a la pena de multa de dos meses, a razón de 1.000 pesetas por día, o 30 días de arresto sustitutorio en caso de impago o insolvencia, así como a indemnizar a doña Diamela Martín Heredia en 236.600 pesetas. </w:t>
      </w:r>
    </w:p>
    <w:p w:rsidR="0025129F" w:rsidRDefault="0025129F" w:rsidP="0025129F">
      <w:pPr>
        <w:pStyle w:val="TextoNormal"/>
      </w:pPr>
      <w:r>
        <w:t xml:space="preserve">b) La mencionada Sentencia fue notificada con fecha 11 de junio de 1998 a la representación procesal de doña Isabel Ariza Fernández, sin que conste en las actuaciones que fuera notificada personalmente a la hoy recurrente. </w:t>
      </w:r>
    </w:p>
    <w:p w:rsidR="0025129F" w:rsidRDefault="0025129F" w:rsidP="0025129F">
      <w:pPr>
        <w:pStyle w:val="TextoNormal"/>
      </w:pPr>
      <w:r>
        <w:t xml:space="preserve">c) Mediante escrito presentado el 14 de julio de 1998, la representación de la Sra. Ariza Fernández interpuso recurso de apelación contra la mencionada Sentencia. Dicho recurso fue inadmitido a trámite por providencia del Juzgado de Instrucción núm. 1 de Torrox de 5 de noviembre de 1998, con fundamento en la infracción del art. 976 LECrim, por haberse notificado la Sentencia apelada el 11 de junio del mismo año. </w:t>
      </w:r>
    </w:p>
    <w:p w:rsidR="0025129F" w:rsidRDefault="0025129F" w:rsidP="0025129F">
      <w:pPr>
        <w:pStyle w:val="TextoNormal"/>
      </w:pPr>
      <w:r>
        <w:t xml:space="preserve">d) La demandante de amparo formuló recurso de reforma contra la anterior providencia, que fue desestimado por Auto del Juzgado de Instrucción núm. 1 de Torrox de 19 de diciembre de 1998, en el que se razonó que, conforme al art. 160 LECrim, en relación con el art. 182, había que entender bien hecha la notificación de la Sentencia al Procurador de la parte, comenzando a correr el término de la apelación desde la fecha de tal notificación. </w:t>
      </w:r>
    </w:p>
    <w:p w:rsidR="0025129F" w:rsidRDefault="0025129F" w:rsidP="0025129F">
      <w:pPr>
        <w:pStyle w:val="TextoNormal"/>
      </w:pPr>
      <w:r>
        <w:t>e) Contra dicho Auto, la recurrente se alzó en queja ante la Audiencia Provincial de Málaga, que fue desestimada por Auto de la Sección Tercera de 24 de mayo de 1999.</w:t>
      </w:r>
    </w:p>
    <w:p w:rsidR="0025129F" w:rsidRDefault="0025129F" w:rsidP="0025129F">
      <w:pPr>
        <w:pStyle w:val="TextoNormal"/>
      </w:pPr>
    </w:p>
    <w:p w:rsidR="0025129F" w:rsidRDefault="0025129F" w:rsidP="0025129F">
      <w:pPr>
        <w:pStyle w:val="TextoNormal"/>
      </w:pPr>
      <w:r w:rsidRPr="0025129F">
        <w:rPr>
          <w:rStyle w:val="NumeroAFNegritaCaracter"/>
        </w:rPr>
        <w:t>3</w:t>
      </w:r>
      <w:r>
        <w:t>. La demanda de amparo afirma que se ha vulnerado el derecho a la tutela judicial efectiva de la recurrente, en su vertiente del derecho de acceso a los recursos, con la con</w:t>
      </w:r>
      <w:r>
        <w:lastRenderedPageBreak/>
        <w:t xml:space="preserve">siguiente indefensión, producida por la no admisión a trámite del recurso de apelación interpuesto contra la Sentencia dictada por el Juzgado de Instrucción núm. 1 de Torrox en el juicio de faltas núm. 200/97, fundada en la presentación de dicho recurso fuera de plazo en función de la fecha de notificación de la Sentencia a la representación procesal de la recurrente. Señala que la cuestión objeto de debate en el presente recurso de amparo es si resulta preceptiva la notificación de una Sentencia condenatoria en un juicio de faltas no sólo al Procurador del interesado, sino también a éste y, por tanto, si el cómputo del plazo para recurrir la Sentencia se inicia una vez completada la doble notificación o, al menos, cuando se haya realizado respecto del propio interesado, o bien basta la notificación realizada al representante procesal de la parte para que comience dicho cómputo. </w:t>
      </w:r>
    </w:p>
    <w:p w:rsidR="0025129F" w:rsidRDefault="0025129F" w:rsidP="0025129F">
      <w:pPr>
        <w:pStyle w:val="TextoNormal"/>
      </w:pPr>
      <w:r>
        <w:t xml:space="preserve">Tras exponer la doctrina de este Tribunal sobre la trascendencia de los actos de comunicación para la efectividad del derecho a la tutela judicial efectiva, y sobre una más rigurosa vinculación constitucional del Juez en la interpretación de las causas de inadmisión cuando se trata de un recurso penal, considera la demandante de amparo que, de la interpretación de los arts. 270 LOPJ y 976, 160 y 212 LECrim conforme a dicha doctrina, se sigue la consecuencia de que el término inicial a partir del cual ha de computarse el plazo para interponer el recurso de apelación es el de la notificación al Procurador y a la parte afectada o, en último término, a ésta. En consecuencia, no habiéndose efectuado la notificación personal a la demandante de amparo de la Sentencia dictada en el juicio de faltas núm. 200/97, no cabe entender precluido respecto de ella el plazo para recurrirla, ni tampoco se puede tachar de extemporáneo el recurso de apelación presentado. Por tal razón, entiende que se le ha dejado en situación de indefensión, al vedársele el derecho de acceso a los recursos por medio de una interpretación judicial que produce un efecto desproporcionadamente gravoso en el derecho de la recurrente a que su causa sea revisada por un Tribunal superior, con vulneración del art. 24.1 CE. </w:t>
      </w:r>
    </w:p>
    <w:p w:rsidR="0025129F" w:rsidRDefault="0025129F" w:rsidP="0025129F">
      <w:pPr>
        <w:pStyle w:val="TextoNormal"/>
      </w:pPr>
      <w:r>
        <w:t>Por las razones expuestas, solicita que se reconozca su derecho a la tutela judicial efectiva declarando la nulidad del Auto dictado por la Sección Tercera de la Audiencia Provincial de Málaga en el recurso de queja núm. 38/99, restableciéndola en la integridad de su derecho, con retroacción de las actuaciones al momento inmediatamente anterior al pronunciamiento de dicho Auto, a fin de que proceda al dictado de una nueva resolución por la que se acuerde la admisión del recurso de apelación planteado contra la Sentencia de 2 de junio de 1998, recaída en el juicio de faltas núm. 200/97.</w:t>
      </w:r>
    </w:p>
    <w:p w:rsidR="0025129F" w:rsidRDefault="0025129F" w:rsidP="0025129F">
      <w:pPr>
        <w:pStyle w:val="TextoNormal"/>
      </w:pPr>
    </w:p>
    <w:p w:rsidR="0025129F" w:rsidRDefault="0025129F" w:rsidP="0025129F">
      <w:pPr>
        <w:pStyle w:val="TextoNormal"/>
      </w:pPr>
      <w:r w:rsidRPr="0025129F">
        <w:rPr>
          <w:rStyle w:val="NumeroAFNegritaCaracter"/>
        </w:rPr>
        <w:t>4</w:t>
      </w:r>
      <w:r>
        <w:t>. Por resolución de 16 de noviembre de 1999 la Sala Segunda, de conformidad con lo dispuesto en el art. 11.2 LOTC, acordó conocer del recurso de amparo y, a tenor del art. 51 LOTC, librar atenta comunicación a la Sección Tercera de la Audiencia Provincial de Málaga y al Juzgado de Instrucción núm. 1 de Torrox para que, en el término de diez días, remitieran certificación o fotocopia adverada de las actuaciones correspondientes al rollo de queja núm. 38/99 y de las actuaciones correspondientes al juicio de faltas núm. 200/97, respectivamente. Asimismo, se interesó el emplazamiento de quienes hubieran sido parte en el procedimiento, para que, en el término de diez días, pudieran comparecer en el presente proceso constitucional.</w:t>
      </w:r>
    </w:p>
    <w:p w:rsidR="0025129F" w:rsidRDefault="0025129F" w:rsidP="0025129F">
      <w:pPr>
        <w:pStyle w:val="TextoNormal"/>
      </w:pPr>
    </w:p>
    <w:p w:rsidR="0025129F" w:rsidRDefault="0025129F" w:rsidP="0025129F">
      <w:pPr>
        <w:pStyle w:val="TextoNormal"/>
      </w:pPr>
      <w:r w:rsidRPr="0025129F">
        <w:rPr>
          <w:rStyle w:val="NumeroAFNegritaCaracter"/>
        </w:rPr>
        <w:t>5</w:t>
      </w:r>
      <w:r>
        <w:t>. Por diligencia de ordenación de 3 de marzo de 2001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6</w:t>
      </w:r>
      <w:r>
        <w:t>. Mediante escrito presentado el 30 de marzo de 2000, el Procurador don Santos de Gandarillas Carmona, en representación de doña Isabel Ariza Fernández, reiteró los alegatos y fundamentos jurídicos expuestos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Por su parte, el Ministerio Fiscal, en escrito de alegaciones registrado el 5 de abril de 2000, interesa que se dicte Sentencia otorgando el amparo. Tras exponer el desarrollo de los hechos, el Fiscal afirma que las resoluciones dictadas por el Juzgado de Instrucción núm. 1 de Torrox y por la Audiencia Provincial de Málaga afectan negativamente a la tutela judicial efectiva por falta de motivación, señalando que lo único exigido por este Tribunal es que el órgano judicial responda al justiciable con razones entendibles, y esto no es lo que se ha producido. Considera que, frente a la nula explicación tanto en las resoluciones del Juez como en las de la Audiencia Provincial, se puede decir, en primer lugar, que el art. 160 LECrim configura un sistema de notificación dual a partes y Procuradores, tratándose de una notificación cumulativa y no alternativa. Es más, el párrafo segundo del precepto prevé como subsidiaria la notificación al Procurador y, por último, el párrafo tercero ofrece una consideración de mayor rango a la notificación a la parte con respecto a la practicada al Procurador, a quien se notificarán únicamente los Autos que resuelvan incidentes. </w:t>
      </w:r>
    </w:p>
    <w:p w:rsidR="0025129F" w:rsidRDefault="0025129F" w:rsidP="0025129F">
      <w:pPr>
        <w:pStyle w:val="TextoNormal"/>
      </w:pPr>
      <w:r>
        <w:t xml:space="preserve">Por otro lado, entiende el Ministerio Fiscal que tampoco es explicativa ni certera la invocación por las resoluciones judiciales del art. 182 LECrim, toda vez que éste sólo habilita "como posibilidad" la notificación al Procurador, sin que se deje sin efecto lo previsto en el art. 160. A su juicio, habrá que entender que la regla de aquel precepto queda incólume y que la habilitación quedará constreñida a los supuestos previstos en la norma, es decir, los de imposibilidad de localizar a la parte por cualquier circunstancia. En este caso, estaba localizada la condenada en el proceso penal, por lo que no se aprecia la razón para notificar sólo al Procurador. </w:t>
      </w:r>
    </w:p>
    <w:p w:rsidR="0025129F" w:rsidRDefault="0025129F" w:rsidP="0025129F">
      <w:pPr>
        <w:pStyle w:val="TextoNormal"/>
      </w:pPr>
      <w:r>
        <w:t xml:space="preserve">Cita también el Fiscal el art. 270 LOPJ, que prevé como garantía adicional no solamente la notificación a la parte, sino a quienes puedan parar perjuicios, entendiendo que tal precepto obliga a un plus de celo en la notificación de las resoluciones a quienes puedan resultar perjudicados, siendo el más importante acto de un proceso penal el de la Sentencia definitiva, máxime si la misma es condenatoria. Por todo lo anterior, concluye el escrito manifestando que la lesión de la tutela judicial efectiva se infiere tanto de la falta de motivación de los Autos como de la aplicación de los preceptos empleados en las resoluciones judiciales, que abonan una interpretación favorable al derecho fundamental de acceso a la segunda instancia en materia penal. </w:t>
      </w:r>
    </w:p>
    <w:p w:rsidR="0025129F" w:rsidRDefault="0025129F" w:rsidP="0025129F">
      <w:pPr>
        <w:pStyle w:val="TextoNormal"/>
      </w:pPr>
      <w:r>
        <w:t xml:space="preserve">Invoca el Ministerio Fiscal la STC 88/1997, que resuelve un supuesto semejante al que es objeto de análisis, de la que transcribe los fundamentos jurídicos 3 y 4, conforme a los cuales, habría lugar a atender las alegaciones de la recurrente. </w:t>
      </w:r>
    </w:p>
    <w:p w:rsidR="0025129F" w:rsidRDefault="0025129F" w:rsidP="0025129F">
      <w:pPr>
        <w:pStyle w:val="TextoNormal"/>
      </w:pPr>
      <w:r>
        <w:t>Situándose, en términos dialécticos, en una posición contraria al amparo, indica que sólo cabría argumentar el hecho de que no existió indefensión material y que, en todo caso, ésta no se hubiera debido a la omisión del Juez, sino a negligencia del Procurador de la aquí recurrente que, por otra parte, no niega que tuviera conocimiento de la Sentencia condenatoria dentro del plazo de recurso. Sin embargo, ello nos llevaría a un juicio presuntivo del conocimiento de la Sentencia por la condenada y a relativizar los deseos de la directamente afectada, entendiéndose que delegó en su Procurador la facultad de decidir con respecto al recurso, con independencia de los deseos de aquélla que pueden ser contrarios a la articulación del recurso al poder estar comprometidos intereses contrapuestos.</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8</w:t>
      </w:r>
      <w:r>
        <w:t>. Por providencia de 18 de abril de 2002 se señaló para deliberación y fallo de la presente Sentencia el día 22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demandante de amparo impugna el Auto de la Sección Tercera de la Audiencia Provincial de Málaga, de 24 de mayo de 1999, por el que se desestimó el recurso de queja interpuesto contra el Auto del Juzgado de Instrucción núm. 1 de Torrox, fechado el 19 de diciembre de 1998. Este último resolvió el recurso de reforma formulado contra la providencia del mismo Juzgado de 5 de noviembre de 1998, de inadmisión a trámite del recurso de apelación deducido por la recurrente contra la Sentencia de 2 de junio de 1998, recaída en el juicio de faltas núm. 200/97.</w:t>
      </w:r>
    </w:p>
    <w:p w:rsidR="0025129F" w:rsidRDefault="0025129F" w:rsidP="0025129F">
      <w:pPr>
        <w:pStyle w:val="TextoNormal"/>
      </w:pPr>
      <w:r>
        <w:t>La actora alega en su recurso la vulneración del art. 24.1 CE, en su vertiente del derecho de acceso a los recursos, producida por la no admisión a trámite del recurso de apelación interpuesto contra la Sentencia dictada por el Juzgado de Instrucción núm.  1 de Torrox en los autos de juicio de faltas núm. 200/97, fundada en la presentación de dicho recurso fuera de plazo en función de la fecha de notificación de la Sentencia a la representación procesal de la recurrente.  Mantiene que, de acuerdo con lo dispuesto en los arts. 270 LOPJ y 976, 160 y 212 LECrim, interpretados de conformidad con la doctrina de este Tribunal, la Sentencia debió serle también notificada personalmente, y no sólo a su representación procesal; siendo esto así, el dies a quo para el cómputo del plazo de interposición del recurso de apelación es el de la notificación al Procurador y a la parte afectada, cumulativamente, o, en último término, a ésta. Por tal razón, sostiene que, al no habérsele efectuado la notificación personal de la Sentencia dictada en el juicio de faltas, no cabe entender precluido respecto de ella el plazo para recurrirla, ni tampoco se puede tachar de extemporáneo el recurso de apelación presentado.</w:t>
      </w:r>
    </w:p>
    <w:p w:rsidR="0025129F" w:rsidRDefault="0025129F" w:rsidP="0025129F">
      <w:pPr>
        <w:pStyle w:val="TextoNormal"/>
      </w:pPr>
      <w:r>
        <w:t>Por su parte, el Ministerio Fiscal considera que se ha producido la lesión de la tutela judicial efectiva de la recurrente tanto por la falta de motivación de los Autos impugnados, como porque una recta interpretación de los preceptos invocados en las resoluciones judiciales conduce a reconocer el derecho fundamental de acceso a la segunda instancia en materia penal.</w:t>
      </w:r>
    </w:p>
    <w:p w:rsidR="0025129F" w:rsidRDefault="0025129F" w:rsidP="0025129F">
      <w:pPr>
        <w:pStyle w:val="TextoNormal"/>
      </w:pPr>
    </w:p>
    <w:p w:rsidR="0025129F" w:rsidRDefault="0025129F" w:rsidP="0025129F">
      <w:pPr>
        <w:pStyle w:val="TextoNormal"/>
      </w:pPr>
      <w:r w:rsidRPr="0025129F">
        <w:rPr>
          <w:rStyle w:val="NumeroAFNegritaCaracter"/>
        </w:rPr>
        <w:t>2</w:t>
      </w:r>
      <w:r>
        <w:t>. Ante todo, es preciso abordar el primero de los aspectos en que, a juicio del Ministerio Fiscal, se ha manifestado la vulneración del derecho a la tutela judicial efectiva de la demandante de amparo. Considera el Ministerio público que las resoluciones dictadas por el Juzgado de Instrucción de Torrox núm. 1 y por la Audiencia Provincial de Málaga afectan negativamente a la tutela judicial efectiva por falta de motivación, al no contestar a la justiciable con razones entendibles. Ciertamente, este Tribunal ha insistido repetidamente en la necesaria motivación de las resoluciones judiciales, que responde a una doble finalidad de exteriorizar, de un lado, el fundamento de la decisión, haciendo explícito que ésta corresponde a una determinada aplicación de la ley y permitir, de otro, su eventual control jurisdiccional mediante el ejercicio de los recursos (SSTC 150/1988, de 15 de julio, y 174/1992, de 2 de noviembre, entre otras muchas). Ahora bien, la exigencia constitucional de motivación no obliga a un razonamiento exhaustivo y pormenorizado de todos los aspectos y perspectivas que tengan las partes de la cuestión que se decide, sino que es suficiente, desde el prisma del art.  24.1 CE, que las resoluciones judiciales vengan apoyadas en razones que permitan conocer cuáles han sido los criterios jurídicos esenciales funda</w:t>
      </w:r>
      <w:r>
        <w:lastRenderedPageBreak/>
        <w:t>mentadores de la decisión o, lo que es lo mismo, la ratio decidendi que ha determinado aquélla (por todas, STC 215/1998, de 11 de noviembre, FJ 3).</w:t>
      </w:r>
    </w:p>
    <w:p w:rsidR="0025129F" w:rsidRDefault="0025129F" w:rsidP="0025129F">
      <w:pPr>
        <w:pStyle w:val="TextoNormal"/>
      </w:pPr>
      <w:r>
        <w:t>Aplicando la doctrina reseñada, no se puede entender que las resoluciones judiciales impugnadas adolezcan de falta de motivación, pues, a juicio de este Tribunal, expresan de manera razonada -aunque sucinta- los fundamentos de la decisión relativa a la inadmisión del recurso de apelación por extemporaneidad, permitiendo su posterior impugnación por la hoy recurrente de amparo, con conocimiento de los argumentos sustentadores de la decisión de los órganos judiciales, hasta llegar a esta sede constitucional. Otra cosa es que la interpretación realizada en las cuestionadas resoluciones judiciales pueda no considerarse adecuada a las garantías consagradas en el art. 24.1 CE, pero ello no autoriza a tacharlas de inmotivadas.</w:t>
      </w:r>
    </w:p>
    <w:p w:rsidR="0025129F" w:rsidRDefault="0025129F" w:rsidP="0025129F">
      <w:pPr>
        <w:pStyle w:val="TextoNormal"/>
      </w:pPr>
    </w:p>
    <w:p w:rsidR="0025129F" w:rsidRDefault="0025129F" w:rsidP="0025129F">
      <w:pPr>
        <w:pStyle w:val="TextoNormal"/>
      </w:pPr>
      <w:r w:rsidRPr="0025129F">
        <w:rPr>
          <w:rStyle w:val="NumeroAFNegritaCaracter"/>
        </w:rPr>
        <w:t>3</w:t>
      </w:r>
      <w:r>
        <w:t>. Una vez descartada la posible vulneración del art. 24.1 CE por falta de motivación en las resoluciones judiciales impugnadas, debemos tratar el aspecto en el que la recurrente concreta la violación de su derecho a la tutela judicial efectiva, es decir, la inadmisión por extemporáneo del recurso de apelación contra una Sentencia condenatoria que no le había sido notificada personalmente.</w:t>
      </w:r>
    </w:p>
    <w:p w:rsidR="0025129F" w:rsidRDefault="0025129F" w:rsidP="0025129F">
      <w:pPr>
        <w:pStyle w:val="TextoNormal"/>
      </w:pPr>
      <w:r>
        <w:t>Este Tribunal, en una reiterada jurisprudencia, tiene declarado que el derecho a la tutela judicial efectiva comprende no sólo el acceso a los Tribunales, sino también el derecho a los recursos que se encuentren previstos en el Ordenamiento jurídico para cada género de procesos y que, así como el acceso a la jurisdicción es un elemento esencial del contenido del derecho fundamental a la tutela judicial efectiva, el sistema de recursos frente a las diferentes resoluciones judiciales se incorpora al meritado derecho fundamental en la concreta configuración que reciba en cada una de las leyes de enjuiciamiento reguladoras de los diferentes órdenes jurisdiccionales (por todas, SSTC 37/1995, de 7 de febrero, FJ 5; 94/2000, de 10 de abril, FJ 4; 184/2000, de 10 de julio, FJ 4; 258/2000, de 30 de octubre, FJ 2; y 181/2001, de 17 de septiembre, FJ 2).</w:t>
      </w:r>
    </w:p>
    <w:p w:rsidR="0025129F" w:rsidRDefault="0025129F" w:rsidP="0025129F">
      <w:pPr>
        <w:pStyle w:val="TextoNormal"/>
      </w:pPr>
      <w:r>
        <w:t>Así pues, el legislador, en principio, es libre para disponer cuál sea el régimen de recursos dentro de cada proceso, pero esa disponibilidad, como también hemos señalado, tiene un límite específico en el proceso penal. En relación con este tipo de procesos el derecho a someter el fallo condenatorio y la pena ante un Tribunal superior integra el derecho al proceso con todas las garantías reconocido en el art. 24.2 CE, en relación con el art. 14.5 del Pacto internacional sobre derechos civiles y políticos (firmado el 16 de diciembre de 1966, ratificado por España en septiembre de 1976, y vigente en el ordenamiento español desde el 27 de julio de 1977). Hay que recordar que, a tenor de lo dispuesto en el art. 10.2 CE, dicho Pacto ha de servir para interpretar las normas sobre derechos fundamentales reconocidos por la propia Constitución, y que el mencionado art. 14.5 consagra el derecho de toda persona declarada culpable de un delito a que "el fallo condenatorio y la pena que se le haya impuesto sean sometidos a un tribunal superior, conforme a lo prescrito por la ley", lo que obliga a considerar que entre las garantías del proceso penal a las que genéricamente se refiere la Constitución, se encuentra la del recurso ante un Tribunal superior (SSTC 42/1982, de 5 de junio, FJ 3; 7/1986, de 21 de enero, FJ 2; 37/1988, de 3 de marzo, FJ 5; 106/1988, de 8 de junio, FJ 2; 113/1992, de 14 de septiembre, FJ 5; 41/1998, de 24 de febrero, FJ 9; 185/1998, de 28 de septiembre, FJ 3; 64/2001, de 17 de marzo, FJ 5 y 12/2002, de 28 de enero, FJ 2). Y esta garantía rige también para los juicios de faltas, como hemos afirmado, entre otras, en las SSTC 22/1987, de 20 de febrero (FJ 3), y 150/1996, de 30 de septiembre (FJ 3).</w:t>
      </w:r>
    </w:p>
    <w:p w:rsidR="0025129F" w:rsidRDefault="0025129F" w:rsidP="0025129F">
      <w:pPr>
        <w:pStyle w:val="TextoNormal"/>
      </w:pPr>
      <w:r>
        <w:lastRenderedPageBreak/>
        <w:t>Como precisan las SSTC 42/1982, de 5 de junio (FJ 3), y 140/1985, de 21 de octubre (FJ 2), si bien estas consideraciones no son suficientes por sí mismas para crear recursos inexistentes, sí obligan a entender que entre las garantías del proceso penal se encuentra la del recurso ante un Tribunal superior. En efecto, es doctrina de este Tribunal que cuando se trata del acceso a un recurso penal de quien resultó condenado en la primera instancia judicial, la vinculación constitucional del Juez ex art.  24.1 CE en la interpretación de las causas de inadmisión es más rigurosa, siendo aquí de aplicación el principio de interpretación pro actione en virtud de la exigencia constitucional de una doble instancia en favor del reo, entendido como la interdicción de aquellas decisiones de inadmisión que, por su rigorismo, por su formalismo excesivo o por cualquier otra razón revelen una clara desproporción entre los fines que aquellas causas preservan y los intereses que sacrifican (SSTC 91/1994, de 21 de marzo, FJ 2, y 88/1997, de 5 de mayo, FJ 2).</w:t>
      </w:r>
    </w:p>
    <w:p w:rsidR="0025129F" w:rsidRDefault="0025129F" w:rsidP="0025129F">
      <w:pPr>
        <w:pStyle w:val="TextoNormal"/>
      </w:pPr>
      <w:r>
        <w:t>Ahora bien, el derecho a un recurso como integrante del derecho a la tutela judicial efectiva resulta satisfecho no sólo a través de un pronunciamiento del órgano judicial sobre el fondo del asunto, sino también por medio de una resolución razonada de inadmisibilidad (por todas, STC 37/1988, de 3 de marzo, FJ 5). Y es que el principio pro actione no implica ni siquiera en este ámbito la forzosa selección de la interpretación más favorable a la admisión de entre todas las posibles de las normas que la regulan, pues: "A partir del amplísimo margen que ofrecen potencialmente a la interpretación las normas jurídicas, y, en el ámbito de la regulación de la admisión de recursos, peculiarmente las que contemplan causas de índole material, un tal entendimiento acarrearía perniciosas consecuencias. No sólo constreñiría sobremanera las legítimas facultades judiciales de ordenación del proceso, sino que podría poner en cuestión los importantes fines a los que sirven los requisitos legales de acceso al recurso, tales como la seguridad jurídica, la economía procesal, la celeridad del procedimiento y la preservación de los derechos e intereses de todas las partes del mismo" (STC 88/1997, de 5 de mayo, FJ 2).  Como se señala en la STC 190/1994, de 20 de junio, FJ 2, la interpretación flexible de la norma procesal, teleológicamente fundada y orientada a no impedir el acceso al conocimiento judicial por formalismos irrazonables, "no empece a que no sería constitucionalmente ilegítima una resolución que, incluso en materia penal, se abstuviera de conocer del fondo del asunto por razones estrictamente procesales. Debe subrayarse, sin embargo, que en este ámbito las exigencias de racionalidad interpretativa de las normas y de proporcionalidad en las sanciones forzarían a restringir tan drástico resultado a los solos casos en que los actos u omisiones de la parte, fundados en motivos sólo a ella imputables, ocasionaran un quebrantamiento de las formas establecidas de tal entidad que frustrase gravemente la finalidad legítima perseguida por ellas".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Partiendo de la doctrina expuesta, y a la vista de los antecedentes fácticos relativos al juicio de faltas del que trae causa el presente recurso de amparo, la cuestión que debemos abordar se concreta en determinar si, de acuerdo con las normas relativas a la notificación de las Sentencias penales dictadas en primera instancia, al plazo de interposición del recurso de apelación y a las causas de inadmisión de éste, se ha de entender conforme o no con el art. 24.1 CE la decisión del Juzgado de Instrucción núm. 1 de Torrox, ratificada por la Audiencia Provincial de Málaga. Recordemos que éstos consideraron suficiente la notificación de la Sentencia recaída en el juicio de faltas, realizada exclusivamente a la representación procesal de la condenada, lo que determinó la consiguiente declaración de extemporaneidad del recurso de apelación interpuesto contra ella, por computarse el plazo </w:t>
      </w:r>
      <w:r>
        <w:lastRenderedPageBreak/>
        <w:t>de cinco días establecido en el art.  976 LECrim desde la referida notificación al Procurador de la demandante de amparo.</w:t>
      </w:r>
    </w:p>
    <w:p w:rsidR="0025129F" w:rsidRDefault="0025129F" w:rsidP="0025129F">
      <w:pPr>
        <w:pStyle w:val="TextoNormal"/>
      </w:pPr>
      <w:r>
        <w:t>A tal efecto, es preciso recordar que las actuaciones remitidas por los órganos judiciales actuantes ponen de relieve que doña Isabel Ariza Fernández fue condenada por Sentencia de 2 de junio de 1998, dictada por el Juzgado de Instrucción núm. 1 de Torrox en el juicio de faltas núm. 200/97, como autora de una falta de lesiones del art. 617 CP, a la pena de multa de dos meses, a razón de 1.000 pesetas por día, o 30 días de arresto sustitutorio en caso de impago o insolvencia, así como a indemnizar a doña Diamela Martín Heredia en 236.600 pesetas. Dicha Sentencia fue notificada con fecha 11 de junio de 1998 a la representación procesal de doña Isabel Ariza Fernández, pero no se notificó personalmente a la hoy recurrente que, mediante escrito presentado el 14 de julio de 1998, interpuso recurso de apelación contra la resolución condenatoria. Tal recurso fue inadmitido por extemporáneo, al considerar los órganos judiciales que el cómputo del plazo se inició con la notificación de la Sentencia al Procurador de la demandante de amparo, obviando el hecho de que no se había realizado notificación personal a la condenada.</w:t>
      </w:r>
    </w:p>
    <w:p w:rsidR="0025129F" w:rsidRDefault="0025129F" w:rsidP="0025129F">
      <w:pPr>
        <w:pStyle w:val="TextoNormal"/>
      </w:pPr>
      <w:r>
        <w:t>La normativa de aplicación al caso determina que la Sentencia dictada en el juicio de faltas "es apelable en el plazo de los cinco días siguientes al de su notificación" (art. 976, párrafo 1, LECrim).  Asimismo, y con carácter general, el art. 212, párrafo 1, LECrim dispone que "el recurso de apelación se entablará dentro de cinco días, a contar desde el siguiente al de la última notificación de la resolución judicial que fuere su objeto hecha a los que expresa el artículo anterior", precepto que se refiere a "los que sean parte en el juicio". Por lo que se refiere a las notificaciones, el art. 182, párrafo 1, LECrim establece, como regla general, que "las notificaciones ... podrán hacerse a los Procuradores de las partes", mientras que, con referencia a las Sentencias definitivas, el art. 160, párrafos 1 y 2, de la misma Ley previene que "se leerán y notificarán a las partes y a sus Procuradores en todo juicio oral el mismo día en que se firmen o, a lo más, en el siguiente. Si por cualquier circunstancia o accidente no se encontrare a las partes al ir a hacerles la notificación personal, se hará constar por diligencia y bastará en tal caso con la notificación hecha a sus Procuradores".</w:t>
      </w:r>
    </w:p>
    <w:p w:rsidR="0025129F" w:rsidRDefault="0025129F" w:rsidP="0025129F">
      <w:pPr>
        <w:pStyle w:val="TextoNormal"/>
      </w:pPr>
      <w:r>
        <w:t>Del último de los preceptos citados se deduce que las Sentencias dictadas tras la celebración de juicio oral -como es el caso de los juicios de faltas-, habrán de notificarse no sólo a los Procuradores, sino también personalmente a las partes, y así lo ha reconocido este Tribunal, entre otros pronunciamientos, en los AATC 160/1982, de 5 de mayo (FJ 2), y 662/1985, de 2 de octubre (FJ 2). Tal consideración también estuvo presente en los supuestos resueltos por las SSTC 190/1994, de 20 de junio, y 88/1997, de 5 de mayo. En esta última dijimos que "Frente a una Sentencia que, en principio, requiere doble notificación a tenor del art. 160 LECrim, la Audiencia Provincial ... desconoce uno de los principales efectos de dicha garantía excepcional, cual es la del inicio del cómputo del plazo cuando la notificación se completa o, al menos, cuando se produce la notificación que tiene por destinatario al interesado. Lo desconoce, además, sin explicación alguna que pudiera revelar la razonabilidad de la medida y generando la indefensión propia de quien se ve privado de recurrir en demanda de su absolución de una condena penal por confiar, en una interpretación no irrazonable, en que aún no había comenzado el plazo que le concede para ello la legislación procesal aplicable" (FJ 4). A su vez, en la primera de las Sentencias citadas concluimos que "no puede considerarse adecuada a las garantías consagradas en el art. 24.1 CE una interpretación judicial que considera extemporánea la presentación del escrito cuando aún no había transcurrido el plazo de cinco días desde la última notificación, porque produce un efecto desproporcionadamente gravoso en el derecho del recu</w:t>
      </w:r>
      <w:r>
        <w:lastRenderedPageBreak/>
        <w:t>rrente a que su causa sea revisada por un Tribunal superior, que no se justifica por la salvaguardia de otros valores apreciables desde la perspectiva del propio art. 24.1 CE" (FJ 3).</w:t>
      </w:r>
    </w:p>
    <w:p w:rsidR="0025129F" w:rsidRDefault="0025129F" w:rsidP="0025129F">
      <w:pPr>
        <w:pStyle w:val="TextoNormal"/>
      </w:pPr>
      <w:r>
        <w:t>Pues bien, en el caso presente, la situación es similar a la planteada en los mencionados pronunciamientos, ya que las resoluciones judiciales cuestionadas obviaron la necesaria notificación personal de la Sentencia a la demandante de amparo, de acuerdo con la previsión del art. 160, párrafo 1, LECrim, y establecieron el dies a quo para el cómputo del plazo para apelar la Sentencia dictada por el Juzgado de Instrucción núm. 1 de Torrox a partir de su notificación al Procurador de la actora, siendo así que dicho plazo aún no podía haber comenzado a correr, al no haberse producido el hecho al que la normativa legal referida, teleológicamente interpretada desde la perspectiva del art. 24.1 CE, vincula el inicio del cómputo del plazo de apelación: la notificación personal de la Sentencia a la condenada.  Omitida la preceptiva notificación personal, el reiterado plazo debía comenzar su transcurso desde el momento en que la propia recurrente se dio por enterada de la Sentencia, esto es, cuando interpuso contra ella el correspondiente recurso de apelación.</w:t>
      </w:r>
    </w:p>
    <w:p w:rsidR="0025129F" w:rsidRDefault="0025129F" w:rsidP="0025129F">
      <w:pPr>
        <w:pStyle w:val="TextoNormal"/>
      </w:pPr>
      <w:r>
        <w:t>Por consiguiente, examinadas las circunstancias del caso a la luz de la legalidad procesal aplicable, interpretada en consonancia con el art. 24.1 CE, hay que concluir que la decisión de inadmisión adoptada por el Juzgado de Instrucción núm. 1 de Torrox y por la Audiencia Provincial de Málaga no sólo resultó desproporcionada y, en consecuencia, restrictiva del derecho de acceso al recurso, por lo que lesionó el derecho a la tutela judicial efectiva de la demandante de amparo, en su vertiente del derecho de acceso al recurso en materia penal por parte de la condenada, haciendo recaer sobre ésta las consecuencias negativas de la omisión en que incurrió el citado Juzgado a la hora de notificar la Sentencia dictada en el juicio de faltas núm. 200/97.</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el recurso de amparo interpuesto por doña Isabel Ariza Fernández y, en su virtud:</w:t>
      </w:r>
    </w:p>
    <w:p w:rsidR="0025129F" w:rsidRDefault="0025129F" w:rsidP="0025129F">
      <w:pPr>
        <w:pStyle w:val="TextoNormal"/>
      </w:pPr>
      <w:r>
        <w:t>1º Declarar que se ha vulnerado el derecho de la recurrente a la tutela judicial efectiva (art. 24.1 CE), en su vertiente de acceso a la segunda instancia penal.</w:t>
      </w:r>
    </w:p>
    <w:p w:rsidR="0025129F" w:rsidRDefault="0025129F" w:rsidP="0025129F">
      <w:pPr>
        <w:pStyle w:val="TextoNormal"/>
      </w:pPr>
      <w:r>
        <w:t>2º Restablecerla en el citado derecho y, a tal fin, anular el Auto de la Audiencia Provincial de Málaga de 24 de mayo de 1999, recaído en el rollo de queja núm. 38/99, el Auto del Juzgado de Instrucción núm. 1 de Torrox, fechado el 19 de diciembre de 1998, y la providencia del mismo Juzgado de 5 de noviembre de 1998.</w:t>
      </w:r>
    </w:p>
    <w:p w:rsidR="0025129F" w:rsidRDefault="0025129F" w:rsidP="0025129F">
      <w:pPr>
        <w:pStyle w:val="TextoNormal"/>
      </w:pPr>
      <w:r>
        <w:t>3º Retrotraer las actuaciones al momento inmediatamente anterior a dictarse por el Juzgado la providencia anulada, para que por el citado órgano judicial se dicte otra que respete el derecho fundamental reconocido.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5" w:name="SENTENCIA_2002_92"/>
      <w:r>
        <w:lastRenderedPageBreak/>
        <w:t>SENTENCIA 92/2002, de 22 de abril de 2002</w:t>
      </w:r>
    </w:p>
    <w:bookmarkEnd w:id="95"/>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ECLI:ES:TC:2002:92</w:t>
      </w:r>
    </w:p>
    <w:p w:rsidR="0025129F" w:rsidRDefault="0025129F" w:rsidP="0025129F">
      <w:pPr>
        <w:pStyle w:val="SntesisDescriptiva"/>
      </w:pPr>
    </w:p>
    <w:p w:rsidR="0025129F" w:rsidRDefault="0025129F" w:rsidP="0025129F">
      <w:pPr>
        <w:pStyle w:val="SntesisDescriptiva"/>
      </w:pPr>
      <w:r>
        <w:t>Recurso de amparo 4021/1999. Promovido por don Pedro Fernández Estévez respecto a los Autos de la Audiencia Provincial y de un Juzgado de Instrucción de Ourense que autorizaron al Ayuntamiento a entrar en una finca para demoler una nave industrial.</w:t>
      </w:r>
    </w:p>
    <w:p w:rsidR="0025129F" w:rsidRDefault="0025129F" w:rsidP="0025129F">
      <w:pPr>
        <w:pStyle w:val="SntesisDescriptiva"/>
      </w:pPr>
    </w:p>
    <w:p w:rsidR="0025129F" w:rsidRDefault="0025129F" w:rsidP="0025129F">
      <w:pPr>
        <w:pStyle w:val="SntesisAnaltica"/>
      </w:pPr>
      <w:r>
        <w:t>Vulneración del derecho a la tutela judicial efectiva: autorización de entrada en lugar cerrado por un Juzgado penal que interfiere con un contencioso-administrativo pendiente (STC 199/1998).</w:t>
      </w:r>
    </w:p>
    <w:p w:rsidR="0025129F" w:rsidRDefault="0025129F" w:rsidP="0025129F">
      <w:pPr>
        <w:pStyle w:val="SntesisAnaltica"/>
      </w:pPr>
    </w:p>
    <w:p w:rsidR="0025129F" w:rsidRDefault="0025129F" w:rsidP="0025129F">
      <w:pPr>
        <w:pStyle w:val="Extracto"/>
      </w:pPr>
      <w:r>
        <w:t>1.</w:t>
      </w:r>
      <w:r>
        <w:tab/>
        <w:t>Una vez iniciado el proceso contencioso-administrativo, en el que se discute sobre la legalidad y ejecución de un acto administrativo que implique la entrada en domicilio, el acto no puede ser ejecutado por la Administración, ni otro órgano judicial distinto, hasta que no se tome la decisión al respecto por el Tribunal competente (STC 199/1998) [FJ 3].</w:t>
      </w:r>
    </w:p>
    <w:p w:rsidR="0025129F" w:rsidRDefault="0025129F" w:rsidP="0025129F">
      <w:pPr>
        <w:pStyle w:val="Extracto"/>
      </w:pPr>
    </w:p>
    <w:p w:rsidR="0025129F" w:rsidRDefault="0025129F" w:rsidP="0025129F">
      <w:pPr>
        <w:pStyle w:val="Extracto"/>
      </w:pPr>
      <w:r>
        <w:t>2.</w:t>
      </w:r>
      <w:r>
        <w:tab/>
        <w:t>En el momento de incoar las diligencias indeterminadas el Juzgado de Instrucción, por providencia de 20 de enero de 1998, el recurrente ya había interpuesto recurso contencioso-administrativo, con fecha 9 de enero de 1998, solicitando la suspensión del acuerdo del Ayuntamiento de 24 de octubre de 1997 de proceder a la ejecución subsidiaria de la demolición de la nave [FJ 4].</w:t>
      </w:r>
    </w:p>
    <w:p w:rsidR="0025129F" w:rsidRDefault="0025129F" w:rsidP="0025129F">
      <w:pPr>
        <w:pStyle w:val="Extracto"/>
      </w:pPr>
    </w:p>
    <w:p w:rsidR="0025129F" w:rsidRDefault="0025129F" w:rsidP="0025129F">
      <w:pPr>
        <w:pStyle w:val="Extracto"/>
      </w:pPr>
      <w:r>
        <w:t>3.</w:t>
      </w:r>
      <w:r>
        <w:tab/>
        <w:t>El Auto de la Audiencia Provincial de 12 de marzo de 1999, que confirmó las resoluciones dictadas por el Juzgado en febrero y abril de 1998, no tuvo en cuenta la derogación del artículo 87.2 de la Ley Orgánica del Poder Judicial mediante la Ley Orgánica 6/1998, de 13 de julio (BOE de 14 de julio siguiente), ni la doctrina de la STC 199/1998 (publicada en el BOE de 18 de noviembre de 1998) [FJ 4].</w:t>
      </w:r>
    </w:p>
    <w:p w:rsidR="0025129F" w:rsidRDefault="0025129F" w:rsidP="0025129F">
      <w:pPr>
        <w:pStyle w:val="Extracto"/>
      </w:pPr>
    </w:p>
    <w:p w:rsidR="0025129F" w:rsidRDefault="0025129F" w:rsidP="0025129F">
      <w:pPr>
        <w:pStyle w:val="Extracto"/>
      </w:pPr>
      <w:r>
        <w:t>4.</w:t>
      </w:r>
      <w:r>
        <w:tab/>
        <w:t>Resulta inviable por prematura la alegada indefensión en el procedimiento administrativo, porque todavía no se ha pronunciado sobre ellas la jurisdicción contencioso-administrativa (STC 247/2000)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4021/99, promovido por don Pedro Fernández Estévez, representado por el Procurador de los Tribunales don Fernando Pérez Cruz y asistido por el Abogado don Enrique A. Álvarez Santana, contra el Auto de fecha 12 de marzo de 1999, de la Audiencia Provincial de Ourense, que desestimó el recurso de apelación interpuesto contra el dictado el 18 de abril de 1998 por el Juzgado de Instrucción núm. 1 de Ourense, desestimatorio del recurso de reforma contra otro del mismo Juzgado, de 12 de febrero de 1998, en las diligencias indeterminadas 10/98. Ha intervenido el Ministerio Fiscal. Ha sido Ponente el Magistrado don Tomás S. Vives Antón,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el 29 de septiembre de 1999, el Procurador de los Tribunales don Fernando Pérez Cruz, en nombre y representación de don Pedro Fernández Estévez, interpuso recurso de amparo contra la resolución a la que se hace referencia en el encabezamiento, alegando vulneración del derecho a la tutela judicial efectiva (art. 24.1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hechos de los que trae causa la demanda de amparo relevantes para la resolución del caso son, en síntesis, los siguientes: </w:t>
      </w:r>
    </w:p>
    <w:p w:rsidR="0025129F" w:rsidRDefault="0025129F" w:rsidP="0025129F">
      <w:pPr>
        <w:pStyle w:val="TextoNormal"/>
      </w:pPr>
      <w:r>
        <w:t xml:space="preserve">a) El Ayuntamiento de Ourense tramitó el expediente de infracción urbanística núm. 304/96, dictándose Acuerdo de la Comisión Municipal de Gobierno adoptado en la sesión extraordinaria de 16 de octubre de 1996 por el que se requirió al demandante de amparo "para que en el plazo de un mes proceda a la demolición de las obras en construcción de la nave sita en Quintela de Canedo (Ctra. de Castro de Beiro) a tenor del art. 248.1 a) del texto refundido de la Ley del Suelo de 1992, teniendo en cuenta que transcurrido el plazo que por Ley se concede no se han presentado alegaciones, significando al interesado que en caso contrario, la demolición se efectuará subsidiariamente y a su costa por este Ayuntamiento". </w:t>
      </w:r>
    </w:p>
    <w:p w:rsidR="0025129F" w:rsidRDefault="0025129F" w:rsidP="0025129F">
      <w:pPr>
        <w:pStyle w:val="TextoNormal"/>
      </w:pPr>
      <w:r>
        <w:t xml:space="preserve">El Pleno del Ayuntamiento, en sesión extraordinaria celebrada el día 24 de octubre de 1997, acordó "proceder a la ejecución subsidiaria y por este Ayuntamiento y a costa del infractor de la demolición de la estructura de hormigón de nave industrial sita en Ctra. de Castro de Beiro, Quintanela, propiedad de D. Pedro Fernández Estévez, a tenor de lo dispuesto en el art. 175.5 LSG/97, previa solicitud del correspondiente mandamiento judicial de entrada en la propiedad." </w:t>
      </w:r>
    </w:p>
    <w:p w:rsidR="0025129F" w:rsidRDefault="0025129F" w:rsidP="0025129F">
      <w:pPr>
        <w:pStyle w:val="TextoNormal"/>
      </w:pPr>
      <w:r>
        <w:t xml:space="preserve">El demandante de amparo interpuso en tiempo y forma recurso contencioso-administrativo ante la Sala de lo Contencioso-Administrativo del Tribunal Superior de Justicia de Galicia, solicitando la suspensión del acto administrativo, incoándose el expediente 4092/98. </w:t>
      </w:r>
    </w:p>
    <w:p w:rsidR="0025129F" w:rsidRDefault="0025129F" w:rsidP="0025129F">
      <w:pPr>
        <w:pStyle w:val="TextoNormal"/>
      </w:pPr>
      <w:r>
        <w:t>b) Con fecha 3 de diciembre de 1997 el Ayuntamiento de Ourense remitió un oficio al Juzgado de Instrucción de guardia solicitando, de acuerdo con el art. 87.2 LOPJ, autorización de entrada en el domicilio del aquí recurrente a fin de proceder a la ejecución subsidiaria de la demolición de la mencionada estructura, que fue turnado al Juzgado de Ins</w:t>
      </w:r>
      <w:r>
        <w:lastRenderedPageBreak/>
        <w:t xml:space="preserve">trucción núm. 1 de Ourense, el cual incoó las diligencias indeterminadas 10/98, dictando Auto de fecha 12 de febrero de 1998 por el que declara procedente autorizar la entrada solicitada al existir motivos bastantes para considerar que la misma es necesaria para la efectividad de la ejecución forzosa. </w:t>
      </w:r>
    </w:p>
    <w:p w:rsidR="0025129F" w:rsidRDefault="0025129F" w:rsidP="0025129F">
      <w:pPr>
        <w:pStyle w:val="TextoNormal"/>
      </w:pPr>
      <w:r>
        <w:t xml:space="preserve">c) Frente a la anterior resolución el demandante de amparo interpuso recurso de reforma, alegando que había solicitado al Ayuntamiento la oportuna tramitación de licencia para la construcción de la obra sin que aquél hubiera dictado resolución alguna, y aduciendo que había contestado a los escritos enviados por el Ayuntamiento en el citado expediente de disciplina urbanística, sin haberle remitido aquél documento alguno. Añadía asimismo que había interpuesto ante el Tribunal Superior de Justicia de Galicia recurso contencioso- administrativo contra el acuerdo del Ayuntamiento que había dado pie al Auto impugnado, solicitando la suspensión del acto administrativo, por lo que éste carecía de firmeza. Se alegaba finalmente que la pretensión de la parte era impedir al Ayuntamiento ejecutar el acto adoptado en ejercicio de sus competencias, dado que los actos administrativos son inmediatamente ejecutivos, correspondiendo su suspensión a la jurisdicción contencioso- administrativa y no a los Juzgados de Instrucción. </w:t>
      </w:r>
    </w:p>
    <w:p w:rsidR="0025129F" w:rsidRDefault="0025129F" w:rsidP="0025129F">
      <w:pPr>
        <w:pStyle w:val="TextoNormal"/>
      </w:pPr>
      <w:r>
        <w:t xml:space="preserve">El recurso fue desestimado por Auto del citado Juzgado, de fecha 18 de abril de 1998, en el que se declara que no corresponde al Juez de Instrucción la fiscalización de la legalidad de la actuación administrativa, por ser ésta una función que compete al orden jurisdiccional contencioso-administrativo, lo cual tiene refrendo en la doctrina del Tribunal Constitucional (STC 144/1987) y, en consecuencia, lo único que debe asegurar el Juez en la autorización de entrada en el domicilio es que ésta se requiera efectivamente en ejecución de un acto que prima facie aparece dictado por la autoridad competente en ejercicio de facultades propias. </w:t>
      </w:r>
    </w:p>
    <w:p w:rsidR="0025129F" w:rsidRDefault="0025129F" w:rsidP="0025129F">
      <w:pPr>
        <w:pStyle w:val="TextoNormal"/>
      </w:pPr>
      <w:r>
        <w:t xml:space="preserve">d) Contra la resolución anterior el demandante de amparo interpuso recurso de apelación, reproduciendo las anteriores alegaciones, e invocando jurisprudencia constitucional para denunciar la falta de notificación de las resoluciones recaídas en el procedimiento administrativo, lo cual debía ser tenido en cuenta por el Juzgado para garantizar el derecho constitucional a la inviolabilidad domiciliaria. Se reiteró asimismo la falta de firmeza del acto administrativo dada la interposición del correspondiente recurso contencioso-administrativo. </w:t>
      </w:r>
    </w:p>
    <w:p w:rsidR="0025129F" w:rsidRDefault="0025129F" w:rsidP="0025129F">
      <w:pPr>
        <w:pStyle w:val="TextoNormal"/>
      </w:pPr>
      <w:r>
        <w:t>El recurso de apelación fue desestimado por Auto de la Audiencia Provincial de Ourense, de 12 de marzo de 1999, en el que se declara que, de acuerdo con la doctrina del Tribunal Constitucional, la función del Juez de Instrucción en la ejecución administrativa, como garante del derecho a la inviolabilidad de domicilio (art. 18.2 CE), no le convierte en Juez de la legalidad ni de la ejecutividad de los actos administrativos, debiendo verificar la apariencia de legalidad del acto administrativo y asegurándose que la entrada en el domicilio es estrictamente necesaria para la ejecución de aquél, garantizando que la misma se lleva a cabo sin más limitaciones que las imprescindibles. Se afirma que en este caso el Juez de Instrucción, al autorizar la entrada y registro en la propiedad del recurrente, valoró correctamente los extremos exigidos por la doctrina constitucional, y cualquier otra petición que exceda de lo anterior debe hacerse ante los Tribunales de la jurisdicción contencioso- administrativa, únicos competentes para el conocimiento del contenido intrínseco del acto.</w:t>
      </w:r>
    </w:p>
    <w:p w:rsidR="0025129F" w:rsidRDefault="0025129F" w:rsidP="0025129F">
      <w:pPr>
        <w:pStyle w:val="TextoNormal"/>
      </w:pPr>
    </w:p>
    <w:p w:rsidR="0025129F" w:rsidRDefault="0025129F" w:rsidP="0025129F">
      <w:pPr>
        <w:pStyle w:val="TextoNormal"/>
      </w:pPr>
      <w:r w:rsidRPr="0025129F">
        <w:rPr>
          <w:rStyle w:val="NumeroAFNegritaCaracter"/>
        </w:rPr>
        <w:t>3</w:t>
      </w:r>
      <w:r>
        <w:t>. En la demanda de amparo se alega vulneración del derecho a la tutela judicial efectiva (art. 24.1 CE) con base en dos motivos. En primer lugar, que el Ayuntamiento de Ourense, sin existir una resolución firme en Derecho, obtuvo del Juzgado competente la auto</w:t>
      </w:r>
      <w:r>
        <w:lastRenderedPageBreak/>
        <w:t xml:space="preserve">rización que le permite ejecutar la demolición de una obra, previa entrada en el domicilio del recurrente, tras un procedimiento viciado en el que éste se vio en una situación de indefensión al negársele la posibilidad de obtener la vista del expediente administrativo. En segundo lugar, que la resolución de la Audiencia Provincial de Ourense no se pronuncia sobre la vulneración del derecho a obtener información de los órganos administrativos, y no realiza una valoración de la legalidad del procedimiento administrativo ni analiza la existencia de un proceso contencioso-administrativo, lesionando el derecho a obtener una resolución motivada. </w:t>
      </w:r>
    </w:p>
    <w:p w:rsidR="0025129F" w:rsidRDefault="0025129F" w:rsidP="0025129F">
      <w:pPr>
        <w:pStyle w:val="TextoNormal"/>
      </w:pPr>
      <w:r>
        <w:t>Por ello se solicita el otorgamiento del amparo y la nulidad de los Autos de entrada en domicilio dictados por el Juzgado de Instrucción núm. 1 de Ourense, así como del Auto de la Audiencia Provincial que los confirmó, retrotrayendo las actuaciones al momento en que el demandante interesó que se le diera vista y copia del expediente administrativo.</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23 de mayo de 2000 la Sala Segunda del Tribunal acordó la admisión a trámite de la demanda de amparo y, en aplicación de lo dispuesto en el art. 51 LOTC, dirigir atenta comunicación a los órganos judiciales para que remitieran la certificación adverada de las actuaciones y emplazaran a quienes hubieran sido parte en el procedimiento, excepto al demandante de amparo, a fin de que en el término de diez días pudieran comparecer en este proceso y formular alegaciones.</w:t>
      </w:r>
    </w:p>
    <w:p w:rsidR="0025129F" w:rsidRDefault="0025129F" w:rsidP="0025129F">
      <w:pPr>
        <w:pStyle w:val="TextoNormal"/>
      </w:pPr>
    </w:p>
    <w:p w:rsidR="0025129F" w:rsidRDefault="0025129F" w:rsidP="0025129F">
      <w:pPr>
        <w:pStyle w:val="TextoNormal"/>
      </w:pPr>
      <w:r w:rsidRPr="0025129F">
        <w:rPr>
          <w:rStyle w:val="NumeroAFNegritaCaracter"/>
        </w:rPr>
        <w:t>5</w:t>
      </w:r>
      <w:r>
        <w:t>. Mediante diligencia de ordenación de 22 de febrero de 2001 la Sala Segunda acordó dar vista de las actuaciones recibidas, por un plazo común de veinte días, a la parte recurrente y al Ministerio Fiscal para que, de conformidad con el art. 52.1 LOTC, presentaran las alegaciones que estimaran pertinentes.</w:t>
      </w:r>
    </w:p>
    <w:p w:rsidR="0025129F" w:rsidRDefault="0025129F" w:rsidP="0025129F">
      <w:pPr>
        <w:pStyle w:val="TextoNormal"/>
      </w:pPr>
    </w:p>
    <w:p w:rsidR="0025129F" w:rsidRDefault="0025129F" w:rsidP="0025129F">
      <w:pPr>
        <w:pStyle w:val="TextoNormal"/>
      </w:pPr>
      <w:r w:rsidRPr="0025129F">
        <w:rPr>
          <w:rStyle w:val="NumeroAFNegritaCaracter"/>
        </w:rPr>
        <w:t>6</w:t>
      </w:r>
      <w:r>
        <w:t>. En su escrito de alegaciones registrado el 24 de marzo de 2001, el recurrente reitera que la falta de remisión del expediente administrativo por parte del Ayuntamiento le causó indefensión, y que en su momento interpuso recurso contencioso-administrativo frente al acuerdo del Ayuntamiento que dio pié al Auto impugnado. Aduce que el Juzgado de Instrucción, competente para la autorización de la entrada en domicilio, carece de conocimientos para valorar la legalidad del acto administrativo previo, lo cual vendría corroborado por la reforma de la LOPJ, y por ello la resolución de aquel órgano judicial vulnera el art. 24 CE al fundamentarla en una simple apariencia de legalidad.</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Por su parte el Ministerio Fiscal presentó su escrito de alegaciones el 20 de marzo de 2001, en el cual interesa que se dicte Sentencia declarando la vulneración del derecho a la tutela judicial efectiva del recurrente, y, a fin de restablecerlo en su derecho, se anulen los Autos del Juzgado de Instrucción recurridos, así como el de la Audiencia Provincial que los confirma. A juicio del Fiscal las resoluciones impugnadas no incurren en un vicio de incongruencia omisiva, tal como parece denunciar el recurrente, puesto que los órganos judiciales dieron respuesta expresa y negativa a sus alegaciones, al especificar la competencia de los órganos penales en las "autorizaciones administrativas", lo que les exime de entrar en la legalidad o ejecutividad del acto administrativo. </w:t>
      </w:r>
    </w:p>
    <w:p w:rsidR="0025129F" w:rsidRDefault="0025129F" w:rsidP="0025129F">
      <w:pPr>
        <w:pStyle w:val="TextoNormal"/>
      </w:pPr>
      <w:r>
        <w:t xml:space="preserve">Sin embargo, el hecho de que aquéllos negaran cualquier relevancia a la alegada pendencia del proceso contencioso-administrativo, y a las consecuencias que para el mismo podían derivarse de la concesión de la autorización solicitada e inmediata ejecución del acto administrativo, entrañó una vulneración del derecho a la tutela judicial efectiva del </w:t>
      </w:r>
      <w:r>
        <w:lastRenderedPageBreak/>
        <w:t xml:space="preserve">recurrente. Ello sería particularmente significativo en el Auto que resolvió el recurso de apelación, puesto que al tiempo de dictarse el mismo habían acaecido dos hechos de singular trascendencia: se había derogado el art. 87.2 LOPJ mediante la Ley Orgánica 6/1998, de 13 de julio; y se había dictado la STC 199/1998, en la que se declaró que, una vez iniciado el proceso contencioso- administrativo en el que se discute sobre la legalidad y ejecución de un acto administrativo, el supuesto ya no entra en al art. 87.2 LOPJ, sino que es el órgano judicial del orden contencioso-administrativo el que debe acordar, en su caso, la ejecución sin necesidad de la autorización de entrada en el domicilio contemplada en el art. 18.2 CE, doctrina que ha sido reiterada posteriormente en la STC 283/2000. </w:t>
      </w:r>
    </w:p>
    <w:p w:rsidR="0025129F" w:rsidRDefault="0025129F" w:rsidP="0025129F">
      <w:pPr>
        <w:pStyle w:val="TextoNormal"/>
      </w:pPr>
      <w:r>
        <w:t>Concluye el Fiscal que al marginar o desdeñar las alegaciones del recurrente sobre la pendencia del recurso contencioso-administrativo, y omitir cualquier análisis sobre el precepto derogado, sustrayendo el conocimiento a los órganos judiciales competentes, se habría causado una lesión al derecho fundamental a la tutela del recurrente y por ello el recurso de amparo debe ser estimado.</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18 de abril de 2002, se señaló el día 22 siguiente, para deliberación y votación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el Auto de la Audiencia Provincial de Ourense, de 12 de marzo de 1999, que confirmó en apelación los dictados por el Juzgado de Instrucción núm. 1 de Ourense en las diligencias indeterminadas 10/98, autorizando al Ayuntamiento de aquella ciudad la entrada en el domicilio del recurrente con arreglo a lo dispuesto en el art. 87.2 LOPJ.</w:t>
      </w:r>
    </w:p>
    <w:p w:rsidR="0025129F" w:rsidRDefault="0025129F" w:rsidP="0025129F">
      <w:pPr>
        <w:pStyle w:val="TextoNormal"/>
      </w:pPr>
      <w:r>
        <w:t>Tal como ha quedado expuesto en los antecedentes, el Ayuntamiento de Ourense incoó expediente administrativo por infracción urbanística al ahora recurrente, y el 16 de octubre de 1996 acordó la demolición de una nave que aquél había edificado en su propiedad sin haber obtenido la pertinente licencia municipal. Posteriormente, con fecha 24 de octubre de 1997, el Consistorio acordó proceder a la ejecución subsidiaria de la demolición por parte del Ayuntamiento, previa solicitud del correspondiente mandamiento judicial de entrada en propiedad, lo cual fue recurrido por el solicitante de amparo ante la jurisdicción contencioso- administrativa, interesando la suspensión del acto administrativo. Con fecha 3 de diciembre de 1997 el Ayuntamiento solicitó al Juez de Instrucción la autorización para entrar en la finca y ejecutar forzosamente la sanción administrativa, al amparo de lo dispuesto en el art. 87.2 LOPJ, vigente entonces, y el Juzgado de Instrucción núm. 1 de Ourense incoó diligencias indeterminadas con fecha 20 de enero de 1998.</w:t>
      </w:r>
    </w:p>
    <w:p w:rsidR="0025129F" w:rsidRDefault="0025129F" w:rsidP="0025129F">
      <w:pPr>
        <w:pStyle w:val="TextoNormal"/>
      </w:pPr>
      <w:r>
        <w:t xml:space="preserve">Dicho Juzgado autorizó en su Auto de 12 de febrero de 1998 la entrada en la finca del recurrente a la vista de la apariencia de legalidad del acto administrativo, lo cual fue confirmado mediante Auto de 18 de abril de 1998, que desestimó el recurso de reforma interpuesto contra el anterior, señalando que el Juzgado no era competente para controlar la legalidad del acto administrativo, correspondiéndole únicamente la garantía de la inviolabilidad domiciliaria.  Recurrido este último en apelación, la Audiencia Provincial dictó Auto desestimatorio con fecha 12 de marzo de 1999, declarando que el Juez instructor se ciñó a sus competencias como garante del derecho consagrado en el art. 18.2 CE, que eran las de examinar la apariencia de legalidad del acto, la necesidad de entrada en la finca, y el </w:t>
      </w:r>
      <w:r>
        <w:lastRenderedPageBreak/>
        <w:t>respeto a las garantías pertinentes para que la intervención en aquel derecho fundamental resultara la mínima indispensable.</w:t>
      </w:r>
    </w:p>
    <w:p w:rsidR="0025129F" w:rsidRDefault="0025129F" w:rsidP="0025129F">
      <w:pPr>
        <w:pStyle w:val="TextoNormal"/>
      </w:pPr>
      <w:r>
        <w:t>Alega el demandante de amparo que las resoluciones recurridas vulneraron el derecho a la tutela judicial efectiva (art. 24.1 CE) por cuanto concedieron al Ayuntamiento de Ourense la autorización para ejecutar la demolición de una obra, previa entrada en su domicilio, sin existir una resolución firme en Derecho, al haber recurrido el acuerdo municipal en vía contencioso- administrativa, y tras un procedimiento viciado en el que se le negó la posibilidad de obtener la vista del expediente administrativo.</w:t>
      </w:r>
    </w:p>
    <w:p w:rsidR="0025129F" w:rsidRDefault="0025129F" w:rsidP="0025129F">
      <w:pPr>
        <w:pStyle w:val="TextoNormal"/>
      </w:pPr>
      <w:r>
        <w:t>Por otra parte la resolución de la Audiencia Provincial también infringiría el art. 24.1 CE al no pronunciarse sobre la queja relativa a la vulneración del derecho a obtener información de los órganos administrativos, y al no realizar una valoración de la legalidad del procedimiento administrativo ni analizar la existencia de un recurso contencioso- administrativo pendiente de resolución.</w:t>
      </w:r>
    </w:p>
    <w:p w:rsidR="0025129F" w:rsidRDefault="0025129F" w:rsidP="0025129F">
      <w:pPr>
        <w:pStyle w:val="TextoNormal"/>
      </w:pPr>
      <w:r>
        <w:t>El Ministerio Fiscal, por su parte, interesa que se otorgue el amparo por entender que las resoluciones impugnadas vulneran el derecho a la tutela judicial efectiva del recurrente. Y ello, no tanto por incurrir en incongruencia omisiva, como parece alegarse en la demanda de amparo, cuanto por negar cualquier relevancia a la pendencia de un recurso contencioso-administrativo contra los acuerdos municipales, sin tener en cuenta las consecuencias que para aquel proceso podían derivarse de la concesión de la autorización de entrada y ejecución del acto. Reputa especialmente lesivo el Auto de la Audiencia Provincial, dictado después de haber sido derogado el apartado 2 del art. 87 LOPJ, y cuando ya se había dictado la STC 199/1998, de 13 de octubre, en la que este Tribunal sentó la doctrina sobre las "entradas administrativas" en los domicilios, declarando que, una vez iniciado un proceso contencioso-administrativo en el que se discute la legalidad y la ejecución o suspensión de un acto administrativo, es el órgano judicial de aquel orden el que sigue ostentando su potestad sobre la cuestión y el obligado a otorgar la tutela, con lo que en definitiva es competente para acordar, en su caso, la ejecución sin necesidad de la autorización de entrada contemplada en el art. 18.2 CE.</w:t>
      </w:r>
    </w:p>
    <w:p w:rsidR="0025129F" w:rsidRDefault="0025129F" w:rsidP="0025129F">
      <w:pPr>
        <w:pStyle w:val="TextoNormal"/>
      </w:pPr>
    </w:p>
    <w:p w:rsidR="0025129F" w:rsidRDefault="0025129F" w:rsidP="0025129F">
      <w:pPr>
        <w:pStyle w:val="TextoNormal"/>
      </w:pPr>
      <w:r w:rsidRPr="0025129F">
        <w:rPr>
          <w:rStyle w:val="NumeroAFNegritaCaracter"/>
        </w:rPr>
        <w:t>2</w:t>
      </w:r>
      <w:r>
        <w:t>. Conviene delimitar con carácter previo el objeto del presente recurso de amparo a la vista de las sucintas alegaciones contenidas en la demanda. El recurrente aduce vulneración del derecho a la tutela judicial efectiva con base en dos motivos, pero en realidad plantea varias quejas, algunas dirigidas a la previa actuación administrativa. Respecto de estas últimas, como la relativa a la indefensión en el proceso administrativo, la demanda es procesalmente inviable por prematura [arts. 50.1 a) y 44.1 a) LOTC], porque todavía no se ha pronunciado sobre ellas la jurisdicción contencioso- administrativa, no pudiendo el recurrente hacer valer tales vulneraciones per saltum ante este Tribunal Constitucional (por todas, STC 247/2000, de 16 de octubre, FJ 2).</w:t>
      </w:r>
    </w:p>
    <w:p w:rsidR="0025129F" w:rsidRDefault="0025129F" w:rsidP="0025129F">
      <w:pPr>
        <w:pStyle w:val="TextoNormal"/>
      </w:pPr>
      <w:r>
        <w:t>Debe asimismo descartarse la queja por una pretendida incongruencia omisiva en la que habrían incurrido los órganos judiciales, en especial la Audiencia Provincial, al no responder en sus resoluciones a las alegaciones relativas a los vicios de legalidad en la tramitación del expediente administrativo. Como sostiene el Ministerio Fiscal no puede apreciarse tal incongruencia, puesto que los órganos judiciales dieron respuesta expresa y negativa a tales alegaciones al afirmar y delimitar la competencia de los órganos penales en el trámite del art.  87.2 LOPJ, que según declaran, con apoyo en nuestra jurisprudencia, excluye cualquier análisis sobre la legalidad o ejecutividad del acto administrativo.</w:t>
      </w:r>
    </w:p>
    <w:p w:rsidR="0025129F" w:rsidRDefault="0025129F" w:rsidP="0025129F">
      <w:pPr>
        <w:pStyle w:val="TextoNormal"/>
      </w:pPr>
      <w:r>
        <w:t xml:space="preserve">Por lo tanto la única queja que debemos examinar en este recurso es la que denuncia una posible vulneración del derecho a la tutela judicial efectiva por haber acordado los </w:t>
      </w:r>
      <w:r>
        <w:lastRenderedPageBreak/>
        <w:t>Tribunales penales, con base en el art. 87.2 LOPJ, la autorización de entrada en el domicilio del recurrente para la ejecución forzosa de una resolución administrativa cuando estaba pendiente un recurso contencioso-administrativo interpuesto por aquél en el cual se solicitaba la suspensión cautelar de dicha resolución. Con invocación de garantías constitucionales, esta circunstancia fue alegada por el demandante en sus recursos de reforma y apelación, sin que fuera tomada en consideración por los órganos judiciales, debiendo determinarse en este proceso constitucional si ello entrañó una vulneración del art. 24.1 CE.</w:t>
      </w:r>
    </w:p>
    <w:p w:rsidR="0025129F" w:rsidRDefault="0025129F" w:rsidP="0025129F">
      <w:pPr>
        <w:pStyle w:val="TextoNormal"/>
      </w:pPr>
    </w:p>
    <w:p w:rsidR="0025129F" w:rsidRDefault="0025129F" w:rsidP="0025129F">
      <w:pPr>
        <w:pStyle w:val="TextoNormal"/>
      </w:pPr>
      <w:r w:rsidRPr="0025129F">
        <w:rPr>
          <w:rStyle w:val="NumeroAFNegritaCaracter"/>
        </w:rPr>
        <w:t>3</w:t>
      </w:r>
      <w:r>
        <w:t>. Para resolver esta cuestión hemos de empezar recordando la jurisprudencia constitucional sobre la intervención de los Tribunales penales en la autorización de determinadas entradas en los domicilios, las denominadas "entradas administrativas", tal como quedó expuesta en la STC 199/1998, de 13 de octubre (FFJJ 2 y 3), recogiendo la doctrina sobre el art. 87.2 LOPJ sentada en anteriores pronunciamientos (especialmente, las SSTC 144/1987, de 23 de septiembre, FJ 2; 160/1991, de 18 de julio, FJ 5; 76/1992, de 14 de mayo, FJ 3; 211/1992, de 30 de noviembre, FJ 3; 50/1995, de 23 de febrero, FJ 6; 171/1997, de 14 de octubre, FJ 2, y confirmada en la reciente STC 283/2000, de 27 de noviembre, FJ 3).</w:t>
      </w:r>
    </w:p>
    <w:p w:rsidR="0025129F" w:rsidRDefault="0025129F" w:rsidP="0025129F">
      <w:pPr>
        <w:pStyle w:val="TextoNormal"/>
      </w:pPr>
      <w:r>
        <w:t>Dicha doctrina parte, en primer lugar, de que el derecho a la tutela judicial efectiva garantizado en el art. 24.1 CE implica que los ciudadanos puedan acudir a los Tribunales para impugnar los actos de la Administración (arts. 106.1 y 117.3 CE) y obtener un pronunciamiento sobre la ejecutividad o la suspensión de los mismos (por todas, STC 76/1992, de 14 de mayo, FJ 3). En segundo lugar, también por imperativo del art. 24.1 CE, cuando el órgano judicial competente se pronuncie sobre la ejecutividad o suspensión a él sometida, su decisión puede llevarla a cabo, lo que impide que otros órganos del Estado, sean administrativos o sean de otro orden jurisdiccional distinto, resuelvan sobre tal pretensión, interfiriéndose de esa manera en el proceso judicial de que conoce el Tribunal competente y convirtiendo así en ilusoria e ineficaz la tutela que pudiera dispensar éste. Hasta que no se tome la decisión al respecto por el Tribunal competente, el acto no puede ser ejecutado por la Administración, porque en tal hipótesis ésta se habría convertido en Juez, pero tampoco cabe la ejecución por otro órgano judicial distinto porque esta eventualidad impediría que aquel Tribunal, el competente, pudiera conceder eficazmente la tutela, tal y como le impone el derecho fundamental (STC 76/1992, FJ 3).</w:t>
      </w:r>
    </w:p>
    <w:p w:rsidR="0025129F" w:rsidRDefault="0025129F" w:rsidP="0025129F">
      <w:pPr>
        <w:pStyle w:val="TextoNormal"/>
      </w:pPr>
      <w:r>
        <w:t xml:space="preserve">De acuerdo con las leyes que determinan la competencia de los Tribunales (arts. 9.4 y 24 LOPJ, y art. 1 LJCA), el control de la legalidad de los actos de la Administración corresponde a los Tribunales del orden contencioso-administrativo, lo que incluye la facultad de suspender cautelarmente los actos de ejecución (STC 66/1984, de 6 de junio, FJ 3). De ahí que, antes de la supresión del art. 87.2 LOPJ por la Ley Orgánica 6/1998, habíamos establecido que la autorización prevista en el precepto para la entrada en los domicilios "cuando ello proceda para la ejecución forzosa de los actos de la Administración", había de proceder del Juez del orden jurisdiccional penal únicamente cuando se trataba de la ejecución de actos administrativos, pero no cuando se trataba de la ejecución de resoluciones emanadas de otras jurisdicciones distintas. En consecuencia, una vez iniciado un proceso contencioso-administrativo en el que se discute sobre la legalidad y sobre la ejecución o suspensión de un acto administrativo, el supuesto ya no entra en el ámbito del art. 87.2 LOPJ, sino que es el órgano judicial del orden contencioso-administrativo el que sigue ostentando su potestad jurisdiccional sobre la cuestión y el obligado a otorgar su tutela efectiva, con lo que, en definitiva, es competente para acordar, en su caso, la ejecución sin </w:t>
      </w:r>
      <w:r>
        <w:lastRenderedPageBreak/>
        <w:t>necesidad de la autorización de entrada en domicilio contemplada en el art. 18.2 CE (STC 199/1998, FJ 2).</w:t>
      </w:r>
    </w:p>
    <w:p w:rsidR="0025129F" w:rsidRDefault="0025129F" w:rsidP="0025129F">
      <w:pPr>
        <w:pStyle w:val="TextoNormal"/>
      </w:pPr>
      <w:r>
        <w:t>En suma, una vez que se entable un pleito contencioso-administrativo en el que se discuta la legalidad o la ejecutividad de un acto administrativo que implique la entrada en domicilio, los Tribunales penales han perdido la habilitación para intervenir que les otorgaba el art. 87.2 LOPJ (STC 283/2000, FJ 3).</w:t>
      </w:r>
    </w:p>
    <w:p w:rsidR="0025129F" w:rsidRDefault="0025129F" w:rsidP="0025129F">
      <w:pPr>
        <w:pStyle w:val="TextoNormal"/>
      </w:pPr>
    </w:p>
    <w:p w:rsidR="0025129F" w:rsidRDefault="0025129F" w:rsidP="0025129F">
      <w:pPr>
        <w:pStyle w:val="TextoNormal"/>
      </w:pPr>
      <w:r w:rsidRPr="0025129F">
        <w:rPr>
          <w:rStyle w:val="NumeroAFNegritaCaracter"/>
        </w:rPr>
        <w:t>4</w:t>
      </w:r>
      <w:r>
        <w:t>. A la luz de esta jurisprudencia, debemos examinar si en el presente caso, teniendo presente las circunstancias del mismo, se ha producido una interferencia de los Tribunales penales que ha impedido a los Tribunales del orden contencioso-administrativo dispensar al recurrente la tutela judicial efectiva requerida por éste.</w:t>
      </w:r>
    </w:p>
    <w:p w:rsidR="0025129F" w:rsidRDefault="0025129F" w:rsidP="0025129F">
      <w:pPr>
        <w:pStyle w:val="TextoNormal"/>
      </w:pPr>
      <w:r>
        <w:t>Debe señalarse que en la citada STC 199/1998, los demandantes de amparo interpusieron el recurso contencioso-administrativo con anterioridad a la solicitud de autorización judicial de entrada en la vivienda por parte de la Administración, considerando la Sala que ello había producido la mencionada interferencia vulneradora del art. 24.1 CE (FJ 3).  Por el contrario, en la STC 283/2000 tal circunstancia no se daba, puesto que en el momento de dictarse la primera de las resoluciones del orden penal no se hallaba pendiente recurso alguno contra ninguna negativa de suspensión ni tampoco ninguna petición de suspensión, ni el recurrente puso de manifiesto en su recurso de apelación que se había solicitado la suspensión de la resolución administrativa, y por ello consideró el Tribunal Constitucional que las resoluciones del Juez de Instrucción impugnadas no recayeron mientras pendía una solicitud de tutela cautelar ante lo contencioso-administrativo, concluyendo que no se dio la interferencia ni la colisión a la que alude la jurisprudencia constitucional (FJ 4).</w:t>
      </w:r>
    </w:p>
    <w:p w:rsidR="0025129F" w:rsidRDefault="0025129F" w:rsidP="0025129F">
      <w:pPr>
        <w:pStyle w:val="TextoNormal"/>
      </w:pPr>
      <w:r>
        <w:t>En el supuesto que aquí se examina se desprende de las actuaciones judiciales que en el momento de incoar las diligencias indeterminadas por parte del Juzgado de Instrucción núm.  1 de Ourense, por providencia de 20 de enero de 1998, el recurrente ya había interpuesto recurso contencioso-administrativo, con fecha 9 de enero de 1998, solicitando la suspensión del acuerdo del Ayuntamiento de Ourense de 24 de octubre de 1997 de proceder a la ejecución subsidiaria de la demolición de la nave por el mismo Consistorio. Dicho recurso estaba pues pendiente de resolución al dictarse por el citado Juzgado el Auto de 12 de febrero de 1998 autorizando la entrada en la propiedad del recurrente. Esta circunstancia fue puesta de manifiesto por el demandante de amparo en el recurso de reforma interpuesto el 17 de marzo de 1998 contra la anterior resolución, sin que el Juzgado entrara a examinarla en su Auto de 18 de abril de 1998, que desestimó el recurso. Finalmente el demandante reiteró la misma alegación en el recurso de apelación, presentado el 14 de mayo de 1998, que asimismo fue desestimado por la Audiencia Provincial de Ourense en su Auto de 12 de marzo de 1999.</w:t>
      </w:r>
    </w:p>
    <w:p w:rsidR="0025129F" w:rsidRDefault="0025129F" w:rsidP="0025129F">
      <w:pPr>
        <w:pStyle w:val="TextoNormal"/>
      </w:pPr>
      <w:r>
        <w:t>Esta última resolución no tuvo en cuenta la derogación del artículo 87.2 LOPJ mediante la Ley Orgánica 6/1998, de 13 de julio (BOE de 14 de julio siguiente), es decir, durante la sustanciación del recurso de apelación; ni la aprobación de la STC 199/1998, de 13 de octubre (publicada en el BOE de 18 de noviembre de 1998), que estableció la doctrina sobre la intervención de los Tribunales penales en la autorización de las "entradas administrativas" recogida en el anterior fundamento.</w:t>
      </w:r>
    </w:p>
    <w:p w:rsidR="0025129F" w:rsidRDefault="0025129F" w:rsidP="0025129F">
      <w:pPr>
        <w:pStyle w:val="TextoNormal"/>
      </w:pPr>
      <w:r>
        <w:t>Tal como pone de relieve el Ministerio Fiscal, la marginación o el rechazo de la repetida alegación del recurrente sobre la pendencia del proceso contencioso-administrativo, especialmente en la última de las resoluciones, omitiendo cualquier análisis sobre la aplicabilidad del ya derogado art. 87.2 LOPJ, deben reputarse lesivas del derecho a la tutela judicial efectiva, de acuerdo con nuestra jurisprudencia, por cuanto las resoluciones im</w:t>
      </w:r>
      <w:r>
        <w:lastRenderedPageBreak/>
        <w:t>pugnadas interfirieron en la tramitación de una solicitud de suspensión cautelar de la resolución adoptada por el Ayuntamiento ante los órganos contencioso-administrativos, impidiendo que los Tribunales de este orden pudieran dispensar al demandante de amparo la tutela judicial efectiva en toda su extensión.</w:t>
      </w:r>
    </w:p>
    <w:p w:rsidR="0025129F" w:rsidRDefault="0025129F" w:rsidP="0025129F">
      <w:pPr>
        <w:pStyle w:val="TextoNormal"/>
      </w:pPr>
      <w:r>
        <w:t>Ello conduce a declarar vulnerado el derecho garantizado por el art. 24.1 CE, por corresponder a los Tribunales del orden contencioso-administrativo pronunciarse sobre lo que es objeto de las resoluciones impugnadas, y en consecuencia debemos estimar el presente recurso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Estimar el recurso de amparo interpuesto por don Pedro Fernández Estévez y, en su virtud:</w:t>
      </w:r>
    </w:p>
    <w:p w:rsidR="0025129F" w:rsidRDefault="0025129F" w:rsidP="0025129F">
      <w:pPr>
        <w:pStyle w:val="TextoNormal"/>
      </w:pPr>
      <w:r>
        <w:t>1º Declarar que se ha vulnerado el derecho del recurrente a la tutela judicial efectiva.</w:t>
      </w:r>
    </w:p>
    <w:p w:rsidR="0025129F" w:rsidRDefault="0025129F" w:rsidP="0025129F">
      <w:pPr>
        <w:pStyle w:val="TextoNormal"/>
      </w:pPr>
      <w:r>
        <w:t>2º Restablecer al mismo en el citado derecho, para lo cual se anula el Auto del Juzgado de Instrucción núm. 1 de Ourense, de 12 de febrero de 1998, dictado en las diligencias indeterminadas 10/98; el Auto del mismo Juzgado de 18 de abril de 1998, que desestimó el recurso de reforma contra el anterior; así como el Auto de la Audiencia Provincial de Ourense, de 12 de marzo de 1999, que resolvió el recurso de apelación contra el anterior.</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6" w:name="SENTENCIA_2002_93"/>
      <w:r>
        <w:lastRenderedPageBreak/>
        <w:t>SENTENCIA 93/2002, de 22 de abril de 2002</w:t>
      </w:r>
    </w:p>
    <w:bookmarkEnd w:id="96"/>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ECLI:ES:TC:2002:93</w:t>
      </w:r>
    </w:p>
    <w:p w:rsidR="0025129F" w:rsidRDefault="0025129F" w:rsidP="0025129F">
      <w:pPr>
        <w:pStyle w:val="SntesisDescriptiva"/>
      </w:pPr>
    </w:p>
    <w:p w:rsidR="0025129F" w:rsidRDefault="0025129F" w:rsidP="0025129F">
      <w:pPr>
        <w:pStyle w:val="SntesisDescriptiva"/>
      </w:pPr>
      <w:r>
        <w:t>Recurso de amparo 1276/2000. Promovido por don Senén Diego Gómez frente al Auto de la Audiencia Provincial de Oviedo, y la Sentencia de un Juzgado de Primera Instancia de Avilés, dictados en un juicio ejecutivo.</w:t>
      </w:r>
    </w:p>
    <w:p w:rsidR="0025129F" w:rsidRDefault="0025129F" w:rsidP="0025129F">
      <w:pPr>
        <w:pStyle w:val="SntesisDescriptiva"/>
      </w:pPr>
    </w:p>
    <w:p w:rsidR="0025129F" w:rsidRDefault="0025129F" w:rsidP="0025129F">
      <w:pPr>
        <w:pStyle w:val="SntesisAnaltica"/>
      </w:pPr>
      <w:r>
        <w:t>Alegada vulneración del derecho a la tutela judicial sin indefensión: falta de agotamiento de los recursos en vía judicial, al haber sido inadmitido el incidente de nulidad de actuaciones por extemporáneo sin reproche en la demanda de amparo.</w:t>
      </w:r>
    </w:p>
    <w:p w:rsidR="0025129F" w:rsidRDefault="0025129F" w:rsidP="0025129F">
      <w:pPr>
        <w:pStyle w:val="SntesisAnaltica"/>
      </w:pPr>
    </w:p>
    <w:p w:rsidR="0025129F" w:rsidRDefault="0025129F" w:rsidP="0025129F">
      <w:pPr>
        <w:pStyle w:val="Extracto"/>
      </w:pPr>
      <w:r>
        <w:t>1.</w:t>
      </w:r>
      <w:r>
        <w:tab/>
        <w:t>Al no haberse impugnado en la demanda de amparo la decisión de inadmitir por extemporáneo el incidente de nulidad de actuaciones, ha de concluirse que el presente recurso incurre en la falta de agotamiento previo [FJ 3].</w:t>
      </w:r>
    </w:p>
    <w:p w:rsidR="0025129F" w:rsidRDefault="0025129F" w:rsidP="0025129F">
      <w:pPr>
        <w:pStyle w:val="Extracto"/>
      </w:pPr>
    </w:p>
    <w:p w:rsidR="0025129F" w:rsidRDefault="0025129F" w:rsidP="0025129F">
      <w:pPr>
        <w:pStyle w:val="Extracto"/>
      </w:pPr>
      <w:r>
        <w:t>2.</w:t>
      </w:r>
      <w:r>
        <w:tab/>
        <w:t>Cuando se acusa una violación constitucional, es carga de los recurrentes no sólo abrir la vía para que este Tribunal pueda pronunciarse, sino también la de proporcionar la fundamentación que razonablemente es de esperar, no correspondiendo al Tribunal reconstruir de oficio la demanda de amparo (SSTC 54/1984, 52/1999) [FJ 3].</w:t>
      </w:r>
    </w:p>
    <w:p w:rsidR="0025129F" w:rsidRDefault="0025129F" w:rsidP="0025129F">
      <w:pPr>
        <w:pStyle w:val="Extracto"/>
      </w:pPr>
    </w:p>
    <w:p w:rsidR="0025129F" w:rsidRDefault="0025129F" w:rsidP="0025129F">
      <w:pPr>
        <w:pStyle w:val="Extracto"/>
      </w:pPr>
      <w:r>
        <w:t>3.</w:t>
      </w:r>
      <w:r>
        <w:tab/>
        <w:t>La vía judicial previa sólo puede considerarse efectivamente agotada y, en consecuencia, abierta la del proceso constitucional de amparo, cuando los recursos jurisdiccionales pertinentes y útiles hayan sido interpuestos en tiempo y forma (SSTC 162/1999, 192/2001) [FJ 3].</w:t>
      </w:r>
    </w:p>
    <w:p w:rsidR="0025129F" w:rsidRDefault="0025129F" w:rsidP="0025129F">
      <w:pPr>
        <w:pStyle w:val="Extracto"/>
      </w:pPr>
    </w:p>
    <w:p w:rsidR="0025129F" w:rsidRDefault="0025129F" w:rsidP="0025129F">
      <w:pPr>
        <w:pStyle w:val="Extracto"/>
      </w:pPr>
      <w:r>
        <w:t>4.</w:t>
      </w:r>
      <w:r>
        <w:tab/>
        <w:t>La comprobación de los presupuestos procesales para la viabilidad de la acción de amparo puede llevarse a cabo en la Sentencia que ponga fin al proceso constitucional (STC 106/1997) [FJ 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lastRenderedPageBreak/>
        <w:t>SENTENCIA</w:t>
      </w:r>
    </w:p>
    <w:p w:rsidR="0025129F" w:rsidRDefault="0025129F" w:rsidP="0025129F">
      <w:pPr>
        <w:pStyle w:val="TextoNormalCentrado"/>
        <w:keepNext/>
      </w:pPr>
    </w:p>
    <w:p w:rsidR="0025129F" w:rsidRDefault="0025129F" w:rsidP="0025129F">
      <w:pPr>
        <w:pStyle w:val="TextoNormal"/>
      </w:pPr>
      <w:r>
        <w:t>En el recurso de amparo núm. 1276-2000, promovido por don Senén Diego Gómez, representado por la Procuradora de los Tribunales doña Sandra Osorio Alonso y asistido por el Letrado don Miguel Jacobo Aranegui Van Ingen, contra el Auto de la Sección Sexta de la Audiencia Provincial del Oviedo de 16 de febrero de 2000, desestimatorio del recurso de apelación interpuesto contra el Auto del Juzgado de Primera Instancia núm. 4 de Avilés de 11 de febrero de 1999, que denegó la nulidad de actuaciones solicitada en los autos del juicio ejecutivo núm. 514-1994, y contra la Sentencia del Juzgado de Primera Instancia núm. 4 de Avilés de 18 de septiembre de 1995, por la que se ordenó seguir adelante la ejecución en su día despachada en los mencionados autos. Ha comparecido y formulado alegaciones el Ministerio Fiscal. Ha actuado como Ponente el Magistrado don Vicente Conde Martín de Hijas,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Mediante escrito presentado en el Registro General de este Tribunal el día 6 de marzo de 2000 don Senén Diego Gómez manifestó expresamente su intención de interponer recurso de amparo, para lo que solicitó que, a requerimiento del Tribunal Constitucional, se le designase Abogado y Procurador del turno de oficio. </w:t>
      </w:r>
    </w:p>
    <w:p w:rsidR="0025129F" w:rsidRDefault="0025129F" w:rsidP="0025129F">
      <w:pPr>
        <w:pStyle w:val="TextoNormal"/>
      </w:pPr>
      <w:r>
        <w:t xml:space="preserve">En el mencionado escrito expuso sucintamente una relación circunstanciada de los hechos en los que funda su pretensión, que, seguidamente, se extracta: </w:t>
      </w:r>
    </w:p>
    <w:p w:rsidR="0025129F" w:rsidRDefault="0025129F" w:rsidP="0025129F">
      <w:pPr>
        <w:pStyle w:val="TextoNormal"/>
      </w:pPr>
      <w:r>
        <w:t xml:space="preserve">a) En fecha 21 de febrero de 2000 le fue notificado al solicitante el Auto de la Sección Sexta de la Audiencia Provincial de Oviedo de 16 de febrero de 2000, dictado en el recurso de apelación interpuesto contra el Auto del Juzgado de Primera Instancia núm. 4 de Avilés, de 11 de febrero de 1999, que desestimó el incidente de nulidad de actuaciones, promovido en los autos del juicio ejecutivo núm. 514-1994, seguidos en su contra a instancia de Materiales de Construcción Hijos de Jorge Pérez, S.L. </w:t>
      </w:r>
    </w:p>
    <w:p w:rsidR="0025129F" w:rsidRDefault="0025129F" w:rsidP="0025129F">
      <w:pPr>
        <w:pStyle w:val="TextoNormal"/>
      </w:pPr>
      <w:r>
        <w:t xml:space="preserve">El Auto de la Sección Sexta de la Audiencia Provincial de Oviedo, que desestimó el recurso de apelación, y confirmó la resolución recurrida, aunque por diferente causa a la expresada por el Juzgado, puso fin al procedimiento judicial, e interesa al compareciente recurrirlo en amparo, al haberle causado indefensión, ya que le ha impedido el ejercicio de su derecho de defensa, negándole la posibilidad de un juicio contradictorio, con base en una interpretación de la legalidad, en concreto, del cómputo del plazo de veinte días que para solicitar el incidente de nulidad de actuaciones establece el art. 240 LOPJ, manifiestamente irrazonable. </w:t>
      </w:r>
    </w:p>
    <w:p w:rsidR="0025129F" w:rsidRDefault="0025129F" w:rsidP="0025129F">
      <w:pPr>
        <w:pStyle w:val="TextoNormal"/>
      </w:pPr>
      <w:r>
        <w:t xml:space="preserve">b) A instancia de Materiales de Construcción Hijos de Jorge Pérez, S.L., se siguieron ante el Juzgado de Primera Instancia núm. 4 de Avilés autos de juicio ejecutivo núm. 514-1994. En fecha 11 de enero de 1995 se dictó Auto despachando mandamiento de ejecución contra los bienes del ahora solicitante y su esposa por importe de 264.047 pesetas de principal y 100.000 pesetas de intereses y costas, acordándose el libramiento de exhorto a Barcelona para requerimiento de pago y citación de remate. </w:t>
      </w:r>
    </w:p>
    <w:p w:rsidR="0025129F" w:rsidRDefault="0025129F" w:rsidP="0025129F">
      <w:pPr>
        <w:pStyle w:val="TextoNormal"/>
      </w:pPr>
      <w:r>
        <w:t xml:space="preserve">Se practicaron hasta cuatro diligencias en el domicilio del compareciente y de su esposa, en la última de las cuales un vecino del 5-D, don Raimundo Castellón, manifestó a la comisión judicial que "los interesados se hallan desde unos dos meses en Asturias por un tiempo. Que en el piso viven dos hijos de los demandados, pero sólo por las noches". A propuesta de la parte actora el Juzgado acordó embargar sin previo requerimiento de pago </w:t>
      </w:r>
      <w:r>
        <w:lastRenderedPageBreak/>
        <w:t xml:space="preserve">y citar de remate a los demandados por edictos a publicar en el "Boletín Oficial del Principado de Asturias" (BOPA) y en el tablón de anuncios del Juzgado. El Juzgado declaró la rebeldía de los demandados, y dictó Sentencia en fecha 18 de septiembre de 1995, mandando seguir adelante la ejecución despachada, la cual no fue notificada personalmente a los demandados, y sí publicada en el BOPA el 26 de diciembre de 1995, omitiéndose su notificación en estrados. </w:t>
      </w:r>
    </w:p>
    <w:p w:rsidR="0025129F" w:rsidRDefault="0025129F" w:rsidP="0025129F">
      <w:pPr>
        <w:pStyle w:val="TextoNormal"/>
      </w:pPr>
      <w:r>
        <w:t xml:space="preserve">c) En vía de apremio se acordó por el Juzgado la mejora del embargo, practicándose el 6 de julio de 1998 en el lugar de trabajo del compareciente, sito en Barcelona, calle Platería, 19, empresa María Sorly Gelabert. </w:t>
      </w:r>
    </w:p>
    <w:p w:rsidR="0025129F" w:rsidRDefault="0025129F" w:rsidP="0025129F">
      <w:pPr>
        <w:pStyle w:val="TextoNormal"/>
      </w:pPr>
      <w:r>
        <w:t xml:space="preserve">d) Al ser ésta la primera noticia que tuvo el compareciente de la existencia del procedimiento, solicitó la designación de Abogado y Procurador del turno de oficio, acordándose por el Juzgado la suspensión del procedimiento el 9 de septiembre de 1998. El Abogado y Procurador designados de oficio se personaron en el juicio ejecutivo el 15 de septiembre de 1998, y el día 22 siguiente formularon incidente de nulidad de actuaciones, al amparo del art. 240 LOPJ, al considerar que todas las actuaciones practicadas desde el Auto despachando el mandamiento de ejecución eran nulas, por cuanto la defectuosa realización de los actos de comunicación procesal vulneraba el derecho a la tutela judicial efectiva, ya que se había acudido a los edictos antes de haber agotado los medios de comunicación procesal ordinarios, contraviniendo así la naturaleza subsidiaria y excepcional de la fórmula edictal. </w:t>
      </w:r>
    </w:p>
    <w:p w:rsidR="0025129F" w:rsidRDefault="0025129F" w:rsidP="0025129F">
      <w:pPr>
        <w:pStyle w:val="TextoNormal"/>
      </w:pPr>
      <w:r>
        <w:t xml:space="preserve">e) El Juzgado de Primera Instancia núm. 4 de Avilés dictó Auto, de fecha 11 de febrero de 1999, en cuyo razonamiento jurídico segundo reconoce que "ninguna duda cabe acerca de la nulidad de los actos de comunicación verificados en el juicio puesto que si bien la citación de remate no se llevó a cabo de manera personal con los demandados-ejecutados, debió de entenderse con los hijos que pernoctaban en el domicilio ... sin que tampoco se intentare practicar a través del vecino del inmueble ... siendo por ello evidente la indefensión que se causó a quien como parte legítima no se le comunicó la existencia de un proceso seguido en su contra, quedando por ello imposibilitado para defender sus derechos e intereses". No obstante el razonamiento precedente, el órgano judicial consideró, de un lado, que el cauce procesal adecuado para denunciar esa indefensión era el recurso extraordinario de revisión y, de otro, que el formal conocimiento por parte del ejecutado de los defectos formales de los que adolecían los actos de comunicación se produjo, no en la fecha en que tuvo noticia del procedimiento -6 de julio de 1998-, cuando se llevó a cabo la mejora del embargo, sino en el momento en que el Procurador y el Letrado designados de oficio se personaron en el proceso instruyéndose del contenido de los autos -el 22 de septiembre de 1998-, para concluir afirmando que en esta fecha cabía la posibilidad de impugnar la Sentencia mediante la interposición del recurso de revisión, motivo por el cual se desestimó la nulidad de actuaciones solicitada. </w:t>
      </w:r>
    </w:p>
    <w:p w:rsidR="0025129F" w:rsidRDefault="0025129F" w:rsidP="0025129F">
      <w:pPr>
        <w:pStyle w:val="TextoNormal"/>
      </w:pPr>
      <w:r>
        <w:t xml:space="preserve">f) El ahora compareciente interpuso recurso de apelación contra el anterior Auto, que fue desestimado por Auto de la Sección Sexta de la Audiencia Provincial de Oviedo de 16 de febrero de 2000. </w:t>
      </w:r>
    </w:p>
    <w:p w:rsidR="0025129F" w:rsidRDefault="0025129F" w:rsidP="0025129F">
      <w:pPr>
        <w:pStyle w:val="TextoNormal"/>
      </w:pPr>
      <w:r>
        <w:t xml:space="preserve">En el referido Auto la Sala considera que ha habido un vicio procesal en la diligencia de emplazamiento de los ejecutados, ya que no se habían agotado todos los medios ordinarios disponibles para llevar a cabo el emplazamiento, así como que no era posible acudir a la revisión civil de la Sentencia. No obstante, confirma la desestimación del incidente de nulidad de actuaciones, aunque por razones distintas a las alegadas por el Juzgado de Primera Instancia, al entender que "el plazo de veinte días para presentar el escrito instando la nulidad ha de comenzar a correr desde la notificación de la sentencia o resolución o, en </w:t>
      </w:r>
      <w:r>
        <w:lastRenderedPageBreak/>
        <w:t>todo caso, desde que se tuvo conocimiento del defecto causante de indefensión". Y para la Sala dicho conocimiento tuvo lugar (en contra de la interpretación del Juzgado) cuando se practicó la mejora del embargo en la persona del propio demandado el 6 de julio de 1998, ya que "en tal momento tuvo cabal noticia de que se seguía un procedimiento frente al mismo, y, a pesar de ello, no se le había comunicado nada al respecto". Pues bien, se razona en el mencionado Auto, "hasta el 22 de septiembre del referido año no se instó la nulidad .... término de 20 días ... es de caducidad...y por ello la parte viene obligada inexcusablemente a formular incidente dentro del mismo so pena de hacer absolutamente intangible la sentencia o resolución dictada".</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Por diligencia de ordenación de la Secretaría de la Sala Segunda del Tribunal Constitucional, de 23 de marzo de 2000, se acordó dirigir atenta comunicación al Colegio de Abogados del Madrid a fin de que, de conformidad con lo dispuesto en la Ley 1/1996, de 10 de enero, de asistencia jurídica gratuita, y en el Acuerdo del Pleno de este Tribunal, de 18 de junio de 1996, sobre asistencia jurídica gratuita en los procesos de amparo constitucional, designase, si procediese, Abogado y Procurador del turno de oficio que defendiera y representase, respectivamente, al recurrente en amparo, acompañándose a dicha comunicación los documentos remitidos por el interesado. </w:t>
      </w:r>
    </w:p>
    <w:p w:rsidR="0025129F" w:rsidRDefault="0025129F" w:rsidP="0025129F">
      <w:pPr>
        <w:pStyle w:val="TextoNormal"/>
      </w:pPr>
      <w:r>
        <w:t>Por nueva diligencia de ordenación de la Secretaría de la Sala Segunda del Tribunal Constitucional, de 3 de mayo de 2000, se tuvo por designados por el turno de oficio, como Procuradora a doña Sandra Osorio Alonso y, como Abogado, a don Miguel Jacobo Aranegui Van Ingen, haciéndoles saber tal designación a los mismos y al recurrente en amparo, y se entregó copia de los escritos presentados a la referida Procuradora, para que los pasase a estudio del citado Abogado, a fin de que formalizase la demanda de amparo en el plazo de veinte días que establece el art. 49 LOTC o, en caso de estimar insostenible el recurso o apreciar la falta de documentación, el Letrado se atuviese a lo dispuesto en los arts. 32 y 33 de la Ley 1/1996, de 10 de enero, de asistencia jurídica gratuita, poniéndolo en conocimiento de este Tribunal.</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 de amparo se formalizó mediante escrito presentado en el Juzgado de guardia el día 2 de junio de 2000, registrada en este Tribunal el día 5 siguiente, en el que se recoge la relación de antecedentes fácticos y la fundamentación jurídica que, a continuación, se extracta: </w:t>
      </w:r>
    </w:p>
    <w:p w:rsidR="0025129F" w:rsidRDefault="0025129F" w:rsidP="0025129F">
      <w:pPr>
        <w:pStyle w:val="TextoNormal"/>
      </w:pPr>
      <w:r>
        <w:t xml:space="preserve">a) Materiales de Construcción Hijos de Jorge Pérez, S.L., promovió demanda de juicio ejecutivo contra el recurrente en amparo y doña María de la Paz Suárez por el impago de una letra de cambio por importe de 250.000 pesetas, más 100.000 pesetas que provisionalmente se fijaron en concepto de gastos, intereses y costas. </w:t>
      </w:r>
    </w:p>
    <w:p w:rsidR="0025129F" w:rsidRDefault="0025129F" w:rsidP="0025129F">
      <w:pPr>
        <w:pStyle w:val="TextoNormal"/>
      </w:pPr>
      <w:r>
        <w:t xml:space="preserve">Por Auto de 11 de enero de 1995 se despachó la ejecución por las cantidades reclamadas, acordándose requerir de pago a los demandados y, de no abonarse aquellas cantidades, practicar el embargo de bienes hasta cubrir los importes indicados. </w:t>
      </w:r>
    </w:p>
    <w:p w:rsidR="0025129F" w:rsidRDefault="0025129F" w:rsidP="0025129F">
      <w:pPr>
        <w:pStyle w:val="TextoNormal"/>
      </w:pPr>
      <w:r>
        <w:t xml:space="preserve">b) Se intentó la notificación en el domicilio designado por la demandante como el de los demandados, indicándose por un vecino, don Raimundo Castelló, a la comisión judicial que "los interesados se hallan desde hace unos meses en Asturias por un tiempo, y que en el piso viven 2 hijos de los demandados, pero sólo acuden por la noche". </w:t>
      </w:r>
    </w:p>
    <w:p w:rsidR="0025129F" w:rsidRDefault="0025129F" w:rsidP="0025129F">
      <w:pPr>
        <w:pStyle w:val="TextoNormal"/>
      </w:pPr>
      <w:r>
        <w:t>Así pues, de un lado, las notificaciones no pudieron practicarse por encontrarse los demandados ausentes, ya que se hallaban temporalmente en Asturias, donde supuestamente los demandantes conocían el domicilio, y, de otro, existían familiares que podían haber hecho llegar la cédula de haberse entregado. De modo que no se agotaron todas las moda</w:t>
      </w:r>
      <w:r>
        <w:lastRenderedPageBreak/>
        <w:t xml:space="preserve">lidades de notificación, que aseguran en su mayor grado la recepción por el destinatario, lo que vulnera el derecho a la tutela judicial efectiva como consecuencia de la realización defectuosa de un acto de comunicación procesal. </w:t>
      </w:r>
    </w:p>
    <w:p w:rsidR="0025129F" w:rsidRDefault="0025129F" w:rsidP="0025129F">
      <w:pPr>
        <w:pStyle w:val="TextoNormal"/>
      </w:pPr>
      <w:r>
        <w:t xml:space="preserve">c) A propuesta de la parte actora el Juzgado acordó embargar sin previo requerimiento de pago y citar de remate a los demandados por edictos publicados en el "Boletín Oficial del Principado de Asturias" (BOPA) y en el tablón de anuncios del Juzgado. La publicación en el BOPA tuvo lugar el día 17 de agosto de 1995, pero no se llevó a cabo la que tenía que haberse efectuado en el tablón de anuncios del Juzgado. </w:t>
      </w:r>
    </w:p>
    <w:p w:rsidR="0025129F" w:rsidRDefault="0025129F" w:rsidP="0025129F">
      <w:pPr>
        <w:pStyle w:val="TextoNormal"/>
      </w:pPr>
      <w:r>
        <w:t xml:space="preserve">d) En vía de apremio el Juzgado acordó la mejora de embargo, practicándose el 6 de julio de 1998 en el lugar de trabajo del demandante de amparo sobre la parte legal de su sueldo como empleado de la entidad María Sorly Gelabert, siendo ésta la primera vez que aquél tuvo conocimiento de la existencia del proceso. </w:t>
      </w:r>
    </w:p>
    <w:p w:rsidR="0025129F" w:rsidRDefault="0025129F" w:rsidP="0025129F">
      <w:pPr>
        <w:pStyle w:val="TextoNormal"/>
      </w:pPr>
      <w:r>
        <w:t xml:space="preserve">e) El 15 y 22 de septiembre de 1998 (sic) se formuló incidente de nulidad de actuaciones, de acuerdo con lo previsto en el art. 240 LOPJ, por considerar que todas las actuaciones practicadas desde el Auto despachando el mandamiento de ejecución eran nulas, habida cuenta de la defectuosa realización de los actos de comunicación procesal, vulnerándose el derecho del demandante de amparo a la tutela judicial efectiva, al causarle la indefensión proscrita por el art. 24.1 CE. </w:t>
      </w:r>
    </w:p>
    <w:p w:rsidR="0025129F" w:rsidRDefault="0025129F" w:rsidP="0025129F">
      <w:pPr>
        <w:pStyle w:val="TextoNormal"/>
      </w:pPr>
      <w:r>
        <w:t xml:space="preserve">El Juzgado de Primera Instancia núm. 4 de Avilés, por Auto de 11 de febrero de 1999, desestimó el incidente de nulidad de actuaciones, decisión que fue confirmada por Auto de la Sección Sexta de la Audiencia Provincial de Oviedo, contra el que se anuncia el presente recurso de amparo. </w:t>
      </w:r>
    </w:p>
    <w:p w:rsidR="0025129F" w:rsidRDefault="0025129F" w:rsidP="0025129F">
      <w:pPr>
        <w:pStyle w:val="TextoNormal"/>
      </w:pPr>
      <w:r>
        <w:t xml:space="preserve">f) Tras aludirse en el escrito de demanda a los requisitos procesales del recurso de amparo, se afirma, en cuanto a la cuestión de fondo suscitada, que es evidente la indefensión producida a quien como parte legítima no se le comunicó la existencia de un proceso seguido en su contra, quedando por ello imposibilitado de defender sus derechos e intereses, al impedírsele el ejercicio de su derecho de defensa y la posibilidad de un juicio contradictorio. </w:t>
      </w:r>
    </w:p>
    <w:p w:rsidR="0025129F" w:rsidRDefault="0025129F" w:rsidP="0025129F">
      <w:pPr>
        <w:pStyle w:val="TextoNormal"/>
      </w:pPr>
      <w:r>
        <w:t xml:space="preserve">En el presente supuesto, el demandante de amparo, titular de un derecho o interés legítimo, que resulta afectado por las resoluciones judiciales impugnadas, pues era la parte demandada en el proceso ejecutivo, nunca fue notificado, y es precisamente esa falta de notificación lo que se impugnó, y por lo que se solicitó la nulidad de actuaciones. Es clara la vulneración de las normas procesales, al omitirse toda notificación al recurrente en amparo, con absoluto desprecio de sus derechos e intereses, encontrándose absolutamente indefenso. Tal ausencia de notificación no puede nunca perjudicarle, ni suponer en modo alguno merma de los derechos que tiene constitucionalmente reconocidos. </w:t>
      </w:r>
    </w:p>
    <w:p w:rsidR="0025129F" w:rsidRDefault="0025129F" w:rsidP="0025129F">
      <w:pPr>
        <w:pStyle w:val="TextoNormal"/>
      </w:pPr>
      <w:r>
        <w:t xml:space="preserve">En definitiva, tiene un fundamento muy razonable y de peso su derecho a ser amparado por nulidad de actuaciones consecuencia de la ausencia de toda notificación. </w:t>
      </w:r>
    </w:p>
    <w:p w:rsidR="0025129F" w:rsidRDefault="0025129F" w:rsidP="0025129F">
      <w:pPr>
        <w:pStyle w:val="TextoNormal"/>
      </w:pPr>
      <w:r>
        <w:t>Concluye la demanda solicitando del Tribunal Constitucional que, tras los trámites legales oportunos, dicte Sentencia en la que se reconozca la violación de los derechos fundamentales referidos y se anule la resolución contra la que se dirige el recurso, tomando las medidas oportunas para reponer al demandante de amparo en su derecho.</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Por diligencia de ordenación de la Secretaría de la Sala Segunda del Tribunal Constitucional de 21 de septiembre de 2000, se acordó, antes de entrar a resolver sobre la admisibilidad de la demanda de amparo, dirigir sendas comunicaciones al Juzgado de Primera Instancia núm. 4 de Avilés y a la Sección Sexta de la Audiencia Provincial de Oviedo, a fin de que, con la mayor brevedad posible, remitieran, respectivamente, certificación o </w:t>
      </w:r>
      <w:r>
        <w:lastRenderedPageBreak/>
        <w:t>fotocopia adverada de las actuaciones correspondientes al juicio ejecutivo núm. 514-1994 y al rollo de apelación 306-1999.</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La Sección Cuarta del Tribunal Constitucional por providencia de 13 de diciembre de 2000, a la vista de las actuaciones recibidas, acordó, de conformidad con lo dispuesto en el art. 50.3 LOTC, conceder al demandante de amparo y al Ministerio Fiscal un plazo común de diez días a fin de que, con las aportaciones documentales que estimaren procedentes, formulasen las alegaciones pertinentes en relación con la posible carencia manifiesta de contenido constitucional de la demanda de amparo [art. 50.1 c) LOTC]. </w:t>
      </w:r>
    </w:p>
    <w:p w:rsidR="0025129F" w:rsidRDefault="0025129F" w:rsidP="0025129F">
      <w:pPr>
        <w:pStyle w:val="TextoNormal"/>
      </w:pPr>
      <w:r>
        <w:t xml:space="preserve">Evacuado el trámite de alegaciones conferido, la Sala Segunda del Tribunal Constitucional, por providencia de 9 de julio de 2001, acordó admitir a trámite la demanda y, en aplicación de lo dispuesto en el art. 51 LOTC, obrando ya en la Secretaría de la Sala testimonio de las actuaciones del rollo de apelación núm. 306- 1999 y del juicio ejecutivo núm. 514-1994, dirigir atenta comunicación a la Sección Sexta de la Audiencia Provincial de Oviedo, con copia de la presente providencia, para su constancia y al Juzgado de Primera Instancia núm. 4 de Avilés, a fin de que, en plazo que no excediera de diez días, emplazase a quienes hubieran sido parte en el procedimiento, a excepción del demandante de amparo, para que en el plazo de diez días pudieran comparecer, si lo deseasen, en el presente proceso de amparo. </w:t>
      </w:r>
    </w:p>
    <w:p w:rsidR="0025129F" w:rsidRDefault="0025129F" w:rsidP="0025129F">
      <w:pPr>
        <w:pStyle w:val="TextoNormal"/>
      </w:pPr>
      <w:r>
        <w:t>Por diligencia de ordenación de la Secretaría de la Sala Segunda del Tribunal Constitucional de 13 de septiembre de 2001 se acordó dar vista de las actuaciones recibidas a la parte recurrente y al Ministerio Fiscal, por plazo común de veinte días, para que pudieran presentar las alegaciones que estimaren pertinentes, de conformidad con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t>6</w:t>
      </w:r>
      <w:r>
        <w:t>. La representación procesal del demandante de amparo evacuó el trámite de alegaciones conferido mediante escrito presentado en el Registro General de este Tribunal el día 9 de octubre de 2001, en el que reiteró, sustancialmente, las formuladas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Ministerio Fiscal evacuó el trámite de alegaciones conferido mediante escrito presentado en el Registro General de este Tribunal el día 15 de octubre de 2001, en el que interesó la desestimación de la demanda de amparo. </w:t>
      </w:r>
    </w:p>
    <w:p w:rsidR="0025129F" w:rsidRDefault="0025129F" w:rsidP="0025129F">
      <w:pPr>
        <w:pStyle w:val="TextoNormal"/>
      </w:pPr>
      <w:r>
        <w:t xml:space="preserve">a) El Ministerio Fiscal procede a examinar, en primer término, la posible concurrencia de la causa de inadmisión prevista en el art. 44.1 a) LOTC, esto es, la falta de agotamiento de la vía judicial previa, ya que, de acuerdo con una reiterada doctrina de este Tribunal, la defectuosa utilización de los recursos ejercitables para la reparación ante los órganos del Poder Judicial de los derechos fundamentales supuestamente lesionados equivale a su no utilización y, por tanto, a la falta de agotamiento de la vía judicial previa (STC 162/1999, por todas). </w:t>
      </w:r>
    </w:p>
    <w:p w:rsidR="0025129F" w:rsidRDefault="0025129F" w:rsidP="0025129F">
      <w:pPr>
        <w:pStyle w:val="TextoNormal"/>
      </w:pPr>
      <w:r>
        <w:t xml:space="preserve">Pues bien, la aplicación de la doctrina constitucional expuesta al presente supuesto ha de conducir a la apreciación de la referida causa de inadmisión, ya que el incidente de nulidad de actuaciones fue desestimado por la Audiencia Provincial, como se razona en su Auto, al haber sido promovido extemporáneamente. De modo que el recurrente en amparo, al no haber interpuesto en plazo el incidente de nulidad de actuaciones, utilizó defectuosamente los recursos previstos para impugnar en sede judicial la vulneración de derechos fundamentales que se denuncia en la demanda de amparo, incumpliendo lo dispuesto </w:t>
      </w:r>
      <w:r>
        <w:lastRenderedPageBreak/>
        <w:t xml:space="preserve">en el art. 44.1 a) LOTC, máxime cuando la argumentación del Auto de la Audiencia Provincial no ha sido combatida en la pretensión de amparo. </w:t>
      </w:r>
    </w:p>
    <w:p w:rsidR="0025129F" w:rsidRDefault="0025129F" w:rsidP="0025129F">
      <w:pPr>
        <w:pStyle w:val="TextoNormal"/>
      </w:pPr>
      <w:r>
        <w:t xml:space="preserve">No obstante, el Ministerio Fiscal entiende que pueda suscitar dudas que con la argumentación que se emplea en el Auto de la Audiencia Provincial se pueda reprochar al demandante de amparo la defectuosa utilización de la vía judicial previa. Destaca al respecto que aquél, domiciliado en Barcelona, compareció ante el Decanato de los Juzgados de dicha ciudad cuatro días después de practicarse la diligencia de mejora del embargo, que es cuando consta que tuvo noticia de la existencia del proceso, pidiendo la designación de Abogado y Procurador del turno de oficio, para que le defendiese y representase, respectivamente, en el procedimiento, solicitando al mismo tiempo que dicha petición se pusiera en conocimiento del Juzgado de Avilés para que acordara la suspensión del proceso. Si tal petición de suspensión no se acordó hasta el día 9 de septiembre de 1998, no fue porque el demandante la formulara extemporáneamente, sino porque el Decanato de los Juzgados de Barcelona o el Juzgado de Avilés no la tramitaron con la celeridad requerida, como se deduce de las actuaciones posteriores a dicha suspensión, ya que en los dos días siguientes se efectuó la designación de Abogado y Procurador, quienes presentaron el día 15 de septiembre un escrito personándose en el procedimiento y, estimada dicha personación por providencia de 22 de septiembre, promovieron el incidente de nulidad de actuaciones. </w:t>
      </w:r>
    </w:p>
    <w:p w:rsidR="0025129F" w:rsidRDefault="0025129F" w:rsidP="0025129F">
      <w:pPr>
        <w:pStyle w:val="TextoNormal"/>
      </w:pPr>
      <w:r>
        <w:t xml:space="preserve">Sin embargo tales dudas, en opinión del Ministerio Fiscal, deben de resolverse en este caso a favor de la inadmisión de la demanda, ya que, conforme a lo dispuesto en los arts. 12 de la Ley 1/1996, de 10 de enero, de asistencia jurídica gratuita, y 9.1 del Real Decreto 2103/1996, de 20 de septiembre, por el que se aprueba el Reglamento de dicha Ley, la solicitud para el reconocimiento de tal derecho se debe de presentar en el Colegio de Abogados del lugar donde radique el Juzgado que está conociendo del proceso cuando, como ocurre en este caso, se está tramitando, pudiendo efectuarse la presentación de dicha solicitud en el domicilio de quien la formula cuando el proceso no ha comenzado a tramitarse. </w:t>
      </w:r>
    </w:p>
    <w:p w:rsidR="0025129F" w:rsidRDefault="0025129F" w:rsidP="0025129F">
      <w:pPr>
        <w:pStyle w:val="TextoNormal"/>
      </w:pPr>
      <w:r>
        <w:t xml:space="preserve">b) Ahora bien, como quiera que la determinación del lugar en el que debe de presentarse la solicitud para el reconocimiento del derecho de asistencia jurídica gratuita en la forma propuesta resulta de la aplicación simultánea de la Ley y del Reglamento, y, en todo caso, el cumplimiento de dicho requisito debe de interpretarse con la flexibilidad suficiente para no impedir que se produzca el acceso al recurso, cuando, entre otros casos, el lugar en el que se deba de presentar un documento radica en un lugar alejado de aquel en el que tiene su domicilio quien deba efectuar tal presentación y cuando éste carezca de representación procesal (ATC 287/1994), y, como quiera, además, que dicha objeción a la admisibilidad de la demanda de amparo se formuló en el trámite correspondiente y no fue tomada en consideración por este Tribunal, que en alguna ocasión ha sostenido que en tales casos no se puede reproducir su formulación al evacuar el presente trámite (STC 188/1990), el Ministerio Fiscal examina a continuación el fondo de la pretensión de amparo, que entiende que debe de ser desestimada. </w:t>
      </w:r>
    </w:p>
    <w:p w:rsidR="0025129F" w:rsidRDefault="0025129F" w:rsidP="0025129F">
      <w:pPr>
        <w:pStyle w:val="TextoNormal"/>
      </w:pPr>
      <w:r>
        <w:t xml:space="preserve">Tras referirse a la trascendencia de los actos procesales de comunicación para el ejercicio por las partes del derecho de defensa, con cita de la doctrina constitucional recogida en la STC 268/2000, resalta que en este caso tanto el Juzgado de Primera Instancia como la Audiencia Provincial entienden que la citación de remate efectuada por vía edictal no fue realizada conforme a lo dispuesto en el art. 268 LEC, porque se prescindió de entregar la cédula a los familiares del demandado, que pernoctaban en el domicilio en el que se practicó la diligencia, o al vecino que compareció en dos ocasiones en las que se intentó. Además, en el presente supuesto el incumplimiento por parte del Juzgado resulta reforzado, porque, estando domiciliado de manera perfecta el pago de la letra de cambio, era en </w:t>
      </w:r>
      <w:r>
        <w:lastRenderedPageBreak/>
        <w:t xml:space="preserve">dicho domicilio en el que, de acuerdo con lo establecido en el art. 5 de la Ley cambiaria, debía ser citado el demandante para efectuar el pago que se le reclamaba. </w:t>
      </w:r>
    </w:p>
    <w:p w:rsidR="0025129F" w:rsidRDefault="0025129F" w:rsidP="0025129F">
      <w:pPr>
        <w:pStyle w:val="TextoNormal"/>
      </w:pPr>
      <w:r>
        <w:t xml:space="preserve">Ahora bien, no toda citación de remate realizada mediante edictos con infracción del art. 268 LEC o de otra disposición legal tiene trascendencia constitucional, ya que, para que se vulnere el derecho a la tutela judicial efectiva, es necesario que la situación de indefensión que se genere no sea debida a la actuación del interesado, supuestos en los que, según reiterada doctrina constitucional (STC 190/1997), el órgano judicial está exento de realizar actuaciones para citar al interesado en otra forma que por edictos, dado el sacrificio que la realización de tal actividad pueda suponer para los derechos de las demás partes del proceso. </w:t>
      </w:r>
    </w:p>
    <w:p w:rsidR="0025129F" w:rsidRDefault="0025129F" w:rsidP="0025129F">
      <w:pPr>
        <w:pStyle w:val="TextoNormal"/>
      </w:pPr>
      <w:r>
        <w:t xml:space="preserve">Tal doctrina es perfectamente aplicable al caso que nos ocupa, porque, aun cuando el Juzgado hubiese adoptado el comportamiento alternativo que se reputa correcto -efectuar la citación y el requerimiento de pago en el domicilio de pago de la letra, practicar la diligencia en el domicilio del demandante de amparo a la hora en la que en el mismo se encontraban sus hijos o entender la práctica con alguno de los vecinos que compareció-, no se hubiese podido evitar la declaración de rebeldía. En efecto, por una parte, en el domicilio de pago de la letra de cambio se acreditó por la entidad bancaria que no se pagó aquélla en la fecha de vencimiento, y, por otra, fue el propio demandante de amparo el que voluntariamente se colocó en situación de no poder ser encontrado para ser citado personalmente, ya que, además de ausentarse del domicilio habitual, ordenó a sus vecinos que no se hicieran cargo de los documentos que le fueran remitidos durante su ausencia. En tales circunstancias no es exigible al Juzgado que tramita el proceso que practique averiguaciones sobre el paradero del demandado o que realice la citación mediante cédula entregada a parientes o vecinos, porque, aunque lo hubiera hecho, es la persona destinataria del acto procesal en cuestión la que no quiere enterarse de su contenido, por lo que no se puede atribuir a otros los defectos en la realización de la diligencia de citación, ya que los mismos no tienen otro origen más que la propia voluntad del interesado. Aun cuando el demandante en la instancia judicial, al promover la mejora del embargo, averiguó el domicilio del demandado en el que definitivamente tuvo conocimiento del proceso, no parece razonable exigir tal diligencia al Juzgado, cuando, sin constar la profesión del demandado, era patente en las actuaciones su voluntad de que los posibles llamamientos judiciales que pudieran producirse no llegaran a su conocimiento. </w:t>
      </w:r>
    </w:p>
    <w:p w:rsidR="0025129F" w:rsidRDefault="0025129F" w:rsidP="0025129F">
      <w:pPr>
        <w:pStyle w:val="TextoNormal"/>
      </w:pPr>
      <w:r>
        <w:t xml:space="preserve">c) Por otra parte, si bien puede considerarse que el solicitante de amparo actuó con la diligencia que le era exigible para la reparación del derecho fundamental que considera vulnerado, en cuanto solicitó la designación de Abogado y Procurador del turno de oficio, para personarse en el proceso, y pidió la suspensión de éste, es evidente, sin embargo, que en la demanda no se ha conectado vulneración alguna de derechos fundamentales a los argumentos utilizados por la Audiencia Provincial para desestimar la pretensión de nulidad. Vulneración que podría encontrar su fundamento en el cómputo del plazo para ejercitar la pretensión de nulidad o en la demora con la que se produjo el nombramiento de Abogado y Procurador. Pero nada de eso hace el demandante de amparo, el cual se limita a imputar en su demanda dicha vulneración a la actuación judicial por realizar la citación edictal con infracción de lo dispuesto en el art. 268 LEC, sin hacer consideración alguna sobre los argumentos contenidos en el Auto de la Audiencia Provincial sobre la extemporaneidad de la petición de nulidad de actuaciones. Esta actitud priva de contenido constitucional su reclamación, ya que se acepta o, al menos, no se combate la indicada extemporaneidad, lo que impide que este Tribunal pueda otorgar el amparo solicitado, a no ser que, asumiendo el cumplimiento de cargas procesales que corresponden a la parte, realizara </w:t>
      </w:r>
      <w:r>
        <w:lastRenderedPageBreak/>
        <w:t>una reconstrucción de la demanda de amparo, tarea ajena a su competencia (STC 155/1999, por todas).</w:t>
      </w:r>
    </w:p>
    <w:p w:rsidR="0025129F" w:rsidRDefault="0025129F" w:rsidP="0025129F">
      <w:pPr>
        <w:pStyle w:val="TextoNormal"/>
      </w:pPr>
    </w:p>
    <w:p w:rsidR="0025129F" w:rsidRDefault="0025129F" w:rsidP="0025129F">
      <w:pPr>
        <w:pStyle w:val="TextoNormal"/>
      </w:pPr>
      <w:r w:rsidRPr="0025129F">
        <w:rPr>
          <w:rStyle w:val="NumeroAFNegritaCaracter"/>
        </w:rPr>
        <w:t>8</w:t>
      </w:r>
      <w:r>
        <w:t>. Por providencia de 18 de abril de 2002, se señaló para la deliberación y votación de la presente Sentencia el día 22 de abril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Con carácter previo a cualquier otra consideración es necesario delimitar con precisión el objeto del presente recurso de amparo, el cual, de acuerdo con una reiterada doctrina constitucional, se fija exclusivamente en el escrito inicial de demanda, que es el que constituye el elemento rector del proceso, el que acota y delimita la pretensión y al que hay que atenerse para resolver las cuestiones objeto de debate procesal en relación con las infracciones constitucionales que en ella se deducen (SSTC 30/1986, de 20 de febrero, FJ 1; 138/1986, de 7 de noviembre, FJ 1; 117/1988, de 20 de junio, FJ 2; 209/1988, de 10 de noviembre, FJ 3).</w:t>
      </w:r>
    </w:p>
    <w:p w:rsidR="0025129F" w:rsidRDefault="0025129F" w:rsidP="0025129F">
      <w:pPr>
        <w:pStyle w:val="TextoNormal"/>
      </w:pPr>
      <w:r>
        <w:t>En el presente caso la única queja constitucional suscitada en la demanda de amparo, y sobre la que versa exclusivamente la argumentación que en la misma se vierte, se contrae a denunciar la supuesta vulneración del derecho a la tutela judicial efectiva sin que, en ningún caso, pueda producirse indefensión (art. 24.1 CE), que ha podido padecer el solicitante de amparo como consecuencia de haber sido citado de remate o emplazado por edictos en el juicio ejecutivo seguido contra él ante el Juzgado de Primera Instancia núm. 4 de Avilés, sin haberse agotado las posibilidades de una citación o emplazamiento personal. Así pues, ateniéndonos a los razonamientos y argumentos de la demanda de amparo, es la Sentencia del Juzgado de Primera Instancia núm.  4 de Avilés, de 18 de septiembre de 1995, en cuanto resolución judicial que pone fin al proceso ejecutivo seguido contra el demandante de amparo, el acto objeto de impugnación, sin que en aquélla se efectúe, o dirija, reproche alguno contra el Auto de la Sección Sexta de la Audiencia Provincial de Oviedo de 16 de febrero de 2000, por el que se desestimó en apelación el incidente de nulidad de actuaciones, promovido por el recurrente en amparo contra la mencionada Sentencia, por no haberlo formulado dentro del plazo de veinte días desde que tuvo conocimiento del defecto causante de la indefensión (art. 240.3 LOPJ).</w:t>
      </w:r>
    </w:p>
    <w:p w:rsidR="0025129F" w:rsidRDefault="0025129F" w:rsidP="0025129F">
      <w:pPr>
        <w:pStyle w:val="TextoNormal"/>
      </w:pPr>
    </w:p>
    <w:p w:rsidR="0025129F" w:rsidRDefault="0025129F" w:rsidP="0025129F">
      <w:pPr>
        <w:pStyle w:val="TextoNormal"/>
      </w:pPr>
      <w:r w:rsidRPr="0025129F">
        <w:rPr>
          <w:rStyle w:val="NumeroAFNegritaCaracter"/>
        </w:rPr>
        <w:t>2</w:t>
      </w:r>
      <w:r>
        <w:t>. Delimitado en los términos expuestos el objeto de la presente demanda de amparo, es preciso examinar, antes de atender al enjuiciamiento de la lesión constitucional que se denuncia, la causa de inadmisibilidad de la demanda de amparo puesta de manifiesto por el Ministerio Fiscal en el trámite de alegaciones del art. 52.1 LOTC, consistente en la falta de agotamiento de la vía judicial previa [art. 50.1 a), en relación con el art. 44.1 a) LOTC], pues, de acuerdo con una reiterada doctrina constitucional, el hecho de haber sido admitida a trámite la demanda de amparo en modo alguno excluye dicho examen, ya que la comprobación de los presupuestos procesales para la viabilidad de la acción de amparo, que puede tener lugar de oficio o a instancia de parte, puede llevarse a cabo en la Sentencia que ponga fin al proceso constitucional (STC 106/1997, de 2 de junio, FJ 2, por todas).</w:t>
      </w:r>
    </w:p>
    <w:p w:rsidR="0025129F" w:rsidRDefault="0025129F" w:rsidP="0025129F">
      <w:pPr>
        <w:pStyle w:val="TextoNormal"/>
      </w:pPr>
      <w:r>
        <w:t xml:space="preserve">El Ministerio Fiscal invoca la concurrencia de la mencionada causa de inadmisión con base en una reiterada doctrina constitucional, según la cual la defectuosa utilización de los recursos ejercitables para la reparación ante los órganos del Poder Judicial de los derechos fundamentales supuestamente lesionados equivale a su no utilización y, por lo tanto, a la </w:t>
      </w:r>
      <w:r>
        <w:lastRenderedPageBreak/>
        <w:t>falta de agotamiento de la vía judicial previa (STC 162/1999, de 27 de septiembre, FJ 2). Argumenta al respecto que la aplicación de la citada doctrina ha de conducir en este supuesto a la apreciación de la causa de inadmisión invocada, ya que el incidente de nulidad de actuaciones fue desestimado por la Audiencia Provincial, como se razona en su Auto, por haber sido promovido extemporáneamente, de modo que el recurrente en amparo, al no haber interpuesto en plazo aquel incidente utilizó defectuosamente los recursos previstos para impugnar en sede judicial la vulneración de derechos fundamentales que se denuncia en la demanda de amparo, incumpliendo de este modo el requisito que establece el art. 44.1a) LOTC, máxime cuando acepta o, al menos, no combate la argumentación del Auto de la Audiencia Provincial, apreciando la extemporaneidad del incidente de nulidad de actuaciones.</w:t>
      </w:r>
    </w:p>
    <w:p w:rsidR="0025129F" w:rsidRDefault="0025129F" w:rsidP="0025129F">
      <w:pPr>
        <w:pStyle w:val="TextoNormal"/>
      </w:pPr>
    </w:p>
    <w:p w:rsidR="0025129F" w:rsidRDefault="0025129F" w:rsidP="0025129F">
      <w:pPr>
        <w:pStyle w:val="TextoNormal"/>
      </w:pPr>
      <w:r w:rsidRPr="0025129F">
        <w:rPr>
          <w:rStyle w:val="NumeroAFNegritaCaracter"/>
        </w:rPr>
        <w:t>3</w:t>
      </w:r>
      <w:r>
        <w:t>. El examen de la expuesta causa de inadmisión de la demanda de amparo ha de partir, como recuerda el Ministerio Fiscal, de una reiterada y consolidada doctrina constitucional, según la cual el requisito del agotamiento de los recursos utilizables [art.  44.1 a) LOTC] responde al carácter subsidiario del recurso de amparo, pues la tutela general de los derechos y libertades corresponde, en primer término, a los Tribunales de Justicia, lo que hace exigible, en todo caso, que a los órganos judiciales se les haya dado la oportunidad de reparar la lesión cometida y de restablecer en sede jurisdiccional ordinaria el derecho constitucional supuestamente vulnerado (SSTC 162/1999, de 27 de septiembre, FJ 2; 192/2001, de 1 de octubre, FJ 3, por todas). En tal sentido este Tribunal tiene declarado que la vía judicial previa sólo puede considerarse efectivamente agotada, y, en consecuencia, abierta la del proceso constitucional de amparo, cuando los recursos jurisdiccionales pertinentes y útiles hayan sido interpuestos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111/2000, de 5 de mayo, FJ 4). Es decir, no basta con interponer el recurso útil, sino que es exigible hacer un uso efectivo del mismo, plantearlo correctamente en tiempo y forma, de manera que se hayan agotado las posibilidades de defensa que el Ordenamiento ofrece para que los órganos del Poder Judicial puedan poner remedio a la vulneración de derechos constitucionales que se dice sufrida ( STC 162/1999, de 27 de septiembre, FJ 2). De modo que el fracaso de los recursos idóneos para obtener la reparación del derecho constitucional supuestamente vulnerado equivaldría a su no utilización, cuando tal fracaso sea imputable a la conducta procesal del recurrente en amparo (SSTC 11/1998, de 13 de enero, FJ 2; 92/1999, de 26 de mayo, FJ 2; 111/2000, de 5 de mayo, FJ 4; AATC 114/1983, de 16 de marzo; 215/1984, de 4 de abril).</w:t>
      </w:r>
    </w:p>
    <w:p w:rsidR="0025129F" w:rsidRDefault="0025129F" w:rsidP="0025129F">
      <w:pPr>
        <w:pStyle w:val="TextoNormal"/>
      </w:pPr>
      <w:r>
        <w:t xml:space="preserve">En el presente caso, a tenor de lo previsto en el art. 240.3 LOPJ, en la redacción dada por la Ley Orgánica 5/1997, de 4 de diciembre, el incidente de nulidad de actuaciones, que el solicitante de amparo promovió frente a la Sentencia dictada en el proceso ejecutivo, resultaba un recurso o remedio procesal procedente y adecuado para reparar la supuesta situación de indefensión, que se denuncia en la demanda de amparo, como consecuencia de haber sido citado de remate o emplazado por medio de edictos en el juicio ejecutivo, y, en cuanto tal, su interposición resultaba exigible antes de acudir en amparo ante este Tribunal Constitucional (STC 105/2001, de 23 de abril, FJ 3). Sin embargo dicho incidente </w:t>
      </w:r>
      <w:r>
        <w:lastRenderedPageBreak/>
        <w:t>fue promovido, según la interpretación que de su normativa reguladora efectuó la Audiencia Provincial, una vez transcurrido ya el plazo de caducidad de veinte días que establece el art. 240.3 LOPJ, y por tal motivo fue desestimado por extemporáneo en su Auto de 16 de febrero de 2000.</w:t>
      </w:r>
    </w:p>
    <w:p w:rsidR="0025129F" w:rsidRDefault="0025129F" w:rsidP="0025129F">
      <w:pPr>
        <w:pStyle w:val="TextoNormal"/>
      </w:pPr>
      <w:r>
        <w:t>En la demanda de amparo no se cuestiona, y tampoco se combate, como señala el Ministerio Fiscal, ni, en fin, se dirige reproche alguno contra ella, la decisión de la Audiencia Provincial de inadmitir por extemporáneo el incidente de nulidad de actuaciones, ni la interpretación que, en cuanto al cómputo del plazo establecido en el art.  240.3 LOPJ, el órgano judicial efectuó de su normativa reguladora; así como, considerados conjuntamente el escrito de demanda de amparo y el de solicitud del beneficio de justicia gratuita, en ninguno de ellos se ofrece argumentación o razonamiento alguno, con base en los cuales tal interpretación y decisión pudiera considerarse arbitraria o manifiestamente irrazonable.</w:t>
      </w:r>
    </w:p>
    <w:p w:rsidR="0025129F" w:rsidRDefault="0025129F" w:rsidP="0025129F">
      <w:pPr>
        <w:pStyle w:val="TextoNormal"/>
      </w:pPr>
      <w:r>
        <w:t>De modo que, al no haberse impugnado en la demanda de amparo la decisión de inadmitir por extemporáneo el incidente de nulidad de actuaciones, ha de concluirse que el presente recurso incurre, de conformidad con la doctrina constitucional expuesta, en la causa de inadmisión prevista en el art. 50.1 a), en relación con el art. 44.1 a), ambos LOTC, esto es, en la falta de agotamiento de la vía judicial previa, como consecuencia de haberse promovido fuera del plazo legalmente establecido el incidente de nulidad de actuaciones, sin que este Tribunal pueda ni deba entrar a enjuiciar la decisión de la Audiencia Provincial y la interpretación que ha efectuado en su Auto de 16 de febrero de 2000 del cómputo del plazo previsto en el art. 240.3 LOPJ, ya que, de acuerdo con una reiterada doctrina constitucional, ni le corresponde reconstruir de oficio la demanda de amparo, ni suplir las razones de las partes, sobre quienes recae la carga de la argumentación, cuando aquéllas no se aportan en el recurso (SSTC 1/1996, de 15 de enero, FJ 3; 7/1998, de 13 de enero, FJ 3; 52/1999, de 12 de abril, FJ 5; 155/1999, de 14 de septiembre, FJ 1; ATC 256/199, de 16 de septiembre). Como hemos dicho desde muy temprano (STC 54/1984, de 4 de mayo, FJ 3), cuando se acusa una violación constitucional, es carga de los recurrentes, no sólo abrir la vía para que este Tribunal pueda pronunciarse, sino también la de proporcionar la fundamentación que razonablemente es de esperar, no correspondiendo al Tribunal reconstruir de oficio la demanda de amparo, cuando el demandante ha desconocido la carga de argumentación que sobre él recae, siendo especialmente destacable en este caso la ausencia de cualquier argumento impugnatorio respecto a la decisión de la Audiencia Provincial de desestimar por extemporáneo el incidente de nulidad de actuaciones (STC 52/1999, de 12 de abril, FJ 3).</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Inadmitir la presente demanda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7" w:name="SENTENCIA_2002_94"/>
      <w:r>
        <w:lastRenderedPageBreak/>
        <w:t>SENTENCIA 94/2002, de 22 de abril de 2002</w:t>
      </w:r>
    </w:p>
    <w:bookmarkEnd w:id="97"/>
    <w:p w:rsidR="0025129F" w:rsidRDefault="0025129F" w:rsidP="0025129F">
      <w:pPr>
        <w:pStyle w:val="TtuloResolucin"/>
      </w:pPr>
      <w:r>
        <w:t>Sala Segunda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ECLI:ES:TC:2002:94</w:t>
      </w:r>
    </w:p>
    <w:p w:rsidR="0025129F" w:rsidRDefault="0025129F" w:rsidP="0025129F">
      <w:pPr>
        <w:pStyle w:val="SntesisDescriptiva"/>
      </w:pPr>
    </w:p>
    <w:p w:rsidR="0025129F" w:rsidRDefault="0025129F" w:rsidP="0025129F">
      <w:pPr>
        <w:pStyle w:val="SntesisDescriptiva"/>
      </w:pPr>
      <w:r>
        <w:t>Recurso de amparo 6766/2000. Promovido por don Luis Peñalver Achaques frente a las Sentencias de la Sala de lo Penal del Tribunal Supremo y de la Audiencia Provincial de Málaga, que dieron lugar a su condena por delito de detención ilegal.</w:t>
      </w:r>
    </w:p>
    <w:p w:rsidR="0025129F" w:rsidRDefault="0025129F" w:rsidP="0025129F">
      <w:pPr>
        <w:pStyle w:val="SntesisDescriptiva"/>
      </w:pPr>
    </w:p>
    <w:p w:rsidR="0025129F" w:rsidRDefault="0025129F" w:rsidP="0025129F">
      <w:pPr>
        <w:pStyle w:val="SntesisAnaltica"/>
      </w:pPr>
      <w:r>
        <w:t>Supuesta vulneración de los derechos a un proceso con garantías y a la presunción de inocencia: condena fundada en declaraciones sumariales de la víctima, inválidas por falta de contradicción; pero también en prueba de indicios no cuestionada.</w:t>
      </w:r>
    </w:p>
    <w:p w:rsidR="0025129F" w:rsidRDefault="0025129F" w:rsidP="0025129F">
      <w:pPr>
        <w:pStyle w:val="SntesisAnaltica"/>
      </w:pPr>
    </w:p>
    <w:p w:rsidR="0025129F" w:rsidRDefault="0025129F" w:rsidP="0025129F">
      <w:pPr>
        <w:pStyle w:val="Extracto"/>
      </w:pPr>
      <w:r>
        <w:t>1.</w:t>
      </w:r>
      <w:r>
        <w:tab/>
        <w:t>Las declaraciones de la víctima en la instrucción de la causa no fueron prestadas con la garantía de la contradicción que exige la doctrina constitucional para que pudieran ser consideradas como prueba preconstituida, y este vicio de origen impide aceptar como prueba de cargo la lectura en el acto del juicio de tales declaraciones (SSTC 40/1997, 12/2002; STEDH Lucha de 2001) [ FJ 4].</w:t>
      </w:r>
    </w:p>
    <w:p w:rsidR="0025129F" w:rsidRDefault="0025129F" w:rsidP="0025129F">
      <w:pPr>
        <w:pStyle w:val="Extracto"/>
      </w:pPr>
    </w:p>
    <w:p w:rsidR="0025129F" w:rsidRDefault="0025129F" w:rsidP="0025129F">
      <w:pPr>
        <w:pStyle w:val="Extracto"/>
      </w:pPr>
      <w:r>
        <w:t>2.</w:t>
      </w:r>
      <w:r>
        <w:tab/>
        <w:t>Las Sentencias penales fundan la condena del recurrente en amparo, además de en las declaraciones cuya virtualidad probatoria ha sido descartada en esta sede, en prueba indiciaria que no ha sido cuestionada por él, no correspondiendo a este Tribunal reconstruir de oficio la demanda de amparo ni suplir las razones de las partes (SSTC 54/1984, 155/1999) [FJ 5].</w:t>
      </w:r>
    </w:p>
    <w:p w:rsidR="0025129F" w:rsidRDefault="0025129F" w:rsidP="0025129F">
      <w:pPr>
        <w:pStyle w:val="Extracto"/>
      </w:pPr>
    </w:p>
    <w:p w:rsidR="0025129F" w:rsidRDefault="0025129F" w:rsidP="0025129F">
      <w:pPr>
        <w:pStyle w:val="Extracto"/>
      </w:pPr>
      <w:r>
        <w:t>3.</w:t>
      </w:r>
      <w:r>
        <w:tab/>
        <w:t>Doctrina constitucional sobre los actos de instrucción constitutivos de prueba sumarial preconstituida que desvirtúan la presunción de inocencia (SSTC 217/1999, 12/2002) [FJ 3].</w:t>
      </w:r>
    </w:p>
    <w:p w:rsidR="0025129F" w:rsidRDefault="0025129F" w:rsidP="0025129F">
      <w:pPr>
        <w:pStyle w:val="Extracto"/>
      </w:pPr>
    </w:p>
    <w:p w:rsidR="0025129F" w:rsidRDefault="0025129F" w:rsidP="0025129F">
      <w:pPr>
        <w:pStyle w:val="Extracto"/>
      </w:pPr>
      <w:r>
        <w:t>4.</w:t>
      </w:r>
      <w:r>
        <w:tab/>
        <w:t>Si bien en principio la prueba testifical debe practicarse en el juicio oral, excepcionalmente puede ser incorporada al proceso como prueba anticipada, si, dadas las circunstancias del caso, existe una imposibilidad real de que sea practicada en el juicio oral (STC 209/2001) [FJ 3].</w:t>
      </w:r>
    </w:p>
    <w:p w:rsidR="0025129F" w:rsidRDefault="0025129F" w:rsidP="0025129F">
      <w:pPr>
        <w:pStyle w:val="Extracto"/>
      </w:pPr>
    </w:p>
    <w:p w:rsidR="0025129F" w:rsidRDefault="0025129F" w:rsidP="0025129F">
      <w:pPr>
        <w:pStyle w:val="Extracto"/>
      </w:pPr>
      <w:r>
        <w:t>5.</w:t>
      </w:r>
      <w:r>
        <w:tab/>
        <w:t>Cuando del estudio de la Sentencia condenatoria se deriva una detallada motivación del valor probatorio de cada uno de los medios de prueba restantes, con una expresa consideración sobre su carácter de prueba de cargo, este Tribunal puede ejercer su control constitucional sin necesidad de reenvío a los órganos judiciales (SSTC 161/1999, 12/2002) [FJ 5].</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6766-2000, promovido por don Luis Peñalver Achaques, representado por la Procuradora de los Tribunales doña Esther Rodríguez Pérez y asistido por el Letrado don Pedro Apalateguin Isasa, contra la Sentencia núm. 88/1999, de 10 de marzo, de la Sección Primera de la Audiencia Provincial de Málaga recaída en el sumario ordinario núm. 4-1991 por delito de detención ilegal, y contra la Sentencia 1669/2000, de 3 de noviembre, de la Sala de lo Penal del Tribunal Supremo que declaró no haber lugar al recurso de casación por infracción de precepto constitucional interpuesto frente a la anterior Sentencia. Ha comparecido y formulado alegaciones el Ministerio Fiscal. Ha actuado como Ponente el Magistrado don Vicente Conde Martín de Hijas,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presentado en el Registro General de este Tribunal el día 22 de diciembre de 2000 don Luis Peñalver Achaques solicitó la designación de Abogado y Procurador del turno de oficio, para interponer recurso de amparo contra las resoluciones judiciales a las que se ha hecho mención en el encabezamiento de esta Sentencia.</w:t>
      </w:r>
    </w:p>
    <w:p w:rsidR="0025129F" w:rsidRDefault="0025129F" w:rsidP="0025129F">
      <w:pPr>
        <w:pStyle w:val="TextoNormal"/>
      </w:pPr>
    </w:p>
    <w:p w:rsidR="0025129F" w:rsidRDefault="0025129F" w:rsidP="0025129F">
      <w:pPr>
        <w:pStyle w:val="TextoNormal"/>
      </w:pPr>
      <w:r w:rsidRPr="0025129F">
        <w:rPr>
          <w:rStyle w:val="NumeroAFNegritaCaracter"/>
        </w:rPr>
        <w:t>2</w:t>
      </w:r>
      <w:r>
        <w:t>. Por diligencia de ordenación de la Secretaría de la Sala Segunda del Tribunal Constitucional de 18 de enero de 2001 se acordó poner de manifiesto al recurrente en amparo y a la Procuradora de los Tribunales doña Esther Rodríguez Pérez que, de conformidad con lo dispuesto en el art. 7.2 de la Ley 1/1996, de 10 de enero, de asistencia jurídica gratuita, y en el art. 3 del Acuerdo del Pleno del Tribunal Constitucional de 11 de junio de 1996, sobre asistencia jurídica gratuita en los procesos de amparo, corresponde al Procurador y al Abogado que actuaron en la jurisdicción ordinaria en representación y defensa del demandante interponer en su nombre el recurso de amparo que estime procedente y, en consecuencia, se concedió a la Procuradora doña Esther Rodríguez Pérez un plazo de diez días para que, bajo la dirección letrada que le asistió en la jurisdicción ordinaria, formalizase la demanda de amparo, debiendo aportar copia de la Sentencia de la Sección Primera de la Audiencia Provincial de Málaga, y acreditar haber invocado ante la jurisdicción ordinaria el derecho constitucional que se considera vulnerado.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La demanda de amparo fue formalizada mediante escrito presentado en el Registro General de este Tribunal el día 8 de febrero de 2001, en el que se recoge la relación de antecedentes fácticos y la fundamentación jurídica que a continuación sucintamente se extracta: </w:t>
      </w:r>
    </w:p>
    <w:p w:rsidR="0025129F" w:rsidRDefault="0025129F" w:rsidP="0025129F">
      <w:pPr>
        <w:pStyle w:val="TextoNormal"/>
      </w:pPr>
      <w:r>
        <w:t xml:space="preserve">a) El Juzgado de Instrucción núm. 3 de Málaga instruyó el sumario núm. 4-1991 contra el ahora demandante de amparo por un delito de detención ilegal, que, una vez concluso, fue remitido a la Audiencia Provincial de Málaga, cuya Sección Primera dictó Sentencia, </w:t>
      </w:r>
      <w:r>
        <w:lastRenderedPageBreak/>
        <w:t xml:space="preserve">de fecha 10 de marzo de 1999, en la que le condenó por un delito de detención ilegal con la concurrencia de la agravante de abuso de superioridad a la pena de ocho años y un día de prisión mayor. </w:t>
      </w:r>
    </w:p>
    <w:p w:rsidR="0025129F" w:rsidRDefault="0025129F" w:rsidP="0025129F">
      <w:pPr>
        <w:pStyle w:val="TextoNormal"/>
      </w:pPr>
      <w:r>
        <w:t xml:space="preserve">El demandante de amparo, considerando que la mencionada Sentencia era lesiva de derechos fundamentales, interpuso recurso de casación contra ella. La Sala Segunda del Tribunal Supremo por Sentencia de fecha 3 de noviembre de 2000 declaró no haber lugar al recurso de casación, con lo que confirmó la Sentencia de la Sección Primera de la Audiencia Provincial de Málaga. </w:t>
      </w:r>
    </w:p>
    <w:p w:rsidR="0025129F" w:rsidRDefault="0025129F" w:rsidP="0025129F">
      <w:pPr>
        <w:pStyle w:val="TextoNormal"/>
      </w:pPr>
      <w:r>
        <w:t xml:space="preserve">b) En cuanto a la fundamentación jurídica de la demanda de amparo, se invoca en ésta frente a las resoluciones judiciales recurridas la vulneración de los derechos a la presunción de inocencia y a un proceso con todas las garantías (art. 24.2 CE). </w:t>
      </w:r>
    </w:p>
    <w:p w:rsidR="0025129F" w:rsidRDefault="0025129F" w:rsidP="0025129F">
      <w:pPr>
        <w:pStyle w:val="TextoNormal"/>
      </w:pPr>
      <w:r>
        <w:t xml:space="preserve">Las Sentencias impugnadas, se sostiene en la demanda de amparo, han tenido en cuenta para dictar el fallo condenatorio una actividad probatoria que no está constituida por auténticos actos de prueba, y que se ha traído al juicio oral con lesión de los principios de igualdad, contradicción e inmediación. Tras aludir a la proclamación del derecho a la presunción de inocencia en diversos textos y acuerdos internacionales suscritos por España y en la Constitución, así como a la doctrina de este Tribunal sobre el mencionado derecho fundamental, con especial referencia a los requisitos exigidos para que las diligencias sumariales puedan operar en cuanto pruebas anticipadas o preconstituidas como elementos probatorios de cargo, la representación procesal del demandante de amparo afirma que en la Sentencia de la Audiencia Provincial, que confirmó el Tribunal Supremo, se declara que la única prueba de cargo articulada ha consistido en las declaraciones de la víctima prestadas ante la Policía y ratificadas ante el Juez de Instrucción, que posteriormente fueron leídas en el plenario, argumentando la Sala que, en uso de la facultad que le confiere el art. 741 LECrim, está autorizada para reconocer mayor credibilidad a las declaraciones resultantes de las diligencias penales frente a las obrantes en el acto del juicio, aunque la víctima no hubiera declarado en dicho acto, aludiendo, a continuación, a la condición de extranjera de ésta y a la imposibilidad de su comparecencia, lo que califica de situación de fuerza mayor. Sin embargo consta en las actuaciones, concretamente en el rollo de la Sala, que la testigo mantuvo correspondencia con el Tribunal que tuvo que enjuiciar la causa, lo que permite presumir que la prueba no era de imposible reproducción. </w:t>
      </w:r>
    </w:p>
    <w:p w:rsidR="0025129F" w:rsidRDefault="0025129F" w:rsidP="0025129F">
      <w:pPr>
        <w:pStyle w:val="TextoNormal"/>
      </w:pPr>
      <w:r>
        <w:t xml:space="preserve">Pero, en todo caso, aun admitiendo el razonamiento de la Sala, el Juzgado de Instrucción tenía que haber practicado la diligencia de toma de declaración de la testigo con las prevenciones a que se refiere el art. 448 LECrim. Además de la referida declaración, el órgano judicial tuvo en cuenta para dictar su fallo condenatorio el reconocimiento en rueda efectuado por la víctima del delito, que no fue reproducido en sede judicial. </w:t>
      </w:r>
    </w:p>
    <w:p w:rsidR="0025129F" w:rsidRDefault="0025129F" w:rsidP="0025129F">
      <w:pPr>
        <w:pStyle w:val="TextoNormal"/>
      </w:pPr>
      <w:r>
        <w:t xml:space="preserve">c) A continuación se analizan en la demanda de amparo ambos medios de prueba, en los que se sustenta el fallo condenatorio, comenzando por las declaraciones de la víctima vertidas en la fase sumarial, que fueron introducidas en el plenario mediante su lectura, y a las que se les dio el carácter de prueba preconstituida o anticipada, hábil y suficiente para desvirtuar la presunción de inocencia. </w:t>
      </w:r>
    </w:p>
    <w:p w:rsidR="0025129F" w:rsidRDefault="0025129F" w:rsidP="0025129F">
      <w:pPr>
        <w:pStyle w:val="TextoNormal"/>
      </w:pPr>
      <w:r>
        <w:t xml:space="preserve">Tras reiterar, con cita de las SSTC 303/1993, de 25 de octubre, y 200/1996, de 3 de diciembre, la doctrina constitucional sobre los requisitos para que las diligencias sumariales, en cuanto pruebas preconstituidas o anticipadas, puedan operar como elementos probatorios válidos para desvirtuar la presunción de inocencia, la representación procesal del demandante de amparo afirma que, si bien es cierto que en este caso concurría uno de los supuestos en los que la jurisprudencia de este Tribunal ha admitido la eficacia probatoria de las diligencias sumariales, al tratarse de una testigo que se encuentra en el extranjero, </w:t>
      </w:r>
      <w:r>
        <w:lastRenderedPageBreak/>
        <w:t xml:space="preserve">no es menos cierto, sin embargo, que tales diligencias sumariales y policiales, ni tienen la consideración de prueba preconstituida o anticipada, al no darse los requisitos exigidos, ni se realizaron con las debidas garantías, tanto procesales, como materiales, que nuestro Ordenamiento jurídico exige para poder considerarlas como prueba de cargo. </w:t>
      </w:r>
    </w:p>
    <w:p w:rsidR="0025129F" w:rsidRDefault="0025129F" w:rsidP="0025129F">
      <w:pPr>
        <w:pStyle w:val="TextoNormal"/>
      </w:pPr>
      <w:r>
        <w:t xml:space="preserve">La testigo declaró ante la policía (folio 26), declaración que no tiene ningún valor o eficacia probatoria, sino que constituye un acto de investigación destinado a la preparación de juicio oral, y después prestó por dos veces declaración ante el Juez Instructor (folios 67 y 194), ratificándose en la declaración policial, las cuales se practicaron sin la presencia del acusado, ahora demandante de amparo, ni la de su Abogado defensor, de modo que tales declaraciones se produjeron con la ausencia de las garantías de contradicción y publicidad que requiere nuestro Ordenamiento. Así pues lo que la Audiencia Provincial ha hecho ha sido traer sorpresivamente desde el sumario unos datos -las mencionadas declaraciones- que se incorporan después a la narración de hechos probados, sin que haya existido la posibilidad, no ya de debatirlas en el acto del juicio, sino tan siquiera en la fase de instrucción, otorgando a dichas diligencias policiales y sumariales una eficacia que no pueden tener. </w:t>
      </w:r>
    </w:p>
    <w:p w:rsidR="0025129F" w:rsidRDefault="0025129F" w:rsidP="0025129F">
      <w:pPr>
        <w:pStyle w:val="TextoNormal"/>
      </w:pPr>
      <w:r>
        <w:t xml:space="preserve">Con este modo de actuar se ha vulnerado, no sólo el derecho de defensa, ya que las declaraciones no pudieron ser sometidas a contradicción, sino también el derecho del acusado a estar presente en el interrogatorio de la testigo, lesionándose, consecuentemente, el derecho a la presunción de inocencia (SSTEDH, de 20 de diciembre de 1989 -caso Kostvski; de 27 de septiembre de 1990 -caso Windisch; de 19 de diciembre de 1990 - caso Delta; y de 19 de febrero de 1991 -caso Isgró). Respecto del derecho del acusado a estar presente en el interrogatorio de los testigos el Tribunal Supremo ha declarado que el derecho a interrogar o hacer interrogar a los testigos se concibe mal sin la posibilidad para el acusado de carearse con los que hacen declaraciones en su contra, derecho que no ha de sufrir merma alguna cuando el procesado cuenta con un Abogado defensor, pues los derechos que concede el art. 6.3 d) CEDH presuponen la presencia física del acusado en el juicio (STS de 8 de febrero de 1991). </w:t>
      </w:r>
    </w:p>
    <w:p w:rsidR="0025129F" w:rsidRDefault="0025129F" w:rsidP="0025129F">
      <w:pPr>
        <w:pStyle w:val="TextoNormal"/>
      </w:pPr>
      <w:r>
        <w:t xml:space="preserve">Así pues, si bien pudiera entenderse que hubo prueba de cargo, ésta es ilícita, dado que se obtuvo vulnerando los principios y garantías esenciales que rigen nuestro proceso penal: la contradicción, el derecho del acusado de interrogar y hacer interrogar a los testigos de cargo y la publicidad. Al admitir el Tribunal de instancia que las mencionadas declaraciones se introdujeran en el juicio oral a través de la lectura documental que requiere el art. 730 LECrim olvidó que la declaración de la testigo en el juicio oral era posible, por lo que faltaba el requisito material referido a su imposibilidad de reproducción en dicho acto, así como, al permitir su lectura, el requisito objetivo que tiene como fundamento posibilitar el ejercicio del derecho de contradicción en la diligencia cuya lectura se desprende. Además la lectura de la declaración prestada por la testigo en el atestado quebranta el requisito subjetivo, al no haber intervenido en ella el Juez Instructor, a lo que ha de añadirse que existió prueba de descargo suficiente practicada en el juicio con todas las garantías. </w:t>
      </w:r>
    </w:p>
    <w:p w:rsidR="0025129F" w:rsidRDefault="0025129F" w:rsidP="0025129F">
      <w:pPr>
        <w:pStyle w:val="TextoNormal"/>
      </w:pPr>
      <w:r>
        <w:t xml:space="preserve">d) En relación con la rueda de reconocimiento la representación procesal del demandante de amparo afirma que el Tribunal Supremo ha puesto de relieve la naturaleza eminentemente judicial que ostenta esta diligencia, la cual ha de practicarse, no sólo con todas las garantías que la LECrim establece, sino también con las garantías formales derivadas de su realización ante el Juez de Instrucción, asistido por el Secretario del Juzgado y con la asistencia de Abogado con carácter irrenunciable (SSTS de 31 de enero de 1991 y de 6 de septiembre de 1991). </w:t>
      </w:r>
    </w:p>
    <w:p w:rsidR="0025129F" w:rsidRDefault="0025129F" w:rsidP="0025129F">
      <w:pPr>
        <w:pStyle w:val="TextoNormal"/>
      </w:pPr>
      <w:r>
        <w:lastRenderedPageBreak/>
        <w:t xml:space="preserve">En este caso la rueda de reconocimiento, que se practicó el día 20 de marzo de 1989, se hizo ante funcionarios de la policía, sin que estuvieran presentes, ni el Juez de Instrucción, ni el Secretario del Juzgado. Si bien es cierto que posteriormente la testigo en la declaración que prestó ante el Juez de Instrucción ratificó el reconocimiento que había hecho en comisaría (folio 194), no es menos que las leyes y la jurisprudencia exigen la presencia insustituible del Juez y del Secretario para la práctica de la rueda de reconocimiento (SSTS de 18 de octubre de 1989 y de 31 de enero de 1992). </w:t>
      </w:r>
    </w:p>
    <w:p w:rsidR="0025129F" w:rsidRDefault="0025129F" w:rsidP="0025129F">
      <w:pPr>
        <w:pStyle w:val="TextoNormal"/>
      </w:pPr>
      <w:r>
        <w:t xml:space="preserve">La defensa del ahora demandante de amparo solicitó ante el Juez de Instrucción la práctica de una nueva rueda de reconocimiento, como consecuencia de los vicios de los que adolecía la llevada a cabo el día 20 de marzo de 1989, petición que ni siquiera fue contestada por el órgano judicial. También llama la atención el hecho de que la testigo en la declaración que prestó en comisaría el día 20 de marzo de 1989 a las once horas afirmase, sin género de dudas, haber reconocido al ahora demandante de amparo, cuando la rueda de reconocimiento se practicó cuarenta y cinco minutos después (folio 45). Además este Tribunal tiene declarado que "la diligencia policial y judicial de reconocimiento en rueda, aun con asistencia del letrado del inculpado, no constituye prueba alguna preconstituida que quede automáticamente al margen de los principios de contradicción, inmediación y oralidad, por lo que si el testigo no comparece en el juicio oral, la simple lectura de la documentación de aquella diligencia o su reproducción formal no basta para enervar la presunción de inocencia". Se trata, por lo tanto, de otra prueba viciada desde el primer momento, que, sin embargo, fue valorada por el Juzgador como hábil para destruir dicha presunción. </w:t>
      </w:r>
    </w:p>
    <w:p w:rsidR="0025129F" w:rsidRDefault="0025129F" w:rsidP="0025129F">
      <w:pPr>
        <w:pStyle w:val="TextoNormal"/>
      </w:pPr>
      <w:r>
        <w:t>Concluye el escrito de demanda suplicando del Tribunal Constitucional que, tras los trámites pertinentes, dicte Sentencia, en la que se otorgue el amparo solicitado, declarando la nulidad de las Sentencias de la Sección Primera de la Audiencia Provincial de Málaga de 10 de marzo de 1999 y de la Sala Segunda del Tribunal Supremo de 3 de noviembre de 2000. Mediante otrosí, de conformidad con lo dispuesto en el art. 56 LOTC, se interesó la suspensión de la ejecución de las resoluciones jurisdiccionales impugnadas.</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La Sección Tercera del Tribunal Constitucional por providencia de 21 de mayo de 2001 acordó, de conformidad con lo dispuesto en el art. 50.3 LOTC, conceder al demandante de amparo y al Ministerio Fiscal un plazo común de diez días, para que formulasen alegaciones, con las aportaciones documentales que procediese, en relación con la posible carencia manifiesta de contenido constitucional de la demanda de amparo [art. 50.1 c) LOTC]. </w:t>
      </w:r>
    </w:p>
    <w:p w:rsidR="0025129F" w:rsidRDefault="0025129F" w:rsidP="0025129F">
      <w:pPr>
        <w:pStyle w:val="TextoNormal"/>
      </w:pPr>
      <w:r>
        <w:t>Evacuado el trámite de alegaciones conferido, la Sala Segunda del Tribunal Constitucional, por providencia de 27 de julio de 2001, acordó admitir a trámite la demanda de amparo y, en aplicación de lo dispuesto en el art. 51 LOTC, dirigir sendas comunicaciones a la Sala de lo Penal del Tribunal Supremo y a la Sección Primera de la Audiencia Provincial de Málaga, a fin de que, en plazo que no excediera de diez días, remitiesen, respectivamente, certificación o fotocopia adverada de las actuaciones correspondientes al recurso de casación núm. 2371-1999, al rollo de Sala núm. 30-1991 y al sumario núm. 4-1991 del Juzgado de Instrucción núm. 3 de Málaga, debiendo previamente emplazar la Audiencia Provincial a quienes hubieran sido parte en el procedimiento, a excepción del demandante de amparo, para que en el plazo de diez días pudieran comparecer, si lo deseasen, en este proceso de amparo.</w:t>
      </w:r>
    </w:p>
    <w:p w:rsidR="0025129F" w:rsidRDefault="0025129F" w:rsidP="0025129F">
      <w:pPr>
        <w:pStyle w:val="TextoNormal"/>
      </w:pPr>
    </w:p>
    <w:p w:rsidR="0025129F" w:rsidRDefault="0025129F" w:rsidP="0025129F">
      <w:pPr>
        <w:pStyle w:val="TextoNormal"/>
      </w:pPr>
      <w:r w:rsidRPr="0025129F">
        <w:rPr>
          <w:rStyle w:val="NumeroAFNegritaCaracter"/>
        </w:rPr>
        <w:t>5</w:t>
      </w:r>
      <w:r>
        <w:t>. La Sala Segunda del Tribunal Constitucional, por providencia de 27 de julio de 2001, acordó formar la oportuna pieza para la tramitación del incidente sobre la suspen</w:t>
      </w:r>
      <w:r>
        <w:lastRenderedPageBreak/>
        <w:t xml:space="preserve">sión solicitada y, de conformidad con lo dispuesto en el art. 56 LOTC, conceder un plazo común de tres días a la parte recurrente y al Ministerio Fiscal, para que alegasen lo que estimaran procedente sobre dicha suspensión. </w:t>
      </w:r>
    </w:p>
    <w:p w:rsidR="0025129F" w:rsidRDefault="0025129F" w:rsidP="0025129F">
      <w:pPr>
        <w:pStyle w:val="TextoNormal"/>
      </w:pPr>
      <w:r>
        <w:t>Evacuado el trámite de alegaciones conferido, la Sala Segunda, por Auto de 26 de noviembre de 2001, acordó denegar la suspensión solicitada.</w:t>
      </w:r>
    </w:p>
    <w:p w:rsidR="0025129F" w:rsidRDefault="0025129F" w:rsidP="0025129F">
      <w:pPr>
        <w:pStyle w:val="TextoNormal"/>
      </w:pPr>
    </w:p>
    <w:p w:rsidR="0025129F" w:rsidRDefault="0025129F" w:rsidP="0025129F">
      <w:pPr>
        <w:pStyle w:val="TextoNormal"/>
      </w:pPr>
      <w:r w:rsidRPr="0025129F">
        <w:rPr>
          <w:rStyle w:val="NumeroAFNegritaCaracter"/>
        </w:rPr>
        <w:t>6</w:t>
      </w:r>
      <w:r>
        <w:t>. Por diligencia de ordenación de la Secretaría de la Sala Segunda del Tribunal Constitucional de 28 de febrero de 2002 se acordó dar vista de las actuaciones recibidas a la parte recurrente y al Ministerio Fiscal, por plazo común de veinte días, de conformidad con lo dispuesto en el art. 52.1 LOTC.</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Ministerio Fiscal evacuó el trámite de alegaciones conferido mediante escrito presentado en el Registro General de este Tribunal el día 14 de marzo de 2002, en el que interesó la desestimación de la demanda de amparo. </w:t>
      </w:r>
    </w:p>
    <w:p w:rsidR="0025129F" w:rsidRDefault="0025129F" w:rsidP="0025129F">
      <w:pPr>
        <w:pStyle w:val="TextoNormal"/>
      </w:pPr>
      <w:r>
        <w:t xml:space="preserve">Tras aludir a los antecedentes fácticos de la demanda de amparo y reproducir la doctrina constitucional sobre la viabilidad como prueba de cargo de los elementos de convicción obtenidos durante la formación del sumario, como prueba anticipada y preconstituida que se prevea de imposible reproducción en el juicio oral, sostiene que en este caso, tal y como se afirma en las resoluciones judiciales recurridas, existía dificultad para que la víctima y denunciante de los hechos, propuesta como testigo por el Ministerio Fiscal, pudiera haber comparecido en juicio, para declarar en él, sometiéndose al posible interrogatorio del acusado, como exige el art. 24.2 CE, ya que se trataba de una persona de nacionalidad extranjera, que si bien residía en la fecha de los hechos en España, diez años más tarde, cuando se enjuició al ahora demandante de amparo, había cambiado su domicilio, abandonando el territorio español, sin que se pudiera conocer su paradero y, en consecuencia, pudiera intentarse su localización para ser citada a la celebración de la vista oral. </w:t>
      </w:r>
    </w:p>
    <w:p w:rsidR="0025129F" w:rsidRDefault="0025129F" w:rsidP="0025129F">
      <w:pPr>
        <w:pStyle w:val="TextoNormal"/>
      </w:pPr>
      <w:r>
        <w:t xml:space="preserve">Por ello, como se señala en la Sentencia del Tribunal Supremo, no pudo adoptarse la prevención establecida en el art. 448 LECrim, pues al tiempo de recibírsele declaración se desconocía si la denunciante habría o no de ausentarse de España y, por consiguiente, si debía requerirse al denunciado para que designase letrado que asistiera a la declaración a fin de procurar el sometimiento a contradicción de tal diligencia sumarial. La denunciante, al no estar perfectamente localizada, no pudo ser citada a juicio, por lo que su declaración testifical en dicho acto podía ser sustituida por la lectura en él de sus declaraciones sumariales, de conformidad con lo previsto en el art. 739 LECrim. Así se cumplirían las exigencias constitucionales de prueba anticipada y la posibilidad de aceptar como prueba de cargo la lectura en el juicio de las declaraciones de la denunciante. </w:t>
      </w:r>
    </w:p>
    <w:p w:rsidR="0025129F" w:rsidRDefault="0025129F" w:rsidP="0025129F">
      <w:pPr>
        <w:pStyle w:val="TextoNormal"/>
      </w:pPr>
      <w:r>
        <w:t xml:space="preserve">Lo mismo cabe decir respecto a la rueda de reconocimiento, pues el motivo deducido por el demandante con respecto a esta diligencia se encuentra estrechamente relacionado con el anterior, ya que, si bien la rueda no se llevó a cabo en presencia judicial, efectuándose en la comisaría de policía y asistiendo a su práctica un Abogado designado de oficio (folio 42) -tal como autoriza el art. 520.4 LECrim.-, dicha identificación fue ratificada en sede judicial, aun cuando no asistiera a tal declaración la representación legal del ahora recurrente por los motivos antes expuestos. </w:t>
      </w:r>
    </w:p>
    <w:p w:rsidR="0025129F" w:rsidRDefault="0025129F" w:rsidP="0025129F">
      <w:pPr>
        <w:pStyle w:val="TextoNormal"/>
      </w:pPr>
      <w:r>
        <w:t>No cabe negar eficacia probatoria a las diligencias sumariales o instructoras practicadas con las formalidades que la Constitución y el ordenamiento jurídico procesal establecen, siempre que dichas diligencias sean reproducidas en el acto de la vista en condiciones que permitan a la defensa del acusado someterlas a contradicción (SSTC 10/1982, 201/1989). Como se indica en las Sentencias impugnadas, en el juicio oral se dio lectura a las declara</w:t>
      </w:r>
      <w:r>
        <w:lastRenderedPageBreak/>
        <w:t xml:space="preserve">ciones de la perjudicada, al tratarse de prueba anticipada o preconstituida de imposible o muy difícil reproducción, garantizándose de este modo el principio de contradicción. </w:t>
      </w:r>
    </w:p>
    <w:p w:rsidR="0025129F" w:rsidRDefault="0025129F" w:rsidP="0025129F">
      <w:pPr>
        <w:pStyle w:val="TextoNormal"/>
      </w:pPr>
      <w:r>
        <w:t xml:space="preserve">Ha de concluirse, pues, que en este caso se han respetado los postulados constitucionales sobre la introducción en el plenario de la prueba de cargo, ya que se contempla la valoración de una prueba en un supuesto verdaderamente excepcional -testimonio de súbdita extranjera residente en España y con domicilio en Málaga plenamente identificado, que, no obstante, al cabo de diez años abandona España ignorándose su paradero- y sobre dicho testimonio no puede decirse que no se haya respetado el principio de contradicción, dado que, no sólo se observa sometiendo la defensa a interrogatorio de quien efectúa determinadas manifestaciones incriminatorias, sino también trayendo a colación la concreta imputación y los hechos y circunstancias que le sirven de base, para a su vista discutirlos, impugnarlos o refutarlos mediante argumentos que, basados en las restantes pruebas, hagan aparecer aquella imputación, en su caso, como desprovista de mínima solidez. </w:t>
      </w:r>
    </w:p>
    <w:p w:rsidR="0025129F" w:rsidRDefault="0025129F" w:rsidP="0025129F">
      <w:pPr>
        <w:pStyle w:val="TextoNormal"/>
      </w:pPr>
      <w:r>
        <w:t>Además, como se recoge tanto en la Sentencia de la Audiencia Provincial como en la del Tribunal Supremo, la Sala sentenciadora tomó en consideración para la condena, no sólo el testimonio de la perjudicada, sino también el hecho inobjetable de la detención del demandante conduciendo la furgoneta en la que había sido introducida la víctima, lo que constituye "el hecho-base para inferir potencialmente su participación en el hecho ilícito".</w:t>
      </w:r>
    </w:p>
    <w:p w:rsidR="0025129F" w:rsidRDefault="0025129F" w:rsidP="0025129F">
      <w:pPr>
        <w:pStyle w:val="TextoNormal"/>
      </w:pPr>
    </w:p>
    <w:p w:rsidR="0025129F" w:rsidRDefault="0025129F" w:rsidP="0025129F">
      <w:pPr>
        <w:pStyle w:val="TextoNormal"/>
      </w:pPr>
      <w:r w:rsidRPr="0025129F">
        <w:rPr>
          <w:rStyle w:val="NumeroAFNegritaCaracter"/>
        </w:rPr>
        <w:t>8</w:t>
      </w:r>
      <w:r>
        <w:t>. La representación procesal del recurrente en amparo evacuó el trámite de alegaciones conferido mediante escrito presentado en el Registro General de este Tribunal el día 27 de marzo de 2002, en el que reiteró sucintamente y dio por reproducidas las efectuadas en la demanda de amparo.</w:t>
      </w:r>
    </w:p>
    <w:p w:rsidR="0025129F" w:rsidRDefault="0025129F" w:rsidP="0025129F">
      <w:pPr>
        <w:pStyle w:val="TextoNormal"/>
      </w:pPr>
    </w:p>
    <w:p w:rsidR="0025129F" w:rsidRDefault="0025129F" w:rsidP="0025129F">
      <w:pPr>
        <w:pStyle w:val="TextoNormal"/>
      </w:pPr>
      <w:r w:rsidRPr="0025129F">
        <w:rPr>
          <w:rStyle w:val="NumeroAFNegritaCaracter"/>
        </w:rPr>
        <w:t>9</w:t>
      </w:r>
      <w:r>
        <w:t>. Por providencia de 18 de abril de 2002, se señaló para la deliberación y votación de la presente Sentencia el día 22 de abril siguiente.</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La presente demanda de amparo tiene por objeto la impugnación de la Sentencia núm. 88/1999, de 10 de marzo, de la Sección Primera de la Audiencia Provincial de Málaga, que condenó al recurrente en amparo como autor de un delito de detención ilegal, previsto y penado en el art. 480.1 del Código Penal de 1973, con la concurrencia de la agravante de abuso de superioridad a la pena de ocho años y un día de prisión mayor, con la accesoria de suspensión de todo cargo público y derecho de sufragio durante el tiempo de la condena, y al pago de las costas procesales, así como la de la Sentencia núm. 1669/2000, de 3 de noviembre, de la Sala Segunda del Tribunal Supremo, que declaró no haber lugar al recurso de casación interpuesto por infracción de precepto constitucional frente a la Sentencia de la Audiencia Provincial.</w:t>
      </w:r>
    </w:p>
    <w:p w:rsidR="0025129F" w:rsidRDefault="0025129F" w:rsidP="0025129F">
      <w:pPr>
        <w:pStyle w:val="TextoNormal"/>
      </w:pPr>
      <w:r>
        <w:t xml:space="preserve">El demandante de amparo imputa a las resoluciones jurisdiccionales impugnadas la vulneración de los derechos a un proceso con todas las garantías y a la presunción de inocencia (art. 24.2 CE), al considerar que su condena se ha basado en una actividad probatoria que no estuvo constituida por auténticos actos de prueba, y que fue llevada al acto del juicio oral con lesión de los principios de igualdad, contradicción e inmediación. En este sentido se refiere, en primer lugar, a las declaraciones de la víctima prestadas en sede policial, y ratificadas posteriormente ante el Juez de Instrucción, que fueron introducidas en el plenario mediante su lectura, al no haber comparecido al acto del juicio, y a las que </w:t>
      </w:r>
      <w:r>
        <w:lastRenderedPageBreak/>
        <w:t>se les dio el carácter de prueba preconstituida o anticipada, hábil y suficiente para enervar la presunción de inocencia, a las cuales reprocha la circunstancia, para que pudieran entenderse reproducidas de manera válida y eficaz en el acto del juicio, de que no se hubieran practicado con las debidas garantías de contradicción y publicidad, ya que se llevaron a cabo sin que estuvieran presentes el demandante de amparo o su Abogado, lo que le ha impedido someter a contradicción dichas declaraciones sumariales, no sólo ya en el acto del juicio, sino tan siquiera en la fase de instrucción, habiéndoles otorgado, en definitiva, los órganos judiciales una eficacia probatoria de la que carecen. En segundo lugar cuestiona también la validez de la rueda de reconocimiento practicada ante la policía, en la que la víctima le identificó como una de las personas que había participado en su detención ilegal, al no estar presentes cuando se llevó a cabo ni el Juez instructor ni el Secretario judicial, y al no haber sido ratificada en el acto del juicio.</w:t>
      </w:r>
    </w:p>
    <w:p w:rsidR="0025129F" w:rsidRDefault="0025129F" w:rsidP="0025129F">
      <w:pPr>
        <w:pStyle w:val="TextoNormal"/>
      </w:pPr>
      <w:r>
        <w:t>Por su parte el Ministerio Fiscal se opone a la estimación del recurso de amparo. Argumenta en este sentido que la víctima, que fue propuesta como testigo por el Ministerio Fiscal, era una persona de nacionalidad extranjera, que, si bien residía en la fecha de los hechos en España, cuando se enjuició al demandante de amparo, diez años más tarde, había cambiado su domicilio y abandonado el territorio nacional, sin que se pudiera conocer su paradero y, en consecuencia, se pudiera intentar su localización para ser citada al acto del juicio. En esta tesitura no pudo adoptarse al tiempo de recibírsele declaración en la fase sumarial la prevención que establece el art. 448 LECrim, ya que no se sabía si habría o no de ausentarse de España, y en el acto del juicio se dio lectura a sus declaraciones sumariales, al tratarse de una prueba anticipada o preconstituida de imposible y muy difícil reproducción, garantizándose de este modo el principio de contradicción. Asimismo sostiene en relación con la rueda de reconocimiento que la identificación del demandante de amparo fue ratificada por la víctima del delito ante el Juzgado de Instrucción, aun cuando no asistiera a su declaración la representación legal del recurrente en amparo. Y, finalmente, aduce que las resoluciones judiciales impugnadas tomaron en consideración para la condena del demandante de amparo, no sólo el testimonio de la perjudicada, sino también el hecho inobjetivable de su detención conduciendo la furgoneta en la que había sido introducida la víctima, lo que constituye un hecho- base del que se infiere su participación en el hecho delictivo.</w:t>
      </w:r>
    </w:p>
    <w:p w:rsidR="0025129F" w:rsidRDefault="0025129F" w:rsidP="0025129F">
      <w:pPr>
        <w:pStyle w:val="TextoNormal"/>
      </w:pPr>
    </w:p>
    <w:p w:rsidR="0025129F" w:rsidRDefault="0025129F" w:rsidP="0025129F">
      <w:pPr>
        <w:pStyle w:val="TextoNormal"/>
      </w:pPr>
      <w:r w:rsidRPr="0025129F">
        <w:rPr>
          <w:rStyle w:val="NumeroAFNegritaCaracter"/>
        </w:rPr>
        <w:t>2</w:t>
      </w:r>
      <w:r>
        <w:t>. Con carácter previo a cualquier otra consideración es necesario en este caso, a la vista de las alegaciones de las partes sobre los distintos medios de prueba a los que aluden en sus escritos, realizar sendas precisiones sobre las pruebas en las que los órganos judiciales han sustentado la condena del ahora recurrente en amparo en las resoluciones jurisdiccionales impugnadas, lo que determinará en última instancia una adecuada delimitación de las cuestiones a abordar.</w:t>
      </w:r>
    </w:p>
    <w:p w:rsidR="0025129F" w:rsidRDefault="0025129F" w:rsidP="0025129F">
      <w:pPr>
        <w:pStyle w:val="TextoNormal"/>
      </w:pPr>
      <w:r>
        <w:t>Si bien es cierto, como se afirma en la demanda de amparo, que la Audiencia Provincial, según permite apreciar la lectura de su Sentencia, fundó su fallo condenatorio, entre otros medios de prueba a los que a continuación aludiremos, en la rueda de reconocimiento efectuada en sede policial, no es menos cierto, sin embargo, que el Tribunal Supremo descartó la validez de dicho medio de prueba, al no haberse practicado ante el Juez de Instrucción bajo la fe del Secretario judicial, sin perjuicio de la eficacia que otorga a la declaración de la víctima ante el Juez instructor, en la que ratificó dicho reconocimiento. De modo que la rueda de reconocimiento, en la que la víctima identificó al demandante de amparo, llevada a cabo en las diligencias de investigación policial ha decaído, tras el pronunciamiento del Tribunal Supremo, como una de las pruebas en las que se basó la conde</w:t>
      </w:r>
      <w:r>
        <w:lastRenderedPageBreak/>
        <w:t>na del recurrente en amparo, sin que, por lo tanto, este Tribunal haya de entrar a enjuiciar la corrección o no de su práctica y su validez como prueba de cargo para desvirtuar la presunción de inocencia, ni, por consiguiente, pronunciarse sobre las alegaciones que al respecto, en uno y otro sentido, han efectuado tanto el demandante de amparo como el Ministerio Fiscal.</w:t>
      </w:r>
    </w:p>
    <w:p w:rsidR="0025129F" w:rsidRDefault="0025129F" w:rsidP="0025129F">
      <w:pPr>
        <w:pStyle w:val="TextoNormal"/>
      </w:pPr>
      <w:r>
        <w:t>Según se deduce de la lectura de ambas resoluciones judiciales, la condena del ahora recurrente en amparo no se ha sustentado exclusivamente, como pudiera desprenderse de la demanda de amparo, tras descartarse la virtualidad de la rueda de reconocimiento, en las declaraciones prestadas en la fase sumarial por la víctima del delito, reproducidas en el acto del juicio mediante su lectura, sino, además, en una prueba indiciaria.  Dicha prueba indiciaria, según se razona en las Sentencias recurridas, establece como hecho base para inferir potencialmente la participación del demandante de amparo en el hecho delictivo en la circunstancia incontestable de su detención "conduciendo la furgoneta en la cual y a través de una emisora había sabido la policía que se había realizado el hecho delictivo, junto a una persona que ya fue enjuiciada y condenada por los mismos hechos, y en un espacio temporal que encaja en el iter comisivo y precisamente en el lugar cercano a la carretera de los Montes, en dirección al centro". En este sentido la Audiencia Provincial argumenta en su Sentencia que "no convence [sic] a la Sala los argumentos del procesado en orden a que había llevado a su amigo que se había quedado sin gasolina, cuando además del testimonio de la víctima, es detenido conduciendo el coche en el que se comete el delito, en compañía de un coautor y con una secuencia temporal y espacial perfectamente incardinable en el mismo" (fundamento de Derecho primero). Razonamiento que es confirmado en casación por la Sala Segunda del Tribunal Supremo (fundamento de Derecho segundo).</w:t>
      </w:r>
    </w:p>
    <w:p w:rsidR="0025129F" w:rsidRDefault="0025129F" w:rsidP="0025129F">
      <w:pPr>
        <w:pStyle w:val="TextoNormal"/>
      </w:pPr>
      <w:r>
        <w:t>Sentado cuanto antecede, dos son, pues, las cuestiones que sucesivamente debemos de abordar a continuación: la validez como prueba de cargo para desvirtuar la presunción de inocencia del recurrente en amparo de las declaraciones de la víctima prestadas en la fase sumarial y reproducidas en el acto del juicio, al que no compareció; y, en el supuesto de que el anterior interrogante recibiera una respuesta negativa, si, prescindiendo de este elemento de prueba, existen otras pruebas válidas de la participación del demandante de amparo en los hechos por los que ha sido condenado.</w:t>
      </w:r>
    </w:p>
    <w:p w:rsidR="0025129F" w:rsidRDefault="0025129F" w:rsidP="0025129F">
      <w:pPr>
        <w:pStyle w:val="TextoNormal"/>
      </w:pPr>
    </w:p>
    <w:p w:rsidR="0025129F" w:rsidRDefault="0025129F" w:rsidP="0025129F">
      <w:pPr>
        <w:pStyle w:val="TextoNormal"/>
      </w:pPr>
      <w:r w:rsidRPr="0025129F">
        <w:rPr>
          <w:rStyle w:val="NumeroAFNegritaCaracter"/>
        </w:rPr>
        <w:t>3</w:t>
      </w:r>
      <w:r>
        <w:t>. En relación con la primera de las cuestiones suscitadas conviene traer a colación la reiterada doctrina de este Tribunal, consolidada desde la STC 31/1981, de 28 de julio, según la cual únicamente pueden considerarse auténticas pruebas que vinculen a los órganos de la justicia penal en el momento de dictar Sentencia las practicadas en el juicio oral bajo la vigencia de los principios de igualdad, contradicción, inmediación y publicidad, pues el procedimiento probatorio ha de tener lugar necesariamente en el debate contradictorio que, en forma oral, se desarrolle ante el mismo Juez o Tribunal que ha de dictar Sentencia, de suerte que la convicción de éste sobre los hechos enjuiciados se alcance en contacto directo con los medios aportados a tal fin por las partes.  Por el contrario, las diligencias sumariales son actos de investigación encaminados a la averiguación del delito e identificación del delincuente (art. 299 LECrim), que no constituyen en sí mismas pruebas de cargo, pues su finalidad específica no es la fijación definitiva de los hechos, para que éstos transciendan a la resolución judicial, sino la de preparar el juicio oral, proporcionando a tal efecto los elementos necesarios para la acusación y defensa y para la dirección del debate contradictorio atribuido al juzgador.</w:t>
      </w:r>
    </w:p>
    <w:p w:rsidR="0025129F" w:rsidRDefault="0025129F" w:rsidP="0025129F">
      <w:pPr>
        <w:pStyle w:val="TextoNormal"/>
      </w:pPr>
      <w:r>
        <w:lastRenderedPageBreak/>
        <w:t>Ahora bien, esta doctrina general tiene como excepciones, de acuerdo con una reiterada jurisprudencia constitucional, los actos de instrucción constitutivos de prueba sumarial anticipada y preconstituida, siempre y cuando dichos actos de prueba se hayan obtenido con la estricta observancia de los siguientes requisitos: a) material: que versen sobre hechos que, por su fugacidad, no puedan ser reproducidos el día de la celebración del juicio oral; b) subjetivo: que sean intervenidas por la única autoridad dotada de la suficiente independencia para generar actos de prueba, como es el Juez de Instrucción, sin perjuicio de que, por especiales razones de urgencia, también esté habilitada la policía judicial para recoger y custodiar los elementos del cuerpo del delito; c) objetivo: que se garantice la contradicción, para lo cual, siempre que sea factible, se le ha de permitir a la defensa la posibilidad de comparecer en la ejecución de dicha prueba sumarial, a fin de que pueda interrogar al testigo; d) formal: que el régimen de ejecución de la prueba sumarial sea el mismo que el del juicio oral (diferenciándose de este modo los correlativos actos de investigación en los que las preguntas a las partes han de formularse a través del Juez de Instrucción), así como que su objeto sea introducido en dicho juicio público mediante la lectura de documentos, la cual ha de posibilitar someter su contenido a la confrontación de las demás declaraciones de los intervinientes en el juicio oral (SSTC 217/1989, de 21 de diciembre, FJ 3; 303/1993, de 25 de octubre, FJ 3; 36/1995, de 6 de febrero, FJ 2; 200/1996, de 3 de diciembre, FJ 2; 40/1997, de 27 de febrero, FJ 2; 153/1997, de 29 de septiembre, FJ 5; 49/1998, de 2 de marzo, FJ 2; 115/1998, de 1 de junio, FJ 2; 97/1999, de 31 de mayo, FJ 5; 72/2001, de 26 de marzo, FJ 3; 141/2001, de 18 de junio, FJ 4; 209/2001, de 22 de octubre, FJ 4; 12/2002, de 28 de enero, FJ 4).</w:t>
      </w:r>
    </w:p>
    <w:p w:rsidR="0025129F" w:rsidRDefault="0025129F" w:rsidP="0025129F">
      <w:pPr>
        <w:pStyle w:val="TextoNormal"/>
      </w:pPr>
      <w:r>
        <w:t>Procede asimismo recordar que este Tribunal tiene señalado que, si bien en principio la prueba testifical debe practicarse en el juicio oral, pues de sus propias características no deriva ni su carácter irrepetible ni su imposibilidad genérica de ser practicada en el mismo, no obstante, excepcionalmente, puede ser incorporada al proceso como prueba anticipada, si, dadas las circunstancias del caso, existe una imposibilidad real de que sea practicada en el juicio oral, así, por ejemplo, en los supuestos de imposibilidad del testigo de acudir al juicio oral por fallecimiento (SSTC 10/1992, de 10 de enero, FJ 4; 41/1991, de 25 de febrero; 209/2001, de 22 de octubre, FJ 4). Más concretamente este Tribunal ha declarado que, aun cuando la residencia fuera del territorio nacional constituye una dificultad para la comparecencia en el juicio, no puede ser equiparada con "la imposibilidad de citación o de articular fórmulas para trasladar directamente al proceso las declaraciones de la víctima del delito" (SSTC 35/1995, de 6 de febrero, FJ 3; 209/2001, de 22 de octubre, FJ 5).</w:t>
      </w:r>
    </w:p>
    <w:p w:rsidR="0025129F" w:rsidRDefault="0025129F" w:rsidP="0025129F">
      <w:pPr>
        <w:pStyle w:val="TextoNormal"/>
      </w:pPr>
    </w:p>
    <w:p w:rsidR="0025129F" w:rsidRDefault="0025129F" w:rsidP="0025129F">
      <w:pPr>
        <w:pStyle w:val="TextoNormal"/>
      </w:pPr>
      <w:r w:rsidRPr="0025129F">
        <w:rPr>
          <w:rStyle w:val="NumeroAFNegritaCaracter"/>
        </w:rPr>
        <w:t>4</w:t>
      </w:r>
      <w:r>
        <w:t>. En el presente caso la Sentencia de la Audiencia Provincial, cuyo parecer confirmó en este extremo la Sala de lo Penal del Tribunal Supremo, fundó la condena del recurrente en amparo, además de en la prueba indiciaria ya aludida, en la lectura en el acto del juicio de las declaraciones prestadas en la fase de instrucción de la causa por la víctima del delito.</w:t>
      </w:r>
    </w:p>
    <w:p w:rsidR="0025129F" w:rsidRDefault="0025129F" w:rsidP="0025129F">
      <w:pPr>
        <w:pStyle w:val="TextoNormal"/>
      </w:pPr>
      <w:r>
        <w:t xml:space="preserve">Por lo que respecta a las mencionadas declaraciones el demandante de amparo cuestiona el cumplimiento del requisito relativo a la garantía de contradicción en la toma de las mismas, lo que le habría impedido interrogar a su autora. Y el examen de las actuaciones judiciales pone de manifiesto, ciertamente, que tales declaraciones, prestadas ante la policía y ratificadas posteriormente en dos ocasiones ante el Juez de Instrucción, no fueron realizadas con carácter contradictorio, pese a que pudieron llevarse a efecto respetando dicha garantía. En efecto, la víctima del delito prestó inicialmente declaración ante la policía el día 20 de marzo de 1989, que ratificó por vez primera ante el Juez de Instrucción el </w:t>
      </w:r>
      <w:r>
        <w:lastRenderedPageBreak/>
        <w:t>día 23 de marzo de 1989, fecha en la cual el demandante de amparo ya se encontraba imputado y detenido, y contaba con Abogado defensor, y volvió posteriormente a ratificarla ante la autoridad judicial el día 13 de agosto de 1991, sin que ni en una y otra ocasión se le diera al entonces imputado y ahora demandante de amparo o a su Abogado la posibilidad de confrontarse con la testigo, al no haber sido citados previamente con ocasión de la práctica de dichas diligencias. Finalmente, a los efectos que a este recurso de amparo interesan, el Ministerio Fiscal propuso como prueba para el acto del juicio la declaración testifical de la víctima, que la Sección Primera de la Audiencia Provincial, por Auto de 19 de noviembre de 1996, declaró no pertinente al constar en autos su voluntad inamovible de no volver a Málaga desde su país, por lo que en dicho acto, a instancias del Ministerio Fiscal, se procedió a la lectura de los folios en los que aparecían recogidas sus declaraciones ante el Juez de Instrucción, efectuando protesta la defensa por no haber declarado la víctima con inmediación y contradicción.</w:t>
      </w:r>
    </w:p>
    <w:p w:rsidR="0025129F" w:rsidRDefault="0025129F" w:rsidP="0025129F">
      <w:pPr>
        <w:pStyle w:val="TextoNormal"/>
      </w:pPr>
      <w:r>
        <w:t>El relato fáctico precedente que se acaba de reseñar evidencia que las declaraciones de la víctima en la instrucción de la causa no fueron prestadas, pudiendo haberlo sido con ocasión de las que se llevaron a cabo ante el Juez de Instrucción, con la garantía de la contradicción que exige la doctrina constitucional, expuesta en el fundamento jurídico precedente, para que pudieran ser consideradas como prueba preconstituida, reproducible en el acto del juicio, y este vicio de origen impide aceptar como prueba de cargo la lectura en dicho acto de tales declaraciones (SSTC 40/1997, de 27 de febrero, FJ 5; 97/1999, de 31 de mayo, FJ 5; 141/2001, de 18 de junio, FJ 5; 12/2002, de 28 de enero, FJ 4).</w:t>
      </w:r>
    </w:p>
    <w:p w:rsidR="0025129F" w:rsidRDefault="0025129F" w:rsidP="0025129F">
      <w:pPr>
        <w:pStyle w:val="TextoNormal"/>
      </w:pPr>
      <w:r>
        <w:t>El rechazo de la virtualidad probatoria de dichas declaraciones, que tiene su fundamento directo en la interdicción de indefensión del art. 24.1 CE, viene corroborado, en aplicación de lo dispuesto en el art. 10.2 CE, por lo establecido en el art. 6.3 d) del Convenio para la protección de los derechos humanos y libertades fundamentales, que reconoce a todo acusado el derecho a interrogar o hacer interrogar a los testigos que declaren contra él, habiendo señalado al respecto el Tribunal Europeo de Derechos Humanos, en una interpretación conjunta de este derecho con la exigencia de que el proceso penal se realice públicamente (art. 6.1 CEDH), que, por regla general, estos derechos imponen acordar para el acusado una ocasión adecuada y suficiente para contestar un testimonio de cargo y para interrogar a su autor, en el momento de la declaración o más tarde (SSTEDH de 20 de noviembre de 1989, asunto Kostovski; de 27 de septiembre de 1990, asunto Windisch; de 19 de diciembre de 1990, asunto Delta; de 19 de febrero de 1991, asunto Isgró; de 26 de abril de 1991, asunto Asch; de 28 de agosto de 1992, asunto Artner; de 20 de septiembre de 1993, asunto Saïdi). Como el mencionado Tribunal ha declarado más recientemente,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 (STEDH de 27 de febrero de 2001, asunto Lucha).</w:t>
      </w:r>
    </w:p>
    <w:p w:rsidR="0025129F" w:rsidRDefault="0025129F" w:rsidP="0025129F">
      <w:pPr>
        <w:pStyle w:val="TextoNormal"/>
      </w:pPr>
      <w:r>
        <w:t>La conclusión inevitable es, por tanto, la imposibilidad constitucional de aceptar como prueba de cargo para enervar la presunción de inocencia la lectura en el acto del juicio de las declaraciones prestadas en la fase de instrucción por la víctima del hecho delictivo.</w:t>
      </w:r>
    </w:p>
    <w:p w:rsidR="0025129F" w:rsidRDefault="0025129F" w:rsidP="0025129F">
      <w:pPr>
        <w:pStyle w:val="TextoNormal"/>
      </w:pPr>
    </w:p>
    <w:p w:rsidR="0025129F" w:rsidRDefault="0025129F" w:rsidP="0025129F">
      <w:pPr>
        <w:pStyle w:val="TextoNormal"/>
      </w:pPr>
      <w:r w:rsidRPr="0025129F">
        <w:rPr>
          <w:rStyle w:val="NumeroAFNegritaCaracter"/>
        </w:rPr>
        <w:t>5</w:t>
      </w:r>
      <w:r>
        <w:t xml:space="preserve">. No obstante lo precedentemente expuesto, conviene destacar que la conclusión alcanzada respecto a las declaraciones sumariales de la víctima del delito es insuficiente para estimar la pretensión del demandante de amparo, esto es, la declaración de nulidad de las resoluciones judiciales impugnadas, pues, para que procediera tal decisión por haber </w:t>
      </w:r>
      <w:r>
        <w:lastRenderedPageBreak/>
        <w:t>resultado vulnerado su derecho a la presunción de inocencia, sería preciso que su condena se hubiera sustentado exclusivamente en dichas declaraciones.  Sin embargo, en este caso, tanto la Sentencia de instancia, una vez desechada por la Sala Segunda del Tribunal Supremo la validez de la rueda de reconocimiento, como de casación, fundan la condena del recurrente en amparo, además de en aquellas declaraciones, cuya virtualidad probatoria ha sido descartada en esta sede, en la prueba indiciaria a la que se ha hecho referencia y de la que se ha dejado constancia en el fundamento jurídico segundo de esta Sentencia.</w:t>
      </w:r>
    </w:p>
    <w:p w:rsidR="0025129F" w:rsidRDefault="0025129F" w:rsidP="0025129F">
      <w:pPr>
        <w:pStyle w:val="TextoNormal"/>
      </w:pPr>
      <w:r>
        <w:t>En este sentido, este Tribunal tiene declarado que cuando es preciso realizar una nueva valoración probatoria por parte de los Tribunales debe procederse a la retroacción de las actuaciones al momento anterior al de dictarse Sentencia, a fin de que sean los órganos judiciales quienes decidan si con las pruebas que subsisten mantienen su conclusión condenatoria o, por el contrario, deciden revisarla, todo ello ante la constatación de que a este Tribunal no le compete valorar pruebas. Mas cuando del estudio de la Sentencia condenatoria se deriva una detallada motivación del valor probatorio de cada uno de los medios de prueba restantes, con una expresa consideración sobre su carácter de prueba de cargo, de la que se desprende la suficiencia de los mismos, este Tribunal puede ejercer su control constitucional sin necesidad de reenvío a los órganos judiciales para una nueva valoración de los medios de prueba restantes (SSTC 161/1999, de 27 de septiembre, FJ 4; 171/1999, de 27 de septiembre, FJ 15; 8/2000, de 17 de enero, FJ 10; 136/2000, de 29 de mayo, FJ 8; 12/2002, de 28 de enero, FJ 5, por todas).</w:t>
      </w:r>
    </w:p>
    <w:p w:rsidR="0025129F" w:rsidRDefault="0025129F" w:rsidP="0025129F">
      <w:pPr>
        <w:pStyle w:val="TextoNormal"/>
      </w:pPr>
      <w:r>
        <w:t>En este caso, como ya se ha dejado constancia de ello, los órganos judiciales han sustentado, además, su veredicto condenatorio, como elemento probatorio individualizado, en la ya aludida prueba indiciaria, en relación con la cual ninguna alegación se efectúa en la demanda de amparo, no llegando en momento alguno a ser cuestionada o puesta en duda su validez por el recurrente, por lo que la ausencia de cualquier argumento impugnatorio respecto a la misma impide a este Tribunal, una vez apreciada su corrección por los órganos judiciales, entrar a pronunciarse sobre su validez, ya que ni le corresponde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Como hemos dicho desde muy temprano (STC 54/1984, de 4 de mayo, FJ 3), cuando se imputa una violación constitucional es carga de los recurrentes no sólo abrir la vía para que este Tribunal pueda pronunciarse, sino también la de proporcionar la fundamentación que razonablemente cabe esperar, no correspondiéndole reconstruir de oficio la demanda de amparo, cuando el demandante ha desconocido la carga de la argumentación que sobre él recae, siendo especialmente destacable en este caso la ausencia de cualquier razonamiento cuestionando la validez de la mencionada prueba indiciaria, que se individualiza en las resoluciones judiciales impugnadas respecto a los demás medios de prueba como elemento probatorio en el que sustentar la condena del demandante de amparo.</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lastRenderedPageBreak/>
        <w:t>Ha decidido</w:t>
      </w:r>
    </w:p>
    <w:p w:rsidR="0025129F" w:rsidRDefault="0025129F" w:rsidP="0025129F">
      <w:pPr>
        <w:pStyle w:val="TextoNormalCentrado"/>
        <w:keepNext/>
      </w:pPr>
    </w:p>
    <w:p w:rsidR="0025129F" w:rsidRDefault="0025129F" w:rsidP="0025129F">
      <w:pPr>
        <w:pStyle w:val="TextoNormal"/>
      </w:pPr>
      <w:r>
        <w:t>Desestimar la presente demanda de amparo.</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veintidós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8" w:name="SENTENCIA_2002_95"/>
      <w:r>
        <w:lastRenderedPageBreak/>
        <w:t>SENTENCIA 95/2002, de 25 de abril de 2002</w:t>
      </w:r>
    </w:p>
    <w:bookmarkEnd w:id="98"/>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ECLI:ES:TC:2002:95</w:t>
      </w:r>
    </w:p>
    <w:p w:rsidR="0025129F" w:rsidRDefault="0025129F" w:rsidP="0025129F">
      <w:pPr>
        <w:pStyle w:val="SntesisDescriptiva"/>
      </w:pPr>
    </w:p>
    <w:p w:rsidR="0025129F" w:rsidRDefault="0025129F" w:rsidP="0025129F">
      <w:pPr>
        <w:pStyle w:val="SntesisDescriptiva"/>
      </w:pPr>
      <w:r>
        <w:t>Conflicto positivo de competencia 1176-1993, Recurso de inconstitucionalidad 938-1993. Promovido por el Consejo Ejecutivo de la Generalidad de Cataluña en relación con la Disposición adicional vigesimotercera de la Ley 39/1992, de 29 de diciembre, de Presupuestos Generales del Estado para 1993 y con el Acuerdo tripartito en materia de formación continua de los trabajadores ocupados, suscrito entre el Gobierno y las organizaciones sindicales y empresariales.</w:t>
      </w:r>
    </w:p>
    <w:p w:rsidR="0025129F" w:rsidRDefault="0025129F" w:rsidP="0025129F">
      <w:pPr>
        <w:pStyle w:val="SntesisDescriptiva"/>
      </w:pPr>
    </w:p>
    <w:p w:rsidR="0025129F" w:rsidRDefault="0025129F" w:rsidP="0025129F">
      <w:pPr>
        <w:pStyle w:val="SntesisAnaltica"/>
      </w:pPr>
      <w:r>
        <w:t>Competencias sobre legislación laboral, educación y formación profesional, fondos de empleo, y ordenación de la economía. Delimitación del ámbito territorial. Votos particulares.</w:t>
      </w:r>
    </w:p>
    <w:p w:rsidR="0025129F" w:rsidRDefault="0025129F" w:rsidP="0025129F">
      <w:pPr>
        <w:pStyle w:val="SntesisAnaltica"/>
      </w:pPr>
    </w:p>
    <w:p w:rsidR="0025129F" w:rsidRDefault="0025129F" w:rsidP="0025129F">
      <w:pPr>
        <w:pStyle w:val="Extracto"/>
      </w:pPr>
      <w:r>
        <w:t>1.</w:t>
      </w:r>
      <w:r>
        <w:tab/>
        <w:t>La atribución a los agentes sociales, integrados en el ente paritario estatal, de «todos los aspectos» de organización y gestión de las medidas de formación continua, con exclusión de las ya transferidas, vulnera las competencias de la Generalidad de Cataluña sobre la ejecución de la legislación laboral [FJ 16].</w:t>
      </w:r>
    </w:p>
    <w:p w:rsidR="0025129F" w:rsidRDefault="0025129F" w:rsidP="0025129F">
      <w:pPr>
        <w:pStyle w:val="Extracto"/>
      </w:pPr>
    </w:p>
    <w:p w:rsidR="0025129F" w:rsidRDefault="0025129F" w:rsidP="0025129F">
      <w:pPr>
        <w:pStyle w:val="Extracto"/>
      </w:pPr>
      <w:r>
        <w:t>2.</w:t>
      </w:r>
      <w:r>
        <w:tab/>
        <w:t>Las funciones de impulso y de informe anual sobre los resultados, atribuidas al ente paritario estatal, no menoscaban la competencia autonómica [FJ 17].</w:t>
      </w:r>
    </w:p>
    <w:p w:rsidR="0025129F" w:rsidRDefault="0025129F" w:rsidP="0025129F">
      <w:pPr>
        <w:pStyle w:val="Extracto"/>
      </w:pPr>
    </w:p>
    <w:p w:rsidR="0025129F" w:rsidRDefault="0025129F" w:rsidP="0025129F">
      <w:pPr>
        <w:pStyle w:val="Extracto"/>
      </w:pPr>
      <w:r>
        <w:t>3.</w:t>
      </w:r>
      <w:r>
        <w:tab/>
        <w:t>El establecimiento de «un adecuado sistema de contabilidad de todos los gastos realizados» vulnera las competencias de la Generalidad sobre aquellas acciones formativas que le corresponda gestionar [FJ 17].</w:t>
      </w:r>
    </w:p>
    <w:p w:rsidR="0025129F" w:rsidRDefault="0025129F" w:rsidP="0025129F">
      <w:pPr>
        <w:pStyle w:val="Extracto"/>
      </w:pPr>
    </w:p>
    <w:p w:rsidR="0025129F" w:rsidRDefault="0025129F" w:rsidP="0025129F">
      <w:pPr>
        <w:pStyle w:val="Extracto"/>
      </w:pPr>
      <w:r>
        <w:t>4.</w:t>
      </w:r>
      <w:r>
        <w:tab/>
        <w:t>La entrega a los interlocutores sociales de las subvenciones destinadas a financiar las acciones de formación continua, en directa relación con el apartado que les atribuye la distribución de todos los recursos, vulnera el orden constitucional de distribución de competencias [FJ 18].</w:t>
      </w:r>
    </w:p>
    <w:p w:rsidR="0025129F" w:rsidRDefault="0025129F" w:rsidP="0025129F">
      <w:pPr>
        <w:pStyle w:val="Extracto"/>
      </w:pPr>
    </w:p>
    <w:p w:rsidR="0025129F" w:rsidRDefault="0025129F" w:rsidP="0025129F">
      <w:pPr>
        <w:pStyle w:val="Extracto"/>
      </w:pPr>
      <w:r>
        <w:t>5.</w:t>
      </w:r>
      <w:r>
        <w:tab/>
        <w:t>La previsión legislativa de que quede afectado un 0,1 por 100 de la base de cotización a formación profesional a la financiación de acciones formativas acogidas al Acuerdo nacional de formación continua se inscribe en el ámbito de lo normativo en materia laboral, que está reservado al Estado por el art. 149.1. 7 CE [FJ 19].</w:t>
      </w:r>
    </w:p>
    <w:p w:rsidR="0025129F" w:rsidRDefault="0025129F" w:rsidP="0025129F">
      <w:pPr>
        <w:pStyle w:val="Extracto"/>
      </w:pPr>
    </w:p>
    <w:p w:rsidR="0025129F" w:rsidRDefault="0025129F" w:rsidP="0025129F">
      <w:pPr>
        <w:pStyle w:val="Extracto"/>
      </w:pPr>
      <w:r>
        <w:t>6.</w:t>
      </w:r>
      <w:r>
        <w:tab/>
        <w:t>El criterio de que la referida financiación se ponga a disposición del ente paritario de ámbito estatal de las representaciones sindicales y empresariales vulnera el orden constitucional de distribución de competencias, al excluir a la Generalidad de Cataluña de la percepción de los correspondientes fondos públicos destinados a financiar la formación continua en su ámbito territorial [FJ 19].</w:t>
      </w:r>
    </w:p>
    <w:p w:rsidR="0025129F" w:rsidRDefault="0025129F" w:rsidP="0025129F">
      <w:pPr>
        <w:pStyle w:val="Extracto"/>
      </w:pPr>
    </w:p>
    <w:p w:rsidR="0025129F" w:rsidRDefault="0025129F" w:rsidP="0025129F">
      <w:pPr>
        <w:pStyle w:val="Extracto"/>
      </w:pPr>
      <w:r>
        <w:lastRenderedPageBreak/>
        <w:t>7.</w:t>
      </w:r>
      <w:r>
        <w:tab/>
        <w:t>El Acuerdo tripartito de formación continua se inscribe en el ámbito de la «legislación laboral», pues concierne a la regulación de un concreto derecho de los trabajadores en el seno de la relación laboral [FJ 8].</w:t>
      </w:r>
    </w:p>
    <w:p w:rsidR="0025129F" w:rsidRDefault="0025129F" w:rsidP="0025129F">
      <w:pPr>
        <w:pStyle w:val="Extracto"/>
      </w:pPr>
    </w:p>
    <w:p w:rsidR="0025129F" w:rsidRDefault="0025129F" w:rsidP="0025129F">
      <w:pPr>
        <w:pStyle w:val="Extracto"/>
      </w:pPr>
      <w:r>
        <w:t>8.</w:t>
      </w:r>
      <w:r>
        <w:tab/>
        <w:t>Delimitación del título competencial sobre legislación laboral (SSTC 18/1982, 195/1996) [FJ 8].</w:t>
      </w:r>
    </w:p>
    <w:p w:rsidR="0025129F" w:rsidRDefault="0025129F" w:rsidP="0025129F">
      <w:pPr>
        <w:pStyle w:val="Extracto"/>
      </w:pPr>
    </w:p>
    <w:p w:rsidR="0025129F" w:rsidRDefault="0025129F" w:rsidP="0025129F">
      <w:pPr>
        <w:pStyle w:val="Extracto"/>
      </w:pPr>
      <w:r>
        <w:t>9.</w:t>
      </w:r>
      <w:r>
        <w:tab/>
        <w:t>El Acuerdo tripartito no constituye un «fondo nacional de empleo» sobre el que el Estatuto de Autonomía reserva al Estado todas sus competencias. La finalidad perseguida por el impugnado instrumento de concertación no es la de incidir en el mercado laboral desde criterios de política económica incentivadores del acceso al empleo, sino la de atender a la formación permanente o continua de quienes ya tienen empleo [FJ 10].</w:t>
      </w:r>
    </w:p>
    <w:p w:rsidR="0025129F" w:rsidRDefault="0025129F" w:rsidP="0025129F">
      <w:pPr>
        <w:pStyle w:val="Extracto"/>
      </w:pPr>
    </w:p>
    <w:p w:rsidR="0025129F" w:rsidRDefault="0025129F" w:rsidP="0025129F">
      <w:pPr>
        <w:pStyle w:val="Extracto"/>
      </w:pPr>
      <w:r>
        <w:t>10.</w:t>
      </w:r>
      <w:r>
        <w:tab/>
        <w:t>No nos hallamos ante la creación o constitución por el Estado de un fondo nacional laboral que venga a dejar sin efecto las competencias de ejecución de la legislación laboral estatutariamente asumidas por la Generalidad de Cataluña [ FJ 12].</w:t>
      </w:r>
    </w:p>
    <w:p w:rsidR="0025129F" w:rsidRDefault="0025129F" w:rsidP="0025129F">
      <w:pPr>
        <w:pStyle w:val="Extracto"/>
      </w:pPr>
    </w:p>
    <w:p w:rsidR="0025129F" w:rsidRDefault="0025129F" w:rsidP="0025129F">
      <w:pPr>
        <w:pStyle w:val="Extracto"/>
      </w:pPr>
      <w:r>
        <w:t>11.</w:t>
      </w:r>
      <w:r>
        <w:tab/>
        <w:t>Doctrina constitucional en torno al  alcance de las competencias asumidas por las Comunidades Autónomas en virtud de los traspasos de servicios [FJ 14].</w:t>
      </w:r>
    </w:p>
    <w:p w:rsidR="0025129F" w:rsidRDefault="0025129F" w:rsidP="0025129F">
      <w:pPr>
        <w:pStyle w:val="Extracto"/>
      </w:pPr>
    </w:p>
    <w:p w:rsidR="0025129F" w:rsidRDefault="0025129F" w:rsidP="0025129F">
      <w:pPr>
        <w:pStyle w:val="Extracto"/>
      </w:pPr>
      <w:r>
        <w:t>12.</w:t>
      </w:r>
      <w:r>
        <w:tab/>
        <w:t>Doctrina de este Tribunal en relación con las subvenciones de muy diversa naturaleza que se enderezan a la puesta en práctica de políticas concretas (STC 13/1992) [FJ 18].</w:t>
      </w:r>
    </w:p>
    <w:p w:rsidR="0025129F" w:rsidRDefault="0025129F" w:rsidP="0025129F">
      <w:pPr>
        <w:pStyle w:val="Extracto"/>
      </w:pPr>
    </w:p>
    <w:p w:rsidR="0025129F" w:rsidRDefault="0025129F" w:rsidP="0025129F">
      <w:pPr>
        <w:pStyle w:val="Extracto"/>
      </w:pPr>
      <w:r>
        <w:t>13.</w:t>
      </w:r>
      <w:r>
        <w:tab/>
        <w:t>Las acciones para la formación continua de los trabajadores ocupados no forma parte del sistema educativo, sino que sirve para garantizar la formación y readaptación profesionales de los trabajadores [FJ 6].</w:t>
      </w:r>
    </w:p>
    <w:p w:rsidR="0025129F" w:rsidRDefault="0025129F" w:rsidP="0025129F">
      <w:pPr>
        <w:pStyle w:val="Extracto"/>
      </w:pPr>
    </w:p>
    <w:p w:rsidR="0025129F" w:rsidRDefault="0025129F" w:rsidP="0025129F">
      <w:pPr>
        <w:pStyle w:val="Extracto"/>
      </w:pPr>
      <w:r>
        <w:t>14.</w:t>
      </w:r>
      <w:r>
        <w:tab/>
        <w:t>Las medidas objeto del Acuerdo tripartito impugnado no encuentran cobertura en la materia de «bases y coordinación de la planificación general de la actividad económica», atribuida al Estado, ni en «la planificación de la actividad económica en Cataluña» atribuida a la Generalidad [FJ 7].</w:t>
      </w:r>
    </w:p>
    <w:p w:rsidR="0025129F" w:rsidRDefault="0025129F" w:rsidP="0025129F">
      <w:pPr>
        <w:pStyle w:val="Extracto"/>
      </w:pPr>
    </w:p>
    <w:p w:rsidR="0025129F" w:rsidRDefault="0025129F" w:rsidP="0025129F">
      <w:pPr>
        <w:pStyle w:val="Extracto"/>
      </w:pPr>
      <w:r>
        <w:t>15.</w:t>
      </w:r>
      <w:r>
        <w:tab/>
        <w:t>En la actualidad, el Acuerdo tripartito plantea, en esencia, los mismos problemas competenciales que el Acuerdo sobre el que se trabó formalmente la controversia competencial que ahora dilucidamos, por lo que no se ha producido la pérdida sobrevenida de su objeto (SSTC 186/1999, 87/1993) [FJ 3].</w:t>
      </w:r>
    </w:p>
    <w:p w:rsidR="0025129F" w:rsidRDefault="0025129F" w:rsidP="0025129F">
      <w:pPr>
        <w:pStyle w:val="Extracto"/>
      </w:pPr>
    </w:p>
    <w:p w:rsidR="0025129F" w:rsidRDefault="0025129F" w:rsidP="0025129F">
      <w:pPr>
        <w:pStyle w:val="Extracto"/>
      </w:pPr>
      <w:r>
        <w:t>16.</w:t>
      </w:r>
      <w:r>
        <w:tab/>
        <w:t>El Acuerdo tripartito, pese a su cáracter contractual, puede ser objeto de una reivindicación competencial (SSTC 143/1985, 220/1992) [FJ 4].</w:t>
      </w:r>
    </w:p>
    <w:p w:rsidR="0025129F" w:rsidRDefault="0025129F" w:rsidP="0025129F">
      <w:pPr>
        <w:pStyle w:val="Extracto"/>
      </w:pPr>
    </w:p>
    <w:p w:rsidR="0025129F" w:rsidRDefault="0025129F" w:rsidP="0025129F">
      <w:pPr>
        <w:pStyle w:val="Extracto"/>
      </w:pPr>
      <w:r>
        <w:t>17.</w:t>
      </w:r>
      <w:r>
        <w:tab/>
        <w:t>No corresponde a este Tribunal establecer criterios sobre cuáles han de ser las modalidades organizativas y de gestión de los planes que, por su dimensión supraterritorial u otros motivos, determinen la imposibilidad de su gestión por la Generalidad de Cataluña. Ha de ser el Estado quien delimite unos supuestos de otros [FJ 16].</w:t>
      </w:r>
    </w:p>
    <w:p w:rsidR="0025129F" w:rsidRDefault="0025129F" w:rsidP="0025129F">
      <w:pPr>
        <w:pStyle w:val="Extracto"/>
      </w:pPr>
    </w:p>
    <w:p w:rsidR="0025129F" w:rsidRDefault="0025129F" w:rsidP="0025129F">
      <w:pPr>
        <w:pStyle w:val="Extracto"/>
      </w:pPr>
      <w:r>
        <w:t>18.</w:t>
      </w:r>
      <w:r>
        <w:tab/>
        <w:t>Resulta del todo innecesario examinar las aducidas tachas de inconstitucionalidad material de la impugnada disposición adicional [FJ 20].</w:t>
      </w:r>
    </w:p>
    <w:p w:rsidR="0025129F" w:rsidRDefault="0025129F" w:rsidP="0025129F">
      <w:pPr>
        <w:pStyle w:val="Extracto"/>
      </w:pPr>
    </w:p>
    <w:p w:rsidR="0025129F" w:rsidRDefault="0025129F" w:rsidP="0025129F">
      <w:pPr>
        <w:pStyle w:val="Extracto"/>
      </w:pPr>
      <w:r>
        <w:t>19.</w:t>
      </w:r>
      <w:r>
        <w:tab/>
        <w:t>Conviene examinar en primer lugar el conflicto positivo de competencia, pese a que su formalización ante este Tribunal haya acaecido con posterioridad a la del recurso de inconstitucionalidad [FJ 1].</w:t>
      </w:r>
    </w:p>
    <w:p w:rsidR="0025129F" w:rsidRDefault="0025129F" w:rsidP="0025129F">
      <w:pPr>
        <w:pStyle w:val="Extracto"/>
      </w:pPr>
    </w:p>
    <w:p w:rsidR="0025129F" w:rsidRDefault="0025129F" w:rsidP="0025129F">
      <w:pPr>
        <w:pStyle w:val="Extracto"/>
      </w:pPr>
      <w:r>
        <w:t>20.</w:t>
      </w:r>
      <w:r>
        <w:tab/>
        <w:t>Nuestro pronunciamiento descansa en la vulneración de las reglas competenciales, por lo que en nada obsta a que las organizaciones sindicales y empresariales puedan prever y regular, en el seno de la negociación colectiva, aquellas acciones o programas formativos que complementen o refuercen el sistema de formación continua de los trabajadores ocupados [FJ 21].</w:t>
      </w:r>
    </w:p>
    <w:p w:rsidR="0025129F" w:rsidRDefault="0025129F" w:rsidP="0025129F">
      <w:pPr>
        <w:pStyle w:val="Extracto"/>
      </w:pPr>
    </w:p>
    <w:p w:rsidR="0025129F" w:rsidRDefault="0025129F" w:rsidP="0025129F">
      <w:pPr>
        <w:pStyle w:val="Extracto"/>
      </w:pPr>
      <w:r>
        <w:t>21.</w:t>
      </w:r>
      <w:r>
        <w:tab/>
        <w:t>La pretensión autonómica puede estimarse satisfecha mediante la declaración de titularidad de la competencia controvertida, sin necesidad de anular los preceptos objeto de impugnación (SSTC 75/1989, 190/2000) [FJ 22].</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inconstitucionalidad núm. 938/93 y en el conflicto positivo de competencia núm. 1176/93, acumulados, promovidos por el Consejo Ejecutivo de la Generalidad de Cataluña, representado por la Letrada doña Elsa Puig Muñoz contra, respectivamente, la Disposición adicional vigesimotercera de la Ley 39/1992, de 29 de diciembre, de Presupuestos Generales del Estado para 1993 y el Acuerdo tripartito en materia de formación continua de los trabajadores ocupados, suscrito en Madrid el 22 de diciembre de 1992 entre el Excmo. Sr. Ministro de Trabajo y Seguridad Social, el Presidente de la Confederación Española de Organizaciones Empresariales, el Presidente de la Confederación Española de la Pequeña y Mediana Empresa, el Secretario General de la Confederación Sindical de Comisiones Obreras y el Secretario de la Unión General de Trabajadores. Ha comparecido y formulado alegaciones el Abogado del Estado en la representación que legalmente ostenta. Ha sido Ponente el Magistrado don Pablo García Manzano, quien expresa el parecer del Tribunal.</w:t>
      </w:r>
    </w:p>
    <w:p w:rsidR="0025129F" w:rsidRDefault="0025129F" w:rsidP="0025129F">
      <w:pPr>
        <w:pStyle w:val="TextoNormal"/>
      </w:pPr>
    </w:p>
    <w:p w:rsidR="0025129F" w:rsidRDefault="0025129F" w:rsidP="0025129F">
      <w:pPr>
        <w:pStyle w:val="TextoNormalNegritaCentrado"/>
        <w:keepNext/>
      </w:pPr>
      <w:r>
        <w:lastRenderedPageBreak/>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registrado en este Tribunal con el núm. 938/93 el día 29 de marzo de 1993, el Consejo Ejecutivo de la Generalidad de Cataluña promueve recurso de inconstitucionalidad frente a la Disposición adicional vigesimotercera de la Ley 39/1992, de 29 de diciembre.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Los términos del recurso de inconstitucionalidad, según el escrito de interposición, son resumidamente los siguientes: </w:t>
      </w:r>
    </w:p>
    <w:p w:rsidR="0025129F" w:rsidRDefault="0025129F" w:rsidP="0025129F">
      <w:pPr>
        <w:pStyle w:val="TextoNormal"/>
      </w:pPr>
      <w:r>
        <w:t xml:space="preserve">a) El 16 de diciembre de 1992, las asociaciones empresariales Confederación Española de Organizaciones Empresariales (CEOE) y Confederación Española de la Pequeña y Mediana Empresa (CEPYME) y los sindicatos Unión General de Trabajadores (UGT) y Comisiones Obreras (CC OO) suscribieron el "Acuerdo Nacional de Formación Continua". Este Acuerdo, que constituye un instrumento para la mejora de las acciones formativas de los trabajadores que desarrollen las empresas, se suscribió con base en el art. 83.3 del Estatuto de los Trabajadores, que se inscribe en su Título II, relativo a los convenios colectivos. </w:t>
      </w:r>
    </w:p>
    <w:p w:rsidR="0025129F" w:rsidRDefault="0025129F" w:rsidP="0025129F">
      <w:pPr>
        <w:pStyle w:val="TextoNormal"/>
      </w:pPr>
      <w:r>
        <w:t xml:space="preserve">El Acuerdo nacional de formación continua contiene un conjunto de criterios que han de regir las acciones de formación profesional, como son las clases de planes de formación, los permisos individuales, órganos de seguimiento y control, e incompatibilidades de financiación, entre otros, siendo de aplicación "en la totalidad del territorio nacional". </w:t>
      </w:r>
    </w:p>
    <w:p w:rsidR="0025129F" w:rsidRDefault="0025129F" w:rsidP="0025129F">
      <w:pPr>
        <w:pStyle w:val="TextoNormal"/>
      </w:pPr>
      <w:r>
        <w:t xml:space="preserve">La Letrada de la Generalidad de Cataluña destaca la importancia del capítulo VI del Acuerdo, dedicado a los órganos de seguimiento y control, y las Disposiciones transitoria y final, relativas a la financiación y ejecución del mismo. </w:t>
      </w:r>
    </w:p>
    <w:p w:rsidR="0025129F" w:rsidRDefault="0025129F" w:rsidP="0025129F">
      <w:pPr>
        <w:pStyle w:val="TextoNormal"/>
      </w:pPr>
      <w:r>
        <w:t xml:space="preserve">Así, en cuanto a los órganos de seguimiento y control, prevé la creación de la denominada Comisión Mixta Estatal de Formación Continua, integrada por ocho representantes de las organizaciones sindicales y otros ocho de las asociaciones empresariales firmantes del Acuerdo. A dicha Comisión le corresponde "administrar y distribuir los fondos disponibles para la financiación de las acciones de formación continua". </w:t>
      </w:r>
    </w:p>
    <w:p w:rsidR="0025129F" w:rsidRDefault="0025129F" w:rsidP="0025129F">
      <w:pPr>
        <w:pStyle w:val="TextoNormal"/>
      </w:pPr>
      <w:r>
        <w:t xml:space="preserve">En cuanto a las Disposiciones transitoria y final, prevén, respectivamente, que su aplicación se supedita a la existencia de disponibilidades presupuestarias y que las organizaciones firmantes solicitarán del Gobierno la adopción de medidas "que posibiliten la financiación y ejecución" del Acuerdo. </w:t>
      </w:r>
    </w:p>
    <w:p w:rsidR="0025129F" w:rsidRDefault="0025129F" w:rsidP="0025129F">
      <w:pPr>
        <w:pStyle w:val="TextoNormal"/>
      </w:pPr>
      <w:r>
        <w:t xml:space="preserve">Días después de la adopción del mencionado Acuerdo, se suscribió entre las mismas organizaciones empresariales y sindicales y el Gobierno del Estado, representado por el Excmo. Sr. Ministro de Trabajo y Seguridad Social, el "Acuerdo Tripartito en materia de Formación Continua de los trabajadores ocupados". Este último acuerdo, según la Letrada autonómica, no conlleva sólo efectos entre las partes firmantes, sino que los mismos trascienden el ámbito contractual e inciden en las competencias de la Generalidad de Cataluña, vulnerándolas. </w:t>
      </w:r>
    </w:p>
    <w:p w:rsidR="0025129F" w:rsidRDefault="0025129F" w:rsidP="0025129F">
      <w:pPr>
        <w:pStyle w:val="TextoNormal"/>
      </w:pPr>
      <w:r>
        <w:t xml:space="preserve">El Acuerdo tripartito se refiere, en su punto primero, a la financiación del Acuerdo nacional de formación continua: </w:t>
      </w:r>
    </w:p>
    <w:p w:rsidR="0025129F" w:rsidRDefault="0025129F" w:rsidP="0025129F">
      <w:pPr>
        <w:pStyle w:val="TextoNormal"/>
      </w:pPr>
      <w:r>
        <w:t xml:space="preserve">"Primero: 1. El Gobierno y las organizaciones empresariales y sindicales firmantes convienen que a partir del 1 de enero de 1993, de la vigente cuota de Formación Profesional (0,70 por ciento sobre la base de accidentes de trabajo y enfermedades profesionales) se afectará un 0,60 por ciento a la formación de los desempleados y un 0,10 por ciento a la </w:t>
      </w:r>
      <w:r>
        <w:lastRenderedPageBreak/>
        <w:t xml:space="preserve">financiación directa de acciones formativas de los trabajadores asalariados ... que se desarrollen conforme a lo establecido en el Acuerdo Nacional sobre formación continua ...". </w:t>
      </w:r>
    </w:p>
    <w:p w:rsidR="0025129F" w:rsidRDefault="0025129F" w:rsidP="0025129F">
      <w:pPr>
        <w:pStyle w:val="TextoNormal"/>
      </w:pPr>
      <w:r>
        <w:t xml:space="preserve">Ello supone, para la Letrada de la Generalidad de Cataluña, que el Acuerdo tripartito separa del tronco común de la formación profesional ocupacional las acciones formativas de los trabajadores asalariados, dotando a esta última de una financiación autónoma Además, el Acuerdo tripartito establece un sistema de financiación que incrementará progresivamente el porcentaje destinado a la "formación continua" en detrimento de la correspondiente a los desempleados. Incluso se prevé, por último, que cualquier incremento en la cotización de la cuota en concepto de formación profesional deberá destinarse, exclusivamente, a la financiación de las acciones previstas en el Acuerdo. </w:t>
      </w:r>
    </w:p>
    <w:p w:rsidR="0025129F" w:rsidRDefault="0025129F" w:rsidP="0025129F">
      <w:pPr>
        <w:pStyle w:val="TextoNormal"/>
      </w:pPr>
      <w:r>
        <w:t xml:space="preserve">En cuanto a la organización y gestión del Acuerdo nacional, el Acuerdo tripartito determina en su punto tercero que corresponde a los interlocutores sociales, a través de los correspondientes entes de composición paritaria de empresarios y trabajadores que deberían constituirse. </w:t>
      </w:r>
    </w:p>
    <w:p w:rsidR="0025129F" w:rsidRDefault="0025129F" w:rsidP="0025129F">
      <w:pPr>
        <w:pStyle w:val="TextoNormal"/>
      </w:pPr>
      <w:r>
        <w:t xml:space="preserve">Todo expuesto se traduce en lo regulado por la Disposición adicional vigesimotercera de la Ley 39/1992, objeto del presente recurso de inconstitucionalidad, que dispone lo siguiente: </w:t>
      </w:r>
    </w:p>
    <w:p w:rsidR="0025129F" w:rsidRDefault="0025129F" w:rsidP="0025129F">
      <w:pPr>
        <w:pStyle w:val="TextoNormal"/>
      </w:pPr>
      <w:r>
        <w:t xml:space="preserve">"De la cotización a Formación Profesional a que se refiere el art. 98, ocho, 2.3, de esta ley, la cuantía que resulte de aplicar a la base de dicha contingencia un 0,1 por ciento se afectará a la financiación de acciones formativas acogidas al Acuerdo Nacional sobre Formación Continua. </w:t>
      </w:r>
    </w:p>
    <w:p w:rsidR="0025129F" w:rsidRDefault="0025129F" w:rsidP="0025129F">
      <w:pPr>
        <w:pStyle w:val="TextoNormal"/>
      </w:pPr>
      <w:r>
        <w:t xml:space="preserve">El importe de la citada cantidad, que figura en el presupuesto del Instituto Nacional de Empleo, se pondrá a disposición del Ente Paritario de ámbito estatal de las representaciones sindicales y empresariales, dotado de personalidad jurídica, que las partes firmantes del Acuerdo designen." </w:t>
      </w:r>
    </w:p>
    <w:p w:rsidR="0025129F" w:rsidRDefault="0025129F" w:rsidP="0025129F">
      <w:pPr>
        <w:pStyle w:val="TextoNormal"/>
      </w:pPr>
      <w:r>
        <w:t xml:space="preserve">Centrado el objeto del recurso, la representación autonómica aduce que son dos los motivos que determinan la impugnación. En primer lugar, la vulneración de determinadas competencias de la Generalidad de Cataluña. En segundo lugar, la infracción de otros preceptos constitucionales relativos a los derechos de asociación y sindicación, en concreto, los arts. 7, 22 y 28 de la Constitución. </w:t>
      </w:r>
    </w:p>
    <w:p w:rsidR="0025129F" w:rsidRDefault="0025129F" w:rsidP="0025129F">
      <w:pPr>
        <w:pStyle w:val="TextoNormal"/>
      </w:pPr>
      <w:r>
        <w:t xml:space="preserve">b) A continuación, la Letrada autonómica examina la primera perspectiva del recurso, la relativa al orden de competencias, analizando la Disposición adicional recurrida con el fin de determinar la materia en que la misma debe incardinarse. </w:t>
      </w:r>
    </w:p>
    <w:p w:rsidR="0025129F" w:rsidRDefault="0025129F" w:rsidP="0025129F">
      <w:pPr>
        <w:pStyle w:val="TextoNormal"/>
      </w:pPr>
      <w:r>
        <w:t xml:space="preserve">Partiendo de que su objeto es la financiación de un Acuerdo sobre la "formación profesional continua" de los trabajadores, manifiesta que en la "formación profesional" se han distinguido dos ámbitos: la "formación profesional reglada", que se imparte a los escolares en los centros educativos, y la "formación profesional ocupacional", dirigida a la población activa. Dentro de esta última, a su vez, puede distinguirse entre la destinada a la población desocupada y la que se destina a los trabajadores en activo (asalariados). Esta última constituye la llamada "formación profesional continua". </w:t>
      </w:r>
    </w:p>
    <w:p w:rsidR="0025129F" w:rsidRDefault="0025129F" w:rsidP="0025129F">
      <w:pPr>
        <w:pStyle w:val="TextoNormal"/>
      </w:pPr>
      <w:r>
        <w:t xml:space="preserve">El recurso se circunscribe únicamente a la gestión de las acciones de "formación profesional continua". Dichas acciones consisten, sustancialmente, en la realización cursos formativos con el fin de facilitar la adaptación de los trabajadores activos a los cambios ocupacionales derivados de la implantación de las nuevas tecnologías, cursos que se imparten en las propias empresas o en centros formativos colaboradores. </w:t>
      </w:r>
    </w:p>
    <w:p w:rsidR="0025129F" w:rsidRDefault="0025129F" w:rsidP="0025129F">
      <w:pPr>
        <w:pStyle w:val="TextoNormal"/>
      </w:pPr>
      <w:r>
        <w:t>Considera la representación procesal autonómica que la formación profesional, cualquiera que sea su clasificación, se encuadra en la materia de "enseñanza". Así se deriva del art. 30.1 de la Ley Orgánica 1/1990, de 14 de diciembre, de ordenación general del siste</w:t>
      </w:r>
      <w:r>
        <w:lastRenderedPageBreak/>
        <w:t xml:space="preserve">ma educativo (LOGSE), que dispone que "la formación profesional ... incluye también aquellas acciones que, dirigidas a la formación continua en las empresas y a la inserción y reinserción laboral de los trabajadores, se desarrollen en la formación profesional ocupacional, que se regulará por su normativa específica". </w:t>
      </w:r>
    </w:p>
    <w:p w:rsidR="0025129F" w:rsidRDefault="0025129F" w:rsidP="0025129F">
      <w:pPr>
        <w:pStyle w:val="TextoNormal"/>
      </w:pPr>
      <w:r>
        <w:t xml:space="preserve">En suma, aunque la formación profesional ocupacional haya sido tradicionalmente gestionada por la Administración laboral, es una actividad formativa y, como tal, se inscribe en la materia de "educación". </w:t>
      </w:r>
    </w:p>
    <w:p w:rsidR="0025129F" w:rsidRDefault="0025129F" w:rsidP="0025129F">
      <w:pPr>
        <w:pStyle w:val="TextoNormal"/>
      </w:pPr>
      <w:r>
        <w:t xml:space="preserve">Así lo reconoce el Real Decreto 1618/1990, de 14 de diciembre, por el que se regula el Plan nacional de formación e inserción profesional (Plan FIP), que declara en su preámbulo que constituye un desarrollo de la LOGSE "en lo relativo a la formación profesional ocupacional", lo que se confirma expresamente en su art. 1. </w:t>
      </w:r>
    </w:p>
    <w:p w:rsidR="0025129F" w:rsidRDefault="0025129F" w:rsidP="0025129F">
      <w:pPr>
        <w:pStyle w:val="TextoNormal"/>
      </w:pPr>
      <w:r>
        <w:t xml:space="preserve">Pues bien, en materia de educación, el art. 15 EAC atribuye a la Generalidad la competencia plena para la regulación de la enseñanza en toda su extensión, niveles y grados, modalidades y especialidades, en el ámbito de sus competencias, sin perjuicio de lo establecido en el art. 27 CE y leyes orgánicas que, conforme al art. 81.1 CE, lo desarrollen, de las facultades que atribuye al Estado el art. 149.1.30 CE y de la alta inspección necesaria para su cumplimiento y garantía. </w:t>
      </w:r>
    </w:p>
    <w:p w:rsidR="0025129F" w:rsidRDefault="0025129F" w:rsidP="0025129F">
      <w:pPr>
        <w:pStyle w:val="TextoNormal"/>
      </w:pPr>
      <w:r>
        <w:t xml:space="preserve">Descarta la Letrada de la Generalidad que la Disposición adicional recurrida se encuadre en la materia "laboral", pues, aunque los destinatarios de la formación profesional sean los trabajadores, su finalidad es puramente formativa. Sin embargo, afirma que aunque se considerara que el encuadramiento competencial pertinente fuera el relativo a la material "laboral", se habría producido en todo caso la invasión competencial denunciada, puesto que el art. 11.2 EAC atribuye a la Generalidad de Cataluña la competencia sobre la ejecución de la legislación del Estado en materia laboral. En esta materia las únicas competencias estatales son las relativas a la alta inspección, correspondiendo a la Generalidad todas las demás. </w:t>
      </w:r>
    </w:p>
    <w:p w:rsidR="0025129F" w:rsidRDefault="0025129F" w:rsidP="0025129F">
      <w:pPr>
        <w:pStyle w:val="TextoNormal"/>
      </w:pPr>
      <w:r>
        <w:t xml:space="preserve">También rechaza que la Disposición impugnada pueda incardinarse en el ámbito del art. 149.1.13 CE, pues aunque las acciones formativas de los trabajadores puedan tener su reflejo en la productividad y competitividad de las empresas, no es esa su finalidad inmediata, por lo que se alteraría el alcance de dicho título competencial si se sostuviera tal encuadramiento. En este sentido, el Tribunal Constitucional ha declarado que el ámbito del art. 149.1.13 CE no puede extenderse incluyendo en él cualquier medida de naturaleza económica si no posee una incidencia directa y significativa al respecto (SSTC 125/1984 y 76/1991). En todo caso, teniendo en cuenta que según la doctrina constitucional el título más específico debe prevalecer sobre el más genérico, el título "enseñanza" o "educación" ha de hacerlo sobre el de "ordenación de la actividad económica". Pero incluso en la perspectiva de que se considerara que procede la incardinación de las medidas recurridas en el art. 149.1.13 CE, puesto que la reivindicación autonómica se limita al ámbito de la ejecución, no puede perderse de vista que dicho ámbito también le corresponde a la Generalidad de Cataluña, según el art. 12.1.1 EAC. </w:t>
      </w:r>
    </w:p>
    <w:p w:rsidR="0025129F" w:rsidRDefault="0025129F" w:rsidP="0025129F">
      <w:pPr>
        <w:pStyle w:val="TextoNormal"/>
      </w:pPr>
      <w:r>
        <w:t xml:space="preserve">Así, pues, desde todos los títulos competenciales aludidos le corresponde a la Generalidad la gestión de las medidas de formación profesional ocupacional que se desarrollen en el ámbito territorial de Cataluña Así se constata en el Real Decreto 1577/1991, de 18 de octubre, de traspasos en esta materia, en el que se mencionan expresamente los arts. 12.1.1, 11.2 y 15 EAC como normas en las que se fundamentan dichos traspasos, correspondiendo a la Generalidad, como consecuencia de ello, "la ejecución del Plan Nacional de Formación e Inserción Profesional o norma que le sustituya", lo que se extiende a la "programación, organización, gestión, control administrativo e inspección técnica de las </w:t>
      </w:r>
      <w:r>
        <w:lastRenderedPageBreak/>
        <w:t xml:space="preserve">acciones formativas de acuerdo con el Plan" (apartado B del Anexo del Real Decreto 1577/1991). </w:t>
      </w:r>
    </w:p>
    <w:p w:rsidR="0025129F" w:rsidRDefault="0025129F" w:rsidP="0025129F">
      <w:pPr>
        <w:pStyle w:val="TextoNormal"/>
      </w:pPr>
      <w:r>
        <w:t xml:space="preserve">En suma, la Disposición recurrida sustrae a la Generalidad la gestión de las acciones de formación profesional de su competencia, entregándosela a los agentes sociales, y, al disminuir la cuota de formación profesional que las financiaba, se le disminuyen también a la Generalidad los recursos con los que se dotaban dichas acciones. De este modo, el Estado altera los mecanismos con arreglo a los cuales se venían gestionando las acciones de formación profesional ocupacional, en cuya virtud de Estado recaudaba la cuota de formación profesional correspondiente a los trabajadores y empresarios de todo el territorio nacional y la ponía a disposición de las Comunidades Autónomas mediante criterios objetivos de reparto. Así se hizo en 1992, año en que el Gobierno aprobó, en su reunión del día 5 de junio, "los criterios que servirán de base para determinar la asignación a la Comunidad Autónoma de Cataluña de los créditos ... correspondientes a las subvenciones para Formación Profesional Ocupacional, que, como consecuencia del traspaso de servicios, ha de gestionar dicha Comunidad". Este sistema ha sido alterado, atribuyendo a los agentes sociales la gestión de las ayudas, a través del ente paritario estatal, de un lado, y, de otro, recuperando para el Estado las funciones de tutela y control financiero, pues el punto tercero del Acuerdo tripartito establece como una de las funciones del ente paritario la de "poner a disposición de la Intervención General del Estado la liquidación de los gastos efectuados con cargo a la subvención recibida para el correspondiente control financiero", vulnerando así la competencia autonómica para realizar dicho control. </w:t>
      </w:r>
    </w:p>
    <w:p w:rsidR="0025129F" w:rsidRDefault="0025129F" w:rsidP="0025129F">
      <w:pPr>
        <w:pStyle w:val="TextoNormal"/>
      </w:pPr>
      <w:r>
        <w:t xml:space="preserve">En conclusión, según la Letrada autonómica no se cuestiona que el Estado elija los objetivos de su política económica y elabore libremente los presupuestos, destinando más o menos recursos a las acciones que considere prioritarias, ampliando o reduciendo las cantidades destinadas a la formación profesional. Admitido lo anterior, lo que el Estado no puede realizar es la modificación de la titularidad de la gestión de unos recursos cuyo destino o finalidad no ha variado, desposeyendo a la Generalidad de Cataluña de sus competencias de gestión. </w:t>
      </w:r>
    </w:p>
    <w:p w:rsidR="0025129F" w:rsidRDefault="0025129F" w:rsidP="0025129F">
      <w:pPr>
        <w:pStyle w:val="TextoNormal"/>
      </w:pPr>
      <w:r>
        <w:t xml:space="preserve">c) Desde otra perspectiva, la Letrada de la Generalidad de Cataluña aduce que la Disposición adicional vigesimotercera de la Ley 39/1992 vulnera los arts. 7, 22 y 28 CE y es manifiestamente contraria al pluralismo consagrado en el art. 1 del propio texto constitucional. </w:t>
      </w:r>
    </w:p>
    <w:p w:rsidR="0025129F" w:rsidRDefault="0025129F" w:rsidP="0025129F">
      <w:pPr>
        <w:pStyle w:val="TextoNormal"/>
      </w:pPr>
      <w:r>
        <w:t xml:space="preserve">En tal sentido, alega que, de acuerdo con la doctrina constitucional, el derecho de libertad sindical lleva implícito la igualdad de trato entre los sindicatos (SSTC 53/1982, 7/1990 y 32/1990), de modo que las diferencias entre los mismos han de responder a criterios de "objetividad, adecuación, razonabilidad y proporcionalidad" (STC 7/1990, FJ 2), habiendo declarado la STC 20/1985 que el criterio de representatividad contenido en la Disposición adicional sexta del Estatuto de los Trabajadores resultaba inconstitucional en su aplicación al otorgamiento de subvenciones relativas a la promoción de los intereses sociales de los trabajadores. La doctrina posterior, singularmente, la STC 59/1992, ha confirmado también la inconstitucionalidad de discriminaciones arbitrarias entre organizaciones sindicales. </w:t>
      </w:r>
    </w:p>
    <w:p w:rsidR="0025129F" w:rsidRDefault="0025129F" w:rsidP="0025129F">
      <w:pPr>
        <w:pStyle w:val="TextoNormal"/>
      </w:pPr>
      <w:r>
        <w:t xml:space="preserve">Pues bien, la Disposición adicional recurrida, en la medida que asume el contenido del Acuerdo nacional y del Acuerdo tripartito, que privilegian a UGT y CC OO, excluyendo a las restantes organizaciones sindicales, vulnera los principios constitucionales antes citados. </w:t>
      </w:r>
    </w:p>
    <w:p w:rsidR="0025129F" w:rsidRDefault="0025129F" w:rsidP="0025129F">
      <w:pPr>
        <w:pStyle w:val="TextoNormal"/>
      </w:pPr>
      <w:r>
        <w:lastRenderedPageBreak/>
        <w:t xml:space="preserve">Lo propio ocurre también respecto a las organizaciones empresariales CEOE y CEPYME, pues la STC 75/1992 contiene acerca de ellas similares criterios que los expuestos sobre de los sindicatos. </w:t>
      </w:r>
    </w:p>
    <w:p w:rsidR="0025129F" w:rsidRDefault="0025129F" w:rsidP="0025129F">
      <w:pPr>
        <w:pStyle w:val="TextoNormal"/>
      </w:pPr>
      <w:r>
        <w:t xml:space="preserve">Por todo ello, la Letrada autonómica argumenta que una gestión descentralizada de los recursos financieros hubiera permitido la realización de convenios a nivel autonómico con sindicatos y organizaciones empresariales representativas de dicho ámbito territorial. </w:t>
      </w:r>
    </w:p>
    <w:p w:rsidR="0025129F" w:rsidRDefault="0025129F" w:rsidP="0025129F">
      <w:pPr>
        <w:pStyle w:val="TextoNormal"/>
      </w:pPr>
      <w:r>
        <w:t xml:space="preserve">Por último, se aduce también la vulneración del art. 31.2 CE, ya que el sistema de reparto de los recursos públicos que se ha efectuado marginando a otros sindicatos y organizaciones empresariales no respeta el principio de asignación equitativa que proclama la Constitución. </w:t>
      </w:r>
    </w:p>
    <w:p w:rsidR="0025129F" w:rsidRDefault="0025129F" w:rsidP="0025129F">
      <w:pPr>
        <w:pStyle w:val="TextoNormal"/>
      </w:pPr>
      <w:r>
        <w:t>Termina su escrito la representación autonómica solicitando que en su momento se dicte Sentencia declarando la inconstitucionalidad de la Disposición recurrida y que el Estado proceda a la territorialización de los recursos correspondientes a la cuota por formación profesional, poniendo a la disposición de la Generalidad de Cataluña la cantidad que le corresponda, a fin de que la gestione en la forma legalmente procedente.</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recurso de inconstitucionalidad fue admitido a trámite mediante providencia de la Sección Tercera de 20 de abril de 1993, dando traslado de la demanda y documentos presentados al Gobierno de la Nación, al Congreso de los Diputados y al Senado para que en el plazo de quince días pudieran personarse en el proceso y formular las alegaciones que estimaren convenientes. </w:t>
      </w:r>
    </w:p>
    <w:p w:rsidR="0025129F" w:rsidRDefault="0025129F" w:rsidP="0025129F">
      <w:pPr>
        <w:pStyle w:val="TextoNormal"/>
      </w:pPr>
      <w:r>
        <w:t xml:space="preserve">El Presidente del Senado, mediante escrito registrado el día 30 de abril de 1993, manifiesta que dicha Cámara se persona en el procedimiento, si bien no formuló alegaciones. </w:t>
      </w:r>
    </w:p>
    <w:p w:rsidR="0025129F" w:rsidRDefault="0025129F" w:rsidP="0025129F">
      <w:pPr>
        <w:pStyle w:val="TextoNormal"/>
      </w:pPr>
      <w:r>
        <w:t xml:space="preserve">El Abogado del Estado solicitó, en su escrito de 12 de mayo de 1993, una prórroga en el plazo para formular alegaciones, la cual le fue concedida mediante providencia de 13 de mayo, ampliándose dicho plazo en ocho días. </w:t>
      </w:r>
    </w:p>
    <w:p w:rsidR="0025129F" w:rsidRDefault="0025129F" w:rsidP="0025129F">
      <w:pPr>
        <w:pStyle w:val="TextoNormal"/>
      </w:pPr>
      <w:r>
        <w:t>El Presidente del Congreso de los Diputados comunicó al Tribunal el día 25 de junio de 1993 que no se personaría en el procedimiento ni formularía alegaciones, ofreciendo su colaboración.</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Con fecha 25 de mayo de 1993, el Abogado del Estado se opone a la demanda, en los términos que se sintetizan a continuación: </w:t>
      </w:r>
    </w:p>
    <w:p w:rsidR="0025129F" w:rsidRDefault="0025129F" w:rsidP="0025129F">
      <w:pPr>
        <w:pStyle w:val="TextoNormal"/>
      </w:pPr>
      <w:r>
        <w:t xml:space="preserve">a) El Abogado del Estado comienza su exposición recordando los términos en que se plantea el recurso de inconstitucionalidad por parte de la Generalidad de Cataluña. Según ésta, la Disposición adicional recurrida sustrae de su competencia la gestión de las acciones de la "formación profesional continua", ciñéndose la reivindicación competencial del recurso exclusivamente a la gestión de dichas acciones, que fueron asumidas por la Generalidad de Cataluña mediante el Real Decreto 1577/1991, de 18 de octubre. En suma, la Disposición adicional recurrida intentaría modificar de modo unilateral el contenido de dicho Real Decreto de traspasos, operando una redistribución competencial en cuanto que las competencias de la Generalidad en materia de formación profesional ocupacional quedan limitadas a la formación de los desempleados, impidiéndose la gestión autonómica de las acciones a favor de la población ocupada. </w:t>
      </w:r>
    </w:p>
    <w:p w:rsidR="0025129F" w:rsidRDefault="0025129F" w:rsidP="0025129F">
      <w:pPr>
        <w:pStyle w:val="TextoNormal"/>
      </w:pPr>
      <w:r>
        <w:t xml:space="preserve">En la demanda se sostiene también que las acciones de la formación profesional, cualquiera que sea su clasificación, se encuadran en la materia educación, por lo que la Disposición recurrida habría vulnerado las competencias de la Generalidad en dicha materia (art. 15 EAC). </w:t>
      </w:r>
    </w:p>
    <w:p w:rsidR="0025129F" w:rsidRDefault="0025129F" w:rsidP="0025129F">
      <w:pPr>
        <w:pStyle w:val="TextoNormal"/>
      </w:pPr>
      <w:r>
        <w:lastRenderedPageBreak/>
        <w:t xml:space="preserve">Sin embargo, en opinión del Abogado del Estado, este planteamiento no se ajusta a la naturaleza de las acciones previstas en el Acuerdo nacional de formación continua. </w:t>
      </w:r>
    </w:p>
    <w:p w:rsidR="0025129F" w:rsidRDefault="0025129F" w:rsidP="0025129F">
      <w:pPr>
        <w:pStyle w:val="TextoNormal"/>
      </w:pPr>
      <w:r>
        <w:t xml:space="preserve">b) En cuanto al encuadramiento competencial, el Abogado del Estado alega que la demanda no tiene en cuenta las diferencias existentes entre la "formación profesional reglada" y la "formación profesional continua", objeto esta última del Acuerdo nacional de este nombre. </w:t>
      </w:r>
    </w:p>
    <w:p w:rsidR="0025129F" w:rsidRDefault="0025129F" w:rsidP="0025129F">
      <w:pPr>
        <w:pStyle w:val="TextoNormal"/>
      </w:pPr>
      <w:r>
        <w:t xml:space="preserve">La "formación profesional reglada" se inscribe en la materia "educación", pues comprende "el conjunto de enseñanzas que, dentro del sistema educativo y reguladas en esta Ley, capaciten para el desempeño cualificado de las distintas profesiones" (art. 30.1 LOGSE). En este sentido, el Real Decreto 2809/1980, de 3 de octubre, de traspaso de servicios del Estado a la Generalidad de Cataluña en materia de enseñanza afectó a los centros docentes donde se imparte este tipo de formación profesional, los cuales fueron regulados por la Ley Orgánica 5/1980, de 19 de julio, del estatuto de centros escolares. </w:t>
      </w:r>
    </w:p>
    <w:p w:rsidR="0025129F" w:rsidRDefault="0025129F" w:rsidP="0025129F">
      <w:pPr>
        <w:pStyle w:val="TextoNormal"/>
      </w:pPr>
      <w:r>
        <w:t xml:space="preserve">Sin embargo, la "formación profesional continua" no está incluida en el sistema educativo y, por esta razón, "se regulará por su normativa específica" (art. 30 LOGSE). El traspaso de funciones y servicios en materia de "formación profesional ocupacional" no se efectuó en el Real Decreto 2809/1980, sino mediante Real Decreto 1577/1991, de 18 de octubre. </w:t>
      </w:r>
    </w:p>
    <w:p w:rsidR="0025129F" w:rsidRDefault="0025129F" w:rsidP="0025129F">
      <w:pPr>
        <w:pStyle w:val="TextoNormal"/>
      </w:pPr>
      <w:r>
        <w:t xml:space="preserve">Estas diferencias son relevantes, pues la "formación profesional reglada", al inscribirse en el sistema educativo, es conducente a títulos con validez académica y profesional en todo el territorio nacional" (art. 1 del Real Decreto 676/1993, de 7 de mayo), distinguiéndose entre formación profesional de base y formación profesional específica, la primera, de carácter más general, incluida en la educación secundaria obligatoria y en el bachillerato, y la segunda, más especializada, que culmina la preparación para el ejercicio profesional y que conduce a la obtención de títulos profesionales (art. 2 de dicho Real Decreto). </w:t>
      </w:r>
    </w:p>
    <w:p w:rsidR="0025129F" w:rsidRDefault="0025129F" w:rsidP="0025129F">
      <w:pPr>
        <w:pStyle w:val="TextoNormal"/>
      </w:pPr>
      <w:r>
        <w:t xml:space="preserve">Por el contrario, la "formación profesional ocupacional" está excluida del sistema educativo español, no persigue los fines del art. 1 LOGSE, sino que es un instrumento de fomento del empleo, que responde a los objetivos de la política de empleo, según se definen en el art. 1 de la Ley 51/1980, de 8 de octubre, básica de empleo (LBE), cuyo desarrollo recoge su art. 14. </w:t>
      </w:r>
    </w:p>
    <w:p w:rsidR="0025129F" w:rsidRDefault="0025129F" w:rsidP="0025129F">
      <w:pPr>
        <w:pStyle w:val="TextoNormal"/>
      </w:pPr>
      <w:r>
        <w:t xml:space="preserve">La vinculación existente entre la "formación profesional permanente o continua" (de trabajadores ocupados) y la lucha contra el desempleo se constata en el art. G 127 del Tratado de la Unión Europea, hecho en Maastricht el 7 de febrero de 1992, que se refiere a la misma como instrumento de inserción y reinserción profesional en el mercado laboral, norma que sintetiza una larga tradición comunitaria, contenida por ejemplo, en la Resolución del Consejo de las Comunidades Europeas sobre formación profesional permanente, aprobada en el Consejo de Ministros de Trabajo y Asuntos Sociales del día 5 de abril de 1989. </w:t>
      </w:r>
    </w:p>
    <w:p w:rsidR="0025129F" w:rsidRDefault="0025129F" w:rsidP="0025129F">
      <w:pPr>
        <w:pStyle w:val="TextoNormal"/>
      </w:pPr>
      <w:r>
        <w:t xml:space="preserve">A esta misma finalidad tiende el Acuerdo nacional sobre formación continua, pues, según su Exposición de Motivos, se endereza a evitar los riesgos que corren los trabajadores ocupados de "perder sus actuales ocupaciones debido a los cambios que operan en el mundo laboral". Y lo propio ocurre con el Acuerdo tripartito, que pretende disminuir el riesgo de paro de dichos trabajadores. </w:t>
      </w:r>
    </w:p>
    <w:p w:rsidR="0025129F" w:rsidRDefault="0025129F" w:rsidP="0025129F">
      <w:pPr>
        <w:pStyle w:val="TextoNormal"/>
      </w:pPr>
      <w:r>
        <w:t xml:space="preserve">De cuanto ha expuesto deduce el Abogado del Estado que las medidas impugnadas no pueden incardinarse en la materia "educación" (arts. 149.1.30 CE y 15 EAC), sino que constituyen medidas de política de "empleo", ya que aquéllas consisten en la afectación de un porcentaje de la cotización a formación profesional a la financiación de acciones formativas acogidas al "Acuerdo Nacional sobre Formación Continua", ordenando que el </w:t>
      </w:r>
      <w:r>
        <w:lastRenderedPageBreak/>
        <w:t xml:space="preserve">importe correspondiente, que figura en el presupuesto del Instituto Nacional de Empleo, se ponga a disposición del ente paritario de ámbito estatal de las representaciones sindicales y empresariales. </w:t>
      </w:r>
    </w:p>
    <w:p w:rsidR="0025129F" w:rsidRDefault="0025129F" w:rsidP="0025129F">
      <w:pPr>
        <w:pStyle w:val="TextoNormal"/>
      </w:pPr>
      <w:r>
        <w:t xml:space="preserve">Ello es conforme con la doctrina constitucional sobre la soberanía financiera del Estado, que puede asignar fondos a cualquier finalidad lícita (STC 13/1992, FJ 7). Puesto que el art. 11.2 EAC dispone que "quedan reservadas al Estado todas las competencias en materia de ... fondos de ámbito nacional y de empleo, sin perjuicio de lo que establezcan las normas del Estado sobre estas materias", ello implica la existencia de "una competencia ejecutiva del Estado en relación con la política de empleo" (STC 249/1988, de 20 de diciembre, FJ 5), competencia que se recoge en el art. 3 LBE. Por tanto, la norma recurrida se limita a configurar un fondo nacional de empleo para financiar acciones formativas acogidas al Acuerdo nacional sobre formación continua, lo que, como se ha visto no vulnera las competencias de la Generalidad. </w:t>
      </w:r>
    </w:p>
    <w:p w:rsidR="0025129F" w:rsidRDefault="0025129F" w:rsidP="0025129F">
      <w:pPr>
        <w:pStyle w:val="TextoNormal"/>
      </w:pPr>
      <w:r>
        <w:t xml:space="preserve">Frente a ello no puede oponerse que la Generalidad habría asumido la competencia controvertida por el Real Decreto 1577/1991, de 18 de octubre, que traspasa funciones y servicios en materia de gestión de la formación profesional y que se habría modificado unilateralmente, puesto que los Reales Decretos de traspasos no atribuyen ni reconocen competencias (SSTC 102/1985, de 4 de octubre, FJ 2; y 220/1992, de 11 de diciembre, FJ 16), debiendo estarse a lo que dispongan la Constitución y los Estatutos de Autonomía. </w:t>
      </w:r>
    </w:p>
    <w:p w:rsidR="0025129F" w:rsidRDefault="0025129F" w:rsidP="0025129F">
      <w:pPr>
        <w:pStyle w:val="TextoNormal"/>
      </w:pPr>
      <w:r>
        <w:t xml:space="preserve">c) Existe una segunda línea argumental que, con carácter subsidiario, patentiza la adecuación al orden constitucional de competencias de la Disposición recurrida, ya que ésta también encuentra apoyo en la competencia estatal sobre "ordenación general de la economía" (art. 149.1.13 CE). </w:t>
      </w:r>
    </w:p>
    <w:p w:rsidR="0025129F" w:rsidRDefault="0025129F" w:rsidP="0025129F">
      <w:pPr>
        <w:pStyle w:val="TextoNormal"/>
      </w:pPr>
      <w:r>
        <w:t xml:space="preserve">Acerca de esta competencia, la doctrina constitucional ha considerado que desborda el concepto formal de planificación general de la actividad económica y que se proyecta sobre cada uno de los sectores y subsectores de la economía (SSTC 76/1983, de 5 de agosto, FJ 14; 29/1986, FJ 4; y 95/1986, de 10 de julio), pudiendo incluir diversos aspectos, básicos o no, que sólo pueden ser considerados como unidad (STC 179/1985, de 19 de diciembre, FJ 1). </w:t>
      </w:r>
    </w:p>
    <w:p w:rsidR="0025129F" w:rsidRDefault="0025129F" w:rsidP="0025129F">
      <w:pPr>
        <w:pStyle w:val="TextoNormal"/>
      </w:pPr>
      <w:r>
        <w:t xml:space="preserve">La directa conexión existente entre las acciones formativas previstas en el Acuerdo nacional sobre formación continua y una política de estabilidad económica "orientada al pleno empleo" (art. 40.1 CE) se expresa con claridad en la Exposición de Motivos del Acuerdo, lo que manifiesta que las medidas litigiosas responden a la expresada competencia estatal, siendo las mismas imprescindibles para garantizar la plena efectividad de la política de empleo y para garantizar las misas posibilidades de disfrute a los potenciales destinatarios en el conjunto del territorio nacional (SSTC 95/1986, 152/1988, 201/1988 y 13/1992). </w:t>
      </w:r>
    </w:p>
    <w:p w:rsidR="0025129F" w:rsidRDefault="0025129F" w:rsidP="0025129F">
      <w:pPr>
        <w:pStyle w:val="TextoNormal"/>
      </w:pPr>
      <w:r>
        <w:t xml:space="preserve">d) En cuanto a la presunta lesión de los principios constitucionales de igualdad, libertad sindical, libertad de asociación y pluralismo, imputable a la Disposición adicional vigesimotercera recurrida, como consecuencia de que los fondos de las acciones se pongan a disposición de las organizaciones firmantes del Acuerdo, impidiendo la participación de otros sujetos, el Abogado del Estado considera que se trata de una invocación inconsistente, puesto que no tiene en cuenta la doctrina de la STC 39/1986, según la cual este tipo de órganos no contrarían la libertad sindical, pues son instrumentos de concertación social que constituyen simple ejecución del Acuerdo nacional y que han de sujetarse tanto a los derechos como a las obligaciones del Acuerdo. </w:t>
      </w:r>
    </w:p>
    <w:p w:rsidR="0025129F" w:rsidRDefault="0025129F" w:rsidP="0025129F">
      <w:pPr>
        <w:pStyle w:val="TextoNormal"/>
      </w:pPr>
      <w:r>
        <w:t>El Abogado del Estado termina su alegato solicitando del Tribunal que dicte Sentencia desestimando en todos sus extremos el recurso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5</w:t>
      </w:r>
      <w:r>
        <w:t>. Con fecha 16 de abril de 1993, la Letrada de la Generalidad de Cataluña doña Elsa Puig Muñoz, en representación del Consejo Ejecutivo de aquélla, formaliza conflicto positivo de competencia, registrado con el núm. 1176/93, frente al Acuerdo tripartito en materia de formación continua de los trabajadores, suscrito en Madrid el día 22 de diciembre de 1992 por el Excmo. Sr. Ministro de Trabajo y Seguridad Social, el Presidente de la Confederación Española de Organizaciones Empresariales (CEOE), el Presidente de la Confederación Española de la Pequeña y Mediana Empresa (CEPYME), el Secretario General de la Unión General de Trabajadores (UGT) y el Secretario General de la Confederación Sindical de Comisiones Obreras (CC OO), por considerar que dicho Acuerdo vulnera las competencias de la Generalidad de Cataluña.</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Las alegaciones de la representación procesal autonómica son, resumidamente, las siguientes. </w:t>
      </w:r>
    </w:p>
    <w:p w:rsidR="0025129F" w:rsidRDefault="0025129F" w:rsidP="0025129F">
      <w:pPr>
        <w:pStyle w:val="TextoNormal"/>
      </w:pPr>
      <w:r>
        <w:t xml:space="preserve">a) El día 16 de diciembre de 1992, con carácter previo a la formalización del Acuerdo tripartito, objeto del conflicto, se había suscrito entre las mismas organizaciones empresariales y sindicales a que se hace referencia en el antecedente 5 el llamado Acuerdo nacional de formación continua, como instrumento para regular las acciones formativas que desarrollen las empresas para la mejora de la formación de los trabajadores ocupados en las mismas. </w:t>
      </w:r>
    </w:p>
    <w:p w:rsidR="0025129F" w:rsidRDefault="0025129F" w:rsidP="0025129F">
      <w:pPr>
        <w:pStyle w:val="TextoNormal"/>
      </w:pPr>
      <w:r>
        <w:t xml:space="preserve">Días después se suscribió el Acuerdo tripartito, objeto de este conflicto, que, a diferencia del anterior, no sólo tiene efectos entre las partes representativas de empresarios y trabajadores, sino que conlleva la asunción de obligaciones por parte del Estado. En definitiva, mediante el Acuerdo tripartito el Estado refrenda el Acuerdo nacional, cediendo a las organizaciones de los interlocutores sociales determinadas funciones de gestión de las medidas de formación profesional en que el Plan consiste, aunque se reserva la tutela y control del mismo, y se compromete a financiar el Plan, poniendo a disposición de los agentes sociales los recursos necesarios para ello, todo lo cual supone una invasión de las competencias de la Generalidad de Cataluña, la cual es titular de las potestades de gestión y de disposición de la financiación a que se ha hecho referencia. </w:t>
      </w:r>
    </w:p>
    <w:p w:rsidR="0025129F" w:rsidRDefault="0025129F" w:rsidP="0025129F">
      <w:pPr>
        <w:pStyle w:val="TextoNormal"/>
      </w:pPr>
      <w:r>
        <w:t>b) Importa destacar que el conflicto positivo de competencia se circunscribe únicamente a la gestión de las acciones de formación profesional continua. En cuanto a la fundamentación del conflicto, habida cuenta de la sustancial identidad del mismo con el alegado formalizado en el recurso de inconstitucionalidad núm. 938/93, acumulado a este conflicto, se remite a lo recogido en el antecedente 2, haciendo exclusión de su apartado c).</w:t>
      </w:r>
    </w:p>
    <w:p w:rsidR="0025129F" w:rsidRDefault="0025129F" w:rsidP="0025129F">
      <w:pPr>
        <w:pStyle w:val="TextoNormal"/>
      </w:pPr>
    </w:p>
    <w:p w:rsidR="0025129F" w:rsidRDefault="0025129F" w:rsidP="0025129F">
      <w:pPr>
        <w:pStyle w:val="TextoNormal"/>
      </w:pPr>
      <w:r w:rsidRPr="0025129F">
        <w:rPr>
          <w:rStyle w:val="NumeroAFNegritaCaracter"/>
        </w:rPr>
        <w:t>7</w:t>
      </w:r>
      <w:r>
        <w:t>. Mediante providencia de la Sección Primera de fecha 20 de abril de 1993, se admitió a trámite el conflicto positivo de competencia, acordándose asimismo trasladar la demanda y documentos presentados al Gobierno, por conducto de su Presidente, al objeto de que en el plazo de veinte días pueda formular las alegaciones que considere convenientes, comunicando la incoación del conflicto a la Sala de lo Contencioso- Administrativo del Tribunal Superior de Justicia de Madrid, por si estuviera impugnado el Acuerdo tripartito, en cuyo caso se suspenderá el proceso hasta la resolución del conflicto, publicando la incoación del mismo en el "Boletín Oficial del Estado" y en el "Diario Oficial de la Generalidad de Cataluña". En la misma providencia se acordó también conceder audiencia al Abogado del Estado para que se pronuncie sobre la acumulación, solicitada de adverso, de este conflicto al recurso de inconstitucionalidad núm. 938/93.</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Con fecha 19 de mayo de 1993, el Abogado del Estado solicitó una prórroga para formular sus alegaciones, que le fue concedida, ampliándose en diez días el plazo, por providencia de 20 de mayo de 1993. </w:t>
      </w:r>
    </w:p>
    <w:p w:rsidR="0025129F" w:rsidRDefault="0025129F" w:rsidP="0025129F">
      <w:pPr>
        <w:pStyle w:val="TextoNormal"/>
      </w:pPr>
      <w:r>
        <w:t xml:space="preserve">El día 31 de mayo de 1993, el Abogado del Estado presentó su alegato en el Registro del Tribunal. </w:t>
      </w:r>
    </w:p>
    <w:p w:rsidR="0025129F" w:rsidRDefault="0025129F" w:rsidP="0025129F">
      <w:pPr>
        <w:pStyle w:val="TextoNormal"/>
      </w:pPr>
      <w:r>
        <w:t xml:space="preserve">Tras recordar que el conflicto positivo de competencia se promueve únicamente frente a la gestión de las acciones de "formación profesional continua", incluida en el punto tercero del Acuerdo, de un lado, y contra la sustracción que dicho Acuerdo realiza del reparto entre las Comunidades Autónomas de los fondos necesarios para la financiación de aquellas acciones, de otro, se opone a la demanda con los mismos argumentos vertidos en el recurso de inconstitucionalidad núm. 938/93 por lo que procede remitirse a lo sintetizado en el antecedente 4, excluyendo su apartado d). </w:t>
      </w:r>
    </w:p>
    <w:p w:rsidR="0025129F" w:rsidRDefault="0025129F" w:rsidP="0025129F">
      <w:pPr>
        <w:pStyle w:val="TextoNormal"/>
      </w:pPr>
      <w:r>
        <w:t>Termina su escrito el Abogado del Estado solicitando que la Sentencia que se dicte desestime el conflicto positivo de competencia, suplicando asimismo que se acuerde la acumulación de este conflicto núm. 1176/93 con el recurso de inconstitucionalidad núm. 938/93.</w:t>
      </w:r>
    </w:p>
    <w:p w:rsidR="0025129F" w:rsidRDefault="0025129F" w:rsidP="0025129F">
      <w:pPr>
        <w:pStyle w:val="TextoNormal"/>
      </w:pPr>
    </w:p>
    <w:p w:rsidR="0025129F" w:rsidRDefault="0025129F" w:rsidP="0025129F">
      <w:pPr>
        <w:pStyle w:val="TextoNormal"/>
      </w:pPr>
      <w:r w:rsidRPr="0025129F">
        <w:rPr>
          <w:rStyle w:val="NumeroAFNegritaCaracter"/>
        </w:rPr>
        <w:t>9</w:t>
      </w:r>
      <w:r>
        <w:t>. Mediante Auto de 22 de junio de 1993, el Pleno del Tribunal acordó acceder a la acumulación solicitada.</w:t>
      </w:r>
    </w:p>
    <w:p w:rsidR="0025129F" w:rsidRDefault="0025129F" w:rsidP="0025129F">
      <w:pPr>
        <w:pStyle w:val="TextoNormal"/>
      </w:pPr>
    </w:p>
    <w:p w:rsidR="0025129F" w:rsidRDefault="0025129F" w:rsidP="0025129F">
      <w:pPr>
        <w:pStyle w:val="TextoNormal"/>
      </w:pPr>
      <w:r w:rsidRPr="0025129F">
        <w:rPr>
          <w:rStyle w:val="NumeroAFNegritaCaracter"/>
        </w:rPr>
        <w:t>10</w:t>
      </w:r>
      <w:r>
        <w:t>. Por providencia de 23 de abril de 2002 se señaló el día 25 del mismo mes y año para deliberación y votación de la presente Sentencia.</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recurso de inconstitucionalidad núm. 938/93 y el conflicto positivo de competencia núm.  1176/93, acumulados, han sido promovidos por el Consejo Ejecutivo de la Generalidad de Cataluña frente a, respectivamente, la Disposición adicional vigesimotercera de la Ley 39/1992, de 29 de diciembre, de Presupuestos Generales del Estado para 1993, y el Acuerdo tripartito en materia de formación continua de los trabajadores ocupados, suscrito en Madrid el 22 de diciembre de 1992 entre el Ministro de Trabajo y Seguridad Social, el Presidente de la Confederación Española de Organizaciones Empresariales (CEOE), el Presidente de la Confederación Española de la Pequeña y Mediana Empresa (CEPYME), el Secretario General de la Confederación Sindical de Comisiones Obreras (CC OO) y el Secretario de la Unión General de Trabajadores (UGT).</w:t>
      </w:r>
    </w:p>
    <w:p w:rsidR="0025129F" w:rsidRDefault="0025129F" w:rsidP="0025129F">
      <w:pPr>
        <w:pStyle w:val="TextoNormal"/>
      </w:pPr>
      <w:r>
        <w:t>En ambas impugnaciones se debaten dos órdenes de cuestiones. De un lado, la posible vulneración por la expresada Disposición adicional vigesimotercera y por el Acuerdo tripartito de formación continua de determinadas competencias de gestión de la Generalidad de Cataluña. De otro, la infracción, exclusivamente por la propia Disposición adicional vigesimotercera de la Ley 39/1992, de los principios constitucionales de igualdad, libertad sindical, libertad de asociación y pluralismo.</w:t>
      </w:r>
    </w:p>
    <w:p w:rsidR="0025129F" w:rsidRDefault="0025129F" w:rsidP="0025129F">
      <w:pPr>
        <w:pStyle w:val="TextoNormal"/>
      </w:pPr>
      <w:r>
        <w:t xml:space="preserve">Conviene examinar en primer lugar el conflicto positivo de competencia, pese a que su formalización ante este Tribunal haya acaecido con posterioridad a la del recurso de inconstitucionalidad. Y ello en razón, fundamentalmente, a que los alegatos de las representaciones procesales del Gobierno de la Nación y de la Generalidad de Cataluña acerca de </w:t>
      </w:r>
      <w:r>
        <w:lastRenderedPageBreak/>
        <w:t>la Disposición adicional vigesimotercera de la Ley 39/1992 toman como punto de partida, en lo relativo a la controversia competencial, al Acuerdo tripartito de formación continua. Además, la iniciación del procedimiento impugnatorio relativo al conflicto positivo de competencia precedió al del recurso de inconstitucionalidad, si bien la dilación derivada del trámite previo del requerimiento de incompetencia, pospuso en el tiempo la formalización del conflicto.</w:t>
      </w:r>
    </w:p>
    <w:p w:rsidR="0025129F" w:rsidRDefault="0025129F" w:rsidP="0025129F">
      <w:pPr>
        <w:pStyle w:val="TextoNormal"/>
      </w:pPr>
    </w:p>
    <w:p w:rsidR="0025129F" w:rsidRDefault="0025129F" w:rsidP="0025129F">
      <w:pPr>
        <w:pStyle w:val="TextoNormal"/>
      </w:pPr>
      <w:r w:rsidRPr="0025129F">
        <w:rPr>
          <w:rStyle w:val="NumeroAFNegritaCaracter"/>
        </w:rPr>
        <w:t>2</w:t>
      </w:r>
      <w:r>
        <w:t>. Entrando a examinar el conflicto positivo de competencia planteado respecto al Acuerdo tripartito en materia de formación continua de los trabajadores ocupados, suscrito el día 22 de diciembre de 1992 entre el Ministro de Trabajo y Seguridad Social, los Presidentes de la CEOE y CEPYME y los Secretarios Generales de UGT y CC OO, debemos resaltar que tiene como antecedente inmediato al Acuerdo nacional de formación continua, al que prestaron su adhesión, exclusivamente, las organizaciones empresariales y sindicales a que se ha hecho referencia.</w:t>
      </w:r>
    </w:p>
    <w:p w:rsidR="0025129F" w:rsidRDefault="0025129F" w:rsidP="0025129F">
      <w:pPr>
        <w:pStyle w:val="TextoNormal"/>
      </w:pPr>
      <w:r>
        <w:t>El Acuerdo nacional de formación continua se sustenta, según su Preámbulo, en la consideración de que "la formación profesional, en su conjunto, tanto la continua como la inicial, constituye un valor estratégico prioritario ante los procesos de cambio económico, tecnológico y social en que estamos inmersos", por lo que "el futuro de nuestro sistema productivo depende, en gran parte, de las cualificaciones de la población activa".  Partiendo de ello, el Acuerdo nacional integra una serie de medidas relativas a la "formación continua" de los trabajadores, entendiendo por tal "el conjunto de acciones formativas que desarrollen las empresas, ... dirigidas tanto a la mejora de competencias o cualificaciones como a la recualificación de los trabajadores ocupados, que permitan compatibilizar la mayor competitividad de las empresas con la formación individual del trabajador" (art.  1). Conviene destacar que "las Organizaciones firmantes del presente Acuerdo expresan su deseo de dirigirse al Gobierno a efectos de que, mediante el correspondiente Acuerdo Tripartito, y por el procedimiento legalmente oportuno, puedan habilitarse medidas que posibiliten la financiación y ejecución del mismo" (Disposición final segunda).</w:t>
      </w:r>
    </w:p>
    <w:p w:rsidR="0025129F" w:rsidRDefault="0025129F" w:rsidP="0025129F">
      <w:pPr>
        <w:pStyle w:val="TextoNormal"/>
      </w:pPr>
      <w:r>
        <w:t>El proceso de concertación acerca de la "formación continua de trabajadores ocupados" culmina con la suscripción del Acuerdo tripartito en dicha materia, rubricado por las citadas organizaciones empresariales y sindicales y el Gobierno de la Nación, representado por el Ministro de Trabajo y Seguridad Social. El Acuerdo tripartito, según su Preámbulo, incluye obligaciones en los siguientes ámbitos: a) el de la financiación, de modo que "todos los firmantes comparten que el montante de la actual cuota de formación profesional, por imperativo del principio de solidaridad, ha de dedicarse de forma significativa a la financiación de acciones formativas a favor de la población desempleada, sin perjuicio de estudiar conjuntamente la parte de dicha cuota que, sumada a las aportaciones adicionales de empresarios y trabajadores, pueda dedicarse a la formación de trabajadores ocupados"; b) El de la organización, gestión e impartición de la formación profesional de los trabajadores ocupados, "que constituye una responsabilidad principal de empresarios y trabajadores"; c) El Gobierno se compromete a adoptar medidas para "favorecer el desarrollo positivo del Acuerdo Nacional", aportando las sedes públicas de centros de formación profesional, el observatorio permanente de evolución de ocupaciones y material didáctico; y d) El Gobierno y las organizaciones firmantes convienen, asimismo, "en la necesidad de reformar el actual marco normativo del Plan Nacional de Formación e Inserción Profesional, teniendo en cuenta la relevante incidencia que sobre el mismo tiene el Acuerdo Nacional sobre Formación Continua". Estos criterios de principio se articulan, respectivamente, en los apartados primero, tercero, cuarto y quinto del Acuerdo tripartito.</w:t>
      </w:r>
    </w:p>
    <w:p w:rsidR="0025129F" w:rsidRDefault="0025129F" w:rsidP="0025129F">
      <w:pPr>
        <w:pStyle w:val="TextoNormal"/>
      </w:pPr>
      <w:r>
        <w:lastRenderedPageBreak/>
        <w:t>Finalmente, y según el apartado séptimo del Acuerdo tripartito, éste "entrará en vigor el 1 de enero de 1993 y se extinguirá el 31 de diciembre de 1996, salvo que las partes acuerden expresamente su prórroga".</w:t>
      </w:r>
    </w:p>
    <w:p w:rsidR="0025129F" w:rsidRDefault="0025129F" w:rsidP="0025129F">
      <w:pPr>
        <w:pStyle w:val="TextoNormal"/>
      </w:pPr>
    </w:p>
    <w:p w:rsidR="0025129F" w:rsidRDefault="0025129F" w:rsidP="0025129F">
      <w:pPr>
        <w:pStyle w:val="TextoNormal"/>
      </w:pPr>
      <w:r w:rsidRPr="0025129F">
        <w:rPr>
          <w:rStyle w:val="NumeroAFNegritaCaracter"/>
        </w:rPr>
        <w:t>3</w:t>
      </w:r>
      <w:r>
        <w:t>. Con posterioridad, y precedidos de los correspondientes Acuerdos nacionales de formación continua (ANFC), fueron suscritos los Acuerdos tripartitos sobre formación continua de los trabajadores II y III, abarcando, respectivamente, los periodos cuatrienales de 1997-2000, y 2001-2004. Debemos, pues, plantearnos la incidencia que estos dos nuevos instrumentos de concertación han tenido sobre la subsistencia del presente conflicto positivo de competencia.</w:t>
      </w:r>
    </w:p>
    <w:p w:rsidR="0025129F" w:rsidRDefault="0025129F" w:rsidP="0025129F">
      <w:pPr>
        <w:pStyle w:val="TextoNormal"/>
      </w:pPr>
      <w:r>
        <w:t>Por lo que concierne al II Acuerdo tripartito, suscrito el 19 de diciembre de 1996, de su lectura se desprende que prolonga las líneas directrices del anterior, sobre el que aparece trabada la controversia competencial. En lo que ahora importa, se aprecia que este II Acuerdo tripartito mantiene un esquema de gestión de la formación profesional continua del que se hallan excluidas las Comunidades Autónomas, y en tal sentido su apartado 1 establece, entre otros principios generales, "el mantenimiento a nivel estatal del control de los fondos provenientes de la cuota de formación profesional" y "el protagonismo de los agentes sociales y/o de las empresas y los trabajadores en la gestión de la formación continua". Podemos, por ello, concluir que la firma del II Acuerdo tripartito no afecta de modo sustancial al presente conflicto competencial, partiendo de nuestra doctrina según la cual "hay que huir de todo automatismo, siendo necesario atender a las circunstancias concurrentes en cada caso y, ante todo, a la pervivencia de la controversia competencial, esto es, a si la disputa sobre la titularidad competencial sigue o no viva entre las partes"; por ello, debe deducirse que esto es "lo que ha sucedido en este caso, ya que no se ha desistido del presente conflicto" (STC 128/1999, de 1 de julio, FJ 4).</w:t>
      </w:r>
    </w:p>
    <w:p w:rsidR="0025129F" w:rsidRDefault="0025129F" w:rsidP="0025129F">
      <w:pPr>
        <w:pStyle w:val="TextoNormal"/>
      </w:pPr>
      <w:r>
        <w:t>En cuanto al III Acuerdo tripartito suscrito el 19 de diciembre de 2000 entre las organizaciones empresariales firmantes del primero, las dos centrales sindicales que también pactaron éste (CC OO. y UGT), a las que se incorporó la Confederación Intersindical Gallega (CIG), y el Ministerio de Trabajo y Asuntos Sociales, viene a consolidar la articulación negociada del subsistema de formación continua, sin participación alguna de las Comunidades Autónomas. Así, en su Preámbulo, se afirma paladinamente que "el presente Acuerdo consolida el protagonismo de las organizaciones empresariales y sindicales en el desarrollo del sistema", añadiendo que dicho protagonismo se completa con una mayor incorporación, en relación con el sistema vigente hasta el 31 de diciembre del año 2000, de la Administración.</w:t>
      </w:r>
    </w:p>
    <w:p w:rsidR="0025129F" w:rsidRDefault="0025129F" w:rsidP="0025129F">
      <w:pPr>
        <w:pStyle w:val="TextoNormal"/>
      </w:pPr>
      <w:r>
        <w:t>A tal efecto, y conforme a su apartado cuarto, "El Gobierno y las organizaciones sindicales y empresariales convienen en encomendar la gestión de la formación continua a una Fundación Tripartita, en la que participarán representantes de la Administración y de las organizaciones sindicales y empresariales". Esta fundación, denominada "Fundación Tripartita para la Formación en el Empleo", tiene personalidad jurídica y se halla bajo el protectorado del Ministerio de Trabajo y Asuntos Sociales, y es el ente de naturaleza fundacional, que viene a sustituir al hasta entonces constituido (FORCEM), previéndose la fusión de ambas Fundaciones.</w:t>
      </w:r>
    </w:p>
    <w:p w:rsidR="0025129F" w:rsidRDefault="0025129F" w:rsidP="0025129F">
      <w:pPr>
        <w:pStyle w:val="TextoNormal"/>
      </w:pPr>
      <w:r>
        <w:t xml:space="preserve">Ha de entenderse, pues, que del sistema de gestión así articulado siguen quedando excluidas las Comunidades Autónomas, por lo que podemos afirmar que este último, y en la actualidad vigente Acuerdo tripartito plantea, en esencia, los mismos problemas competenciales que el Acuerdo sobre el que se traba formalmente la controversia competencial que ahora dilucidamos, por lo que la citada doctrina constitucional avala la conclusión de </w:t>
      </w:r>
      <w:r>
        <w:lastRenderedPageBreak/>
        <w:t>la no desaparición del conflicto al no producirse la pérdida sobrevenida de su objeto (STC 186/1999, de 14 de octubre, FJ 3, con cita de las SSTC 87/1993, de 11 de marzo, 329/1993, de 12 de noviembre, 155/1996, de 9 de octubre, y 147/1998, de 2 de julio).</w:t>
      </w:r>
    </w:p>
    <w:p w:rsidR="0025129F" w:rsidRDefault="0025129F" w:rsidP="0025129F">
      <w:pPr>
        <w:pStyle w:val="TextoNormal"/>
      </w:pPr>
    </w:p>
    <w:p w:rsidR="0025129F" w:rsidRDefault="0025129F" w:rsidP="0025129F">
      <w:pPr>
        <w:pStyle w:val="TextoNormal"/>
      </w:pPr>
      <w:r w:rsidRPr="0025129F">
        <w:rPr>
          <w:rStyle w:val="NumeroAFNegritaCaracter"/>
        </w:rPr>
        <w:t>4</w:t>
      </w:r>
      <w:r>
        <w:t>. Antes de seguir adelante, conviene hacer dos precisiones previas, para mejor esclarecimiento de la controversia competencial. Es la primera la relativa al I Acuerdo tripartito, en cuanto objeto idóneo para el planteamiento de un conflicto competencial, como el promovido por el Consejo Ejecutivo de la Generalidad de Cataluña. Ninguna de las partes ha puesto en duda que, pese a su formal carácter contractual, pueda ser objeto de una reivindicación competencial como la que aquí nos ocupa. A estos efectos, y sin que debamos pronunciarnos sobre la naturaleza jurídica del instrumento en que se contiene el sistema de gestión de la formación profesional continua, lo decisivo es que el propio contenido del mencionado Acuerdo tripartito suscite una reivindicación competencial, pues, según una reiterada doctrina constitucional "lo importante a estos efectos no es tanto la naturaleza o forma del acto como la real existencia de una controversia o disputa ante un evidente ejercicio de competencias supuestamente lesivo del orden constitucional; jurisprudencia que ha permitido entablar conflictos frente a actos de trámite, circulares o instrucciones, comunicaciones, comunicados de colaboración o, incluso, excepcionalmente la actuación material (SSTC 143/1985, 57/1983, 27/1983, 33/1982, 102/1988, 137/1989, etc.)" (STC 220/1992, de 11 de diciembre, FJ 15).</w:t>
      </w:r>
    </w:p>
    <w:p w:rsidR="0025129F" w:rsidRDefault="0025129F" w:rsidP="0025129F">
      <w:pPr>
        <w:pStyle w:val="TextoNormal"/>
      </w:pPr>
      <w:r>
        <w:t>La segunda precisión atañe a una adecuada delimitación del ámbito a que se extiende el conflicto competencial. En su demanda, como antes lo hiciera en el requerimiento previo al Gobierno, la Generalidad de Cataluña ha dejado claro que su vindicatio potestatis se circunscribe a los exclusivos aspectos de ejecución o gestión que presenta el sistema arbitrado para regular la formación profesional de los trabajadores ocupados (formación continua), dejando fuera toda pretensión relativa a la ordenación o regulación del sistema, es decir, a los criterios sustantivos de ordenación bajo el que se articula.</w:t>
      </w:r>
    </w:p>
    <w:p w:rsidR="0025129F" w:rsidRDefault="0025129F" w:rsidP="0025129F">
      <w:pPr>
        <w:pStyle w:val="TextoNormal"/>
      </w:pPr>
      <w:r>
        <w:t>De manera más específica, podemos afirmar que son dos concretas determinaciones de las contenidas en el I Acuerdo tripartito las que la Comunidad Autónoma reivindica y a las que, por consiguiente, atribuye la efectiva lesión del orden constitucional de distribución de competencias. Una primera, en cuanto se atribuye la gestión y administración de las acciones formativas comprendidas en la formación continua a los interlocutores sociales, a través de los correspondientes entes de composición paritaria (organizaciones sindicales y empresariales firmantes del Acuerdo) y, de forma más precisa, al denominado "ente paritario estatal", según los términos del primer párrafo del apartado tercero de dicho Acuerdo, a cuyo tenor:</w:t>
      </w:r>
    </w:p>
    <w:p w:rsidR="0025129F" w:rsidRDefault="0025129F" w:rsidP="0025129F">
      <w:pPr>
        <w:pStyle w:val="TextoNormal"/>
      </w:pPr>
      <w:r>
        <w:t>"El Gobierno y las organizaciones firmantes convienen en que todos los aspectos relativos a la organización, gestión, distribución de fondos, o, en su caso, ejecución de las acciones formativas y justificación de las mismas, corresponden a los interlocutores sociales a través de los correspondientes entes de composición paritaria. A ese fin, las organizaciones firmantes se comprometen a constituir los entes paritarios que sean necesarios, de ámbito nacional, con capacidad jurídica y de obrar para el cumplimiento del presente Acuerdo y del Acuerdo Nacional sobre Formación Continua, bajo la forma jurídica que a su juicio mejor se adapte a los fines que deben cumplir, así como a establecer los reglamentos operativos de dichos entes."</w:t>
      </w:r>
    </w:p>
    <w:p w:rsidR="0025129F" w:rsidRDefault="0025129F" w:rsidP="0025129F">
      <w:pPr>
        <w:pStyle w:val="TextoNormal"/>
      </w:pPr>
      <w:r>
        <w:t>De otro lado, la reivindicación competencial atañe a la dimensión económica del Acuerdo, en tanto el Gobierno asume el soporte financiero de la formación continua y lo traslada, para su gestión y administración, al ente paritario constituido por los agentes so</w:t>
      </w:r>
      <w:r>
        <w:lastRenderedPageBreak/>
        <w:t>ciales firmantes de aquél. Así viene a establecerlo el apartado primero, 2, del Acuerdo tripartito impugnado, en los siguientes términos:</w:t>
      </w:r>
    </w:p>
    <w:p w:rsidR="0025129F" w:rsidRDefault="0025129F" w:rsidP="0025129F">
      <w:pPr>
        <w:pStyle w:val="TextoNormal"/>
      </w:pPr>
      <w:r>
        <w:t>"La Tesorería General de la Seguridad Social continuará recaudando las cantidades resultantes de aplicar el vigente tipo del 0,70 por ciento y el Instituto Nacional de Empleo transferirá al Ente Paritario Estatal, que las partes firmantes del Acuerdo Nacional sobre Formación Continua constituyan y designen, las cantidades correspondientes al citado 0,10 por ciento de la cuota de Formación Profesional."</w:t>
      </w:r>
    </w:p>
    <w:p w:rsidR="0025129F" w:rsidRDefault="0025129F" w:rsidP="0025129F">
      <w:pPr>
        <w:pStyle w:val="TextoNormal"/>
      </w:pPr>
      <w:r>
        <w:t>Delimitado en estos términos el ámbito de la controversia, debemos ya analizar los títulos competenciales que las partes invocan en este proceso constitucional para entender como propia la competencia disputada.</w:t>
      </w:r>
    </w:p>
    <w:p w:rsidR="0025129F" w:rsidRDefault="0025129F" w:rsidP="0025129F">
      <w:pPr>
        <w:pStyle w:val="TextoNormal"/>
      </w:pPr>
    </w:p>
    <w:p w:rsidR="0025129F" w:rsidRDefault="0025129F" w:rsidP="0025129F">
      <w:pPr>
        <w:pStyle w:val="TextoNormal"/>
      </w:pPr>
      <w:r w:rsidRPr="0025129F">
        <w:rPr>
          <w:rStyle w:val="NumeroAFNegritaCaracter"/>
        </w:rPr>
        <w:t>5</w:t>
      </w:r>
      <w:r>
        <w:t>. El Consejo Ejecutivo de la Generalidad de Cataluña sustenta, en primer término y de modo prioritario, su reivindicación competencial en que la materia concernida es la de "educación", amparándose en el título competencial del art. 15 de su Estatuto de Autonomía (EAC) que otorga a la Generalidad competencia plena en materia de enseñanza, y de modo alternativo, en el título competencial que se contiene en el art. 11.2 del Estatuto, que atribuye a la Comunidad Autónoma la ejecución de la legislación del Estado en materia laboral, en los términos que después examinaremos, invocando también, finalmente, la competencia asumida en el art. 12.1.1 EAC en virtud del cual corresponde a la Generalidad, como competencia exclusiva, la "planificación de la actividad económica en Cataluña".</w:t>
      </w:r>
    </w:p>
    <w:p w:rsidR="0025129F" w:rsidRDefault="0025129F" w:rsidP="0025129F">
      <w:pPr>
        <w:pStyle w:val="TextoNormal"/>
      </w:pPr>
      <w:r>
        <w:t>Por su parte, el Abogado del Estado, tras rechazar la inclusión de la materia controvertida en el título competencial de "educación" sostiene, en síntesis, que nos hallamos ante un peculiar instrumento, el denominado Acuerdo tripartito, que contiene medidas relativas al "fomento del empleo", es decir, medidas de política de empleo, por lo que el Gobierno, como partícipe de tal Acuerdo se limitó a "comprometer la creación de un fondo de ámbito nacional destinado a financiar concretas medidas de política de empleo". El representante procesal del Gobierno postula, de modo más concreto, el encuadramiento de la materia controvertida en la reserva que a favor del Estado se contiene en el inciso segundo del art. 11.2 EAC, en cuya virtud se reservan al Estado todas las competencias en materia de "fondos de ámbito nacional y de empleo", por entender que los fondos públicos con que se financia la formación continua de los trabajadores ocupados se integran en un "fondo de empleo" cuya competencia, tanto normativa como de ejecución, corresponde al Estado al amparo del referido título competencial contenido en el propio Estatuto de Autonomía de Cataluña, que excluye en este ámbito la competencia autonómica de ejecución de la legislación del Estado en materia laboral reconocida en el primer inciso del mencionado precepto estatutario.</w:t>
      </w:r>
    </w:p>
    <w:p w:rsidR="0025129F" w:rsidRDefault="0025129F" w:rsidP="0025129F">
      <w:pPr>
        <w:pStyle w:val="TextoNormal"/>
      </w:pPr>
      <w:r>
        <w:t>De manera subsidiaria, el Abogado del Estado sostiene que, en último término, la materia objeto de la controversia competencial se inscribe en la órbita de la ordenación y dirección general de la economía, de competencia estatal conforme al art.  149.1.13 CE, con cita de nuestra STC 29/1986, de 20 de febrero, dictada en materia de reconversión industrial.</w:t>
      </w:r>
    </w:p>
    <w:p w:rsidR="0025129F" w:rsidRDefault="0025129F" w:rsidP="0025129F">
      <w:pPr>
        <w:pStyle w:val="TextoNormal"/>
      </w:pPr>
    </w:p>
    <w:p w:rsidR="0025129F" w:rsidRDefault="0025129F" w:rsidP="0025129F">
      <w:pPr>
        <w:pStyle w:val="TextoNormal"/>
      </w:pPr>
      <w:r w:rsidRPr="0025129F">
        <w:rPr>
          <w:rStyle w:val="NumeroAFNegritaCaracter"/>
        </w:rPr>
        <w:t>6</w:t>
      </w:r>
      <w:r>
        <w:t>. Expuestas las posiciones de las partes en conflicto, procede ya abordar el adecuado encuadramiento de la materia controvertida en alguno de los títulos competenciales enfrentados.</w:t>
      </w:r>
    </w:p>
    <w:p w:rsidR="0025129F" w:rsidRDefault="0025129F" w:rsidP="0025129F">
      <w:pPr>
        <w:pStyle w:val="TextoNormal"/>
      </w:pPr>
      <w:r>
        <w:t>Comenzando el análisis desde una perspectiva negativa o de exclusión, aparece claro que la materia de formación profesional ocupacional, en su modalidad de formación con</w:t>
      </w:r>
      <w:r>
        <w:lastRenderedPageBreak/>
        <w:t>tinua de los trabajadores asalariados o en activo, no pertenece al ámbito de la "educación" al que intenta atraerla la Comunidad Autónoma promovente del conflicto competencial, incardinándola en la competencia plena que le atribuye el art. 15 EAC ("la regulación y administración de la enseñanza en toda su extensión, niveles y grados, modalidades y especialidades"). Basta para ello tener en cuenta, como aduce con acierto el representante procesal del Gobierno, que la formación profesional ocupacional, a diferencia de la formación profesional reglada, no se integra ni forma parte del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El propio art. 30.1 de la Ley Orgánica 1/1990, de 3 de octubre, de ordenación general del sistema educativo (LOGSE) remite a su regulación específica y propia todo lo concerniente a la formación profesional ocupacional.  No puede perderse de vista, de otro lado, que el art. 3 de la propia LOGSE regula lo que, en rigor, constituye la esfera del sistema educativo y en ella sólo se incluye la llamada "formación profesional reglada", que, al ser cursada, conlleva la posibilidad de obtención de un determinado título académico (art. 35 LOGSE).</w:t>
      </w:r>
    </w:p>
    <w:p w:rsidR="0025129F" w:rsidRDefault="0025129F" w:rsidP="0025129F">
      <w:pPr>
        <w:pStyle w:val="TextoNormal"/>
      </w:pPr>
      <w:r>
        <w:t>En suma, ha de discernirse entre la formación profesional reglada, que, en cuanto perteneciente o integrada en el sistema educativo, es materia susceptible de encuadramiento en el título competencial autonómico de "regulación y administración de la enseñanza" (art. 15 EAC), y la materia aquí controvertida, que al comprender las acciones formativas para la formación continua de los trabajadores ocupados no forma parte del sistema educativo, sino que se identifica como perteneciente a un estadio ulterior, cual es el mantenimiento, a lo largo de la vida laboral, de las aptitudes y cualificaciones profesionales en su día alcanzadas y que capacitaron para acceder al puesto de trabajo, con el fin de dotar a los trabajadores asalariados de los adecuados instrumentos formativos para hacer operante la directriz constitucional contenida en el art. 40.2 CE, es decir, para garantizar la formación y readaptación profesionales de los trabajadores ante los nuevos y acelerados cambios tecnológicos.</w:t>
      </w:r>
    </w:p>
    <w:p w:rsidR="0025129F" w:rsidRDefault="0025129F" w:rsidP="0025129F">
      <w:pPr>
        <w:pStyle w:val="TextoNormal"/>
      </w:pPr>
    </w:p>
    <w:p w:rsidR="0025129F" w:rsidRDefault="0025129F" w:rsidP="0025129F">
      <w:pPr>
        <w:pStyle w:val="TextoNormal"/>
      </w:pPr>
      <w:r w:rsidRPr="0025129F">
        <w:rPr>
          <w:rStyle w:val="NumeroAFNegritaCaracter"/>
        </w:rPr>
        <w:t>7</w:t>
      </w:r>
      <w:r>
        <w:t>. Con carácter subsidiario, la representación procesal del Gobierno aduce que la suscripción por éste del Acuerdo tripartito sobre el que se traba el conflicto competencial encuentra cobertura constitucional en la competencia estatal de ordenación y dirección general de la economía, ex art. 149.1.13 CE.</w:t>
      </w:r>
    </w:p>
    <w:p w:rsidR="0025129F" w:rsidRDefault="0025129F" w:rsidP="0025129F">
      <w:pPr>
        <w:pStyle w:val="TextoNormal"/>
      </w:pPr>
      <w:r>
        <w:t>Pues bien, en orden al título competencial sobre "bases y coordinación de la planificación general de la actividad económica" del art. 149.1.13 CE, conviene recordar, de modo sucinto, la doctrina constitucional recaída en torno a esta regla competencial.  Al respecto, hemos declarado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también ha precisado (SSTC 125/1984, 76/1991) que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 (STC 21/1999, de 25 de febrero, FJ 5).</w:t>
      </w:r>
    </w:p>
    <w:p w:rsidR="0025129F" w:rsidRDefault="0025129F" w:rsidP="0025129F">
      <w:pPr>
        <w:pStyle w:val="TextoNormal"/>
      </w:pPr>
      <w:r>
        <w:t xml:space="preserve">Teniendo en cuenta la doctrina reproducida, debemos descartar que las medidas de "formación profesional continua" puedan incardinarse en el ámbito del art. 149.1.13 CE.  </w:t>
      </w:r>
      <w:r>
        <w:lastRenderedPageBreak/>
        <w:t>Ciertamente, no puede cuestionarse la incidencia económica que presenta la adecuación de las aptitudes profesionales de los trabajadores ocupados a las nuevas necesidades tecnológicas y a los permanentes cambios del mercado laboral. Sin embargo, esa relevancia económica no resulta determinante para realizar la adscripción a este título competencial de la materia objeto del Acuerdo tripartito. Ante todo, desde la perspectiva material, se constata que las acciones aquí consideradas ni se refieren a ningún sector o subsector específico de la economía, ni tampoco, en sentido estricto, constituyen acciones de naturaleza económica, pues tienen como finalidad la capacitación profesional de los trabajadores de todos los sectores productivos.</w:t>
      </w:r>
    </w:p>
    <w:p w:rsidR="0025129F" w:rsidRDefault="0025129F" w:rsidP="0025129F">
      <w:pPr>
        <w:pStyle w:val="TextoNormal"/>
      </w:pPr>
      <w:r>
        <w:t>Por otro lado, si bien la política de empleo, dada su relevancia para los diversos sectores económicos, puede, e incluso debe, en alguna de sus manifestaciones, ser objeto de coordinación y planificación, esta previsión no puede entenderse con un significado tan amplio o expansivo que determine su proyección sobre un aspecto tangencial o secundario a dicha política de empleo como es la formación profesional ocupacional, en modo alguno equiparable a otras decisiones básicas en dicho ámbito, como pudieran ser las subvenciones o subsidios a las prejubilaciones en sectores productivos objeto de reconversión industrial, o las medidas dirigidas a la "recolocación" de determinados colectivos de trabajadores en razón de situaciones de crisis afectantes a ciertas empresas o sectores, entre otras.</w:t>
      </w:r>
    </w:p>
    <w:p w:rsidR="0025129F" w:rsidRDefault="0025129F" w:rsidP="0025129F">
      <w:pPr>
        <w:pStyle w:val="TextoNormal"/>
      </w:pPr>
      <w:r>
        <w:t>Hemos de concluir, por ello, que las medidas objeto del Acuerdo tripartito impugnado no encuentran cobertura en la materia de "bases y coordinación de la planificación general de la actividad económica", atribuida al Estado como competencia exclusiva por el art. 149.1.13 de la Constitución. Y por las mismas razones hemos de negar virtualidad alguna, para atribuir a la Generalidad de Cataluña la competencia de gestión o ejecución reivindicada, a la pretendida inclusión de la materia controvertida, bien que de manera subsidiaria, en el art. 12.1.1 de su Estatuto de Autonomía, que establece como competencia exclusiva autonómica "la planificación de la actividad económica en Cataluña", si bien de conformidad con las bases y la ordenación de la actividad económica general y la política monetaria del Estado.</w:t>
      </w:r>
    </w:p>
    <w:p w:rsidR="0025129F" w:rsidRDefault="0025129F" w:rsidP="0025129F">
      <w:pPr>
        <w:pStyle w:val="TextoNormal"/>
      </w:pPr>
    </w:p>
    <w:p w:rsidR="0025129F" w:rsidRDefault="0025129F" w:rsidP="0025129F">
      <w:pPr>
        <w:pStyle w:val="TextoNormal"/>
      </w:pPr>
      <w:r w:rsidRPr="0025129F">
        <w:rPr>
          <w:rStyle w:val="NumeroAFNegritaCaracter"/>
        </w:rPr>
        <w:t>8</w:t>
      </w:r>
      <w:r>
        <w:t xml:space="preserve">. En relación con el encuadramiento de la materia en el ámbito "laboral", ya desde sus primeras Sentencias este Tribunal abordó el deslinde competencial en este sector material, realizado a través del art. 149.1.7 CE y, para el caso de Cataluña, en el art. 11.2 de su Estatuto de Autonomía, partiendo de la premisa de que la "Constitución española atribuye al Estado la ordenación general en materia laboral, pues las Cortes Generales y no las Asambleas Legislativas de las Comunidades Autónomas, son las que ostentan la potestad legislativa en el ámbito de lo laboral" (STC 33/1981, de 5 de noviembre, FJ 2); y precisando el mismo deslinde competencial, la STC 18/1982, de 4 de mayo, recaída en conflicto competencial sobre registro y depósito de convenios colectivos de trabajo, estableció que "cuando la Constitución emplea el término 'legislación laboral' y la atribuye a la competencia estatal incluye también en el término los reglamentos tradicionalmente llamados ejecutivos, es decir, aquéllos que aparecen como desarrollo de la Ley, y, por ende, como complementarios de la misma" , para contraponer más adelante estos reglamentos ejecutivos en materia laboral, de competencia exclusiva del Estado, con aquellos otros que carecen de significación desde el punto de vista normativo "por referirse a los aspectos organizativos", interpretación ésta que apoya, cabalmente, en el art. 25 EAC, según el cual en "el caso de las materias señaladas en el artículo 11 de este Estatuto, o con el mismo carácter en otros preceptos del mismo, su ejercicio deberá sujetarse a las normas reglamentarias que en desarrollo de su legislación dicte el Estado".  Insistiendo en la delimitación del </w:t>
      </w:r>
      <w:r>
        <w:lastRenderedPageBreak/>
        <w:t>título competencial sobre "legislación laboral", la STC 35/1982, de 14 de junio, asigna al adjetivo laboral "un sentido concreto y restringido, coincidente por lo demás con el uso habitual, como referido solo al trabajo por cuenta ajena, entendiendo por consiguiente como legislación laboral aquélla que regula directamente la relación laboral, es decir, para recoger los términos de la Ley 8/1980, de 10 de marzo, la relación que media entre los trabajadores que presten servicios retribuidos por cuenta ajena y los empresarios".</w:t>
      </w:r>
    </w:p>
    <w:p w:rsidR="0025129F" w:rsidRDefault="0025129F" w:rsidP="0025129F">
      <w:pPr>
        <w:pStyle w:val="TextoNormal"/>
      </w:pPr>
      <w:r>
        <w:t>De manera más específica, y en directa relación con la materia del conflicto competencial que nos ocupa, la STC 195/1996, de 28 de noviembre, dictada en el recurso de inconstitucionalidad promovido por el Gobierno Vasco contra la Ley 8/1988, de 7 de abril, sobre infracciones y sanciones en el orden social, y para determinar si algunos preceptos de esta Ley quedaban o no incardinados en la materia de "legislación laboral", declaró, en su FJ 5, que la "Ley recurrida, tras definir con carácter genérico lo que ha de entenderse por infracciones en materia de colocación y empleo, y protección por desempleo (art. 25), tipifica en la sección 1ª del capítulo cuarto las 'infracciones de los empresarios en materia de empleo, ayudas de fomento del empleo, en general, y formación profesional ocupacional', rúbrica a la que la Ley 11/1994 ha añadido las infracciones de las agencias de colocación. Así se hace con detalle en los artículos 26 (infracciones leves), 27 (infracciones graves) y 28.1, 2 y 4 (infracciones muy graves)". Esto sentado, la citada Sentencia afirma que de "la lectura de los preceptos citados se infiere con toda claridad que han de ubicarse en la materia 'legislación laboral' (art. 149.1.7 CE), pues tipifican las infracciones de deberes y prohibiciones legalmente impuestas a los empresarios -principalmente por el Estatuto de los Trabajadores (LET) en sus arts. 16 y 17- respecto de las actividades de contratación laboral en sus diversas fases o estadios". Y añade más adelante: "Remisión [al art. 149.1.7 CE] que, en principio, debe compartirse, toda vez que las acciones de estímulo a la contratación laboral en sus distintas modalidades se insertan sin dificultad en dicho título, el cual ha de tenerse asimismo por prevalente en lo que atañe a los incentivos a la formación profesional ocupacional".</w:t>
      </w:r>
    </w:p>
    <w:p w:rsidR="0025129F" w:rsidRDefault="0025129F" w:rsidP="0025129F">
      <w:pPr>
        <w:pStyle w:val="TextoNormal"/>
      </w:pPr>
      <w:r>
        <w:t>Partiendo, pues, de la doctrina constitucional que, sucintamente, dejamos expuesta, debemos concluir que el Acuerdo tripartito de formación continua, comprensivo de una serie de criterios para la adecuación de la formación profesional de los trabajadores ocupados, se inscribe en el ámbito de la "legislación laboral", pues concierne a la regulación de un concreto derecho de los trabajadores en el seno de la relación laboral, como el reconocido en el art. 4.2 del estatuto de los trabajadores (texto refundido aprobado por Real Decreto Legislativo 1/1995, de 24 de marzo), a cuyo tenor: "En la relación de trabajo, los trabajadores tienen derecho: b) A la promoción y formación profesional en el trabajo", y desarrollado en el art. 23 del mismo texto legal, que hace efectivo tal derecho mediante el disfrute de permisos para concurrir a exámenes y la preferencia para elegir turno de trabajo, así como a través de la adaptación de la jornada ordinaria laboral que permita la asistencia a cursos de formación profesional, o bien mediante la concesión del permiso "de formación o perfeccionamiento profesional con reserva del puesto de trabajo". Esta clara inserción de la formación profesional continua en el seno de la relación laboral, con la consiguiente atribución de derechos al trabajador y correlativos deberes al empresario, determina como encuadramiento adecuado de la materia el de "legislación laboral", cuya distribución competencial se contiene en el art. 149.1.7 CE y art. 11.2 del Estatuto de Autonomía de Cataluña, tal como vino a reconocerlo el propio Gobierno en la contestación al previo requerimiento formulado por la Comunidad Autónoma promovente del conflicto.</w:t>
      </w:r>
    </w:p>
    <w:p w:rsidR="0025129F" w:rsidRDefault="0025129F" w:rsidP="0025129F">
      <w:pPr>
        <w:pStyle w:val="TextoNormal"/>
      </w:pPr>
    </w:p>
    <w:p w:rsidR="0025129F" w:rsidRDefault="0025129F" w:rsidP="0025129F">
      <w:pPr>
        <w:pStyle w:val="TextoNormal"/>
      </w:pPr>
      <w:r w:rsidRPr="0025129F">
        <w:rPr>
          <w:rStyle w:val="NumeroAFNegritaCaracter"/>
        </w:rPr>
        <w:lastRenderedPageBreak/>
        <w:t>9</w:t>
      </w:r>
      <w:r>
        <w:t>. Así realizado el encuadramiento del objeto del conflicto en la materia "laboral", no parece suscitar especial dificultad determinar el reparto competencial que en dicho ámbito resulta del art. 149.1.7 CE, en relación con al art. 11.2 EAC. En efecto, el Estado ostenta competencia exclusiva para la normación en el sentido antes expuesto, comprensivo no solo de las leyes formalmente tales sino también de los reglamentos ejecutivos o de desarrollo de aquéllas (art. 25.2, segundo inciso EAC), limitándose el ámbito normativo de las Comunidades Autónomas a la emanación de reglamentos internos de organización de los servicios (STC 249/1988, de 20 de diciembre, FJ 2). A la Generalidad de Cataluña, en cambio, se le atribuye la función ejecutiva de la legislación laboral, "asumiendo las facultades, competencias y servicios que en este ámbito y a nivel de ejecución ostenta actualmente el Estado respecto a las relaciones laborales, sin perjuicio de la alta inspección de éste", según dispone el art. 11.2, primer inciso, de su norma estatutaria. Hasta aquí, pues, la regla de distribución competencial se presenta relativamente clara y no ofrece especiales dificultades aplicativas o interpretativas, siendo de recordar, a este respecto, que la Comunidad Autónoma promovente del conflicto competencial ciñe éste, en sus términos objetivos, a lo que el Acuerdo tripartito contiene de gestión o ejecución públicas de la formación continua.</w:t>
      </w:r>
    </w:p>
    <w:p w:rsidR="0025129F" w:rsidRDefault="0025129F" w:rsidP="0025129F">
      <w:pPr>
        <w:pStyle w:val="TextoNormal"/>
      </w:pPr>
      <w:r>
        <w:t>Ahora bien, el representante procesal del Gobierno se acoge a lo dispuesto en el segundo inciso del mencionado precepto estatutario para sostener, como ya expusimos, que en el Acuerdo tripartito se articula un fondo de ámbito nacional destinado a financiar concretas medidas de política de empleo, es decir, se constituye un "fondo nacional de empleo", sobre el que se reservan al Estado todas las competencias, sin que, por tanto, la Comunidad Autónoma de Cataluña pueda reivindicar la ejecución de este fondo, al quedar atribuida su gestión al Estado, por disponerlo así su propio Estatuto de Autonomía, excepcionando su competencia de ejecución de la legislación laboral que, como regla, tiene atribuida.</w:t>
      </w:r>
    </w:p>
    <w:p w:rsidR="0025129F" w:rsidRDefault="0025129F" w:rsidP="0025129F">
      <w:pPr>
        <w:pStyle w:val="TextoNormal"/>
      </w:pPr>
      <w:r>
        <w:t>Hemos, pues, de analizar esta alegación, ya que en el supuesto de aceptarse la calificación de "fondo de empleo" que propugna el Abogado del Estado, no sería cobertura estatutaria adecuada la competencia de ejecución de la legislación laboral en que sustenta su vindicatio potestatis la Generalidad de Cataluña.</w:t>
      </w:r>
    </w:p>
    <w:p w:rsidR="0025129F" w:rsidRDefault="0025129F" w:rsidP="0025129F">
      <w:pPr>
        <w:pStyle w:val="TextoNormal"/>
      </w:pPr>
    </w:p>
    <w:p w:rsidR="0025129F" w:rsidRDefault="0025129F" w:rsidP="0025129F">
      <w:pPr>
        <w:pStyle w:val="TextoNormal"/>
      </w:pPr>
      <w:r w:rsidRPr="0025129F">
        <w:rPr>
          <w:rStyle w:val="NumeroAFNegritaCaracter"/>
        </w:rPr>
        <w:t>10</w:t>
      </w:r>
      <w:r>
        <w:t>. Conviene, para analizar este alegato, profundizar en la naturaleza de la materia que constituye el contenido del Acuerdo tripartito impugnado, y del Acuerdo nacional sobre formación continua del que aquel trae causa. Pues bien, en el preámbulo de este Acuerdo interprofesional queda claro que las acciones formativas objeto del mismo se insertan en la relación de trabajo, partiendo de la premisa de que "los trabajadores tienen derecho a la promoción y formación profesional como medida incentivadora para su cualificación profesional", aludiéndose a continuación al artículo 22 del estatuto de los trabajadores que preveía el ejercicio de este derecho en términos concretos. Se trata, pues, de un desarrollo de las previsiones del estatuto de los trabajadores sobre la materia, singularmente respecto a la concesión de los permisos individuales de formación, como expresamente señala el preámbulo en su penúltimo párrafo. Esta finalidad aparece, por su parte, plasmada en el art. 1 de dicho Acuerdo nacional, que atribuye a las acciones formativas que desarrollen las empresas el designio de mejorar las competencias y cualificaciones de los trabajadores ocupados, así como su recualificación.</w:t>
      </w:r>
    </w:p>
    <w:p w:rsidR="0025129F" w:rsidRDefault="0025129F" w:rsidP="0025129F">
      <w:pPr>
        <w:pStyle w:val="TextoNormal"/>
      </w:pPr>
      <w:r>
        <w:t xml:space="preserve">Por su parte, el Acuerdo tripartito identifica la naturaleza de la materia regulada con este mismo alcance, y así su Preámbulo, en su quinto párrafo, señala que los compromisos de carácter bilateral entre las partes firmantes del Acuerdo nacional, a los que ahora presta apoyo financiero y colaboración el Gobierno en este segundo instrumento de concertación, </w:t>
      </w:r>
      <w:r>
        <w:lastRenderedPageBreak/>
        <w:t>"son los previstos en el Título III del Estatuto de los Trabajadores, con el fin de conseguir la adaptación profesional permanente a la innovación tecnológica, así como la formación y promoción social de los trabajadores en el horizonte temporal de la realización del mercado interior europeo".</w:t>
      </w:r>
    </w:p>
    <w:p w:rsidR="0025129F" w:rsidRDefault="0025129F" w:rsidP="0025129F">
      <w:pPr>
        <w:pStyle w:val="TextoNormal"/>
      </w:pPr>
      <w:r>
        <w:t>Así, pues, la materia concernida por los dos instrumentos aludidos se enmarca en el art. 35.1 CE, en relación con el art. 40.2 CE, dado que, desde el punto de vista de los beneficiarios de las acciones formativas, es decir, los trabajadores asalariados, se viene a dar efectividad al derecho que les asiste a la promoción a través del trabajo (reconocido en el art. 35.1), promoción que no puede desvincularse de la formación profesional permanente que mantenga su cualificación profesional a lo largo de su vida laboral, y que desde el punto de vista de los poderes públicos requieren una política de fomento, tal como exige el art. 40.2 del texto constitucional.</w:t>
      </w:r>
    </w:p>
    <w:p w:rsidR="0025129F" w:rsidRDefault="0025129F" w:rsidP="0025129F">
      <w:pPr>
        <w:pStyle w:val="TextoNormal"/>
      </w:pPr>
      <w:r>
        <w:t>No puede compartirse, por ello, la alegación de que al suscribir el Acuerdo tripartito, el Gobierno de la Nación instrumenta concretas medidas de política de empleo, pues no inscribe su acción en la directriz de política de estabilidad económica que le marca el art. 40.1 CE, de ejercitar una política "orientada al pleno empleo", sino que se sitúa, específicamente, desde la perspectiva constitucional, en la adopción de criterios o medidas que hagan efectivos los derechos del trabajador en el seno de la relación laboral (reconocidos en los arts. 4.2.b y 23 LET), tal como le exige el art. 40.2 CE, proporcionando a los trabajadores ocupados (la perspectiva finalista no es, por tanto, el desempleo) la adecuada formación profesional permanente o continua en tanto que medio idóneo para la promoción social de aquéllos y, si se quiere, para la conservación de su relación contractual laboral. Lo significativo no es, por tanto, la atención a los desempleados, y ello sin perjuicio de que, mediante la utilización de los institutos y técnicas propios de la legislación laboral, se pueda coadyuvar al mantenimiento del empleo de los trabajadores ya ocupados.</w:t>
      </w:r>
    </w:p>
    <w:p w:rsidR="0025129F" w:rsidRDefault="0025129F" w:rsidP="0025129F">
      <w:pPr>
        <w:pStyle w:val="TextoNormal"/>
      </w:pPr>
      <w:r>
        <w:t>La finalidad perseguida por el impugnado instrumento de concertación no es, pues, la de incidir en el mercado laboral desde criterios de política económica incentivadores del acceso al empleo, sino la de atender a un sector o subsistema de la formación profesional ocupacional, el de la formación permanente o continua de quienes ya tienen empleo, en orden a proporcionarles medios para su cualificación profesional y su adecuada promoción y permanencia en el seno de la relación laboral.</w:t>
      </w:r>
    </w:p>
    <w:p w:rsidR="0025129F" w:rsidRDefault="0025129F" w:rsidP="0025129F">
      <w:pPr>
        <w:pStyle w:val="TextoNormal"/>
      </w:pPr>
    </w:p>
    <w:p w:rsidR="0025129F" w:rsidRDefault="0025129F" w:rsidP="0025129F">
      <w:pPr>
        <w:pStyle w:val="TextoNormal"/>
      </w:pPr>
      <w:r w:rsidRPr="0025129F">
        <w:rPr>
          <w:rStyle w:val="NumeroAFNegritaCaracter"/>
        </w:rPr>
        <w:t>11</w:t>
      </w:r>
      <w:r>
        <w:t>. Con carácter complementario, el representante procesal del Gobierno sostiene, para justificar la competencia estatal sobre la materia que, con apoyo en el art. 11.2, in fine, EAC, el Estado se reserva todas las competencias cuando se trata de "fondos de ámbito nacional y de empleo, sin perjuicio de lo que establezcan las normas del Estado sobre estas materias", consagrando así -asevera- "la reserva de una competencia ejecutiva del Estado en relación con la política de empleo", con cita de nuestra STC 249/1988, de 20 de diciembre, concluyendo que no se produce menoscabo de la competencia autonómica reivindicada por cuanto la ejecución de la política de empleo es misión del Gobierno, que la lleva a cabo, como ente gestor, a través del Instituto Nacional de Empleo (INEM), según dispone el art. 3 de la Ley básica de empleo.</w:t>
      </w:r>
    </w:p>
    <w:p w:rsidR="0025129F" w:rsidRDefault="0025129F" w:rsidP="0025129F">
      <w:pPr>
        <w:pStyle w:val="TextoNormal"/>
      </w:pPr>
      <w:r>
        <w:t>Importa, ante todo, situar el precepto invocado en su contexto estatutario. La reserva plena o integral al Estado ("todas las competencias") contenida en el inciso final del mencionado precepto del Estatuto de Autonomía de Cataluña viene referida a dos núcleos de materias: las migraciones interiores y exteriores, de un lado, y los fondos de ámbito nacional y de empleo, de otro, y para ambos se condiciona dicha reserva competencial a lo que las propias normas estatales dispongan al efecto cuando regulen específicamente tales ma</w:t>
      </w:r>
      <w:r>
        <w:lastRenderedPageBreak/>
        <w:t>terias. En estos términos, que reproducen los demás Estatutos de Autonomía (salvo los del País Vasco, Andalucía y Canarias), los sectores materiales que, como excepción a la competencia autonómica de ejecución en materia de legislación laboral, son retenidos por el Estado en su integridad, atañen a ámbitos que desbordan los límites de lo que se viene entendiendo como régimen o materia laboral, siquiera guarden conexión con ésta, para incidir en sectores que requieren de los poderes públicos determinadas políticas de carácter socio-económico, ya sea para favorecer la colocación de trabajadores en los casos de desplazamientos de éstos (materia de competencia exclusiva del Estado en el caso de las migraciones exteriores, art. 149.1.2 CE), o bien se trate de movilizar recursos financieros destinados a regular el mercado laboral y el pleno empleo.  Se trata, por tanto, de medidas que inciden en el mercado de trabajo globalmente considerado, dando cumplimiento a la directriz contenida en el art.  40.1 in fine CE, y que tienen tras de sí el respaldo competencial del art.  149.1.13 CE, que atribuye al Estado la competencia exclusiva sobre bases y coordinación de la planificación general de la actividad económica. Así lo ha declarado la STC 249/1988, de 20 de diciembre, en un caso de delimitación competencial entre medidas de fomento del empleo y ejecución de la legislación laboral, en que considera a la reserva del párrafo final del art.  11.2 EAC como "reserva de una competencia ejecutiva del Estado en relación con la política de empleo".</w:t>
      </w:r>
    </w:p>
    <w:p w:rsidR="0025129F" w:rsidRDefault="0025129F" w:rsidP="0025129F">
      <w:pPr>
        <w:pStyle w:val="TextoNormal"/>
      </w:pPr>
      <w:r>
        <w:t>Teniendo, pues, presente esta perspectiva, en que se produce la autorrestricción estatutaria de la competencia de ejecución atribuida a la Generalidad de Cataluña, hemos de analizar si la materia aquí controvertida, y objeto tanto del Acuerdo nacional como del Acuerdo tripartito para la formación continua de los trabajadores ocupados, puede acogerse a la reserva de competencia estatal contenida en el segundo inciso del art.  11.2 EAC, tal como postula el Abogado del Estado.</w:t>
      </w:r>
    </w:p>
    <w:p w:rsidR="0025129F" w:rsidRDefault="0025129F" w:rsidP="0025129F">
      <w:pPr>
        <w:pStyle w:val="TextoNormal"/>
      </w:pPr>
    </w:p>
    <w:p w:rsidR="0025129F" w:rsidRDefault="0025129F" w:rsidP="0025129F">
      <w:pPr>
        <w:pStyle w:val="TextoNormal"/>
      </w:pPr>
      <w:r w:rsidRPr="0025129F">
        <w:rPr>
          <w:rStyle w:val="NumeroAFNegritaCaracter"/>
        </w:rPr>
        <w:t>12</w:t>
      </w:r>
      <w:r>
        <w:t>. Descartada la aplicación del primer núcleo de materias, las migraciones interiores y exteriores, sólo podría atraer la competencia reservada al Estado la calificación de la materia como un fondo de ámbito nacional o un fondo de empleo, conceptuación ésta última que invoca el representante procesal del Gobierno.</w:t>
      </w:r>
    </w:p>
    <w:p w:rsidR="0025129F" w:rsidRDefault="0025129F" w:rsidP="0025129F">
      <w:pPr>
        <w:pStyle w:val="TextoNormal"/>
      </w:pPr>
      <w:r>
        <w:t>Pues bien, conviene precisar que, en este caso, no se constituye una masa patrimonial para, dotándola de cierta sustantividad orgánica identificadora, financiar dichas acciones formativas, sino que las cuotas resultantes de aplicar el entonces vigente tipo de cotización del 0,70 por ciento, siguen siendo recaudadas por la Tesorería General de la Seguridad Social, y los fondos públicos procedentes del presupuesto del INEM son transferidos por este organismo en el porcentaje afectado al denominado "ente paritario estatal", es decir, al ente fundacional constituido por la representación de los trabajadores y de los empresarios, a la sazón denominado FORCEM, para su gestión y administración "en todos los aspectos", tal como disponen el acuerdo primero, apartado 2, y el acuerdo tercero, en su primer párrafo.</w:t>
      </w:r>
    </w:p>
    <w:p w:rsidR="0025129F" w:rsidRDefault="0025129F" w:rsidP="0025129F">
      <w:pPr>
        <w:pStyle w:val="TextoNormal"/>
      </w:pPr>
      <w:r>
        <w:t>Se trata, en consecuencia, de una dotación de recursos presupuestarios para financiar las acciones formativas acogidas al Acuerdo nacional sobre formación continua, sin que proceda equiparar toda dotación presupuestaria con un fondo de los aludidos por el art. 11.2 EAC. No nos hallamos, pues, ante la creación o constitución por el Estado de un fondo nacional laboral que venga a dejar sin efecto las competencias de ejecución de la legislación laboral estatutariamente asumidas por la Generalidad de Cataluña.</w:t>
      </w:r>
    </w:p>
    <w:p w:rsidR="0025129F" w:rsidRDefault="0025129F" w:rsidP="0025129F">
      <w:pPr>
        <w:pStyle w:val="TextoNormal"/>
      </w:pPr>
      <w:r>
        <w:t xml:space="preserve">Finalmente, hemos de recordar que la finalidad perseguida con la afectación de tales recursos presupuestarios, no se enmarca en la órbita de la política económica del Estado orientada al pleno empleo (art.  40.1 CE), sino que se circunscribe al concreto y limitado </w:t>
      </w:r>
      <w:r>
        <w:lastRenderedPageBreak/>
        <w:t>objetivo de hacer efectivo el derecho de los trabajadores con empleo a su formación y readaptación profesionales, lo que redundará en su derecho fundamental a la promoción a través del trabajo (art. 35.1 CE).</w:t>
      </w:r>
    </w:p>
    <w:p w:rsidR="0025129F" w:rsidRDefault="0025129F" w:rsidP="0025129F">
      <w:pPr>
        <w:pStyle w:val="TextoNormal"/>
      </w:pPr>
      <w:r>
        <w:t>Por ello, un diverso entendimiento de los fondos a que alude el art. 11.2, segundo inciso, EAC, conduciría a generalizar la excepción que viene a establecerse al reparto competencial contenido en el art. 149.1.7 CE, menoscabando así la competencia autonómica de ejecución que de este precepto constitucional resulta.</w:t>
      </w:r>
    </w:p>
    <w:p w:rsidR="0025129F" w:rsidRDefault="0025129F" w:rsidP="0025129F">
      <w:pPr>
        <w:pStyle w:val="TextoNormal"/>
      </w:pPr>
    </w:p>
    <w:p w:rsidR="0025129F" w:rsidRDefault="0025129F" w:rsidP="0025129F">
      <w:pPr>
        <w:pStyle w:val="TextoNormal"/>
      </w:pPr>
      <w:r w:rsidRPr="0025129F">
        <w:rPr>
          <w:rStyle w:val="NumeroAFNegritaCaracter"/>
        </w:rPr>
        <w:t>13</w:t>
      </w:r>
      <w:r>
        <w:t>. La conclusión así alcanzada queda reforzada si atendemos, para indagar el sentido del precepto estatutario, a la existencia en el Ordenamiento jurídico, coetáneo y posterior al EAC, de normas estatales reguladoras de concretos instrumentos jurídicos a los que se configura como "fondos" de ámbito nacional.</w:t>
      </w:r>
    </w:p>
    <w:p w:rsidR="0025129F" w:rsidRDefault="0025129F" w:rsidP="0025129F">
      <w:pPr>
        <w:pStyle w:val="TextoNormal"/>
      </w:pPr>
      <w:r>
        <w:t>En efecto, prescindiendo del antecedente más lejano de los "Fondos Nacionales para la Aplicación Social del Impuesto y del Ahorro", creados por Ley 45/1960, de 21 de julio, y entre los que se encontraba el denominado Fondo Nacional de Protección al Trabajo (dirigido a facilitar los movimientos migratorios interiores y exteriores de la mano de obra, y a conceder auxilios a los trabajadores que cesaran en su relación laboral a consecuencia de planes para una mayor racionalización del trabajo), y una vez suprimidos estos Fondos por la Ley 74/1980, de Presupuestos del Estado para 1981, la regulación temporalmente más cercana a la norma estatutaria, es la constituida por los llamados Fondos de Promoción del Empleo, creados por la Ley 27/1984, sobre reconversión y reindustrialización (art. 22), configurados como "asociaciones sin ánimo de lucro, con personalidad jurídica propia", asignándoseles -desde el punto de vista organizativo- el carácter de entidades colaboradoras del INEM (art. 2 del Real Decreto 335/1984). Su concreta creación se realiza, en cada caso, previa la declaración, mediante Real Decreto, de un concreto sector productivo en situación de reconversión industrial. De esta regulación se desprende que la dimensión concernida afecta al mercado laboral de concretos sectores productivos en crisis, y que los fondos públicos no se configuran como una masa patrimonial jurídicamente indiferenciada, sino como una persona jurídica de naturaleza asociativa que viene, de algún modo, a integrarse en la Administración del Estado.  Pues bien, estos mínimos rasgos identificadores no concurren en el mecanismo instrumentado para la financiación de la formación continua, pues ni su finalidad se orienta a incidir en determinados sectores productivos en crisis, ni se les atribuye personificación jurídica alguna vinculada o dependiente de la Administración del Estado.</w:t>
      </w:r>
    </w:p>
    <w:p w:rsidR="0025129F" w:rsidRDefault="0025129F" w:rsidP="0025129F">
      <w:pPr>
        <w:pStyle w:val="TextoNormal"/>
      </w:pPr>
      <w:r>
        <w:t>Finalmente, cabe aludir también al denominado Fondo de Solidaridad para el Empleo, creado por la Ley 50/1984, de 30 de diciembre, de Presupuestos Generales del Estado para 1985, cuya identificación y regulación como tal fondo para el empleo, se realizó mediante el Real Decreto 180/1985, de 13 de febrero, atribuyendo su administración y gestión a una "unidad administrativa del Ministerio de Trabajo y Seguridad Social".</w:t>
      </w:r>
    </w:p>
    <w:p w:rsidR="0025129F" w:rsidRDefault="0025129F" w:rsidP="0025129F">
      <w:pPr>
        <w:pStyle w:val="TextoNormal"/>
      </w:pPr>
      <w:r>
        <w:t>Pues bien, ninguno de los rasgos identificadores propios de estos fondos concurren en las acciones formativas cuya gestión encomienda el Gobierno a los interlocutores sociales, pues con independencia de que, como hemos señalado, no quepa identificar la asignación de recursos por vía de dotación presupuestaria con los controvertidos fondos, lo cierto es que, en este concreto caso, no se constata la existencia de una calificación formal como tales fondos respecto de las acciones formativas objeto de controversia. En consecuencia, no cabe identificar como fondo de ámbito nacional o de empleo la regulación sustantiva ni el dispositivo financiero para la formación continua contenidos en el Acuerdo tripartito sobre el que se traba la reivindicación competencial.</w:t>
      </w:r>
    </w:p>
    <w:p w:rsidR="0025129F" w:rsidRDefault="0025129F" w:rsidP="0025129F">
      <w:pPr>
        <w:pStyle w:val="TextoNormal"/>
      </w:pPr>
      <w:r>
        <w:lastRenderedPageBreak/>
        <w:t>Cabe, por otra parte, señalar que la inexistencia de estos rasgos se mantiene en las sucesivas Leyes estatales que se han referido a la materia (desde la Disposición adicional segunda de la Ley 21/1993, de 29 de diciembre, de Presupuestos Generales del Estado para 1994, hasta la Disposición adicional vigesimocuarta de la reciente Ley 23/2001, de 27 de diciembre, de Presupuestos Generales del Estado para 2002).</w:t>
      </w:r>
    </w:p>
    <w:p w:rsidR="0025129F" w:rsidRDefault="0025129F" w:rsidP="0025129F">
      <w:pPr>
        <w:pStyle w:val="TextoNormal"/>
      </w:pPr>
    </w:p>
    <w:p w:rsidR="0025129F" w:rsidRDefault="0025129F" w:rsidP="0025129F">
      <w:pPr>
        <w:pStyle w:val="TextoNormal"/>
      </w:pPr>
      <w:r w:rsidRPr="0025129F">
        <w:rPr>
          <w:rStyle w:val="NumeroAFNegritaCaracter"/>
        </w:rPr>
        <w:t>14</w:t>
      </w:r>
      <w:r>
        <w:t>. El núcleo de la reivindicación competencial ejercitada por el Consejo Ejecutivo de la Generalidad de Cataluña, como este órgano ya pusiera de manifiesto en el requerimiento previo, descansa en entender que mediante el denominado Acuerdo tripartito se ha operado un desgajamiento de la formación continua de los trabajadores ocupados del tronco común de la formación profesional ocupacional en el que aquella modalidad venía comprendida, para dotarle de sustantividad y autonomía tanto en el plano de la gestión como en el de su financiación, encomendando en su integridad ("en todos sus aspectos") la gestión del subsistema de formación continua o permanente a los denominados agentes o interlocutores sociales firmantes del Acuerdo nacional, a tal efecto constituidos paritariamente en un ente de ámbito estatal o nacional, que vino a adoptar la personificación jurídica de Fundación para la Formación Continua (FORCEM).</w:t>
      </w:r>
    </w:p>
    <w:p w:rsidR="0025129F" w:rsidRDefault="0025129F" w:rsidP="0025129F">
      <w:pPr>
        <w:pStyle w:val="TextoNormal"/>
      </w:pPr>
      <w:r>
        <w:t>Pues bien, así las cosas, hemos de recordar la doctrina constitucional en torno al alcance de las competencias asumidas por las Comunidades Autónomas en virtud de los traspasos de servicios operados por las Comisiones Mixtas, y formalizados mediante los oportunos Reales Decretos, conforme a la cual "la transferencia de servicios ha de hacerse necesariamente a través de los acuerdos de las Comisiones Mixtas, puesto que tal es el procedimiento previsto en los Estatutos de Autonomía en aplicación de lo dispuesto en el art. 147.2 d) de la Constitución, que requiere que los Estatutos contengan 'las bases para el traspaso de los servicios correspondientes a las mismas'. Tales acuerdos se plasman en los correspondientes Decretos y, en consecuencia, no puede alterarse su contenido mediante una intervención unilateral del legislador estatal. Hay, por así decirlo, una reserva procedimental para el traspaso de servicios que no puede ser desconocida" (STC 86/1989, de 11 de mayo, FJ 10, con cita de la STC 76/1983, de 5 de agosto). Siendo ello así, tal inalterabilidad ha de predicarse, con mayor razón, respecto de las intervenciones unilaterales efectuadas por el Ejecutivo, tal como la producida aquí por vía convencional a través del instrumento de concertación sobre el que se traba la vindicatio potestatis, y al que fue por completo ajena la Comunidad Autónoma promovente del conflicto.</w:t>
      </w:r>
    </w:p>
    <w:p w:rsidR="0025129F" w:rsidRDefault="0025129F" w:rsidP="0025129F">
      <w:pPr>
        <w:pStyle w:val="TextoNormal"/>
      </w:pPr>
      <w:r>
        <w:t xml:space="preserve">A este propósito, conviene tener en cuenta que la competencia ejecutiva reivindicada fue asumida por Cataluña mediante el acuerdo de la Comisión Mixta de 23 de septiembre de 1991 (plasmada en el Real Decreto 1577/1991, de 18 de octubre, de traspaso de funciones y servicios a la Generalidad de Cataluña), ampliada por ulterior acuerdo de dicha Comisión Mixta de 17 de diciembre de 1992, y Real Decreto 47/1993, de 15 de enero.  En el Anexo B) del primero de dichos Reales Decretos se traspasan a dicha Comunidad Autónoma, sin distinguir entre las diversas modalidades de formación profesional ocupacional (es decir, comprendiendo la formación continua de los trabajadores asalariados), las funciones en materia de gestión de la formación profesional ocupacional que viene realizando el Instituto Nacional de Empleo, asumiendo de tal modo la Generalidad, dentro de su ámbito territorial, concretas funciones en dicho ámbito tales como: la titularidad de los centros de formación profesional ocupacional del INEM en el ámbito territorial de Cataluña, salvo dos centros que se reserva el Estado en su condición de centros nacionales; la elaboración, aprobación y ejecución de programas de inversiones; el seguimiento de la formación profesional ocupacional en Cataluña; la gestión de un Registro de centros y entidades </w:t>
      </w:r>
      <w:r>
        <w:lastRenderedPageBreak/>
        <w:t>colaboradoras y, asimismo, "la ejecución del Plan Nacional de Formación e Inserción Profesional, o norma que le sustituya, cuya aprobación corresponde al Gobierno", comprendiendo dicha ejecución "la programación, organización, gestión, control administrativo e inspección técnica de las acciones formativas, de acuerdo con el Plan Nacional de Formación e Inserción Profesional", entre otras actividades para la gestión de este Plan y que se enumeran en el apartado 1 del Anexo B) antes citado.</w:t>
      </w:r>
    </w:p>
    <w:p w:rsidR="0025129F" w:rsidRDefault="0025129F" w:rsidP="0025129F">
      <w:pPr>
        <w:pStyle w:val="TextoNormal"/>
      </w:pPr>
    </w:p>
    <w:p w:rsidR="0025129F" w:rsidRDefault="0025129F" w:rsidP="0025129F">
      <w:pPr>
        <w:pStyle w:val="TextoNormal"/>
      </w:pPr>
      <w:r w:rsidRPr="0025129F">
        <w:rPr>
          <w:rStyle w:val="NumeroAFNegritaCaracter"/>
        </w:rPr>
        <w:t>15</w:t>
      </w:r>
      <w:r>
        <w:t>. Pues bien, al aprobarse por Real Decreto 1618/1990, de 14 de diciembre, el Plan nacional de formación e inserción profesional, las competencias así asumidas por Cataluña, incluida la formación continua, siguieron atribuidas a esta Comunidad Autónoma, a diferencia de lo que aconteció con ocasión del siguiente Plan nacional, aprobado mediante Real Decreto 631/1993, de 3 de mayo (de fecha posterior al Acuerdo nacional y al Acuerdo tripartito de constante referencia), en el que, no obstante partir del dato, como se reconoce en su Preámbulo, del "proceso de traspaso de la gestión de la formación ocupacional a las Comunidades Autónomas", y de proclamar también que la regulación se realiza "sin menoscabo alguno de las competencias de gestión asumidas por las Comunidades Autónomas en materia de formación ocupacional", lo cierto es que se produce una reordenación de las acciones formativas, en tanto que ahora se encuentran orientadas a la reinserción profesional de la población laboral en paro, lo que halla justificación, según también señala el preámbulo, en que están "asegurados mecanismos complementarios para el reciclaje profesional de los trabajadores ocupados, a través del Acuerdo Nacional sobre Formación Continua, firmado por CEOE, CEPYME, UGT y CC.OO., y el complementario Acuerdo Tripartito sobre 'Formación Continua, firmado por las anteriores organizaciones y el Ministro de Trabajo y Seguridad Social'", siendo ello consecuencia del apartado quinto del referido Acuerdo tripartito, en tanto establece que "el Gobierno y las organizaciones firmantes convienen en la necesidad de modificar el actual marco normativo de la Formación Profesional Ocupacional, limitándose ésta en su gestión pública a la atención de la población desempleada. En consecuencia, el Gobierno se compromete a derogar y sustituir el Real Decreto 1618/1990, de 14 de diciembre, por el que se regula el Plan Nacional de Formación e Inserción Profesional, acomodando su ordenación y normativa de desarrollo a las líneas competenciales indicadas".</w:t>
      </w:r>
    </w:p>
    <w:p w:rsidR="0025129F" w:rsidRDefault="0025129F" w:rsidP="0025129F">
      <w:pPr>
        <w:pStyle w:val="TextoNormal"/>
      </w:pPr>
      <w:r>
        <w:t>Se viene de tal modo a desapoderar a la Generalidad de Cataluña de la competencia ejecutiva en materia de formación continua de los trabajadores ocupados, dentro de su ámbito territorial, al sustituirse el sistema de gestión pública de esta modalidad formativa que venía rigiendo en la materia, y sobre el que se había operado el traspaso de servicios y consiguiente asunción de la competencia estatutaria, por un sistema de gestión centralizada encomendado en su integridad a los interlocutores sociales integrados en el ente paritario estatal, y en cuya gestión no participa en modo alguno la Administración autonómica. Ha de añadirse que esta reordenación del subsistema de formación continua se realiza sobre el soporte material de la red de centros de formación profesional de titularidad pública autonómica, en virtud del traspaso de servicios realizado, y del constituido por el personal transferido en su condición de adscrito a los servicios en su día traspasados, como lo pone de relieve el apartado cuarto del Acuerdo tripartito al aludir a la firma de convenios de colaboración "para la utilización de centros públicos de formación, medios didácticos, así como de la información derivada de los Estudios Sectoriales, del Observatorio Permanente de evolución de las Ocupaciones y de los Centros Nacionales de Formación Profesional".</w:t>
      </w:r>
    </w:p>
    <w:p w:rsidR="0025129F" w:rsidRDefault="0025129F" w:rsidP="0025129F">
      <w:pPr>
        <w:pStyle w:val="TextoNormal"/>
      </w:pPr>
      <w:r>
        <w:t xml:space="preserve">Ello viene a poner de manifiesto el anómalo resultado de la alteración competencial producida que menoscaba, en los términos generales que ahora consideramos, la función </w:t>
      </w:r>
      <w:r>
        <w:lastRenderedPageBreak/>
        <w:t>ejecutiva atribuida a la Comunidad Autónoma promovente del conflicto por el orden constitucional de distribución de competencias (art. 149.17 CE y art. 11.2 EAC), y asumida por aquélla en los términos expuestos.</w:t>
      </w:r>
    </w:p>
    <w:p w:rsidR="0025129F" w:rsidRDefault="0025129F" w:rsidP="0025129F">
      <w:pPr>
        <w:pStyle w:val="TextoNormal"/>
      </w:pPr>
    </w:p>
    <w:p w:rsidR="0025129F" w:rsidRDefault="0025129F" w:rsidP="0025129F">
      <w:pPr>
        <w:pStyle w:val="TextoNormal"/>
      </w:pPr>
      <w:r w:rsidRPr="0025129F">
        <w:rPr>
          <w:rStyle w:val="NumeroAFNegritaCaracter"/>
        </w:rPr>
        <w:t>16</w:t>
      </w:r>
      <w:r>
        <w:t>. Llegados a este punto, procede ahora examinar en detalle si las determinaciones del Acuerdo tripartito a las que se circunscribe la reivindicación competencial, implican o no la invasión competencial denunciada mediante la promoción de este proceso conflictual, menoscabando así la función ejecutiva, constitucional y estatutariamente atribuida a la Comunidad Autónoma, en la materia de formación continua de los trabajadores ocupados.</w:t>
      </w:r>
    </w:p>
    <w:p w:rsidR="0025129F" w:rsidRDefault="0025129F" w:rsidP="0025129F">
      <w:pPr>
        <w:pStyle w:val="TextoNormal"/>
      </w:pPr>
      <w:r>
        <w:t>Entrando ya a analizar, de acuerdo con las premisas expuestas, el apartado tercero del Acuerdo tripartito, en el que se concretan las reivindicaciones de carácter competencial formuladas por la Generalidad de Cataluña, distinguiremos en nuestro examen los dos aspectos que se controvierten: la atribución a los agentes sociales de la gestión del sistema ya transferido, bajo la tutela de la Administración estatal, de una parte; y la asignación de la financiación necesaria, incluyendo el control financiero del Estado, de otra.</w:t>
      </w:r>
    </w:p>
    <w:p w:rsidR="0025129F" w:rsidRDefault="0025129F" w:rsidP="0025129F">
      <w:pPr>
        <w:pStyle w:val="TextoNormal"/>
      </w:pPr>
      <w:r>
        <w:t>Pues bien, comenzando por el relativo a la gestión de las acciones formativas, debemos examinar, a su vez, dos cuestiones: las funciones que se atribuyen a los interlocutores sociales en el apartado tercero, párrafo primero, de un lado, y las atribuciones del ente paritario estatal que figuran en el párrafo segundo del mismo, de otro.</w:t>
      </w:r>
    </w:p>
    <w:p w:rsidR="0025129F" w:rsidRDefault="0025129F" w:rsidP="0025129F">
      <w:pPr>
        <w:pStyle w:val="TextoNormal"/>
      </w:pPr>
      <w:r>
        <w:t>En el apartado tercero, primer párrafo, se establece que "el Gobierno y las organizaciones firmantes convienen en que todos los aspectos relativos a la organización, gestión, distribución de fondos o, en su caso, ejecución de las acciones formativas y justificación de las mismas corresponden a los interlocutores sociales a través de los correspondientes entes de composición paritaria".</w:t>
      </w:r>
    </w:p>
    <w:p w:rsidR="0025129F" w:rsidRDefault="0025129F" w:rsidP="0025129F">
      <w:pPr>
        <w:pStyle w:val="TextoNormal"/>
      </w:pPr>
      <w:r>
        <w:t>Del párrafo reproducido se deriva, de modo inequívoco, la exclusión de la Generalidad de Cataluña de toda intervención en la aplicación de las medidas de "formación continua" que se desarrollen en su territorio.  Debemos incidir en la naturaleza de las acciones formativas que se prevén para apreciar si tal exclusión está justificada. Excluiremos ahora del análisis, por requerir una valoración específica, lo relativo a la "distribución de fondos" necesarios para financiar el Plan, posponiéndolo para una ulterior consideración.</w:t>
      </w:r>
    </w:p>
    <w:p w:rsidR="0025129F" w:rsidRDefault="0025129F" w:rsidP="0025129F">
      <w:pPr>
        <w:pStyle w:val="TextoNormal"/>
      </w:pPr>
      <w:r>
        <w:t>De acuerdo con el apartado primero, existen tres modalidades de acciones de formación: planes de empresa, presentados por empresas de más de 200 trabajadores; planes agrupados de ámbito sectorial o intersectorial, dirigidos a dos o más empresas que en conjunto ocupen, al menos, 200 trabajadores, y permisos individuales de formación.</w:t>
      </w:r>
    </w:p>
    <w:p w:rsidR="0025129F" w:rsidRDefault="0025129F" w:rsidP="0025129F">
      <w:pPr>
        <w:pStyle w:val="TextoNormal"/>
      </w:pPr>
      <w:r>
        <w:t>Debe tenerse en cuenta que, como ya hemos expuesto, según el apartado cuarto, el Gobierno apoya esas acciones formativas mediante los siguientes instrumentos: utilización de centros públicos de formación; medios didácticos; información derivada de estudios sectoriales; el observatorio permanente de evolución de las ocupaciones, y los centros nacionales de formación profesional.</w:t>
      </w:r>
    </w:p>
    <w:p w:rsidR="0025129F" w:rsidRDefault="0025129F" w:rsidP="0025129F">
      <w:pPr>
        <w:pStyle w:val="TextoNormal"/>
      </w:pPr>
      <w:r>
        <w:t xml:space="preserve">Pues bien, en cuanto a las modalidades de acción formativa, es claro que las empresas de más de 200 trabajadores radicadas en Cataluña o las empresas que agrupen conjuntamente, al menos, dicha cifra y se localicen en su ámbito territorial, pueden participar en los correspondientes planes de empresa o planes agrupados, sin que exista obstáculo alguno para su eficaz organización y gestión por la Generalidad. Habida cuenta de que han de utilizarse a tal fin los centros públicos de formación, como se ha dicho, y la Generalidad de Cataluña ha recibido ya la "titularidad de los Centros de Formación Profesional Ocupacional del Instituto Nacional de Empleo, tanto los de carácter fijo como las unidades </w:t>
      </w:r>
      <w:r>
        <w:lastRenderedPageBreak/>
        <w:t>de acción formativa y los equipos móviles en el ámbito territorial de Cataluña, salvo dos Centros ... que tendrán la condición de Centros Nacionales, cuya titularidad se reserva el Estado" (apartado B.2 del Anexo del citado Real Decreto 1577/1991), ningún obstáculo puede existir para que la Comunidad Autónoma organice en sus centros las actividades formativas, ni tampoco para que proporcione los medios didácticos necesarios para ello, o realice los estudios sectoriales que proporcionen la información necesaria para la eficacia de dichas medidas.</w:t>
      </w:r>
    </w:p>
    <w:p w:rsidR="0025129F" w:rsidRDefault="0025129F" w:rsidP="0025129F">
      <w:pPr>
        <w:pStyle w:val="TextoNormal"/>
      </w:pPr>
      <w:r>
        <w:t>No corresponde, en fin, a este Tribunal establecer criterios sobre cuáles han de ser las modalidades organizativas y de gestión de los planes de empresa o de los planes agrupados que, por su dimensión supraterritorial u otros motivos, determinen la imposibilidad de su gestión por la Generalidad de Cataluña. Ha de ser, pues, el Estado, a quien incumbe la ordenación de esta actividad, quien delimite unos supuestos de otros y decida aquéllos en que, por exceder de la competencia autonómica, la gestión o ejecución de las acciones formativas no corresponda a la Comunidad Autónoma de Cataluña.</w:t>
      </w:r>
    </w:p>
    <w:p w:rsidR="0025129F" w:rsidRDefault="0025129F" w:rsidP="0025129F">
      <w:pPr>
        <w:pStyle w:val="TextoNormal"/>
      </w:pPr>
      <w:r>
        <w:t>Cuanto acaba de señalarse respecto de las empresas radicadas en Cataluña, cobra aún mayor relieve cuando se trata de la tercera modalidad formativa prevista en el apartado primero del Acuerdo tripartito, es decir, de los permisos individuales de formación, pues lo normal habrá de ser que se realicen en centros radicados en Cataluña, si bien en ocasiones pudiera justificarse su eventual desplazamiento a centros localizados en otra Comunidad Autónoma, cumpliéndose, también aquí, lo ya dicho respecto a los límites de este Tribunal en su acción juzgadora.</w:t>
      </w:r>
    </w:p>
    <w:p w:rsidR="0025129F" w:rsidRDefault="0025129F" w:rsidP="0025129F">
      <w:pPr>
        <w:pStyle w:val="TextoNormal"/>
      </w:pPr>
      <w:r>
        <w:t>En conclusión, por todo lo expuesto, el primer párrafo en su inciso inicial, del apartado tercero del Acuerdo Tripartito vulnera las competencias de la Generalidad de Cataluña sobre la ejecución de la legislación laboral, en la medida en que atribuye a las organizaciones sociales firmantes "todos los aspectos" de organización y gestión de las medidas de formación continua, con exclusión de las ya transferidas que corresponden a la Comunidad Autónoma promovente del conflicto.</w:t>
      </w:r>
    </w:p>
    <w:p w:rsidR="0025129F" w:rsidRDefault="0025129F" w:rsidP="0025129F">
      <w:pPr>
        <w:pStyle w:val="TextoNormal"/>
      </w:pPr>
    </w:p>
    <w:p w:rsidR="0025129F" w:rsidRDefault="0025129F" w:rsidP="0025129F">
      <w:pPr>
        <w:pStyle w:val="TextoNormal"/>
      </w:pPr>
      <w:r w:rsidRPr="0025129F">
        <w:rPr>
          <w:rStyle w:val="NumeroAFNegritaCaracter"/>
        </w:rPr>
        <w:t>17</w:t>
      </w:r>
      <w:r>
        <w:t>. El segundo párrafo del apartado tercero del Acuerdo tripartito atribuye al ente paritario estatal determinadas funciones que debemos valorar, a fin de decidir si vulneran o no las competencias de la Generalidad de Cataluña.</w:t>
      </w:r>
    </w:p>
    <w:p w:rsidR="0025129F" w:rsidRDefault="0025129F" w:rsidP="0025129F">
      <w:pPr>
        <w:pStyle w:val="TextoNormal"/>
      </w:pPr>
      <w:r>
        <w:t>Hemos de señalar que si bien el ente paritario de ámbito estatal no se encuentra completamente perfilado en el Acuerdo tripartito en cuanto a su organización y funciones, sí se infiere que integra, en paridad, a representantes de las organizaciones empresariales y sindicales firmantes y que después cristalizó en la Fundación para la Formación Continua (FORCEM). Sobre esta base hemos de examinar las atribuciones que se le asignan, y que son las siguientes:</w:t>
      </w:r>
    </w:p>
    <w:p w:rsidR="0025129F" w:rsidRDefault="0025129F" w:rsidP="0025129F">
      <w:pPr>
        <w:pStyle w:val="TextoNormal"/>
      </w:pPr>
      <w:r>
        <w:t>a) La función de "impulsar la inclusión de los criterios orientativos para la elaboración de los Planes de Formación, tanto de empresas como agrupados".</w:t>
      </w:r>
    </w:p>
    <w:p w:rsidR="0025129F" w:rsidRDefault="0025129F" w:rsidP="0025129F">
      <w:pPr>
        <w:pStyle w:val="TextoNormal"/>
      </w:pPr>
      <w:r>
        <w:t>Esta actividad no menoscaba ni invade, en principio, por su propio enunciado, la competencia autonómica, pues tal función de impulso no supone en sí misma ninguna imposición sobre el contenido concreto de dichos Planes.</w:t>
      </w:r>
    </w:p>
    <w:p w:rsidR="0025129F" w:rsidRDefault="0025129F" w:rsidP="0025129F">
      <w:pPr>
        <w:pStyle w:val="TextoNormal"/>
      </w:pPr>
      <w:r>
        <w:t>b) El establecimiento de "un adecuado sistema de contabilidad de todos los gastos realizados", con separación de los correspondientes a gestión y evaluación de las acciones formativas.</w:t>
      </w:r>
    </w:p>
    <w:p w:rsidR="0025129F" w:rsidRDefault="0025129F" w:rsidP="0025129F">
      <w:pPr>
        <w:pStyle w:val="TextoNormal"/>
      </w:pPr>
      <w:r>
        <w:t xml:space="preserve">Esta función vulnera la competencia de la Generalidad de Cataluña sobre aquellas acciones formativas que le corresponda gestionar, puesto que el referido sistema de contabilidad se incluye en la gestión misma de dichas acciones. Por tanto, teniendo en cuenta que </w:t>
      </w:r>
      <w:r>
        <w:lastRenderedPageBreak/>
        <w:t>la función se concibe con absoluta generalidad, y no distingue entre las medidas de competencia autonómica y las que puedan no serlo, infringe el orden constitucional de competencias.</w:t>
      </w:r>
    </w:p>
    <w:p w:rsidR="0025129F" w:rsidRDefault="0025129F" w:rsidP="0025129F">
      <w:pPr>
        <w:pStyle w:val="TextoNormal"/>
      </w:pPr>
      <w:r>
        <w:t>c) La elevación a la Comisión Tripartita Nacional de "un informe anual sobre los resultados de aplicación del Acuerdo Nacional".</w:t>
      </w:r>
    </w:p>
    <w:p w:rsidR="0025129F" w:rsidRDefault="0025129F" w:rsidP="0025129F">
      <w:pPr>
        <w:pStyle w:val="TextoNormal"/>
      </w:pPr>
      <w:r>
        <w:t>Esta función tampoco conlleva vulneración alguna de las competencias autonómicas, pues dicho informe habrá de elaborarse a partir de los datos que proporcionen los responsables de la gestión de cada tipo de acción formativa y, por ello, de los que suministre la propia Generalidad acerca de las que sean de su competencia. La agregación de esa información y la elaboración de un informe anual de carácter nacional es plenamente respetuosa de las competencias autonómicas de gestión que se controvierten.</w:t>
      </w:r>
    </w:p>
    <w:p w:rsidR="0025129F" w:rsidRDefault="0025129F" w:rsidP="0025129F">
      <w:pPr>
        <w:pStyle w:val="TextoNormal"/>
      </w:pPr>
      <w:r>
        <w:t>d) En cuanto a las dos últimas funciones previstas en el segundo párrafo del apartado tercero, la puesta "a disposición de la Intervención General del Estado con cargo a la subvención recibida para la realización del correspondiente control financiero" y la recepción de "recursos de los fondos estructurales y comunitarios destinados a formación de ocupados y justificar la debida aplicación de los mismos", serán examinados específicamente a continuación junto con la función hasta ahora no analizada del párrafo primero del apartado tercero, esto es, la "distribución de fondos" a los interlocutores sociales, pues todas ellas plantean una problemática común.</w:t>
      </w:r>
    </w:p>
    <w:p w:rsidR="0025129F" w:rsidRDefault="0025129F" w:rsidP="0025129F">
      <w:pPr>
        <w:pStyle w:val="TextoNormal"/>
      </w:pPr>
    </w:p>
    <w:p w:rsidR="0025129F" w:rsidRDefault="0025129F" w:rsidP="0025129F">
      <w:pPr>
        <w:pStyle w:val="TextoNormal"/>
      </w:pPr>
      <w:r w:rsidRPr="0025129F">
        <w:rPr>
          <w:rStyle w:val="NumeroAFNegritaCaracter"/>
        </w:rPr>
        <w:t>18</w:t>
      </w:r>
      <w:r>
        <w:t>. Corresponde ahora examinar los aspectos de la gestión o ejecución del Acuerdo tripartito vinculados a la financiación de las actuaciones de "formación continua". Como adelantábamos en el fundamento jurídico 4, se debaten determinados aspectos concretos, a cuyo análisis procedemos seguidamente.</w:t>
      </w:r>
    </w:p>
    <w:p w:rsidR="0025129F" w:rsidRDefault="0025129F" w:rsidP="0025129F">
      <w:pPr>
        <w:pStyle w:val="TextoNormal"/>
      </w:pPr>
      <w:r>
        <w:t>En lo relativo a la entrega a los interlocutores sociales de las subvenciones destinadas a financiar las acciones de "formación continua", es necesario tener en cuenta la reiterada doctrina de este Tribunal que ha recaído en relación con las subvenciones de muy diversa naturaleza que se enderezan a la puesta en práctica de políticas concretas, doctrina que ha sido objeto de recapitulación en la STC 13/1992, de 6 de febrero.</w:t>
      </w:r>
    </w:p>
    <w:p w:rsidR="0025129F" w:rsidRDefault="0025129F" w:rsidP="0025129F">
      <w:pPr>
        <w:pStyle w:val="TextoNormal"/>
      </w:pPr>
      <w:r>
        <w:t>En este sentido, "la determinación sustancial de esta doctrina es que el poder de gasto del Estado no puede concretarse y ejercerse al margen del sistema constitucional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puede dar lugar la actividad de financiación (STC 39/1982, 144/1985, 179/1985 y 146/1986) al no ser la facultad de gasto público en manos del Estado título competencial autónomo (SSTC 179/1985, 145/1989) (STC 13/1992, FJ 4)" (STC 128/1999, de 1 de julio, FJ 3).</w:t>
      </w:r>
    </w:p>
    <w:p w:rsidR="0025129F" w:rsidRDefault="0025129F" w:rsidP="0025129F">
      <w:pPr>
        <w:pStyle w:val="TextoNormal"/>
      </w:pPr>
      <w:r>
        <w:t xml:space="preserve">A partir de este planteamiento general, la STC 13/1992 recogía cuatro supuestos de delimitación competencial a los que pudieran reconducirse los distintos supuestos de regulación subvencional. En este conflicto, en que las subvenciones son incardinables en la materia "laboral", en la que al Estado le corresponde la competencia de "legislación" y a la Generalidad de Cataluña la de "ejecución" de dicha legislación, resulta de aplicación, en principio, el tercero de los supuestos de aquella resolución, que opera cuando "el Estado tiene atribuida la competencia de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w:t>
      </w:r>
      <w:r>
        <w:lastRenderedPageBreak/>
        <w:t>potestad autonómica de autoorganización de los servicios".  Por tanto,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FJ 8).</w:t>
      </w:r>
    </w:p>
    <w:p w:rsidR="0025129F" w:rsidRDefault="0025129F" w:rsidP="0025129F">
      <w:pPr>
        <w:pStyle w:val="TextoNormal"/>
      </w:pPr>
      <w:r>
        <w:t>Este fue el planteamiento que se siguió para el ejercicio económico de 1992, según se desprende del Acuerdo del Consejo de Ministros, en su reunión del día 5 de junio de 1992, que figura como documento incorporado a la demanda, por el que se determinan los criterios objetivos de asignación a la Comunidad Autónoma de Cataluña de los créditos correspondientes a la gestión de las subvenciones en materia de formación profesional ocupacional.</w:t>
      </w:r>
    </w:p>
    <w:p w:rsidR="0025129F" w:rsidRDefault="0025129F" w:rsidP="0025129F">
      <w:pPr>
        <w:pStyle w:val="TextoNormal"/>
      </w:pPr>
      <w:r>
        <w:t>En consecuencia, y dado que el Acuerdo tripartito, en su apartado primero, 2, establece que "el Instituto Nacional de Empleo transferirá al Ente Paritario Estatal, que las partes firmantes del Acuerdo Nacional sobre Formación Continua constituyan y designen, las cantidades correspondientes al citado 0,10 por ciento de la cuota de Formación Profesional", lo que guarda directa relación con el apartado tercero, primer párrafo, excluyente de la posibilidad de supuestos de gestión autonómica, y por el que se atribuye a los agentes sociales la distribución de todos los recursos, hemos de concluir que estas determinaciones vulneran el orden constitucional de distribución de competencias, al invadir las que ostenta la Generalidad de Cataluña en materia de "ejecución de la legislación laboral".</w:t>
      </w:r>
    </w:p>
    <w:p w:rsidR="0025129F" w:rsidRDefault="0025129F" w:rsidP="0025129F">
      <w:pPr>
        <w:pStyle w:val="TextoNormal"/>
      </w:pPr>
      <w:r>
        <w:t>Esta conclusión es extensiva, de modo singular, a la cláusula o determinación contenida en el párrafo segundo del apartado tercero del Acuerdo tripartito, que señala como función propia del ente paritario estatal la de "poner a disposición de la Intervención General del Estado la liquidación de los gastos efectuados con cargo a la subvención recibida para la realización del correspondiente control financiero". En efecto, puesto que los fondos subvencionales son transferidos en su integridad a los agentes sociales, todos ellos serán fiscalizados según lo expuesto, lo que infringe el orden constitucional de competencias, ya que según nuestra doctrina "el control financiero de la Intervención General del Estado sólo es propio de las subvenciones que corresponda controlar al Estado, según se prevé en los arts. 81.1 y 5 d) de la misma Ley general presupuestaria", de modo que "el control financiero de la Intervención General del Estado sólo puede ejercerse hasta el momento en que los créditos presupuestarios destinados a estas subvenciones sean librados a las Comunidades Autónomas, según dispone el art. 153.2.6 de la Ley general presupuestaria" [STC 190/2000, de 13 de julio, FJ 11 h)].</w:t>
      </w:r>
    </w:p>
    <w:p w:rsidR="0025129F" w:rsidRDefault="0025129F" w:rsidP="0025129F">
      <w:pPr>
        <w:pStyle w:val="TextoNormal"/>
      </w:pPr>
      <w:r>
        <w:t>Lo propio ocurre con la función atribuida al ente paritario estatal de "recibir recursos de los fondos estructurales comunitarios destinados a formación de ocupados", que se contiene en el párrafo segundo, del apartado tercero del Acuerdo tripartito, ya que "las normas para resolver este conflicto habrán de ser exclusivamente las de Derecho interno que establecen el orden de distribución de competencias entre el Estado y las Comunidades Autónomas, ya que como este Tribunal ha declarado en anteriores ocasiones (SSTC 252/1988, 64/1991, 76/1991, 115/1991 y 236/19991),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(STC 79/1992, F J 1)" [STC 128/1999, de 1 de julio, FJ 7 c)].</w:t>
      </w:r>
    </w:p>
    <w:p w:rsidR="0025129F" w:rsidRDefault="0025129F" w:rsidP="0025129F">
      <w:pPr>
        <w:pStyle w:val="TextoNormal"/>
      </w:pPr>
    </w:p>
    <w:p w:rsidR="0025129F" w:rsidRDefault="0025129F" w:rsidP="0025129F">
      <w:pPr>
        <w:pStyle w:val="TextoNormal"/>
      </w:pPr>
      <w:r w:rsidRPr="0025129F">
        <w:rPr>
          <w:rStyle w:val="NumeroAFNegritaCaracter"/>
        </w:rPr>
        <w:t>19</w:t>
      </w:r>
      <w:r>
        <w:t>. Procede abordar ahora el examen del recurso de inconstitucionalidad promovido por el Consejo Ejecutivo de la Generalidad de Cataluña en relación con la Disposición adicional vigesimotercera de la Ley 39/1992, de Presupuestos Generales del Estado para el ejercicio de 1993. Como antes avanzábamos, este recurso presenta una dimensión competencial coincidente con la del conflicto positivo de competencia núm. 1176/93 que acabamos de analizar, y otra relativa a la vulneración de los preceptos constitucionales relativos a igualdad, libertad sindical, libertad de asociación y pluralismo, con expresa invocación de los arts. 1, 7, 22 y 28 CE.</w:t>
      </w:r>
    </w:p>
    <w:p w:rsidR="0025129F" w:rsidRDefault="0025129F" w:rsidP="0025129F">
      <w:pPr>
        <w:pStyle w:val="TextoNormal"/>
      </w:pPr>
      <w:r>
        <w:t>Conviene, ante todo, transcribir la Disposición adicional impugnada, según la cual:</w:t>
      </w:r>
    </w:p>
    <w:p w:rsidR="0025129F" w:rsidRDefault="0025129F" w:rsidP="0025129F">
      <w:pPr>
        <w:pStyle w:val="TextoNormal"/>
      </w:pPr>
      <w:r>
        <w:t>"De la cotización a Formación Profesional a que se refiere el art. 98, ocho, 2.3, de esta ley, la cuantía que resulte de aplicar a la base de dicha contingencia un 0,1 por ciento se afectará a la financiación de acciones formativas acogidas al Acuerdo Nacional sobre Formación Continua.</w:t>
      </w:r>
    </w:p>
    <w:p w:rsidR="0025129F" w:rsidRDefault="0025129F" w:rsidP="0025129F">
      <w:pPr>
        <w:pStyle w:val="TextoNormal"/>
      </w:pPr>
      <w:r>
        <w:t>El importe de la citada cantidad, que figura en el presupuesto del Instituto Nacional de Empleo, se pondrá a disposición del Ente Paritario de ámbito estatal de las representaciones sindicales y empresariales, dotado de personalidad jurídica, que las partes firmantes del Acuerdo designen."</w:t>
      </w:r>
    </w:p>
    <w:p w:rsidR="0025129F" w:rsidRDefault="0025129F" w:rsidP="0025129F">
      <w:pPr>
        <w:pStyle w:val="TextoNormal"/>
      </w:pPr>
      <w:r>
        <w:t>Esta previsión es sustancialmente reproducida por la Disposición adicional segunda de la Ley 21/1993, de 29 de diciembre, de Presupuestos Generales del Estado para 1994, si bien señala como ente destinatario de la dotación económica a la "Fundación para la Formación Continua" (FORCEM), creada al amparo del Acuerdo nacional sobre formación continua.</w:t>
      </w:r>
    </w:p>
    <w:p w:rsidR="0025129F" w:rsidRDefault="0025129F" w:rsidP="0025129F">
      <w:pPr>
        <w:pStyle w:val="TextoNormal"/>
      </w:pPr>
      <w:r>
        <w:t>Pues bien, pasando a examinar en primer lugar los reproches de orden competencial, debemos dejar sentado que, puesto que los mismos se refieren exclusivamente a los aspectos aplicativos o de ejecución, es claro que el primer párrafo de la Disposición adicional vigesimotercera no implica vulneración alguna de las competencias de la Generalidad de Cataluña, puesto que la previsión contenida en el mismo de que quede afectado un 0'1 por ciento de la base de cotización a formación profesional a la financiación de acciones formativas acogidas al Acuerdo nacional de formación continua se inscribe en el ámbito de lo normativo en materia laboral, que está reservado al Estado por el art. 149.1.7 CE; y la Generalidad de Cataluña admite expresamente en su demanda que aquél pueda elaborar libremente sus presupuestos, destinando más recursos a aquellas acciones que considere prioritarias, de modo que considera legítimo que el Estado pueda ampliar o reducir las cantidades destinadas a la formación profesional.</w:t>
      </w:r>
    </w:p>
    <w:p w:rsidR="0025129F" w:rsidRDefault="0025129F" w:rsidP="0025129F">
      <w:pPr>
        <w:pStyle w:val="TextoNormal"/>
      </w:pPr>
      <w:r>
        <w:t>La reivindicación competencial se circunscribe, por tanto, al segundo párrafo de la mencionada Disposición adicional, es decir, impugna el criterio de que la referida financiación se ponga a disposición del ente paritario de ámbito estatal de las representaciones sindicales y empresariales.</w:t>
      </w:r>
    </w:p>
    <w:p w:rsidR="0025129F" w:rsidRDefault="0025129F" w:rsidP="0025129F">
      <w:pPr>
        <w:pStyle w:val="TextoNormal"/>
      </w:pPr>
      <w:r>
        <w:t xml:space="preserve">Hemos de tener en cuenta que el precepto objeto de impugnación no es sino la traducción presupuestaria del soporte financiero de las acciones formativas acogidas al sistema de formación continua de los trabajadores ocupados, que trae causa del Acuerdo interprofesional sobre la materia y el subsiguiente Acuerdo tripartito, en el que participó el Gobierno de la Nación, por el que se determina la puesta a disposición del ente paritario estatal de la correspondiente dotación económica, es decir, de la íntegra cantidad con la que se subvencionan dichas acciones de formación continua, produciéndose así la exclusión de tales recursos o cantidades de su oportuna gestión y administración por quien, como la Generalidad de Cataluña, ostenta la titularidad de la función ejecutiva en dicha materia, al </w:t>
      </w:r>
      <w:r>
        <w:lastRenderedPageBreak/>
        <w:t>no territorializarse dichas subvenciones. Por ello, y en concordancia con lo antes expuesto, procede declarar la inconstitucionalidad de la citada Disposición adicional vigesimotercera, en su párrafo segundo, por vulnerar el orden constitucional de distribución de competencias, al excluir a la Generalidad de Cataluña de la percepción de los correspondientes fondos públicos destinados a financiar la formación continua en su ámbito territorial.</w:t>
      </w:r>
    </w:p>
    <w:p w:rsidR="0025129F" w:rsidRDefault="0025129F" w:rsidP="0025129F">
      <w:pPr>
        <w:pStyle w:val="TextoNormal"/>
      </w:pPr>
    </w:p>
    <w:p w:rsidR="0025129F" w:rsidRDefault="0025129F" w:rsidP="0025129F">
      <w:pPr>
        <w:pStyle w:val="TextoNormal"/>
      </w:pPr>
      <w:r w:rsidRPr="0025129F">
        <w:rPr>
          <w:rStyle w:val="NumeroAFNegritaCaracter"/>
        </w:rPr>
        <w:t>20</w:t>
      </w:r>
      <w:r>
        <w:t>. Por lo que concierne al segundo bloque de reproches que la representación autonómica dirige a la Disposición adicional vigesimotercera de la Ley 39/1992, hemos de considerar que se conectan no a la vulneración del orden constitucional de competencias, sino a la infracción de los arts. 1, 7, 22 y 28 de la Constitución. Dicha infracción vendría producida por el menoscabo que produce a otras organizaciones sindicales y empresariales el hecho de que sólo participen en el Acuerdo tripartito las organizaciones UGT, CC OO, CEOE y CEPYME, atribuyéndoles la gestión del mismo. Ello supone la exclusión de otras organizaciones de similar naturaleza con implantación en el territorio de Cataluña, y sin que tal exclusión se haya sustentado en criterios objetivos previamente determinados que la justifiquen.</w:t>
      </w:r>
    </w:p>
    <w:p w:rsidR="0025129F" w:rsidRDefault="0025129F" w:rsidP="0025129F">
      <w:pPr>
        <w:pStyle w:val="TextoNormal"/>
      </w:pPr>
      <w:r>
        <w:t>En lo relativo a las vulneraciones aducidas, debemos señalar que las mismas han de ponerse en relación, exclusivamente, con el segundo párrafo de la Disposición adicional vigesimotercera, pues sólo en lo por él prescrito cabe apreciar la existencia de una eventual disparidad de trato entre las citadas organizaciones sindicales y empresariales, y las restantes, que pudieran conectarse con los principios constitucionales de libertad sindical, asociación, no discriminación y pluralismo político. Y ello en la medida en que dicho párrafo segundo, al prever la puesta a disposición de los fondos públicos para financiar la formación profesional a favor del ente paritario de ámbito estatal, determina que sólo los expresados agentes sociales, que son quienes únicamente se integran en dicho ente, perciban aquella subvención y la gestionen.</w:t>
      </w:r>
    </w:p>
    <w:p w:rsidR="0025129F" w:rsidRDefault="0025129F" w:rsidP="0025129F">
      <w:pPr>
        <w:pStyle w:val="TextoNormal"/>
      </w:pPr>
      <w:r>
        <w:t>Sin embargo, habiendo estimado, en el precedente fundamento jurídico, que el mencionado párrafo segundo de la impugnada Disposición adicional es contrario al orden constitucional de competencias e incurre, por ello, en inconstitucionalidad, resulta del todo innecesario examinar las aducidas tachas de inconstitucionalidad material, de modo que el reconocimiento a favor de la Comunidad Autónoma de Cataluña de la gestión de los recursos o subvenciones sitúa en otro plano la intervención de los interlocutores sociales firmantes del Acuerdo, y la posible discriminación alegada respecto de otras organizaciones sindicales y empresariales, máxime cuando el tenor literal de la norma impugnada prevé, en su primer párrafo, que la dotación económica "se afectará a la financiación de acciones formativas acogidas al Acuerdo Nacional sobre Formación Continua", sin mayor concreción.</w:t>
      </w:r>
    </w:p>
    <w:p w:rsidR="0025129F" w:rsidRDefault="0025129F" w:rsidP="0025129F">
      <w:pPr>
        <w:pStyle w:val="TextoNormal"/>
      </w:pPr>
    </w:p>
    <w:p w:rsidR="0025129F" w:rsidRDefault="0025129F" w:rsidP="0025129F">
      <w:pPr>
        <w:pStyle w:val="TextoNormal"/>
      </w:pPr>
      <w:r w:rsidRPr="0025129F">
        <w:rPr>
          <w:rStyle w:val="NumeroAFNegritaCaracter"/>
        </w:rPr>
        <w:t>21</w:t>
      </w:r>
      <w:r>
        <w:t>. No debemos concluir sin señalar que, al dirimir tanto el conflicto competencial como el recurso de inconstitucionalidad (en el que subyace una controversia de la misma índole) promovidos por la Generalidad de Cataluña, a favor de ésta, como titular de la función ejecutiva o de gestión sobre la materia controvertida, nuestro pronunciamiento descansa en la vulneración de las reglas competenciales, producida en virtud de la gestión centralizada que el Gobierno de la Nación asume y encomienda a las organizaciones sindicales y empresariales, en materia de formación profesional continua, con exclusión de toda participación en dicha actividad de ejecución de la Generalidad de Cataluña, respecto de las acciones y programas formativos concernientes a la población trabajadora radicada en su ámbito territorial.</w:t>
      </w:r>
    </w:p>
    <w:p w:rsidR="0025129F" w:rsidRDefault="0025129F" w:rsidP="0025129F">
      <w:pPr>
        <w:pStyle w:val="TextoNormal"/>
      </w:pPr>
      <w:r>
        <w:lastRenderedPageBreak/>
        <w:t>Siendo ello así, dicho pronunciamiento en nada obsta a que las organizaciones sindicales y empresariales, para cumplir los fines de defensa y promoción de los intereses económicos y sociales que les encomienda el art. 7 CE puedan prever y regular, en el seno de la negociación colectiva, aquellas acciones o programas formativos que complementen o refuercen el sistema de formación continua de los trabajadores ocupados, sistema que ha de sujetarse al orden constitucional de distribución de competencias entre el Estado y las Comunidades Autónomas, en los términos señalados.</w:t>
      </w:r>
    </w:p>
    <w:p w:rsidR="0025129F" w:rsidRDefault="0025129F" w:rsidP="0025129F">
      <w:pPr>
        <w:pStyle w:val="TextoNormal"/>
      </w:pPr>
    </w:p>
    <w:p w:rsidR="0025129F" w:rsidRDefault="0025129F" w:rsidP="0025129F">
      <w:pPr>
        <w:pStyle w:val="TextoNormal"/>
      </w:pPr>
      <w:r w:rsidRPr="0025129F">
        <w:rPr>
          <w:rStyle w:val="NumeroAFNegritaCaracter"/>
        </w:rPr>
        <w:t>22</w:t>
      </w:r>
      <w:r>
        <w:t>. Finalmente, debemos precisar el alcance de nuestro pronunciamiento sobre la vulneración del orden constitucional de distribución de competencias, que ha de trasladarse al fallo. A estos efectos, ha de tenerse en cuenta que tanto el Acuerdo tripartito suscrito el 22 de diciembre de 1992, como la Disposición adicional vigesimotercera de la Ley 39/1992, de Presupuestos Generales del Estado para 1993, ya han "agotado sus efectos, y que se podría estar afectando a situaciones consolidadas" (STC 190/2000, de 13 de julio, FJ 13). Con base en esta relevante circunstancia, y al igual que decidimos en otros casos semejantes (SSTC 75/1989, de 21 de abril, 13/1992, de 6 de febrero, 79/1992, de 28 de mayo, 186/1999, de 14 de octubre, 98/2001, de 5 de abril, y 188/2001, de 20 de septiembre), procede entender que la pretensión autonómica puede estimarse satisfecha mediante la declaración de titularidad de la competencia controvertida, sin necesidad de anular los preceptos objeto de impugnación.</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1º Estimar parcialmente el conflicto positivo de competencia núm. 1176/93, promovido por el Consejo Ejecutivo de la Generalidad de Cataluña contra el Acuerdo tripartito en materia de formación continua de trabajadores ocupados suscrito en Madrid el 22 de diciembre de 1992, y en su virtud:</w:t>
      </w:r>
    </w:p>
    <w:p w:rsidR="0025129F" w:rsidRDefault="0025129F" w:rsidP="0025129F">
      <w:pPr>
        <w:pStyle w:val="TextoNormal"/>
      </w:pPr>
      <w:r>
        <w:t>a) Declarar que la titularidad de la competencia de ejecución en la materia controvertida corresponde a la Generalidad de Cataluña.</w:t>
      </w:r>
    </w:p>
    <w:p w:rsidR="0025129F" w:rsidRDefault="0025129F" w:rsidP="0025129F">
      <w:pPr>
        <w:pStyle w:val="TextoNormal"/>
      </w:pPr>
      <w:r>
        <w:t>b) Declarar, asimismo, que vulneran el orden constitucional de distribución de competencias y son, por ello, inaplicables en Cataluña, las siguientes determinaciones del mencionado Acuerdo tripartito:</w:t>
      </w:r>
    </w:p>
    <w:p w:rsidR="0025129F" w:rsidRDefault="0025129F" w:rsidP="0025129F">
      <w:pPr>
        <w:pStyle w:val="TextoNormal"/>
      </w:pPr>
      <w:r>
        <w:t>- Acuerdo primero, apartado 2, en el inciso que dice: "el Instituto Nacional de Empleo transferirá al Ente Paritario Estatal, que las partes firmantes del Acuerdo Nacional sobre Formación Continua constituyan y designen, las cantidades correspondientes al citado 0,10 por ciento de la cuota de Formación Profesional".</w:t>
      </w:r>
    </w:p>
    <w:p w:rsidR="0025129F" w:rsidRDefault="0025129F" w:rsidP="0025129F">
      <w:pPr>
        <w:pStyle w:val="TextoNormal"/>
      </w:pPr>
      <w:r>
        <w:t>- Acuerdo tercero, párrafo primero, inciso inicial, a cuyo tenor: "El Gobierno y las organizaciones firmantes convienen en que todos los aspectos relativos a la organización, gestión, distribución de fondos, o, en su caso, ejecución de las acciones formativas y justificación de las mismas, corresponden a los interlocutores sociales a través de los correspondientes entes de composición paritaria".</w:t>
      </w:r>
    </w:p>
    <w:p w:rsidR="0025129F" w:rsidRDefault="0025129F" w:rsidP="0025129F">
      <w:pPr>
        <w:pStyle w:val="TextoNormal"/>
      </w:pPr>
      <w:r>
        <w:t>- Acuerdo tercero, párrafo segundo, en los "guiones" segundo, cuarto y quinto.</w:t>
      </w:r>
    </w:p>
    <w:p w:rsidR="0025129F" w:rsidRDefault="0025129F" w:rsidP="0025129F">
      <w:pPr>
        <w:pStyle w:val="TextoNormal"/>
      </w:pPr>
      <w:r>
        <w:lastRenderedPageBreak/>
        <w:t>c) Desestimar el conflicto competencial en todo lo demás.</w:t>
      </w:r>
    </w:p>
    <w:p w:rsidR="0025129F" w:rsidRDefault="0025129F" w:rsidP="0025129F">
      <w:pPr>
        <w:pStyle w:val="TextoNormal"/>
      </w:pPr>
      <w:r>
        <w:t>2º Estimar el recurso de inconstitucionalidad núm. 938/93, promovido por el Consejo Ejecutivo de la Generalidad de Cataluña contra la Disposición adicional vigesimotercera de la Ley 39/1992, de 29 de diciembre, de Presupuestos Generales del Estado para 1993, y, en consecuencia, declarar que el párrafo segundo de dicha Disposición no se ajusta al orden constitucional de distribución de competencias y es, por ello, inaplicable en el ámbito territorial de Cataluña.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abril de dos mil dos.</w:t>
      </w:r>
    </w:p>
    <w:p w:rsidR="0025129F" w:rsidRDefault="0025129F" w:rsidP="0025129F">
      <w:pPr>
        <w:pStyle w:val="ParrafoNormal"/>
      </w:pPr>
    </w:p>
    <w:p w:rsidR="0025129F" w:rsidRDefault="0025129F" w:rsidP="0025129F">
      <w:pPr>
        <w:pStyle w:val="TextoNormalNegritaCentrado"/>
        <w:keepNext/>
      </w:pPr>
      <w:r>
        <w:t>Voto particular concurrente que formulan el Magistrado don Pablo García Manzano y la Magistrada doña María Emilia Casas Baamonde respecto de la Sentencia recaída en el recurso de inconstitucionalidad núm. 938/93 y en el conflicto positivo de competencia núm. 1176/93, acumulados.</w:t>
      </w:r>
    </w:p>
    <w:p w:rsidR="0025129F" w:rsidRDefault="0025129F" w:rsidP="0025129F">
      <w:pPr>
        <w:pStyle w:val="TextoNormalNegritaCentrado"/>
        <w:keepNext/>
      </w:pPr>
    </w:p>
    <w:p w:rsidR="0025129F" w:rsidRDefault="0025129F" w:rsidP="0025129F">
      <w:pPr>
        <w:pStyle w:val="TextoNormal"/>
      </w:pPr>
      <w:r>
        <w:t>Compartimos plenamente la decisión de la Sentencia de que el Acuerdo tripartito y la Disposición presupuestaria impugnados no constituyen un fondo "de ámbito nacional y de empleo", que se configura en el art. 11.2, segundo inciso, EAC, como un límite a la competencia de la Generalidad de Cataluña de ejecución de la legislación laboral, sin perjuicio de lo que las normas del Estado establezcan en la materia.</w:t>
      </w:r>
    </w:p>
    <w:p w:rsidR="0025129F" w:rsidRDefault="0025129F" w:rsidP="0025129F">
      <w:pPr>
        <w:pStyle w:val="TextoNormal"/>
      </w:pPr>
      <w:r>
        <w:t>Esa coincidencia se proyecta sobre la argumentación, contenida en los fundamentos jurídicos 12 y 13, de que un fondo "de ámbito nacional" para poder ser constituido como tal necesita de una plasmación formal, de unos rasgos y de un régimen jurídico identificador de los que, en este caso, carece. Creemos, sin embargo, que la argumentación de la Sentencia a propósito de los requisitos de orden formal que deben exigirse a la constitución por el Estado de un fondo "de ámbito nacional", puesto que de esa constitución se deriva la restricción de la competencia autonómica ordinaria de ejecución de la legislación laboral, debería haberse completado expresamente con la necesidad de que dichos fondos de ámbito nacional, para merecer la calificación de tales, cumplan ciertas exigencias materiales. De no ser así, bastaría la mera invocación formal de la constitución de un fondo de ámbito nacional para que obtuviera respaldo constitucional.</w:t>
      </w:r>
    </w:p>
    <w:p w:rsidR="0025129F" w:rsidRDefault="0025129F" w:rsidP="0025129F">
      <w:pPr>
        <w:pStyle w:val="TextoNormal"/>
      </w:pPr>
      <w:r>
        <w:t>En efecto, es claro que el precepto estatutario no ha podido pretender reservar al Estado la determinación unilateral de los supuestos en que asume competencias plenas sobre determinados fondos propios de la materia laboral, con sólo dotar a los mismos de un carácter nacional, y sin necesidad de atender a cualesquiera otras características o régimen jurídico de los mismos. Ello sería tanto como permitir al Estado utilizar sus competencias legislativas en materia laboral para desapoderar a la Comunidad Autónoma de Cataluña de las competencias ejecutivas que en ese ámbito material le corresponden con carácter general, sin que existan específicas y concretas razones para ello, algo que no está en la lógica de nuestro sistema de distribución competencial y que este Tribunal ha venido rechazando con reiteración. Así, en la STC 223/2000 (FJ 11) pusimos de relieve que atribuir al Estado una determinada competencia por la simple circunstancia de que alguno de los elementos sobre los que actúa tenga ámbito o carácter nacional no puede admitirse, ya que en caso contrario "sería suficiente extender los efectos de una medida de carácter ejecutivo a todo el territorio nacional para que se generase, sin mayor justificación, una modificación del orden constitucional de competencias".</w:t>
      </w:r>
    </w:p>
    <w:p w:rsidR="0025129F" w:rsidRDefault="0025129F" w:rsidP="0025129F">
      <w:pPr>
        <w:pStyle w:val="TextoNormal"/>
      </w:pPr>
      <w:r>
        <w:lastRenderedPageBreak/>
        <w:t>Por tanto, el art. 11.2 EAC ha pretendido solo garantizar al Estado, cuando existan razones fundadas para ello, la posibilidad de asumir competencias ejecutivas en materia laboral, competencias que en principio no podría ostentar por corresponderle a la Comunidad Autónoma de Cataluña, identificando las concretas materias, entre ellas y en lo que ahora interesa, los fondos "de ámbito nacional", en las que tal posibilidad existe. Es más, consciente el precepto estatutario de la excepcionalidad de la situación, en cuanto que supone una alteración del normal sistema de distribución competencial en materia laboral, destaca que, aún en estos supuestos, las normas del Estado podrán establecer las previsiones que juzguen oportunas en orden a la participación de la Comunidad Autónoma en la gestión o ejecución, pues tal es, entre otros, el significado que cabe atribuir a su inciso final.</w:t>
      </w:r>
    </w:p>
    <w:p w:rsidR="0025129F" w:rsidRDefault="0025129F" w:rsidP="0025129F">
      <w:pPr>
        <w:pStyle w:val="TextoNormal"/>
      </w:pPr>
      <w:r>
        <w:t>Pues bien, si se examina la naturaleza de las acciones formativas previstas en el Acuerdo tripartito, para cuya financiación se prevén las correspondientes cantidades, no puede apreciarse ni se justifica que existan razones objetivas bastantes para desapoderar a la Comunidad Autónoma de Cataluña de sus competencias ejecutivas o gestoras en materia laboral, atribuyendo al Estado o a quienes éste designe, su ejercicio por la sola razón de que el sistema tenga un carácter o ámbito nacional. En efecto, ni los planes de empresa de más de 200 trabajadores, ni los planes agrupados de ámbito sectorial o intersectorial dirigidos a dos o más empresas que ocupen 200 trabajadores, ni, menos aún, los permisos individuales de formación ofrecen características que justifiquen la conveniencia de atribuir al Estado, y no a la Comunidad Autónoma inicialmente competente, la gestión del sistema, sin perjuicio de que existan supuestos excepcionales en que esa intervención de la Comunidad Autónoma no resulte adecuada o posible, asumiendo entonces el Estado las competencias en cuestión, por esta vía o por la que, en su caso, puede habilitar el art. 149.1.13 CE.</w:t>
      </w:r>
    </w:p>
    <w:p w:rsidR="0025129F" w:rsidRDefault="0025129F" w:rsidP="0025129F">
      <w:pPr>
        <w:pStyle w:val="TextoNormal"/>
      </w:pPr>
      <w:r>
        <w:t>Es más, que tal intervención del Estado no era precisa, sin que éste pretendiera que nos encontráramos ante un fondo "de ámbito nacional" a efectos del art. 11.2 EAC lo confirma el que, como recoge la Sentencia, con anterioridad al establecimiento del sistema que estamos analizando, la competencia ejecutiva en materia de formación continua de los trabajadores desocupados venía siendo ejercida pacíficamente por la Comunidad Autónoma de Cataluña, lo que, por lo demás, viene a determinar que hubiera sido exigible al Estado, para llevar a cabo una alteración del sistema de distribución competencial como la que ha pretendido, un reforzamiento de la justificación de las razones que conducen a tal modificación.</w:t>
      </w:r>
    </w:p>
    <w:p w:rsidR="0025129F" w:rsidRDefault="0025129F" w:rsidP="0025129F">
      <w:pPr>
        <w:pStyle w:val="TextoNormal"/>
      </w:pPr>
      <w:r>
        <w:t>Madrid, a treinta de abril de dos mil dos.</w:t>
      </w:r>
    </w:p>
    <w:p w:rsidR="0025129F" w:rsidRDefault="0025129F" w:rsidP="0025129F">
      <w:pPr>
        <w:pStyle w:val="TextoNormal"/>
      </w:pPr>
    </w:p>
    <w:p w:rsidR="0025129F" w:rsidRDefault="0025129F" w:rsidP="0025129F">
      <w:pPr>
        <w:pStyle w:val="TextoNormalNegritaCentrado"/>
        <w:keepNext/>
      </w:pPr>
      <w:r>
        <w:t>Voto particular que formula el Magistrado don Vicente Conde Martín de Hijas respecto de la Sentencia dictada en el recurso de inconstitucionalidad núm. 938/93 y en el conflicto positivo de competencia núm. 1176/93, acumulados.</w:t>
      </w:r>
    </w:p>
    <w:p w:rsidR="0025129F" w:rsidRDefault="0025129F" w:rsidP="0025129F">
      <w:pPr>
        <w:pStyle w:val="TextoNormalNegritaCentrado"/>
        <w:keepNext/>
      </w:pPr>
    </w:p>
    <w:p w:rsidR="0025129F" w:rsidRDefault="0025129F" w:rsidP="0025129F">
      <w:pPr>
        <w:pStyle w:val="TextoNormal"/>
      </w:pPr>
      <w:r>
        <w:t>Con sincero respeto del criterio mayoritario expresado en la Sentencia, y en ejercicio del derecho establecido en el artículo 90.2 LOTC, creo oportuno expresar mi disentimiento, formulando Voto particular, cuyas razones paso a exponer.</w:t>
      </w:r>
    </w:p>
    <w:p w:rsidR="0025129F" w:rsidRDefault="0025129F" w:rsidP="0025129F">
      <w:pPr>
        <w:pStyle w:val="TextoNormal"/>
      </w:pPr>
      <w:r>
        <w:t xml:space="preserve">1. La tesis de la Sentencia conduce, a mi juicio, a crear un obstáculo casi insalvable (insalvable en este caso concreto) para las opciones ordenadoras de la concertación social de ámbito estatal (si tal es el ámbito elegido en ejercicio de su libertad por los interlocutores </w:t>
      </w:r>
      <w:r>
        <w:lastRenderedPageBreak/>
        <w:t>sociales, como ha sido aquí el caso), en razón de la salvaguarda de las competencias de las Comunidades Autónomas sobre ejecución de la legislación laboral, desde el momento en que de hecho se cierra el paso a que el Estado pueda implementar esas alternativas ordenadoras de índole negocial mediante el ejercicio de su propia competencia sobre la legislación laboral.</w:t>
      </w:r>
    </w:p>
    <w:p w:rsidR="0025129F" w:rsidRDefault="0025129F" w:rsidP="0025129F">
      <w:pPr>
        <w:pStyle w:val="TextoNormal"/>
      </w:pPr>
      <w:r>
        <w:t>Y ello, pese a que la ordenación que se tome en consideración en estos casos, a potenciar por el Estado, no sea en último término legislación laboral, sino un instrumento ordenador alternativo y distinto: el propio de la negociación colectiva; esto es, el ejercicio de una facultad privada, constitucional y legalmente atribuida a los interlocutores sociales, y no una manifestación de poder público, que es respecto de la que, en su caso, puede entrar en juego la norma constitucional o estatutaria de distribución de ese poder entre el Estado y las Comunidades Autónomas (en este caso la de Cataluña).</w:t>
      </w:r>
    </w:p>
    <w:p w:rsidR="0025129F" w:rsidRDefault="0025129F" w:rsidP="0025129F">
      <w:pPr>
        <w:pStyle w:val="TextoNormal"/>
      </w:pPr>
      <w:r>
        <w:t>Es este resultado final de la doctrina de nuestra Sentencia, a mi juicio altamente perturbador para la viabilidad de la concertación social, la razón última de mi discrepancia, que de modo más casuístico se proyecta sobre la construcción general de la Sentencia y sobre su fundamentación básica conducente a su fallo.</w:t>
      </w:r>
    </w:p>
    <w:p w:rsidR="0025129F" w:rsidRDefault="0025129F" w:rsidP="0025129F">
      <w:pPr>
        <w:pStyle w:val="TextoNormal"/>
      </w:pPr>
      <w:r>
        <w:t>2. Mi discrepancia arranca de la propia ordenación sistemática de la Sentencia. Ante la acumulación de dos procesos constitucionales distintos, el uno, un recurso de inconstitucionalidad contra la Disposición adicional vigesimotercera de la Ley 39/1992, de Presupuestos Generales del Estado para 1993, y el otro, un conflicto positivo de competencia sobre el Acuerdo tripartito en materia de formación continua de los trabajadores ocupados, suscrito en Madrid el 22 de diciembre de 1992, la Sentencia anticipa el análisis del conflicto, para aplicar después a la solución del recurso las conclusiones establecidas en el plano competencial para la resolución del conflicto.</w:t>
      </w:r>
    </w:p>
    <w:p w:rsidR="0025129F" w:rsidRDefault="0025129F" w:rsidP="0025129F">
      <w:pPr>
        <w:pStyle w:val="TextoNormal"/>
      </w:pPr>
      <w:r>
        <w:t>Tal opción sistemática me resulta inadecuada por una doble razón, formal y de fondo. La formal, porque creo que ante la distinta jerarquía lógica de los dos diferentes objetos procesales (la impugnación de una Ley en el recurso de inconstitucionalidad, y la impugnación de un acto del Ejecutivo en el conflicto de competencia), lo correcto hubiera sido anticipar el análisis de la constitucionalidad de la Ley cuestionada, al del acto del Ejecutivo, salvo que existiese una razón de fondo, que aconsejase la inversión de ese orden, no convenciéndome en cuanto tal las que se aduce en la Sentencia.  En el mismo plano formal el hecho de que cronológicamente el recurso de inconstitucionalidad sea anterior en el tiempo, creo que marcaba con absoluta naturalidad el orden de enjuiciamiento de los dos procesos acumulados.</w:t>
      </w:r>
    </w:p>
    <w:p w:rsidR="0025129F" w:rsidRDefault="0025129F" w:rsidP="0025129F">
      <w:pPr>
        <w:pStyle w:val="TextoNormal"/>
      </w:pPr>
      <w:r>
        <w:t>La razón de fondo es que en la sistemática elegida se ha pasado por alto la identidad diferenciada de la Ley y del Acuerdo tripartito en sus respectivos contenidos normativos, de modo que, al enjuiciar la Ley, el problema competencial a ella atinente resulta enturbiado, pues, a mi juicio, la Ley no se enjuicia en sí misma, sino partiendo de la traslación a ella de las consideraciones efectuadas respecto del Acuerdo tripartito, que, pudiendo tener su explicación lógica en cuanto referidas a éste (aunque personalmente no las comparta), no la tienen trasladadas a la Ley.</w:t>
      </w:r>
    </w:p>
    <w:p w:rsidR="0025129F" w:rsidRDefault="0025129F" w:rsidP="0025129F">
      <w:pPr>
        <w:pStyle w:val="TextoNormal"/>
      </w:pPr>
      <w:r>
        <w:t>Por ello en mi reflexión ulterior invertiré el orden de la Sentencia, para comenzar refiriéndome al recurso de inconstitucionalidad.</w:t>
      </w:r>
    </w:p>
    <w:p w:rsidR="0025129F" w:rsidRDefault="0025129F" w:rsidP="0025129F">
      <w:pPr>
        <w:pStyle w:val="TextoNormal"/>
      </w:pPr>
      <w:r>
        <w:t>3. En el análisis de éste se debe partir del dato inesquivable del contenido exacto de la Ley impugnada, para inquirir después si el Estado tiene, o no, competencia para dictarla.</w:t>
      </w:r>
    </w:p>
    <w:p w:rsidR="0025129F" w:rsidRDefault="0025129F" w:rsidP="0025129F">
      <w:pPr>
        <w:pStyle w:val="TextoNormal"/>
      </w:pPr>
      <w:r>
        <w:t xml:space="preserve">El contenido de la norma se limita a dotar financieramente las "acciones formativas acogidas al Acuerdo Nacional sobre Formación Continua", extrayendo la cantidad correspondiente del "presupuesto del Instituto Nacional de Empleo", para ponerlo a disposición </w:t>
      </w:r>
      <w:r>
        <w:lastRenderedPageBreak/>
        <w:t>"del Ente Paritario de ámbito estatal de las representaciones sindicales y empresariales, dotado de personalidad jurídica, que las partes firmantes del Acuerdo designan".</w:t>
      </w:r>
    </w:p>
    <w:p w:rsidR="0025129F" w:rsidRDefault="0025129F" w:rsidP="0025129F">
      <w:pPr>
        <w:pStyle w:val="TextoNormal"/>
      </w:pPr>
      <w:r>
        <w:t>Comparto con la Sentencia la elección del título legislación laboral, como marco de encuadramiento competencial de la Ley cuestionada (en el que el orden de distribución de competencias entre el Estado y la Comunidad Autónoma de Cataluña, resultante de lo dispuesto en los arts. 149.1.7 CE y 11.2 EAC, supone que corresponde al primero la competencia sobre la legislación laboral, y a la segunda la ejecución de la legislación del Estado en materia laboral), y ello aunque, en rigor, los razonamientos de la Sentencia, al establecer tal marco de encuadramiento, no se refieren directamente a la Ley, sino al Acuerdo tripartito por la opción sistemática elegida. Y acepto tal encuadramiento, porque una Ley del Estado, por la que se regula la financiación por él de actividades situadas en el ámbito de un acuerdo laboral colectivo, puede caracterizarse con naturalidad como legislación laboral. Ahora bien, que la Ley del Estado pueda caracterizarse como laboral, no puede llevar, (como hace, a mi juicio, erróneamente la Sentencia), a caracterizar también el Acuerdo financiado como legislación laboral, pues con ello se volatiliza la esencia negocial y privada de dicho Acuerdo, que es laboral; pero no legislación.</w:t>
      </w:r>
    </w:p>
    <w:p w:rsidR="0025129F" w:rsidRDefault="0025129F" w:rsidP="0025129F">
      <w:pPr>
        <w:pStyle w:val="TextoNormal"/>
      </w:pPr>
      <w:r>
        <w:t>Conviene advertir, en evitación de equívocos, que el Acuerdo al que se refiere la norma cuestionada no es el Acuerdo tripartito, objeto de impugnación en el conflicto de competencia, sino el que con carácter previo a éste suscribieron las representaciones sindicales y empresariales como acuerdo del art. 83.3 LET; esto es, una modalidad de negociación colectiva.</w:t>
      </w:r>
    </w:p>
    <w:p w:rsidR="0025129F" w:rsidRDefault="0025129F" w:rsidP="0025129F">
      <w:pPr>
        <w:pStyle w:val="TextoNormal"/>
      </w:pPr>
      <w:r>
        <w:t>Lo financiado por la Ley impugnada no eran actuaciones administrativas, propias de una política pública de formación profesional ocupacional; es decir, actuaciones del poder establecidas por vía de legislación, sino actuaciones privadas, surgidas de la negociación colectiva. Y sobre esa base, desde el prisma conceptual de la ejecución de la legislación laboral, si las actuaciones no corresponden al ámbito de la legislación laboral, sino al de la negociación, al poner el Estado recursos financieros a disposición de los órganos privados creados en tal negociación, no está sustrayendo a la Generalidad de Cataluña ninguna competencia referida a ejecución de la legislación laboral, pues en las actuaciones de que se trata no se está ejecutando legislación laboral. El Estado por vía de Ley dota financieramente actuaciones privadas, actuaciones que en sí mismas no se insertan en un ámbito de poder público afectado por la distribución de competencias entre legislación y ejecución de la legislación.</w:t>
      </w:r>
    </w:p>
    <w:p w:rsidR="0025129F" w:rsidRDefault="0025129F" w:rsidP="0025129F">
      <w:pPr>
        <w:pStyle w:val="TextoNormal"/>
      </w:pPr>
      <w:r>
        <w:t>La Sentencia, a mi juicio, incurre en el error de situar en un mismo ámbito conceptual la legislación y la negociación colectiva, aplicando a ésta criterios de distribución del poder referibles a la primera.</w:t>
      </w:r>
    </w:p>
    <w:p w:rsidR="0025129F" w:rsidRDefault="0025129F" w:rsidP="0025129F">
      <w:pPr>
        <w:pStyle w:val="TextoNormal"/>
      </w:pPr>
      <w:r>
        <w:t>Si, pues, nos encontramos ante una Ley, para cuya emanación el Estado tiene constitucionalmente atribuido, como título competencial, el establecido en el art. 149.1.7 CE (legislación laboral), Ley cuyo contenido no abre ningún espacio de ulterior ejercicio del poder a título de ejecución, falta toda base para que pueda considerarse invadida, o sustraída, por ella competencia de la Generalidad de Cataluña de ejecución de legislación laboral.</w:t>
      </w:r>
    </w:p>
    <w:p w:rsidR="0025129F" w:rsidRDefault="0025129F" w:rsidP="0025129F">
      <w:pPr>
        <w:pStyle w:val="TextoNormal"/>
      </w:pPr>
      <w:r>
        <w:t>Debiera, pues, haberse rechazado el primero de los motivos de impugnación argüidos en el recurso de inconstitucionalidad.</w:t>
      </w:r>
    </w:p>
    <w:p w:rsidR="0025129F" w:rsidRDefault="0025129F" w:rsidP="0025129F">
      <w:pPr>
        <w:pStyle w:val="TextoNormal"/>
      </w:pPr>
      <w:r>
        <w:t>En cualquier caso, y aun en el negado de que pudiera hablarse de ejecución de la legislación laboral, creo que la competencia del Estado entraría en la reserva competencial establecida en su favor en el art. 11.2 punto 2 EAC alusiva a los fondos nacionales y de empleo, remitiéndome sobre el particular a lo que expreso más adelante en este voto.</w:t>
      </w:r>
    </w:p>
    <w:p w:rsidR="0025129F" w:rsidRDefault="0025129F" w:rsidP="0025129F">
      <w:pPr>
        <w:pStyle w:val="TextoNormal"/>
      </w:pPr>
      <w:r>
        <w:lastRenderedPageBreak/>
        <w:t>4. En cuanto al segundo motivo de impugnación del recurso, que se alude en el fundamento jurídico 20 de la Sentencia, creo que tiene una entidad propia, a mi juicio de mucha mayor enjundia que la concerniente a las competencias de la Generalidad sobre ejecución de la legislación laboral, y que por tanto hubiera sido necesario que la Sentencia lo analizase, sin que me convenza la razón de la inutilidad de hacerlo, por el hecho de que se haya fundamentado ya la inconstitucionalidad en la incompetencia del Estado.</w:t>
      </w:r>
    </w:p>
    <w:p w:rsidR="0025129F" w:rsidRDefault="0025129F" w:rsidP="0025129F">
      <w:pPr>
        <w:pStyle w:val="TextoNormal"/>
      </w:pPr>
      <w:r>
        <w:t>La lógica consecuencia de no compartir esa razón de inconstitucionalidad es la de que me vea precisado a abordar por mi parte el análisis de ese motivo de inconstitucionalidad.</w:t>
      </w:r>
    </w:p>
    <w:p w:rsidR="0025129F" w:rsidRDefault="0025129F" w:rsidP="0025129F">
      <w:pPr>
        <w:pStyle w:val="TextoNormal"/>
      </w:pPr>
      <w:r>
        <w:t>Consiste éste en el diferente trato de los sindicatos y entidades de representación empresarial, firmantes del Acuerdo nacional sobre formación continua, respecto de los sindicatos y entidades empresariales ajenos a él, que, a juicio de la Generalidad recurrente, vulnera los arts. 7, 22 y 28 CE.</w:t>
      </w:r>
    </w:p>
    <w:p w:rsidR="0025129F" w:rsidRDefault="0025129F" w:rsidP="0025129F">
      <w:pPr>
        <w:pStyle w:val="TextoNormal"/>
      </w:pPr>
      <w:r>
        <w:t>Para su rechazo considero compartible la alegación del Abogado del Estado en su referencia a la doctrina contenida en la STC 39/1986.</w:t>
      </w:r>
    </w:p>
    <w:p w:rsidR="0025129F" w:rsidRDefault="0025129F" w:rsidP="0025129F">
      <w:pPr>
        <w:pStyle w:val="TextoNormal"/>
      </w:pPr>
      <w:r>
        <w:t>En el caso actual la Ley cuestionada no supone una directa financiación establecida para unos determinados sindicatos y asociaciones empresariales con exclusión de otros, lo que resultaría contrario a los preceptos constitucionales invocados por la recurrente. Se trata de la financiación de unas actividades ordenadas mediante una negociación colectiva, que ninguno de los sujetos legitimados, en su caso, para su impugnación ha impugnado. El dato de referencia, base de la cuestionada diferenciación, es, así, una negociación colectiva jurídica eficaz, en la que se establecen unas actuaciones y unos órganos bilaterales para llevarlas a cabo, que son los destinatarios directos de la dotación financiera que se establece en el precepto legal impugnado.  Sobre esa base los elementos de objetividad, adecuación, razonabilidad y proporcionalidad, invocados por la recurrente para negar su concurrencia (con alusión a las SSTC 53/1982, 20/1985, 7/1990, 32/1990, 59/1992 y 75/1992), son en este caso perfectamente apreciables, pues la diferencia de trato resulta de la previa participación en una negociación colectiva, que se da respecto de unos sindicatos y asociaciones empresariales, y que no se da respecto de otros.</w:t>
      </w:r>
    </w:p>
    <w:p w:rsidR="0025129F" w:rsidRDefault="0025129F" w:rsidP="0025129F">
      <w:pPr>
        <w:pStyle w:val="TextoNormal"/>
      </w:pPr>
      <w:r>
        <w:t>Al propio tiempo la participación de unos sindicatos y asociaciones empresariales, y no de otros, en los órganos creados en el Acuerdo encuentra su justificación constitucional en el carácter de órganos de administración del mismo, como tales, vinculados con la negociación colectiva de la que son instrumento; de ahí que la participación o no en esa negociación, siguiendo la doctrina de la SSTC 39/1986, sea fundamento constitucionalmente idóneo de diferenciación.</w:t>
      </w:r>
    </w:p>
    <w:p w:rsidR="0025129F" w:rsidRDefault="0025129F" w:rsidP="0025129F">
      <w:pPr>
        <w:pStyle w:val="TextoNormal"/>
      </w:pPr>
      <w:r>
        <w:t>Se impone por ello, a mi juicio, el rechazo del segundo motivo del recurso de inconstitucionalidad, y por ende de éste.</w:t>
      </w:r>
    </w:p>
    <w:p w:rsidR="0025129F" w:rsidRDefault="0025129F" w:rsidP="0025129F">
      <w:pPr>
        <w:pStyle w:val="TextoNormal"/>
      </w:pPr>
      <w:r>
        <w:t>5. Por lo que hace al conflicto de competencias, estimado parcialmente en la Sentencia, mi disentimiento de ésta se sitúa en un doble plano: primero, en el de la argumentación referida a la inserción del Acuerdo tripartito en el marco competencial de la ejecución de la legislación laboral; y segundo, y para el caso en que se acepte esa inserción, en el referente al rechazo específico de la posible inclusión del contenido impugnado del Acuerdo tripartito en la reserva al Estado de la competencia sobre fondos nacionales y de empleo, contenida en el art. 11.2 punto segundo EAC.</w:t>
      </w:r>
    </w:p>
    <w:p w:rsidR="0025129F" w:rsidRDefault="0025129F" w:rsidP="0025129F">
      <w:pPr>
        <w:pStyle w:val="TextoNormal"/>
      </w:pPr>
      <w:r>
        <w:t xml:space="preserve">En cuanto al primer plano de consideraciones acepto de la Sentencia el encuadramiento en el título competencial de legislación laboral, en los términos ya expuestos en el apartado 3 de este Voto. Pero creo que la Sentencia hace una valoración del problema competencial planteado, no en función del contenido real del Acuerdo tripartito, sino más bien en </w:t>
      </w:r>
      <w:r>
        <w:lastRenderedPageBreak/>
        <w:t>función del Acuerdo que le sirve de precedente, en el que el Gobierno no tuvo participación.</w:t>
      </w:r>
    </w:p>
    <w:p w:rsidR="0025129F" w:rsidRDefault="0025129F" w:rsidP="0025129F">
      <w:pPr>
        <w:pStyle w:val="TextoNormal"/>
      </w:pPr>
      <w:r>
        <w:t>Sólo desde esa consideración se explica la afirmación clave contenida en el fundamento jurídico 8 de la Sentencia de que el Acuerdo tripartito "concierne a la regulación de un concreto derecho de los trabajadores en el seno de la relación laboral, como el reconocido en el art. 4.2 al Estatuto de los Trabajadores"; desde cuyo presupuesto conceptual se desemboca en dicho fundamento jurídico in fine en la distribución competencial (legislación laboral-ejecución de la legislación laboral) regulada en los arts.  149.1.7 CE y 11.2 EAC.</w:t>
      </w:r>
    </w:p>
    <w:p w:rsidR="0025129F" w:rsidRDefault="0025129F" w:rsidP="0025129F">
      <w:pPr>
        <w:pStyle w:val="TextoNormal"/>
      </w:pPr>
      <w:r>
        <w:t>Estimo que esa apreciación de base es aplicable al Acuerdo nacional previo al Acuerdo tripartito; pero no así, o no en la misma medida, a éste, debiéndose observar que no es el primero, sino el segundo, el objeto del conflicto, y que por tanto el enjuiciamiento constitucional del último debe hacerse con estricta y exclusiva referencia a su propio contenido, y no al del Acuerdo nacional, no cuestionado.</w:t>
      </w:r>
    </w:p>
    <w:p w:rsidR="0025129F" w:rsidRDefault="0025129F" w:rsidP="0025129F">
      <w:pPr>
        <w:pStyle w:val="TextoNormal"/>
      </w:pPr>
      <w:r>
        <w:t>Ello sentado, creo que en el referido Acuerdo tripartito son discernibles, a los efectos que aquí conviene, cuatro contenidos diferentes: a) el primero, alusivo a la financiación pública de la formación profesional ocupacional, regulada en el Acuerdo nacional sobre formación continua; b) el segundo, alusivo a la atribución a los entes privados de composición paritaria, regulados en dicho Acuerdo nacional, de todo lo referido a la gestión de la formación ocupacional, con los complementarios instrumentos o mecanismos de control; c) el tercero, alusivo al compromiso de colaboración del Gobierno con las actividades de formación; y d) y el cuarto, alusivo al compromiso de derogación del Decreto 1618/1990 y su sustitución.</w:t>
      </w:r>
    </w:p>
    <w:p w:rsidR="0025129F" w:rsidRDefault="0025129F" w:rsidP="0025129F">
      <w:pPr>
        <w:pStyle w:val="TextoNormal"/>
      </w:pPr>
      <w:r>
        <w:t>Ninguno de esos contenidos del Acuerdo tripartito es por sí mismo de regulación del contenido de la relación laboral, sino que más bien se trata de la expresión de una opción normativa global, consistente en la sustitución de la legislación laboral estatal por una ordenación nueva, básicamente confiada a la negociación colectiva, y del apoyo externo a los instrumentos creados por ella.</w:t>
      </w:r>
    </w:p>
    <w:p w:rsidR="0025129F" w:rsidRDefault="0025129F" w:rsidP="0025129F">
      <w:pPr>
        <w:pStyle w:val="TextoNormal"/>
      </w:pPr>
      <w:r>
        <w:t>No se trata, a mi juicio, en contra de la tesis de la Sentencia, de que se establezca una legislación estatal reguladora de la formación profesional ocupacional, cuya ejecución se confíe a unos determinados órganos distintos de los de la Generalidad, invadiendo por tanto las competencias de ésta para la ejecución de la legislación laboral del Estado, sino más bien de que por ese Acuerdo tripartito el Estado abdica de regular por sí mismo una política de formación ocupacional mediante su legislación propia.</w:t>
      </w:r>
    </w:p>
    <w:p w:rsidR="0025129F" w:rsidRDefault="0025129F" w:rsidP="0025129F">
      <w:pPr>
        <w:pStyle w:val="TextoNormal"/>
      </w:pPr>
      <w:r>
        <w:t xml:space="preserve">Y lo hace sobre la base de la aceptación de una previa ordenación de esa materia, establecida por vía negocial: el Acuerdo nacional sobre formación continua, cuyos autores, en ejercicio de un derecho, y en modo alguno condicionados en su elección ni por el poder del Estado ni por el de las Comunidades Autónomas, le han querido situar en el ámbito que han considerado oportuno, que ha sido en un ámbito nacional. El resto de los compromisos asumidos por el Estado en el Acuerdo tripartito adquiere su sentido en función de esa previa opción, y como derivación de la misma, como medios de potenciación. Y tal opción básica, por su finalidad, corresponde inequívocamente, a mi juicio, al plano conceptual de la legislación laboral (competencia del Estado, ex art.  149.1.7 CE), y no al de la ejecución de esa legislación (competencia de la Generalidad de Cataluña, ex art. 11.2 EAC). El hecho de que el vehículo formal en el que esa opción se ejercita no sea directamente una Ley, sino un negocio jurídico, no creo que pueda obstar a ese encuadramiento, pues en definitiva se trata de un compromiso prelegislativo, cuya efectividad real deberá </w:t>
      </w:r>
      <w:r>
        <w:lastRenderedPageBreak/>
        <w:t>consumarse por vía legislativa. En cualquier caso, el Acuerdo tripartito en sí en modo alguno puede considerarse, a mi juicio, como acto de ejecución de la legislación laboral.</w:t>
      </w:r>
    </w:p>
    <w:p w:rsidR="0025129F" w:rsidRDefault="0025129F" w:rsidP="0025129F">
      <w:pPr>
        <w:pStyle w:val="TextoNormal"/>
      </w:pPr>
      <w:r>
        <w:t>El ejercicio de esa opción legislativa del Estado, que consiste, como ya ha quedado dicho, en abdicar de la regulación de la formación profesional ocupacional, para cederla a la negociación colectiva, seguida de un ulterior compromiso de apoyo de lo negociado, puede producir, ciertamente, el efecto de que la competencia autonómica de ejecución de la legislación laboral pierda la oportunidad de ejercicio, al desaparecer la legislación en esa concreta área de ordenación afectada. Mas no creo que ese innegable efecto pueda merecer ningún reproche en el orden constitucional de distribución de competencias, pues el título competencial de ejecución de la legislación laboral no puede, en principio, limitar la libertad de configuración de la legislación laboral misma por el que tiene constitucionalmente atribuida la competencia sobre la legislación laboral: el Estado.</w:t>
      </w:r>
    </w:p>
    <w:p w:rsidR="0025129F" w:rsidRDefault="0025129F" w:rsidP="0025129F">
      <w:pPr>
        <w:pStyle w:val="TextoNormal"/>
      </w:pPr>
      <w:r>
        <w:t>La aceptación por éste de la negociación colectiva, previamente llevada a cabo por sus titulares, y el reconocimiento de los órganos creados para la ejecución de lo negociado, no implica que el Estado prive a la Comunidad Autónoma demandante de las facultades de ejecución de la legislación laboral que le corresponden por su Estatuto de Autonomía. Lo que ocurre es, sencillamente, que la legislación a que se refiere la competencia autonómica, ha desaparecido en un área concreta; pero eso es algo muy diferente. Y no cabe pretender, (como parece admitir la Sentencia, aunque sea de modo implícito y subyacente) que la competencia de ejecución de la legislación laboral deba extenderse a una competencia sobre la ejecución de la negociación colectiva, que viene a ocupar el área de ordenación antes cubierta por la legislación, pues un planteamiento tal prescinde de la peculiaridad esencial de la negociación colectiva en relación con la legislación, en cuanto instrumentos de ordenación pertenecientes, respectivamente, a particulares o al poder público.</w:t>
      </w:r>
    </w:p>
    <w:p w:rsidR="0025129F" w:rsidRDefault="0025129F" w:rsidP="0025129F">
      <w:pPr>
        <w:pStyle w:val="TextoNormal"/>
      </w:pPr>
      <w:r>
        <w:t>Por ello el apoyo por el Gobierno a las actividades de los órganos creados en la negociación colectiva mediante el compromiso de financiación y la utilización de otros medios (locales, etc.), no se sitúa, a mi juicio, en un área de ejecución de la legislación laboral, sino de apoyo externo de la negociación colectiva, que creo que es algo distinto, negociación colectiva que si se centra en un ámbito nacional, y no autonómico, es, repitámoslo una vez más, porque así lo han querido sus titulares, en ejercicio de un derecho que no está condicionado por la distribución del poder entre el Estado y las Comunidades Autónomas.</w:t>
      </w:r>
    </w:p>
    <w:p w:rsidR="0025129F" w:rsidRDefault="0025129F" w:rsidP="0025129F">
      <w:pPr>
        <w:pStyle w:val="TextoNormal"/>
      </w:pPr>
      <w:r>
        <w:t>A mi juicio, se distorsionan los rasgos propios del fenómeno jurídico del que es expresión el Acuerdo tripartito, y más en concreto, la dotación financiera que en él se compromete, cuando en la Sentencia (FJ 5) se dice que "se viene... a desapoderar a la Generalidad de Cataluña de la competencia ejecutiva en materia de formación continua de los trabajadores ocupados, dentro de su ámbito territorial, al sustituirse el sistema de gestión pública de esta modalidad formativa que venía rigiendo en la materia, y sobre el que se ha operado el traspaso de servicios y consiguiente asunción de la competencia estatutaria, por un sistema de gestión centralizado encomendado en su integridad a los interlocutores sociales integrados en el ente paritario estatal, y en cuya gestión no participa en modo alguno la Administración autonómica".</w:t>
      </w:r>
    </w:p>
    <w:p w:rsidR="0025129F" w:rsidRDefault="0025129F" w:rsidP="0025129F">
      <w:pPr>
        <w:pStyle w:val="TextoNormal"/>
      </w:pPr>
      <w:r>
        <w:t xml:space="preserve">Tal pasaje sugiere (aunque ciertamente no lo afirme de modo terminante), que un sistema descentralizado de gestión pública de la formación continua de los trabajadores ocupados se ha sustituido por otro de gestión centralizada. De ser real tal supuesto podría considerarse vulnerada la competencia de ejecución de la legislación laboral que corresponde a la Generalidad de Cataluña, (salvo que pueda encuadrarse en la reserva competencial del Estado del art. 11.2 inciso 2, como después se razonará). Lo que ocurre, en mi opinión, es que el pasaje transcrito, que sintetiza en realidad el pensamiento clave de la Sentencia, fija </w:t>
      </w:r>
      <w:r>
        <w:lastRenderedPageBreak/>
        <w:t>su acento desorbitadamente en el elemento gestión y en el cambio producido en ella, prescindiendo del elemento realmente significativo, y respecto del que se ha producido el cambio, que es el del sistema mismo de la formación continua, que deja de ser público y de base legislativa, para convertirse en privado y de base negocial. Por ello la gestión centralizada de ese nuevo sistema privado por los órganos establecidos en la negociación colectiva que lo soporta no desapodera a la Generalidad de Cataluña de ninguna competencia ejecutiva que previamente hubiera tenido atribuida, porque ninguna competencia de ejecución le correspondía, lo mismo que tampoco al Estado, para la administración de la negociación colectiva laboral. Y si tal sistema nuevo, porque así lo han querido sus negociadores, nace con referencia a un ámbito estatal, el que el Estado le preste la colaboración a que se compromete en el Acuerdo tripartito objeto del conflicto, no creo que pueda entrar en conflicto con unas competencias de ejecución descentralizadas de la legislación laboral, cuando, en rigor, no se trata de ejecutar legislación laboral. Negar la posibilidad de la colaboración del Estado a la efectividad del sistema negocial de formación continua, dando por sentado que tal colaboración sólo podría prestarse por las Comunidades Autónomas, previa territorialización de los fondos necesarios para ello, supone tanto como impedir que la negociación colectiva despliegue sus efectos en el ámbito elegido por sus negociadores.</w:t>
      </w:r>
    </w:p>
    <w:p w:rsidR="0025129F" w:rsidRDefault="0025129F" w:rsidP="0025129F">
      <w:pPr>
        <w:pStyle w:val="TextoNormal"/>
      </w:pPr>
      <w:r>
        <w:t>Y no creo que el compromiso de aportación de medios, aparte de los financieros, pueda obstar a la corrección constitucional del Acuerdo tripartito, en los términos que se indican en la Sentencia (FJ 15), cuando se dice que "ha de añadirse que esta reordenación del subsistema de formación continua se realiza sobre el soporte material de la red de centros de formación profesional de titularidad pública autonómica, en virtud del traspaso de servicios realizado, y del constituido por el personal transferido en su condición de adscrito a los servicios en su día traspasados, como lo pone de relieve el apartado cuarto del Acuerdo tripartito", pues en dicho apartado no se hace ninguna indicación de los concretos medios comprometidos. Los problemas de índole competencial que pudieran surgir a la hora de la efectiva puesta a disposición de los medios aludidos en ese compromiso del Acuerdo tripartito, si el Estado pretendiera disponer para ello de medios traspasados, no afectan a la validez del Acuerdo en sí mismo, desde el momento en que en él sólo se hace una alusión a medios en abstracto, y no a concreto medios ya traspasados. Ni tan siquiera se trata de una puesta a disposición inmediata de determinados medios, sino (como se explicita en el pasaje al que se refiere esa observación) de "la firma de convenios de colaboración para la utilización de centros públicos de formación, medios didácticos, así como de la información derivada de los Estudios Sectoriales, del observatorio permanente de evolución de las ocupaciones y de los centros nacionales de formación profesional". Entre la puesta a disposición de los medios aludidos y el compromiso contenido en el Acuerdo tripartito cuestionado existe un espacio lógico, en el que se insertan los "convenios de colaboración", respecto de los que nada impide que el Gobierno, para poderlos suscribir, si es que no dispone de por sí de los medios de que se trate, por haber pasado a la titularidad de la Generalidad de Cataluña, pueda, o deba, previamente convenir con ésta para la posible aportación de dichos medios, con la consecuencia derivada de que, si no se lograse convenir con la Generalidad, el Estado no pudiese, a su vez, convenir con los interlocutores sociales respecto a la puesta a disposición de unos concretos medios. La interpretación del apartado cuarto del Acuerdo tripartito en los términos en que se hace en el pasaje transcrito la encuentro precipitada, y no ajustada a la interpretación posible y adecuada, en función de los estrictos términos de dicho apartado.</w:t>
      </w:r>
    </w:p>
    <w:p w:rsidR="0025129F" w:rsidRDefault="0025129F" w:rsidP="0025129F">
      <w:pPr>
        <w:pStyle w:val="TextoNormal"/>
      </w:pPr>
      <w:r>
        <w:t xml:space="preserve">6. El segundo plano de mi discrepancia de los indicados en el inicio del apartado anterior, es el alusivo al rechazo específico de la posible inclusión del contenido impugnado </w:t>
      </w:r>
      <w:r>
        <w:lastRenderedPageBreak/>
        <w:t>del Acuerdo tripartito en el inciso segundo del art. 11.2 EAC (rechazo al que la Sentencia dedica sus fundamentos jurídicos 11, 12 y 13), en concreto en la reserva al Estado de "todas las competencias en materia de ... fondos de ámbito nacional y de empleo, sin perjuicio de lo que establezcan las normas del propio Estado sobre estas materias".</w:t>
      </w:r>
    </w:p>
    <w:p w:rsidR="0025129F" w:rsidRDefault="0025129F" w:rsidP="0025129F">
      <w:pPr>
        <w:pStyle w:val="TextoNormal"/>
      </w:pPr>
      <w:r>
        <w:t>Aun partiendo, a los meros efectos dialécticos, del posible encuadramiento del Acuerdo tripartito y de los compromisos asumidos en él, que integran su contenido, en el marco competencial de la ejecución de la legislación laboral, creo que sin ninguna violencia interpretativa tales compromisos pueden alojarse en el ámbito competencial reservado al Estado en dicha norma.</w:t>
      </w:r>
    </w:p>
    <w:p w:rsidR="0025129F" w:rsidRDefault="0025129F" w:rsidP="0025129F">
      <w:pPr>
        <w:pStyle w:val="TextoNormal"/>
      </w:pPr>
      <w:r>
        <w:t>La Sentencia utiliza unos criterios inadecuadamente restrictivos a la hora de interpretar el alcance de la competencia reservada al Estado en el citado art. 11.2 EAC, inciso segundo, que no me resulta compartible. La restricción se utiliza por una doble vía argumental: por una parte la visión de la reserva como una excepción a la regla general del inciso primero del precepto; y por otra, la excesiva formalización nominalista de la idea de fondos.</w:t>
      </w:r>
    </w:p>
    <w:p w:rsidR="0025129F" w:rsidRDefault="0025129F" w:rsidP="0025129F">
      <w:pPr>
        <w:pStyle w:val="TextoNormal"/>
      </w:pPr>
      <w:r>
        <w:t>En cuanto a la primera vía de restricción interpretativa es manifiesta en el fundamento jurídico 12 in fine, cuando dice que "un diverso entendimiento de los fondos a que alude el art. 11.2, segundo inciso, EAC, conduciría a generalizar la excepción que viene a establecerse en el reparto competencial contenido en el art.  149.1.7 CE, menoscabando así la competencia autonómica de ejecución que de este precepto constitucional resulta". En mi opinión, no se puede interpretar el art. 11.2 EAC en términos de una relación lógica de regla y excepción, sino que ambos incisos del precepto tienen el mismo valor de reglas, aunque de distinto ámbito. A mi juicio, la regla segunda del art. 11.2 EAC lo que hace es acotar, dentro del ámbito genérico de la ejecución de la legislación laboral, unas áreas concretas que reserva a la competencia del Estado; y no veo razón para entender que en el momento de traslación de competencias desde el Estado a la Comunidad Autónoma la retención de unas competencias por aquél deba considerarse con un valor inferior al de las competencias que se transfieren. Las competencias transferidas y las retenidas tienen, a mi juicio, el mismo valor de reglas.</w:t>
      </w:r>
    </w:p>
    <w:p w:rsidR="0025129F" w:rsidRDefault="0025129F" w:rsidP="0025129F">
      <w:pPr>
        <w:pStyle w:val="TextoNormal"/>
      </w:pPr>
      <w:r>
        <w:t>El inciso segundo aludido no creo que tenga por qué ser objeto de la interpretación restrictiva, según el criterio interpretativo aplicable a las normas excepcionales, como prácticamente viene a hacer la Sentencia, sino que supone simplemente una norma especial, que en su ámbito aplicativo es susceptible de ser interpretada sin ninguna sobrecarga conceptual de restricción. Y sobre esa base el concepto legal de "fondos nacionales y de empleo", creo que permite alojar en su seno la disposición por el Estado de unos fondos públicos, que tienen una identidad de partida por su procedencia de la cuota de formación profesional en un porcentaje determinado, y que completan su identidad en cuanto afectados a un fin especial, y entregados para su administración a un órgano ad hoc.</w:t>
      </w:r>
    </w:p>
    <w:p w:rsidR="0025129F" w:rsidRDefault="0025129F" w:rsidP="0025129F">
      <w:pPr>
        <w:pStyle w:val="TextoNormal"/>
      </w:pPr>
      <w:r>
        <w:t xml:space="preserve">El otro elemento de restricción interpretativa, el de la formalización nominalista del concepto de "fondos nacionales y de empleo", creo que viene ligado en la Sentencia a la misma concepción de la reserva competencial al Estado como excepción. La idea de "fondos públicos y de empleo" considero que es de suficiente amplitud para poder abarcar diferentes supuestos, sin que vea razón para que deba considerarse como elemento de la misma la exigencia de una formalización institucional de la índole de la exigida en la Sentencia. El que existan fondos nacionales como los referidos en ella, dotados de una determinada configuración institucional, no creo que sea incompatible con la extensión de la competencia del Estado respecto de otros fondos que carezcan de tal configuración. Por otra parte la restricción interpretativa de la competencia estatal basada en la formalización nominalista de la idea de "fondos públicos y de empleo", ni tan siquiera creo que pueda </w:t>
      </w:r>
      <w:r>
        <w:lastRenderedPageBreak/>
        <w:t>servir para limitar la competencia del Estado frente a la de la Comunidad Autónoma, desde el momento en que el Estado, que dispone respecto de los "fondos públicos y de empleo" de "todas las competencias", puede perfectamente crear por sí mismo como institución un fondo público en los términos formalísticos reclamados por la Sentencia; con lo que propiamente no existe en el precepto estatutario un límite real para la competencia reservada al Estado, que éste no pueda superar.</w:t>
      </w:r>
    </w:p>
    <w:p w:rsidR="0025129F" w:rsidRDefault="0025129F" w:rsidP="0025129F">
      <w:pPr>
        <w:pStyle w:val="TextoNormal"/>
      </w:pPr>
      <w:r>
        <w:t>La misma alusión en la Sentencia (FJ 14 in fine) al hecho de que "la inexistencia de estos rasgos [se refiere a los que, según ella son precisos para identificar in genere un fondo] se mantiene en las sucesivas Leyes estatales que se han referido a la materia (desde la Disposición adicional segunda de la Ley 21/1993, de 29 de diciembre de Presupuestos Generales del Estado para 1994, hasta la disposición adicional vigesimocuarta de la reciente Ley 23/2001, de 27 de diciembre de Presupuestos Generales del Estado para 2002)", si es que tal alusión debe tener algún valor, está señalando la vía a disposición del Estado para obviar el obstáculo que la Sentencia erige frente a la competencia de éste.</w:t>
      </w:r>
    </w:p>
    <w:p w:rsidR="0025129F" w:rsidRDefault="0025129F" w:rsidP="0025129F">
      <w:pPr>
        <w:pStyle w:val="TextoNormal"/>
      </w:pPr>
      <w:r>
        <w:t>En un problema de colisión de competencias entre el Estado y la Comunidad Autónoma litigante no me parece realista atender, como criterio definidor de los límites, a un elemento formal que está a disposición de uno de los contendientes. Lo que, a mi juicio, demuestra la irrelevancia del elemento tomado en consideración en la Sentencia, para negar la competencia del Estado, mediante el rodeo argumental de una interpretación formalista y nominalista del concepto de "fondos nacionales y de empleo".</w:t>
      </w:r>
    </w:p>
    <w:p w:rsidR="0025129F" w:rsidRDefault="0025129F" w:rsidP="0025129F">
      <w:pPr>
        <w:pStyle w:val="TextoNormal"/>
      </w:pPr>
      <w:r>
        <w:t>No me parecería respetuoso con los términos del precepto estatutario una interpretación restrictiva de la posibilidad de que el Estado constituyese, por un acto unilateral, denominándolo así, un fondo nacional, si es que tal formalismo fuese exigible, como cobertura formal de la disposición de fondos detraídos de la cuota de formación profesional, y con la misma instrumentación que la que aquí se cuestiona. A mi juicio el poder unilateral e incondicionado del Estado en cuanto a la constitución, disposición y ordenación de los modos de gestión de los "fondos nacionales y de empleo" está inequívocamente establecido en el inciso segundo del art.  11.2 EAC, cuando reserva al Estado "todas las competencias" al respecto.</w:t>
      </w:r>
    </w:p>
    <w:p w:rsidR="0025129F" w:rsidRDefault="0025129F" w:rsidP="0025129F">
      <w:pPr>
        <w:pStyle w:val="TextoNormal"/>
      </w:pPr>
      <w:r>
        <w:t>Por todo lo expuesto, entiendo que el conflicto de competencias debía haberse desestimado en su totalidad.</w:t>
      </w:r>
    </w:p>
    <w:p w:rsidR="0025129F" w:rsidRDefault="0025129F" w:rsidP="0025129F">
      <w:pPr>
        <w:pStyle w:val="TextoNormal"/>
      </w:pPr>
      <w:r>
        <w:t>En tal sentido evacuo mi Voto.</w:t>
      </w:r>
    </w:p>
    <w:p w:rsidR="0025129F" w:rsidRDefault="0025129F" w:rsidP="0025129F">
      <w:pPr>
        <w:pStyle w:val="TextoNormal"/>
      </w:pPr>
      <w:r>
        <w:t>Madrid, treinta de abril de dos mil dos.</w:t>
      </w:r>
    </w:p>
    <w:p w:rsidR="0025129F" w:rsidRDefault="0025129F" w:rsidP="0025129F">
      <w:pPr>
        <w:pStyle w:val="TextoNormal"/>
      </w:pPr>
    </w:p>
    <w:p w:rsidR="0025129F" w:rsidRDefault="0025129F" w:rsidP="0025129F">
      <w:pPr>
        <w:pStyle w:val="TextoNormalNegritaCentrado"/>
        <w:keepNext/>
      </w:pPr>
      <w:r>
        <w:t>Voto particular que formula el Magistrado don Guillermo Jiménez Sánchez respecto del fallo y de algunos extremos de la fundamentación jurídica de la Sentencia dictada en el recurso de inconstitucionalidad núm. 938/93 y en el conflicto positivo de competencia núm. 1176/93, acumulados.</w:t>
      </w:r>
    </w:p>
    <w:p w:rsidR="0025129F" w:rsidRDefault="0025129F" w:rsidP="0025129F">
      <w:pPr>
        <w:pStyle w:val="TextoNormalNegritaCentrado"/>
        <w:keepNext/>
      </w:pPr>
    </w:p>
    <w:p w:rsidR="0025129F" w:rsidRDefault="0025129F" w:rsidP="0025129F">
      <w:pPr>
        <w:pStyle w:val="TextoNormal"/>
      </w:pPr>
      <w:r>
        <w:t>1. La discrepancia con el criterio de la mayoría del Pleno del Tribunal que motiva la emisión de este Voto particular se refiere a un extremo decisivo en la fundamentación jurídica que conduce al fallo de la Sentencia dictada.</w:t>
      </w:r>
    </w:p>
    <w:p w:rsidR="0025129F" w:rsidRDefault="0025129F" w:rsidP="0025129F">
      <w:pPr>
        <w:pStyle w:val="TextoNormal"/>
      </w:pPr>
      <w:r>
        <w:t>Haciendo uso de la facultad atribuida a los Magistrados del Tribunal Constitucional por el apartado 2 del art.  90 LOTC reflejo en este Voto particular mi discrepancia, defendida en la deliberación del Pleno, respecto de un extremo que considero decisivo en fundamentación jurídica que conduce al fallo de la Sentencia dictada en el recurso de inconstitucionalidad núm. 938/93 y en el conflicto positivo de competencia núm. 1176/93, acumulados.</w:t>
      </w:r>
    </w:p>
    <w:p w:rsidR="0025129F" w:rsidRDefault="0025129F" w:rsidP="0025129F">
      <w:pPr>
        <w:pStyle w:val="TextoNormal"/>
      </w:pPr>
      <w:r>
        <w:lastRenderedPageBreak/>
        <w:t>Esta discrepancia se formula, desde luego, con el mayor respeto a la opinión mayoritaria de los componentes del Pleno del Tribunal, cuyo criterio merece siempre mi más alta consideración.</w:t>
      </w:r>
    </w:p>
    <w:p w:rsidR="0025129F" w:rsidRDefault="0025129F" w:rsidP="0025129F">
      <w:pPr>
        <w:pStyle w:val="TextoNormal"/>
      </w:pPr>
      <w:r>
        <w:t>2. El título atributivo de competencia sobre la materia objeto de la controversia enjuiciada es el "laboral", por lo cual los preceptos del "bloque de la constitucionalidad" relevantes a efectos de la resolución del recurso de inconstitucionalidad y el conflicto positivo de competencia sometidos a nuestro enjuiciamiento son los que se contienen en los arts. 149.1.7 CE y 11.2 EAC.</w:t>
      </w:r>
    </w:p>
    <w:p w:rsidR="0025129F" w:rsidRDefault="0025129F" w:rsidP="0025129F">
      <w:pPr>
        <w:pStyle w:val="TextoNormal"/>
      </w:pPr>
      <w:r>
        <w:t>Comparto el encuadramiento competencial que se efectúa en los fundamentos jurídicos 6, 7 y 8 de la Sentencia. Conforme a lo expuesto en ellos entiendo que la materia objeto de la controversia suscitada en el recurso de inconstitucionalidad y en el conflicto positivo de competencia no es reconducible a los ámbitos propios de los títulos "educación" (art. 15 EAC) o "bases y coordinación de la planificación general de la actividad económica" (149.1.13 CE), y que la respuesta más correcta a la cuestión afrontada es la que con total naturalidad lleva a encuadrar la materia considerada dentro del contenido específico del título "laboral".</w:t>
      </w:r>
    </w:p>
    <w:p w:rsidR="0025129F" w:rsidRDefault="0025129F" w:rsidP="0025129F">
      <w:pPr>
        <w:pStyle w:val="TextoNormal"/>
      </w:pPr>
      <w:r>
        <w:t>Conforme a ello coincido con el criterio mayoritario, expresado en el fundamento jurídico 9 de la Sentencia, de que los preceptos del "bloque de la constitucionalidad" que definen o delimitan las competencias correspondientes, en el caso sometido a nuestro enjuiciamiento, al Estado y a la Comunidad Autónoma de Cataluña son los contenidos en los arts. 149.1.7 CE y 11.2 EAC.</w:t>
      </w:r>
    </w:p>
    <w:p w:rsidR="0025129F" w:rsidRDefault="0025129F" w:rsidP="0025129F">
      <w:pPr>
        <w:pStyle w:val="TextoNormal"/>
      </w:pPr>
      <w:r>
        <w:t>3. El orden competencial establecido en el "bloque de la constitucionalidad" no puede resultar alterado por la conclusión de acuerdos entre el Gobierno del Estado y algunas de las organizaciones empresariales y sindicales "más representativas". Estos acuerdos tampoco pueden privar a la Comunidad Autónoma de Cataluña de la titularidad o de las facultades de disposición o control de que goce en relación con los centros o las instalaciones que le hayan sido transferidos.</w:t>
      </w:r>
    </w:p>
    <w:p w:rsidR="0025129F" w:rsidRDefault="0025129F" w:rsidP="0025129F">
      <w:pPr>
        <w:pStyle w:val="TextoNormal"/>
      </w:pPr>
      <w:r>
        <w:t>Igualmente considero que el orden competencial establecido en los invocados preceptos de la Constitución y del Estatuto de Autonomía de Cataluña no puede resultar alterado por la circunstancia de que la situación que ha dado lugar al planteamiento de las controversias elevadas a nuestro examen sea consecuencia de la conclusión de unos acuerdos de los que han sido partes el Gobierno del Estado y algunas de las organizaciones empresariales y sindicales "más representativas2 en el conjunto nacional. Y también estimo que en dichos acuerdos no cabe introducir (o que, caso de ser introducidas, habrían de ser consideradas contrarias al orden constitucional de distribución de competencias) cláusulas o contenidos que incidan sobre extremos que resultan ajenos a las facultades de disposición de quienes los suscriben, por lo que a través de ellos no es posible privar a la Comunidad Autónoma de Cataluña de sus competencias propias ni de la titularidad o de las facultades de disposición o control de que goce en relación con los centros o las instalaciones que le hayan sido transferidos.</w:t>
      </w:r>
    </w:p>
    <w:p w:rsidR="0025129F" w:rsidRDefault="0025129F" w:rsidP="0025129F">
      <w:pPr>
        <w:pStyle w:val="TextoNormal"/>
      </w:pPr>
      <w:r>
        <w:t>4. El segundo inciso del art. 11.2 EAC reserva al Estado todas las competencias en materia de fondos de ámbito nacional y de empleo, sin perjuicio de lo que establezcan las normas del Estado sobre estas materias.</w:t>
      </w:r>
    </w:p>
    <w:p w:rsidR="0025129F" w:rsidRDefault="0025129F" w:rsidP="0025129F">
      <w:pPr>
        <w:pStyle w:val="TextoNormal"/>
      </w:pPr>
      <w:r>
        <w:t>Ahora bien, el que en virtud de la conclusión de acuerdos entre el Gobierno del Estado y las organizaciones empresariales y sindicales no quepa alterar el orden constitucional de competencias, privando a la Comunidad Autónoma de Cataluña de las que le son propias, no significa, en modo alguno, que el establecimiento de sistemas de gestión instrumenta</w:t>
      </w:r>
      <w:r>
        <w:lastRenderedPageBreak/>
        <w:t>dos por la vía de la concertación social no pueda servir de cauce válido para el ejercicio por parte del Estado de las competencias que le corresponden.</w:t>
      </w:r>
    </w:p>
    <w:p w:rsidR="0025129F" w:rsidRDefault="0025129F" w:rsidP="0025129F">
      <w:pPr>
        <w:pStyle w:val="TextoNormal"/>
      </w:pPr>
      <w:r>
        <w:t>A este propósito es obligado tener presente que el segundo inciso del art. 11.2 EAC "reserva" al Estado "todas las competencias en materia de migraciones interiores y exteriores, fondos de ámbito nacional y de empleo, sin perjuicio de lo que establezcan las normas del Estado sobre estas materias". Queda así inequívocamente reconocida al Estado una competencia plena o absoluta que delimita la atribuida a la Generalidad de Cataluña en el primer inciso del art. 12 EAC sobre la "materia laboral" "a nivel de ejecución", ámbito en el que corresponden al ente autonómico "las facultades, competencias y servicios" que "ostenta actualmente el Estado". El régimen o sistema competencial diseñado por el Estatuto de Autonomía de Cataluña incluye, en definitiva, dos reglas o principios complementarios: el que confiere a la Generalidad de Cataluña la titularidad de la competencia de ejecución sobre la "materia laboral" y el que declara propias del Estado "todas las competencias" sobre los fondos de ámbito nacional, instituciones que, por la ubicación sistemática de la norma que las contempla, debemos calificar de "laborales".</w:t>
      </w:r>
    </w:p>
    <w:p w:rsidR="0025129F" w:rsidRDefault="0025129F" w:rsidP="0025129F">
      <w:pPr>
        <w:pStyle w:val="TextoNormal"/>
      </w:pPr>
      <w:r>
        <w:t>Correspondiendo, por consiguiente, a la esfera propia de las competencias del Estado "todas" las relativas a los fondos nacionales, resulta perfectamente válido y conforme con el orden de distribución de competencias establecido por el "bloque de la constitucionalidad2 que las actuaciones que se financien por medio del expediente de creación de fondos de tal carácter se contemplen en los acuerdos celebrados entre el Estado y los interlocutores sociales firmantes del "Pacto Tripartito", y asimismo que en dichos acuerdos se regulen los mecanismos merced a los cuales se harán efectivas las prestaciones laborales relativas a la formación continua de los trabajadores ocupados, cuya dispensación constituye el objetivo esencial del citado pacto.</w:t>
      </w:r>
    </w:p>
    <w:p w:rsidR="0025129F" w:rsidRDefault="0025129F" w:rsidP="0025129F">
      <w:pPr>
        <w:pStyle w:val="TextoNormal"/>
      </w:pPr>
      <w:r>
        <w:t>5. La financiación del Acuerdo tripartito en materia de formación continua de los trabajadores ocupados se instrumenta a través de un sistema que supone la creación de un fondo nacional.</w:t>
      </w:r>
    </w:p>
    <w:p w:rsidR="0025129F" w:rsidRDefault="0025129F" w:rsidP="0025129F">
      <w:pPr>
        <w:pStyle w:val="TextoNormal"/>
      </w:pPr>
      <w:r>
        <w:t>Conviene precisar que el Consejo Ejecutivo de la Generalidad de Cataluña, tanto en el recurso de inconstitucionalidad como en el conflicto positivo de competencia contra la Disposición adicional vigesimotercera de la Ley 39/1992, de 29 de diciembre, de Presupuestos Generales del Estado para 1993, y el Acuerdo tripartito en materia de formación continua de los trabajadores ocupados, suscrito el 22 de diciembre de 1992, cuestiona muy especialmente el sistema de financiación nacional establecido para la formación profesional y la sustracción a la Comunidad Autónoma Catalana de la cuota que le correspondería si los recursos económicos centralizados se "territorializaran", por lo que reclama que se proceda a realizar las operaciones conducentes a la territorialización y, consecuentemente, que se pongan a su disposición las cantidades que en virtud de esta (conforme a su criterio, obligada) operación le deben corresponder (cfr.  antecedentes 2 y 6).</w:t>
      </w:r>
    </w:p>
    <w:p w:rsidR="0025129F" w:rsidRDefault="0025129F" w:rsidP="0025129F">
      <w:pPr>
        <w:pStyle w:val="TextoNormal"/>
      </w:pPr>
      <w:r>
        <w:t>Así pues, desde las premisas afirmadas en el apartado anterior, y estando a los términos en que el recurso de inconstitucionalidad y el conflicto positivo de competencia plantean la vulneración que atribuyen a la financiación del Acuerdo nacional de formación continua, la cuestión esencial que hemos de afrontar al pronunciarnos sobre la conformidad o disconformidad de la técnica de financiación seguida con el sistema de distribución de competencias diseñado por el "bloque de la constitucionalidad", y específicamente por el Estatuto de Autonomía de Cataluña , es la de si, al no haber sido territorializada, dicha financiación (o, si se quiere, la fórmula escogida para hacerla efectiva) vulnera las competencias propias de la Generalidad de Cataluña o no produce tal vulneración como consecuencia de haberse instrumentado mediante la creación de un fondo nacional.</w:t>
      </w:r>
    </w:p>
    <w:p w:rsidR="0025129F" w:rsidRDefault="0025129F" w:rsidP="0025129F">
      <w:pPr>
        <w:pStyle w:val="TextoNormal"/>
      </w:pPr>
      <w:r>
        <w:lastRenderedPageBreak/>
        <w:t>Al respecto entiendo que es obligado pronunciarse en favor del último de los términos de la alternativa enunciada, pues, frente a la tesis mantenida en el fundamento jurídico 12 de la Sentencia de la que respetuosamente discrepo, estimo que no otra cosa que la creación de un fondo nacional supone la afección de un determinado porcentaje (el 0'10 por 100) de la cuota de formación profesional (el 0'70 por ciento "sobre la base de accidente de trabajo y enfermedades profesionales") "a la financiación directa de las acciones formativas de los trabajadores asalariados tanto del sector público como privado, excluidos los pertenecientes a la Administración pública, que se desarrollen conforme a lo establecido en el Acuerdo nacional sobre formación continua" (punto primero del Acuerdo tripartito en materia de formación continua de los trabajadores ocupados), lo que dio lugar a que la Disposición adicional vigesimotercera de la Ley 39/1992, de Presupuestos Generales del Estado para 1993, dispusiera que "de la cotización a Formación Profesional a que se refiere el art. 98, ocho, 2.3, de esta Ley, la cuantía que resulte de aplicar a la base de dicha contingencia un 0,1 por ciento se afectará a la financiación de acciones formativas acogidas al Acuerdo Nacional sobre Formación Continua", y que "el importe de la citada cantidad, que figura en el presupuesto del Instituto Nacional de Empleo, se pondrá a disposición de Ente Paritario de ámbito estatal de las representaciones sindicales y empresariales, dotado de personalidad jurídica, que las partes firmantes del Acuerdo designen".</w:t>
      </w:r>
    </w:p>
    <w:p w:rsidR="0025129F" w:rsidRDefault="0025129F" w:rsidP="0025129F">
      <w:pPr>
        <w:pStyle w:val="TextoNormal"/>
      </w:pPr>
      <w:r>
        <w:t>La afirmación avanzada se sustenta, en mi opinión sólidamente, en un conjunto de factores, tales como la adscripción por el Estado de unas específicas dotaciones económicas para la consecución de una finalidad precisa y nítidamente definida; la individualización de la partida presupuestaria de la que han de traer origen dichas dotaciones; y la previsión de que dichas dotaciones se "transferirán" al "Ente Paritario Estatal [dotado de personalidad jurídica] que las partes firmantes del Acuerdo Nacional sobre Formación Continua constituyan y designen".</w:t>
      </w:r>
    </w:p>
    <w:p w:rsidR="0025129F" w:rsidRDefault="0025129F" w:rsidP="0025129F">
      <w:pPr>
        <w:pStyle w:val="TextoNormal"/>
      </w:pPr>
      <w:r>
        <w:t>No cabe, a mi parecer, oponer a la conceptuación resultante de los rasgos caracterizadores indicados el hecho de que el fondo nacional así creado no se designa como tal por las disposiciones que lo instituyen, pues ello supondría elevar al rango de elemento decisivo lo que no tiene otra significación que la meramente nominalista y carece de un auténtico contenido material. Y entiendo que tampoco podría hacerse valer frente a dicha conceptuación la objeción, ésta sí de carácter sustantivo, de que la creación de un fondo nacional por el Acuerdo y la disposición sobre los que se plantean el conflicto positivo de competencia y el recurso de inconstitucionalidad supondría una innovación en el campo de la ejecución de la "materia laboral" contemplada en el Estatuto de Autonomía de Cataluña (puesto que tal fondo no existía en el momento de la promulgación de este Estatuto), y el reconocimiento de la posibilidad de introducir esta modalidad de gestión centralizada en ámbitos anteriormente no reservados a la competencia estatal convertiría en meramente testimonial o claudicante la correspondiente en la esfera laboral a la Generalidad de Cataluña, ya que, como consecuencia de la operación contemplada, las atribuciones asumidas por ésta conforme al art.  11.2, primer inciso, EAC quedarían en todo momento supeditadas a que el Estado no las vaciara de contenido real a través de la creación de fondos nacionales que incidiesen con su actuación sobre áreas que, conforme a la concepción de los redactores del Estatuto de Autonomía de Cataluña, debían corresponder al ámbito propio de actuación del ente autonómico.</w:t>
      </w:r>
    </w:p>
    <w:p w:rsidR="0025129F" w:rsidRDefault="0025129F" w:rsidP="0025129F">
      <w:pPr>
        <w:pStyle w:val="TextoNormal"/>
      </w:pPr>
      <w:r>
        <w:t>En relación con esta última línea argumental debe, sin duda, reconocerse, como una intelección correcta y conforme al principio de lealtad constitucional requiere, que no puede ser admisible la maniobra de atribuir a la esfera de la actuación estatal, por la vía de la creación de fondos nacionales, todas las competencias reconducibles a la "materia labo</w:t>
      </w:r>
      <w:r>
        <w:lastRenderedPageBreak/>
        <w:t>ral", vaciando así de contenido la atribución de competencias de ejecución en este campo realizada en favor de la Generalidad de Cataluña por el primer inciso del art. 11.2 EAC. Pero tampoco cabe sostener, en buena lógica, lo contrario: que la fuerza expansiva del principio consagrado en el art. 11.2, primer inciso, EAC reduzca el significado de la regla especial (que no excepcional) recogida en el segundo inciso del art. 11.2 EAC, la cual reserva al Estado "todas las competencias en materia de fondos de ámbito nacional", no únicamente respecto de los existentes en el momento de aprobación del Estatuto de Autonomía de Cataluña (dado que ninguna precisión o salvedad se apunta al respecto), sino en relación con cualesquiera de los que se hayan creado en el presente o puedan crearse en el futuro.</w:t>
      </w:r>
    </w:p>
    <w:p w:rsidR="0025129F" w:rsidRDefault="0025129F" w:rsidP="0025129F">
      <w:pPr>
        <w:pStyle w:val="TextoNormal"/>
      </w:pPr>
      <w:r>
        <w:t>La determinación de cuándo debe correctamente estimarse que resulta constitucionalmente admisible la creación de un fondo nacional al que se confíe la realización de determinadas actividades propias de la "materia laboral", y cuándo, contrariamente, por incidir sobre el núcleo esencial de las competencias asumidas "a nivel de ejecución" en tal materia por la Generalidad de Cataluña, no cabe considerar conforme con el orden constitucional de distribución de competencias dicha creación, es una cuestión que sólo puede ser resuelta analizando, caso por caso, la significación y la trascendencia de las funciones encomendadas al fondo nacional de que se trate, la legitimidad de cuya erección debe presuponerse en principio de acuerdo con la genérica presunción de adecuación al ordenamiento constitucional de las actuaciones de los poderes públicos en un Estado social y democrático de Derecho.</w:t>
      </w:r>
    </w:p>
    <w:p w:rsidR="0025129F" w:rsidRDefault="0025129F" w:rsidP="0025129F">
      <w:pPr>
        <w:pStyle w:val="TextoNormal"/>
      </w:pPr>
      <w:r>
        <w:t>Como queda ya apuntado, en tal análisis lo que habría que tomar en consideración serían los efectos fundamentales de la creación del Fondo Nacional, es decir, si de ella se seguiría o no la privación efectiva de "las facultades, competencias y servicios" que en materia laboral y "a nivel de ejecución" ha asumido la Comunidad Autónoma de Cataluña. Pero lo que en ningún caso correspondería al Tribunal Constitucional sería pronunciarse sobre la oportunidad o conveniencia de la creación de un fondo nacional, puesto que la ponderación de las razones o circunstancias que hacen aconsejable o desaconsejable tal operación es una actividad propia de los órganos de decisión política y por ello excede manifiestamente del ámbito propio de nuestro enjuiciamiento.</w:t>
      </w:r>
    </w:p>
    <w:p w:rsidR="0025129F" w:rsidRDefault="0025129F" w:rsidP="0025129F">
      <w:pPr>
        <w:pStyle w:val="TextoNormal"/>
      </w:pPr>
      <w:r>
        <w:t>6. No resulta de aplicación a la financiación del Acuerdo tripartito en materia de formación continua de los trabajadores ocupados la doctrina de la territorialización de subvenciones.</w:t>
      </w:r>
    </w:p>
    <w:p w:rsidR="0025129F" w:rsidRDefault="0025129F" w:rsidP="0025129F">
      <w:pPr>
        <w:pStyle w:val="TextoNormal"/>
      </w:pPr>
      <w:r>
        <w:t>Finalmente, y frente a lo que se afirma en los fundamentos jurídicos 18, 19 y 20 de la Sentencia, entiendo que no resulta de aplicación a la financiación del Acuerdo tripartito en materia de formación continua de los trabajadores ocupados la doctrina de la "territorialización de subvenciones", que para otros casos (según mi opinión radicalmente diversos en diversos aspectos decisivos al ahora contemplado) han configurado precedentes fallos del Tribunal Constitucional.</w:t>
      </w:r>
    </w:p>
    <w:p w:rsidR="0025129F" w:rsidRDefault="0025129F" w:rsidP="0025129F">
      <w:pPr>
        <w:pStyle w:val="TextoNormal"/>
      </w:pPr>
      <w:r>
        <w:t>En efecto, la exigencia de "territorializar" el importe de determinadas subvenciones, derivada del sistema constitucional de distribución de competencias entre el Estado y las Comunidades Autónomas (o entre aquél algunas de éstas), postula como presupuesto inexcusable que la titularidad de la competencia relativa a la materia en relación con la cual se establecen dichas ayudas financieras corresponda a los entes autonómicos, que no pueden ser privados de sus específicas o propias atribuciones en función de una decisión subvencional forzosamente carente de la virtualidad de atraer hacia el Estado competencias que, conforme a lo establecido en el "bloque de la constitucionalidad", no le son propias.</w:t>
      </w:r>
    </w:p>
    <w:p w:rsidR="0025129F" w:rsidRDefault="0025129F" w:rsidP="0025129F">
      <w:pPr>
        <w:pStyle w:val="TextoNormal"/>
      </w:pPr>
      <w:r>
        <w:lastRenderedPageBreak/>
        <w:t>Pero tal presupuesto, a mi parecer, no concurre en el caso que ahora enjuiciamos, puesto que si, como queda reiteradamente indicado, nos encontramos en él ante la existencia de un fondo de ámbito nacional cuya actuación se centra en el ámbito propio de la "materia laboral", el art. 11.2, segundo inciso, EAC reserva al Estado todas las competencias relativas a dicha institución, por lo que no puede sostenerse que resulte procedente efectuar en favor de la Generalidad de Cataluña ningún tipo de territorialización de las asignaciones que en los Presupuestos Generales del Estado se destinan a las prestaciones para cuya cobertura se ha creado el fondo.</w:t>
      </w:r>
    </w:p>
    <w:p w:rsidR="0025129F" w:rsidRDefault="0025129F" w:rsidP="0025129F">
      <w:pPr>
        <w:pStyle w:val="TextoNormal"/>
      </w:pPr>
      <w:r>
        <w:t>Firmo este Voto particular en Madrid, a treinta de abril de dos mil dos.</w:t>
      </w:r>
    </w:p>
    <w:p w:rsidR="0025129F" w:rsidRDefault="0025129F" w:rsidP="0025129F">
      <w:pPr>
        <w:pStyle w:val="TextoNormal"/>
      </w:pPr>
    </w:p>
    <w:p w:rsidR="0025129F" w:rsidRDefault="0025129F" w:rsidP="0025129F">
      <w:pPr>
        <w:pStyle w:val="TextoNormalNegritaCentrado"/>
        <w:keepNext/>
      </w:pPr>
      <w:r>
        <w:t>Voto particular que formula el Magistrado don Roberto García-Calvo y Montiel respecto de la Sentencia dictada en el recurso de inconstitucionalidad número 938/93 y conflicto positivo de competencia 1176/1993, acumulados.</w:t>
      </w:r>
    </w:p>
    <w:p w:rsidR="0025129F" w:rsidRDefault="0025129F" w:rsidP="0025129F">
      <w:pPr>
        <w:pStyle w:val="TextoNormalNegritaCentrado"/>
        <w:keepNext/>
      </w:pPr>
    </w:p>
    <w:p w:rsidR="0025129F" w:rsidRDefault="0025129F" w:rsidP="0025129F">
      <w:pPr>
        <w:pStyle w:val="TextoNormal"/>
      </w:pPr>
      <w:r>
        <w:t>El presente Voto particular -que emito con el máximo respeto a la opinión de la mayoría- se refiere sólo a un concreto extremo de dicha resolución, aunque este sea precisamente el que ha conducido a la estimación del recurso. En definitiva, el sentido de la discrepancia no es sino refutar los argumentos expuestos en los fundamentos de Derecho duodécimo y decimotercero de la Sentencia aprobada por la mayoría, por las razones que siguen.</w:t>
      </w:r>
    </w:p>
    <w:p w:rsidR="0025129F" w:rsidRDefault="0025129F" w:rsidP="0025129F">
      <w:pPr>
        <w:pStyle w:val="TextoNormal"/>
      </w:pPr>
      <w:r>
        <w:t>Como es obvio, mi disentimiento se expresa respecto del contenido de la Sentencia aprobada por la mayoría, sin tener en cuenta el Voto particular concurrente del Magistrado Ponente, que, además de apoyar el criterio mayoritario, adiciona otros elementos argumentales en refuerzo de la tesis estimatoria. Ello evidencia, a mi juicio, que los argumentos reflejados en la Sentencia no son considerados suficientes por quien expresa el parecer de la mayoría, dejando patente la orfandad argumental con la que se ha decidido que en el supuesto sometido a consideración del Tribunal no rige la reserva a favor del Estado.</w:t>
      </w:r>
    </w:p>
    <w:p w:rsidR="0025129F" w:rsidRDefault="0025129F" w:rsidP="0025129F">
      <w:pPr>
        <w:pStyle w:val="TextoNormal"/>
      </w:pPr>
      <w:r>
        <w:t>Primero. Para una mejor comprensión del sentido de la discordancia anunciada, parece conveniente partir de la tesis que la mayoría expresó en los fundamentos antes mencionados.</w:t>
      </w:r>
    </w:p>
    <w:p w:rsidR="0025129F" w:rsidRDefault="0025129F" w:rsidP="0025129F">
      <w:pPr>
        <w:pStyle w:val="TextoNormal"/>
      </w:pPr>
      <w:r>
        <w:t>La principal argumentación de la que se deduce la inexistencia de la reserva estatal "que establece el art.  11.2, segundo inciso EAC" es textualmente la siguiente:</w:t>
      </w:r>
    </w:p>
    <w:p w:rsidR="0025129F" w:rsidRDefault="0025129F" w:rsidP="0025129F">
      <w:pPr>
        <w:pStyle w:val="TextoNormal"/>
      </w:pPr>
      <w:r>
        <w:t>"en este caso, no se constituye una masa patrimonial para, dotándola de cierta sustantividad orgánica identificadora, financiar dichas acciones formativas, sino que las cuotas resultante de aplicar el entonces vigente tipo de cotización del 0'70 por ciento, siguen siendo recaudadas por la Tesorería General de la Seguridad Social, y los fondos públicos procedentes del Presupuesto del INEM son transferidos por este Organismo en el porcentaje afectado al denominado 'ente paritario estatal', es decir, al ente fundacional constituido por la representación de los trabajadores y de los empresarios, a la sazón denominado FORCEM, para su gestión y administración "en todos los aspectos", tal como dispone el acuerdo primero, apartado 2 y el acuerdo tercero, en su primer párrafo. Se trata, en consecuencia, de una dotación de recursos presupuestarios para financiar las acciones formativas acogida al Acuerdo nacional sobre formación continua, sin que proceda equiparar toda dotación presupuestaria con un fondo de los aludidos por el art. 11.2 EAC. No nos hallamos, pues, ante la creación o constitución por el Estado de un fondo nacional laboral que venga a dejar sin efecto las competencias de ejecución de la legislación laboral estatutariamente asumidas por la Generalidad de Cataluña."</w:t>
      </w:r>
    </w:p>
    <w:p w:rsidR="0025129F" w:rsidRDefault="0025129F" w:rsidP="0025129F">
      <w:pPr>
        <w:pStyle w:val="TextoNormal"/>
      </w:pPr>
      <w:r>
        <w:t>Dicho expositivo se consolida con un colofón del siguiente tenor:</w:t>
      </w:r>
    </w:p>
    <w:p w:rsidR="0025129F" w:rsidRDefault="0025129F" w:rsidP="0025129F">
      <w:pPr>
        <w:pStyle w:val="TextoNormal"/>
      </w:pPr>
      <w:r>
        <w:lastRenderedPageBreak/>
        <w:t>"hemos de recordar que la finalidad perseguida con la afectación de tales recursos presupuestarios, no se enmarca en la órbita de la política económica del Estado orientada al pleno empleo (art. 40.1 CE), sino que se circunscribe al concreto y limitado objetivo de hacer efectivo el derecho de los trabajadores con empleo a su formación y readaptación profesionales, lo que redundará en su derecho fundamental a la promoción a través del trabajo (art. 35.1 CE)"</w:t>
      </w:r>
    </w:p>
    <w:p w:rsidR="0025129F" w:rsidRDefault="0025129F" w:rsidP="0025129F">
      <w:pPr>
        <w:pStyle w:val="TextoNormal"/>
      </w:pPr>
      <w:r>
        <w:t>Segundo. Pues bien, tales afirmaciones resultan inaceptables porque a mi juicio responden a un puro nominalismo o reduccionismo asentado en una visión contractualista desligada de la intervención pública en materia de formación, además de suponer una anacrónica concepción de la política de empleo ajena a lo que hoy se considera pacíficamente como tal en su sentido más activo y global.</w:t>
      </w:r>
    </w:p>
    <w:p w:rsidR="0025129F" w:rsidRDefault="0025129F" w:rsidP="0025129F">
      <w:pPr>
        <w:pStyle w:val="TextoNormal"/>
      </w:pPr>
      <w:r>
        <w:t>Así, en primer lugar, hemos de refutar, que este acuerdo no se enmarque en la "política económica del estado orientada al pleno empleo" como textualmente expresa el parecer de la mayoría.</w:t>
      </w:r>
    </w:p>
    <w:p w:rsidR="0025129F" w:rsidRDefault="0025129F" w:rsidP="0025129F">
      <w:pPr>
        <w:pStyle w:val="TextoNormal"/>
      </w:pPr>
      <w:r>
        <w:t>El derecho a la promoción a través del trabajo en su dimensión formativa, y el mandato a los poderes públicos para que fomenten una política que garantice la formación y readaptación profesionales, si bien tienen ámbitos de actuación y objetivos parcialmente coincidentes, contemplan la formación desde perspectivas diferentes. De un lado, el art. 35.1 CE contempla la formación profesional del trabajador en el seno del contrato de trabajo y, por tanto, considera que el sujeto inmediatamente obligado a respetar y garantizar el ejercicio del derecho es el empresario. Por su parte, el art.  40.2 CE regula, aunque no exclusivamente, la formación profesional de los trabajadores ocupados, obligando a los poderes públicos a fomentar la formación profesional en el seno de las empresas. Existe, por tanto, un evidente interés público en la mejora de la capacitación profesional de los trabajadores en su conjunto, lo que supone un factor de mejora en el funcionamiento del mercado de trabajo y de promoción de la competitividad del sistema económico.</w:t>
      </w:r>
    </w:p>
    <w:p w:rsidR="0025129F" w:rsidRDefault="0025129F" w:rsidP="0025129F">
      <w:pPr>
        <w:pStyle w:val="TextoNormal"/>
      </w:pPr>
      <w:r>
        <w:t>Se da pues una estrecha conexión entre la formación profesional, entendida como instrumento de política social dirigido a favorecer la ocupación, la progresiva cualificación y la promoción de los trabajadores, y la más general disciplina del mercado de trabajo, en cuanto que la cualificación de todos los trabajadores y en todos los sectores responde tanto al interés particular de los interesados en la búsqueda o en la continuación de un empleo, como al interés público en la mejora de las capacidades profesionales en su conjunto. La formación es para el Estado un medio privilegiado al servicio de la política de empleo, de la promoción social y de la igualdad de oportunidades.</w:t>
      </w:r>
    </w:p>
    <w:p w:rsidR="0025129F" w:rsidRDefault="0025129F" w:rsidP="0025129F">
      <w:pPr>
        <w:pStyle w:val="TextoNormal"/>
      </w:pPr>
      <w:r>
        <w:t>De ahí que, la meta o finalidad de la política de empleo no sea sólo el equilibrio numérico entre personas activas y disponibilidades de empleo, como parece proponernos la visión de la mayoría, sino el aprovechamiento adecuado de los recursos humanos de un país a la vista de los datos básicos de su economía: riqueza natural, equipamiento industrial, posibilidades futuras de producción.</w:t>
      </w:r>
    </w:p>
    <w:p w:rsidR="0025129F" w:rsidRDefault="0025129F" w:rsidP="0025129F">
      <w:pPr>
        <w:pStyle w:val="TextoNormal"/>
      </w:pPr>
      <w:r>
        <w:t>Así pues, junto a la idea de ocupación plena o total de las personas en condiciones de trabajar, la política de empleo ha de contar también con un ingrediente de productividad o eficiencia de las actividades desarrolladas.  La significación estructural de la formación profesional ha hecho que la concepción de la misma haya pasado a formar parte de las llamadas políticas activas de empleo, al vincularse aquélla a la capacidad de favorecer el desarrollo de los capitales humanos específicos.</w:t>
      </w:r>
    </w:p>
    <w:p w:rsidR="0025129F" w:rsidRDefault="0025129F" w:rsidP="0025129F">
      <w:pPr>
        <w:pStyle w:val="TextoNormal"/>
      </w:pPr>
      <w:r>
        <w:t>Buen ejemplo de ello es que la idea de la formación permanente condiciona el conjunto de la moderna política de empleo en la Unión Europea, en la que se propugna el paso de las políticas pasivas a otras políticas activas en la materia; esto es, la sustitución -o al me</w:t>
      </w:r>
      <w:r>
        <w:lastRenderedPageBreak/>
        <w:t>nos la convivencia- de las medidas pasivas (con las transferencias mediante prestaciones por desempleo) con otras activas (formación, capacitación profesional continuada, etc...). Por ello, la importancia estratégica de éstas ha sido reconocida reiteradamente, en los muy distintos documentos y formulaciones efectuados sobre la materia, tanto desde un plano general, como desde la constatación de la indudable interdependencia entre la formación y la introducción de las innovaciones tecnológicas.</w:t>
      </w:r>
    </w:p>
    <w:p w:rsidR="0025129F" w:rsidRDefault="0025129F" w:rsidP="0025129F">
      <w:pPr>
        <w:pStyle w:val="TextoNormal"/>
      </w:pPr>
      <w:r>
        <w:t>En definitiva, para quién emite este Voto particular la significación estructural de la formación profesional para la consecución de los objetivos comunitarios resulta evidente, como lo demuestra el hecho incontestable de que haya entrado a formar parte de las llamadas políticas activas de empleo. Se ha pasado de un enfoque tradicional, basado en la coyunturalidad y en la adopción de medidas de choque en situaciones de crisis, a un enfoque estructural y, por consiguiente, más complejo y global. Esta tesis no es, sin embargo, la que se expone en el criterio de la mayoría que, en suma, considera que la finalidad de la afectación de los recursos presupuestarios "no se enmarca en la órbita de la política del Estado orientada al pleno empleo, sino que se circunscribe al concreto y limitado objetivo de hacer efectivo el derecho de los trabajadores con empleo a su formación y readaptación profesionales". Esta afirmación, de la que se extrae después la ratio decidendi de la estimación del recurso, no sólo no la comparto, sino que creo que va en contra de la consideración de lo que se entiende como política de empleo.</w:t>
      </w:r>
    </w:p>
    <w:p w:rsidR="0025129F" w:rsidRDefault="0025129F" w:rsidP="0025129F">
      <w:pPr>
        <w:pStyle w:val="TextoNormal"/>
      </w:pPr>
      <w:r>
        <w:t>De ahí que las referencias a los antecedentes normativos contenidos en el fundamento jurídico trece queden reducidas a un ejercicio de escisión legislativa que aunque adereza la presentación de la línea discursiva por la que camina la Ponencia, elude entrar en los aspectos esenciales de la política de empleo así considerada. Por eso manteníamos al inicio de este voto y lo ratificamos aquí que, con todos los respetos que nos merecen las demás opiniones, los argumentos de la mayoría se basan en criterios coyunturales que reducen el problema a términos puramente nominalistas y formales y no tienen en cuenta el aspecto estructural de las políticas de empleo.</w:t>
      </w:r>
    </w:p>
    <w:p w:rsidR="0025129F" w:rsidRDefault="0025129F" w:rsidP="0025129F">
      <w:pPr>
        <w:pStyle w:val="TextoNormal"/>
      </w:pPr>
      <w:r>
        <w:t>Tercero. Cuestionable resulta, igualmente, la negativa a considerar como fondo de empleo de carácter nacional el dispositivo financiero para la formación continua contenido en el Acuerdo tripartito. En definitiva, la tesis de la mayoría viene a decir que no existe un fondo porque -de nuevo formalmente- no se ha creado un fondo. Dicha conclusión me resulta inaceptable.</w:t>
      </w:r>
    </w:p>
    <w:p w:rsidR="0025129F" w:rsidRDefault="0025129F" w:rsidP="0025129F">
      <w:pPr>
        <w:pStyle w:val="TextoNormal"/>
      </w:pPr>
      <w:r>
        <w:t>Como consecuencia de los procesos convencionales celebrados en el ámbito nacional, primero en diciembre de 1992 y, más tarde, en diciembre de 1996, la formación continua de los trabajadores ocupados ha pasado a estar regulada en nuestro ordenamiento jurídico mediante un complejo sistema de acuerdos de naturaleza distinta, que se articulan entre sí de modo igualmente diverso. Tres son los ejes sobre los que gira el sistema: el Acuerdo tripartito, el Acuerdo nacional de formación continua (ANFC) y los instrumentos contractuales menores -Acuerdos nacionales sectoriales, convenios colectivos sectoriales, unos y otros de ámbito estatal-.</w:t>
      </w:r>
    </w:p>
    <w:p w:rsidR="0025129F" w:rsidRDefault="0025129F" w:rsidP="0025129F">
      <w:pPr>
        <w:pStyle w:val="TextoNormal"/>
      </w:pPr>
      <w:r>
        <w:t>El primero de los citados ejes de ordenación de la formación profesional continua en el ámbito nacional constituye una manifestación típica de la concertación social, entendiendo por tal un método de adopción de decisiones estratégicas o importantes en los ámbitos de la política social y económica y de la regulación de las condiciones de trabajo por parte de tres actores o sujetos: el Gobierno, los sindicatos y las organizaciones empresariales.</w:t>
      </w:r>
    </w:p>
    <w:p w:rsidR="0025129F" w:rsidRDefault="0025129F" w:rsidP="0025129F">
      <w:pPr>
        <w:pStyle w:val="TextoNormal"/>
      </w:pPr>
      <w:r>
        <w:t xml:space="preserve">En los acuerdos tripartitos concurren, en efecto, las tres notas que caracterizan la concertación social. Por lo pronto, el campo de acción u objeto de la práctica concertada versa sobre una materia socioeconómica, cual es la formación continua. Se trata, en segundo </w:t>
      </w:r>
      <w:r>
        <w:lastRenderedPageBreak/>
        <w:t>lugar, de una materia de indudable importancia para la marcha de la economía española. Como con toda razón hizo notar el Preámbulo del Acuerdo de 1992, la formación continua es "un valor estratégico para mejorar la competitividad de las empresas en orden a su adaptación flexible a los requerimientos del sistema productivo, así como para mejorar la calidad del empleo de los trabajadores y disminuir el riesgo de paro".  Finalmente, los sujetos que han convenido son el poder público, de un lado, y las representaciones profesionales de intereses, de otro.</w:t>
      </w:r>
    </w:p>
    <w:p w:rsidR="0025129F" w:rsidRDefault="0025129F" w:rsidP="0025129F">
      <w:pPr>
        <w:pStyle w:val="TextoNormal"/>
      </w:pPr>
      <w:r>
        <w:t>En su condición de manifestación de la economía concertada, los acuerdos tripartitos se sitúan en el espacio de lo político-social; es decir, en esa zona de contacto más o menos amplia que suele existir entre el sistema político y el sistema de relaciones laborales como consecuencia de la intersección de sus respectivas esferas de actuación. No es, por tanto, un contrato administrativo del que pueda predicarse su inclusión en la Ley de Contratos del Estado. Y tampoco es un convenio colectivo, al que convengan las reglas y los efectos de lo que el art. 37.1 de la Constitución denomina "negociación colectiva laboral". Tal vez, el acuerdo tripartito pueda ser configurado como un contrato de Derecho público, a cuya regulación resulten aplicables subsidiariamente las normas generales sobre contratación. Bien distinta es la naturaleza de los ANFC, así como de los convenios estatales sectoriales o de los acuerdos específicos de idéntico ámbito geográfico. Todos ellos forman parte de la negociación colectiva propiamente dicha, sometiéndose a la disciplina del ordenamiento jurídico laboral.</w:t>
      </w:r>
    </w:p>
    <w:p w:rsidR="0025129F" w:rsidRDefault="0025129F" w:rsidP="0025129F">
      <w:pPr>
        <w:pStyle w:val="TextoNormal"/>
      </w:pPr>
      <w:r>
        <w:t>Por otra parte, la persona jurídica que gestiona la masa patrimonial destinada a dotar de plena efectividad al referido Acuerdo es la Fundación para la formación continua [Orden Ministerial 4 de junio de 1993]. Entre sus funciones, aparte de las de naturaleza contable, destaca la de recibir los recursos de los fondos estructurales de la Comunidad Europea destinados a formación de ocupados (art. 3.1 ATFC), por lo que dicha entidad gestiona una masa patrimonial.  Los Estatutos del FORCEM, a su vez, establecen los siguientes fines de interés general: la administración y gestión de los Fondos con destino a la formación continua de los trabajadores ocupados como ente paritario estatal encargado de la organización, gestión y ejecución de las acciones formativas contempladas en el referido Acuerdo tripartito en materia de formación continua de los trabajadores ocupados y en el Acuerdo nacional de formación continua, así como de otros fondos de origen distinto que le puedan ser atribuidos; impulsar la inclusión de los criterios orientativos para la elaboración de planes de formación, tanto de empresas como agrupados, en los convenios sectoriales o en los acuerdos específicos de formación; realizar cuantas actividades decidan los órganos de gobierno de la Fundación que tengan por finalidad la formación continua, su desarrollo y perfeccionamiento y el impulso, promoción y remuneración de los permisos de formación a los trabajadores.</w:t>
      </w:r>
    </w:p>
    <w:p w:rsidR="0025129F" w:rsidRDefault="0025129F" w:rsidP="0025129F">
      <w:pPr>
        <w:pStyle w:val="TextoNormal"/>
      </w:pPr>
      <w:r>
        <w:t xml:space="preserve">Para cumplimentar tal compromiso de financiación, el Acuerdo tripartito prevé la puesta a disposición del ente paritario de ámbito estatal que las partes firmantes del Acuerdo nacional de formación continua designen, de la cantidad resultante de aplicar el porcentaje, pactado para cada ejercicio hasta 1996, a las bases de cotización de formación profesional. En este sentido, y para 1993, la Disposición adicional vigésima tercera de la Ley 39/1992, de 29 de diciembre, de Presupuestos Generales del Estado para 1993, ordena la puesta a disposición de dicho ente de la cuantía resultante de aplicar un 0,1 por 100 a las bases de cotización de formación profesional, cantidad que figura en el Presupuesto de gastos del Instituto Nacional de Empleo. Tal fondo queda sometido, en todo caso, a lo establecido en el art. 81 del texto refundido de la Ley General Presupuestaria, debiendo establecerse las bases que han de regular la concesión de los citados fondos a la Fundación </w:t>
      </w:r>
      <w:r>
        <w:lastRenderedPageBreak/>
        <w:t>para la formación continua, destinados a financiar las acciones formativas acogidas al Acuerdo nacional de formación continua.</w:t>
      </w:r>
    </w:p>
    <w:p w:rsidR="0025129F" w:rsidRDefault="0025129F" w:rsidP="0025129F">
      <w:pPr>
        <w:pStyle w:val="TextoNormal"/>
      </w:pPr>
      <w:r>
        <w:t>En suma, si por fondo entendemos una masa patrimonial afecta al fin de hacer frente a determinadas obligaciones y derechos para cuya efectividad resulta ser un instrumento fundamental, el sistema financiero diseñado por el ATFC constituye un verdadero fondo. fondo del que es predicable, tanto su carácter de instrumento vinculado a la política de empleo, como el de poseer carácter nacional.</w:t>
      </w:r>
    </w:p>
    <w:p w:rsidR="0025129F" w:rsidRDefault="0025129F" w:rsidP="0025129F">
      <w:pPr>
        <w:pStyle w:val="TextoNormal"/>
      </w:pPr>
      <w:r>
        <w:t>Es por ello que tampoco podemos coincidir con el criterio de la mayoría de que no estamos en presencia de un fondo por el mero criterio formal que se defiende en el texto aprobado.  De ahí, por lo tanto, nuestra defensa de la operatividad de la reserva que a favor del Estado establece el art. 11.2 del Estatuto de Cataluña.</w:t>
      </w:r>
    </w:p>
    <w:p w:rsidR="0025129F" w:rsidRDefault="0025129F" w:rsidP="0025129F">
      <w:pPr>
        <w:pStyle w:val="TextoNormal"/>
      </w:pPr>
      <w:r>
        <w:t>Esta tesis que mantenemos llevaría a un fallo distinto del que se contiene en la parte dispositiva de la Sentencia, que por lo expuesto y en mi modesta opinión hubiera tenido que desestimar el recurso interpuesto por la Generalidad de Cataluña.</w:t>
      </w:r>
    </w:p>
    <w:p w:rsidR="0025129F" w:rsidRDefault="0025129F" w:rsidP="0025129F">
      <w:pPr>
        <w:pStyle w:val="TextoNormal"/>
      </w:pPr>
      <w:r>
        <w:t>Madrid, treinta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99" w:name="SENTENCIA_2002_96"/>
      <w:r>
        <w:lastRenderedPageBreak/>
        <w:t>SENTENCIA 96/2002, de 25 de abril de 2002</w:t>
      </w:r>
    </w:p>
    <w:bookmarkEnd w:id="99"/>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ECLI:ES:TC:2002:96</w:t>
      </w:r>
    </w:p>
    <w:p w:rsidR="0025129F" w:rsidRDefault="0025129F" w:rsidP="0025129F">
      <w:pPr>
        <w:pStyle w:val="SntesisDescriptiva"/>
      </w:pPr>
    </w:p>
    <w:p w:rsidR="0025129F" w:rsidRDefault="0025129F" w:rsidP="0025129F">
      <w:pPr>
        <w:pStyle w:val="SntesisDescriptiva"/>
      </w:pPr>
      <w:r>
        <w:t>Recurso de inconstitucionalidad 1135/1995. Promovido por el Consejo de Gobierno de la Comunidad Autónoma de La Rioja respecto de la Disposición adicional octava de la Ley 42/1994, de 30 de diciembre, de medidas fiscales, administrativas y del orden social, que dispone un reembolso tributario estatal a residentes en la Unión Europea que operan en el País Vasco o Navarra.</w:t>
      </w:r>
    </w:p>
    <w:p w:rsidR="0025129F" w:rsidRDefault="0025129F" w:rsidP="0025129F">
      <w:pPr>
        <w:pStyle w:val="SntesisDescriptiva"/>
      </w:pPr>
    </w:p>
    <w:p w:rsidR="0025129F" w:rsidRDefault="0025129F" w:rsidP="0025129F">
      <w:pPr>
        <w:pStyle w:val="SntesisAnaltica"/>
      </w:pPr>
      <w:r>
        <w:t>Principios de seguridad jurídica e interdicción de la arbitrariedad; vulneración de la igualdad tributaria, territorial y unidad de mercado. Nulidad del precepto. Votos particulares.</w:t>
      </w:r>
    </w:p>
    <w:p w:rsidR="0025129F" w:rsidRDefault="0025129F" w:rsidP="0025129F">
      <w:pPr>
        <w:pStyle w:val="SntesisAnaltica"/>
      </w:pPr>
    </w:p>
    <w:p w:rsidR="0025129F" w:rsidRDefault="0025129F" w:rsidP="0025129F">
      <w:pPr>
        <w:pStyle w:val="Extracto"/>
      </w:pPr>
      <w:r>
        <w:t>1.</w:t>
      </w:r>
      <w:r>
        <w:tab/>
        <w:t>La disposición estatal que compensa a los no residentes en España que lo son en la Unión Europea, y que operan en los territorios forales del País Vasco y Navarra, por los beneficios fiscales que no pueden disfrutar en éstos como consecuencia del reparto de competencias que en materia de tributación de no residentes derivaba, entonces, de las Leyes de Concierto y Convenio firmadas entre el Estado y las Comunidades Autónomas del País Vasco y Navarra, respectivamente, es inconstitucional y nula [FJ 5].</w:t>
      </w:r>
    </w:p>
    <w:p w:rsidR="0025129F" w:rsidRDefault="0025129F" w:rsidP="0025129F">
      <w:pPr>
        <w:pStyle w:val="Extracto"/>
      </w:pPr>
    </w:p>
    <w:p w:rsidR="0025129F" w:rsidRDefault="0025129F" w:rsidP="0025129F">
      <w:pPr>
        <w:pStyle w:val="Extracto"/>
      </w:pPr>
      <w:r>
        <w:t>2.</w:t>
      </w:r>
      <w:r>
        <w:tab/>
        <w:t>La norma impugnada posee una finalidad razonable (adaptar nuestro ordenamiento interno a las exigencias de la Unión Europea) por lo que no puede calificársela de arbitraria (SSTC 116/1999, 104/2000) [FJ 6].</w:t>
      </w:r>
    </w:p>
    <w:p w:rsidR="0025129F" w:rsidRDefault="0025129F" w:rsidP="0025129F">
      <w:pPr>
        <w:pStyle w:val="Extracto"/>
      </w:pPr>
    </w:p>
    <w:p w:rsidR="0025129F" w:rsidRDefault="0025129F" w:rsidP="0025129F">
      <w:pPr>
        <w:pStyle w:val="Extracto"/>
      </w:pPr>
      <w:r>
        <w:t>3.</w:t>
      </w:r>
      <w:r>
        <w:tab/>
        <w:t>La falta de acceso a los beneficios fiscales forales de los residentes en territorio común hace que las consecuencias de la norma sean irrazonables y desproporcionadas con la finalidad perseguida y, en consecuencia, contrarias al art. 31.1 CE [FJ 9].</w:t>
      </w:r>
    </w:p>
    <w:p w:rsidR="0025129F" w:rsidRDefault="0025129F" w:rsidP="0025129F">
      <w:pPr>
        <w:pStyle w:val="Extracto"/>
      </w:pPr>
    </w:p>
    <w:p w:rsidR="0025129F" w:rsidRDefault="0025129F" w:rsidP="0025129F">
      <w:pPr>
        <w:pStyle w:val="Extracto"/>
      </w:pPr>
      <w:r>
        <w:t>4.</w:t>
      </w:r>
      <w:r>
        <w:tab/>
        <w:t>La garantía de la igualdad está prevista en el texto constitucional de forma genérica en el art. 14 CE, y en sus manifestaciones específicas en los arts. 31. 1, 38 y 139 CE [FJ 7].</w:t>
      </w:r>
    </w:p>
    <w:p w:rsidR="0025129F" w:rsidRDefault="0025129F" w:rsidP="0025129F">
      <w:pPr>
        <w:pStyle w:val="Extracto"/>
      </w:pPr>
    </w:p>
    <w:p w:rsidR="0025129F" w:rsidRDefault="0025129F" w:rsidP="0025129F">
      <w:pPr>
        <w:pStyle w:val="Extracto"/>
      </w:pPr>
      <w:r>
        <w:t>5.</w:t>
      </w:r>
      <w:r>
        <w:tab/>
        <w:t>La igualdad ante la ley tributaria resulta indisociable de los principios de generalidad, capacidad, justicia y progresividad, que se enuncian en el art. 31. 1 CE (SSTC 27/1981, 45/1989, 46/2000) [FJ 7].</w:t>
      </w:r>
    </w:p>
    <w:p w:rsidR="0025129F" w:rsidRDefault="0025129F" w:rsidP="0025129F">
      <w:pPr>
        <w:pStyle w:val="Extracto"/>
      </w:pPr>
    </w:p>
    <w:p w:rsidR="0025129F" w:rsidRDefault="0025129F" w:rsidP="0025129F">
      <w:pPr>
        <w:pStyle w:val="Extracto"/>
      </w:pPr>
      <w:r>
        <w:t>6.</w:t>
      </w:r>
      <w:r>
        <w:tab/>
        <w:t>La cualidad o condición de no residente puede justificar desde la perspectiva del art. 31.1 CE un trato dispar [FJ 8].</w:t>
      </w:r>
    </w:p>
    <w:p w:rsidR="0025129F" w:rsidRDefault="0025129F" w:rsidP="0025129F">
      <w:pPr>
        <w:pStyle w:val="Extracto"/>
      </w:pPr>
    </w:p>
    <w:p w:rsidR="0025129F" w:rsidRDefault="0025129F" w:rsidP="0025129F">
      <w:pPr>
        <w:pStyle w:val="Extracto"/>
      </w:pPr>
      <w:r>
        <w:t>7.</w:t>
      </w:r>
      <w:r>
        <w:tab/>
        <w:t>El cumplimiento de la exigencia de la Comisión Europea implicaba que la Comunidad Autónoma afectada modificase su normativa en los términos exigidos por la Comunidad Europea [FJ 10].</w:t>
      </w:r>
    </w:p>
    <w:p w:rsidR="0025129F" w:rsidRDefault="0025129F" w:rsidP="0025129F">
      <w:pPr>
        <w:pStyle w:val="Extracto"/>
      </w:pPr>
    </w:p>
    <w:p w:rsidR="0025129F" w:rsidRDefault="0025129F" w:rsidP="0025129F">
      <w:pPr>
        <w:pStyle w:val="Extracto"/>
      </w:pPr>
      <w:r>
        <w:t>8.</w:t>
      </w:r>
      <w:r>
        <w:tab/>
        <w:t>La distribución competencial que entre el Estado y las Comunidades Autónomas ha operado el Texto constitucional rige también para la ejecución del Derecho comunitario (SSTC 252/1988, 21/1999) [FJ 10].</w:t>
      </w:r>
    </w:p>
    <w:p w:rsidR="0025129F" w:rsidRDefault="0025129F" w:rsidP="0025129F">
      <w:pPr>
        <w:pStyle w:val="Extracto"/>
      </w:pPr>
    </w:p>
    <w:p w:rsidR="0025129F" w:rsidRDefault="0025129F" w:rsidP="0025129F">
      <w:pPr>
        <w:pStyle w:val="Extracto"/>
      </w:pPr>
      <w:r>
        <w:t>9.</w:t>
      </w:r>
      <w:r>
        <w:tab/>
        <w:t>Toda medida que impida o fomente el traslado de empresas incidirá lógicamente en la libertad de circulación y, por tanto, en la libertad de las empresas (arts. 38, 138.2, 139.1 y 139.2 CE; SSTC 37/1981, 64/1990) [FJ 11].</w:t>
      </w:r>
    </w:p>
    <w:p w:rsidR="0025129F" w:rsidRDefault="0025129F" w:rsidP="0025129F">
      <w:pPr>
        <w:pStyle w:val="Extracto"/>
      </w:pPr>
    </w:p>
    <w:p w:rsidR="0025129F" w:rsidRDefault="0025129F" w:rsidP="0025129F">
      <w:pPr>
        <w:pStyle w:val="Extracto"/>
      </w:pPr>
      <w:r>
        <w:t>10.</w:t>
      </w:r>
      <w:r>
        <w:tab/>
        <w:t>Al Estado no le es dado que, en uso de sus competencias generales, sea él mismo quien quiebra la unidad del orden económico sin una justificación razonable desde el punto de vista constitucional (SSTC 96/1984, 179/1985) [FFJJ 11 y 12].</w:t>
      </w:r>
    </w:p>
    <w:p w:rsidR="0025129F" w:rsidRDefault="0025129F" w:rsidP="0025129F">
      <w:pPr>
        <w:pStyle w:val="Extracto"/>
      </w:pPr>
    </w:p>
    <w:p w:rsidR="0025129F" w:rsidRDefault="0025129F" w:rsidP="0025129F">
      <w:pPr>
        <w:pStyle w:val="Extracto"/>
      </w:pPr>
      <w:r>
        <w:t>11.</w:t>
      </w:r>
      <w:r>
        <w:tab/>
        <w:t>La «unidad de mercado» en el territorio nacional no impide toda normación que, de una manera u otra, pueda afectar a la libertad de circulación, sino la «fragmentación del mercado» (STC 32/1983) [FJ 11].</w:t>
      </w:r>
    </w:p>
    <w:p w:rsidR="0025129F" w:rsidRDefault="0025129F" w:rsidP="0025129F">
      <w:pPr>
        <w:pStyle w:val="Extracto"/>
      </w:pPr>
    </w:p>
    <w:p w:rsidR="0025129F" w:rsidRDefault="0025129F" w:rsidP="0025129F">
      <w:pPr>
        <w:pStyle w:val="Extracto"/>
      </w:pPr>
      <w:r>
        <w:t>12.</w:t>
      </w:r>
      <w:r>
        <w:tab/>
        <w:t>La norma no sólo es clara y precisa en sus efectos y destinatarios, sino que en momento alguno induce a confusión de ningún tipo ni genera duda de ninguna clase. Es, pues, una norma clara que ni incide en la vertiente objetiva -certeza- ni en la subjetiva -previsibilidad- del principio de seguridad jurídica (STC 273/2000) [FJ 5].</w:t>
      </w:r>
    </w:p>
    <w:p w:rsidR="0025129F" w:rsidRDefault="0025129F" w:rsidP="0025129F">
      <w:pPr>
        <w:pStyle w:val="Extracto"/>
      </w:pPr>
    </w:p>
    <w:p w:rsidR="0025129F" w:rsidRDefault="0025129F" w:rsidP="0025129F">
      <w:pPr>
        <w:pStyle w:val="Extracto"/>
      </w:pPr>
      <w:r>
        <w:t>13.</w:t>
      </w:r>
      <w:r>
        <w:tab/>
        <w:t>Tampoco el hecho de que se remita a un futuro desarrollo reglamentario ataca dicho principio, por cuanto tal remisión es puramente procedimental [FJ 5].</w:t>
      </w:r>
    </w:p>
    <w:p w:rsidR="0025129F" w:rsidRDefault="0025129F" w:rsidP="0025129F">
      <w:pPr>
        <w:pStyle w:val="Extracto"/>
      </w:pPr>
    </w:p>
    <w:p w:rsidR="0025129F" w:rsidRDefault="0025129F" w:rsidP="0025129F">
      <w:pPr>
        <w:pStyle w:val="Extracto"/>
      </w:pPr>
      <w:r>
        <w:t>14.</w:t>
      </w:r>
      <w:r>
        <w:tab/>
        <w:t>Doctrina con relación al principio de seguridad jurídica (SSTC 150/1990, 235/2000) [FJ 5].</w:t>
      </w:r>
    </w:p>
    <w:p w:rsidR="0025129F" w:rsidRDefault="0025129F" w:rsidP="0025129F">
      <w:pPr>
        <w:pStyle w:val="Extracto"/>
      </w:pPr>
    </w:p>
    <w:p w:rsidR="0025129F" w:rsidRDefault="0025129F" w:rsidP="0025129F">
      <w:pPr>
        <w:pStyle w:val="Extracto"/>
      </w:pPr>
      <w:r>
        <w:t>15.</w:t>
      </w:r>
      <w:r>
        <w:tab/>
        <w:t>La función de legislar no equivale a una simple ejecución de los preceptos constitucionales (SSTC 27/1981, 99/1987) [FJ 6].</w:t>
      </w:r>
    </w:p>
    <w:p w:rsidR="0025129F" w:rsidRDefault="0025129F" w:rsidP="0025129F">
      <w:pPr>
        <w:pStyle w:val="Extracto"/>
      </w:pPr>
    </w:p>
    <w:p w:rsidR="0025129F" w:rsidRDefault="0025129F" w:rsidP="0025129F">
      <w:pPr>
        <w:pStyle w:val="Extracto"/>
      </w:pPr>
      <w:r>
        <w:t>16.</w:t>
      </w:r>
      <w:r>
        <w:tab/>
        <w:t>Las Comunidades Autónomas ostentan legitimación para acudir ante este Tribunal Constitucional no sólo en defensa de sus competencias, sino también en protección de cualquiera de las garantías que tanto la Constitución como el correspondiente Estatuto de Autonomía les confieren como presupuesto y base de su propio ámbito de autonomía (SSTC 84/1982, 62/1990) [FJ 3].</w:t>
      </w:r>
    </w:p>
    <w:p w:rsidR="0025129F" w:rsidRDefault="0025129F" w:rsidP="0025129F">
      <w:pPr>
        <w:pStyle w:val="Extracto"/>
      </w:pPr>
    </w:p>
    <w:p w:rsidR="0025129F" w:rsidRDefault="0025129F" w:rsidP="0025129F">
      <w:pPr>
        <w:pStyle w:val="Extracto"/>
      </w:pPr>
      <w:r>
        <w:t>17.</w:t>
      </w:r>
      <w:r>
        <w:tab/>
        <w:t>La Constitución reconoce a las Comunidades Autónomas tanto la autonomía política como la financiera (SSTC 32/1981, 13/1992) [FJ 3].</w:t>
      </w:r>
    </w:p>
    <w:p w:rsidR="0025129F" w:rsidRDefault="0025129F" w:rsidP="0025129F">
      <w:pPr>
        <w:pStyle w:val="Extracto"/>
      </w:pPr>
    </w:p>
    <w:p w:rsidR="0025129F" w:rsidRDefault="0025129F" w:rsidP="0025129F">
      <w:pPr>
        <w:pStyle w:val="Extracto"/>
      </w:pPr>
      <w:r>
        <w:t>18.</w:t>
      </w:r>
      <w:r>
        <w:tab/>
        <w:t>No cabe duda del interés legítimo que tiene la Comunidad Autónoma recurrente, pues la aplicación de la norma impugnada produce el efecto (el llamado «efecto frontera») de estimular el traslado de actividades económicas de territorio común a territorio foral [FJ 3].</w:t>
      </w:r>
    </w:p>
    <w:p w:rsidR="0025129F" w:rsidRDefault="0025129F" w:rsidP="0025129F">
      <w:pPr>
        <w:pStyle w:val="Extracto"/>
      </w:pPr>
    </w:p>
    <w:p w:rsidR="0025129F" w:rsidRDefault="0025129F" w:rsidP="0025129F">
      <w:pPr>
        <w:pStyle w:val="Extracto"/>
      </w:pPr>
      <w:r>
        <w:t>19.</w:t>
      </w:r>
      <w:r>
        <w:tab/>
        <w:t>La impugnación de las normas debe ir acompañada de la preceptiva fundamentación y precisión (SSTC 118/1996, 118/1998)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don Roberto García-Calvo y Montiel, doña Elisa Pérez Vera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inconstitucionalidad núm. 1135/95, interpuesto por el Consejo de Gobierno de la Comunidad Autónoma de La Rioja, contra la Disposición adicional octava de la Ley 42/1994, de 30 de diciembre, de medidas fiscales, administrativas y del orden social foral. Ha intervenido el Abogado del Estado, en la representación que ostenta. Ha sido ponente el Magistrado don Pablo Cachón Villar, quien expresa el parecer del Tribunal.</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El 29 de marzo de 1995 tuvo entrada en el Registro de este Tribunal un escrito del Consejo de Gobierno de la Comunidad Autónoma de La Rioja interponiendo recurso de inconstitucionalidad contra la Disposición adicional octava de la Ley 42/1994, de 30 de diciembre, de medidas fiscales, administrativas y del orden social (BOE núm. 313, de 31 de diciembre), por vulneración de los principios, valores y derechos de igualdad (arts. 1.1, 9.2, 14 y 139.1 CE), solidaridad (arts. 2, 138.2, 156.1 y 158.2 CE), interdicción de privilegios económicos (art. 138.2 CE), neutralidad respecto a la libre localización de empresas (art. 38 y 139.2 CE) y armonización hacendística (art. 156.1 CE), todos ellos reiterados, según se afirma en el escrito de recurso, por la Ley Orgánica 8/1980, de 22 de septiembre, de financiación de las Comunidades Autónomas (en adelante, LOFCA), y por las Leyes Orgánicas 3/1979, de 18 de diciembre, de Estatuto de Autonomía para el País Vasco (en lo sucesivo, EAPV), y 13/1982, de 10 de agosto, de reintegración y amejoramiento del régimen foral de Navarra (en adelante, LORAFNA), así como por las Leyes 12/1981, de 13 de mayo, de concierto económico con el País Vasco, y 28/1990, de 26 de diciembre, de convenio económico entre el Estado y la Comunidad Foral de Navarra (en adelante, LCEPV y LCEN, respectivamente). </w:t>
      </w:r>
    </w:p>
    <w:p w:rsidR="0025129F" w:rsidRDefault="0025129F" w:rsidP="0025129F">
      <w:pPr>
        <w:pStyle w:val="TextoNormal"/>
      </w:pPr>
      <w:r>
        <w:t>La causa del recurso se encuentra en lo que la representación procesal del Consejo de Gobierno de la Comunidad Autónoma de La Rioja denomina el "efecto frontera", y que deriva en una serie de discriminaciones para las Comunidades Autónomas limítrofes con los Territorios Históricos (País Vasco y Navarra) como consecuencia de las medidas tributarias en ellos establecidas (como, por ejemplo, ayudas a la inversión, emisiones de especiales activos financieros, reducción de tipos impositivos en algunos tributos o las deno</w:t>
      </w:r>
      <w:r>
        <w:lastRenderedPageBreak/>
        <w:t xml:space="preserve">minadas "vacaciones fiscales"), al no poder aquéllas introducir medidas de corte similar que contrarresten sus efectos. El problema, a juicio del recurrente, "es grave ya que toda la mal denominada Rioja Alavesa o, como preferimos en La Rioja, Sonsierra riojana, se encuentra inmediatamente aledaña a las principales poblaciones de La Rioja. Por ejemplo, Oyón, que administrativamente depende de Álava dista escasamente tres km. del centro de Logroño, y no más de 15 km. separan dicho centro de localidades actualmente alavesas como Laguardia o navarras como Viana y Mendavia, todas las cuales recibieron en el medievo el Fuero de Logroño de cuyo corregimiento dependieron y todavía pertenecen por sus vinos a la Denominación de Origen Calificada Rioja.- Pues bien, éstas y otras localidades pese a sus vinculaciones históricas y permanente con La Rioja, constituyen centros de absorción empresarial, industrial, mercantil y comercial, merced a las ventajas fiscales de que disfruta, de suerte que es ya antiguo el dicho de que son localidades alavesas o navarras para los fueros pero riojanas para los vinos". </w:t>
      </w:r>
    </w:p>
    <w:p w:rsidR="0025129F" w:rsidRDefault="0025129F" w:rsidP="0025129F">
      <w:pPr>
        <w:pStyle w:val="TextoNormal"/>
      </w:pPr>
      <w:r>
        <w:t xml:space="preserve">Al efecto, señala el recurrente que "con el aparente objeto de paliar la crisis económica mediante una política fiscal de estímulo a la inversión y el real de lograr un asentamiento empresarial en su territorio ... el Gobierno Vasco concluyó el 6 de abril de 1993 un Acuerdo Marco Institucional para la reactivación económica y el empleo por el que las Diputaciones Forales de Vizcaya, Guipúzcoa y Álava se comprometieron a presentar una serie de medidas de carácter tributario para su aprobación como Normas Forales por las Juntas Generales de sus respectivos Territorios Históricos". En ejecución de tal acuerdo se aprobaron las Normas Forales núms. 5/1993, de 24 de julio, de Vizcaya; 11/1993, de 26 de junio, de Guipúzcoa; y 18/1993, de 5 de julio, de Álava, todas ellas de medidas fiscales urgentes de apoyo a la inversión e impulso de la actividad económica. Y la misma política siguió el Gobierno de Navarra que logró la aprobación por el Parlamento de Navarra de la Ley Foral 12/1993, de 22 de noviembre, de apoyo a la inversión y la actividad económica y otras medidas tributarias. Pues bien, afirma el recurrente que "las expresadas disposiciones forales vasco-navarras establecen una serie de incentivos y estímulos fiscales a la inversión consistentes en reducciones y bonificaciones en caso de establecimiento y apertura de empresas en el País Vasco y Navarra que resultan gravemente lesivas para los intereses económicos de La Rioja toda vez que incrementan las nocivas consecuencias del denominado efecto-frontera al tener vigencia en territorios vecinos, no haber sido establecidas con carácter general para toda España y carecer estatutariamente la Comunidad Autónoma de La Rioja de competencias normativas para establecer unilateralmente otras semejantes en nuestro propio territorio que equilibren económicamente la situación". </w:t>
      </w:r>
    </w:p>
    <w:p w:rsidR="0025129F" w:rsidRDefault="0025129F" w:rsidP="0025129F">
      <w:pPr>
        <w:pStyle w:val="TextoNormal"/>
      </w:pPr>
      <w:r>
        <w:t xml:space="preserve">Publicadas dichas disposiciones normativas, el Gobierno de La Rioja interpuso recurso contencioso-administrativo ante la Sala de lo Contencioso-Administrativo del Tribunal Superior de Justicia del País Vasco contra las normas forales citadas, por razón de su rango meramente reglamentario, y el Abogado del Estado, en la representación que ostenta, formuló recurso de inconstitucionalidad contra la navarra por tratarse de una norma con rango formal de Ley. Finalmente, hay que decir que existen varias denuncias de la Cámara de Comercio e Industria de La Rioja, la Federación de Empresarios de La Rioja y dos empresas riojanas, ante la Comisión de la Unión Europea en Bruselas, tanto contra la Ley navarra como contra las Normas Forales vascas, por lesionar la libre competencia y prescindir de la tramitación establecida en los Tratados constitutivos de la Comunidad Europea para las ayudas fiscales en territorio de los Estados miembros. </w:t>
      </w:r>
    </w:p>
    <w:p w:rsidR="0025129F" w:rsidRDefault="0025129F" w:rsidP="0025129F">
      <w:pPr>
        <w:pStyle w:val="TextoNormal"/>
      </w:pPr>
      <w:r>
        <w:t xml:space="preserve">Así las cosas, fue aprobada "una atípica Disposición Adicional Octava (incluida) en la Ley Estatal 42/1994, de 30 de diciembre, de Medidas fiscales, administrativas y de orden social, más conocida como Ley de Acompañamiento a la de Presupuestos Generales del </w:t>
      </w:r>
      <w:r>
        <w:lastRenderedPageBreak/>
        <w:t xml:space="preserve">Estado para 1995". Dicha Disposición adicional, bajo el epígrafe que la intitula como "Concesión de incentivos fiscales y subvenciones a los residentes en el resto de la Unión Europea que no lo sean en territorio español", dispone textualmente lo siguiente: "Los residentes en la Unión Europea que no lo sean en España y que, por su condición de tales, deban someterse a la legislación tributaria del Estado, sin que, por esta circunstancia, puedan acogerse a la de la Comunidad Autónoma o Territorio Histórico del País Vasco o Navarra en el que operen, tendrán derecho, en el marco de la normativa comunitaria, al reembolso por la Administración Tributaria del Estado de las cantidades que hubieran pagado efectivamente en exceso con respecto al supuesto de haberse podido acoger a la legislación propia de dichas Comunidades Autónomas o Territorios Históricos, en los términos que reglamentariamente se establezcan". </w:t>
      </w:r>
    </w:p>
    <w:p w:rsidR="0025129F" w:rsidRDefault="0025129F" w:rsidP="0025129F">
      <w:pPr>
        <w:pStyle w:val="TextoNormal"/>
      </w:pPr>
      <w:r>
        <w:t xml:space="preserve">Esta Disposición adicional es el objeto del presente recurso de inconstitucionalidad. Las vulneraciones que el Consejo de Gobierno de La Rioja imputa a dicha Disposición adicional se pueden estructurar del modo que a continuación se expone. </w:t>
      </w:r>
    </w:p>
    <w:p w:rsidR="0025129F" w:rsidRDefault="0025129F" w:rsidP="0025129F">
      <w:pPr>
        <w:pStyle w:val="TextoNormal"/>
      </w:pPr>
      <w:r>
        <w:t xml:space="preserve">a) Vulneración del principio de seguridad jurídica (art. 9.3 CE): </w:t>
      </w:r>
    </w:p>
    <w:p w:rsidR="0025129F" w:rsidRDefault="0025129F" w:rsidP="0025129F">
      <w:pPr>
        <w:pStyle w:val="TextoNormal"/>
      </w:pPr>
      <w:r>
        <w:t xml:space="preserve">Se afirma en el escrito de recurso, sobre el particular, lo siguiente: "Nos parece esta DA 8ª contraria al principio constitucional de seguridad jurídica proclamado en el art. 9.3 CE que malamente queda servido con la oscura y tosca técnica legislativa de que hace gala. Sobre todo cuando se enmarca en una Ley que, como la 42/94, es ya de por sí acreedora a tal crítica en su conjunto pues se convendrá en que de la simple lectura de la denominada Ley de Acompañamiento a los Presupuestos no puede venirse fácilmente en conocimiento de lo que dispone pues tantas y complejas son las modificaciones parciales y remisiones de todo tipo que efectúa a leyes sectoriales a las que contagia, en consecuencia, de esa inseguridad jurídica". Así, -continúa diciendo- "como en toda norma jurídica podemos distinguir en ésta el supuesto de hecho o tatbestand y la consecuencia jurídica o rechtserfolgung. A su vez, el supuesto de hecho consta de elementos subjetivos o personas a las que va destinada, objetivos o determinaciones espaciales y materiales; y, finalmente, formales donde incluimos el resto de conditiones iuris que establece la norma". </w:t>
      </w:r>
    </w:p>
    <w:p w:rsidR="0025129F" w:rsidRDefault="0025129F" w:rsidP="0025129F">
      <w:pPr>
        <w:pStyle w:val="TextoNormal"/>
      </w:pPr>
      <w:r>
        <w:t>Según esto, el elemento subjetivo del supuesto de hecho "está integrado por el conjunto de personas a quienes la norma se dirige y que son 'Los residentes en la Unión Europea que no lo sean en España', es decir, un colectivo amplio que es objeto de una doble determinación: por un lado positiva: 'los residentes en la Unión Europea' y, por otro negativa: 'que no lo sean en España' o 'en territorio español'". Y el elemento objetivo "está integrado por las circunstancias espaciales o materiales que delimitan o acotan el ámbito del tatbestand, que en esta norma son dos precisiones delimitatorias efectuadas en forma positiva: por un lado, la precisión de 'que operen', desprovista de mayores requisitos o condiciones cuantitativas o cualitativas, y por otro, la precisión espacial de que esa operatividad se produzca en 'la Comunidad Autónoma o Territorio Histórico del País Vasco o Navarra'. Implícitamente y a sensu contrario la norma conlleva también una delimitación negativa de este elemento objetivo por cuanto excluye a quienes no operen en dichos territorios forales o a quienes operen pero fuera de los mismos". Finalmente, el elemento formal del supuesto de hecho "está integrado por el resto de circunstancias que, como conditiones iuris, acotan el tatbestand y que en esta norma son las tres siguientes: primera, que las personas a que se dirige la norma, esto es, los residentes en la Unión Europea que no lo sean en España, 'deban someterse a la legislación tributaria del Estado'; segunda, que tales personas no 'puedan acogerse a la (legislación) de la Comunidad Autónoma o Territorio Histórico del País Vasco o Navarra en el que operen'; tercera, que dicha sumisión a la legislación tributaria estatal y correlativa exclusión de la legislación tributaria foral sea precisa</w:t>
      </w:r>
      <w:r>
        <w:lastRenderedPageBreak/>
        <w:t xml:space="preserve">mente 'por su condición de tales' y 'por esa circunstancia', es decir, por la condición y circunstancia que tales personas tienen de residentes en la Unión Europea y no en España, expresión que parece aludir a dos cuestiones en este caso muy relacionadas: por un lado, la denominada en Derecho Tributario estatal obligación real de contribuir que afecta en varios impuestos, principalmente personales y directos, como los que gravan la Renta de las Personas Físicas o de Sociedades, a quienes obtengan rentas en un territorio fiscal en el que no residente, y por otro, al sistema de puntos de conexión de que se sirve el bloque de la constitucionalidad - principalmente los Estatutos de Autonomía, la LOFCA y las Leyes de Convenio y Concierto Económico con territorios forales- para deslindar con claridad el campo impositivo de los ordenamientos tributario estatal y foral y fijar así qué personas, bienes y actos están sujetos a uno u otro". </w:t>
      </w:r>
    </w:p>
    <w:p w:rsidR="0025129F" w:rsidRDefault="0025129F" w:rsidP="0025129F">
      <w:pPr>
        <w:pStyle w:val="TextoNormal"/>
      </w:pPr>
      <w:r>
        <w:t xml:space="preserve">Por otra parte, la consecuencia jurídica de esta norma, tiene un elemento cualitativo que viene expresado con la frase "tendrán derecho", como derecho subjetivo de naturaleza crediticia y expresión dineraria pues se afirma que es un derecho "al reembolso por la Administración Tributaria del Estado de las cantidades que hubieran pagado efectivamente en exceso". Y tiene un elemento cuantitativo concretado en el quantum a que puede ascender la devolución y que la norma cifra mediante una comparación hipotética en "las cantidades que hubieran pagado efectivamente en exceso con respecto al supuesto de haberse podido acoger a la legislación propia de dichas Comunidades Autónomas o Territorios Históricos", lo que exige un triple cálculo fiscal: una primera liquidación, real, que corresponde a los impuestos estatales a que está sujeto el contribuyente de que se trate y que éste ha debido efectivamente pagar; una segunda liquidación, hipotética, que corresponde a los impuestos forales que tal contribuyente hubiera tenido que pagar por la operación de que se trate caso de haber estado sujeto a los mismos; y una tercera liquidación, efectiva, que consiste en una simple resta entre las cuotas efectivamente pagadas al Estado e hipotéticamente debidas a las Haciendas forales para determinar si existe un exceso a favor del contribuyente que constituirá el monto de la devolución a que tiene derecho y que le satisfará la Hacienda Pública estatal, no la foral. </w:t>
      </w:r>
    </w:p>
    <w:p w:rsidR="0025129F" w:rsidRDefault="0025129F" w:rsidP="0025129F">
      <w:pPr>
        <w:pStyle w:val="TextoNormal"/>
      </w:pPr>
      <w:r>
        <w:t xml:space="preserve">El elemento formal o requisitos de forma que la norma impone a esta consecuencia jurídica son dos: de un lado, el derecho a la devolución que se reconoce "en el marco de la normativa comunitaria", lo que constituye una amplísima remisión normativa que, por el contexto, se supone efectuada al Derecho comunitario europeo, revelando bien a las claras el efecto que se quiere conseguir que no es otro que el de evitar acciones jurídicas ante las instituciones europeas por el hecho de la existencia en España de distintos regímenes tributarios regionales, pero sin preocuparse por garantizar el mismo trato a los residentes en España, que también es Estado miembro de la Unión Europea, sino antes al contrario, excluyéndoles precisamente de estos beneficios instaurados por la Disposición adicional octava. Y de otra parte, que este derecho a la devolución se instrumentará "en los términos que reglamentariamente se establezcan", lo que opera una amplísima deslegalización de la materia mediante una no menos amplia habilitación al Poder Ejecutivo estatal para el desarrollo reglamentario de esta norma. </w:t>
      </w:r>
    </w:p>
    <w:p w:rsidR="0025129F" w:rsidRDefault="0025129F" w:rsidP="0025129F">
      <w:pPr>
        <w:pStyle w:val="TextoNormal"/>
      </w:pPr>
      <w:r>
        <w:t xml:space="preserve">b) Vulneración del valor, principio y derecho constitucional de igualdad (arts. 1.1, 9.2, 14, 31.1, 138.2 139.1, 139.2 y 149.1.1 CE): </w:t>
      </w:r>
    </w:p>
    <w:p w:rsidR="0025129F" w:rsidRDefault="0025129F" w:rsidP="0025129F">
      <w:pPr>
        <w:pStyle w:val="TextoNormal"/>
      </w:pPr>
      <w:r>
        <w:t xml:space="preserve">La igualdad aparece en el art. 1.1 CE, como valor superior del ordenamiento jurídico español; en el art. 9.2 CE, como principio que los poderes públicos deben promover; en el art. 14 CE, en cuanto este precepto proscribe las discriminaciones; en el art. 31.1 CE, como principio inspirador del sistema tributario; en el art. 138.2 CE, porque este precepto permite las diferencias entre los Estatutos de las diferentes Comunidades Autónomas </w:t>
      </w:r>
      <w:r>
        <w:lastRenderedPageBreak/>
        <w:t xml:space="preserve">siempre y cuando no impliquen, en ningún caso, privilegios económicos o sociales; en el art. 139.1 CE, en cuanto garantiza los mismos derechos y obligaciones a todos los españoles en cualquier parte del territorio del Estado; en el art. 139.2 CE, porque prescribe que ninguna autoridad puede adoptar medidas que directa o indirectamente obstaculicen la libertad de circulación y establecimiento de las personas y la libre circulación de bienes en todo el territorio nacional; y en el art. 149.1.1 CE, por razón de que es ésta una norma que atribuye al Estado la competencia exclusiva en materia de regulación de las condiciones básicas que garanticen la igualdad de todos los españoles en cualquier parte del territorio del Estado. </w:t>
      </w:r>
    </w:p>
    <w:p w:rsidR="0025129F" w:rsidRDefault="0025129F" w:rsidP="0025129F">
      <w:pPr>
        <w:pStyle w:val="TextoNormal"/>
      </w:pPr>
      <w:r>
        <w:t xml:space="preserve">Según los anteriores principios y valores, a juicio del Consejo de Gobierno de La Rioja, la Disposición adicional octava "es arbitraria en la fijación de su supuesto de hecho y ello en todos sus elementos subjetivo, objetivo y formal, lo que conlleva una discriminación injustificada para los residentes en España y concretamente en La Rioja que infringe el derecho constitucional de igualdad en la ley". Y esta conclusión se alcanza por los motivos que se exponen a continuación. </w:t>
      </w:r>
    </w:p>
    <w:p w:rsidR="0025129F" w:rsidRDefault="0025129F" w:rsidP="0025129F">
      <w:pPr>
        <w:pStyle w:val="TextoNormal"/>
      </w:pPr>
      <w:r>
        <w:t>El recurrente señala que la norma impugnada "no se refiere a los españoles ni a los extranjeros como sujeto del derecho de reembolso que instaura sino literalmente a los residentes en la Unión Europea que no lo sean en España". Así y aunque "se trata, pues, de una norma de las que en la técnica del Derecho Internacional Privado se denominan normas externas o normas con elemento de extranjería", sin embargo, tiene unas características que permiten calificarla como "arbitraria en el sentido constitucional del término". En efecto, no es una norma dirigida a los españoles en concepto de tales, pero tampoco una norma dictada por España para extranjeros, pues no atiende al hecho de que se ostente la nacionalidad de otro Estado distinto a España. Y tampoco es una norma que se aplique con arreglo a un estricto criterio de territorialidad de la legislación del foro, porque, aun cuando se acuda a la residencia, no se hace para instaurar el natural punto de conexión real con la legislación española -que es la residencia en España- sino para excluir la residencia en España. Se trata, pues, "de una norma externa o con elemento de extranjería en cuanto que se dirige a cualesquiera residentes en la Unión Europea excepto aquellos que residan en España, que son, obviamente, la inmensa mayoría de los españoles". La arbitrariedad de la norma "se patentiza al examinar la lista de colectivos de personas incluidos y excluidos en la misma", que permite apreciar que "se excluye expresamente a los españoles residentes en España por lo que se discrimina, por de pronto, a la inmensa mayoría de españoles y desde luego a todos los que estatutariamente tienen la condición de riojanos, sin tener en cuenta que todos ellos son ciudadanos europeos con arreglo al art. 8.1 del vigente Tratado de la Unión Europea y que, según el art. 8.A tienen el derecho de circular y residir libremente en el territorio de los Estados miembros". Se sigue diciendo que "no es jurídicamente admisible, y para nosotros no es constitucional, tratar de favorecer al colectivo de residentes en la Unión Europea y excluir precisamente a uno de ellos, que se supone que para el Estado español debe ser el más importante, cual es, precisamente el de los que residen en España". Por este motivo, es "arbitrario que el legislador español no esté legislando para españoles -empleando el punto de conexión de la nacionalidad que es propio de las relaciones jurídicas derivadas del estatuto personal- pero tampoco esté legislando para los extranjeros que residan en España -empleando los puntos de conexión del lugar de residencia de la persona, de situación de la cosa o de realización del acto, que son los propios de relaciones jurídica derivadas de los estatutos real o formal- sino que esté legislando nada menos que para el extraño colectivo de los residentes en territorios de la Unión Europea distintos de España y que no residan en España y ello sin atender a su nacionali</w:t>
      </w:r>
      <w:r>
        <w:lastRenderedPageBreak/>
        <w:t xml:space="preserve">dad, sea ésta la española, la de un Estado miembro de la Unión Europea o incluso la propia ciudadanía europea". </w:t>
      </w:r>
    </w:p>
    <w:p w:rsidR="0025129F" w:rsidRDefault="0025129F" w:rsidP="0025129F">
      <w:pPr>
        <w:pStyle w:val="TextoNormal"/>
      </w:pPr>
      <w:r>
        <w:t xml:space="preserve">Sobre la base expuesta, dice lo siguiente la representación procesal del Consejo de Gobierno de La Rioja: "Los residentes en España quedan así injustificadamente discriminados con respecto a los residentes en el 'resto de la Unión Europea' ... Esta discriminación no es obra de una norma jurídica extranjera ni comunitario-europea ni foral sino de una norma jurídica española emanada, además, del Estado español a quien incumbe, según el art. 138.1 CE garantizar 'la realización efectiva del principio de solidaridad consagrado en el art. 2 CE velando por el establecimiento de un equilibrio económico adecuado y justo entre las diversas partes del territorio español'´ y que, según el art. 149.1.1, tiene la competencia exclusiva para la 'regulación de las condiciones básicas que garanticen la igualdad de todos los españoles en el ejercicio de los derechos y en el cumplimiento de los deberes constitucionales'. La diferenciación entre residentes y no residentes es, pues, arbitraria ... Así, pues, lo que el Estado hace al ofrecer una compensación económica sólo a los no residentes en España es violar y defraudar todo el sistema de puntos de conexión que delimitan los ámbitos espaciales y personales tanto de los derechos tributarios forales como del propio sistema tributario estatal, cosa que no le es dable al Estado acometer sino a través de los Estatutos de Autonomía, la LOFCA o las Leyes aprobatorias de los conciertos o convenios económicos del Estado con los territorios forales, es decir, a través del bloque de la constitucionalidad ... Permitir la alteración de estos pactos legales mediante simples leyes ordinarias posteriores como esta DA 8ª sería contrario al principio de competencia, a la seguridad jurídica en materia tan importante como los límites de las potestades legislativas fiscales coexistentes en el territorio español que es materia que lógicamente no es sólo bilateral del Estado y de los territorios forales sino que afecta a todos los operadores jurídicos y económicos españoles y especialmente a los riojanos". </w:t>
      </w:r>
    </w:p>
    <w:p w:rsidR="0025129F" w:rsidRDefault="0025129F" w:rsidP="0025129F">
      <w:pPr>
        <w:pStyle w:val="TextoNormal"/>
      </w:pPr>
      <w:r>
        <w:t xml:space="preserve">La Comunidad Autónoma recurrente no sólo entiende arbitraria la delimitación del elemento subjetivo del supuesto de hecho de la Disposición adicional octava cuestionada, sino que también califica de arbitraria la fijación del elemento objetivo en sus aspectos material y espacial ("Comunidad Autónoma o Territorio Histórico del País Vasco o Navarra en que operen"). En el aspecto espacial porque dicha Disposición, "pese a referirse a personas, prescinde de la residencia como punto de conexión pues opta decididamente por uno arbitrario como es la no residencia, es decir, que el punto de conexión en vez de ser un elemento que conecta con el territorio en que rige el ordenamiento jurídico impositor es precisamente un elemento que desconecta del mismo como es la no residencia en dicho territorio", y además "elimina la territorialidad para el ordenamiento tributario estatal desde el momento en que la confunde con la del ordenamiento tributario foral"; y en el aspecto material porque "es obvio que la expresión 'que operen' es máximamente genérica y prácticamente admite cualquier interpretación pues tanto opera quien se limita a una pequeña operación mercantil o civil como quien acomete una inversión gigantesca en territorio foral", con lo cual "esta misma generalidad e imprecisión encierra ya de por sí una profunda arbitrariedad abierta a la más completa inseguridad jurídica e incluso a gravísimos perjuicios económicos para la Hacienda Pública del Estado que es la llamada, en definitiva, a satisfacer las compensaciones económicas que la DA 8ª instaura". </w:t>
      </w:r>
    </w:p>
    <w:p w:rsidR="0025129F" w:rsidRDefault="0025129F" w:rsidP="0025129F">
      <w:pPr>
        <w:pStyle w:val="TextoNormal"/>
      </w:pPr>
      <w:r>
        <w:t>En el mismo vicio de arbitrariedad incurre el llamado elemento formal, en cuanto que "la DA 8ª acomete precisamente una expansión de los derechos forales tributarios constitucionalmente imprevista y que no es dable realizar sin defraudar el sistema de puntos de conexión que delimitan el ámbito aplicativo de tales derechos y sin discriminar a los residentes en el resto del Estado". La Comunidad Autónoma de La Rioja piensa que lo exigi</w:t>
      </w:r>
      <w:r>
        <w:lastRenderedPageBreak/>
        <w:t xml:space="preserve">do por la Constitución es que no existan diferencias tributarias en España aunque algunas Comunidades gocen de potestades legislativas al respecto, pero no se opone, como una vía para evitar tales diferencias, a que el Estado compense económicamente a quienes se vean perjudicados por las que pueda comportar la coexistencia en España del sistema tributario estatal con los forales, pero sí a que los riojanos o el resto de los españoles no puedan beneficiarse de tales compensaciones porque las mismas se ofrezcan sólo a los no residentes en España, ya que son los riojanos y el resto de españoles precisamente los más perjudicados por esas mismas diferencias. Por ello "la DA 8ª apuntala inconstitucionalmente la lesiva situación que afecta primordialmente a los territorios limítrofes con los forales y sobre todo a La Rioja que es limítrofe no sólo con Álava sino también con Navarra, por lo que sufre especialmente los efectos combinados de dos regímenes forales cada vez más insolidarios e inarmónicos con el resto de España". </w:t>
      </w:r>
    </w:p>
    <w:p w:rsidR="0025129F" w:rsidRDefault="0025129F" w:rsidP="0025129F">
      <w:pPr>
        <w:pStyle w:val="TextoNormal"/>
      </w:pPr>
      <w:r>
        <w:t xml:space="preserve">También es calificada de arbitraria la fijación de la consecuencia jurídica establecida en la Disposición adicional octava. En primer lugar, porque instaura un derecho subjetivo de naturaleza crediticia que no puede configurarse como "una cantidad que se deba en virtud de un pago indebido precedente, sino que es una mera concesión graciosa, un derecho creado y surgido directamente ex lege", donde "el volumen de gasto comprometido por la DA 8ª no va a depender de una decisión de los órganos hacendísticos estatales sino que va a venir automáticamente predeterminado por la fijación de los incentivos fiscales que hayan decidido los órganos hacendísticos forales. En efecto, como quiera que lo que subvencionará el Estado va a ser el 'exceso' pagado por el contribuyente calculado en función de lo que éste hubiera debido pagar a la Hacienda foral correspondiente si hubiera podido quedar sujeto a la normativa foral, es claro que el monto efectivo de la subvención pagada con fondos procedentes del gasto público estatal no la decide el Estado sino el poder legislativo tributario foral, de suerte que, si los tipos impositivos forales disminuyen para beneficiar la inversión de que se trate, el contribuyente afectado percibirá en más esa diferencia y en menos o en nada si los tipos forales se incrementan". Y así concluye que "en el caso de la DA 8ª que nos ocupa, donde el Estado confiere una subvención por razón de unos tipos impositivos cuya fijación le es completamente ajena y no le corresponde porque son forales, nos encontramos ante un caso de incompetencia radical del Estado por razón de la materia, que conlleva la inconstitucionalidad de la aplicación del gasto público a la misma". Y en segundo lugar, porque la consecuencia jurídica también vendría afectada de arbitrariedad en su elemento cuantitativo y en su elemento formal. En el primero, porque la Disposición adicional octava supone la realización de tres liquidaciones tributarias: "la primera es la que debe efectuar el sujeto pasivo para ingresar el impuesto estatal de que se trate en las cajas estatales. La segunda es meramente hipotética y tiene por objeto averiguar qué hubiera debido pagar ese sujeto pasivo si hubiera podido quedar sometido a tributación foral. La tercera es nuevamente una liquidación real porque estriba en un simple cálculo sustractivo para reclamar al Estado el pago del exceso que en favor del contribuyente pueda resultar de la comparación entre la primera y segunda liquidación". Y en cuanto al elemento formal, la arbitrariedad deriva de la remisión que la norma impugnada hace tanto al marco normativo comunitario como al posterior desarrollo reglamentario. </w:t>
      </w:r>
    </w:p>
    <w:p w:rsidR="0025129F" w:rsidRDefault="0025129F" w:rsidP="0025129F">
      <w:pPr>
        <w:pStyle w:val="TextoNormal"/>
      </w:pPr>
      <w:r>
        <w:t xml:space="preserve">c) Vulneración de los derechos de libertad de circulación, de residencia y de empresa (arts. 19 y 38 CE): </w:t>
      </w:r>
    </w:p>
    <w:p w:rsidR="0025129F" w:rsidRDefault="0025129F" w:rsidP="0025129F">
      <w:pPr>
        <w:pStyle w:val="TextoNormal"/>
      </w:pPr>
      <w:r>
        <w:t xml:space="preserve">En primer lugar, porque si los poderes públicos tienen la obligación de no adoptar medidas que, directa o indirectamente, impidan u obstaculicen esa libertad de residencia y circulación, sin embargo, la Disposición adicional octava es una norma que "incentiva y favorece el traslado de la residencia al extranjero para, desde allí, invertir en territorios </w:t>
      </w:r>
      <w:r>
        <w:lastRenderedPageBreak/>
        <w:t xml:space="preserve">forales". Y en segundo término, porque "si los residentes en España no van a poder beneficiarse de las ventajas fiscales que la DA 8ª pretende instaurar, queda violada la libertad de inversión y circulación que como europeos les corresponde y que obviamente exige no ser discriminados por razón de su residencia en uno u otro Estado miembro". </w:t>
      </w:r>
    </w:p>
    <w:p w:rsidR="0025129F" w:rsidRDefault="0025129F" w:rsidP="0025129F">
      <w:pPr>
        <w:pStyle w:val="TextoNormal"/>
      </w:pPr>
      <w:r>
        <w:t xml:space="preserve">En efecto, a juicio de esta representación procesal, el Estado español no puede legislar para europeos en la Disposición adicional octava olvidando que también lo son todos los españoles y no puede tampoco primar exclusivamente las inversiones en un territorio sin lesionar por ello no sólo la propia Constitución española sino también las normas comunitarias sobre libre circulación de personas, mercancías y capitales y las que instauran el régimen de autorización administrativa previa de la Comisión Europea para el régimen de ayudas a determinados territorios. El propio art. 9 LOFCA es rotundo al fijar los puntos de conexión que han de respetar los propios impuestos autonómicos en relación con el ordenamiento tributario estatal y al sentar que los impuestos autonómicos "no podrán suponer obstáculo para la libre circulación de personas, mercancías y servicios ni afectar de manera efectiva a la fijación de residencias de las personas o de la ubicación de empresas y capitales dentro del territorio español de acuerdo con lo establecido en el art. 2.1.a) ni comportar cargas trasladables a otras Comunidades". </w:t>
      </w:r>
    </w:p>
    <w:p w:rsidR="0025129F" w:rsidRDefault="0025129F" w:rsidP="0025129F">
      <w:pPr>
        <w:pStyle w:val="TextoNormal"/>
      </w:pPr>
      <w:r>
        <w:t xml:space="preserve">Por otra parte, insiste la parte actora, "los puntos de conexión territorial con los ordenamientos tributarios forales son exigidos y delimitados con notoria precisión en las leyes que aprueban los regímenes respectivos de concierto o convenio económico de estos territorios forales con el Estado". Pues bien, "estos preceptos devienen inútiles si es el propio Estado el que desde su legislación, como ocurre en el caso de la DA 8ª , contribuye a violarlos discriminando a las personas por razón de su residencia, concediendo una amnistía tributaria parcial en la medida del exceso a que la DA 8ª se refiere y finalmente concede un claro privilegio fiscal mediante el derecho de devolución que instaura". </w:t>
      </w:r>
    </w:p>
    <w:p w:rsidR="0025129F" w:rsidRDefault="0025129F" w:rsidP="0025129F">
      <w:pPr>
        <w:pStyle w:val="TextoNormal"/>
      </w:pPr>
      <w:r>
        <w:t xml:space="preserve">d) Lesión de los principios constitucionales de solidaridad y lealtad (art. 2, 138, 156.1 y 158.2 CE): </w:t>
      </w:r>
    </w:p>
    <w:p w:rsidR="0025129F" w:rsidRDefault="0025129F" w:rsidP="0025129F">
      <w:pPr>
        <w:pStyle w:val="TextoNormal"/>
      </w:pPr>
      <w:r>
        <w:t>Por último, esta representación procesal termina sus alegaciones indicando que no es un comportamiento leal a la Constitución y conforme con la buena fe constitucional el apoyar desde la legislación estatal los privilegios que, en contra de la armonización fiscal, puedan instaurar las legislaciones tributarias forales, y ello sabiendo que producen consecuencias lesivas para otras Comunidades Autónomas y que se realiza infringiendo el sistema de puntos de conexión tributaria entre ordenamientos establecido por el bloque de la constitucionalidad. La solidaridad y lealtad exigen de los territorios forales que armonicen su sistema tributario con el estatal y que no impongan en el mismo privilegios económicos, pero esas exigencias son más radicales todavía si cabe para el Estado por cuanto ex art. 149.1.1 CE tiene competencia exclusiva para la regulación de las condiciones básicas que garanticen la igualdad entre los españoles y ex art. 149.1.14 CE tiene iguales competencias exclusivas en materia de hacienda general, que no puede ser sino sujeto de un sistema tributario estatal justo inspirado en el principio de igualdad y que sostenga un gasto público equitativo (art. 31 CE).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La Sección Primera de este Tribunal, por providencia de 9 de mayo de 1995, acordó admitir a trámite el recurso, dando traslado de las actuaciones recibidas, conforme establece el art. 37.2 LOTC, al Congreso de los Diputados y al Senado,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w:t>
      </w:r>
      <w:r>
        <w:lastRenderedPageBreak/>
        <w:t>publicación en el "Boletín Oficial de Estado" de la incoación del recurso (lo que se cumplimentó en el BOE núm. 119, de 19 de mayo).</w:t>
      </w:r>
    </w:p>
    <w:p w:rsidR="0025129F" w:rsidRDefault="0025129F" w:rsidP="0025129F">
      <w:pPr>
        <w:pStyle w:val="TextoNormal"/>
      </w:pPr>
    </w:p>
    <w:p w:rsidR="0025129F" w:rsidRDefault="0025129F" w:rsidP="0025129F">
      <w:pPr>
        <w:pStyle w:val="TextoNormal"/>
      </w:pPr>
      <w:r w:rsidRPr="0025129F">
        <w:rPr>
          <w:rStyle w:val="NumeroAFNegritaCaracter"/>
        </w:rPr>
        <w:t>3</w:t>
      </w:r>
      <w:r>
        <w:t>. Por escrito fechado el día 23 de mayo de 1995 (y registrado en este Tribunal el día 25 de mayo siguiente), el Presidente del Senado acordó que se tuviera a dicha Cámara por personada en el procedimiento y por ofrecida su colaboración a los efectos del artículo 88.1 de la Ley Orgánica del Tribunal Constitucional. Igualmente, con fecha del 30 de mayo (y fecha de registro en este Tribunal del 31 de mayo),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0025129F" w:rsidRDefault="0025129F" w:rsidP="0025129F">
      <w:pPr>
        <w:pStyle w:val="TextoNormal"/>
      </w:pPr>
    </w:p>
    <w:p w:rsidR="0025129F" w:rsidRDefault="0025129F" w:rsidP="0025129F">
      <w:pPr>
        <w:pStyle w:val="TextoNormal"/>
      </w:pPr>
      <w:r w:rsidRPr="0025129F">
        <w:rPr>
          <w:rStyle w:val="NumeroAFNegritaCaracter"/>
        </w:rPr>
        <w:t>4</w:t>
      </w:r>
      <w:r>
        <w:t xml:space="preserve">. El Abogado del Estado formuló sus alegaciones mediante escrito presentado el 9 de junio de 1995, en el que suplicaba que, previos los trámites legales, se dictara Sentencia por la que se desestimara el recurso, declarándose que la norma impugnada es en todo conforme a la Constitución. </w:t>
      </w:r>
    </w:p>
    <w:p w:rsidR="0025129F" w:rsidRDefault="0025129F" w:rsidP="0025129F">
      <w:pPr>
        <w:pStyle w:val="TextoNormal"/>
      </w:pPr>
      <w:r>
        <w:t xml:space="preserve">Comienza su argumentación poniendo un óbice de procedibilidad, a saber, la falta de legitimación activa de la Comunidad recurrente por no existir "conexión alguna discernible con el conjunto o haz de facultades o competencias de la Comunidad, ni con precepto alguno de su Estatuto de Autonomía". A juicio de esta parte procesal, aun tomando como base la amplia doctrina del Tribunal Constitucional con relación a la legitimación de las Comunidades Autónomas en los recursos de inconstitucionalidad, "esta amplitud no llega al extremo de que sean admisibles impugnaciones que no guarden relación concreta alguna con las competencias autonómicas, los preceptos del Estatuto de Autonomía o las garantías que sean en sí mismas presupuesto y base de la autonomía", y por ello, entiende "que ninguna de tales condiciones concurre en el presente recurso de inconstitucionalidad". Tomando como base la doctrina recogida en la STC 62/1990, FJ 3, concluye el Abogado del Estado que la Comunidad recurrente carece de toda competencia relacionada real o concretamente con la norma impugnada, que concierne a los regímenes fiscales de Navarra y el País Vasco y a determinados derechos que se reconocen a residentes en la Unión Europea que operen en dichas Comunidades. Y añade que "el recurso no establece además relación con competencia alguna de La Rioja, ni con precepto alguno de su Estatuto de Autonomía; tampoco se alega perjuicio alguno de la autonomía de La Rioja, alegándose exclusivamente presuntas vulneraciones del orden constitucional general, que afectarían por igual a todas las Comunidades Autónomas (fraude o deslealtad constitucional), y vulneraciones del principio de igualdad y de interdicción de la arbitrariedad que no guardan relación, tal y como están formuladas, con los presupuestos de la autonomía". </w:t>
      </w:r>
    </w:p>
    <w:p w:rsidR="0025129F" w:rsidRDefault="0025129F" w:rsidP="0025129F">
      <w:pPr>
        <w:pStyle w:val="TextoNormal"/>
      </w:pPr>
      <w:r>
        <w:t>Con relación a la cuestión de fondo, entiende el Abogado del Estado que no concurre la violación del principio de igualdad y de interdicción de la arbitrariedad, y ello porque "el método argumental seguido es un tanto singular: se enuncian posibles consecuencias de la norma, todas hipotéticas, así como posibles finalidades de la misma, igualmente hipotéticas (incluso se presentan como tales), elegidas casi ad hoc para ser inmediatamente rechazadas; no se emplea un método mucho más sencillo, que es el de identificar la finalidad presumiblemente real de la norma, a la luz de sus efectos concretos, para determinar si posee o no una justificación objetiva y razonable, compartible con los valores constitucionales. La enunciación concreta de la comparación, y la elección misma del tertium compa</w:t>
      </w:r>
      <w:r>
        <w:lastRenderedPageBreak/>
        <w:t xml:space="preserve">rationis tampoco es correcta". Y para alcanzar esta conclusión, se apoya esta parte procesal en varios argumentos, que se exponen a continuación. </w:t>
      </w:r>
    </w:p>
    <w:p w:rsidR="0025129F" w:rsidRDefault="0025129F" w:rsidP="0025129F">
      <w:pPr>
        <w:pStyle w:val="TextoNormal"/>
      </w:pPr>
      <w:r>
        <w:t xml:space="preserve">En primer lugar, señala que "lo que indiscutiblemente persigue la norma es justamente lo contrario de lo denunciado; no es establecer una desigualdad, sino suprimir una desigualdad preexistente; persigue el efecto de suprimir una diferenciación existente en el ordenamiento tributario estatal de los territorios forales, en relación con las sociedades que operaran en los mismos, establecidas por razón de residir fuera de España, suprimiendo tal diferenciación para los residentes en la UE, en perfecta compatibilidad con los fines y principios del Tratado Constitutivo de la Comunidad Económica Europea y del Tratado de la Unión Europea, así como con los mandatos del propio art. 13 de la Constitución Española. En efecto, se trata de que los no residentes en España pero que operen en territorios forales (que hasta ahora tributaban íntegramente por el régimen común) tengan el mismo tratamiento fiscal que los residentes en España que igualmente operen en tales territorios". </w:t>
      </w:r>
    </w:p>
    <w:p w:rsidR="0025129F" w:rsidRDefault="0025129F" w:rsidP="0025129F">
      <w:pPr>
        <w:pStyle w:val="TextoNormal"/>
      </w:pPr>
      <w:r>
        <w:t xml:space="preserve">En segundo término, indica que "la norma impugnada utiliza los criterios de residencia y el hecho de operar en un determinado territorio: precisamente los utilizados por la Ley General Tributaria, con carácter general (art. 21), y especialmente, por las Leyes que establecen los sistemas tributarios de Navarra y del País Vasco: la Ley de 13 de mayo de 1981, para el País Vasco (véase su art. 182), y la Ley de 26 de diciembre de 1990, para Navarra (véase su art. 17.2)". </w:t>
      </w:r>
    </w:p>
    <w:p w:rsidR="0025129F" w:rsidRDefault="0025129F" w:rsidP="0025129F">
      <w:pPr>
        <w:pStyle w:val="TextoNormal"/>
      </w:pPr>
      <w:r>
        <w:t xml:space="preserve">En tercer lugar, afirma que "la comparación debe realizarse con los residentes en España que operaran en los territorios forales; justamente con ellos la norma establece la muy pertinente igualdad de trato de los no residentes en España y residentes en la UE". Añade asimismo que el razonamiento de los recurrentes se centra en determinar una larga lista de los colectivos excluidos de la norma, cuando "es evidente que lo único que debe hacerse es examinar la razonabilidad de los incluidos, que a nuestro juicio es patente". </w:t>
      </w:r>
    </w:p>
    <w:p w:rsidR="0025129F" w:rsidRDefault="0025129F" w:rsidP="0025129F">
      <w:pPr>
        <w:pStyle w:val="TextoNormal"/>
      </w:pPr>
      <w:r>
        <w:t xml:space="preserve">En cuarto lugar, dice que "la demanda desecha también varias posibles finalidades de la norma por arbitrarias ... pero lo que ocurre es que tales finalidades han sido seleccionadas de una forma hipotética y artificiosa, y no se corresponden con la que clara y manifiestamente tiene". Igual ocurre con las "retóricas y aseverativas acusaciones de fraude constitucional; aparte de que una imputación tan grave debe justificarse con extremo rigor en nuestra opinión, estas acusaciones dialécticas ignoran nuevamente que los puntos de conexión utilizados son precisamente los ya existentes en el sistema tributario vigente en el Estado y en los territorios forales afectados". </w:t>
      </w:r>
    </w:p>
    <w:p w:rsidR="0025129F" w:rsidRDefault="0025129F" w:rsidP="0025129F">
      <w:pPr>
        <w:pStyle w:val="TextoNormal"/>
      </w:pPr>
      <w:r>
        <w:t>En quinto lugar, asegura que "las críticas que se realizan en cuanto a los elementos objetivos tienen los mismos defectos, siempre a nuestro juicio. La crítica del elemento espacial es de difícil comprensión, ya que no se nos alcanza cómo este elemento podría haber sido sustituido por otro; en las argumentaciones de la recurrente lo que aparece es en realidad otra cosa: una crítica encubierta a la existencia de los regímenes fiscales concertados de Navarra y del País Vasco, que es obvio que no puede ser examinada en el presente recurso de inconstitucionalidad. La crítica del elemento objetivo constituido por la referencia al hecho de operar, que se presenta como arbitrario, vuelve a desconocer que tal elemento es precisamente el utilizado por las leyes de concierto para regular la aplicación del régimen fiscal común o foral, a través de la cifra relativa de negocios. Y debe precisarse que todas las restantes acusaciones de arbitrariedad se desvanecen definitivamente a la vista de la remisión reglamentaria (perfectamente legítima, al existir los elementos normativos en las leyes suficientes sobre esta materia, como se ha visto) que realiza la norma; en el correspondiente Reglamento se especificarán los detalles de las condiciones del derecho establecido en la misma, que deberán respetar el marco normativo existente y por supues</w:t>
      </w:r>
      <w:r>
        <w:lastRenderedPageBreak/>
        <w:t xml:space="preserve">tos los principios constitucionales, siendo en caso contrario tal Reglamento perfectamente impugnable ante los Tribunales competentes". </w:t>
      </w:r>
    </w:p>
    <w:p w:rsidR="0025129F" w:rsidRDefault="0025129F" w:rsidP="0025129F">
      <w:pPr>
        <w:pStyle w:val="TextoNormal"/>
      </w:pPr>
      <w:r>
        <w:t xml:space="preserve">En cuanto a las críticas que se vierten sobre las consecuencias jurídicas de la norma, entiende el Abogado del Estado que igualmente son inconsistentes: "El entender que no existe obligación ninguna previa para el Estado de reparar las desigualdades que puedan producir los regímenes fiscales autonómicos ignora la posición de España en la UE y su fundamento y características constitucionales, así como el hecho de que las Comunidades Autónomas son parte del propio Estado y sus regímenes fiscales legítimos en su misma diversidad; sin entrar en la indudable oportunidad que tiene para el legislador el reparar situaciones previas de desigualdad, como justamente pretende la norma impugnada, que aquí cumple el mandato constitucional contenido en el art. 9.2 de la Constitución". </w:t>
      </w:r>
    </w:p>
    <w:p w:rsidR="0025129F" w:rsidRDefault="0025129F" w:rsidP="0025129F">
      <w:pPr>
        <w:pStyle w:val="TextoNormal"/>
      </w:pPr>
      <w:r>
        <w:t>No habiendo, pues, ninguna otra vulneración de inconstitucionalidad, pues "la presunta lesión de la libertad de circulación, residencia y establecimiento no tiene la más mínima seriedad, ya que difícilmente puede haber tal lesión en una norma que establece derechos y no mandatos imperativos; y en cuanto a la solidaridad y la prohibición de privilegios, todas las muy genéricas afirmaciones del recurrente se dirigen en realidad contra la existencia de regímenes fiscales diferenciados en Navarra y en el País Vasco, cuestión enteramente ajena a este recurso de inconstitucionalidad", concluye el Abogado del Estado suplicando la desestimación del recurso.</w:t>
      </w:r>
    </w:p>
    <w:p w:rsidR="0025129F" w:rsidRDefault="0025129F" w:rsidP="0025129F">
      <w:pPr>
        <w:pStyle w:val="TextoNormal"/>
      </w:pPr>
    </w:p>
    <w:p w:rsidR="0025129F" w:rsidRDefault="0025129F" w:rsidP="0025129F">
      <w:pPr>
        <w:pStyle w:val="TextoNormal"/>
      </w:pPr>
      <w:r w:rsidRPr="0025129F">
        <w:rPr>
          <w:rStyle w:val="NumeroAFNegritaCaracter"/>
        </w:rPr>
        <w:t>5</w:t>
      </w:r>
      <w:r>
        <w:t>. Por providencia de fecha de 23 de abril de 2002, se señaló para deliberación y votación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inconstitucionalidad ha sido interpuesto por el Consejo de Gobierno de La Rioja contra la Disposición adicional octava de la Ley 42/1994, de 30 de diciembre, de medidas fiscales, administrativas y del orden social, sobre la base de la vulneración de los principios constitucionales de seguridad jurídica, igualdad y no arbitrariedad, derechos de libertad de circulación, residencia y empresa, y principios de solidaridad y lealtad.</w:t>
      </w:r>
    </w:p>
    <w:p w:rsidR="0025129F" w:rsidRDefault="0025129F" w:rsidP="0025129F">
      <w:pPr>
        <w:pStyle w:val="TextoNormal"/>
      </w:pPr>
      <w:r>
        <w:t>A juicio del recurrente, la disposición citada viola el principio de seguridad jurídica (art. 9.3 CE). Alude, al efecto, a "la oscura y tosca técnica legislativa" seguida con la norma cuestionada "sobre todo cuando se enmarca en una ley que, como la 42/94, es ya de por sí acreedora a tal crítica en su conjunto". Indica, a este respecto, que "se convendrá en que de la simple lectura de la denominada Ley de acompañamiento a los Presupuestos no puede venirse fácilmente en conocimiento de lo que dispone pues tantas y complejas son las modificaciones parciales y remisiones de todo tipo que efectúa a leyes sectoriales a las que contagia, en consecuencia, de esa misma inseguridad jurídica".</w:t>
      </w:r>
    </w:p>
    <w:p w:rsidR="0025129F" w:rsidRDefault="0025129F" w:rsidP="0025129F">
      <w:pPr>
        <w:pStyle w:val="TextoNormal"/>
      </w:pPr>
      <w:r>
        <w:t>Alega también la parte actora que la disposición impugnada es arbitraria y contraria al principio de igualdad (arts. 1.1, 9.2 y 3, 14, 31.1, 138.2, 139.1 y 2, y 149.1.1 CE). En primer lugar, porque desconoce la nacionalidad de los afectados (al no tratarse de una norma dirigida a los españoles o a los extranjeros), atendiendo únicamente a la no residencia en España (residentes en la Unión Europea que no lo sean en España), con lo cual se favorece a un colectivo (el de residentes en la Unión Europea) con exclusión de uno de ellos que se supone que para el Estado español debe ser el más importante (el de los residentes en España). En segundo lugar, porque se excluye a todos los extranjeros, aunque sean ciudada</w:t>
      </w:r>
      <w:r>
        <w:lastRenderedPageBreak/>
        <w:t>nos europeos, por el hecho de residir en España, penalizándose la libre opción por la residencia en España e incentivándose la residencia en el extranjero, al ser más atractivo invertir en España residiendo fuera que dentro. En tercer lugar, porque acomete una expansión de los derechos forales tributarios constitucionalmente imprevista, privando tanto a los riojanos como al resto de los españoles de acogerse a las compensaciones que establece.</w:t>
      </w:r>
    </w:p>
    <w:p w:rsidR="0025129F" w:rsidRDefault="0025129F" w:rsidP="0025129F">
      <w:pPr>
        <w:pStyle w:val="TextoNormal"/>
      </w:pPr>
      <w:r>
        <w:t>Asimismo afirma el recurrente que la norma cuestionada viola las libertades de circulación, residencia y empresa (arts. 19 y 38 CE) porque estimula y favorece el traslado de la residencia al extranjero a los efectos de permitir a los sujetos acogerse a los beneficios fiscales que prevé.</w:t>
      </w:r>
    </w:p>
    <w:p w:rsidR="0025129F" w:rsidRDefault="0025129F" w:rsidP="0025129F">
      <w:pPr>
        <w:pStyle w:val="TextoNormal"/>
      </w:pPr>
      <w:r>
        <w:t>Se invoca también la vulneración de los principios de solidaridad y lealtad (arts. 2, 138, 156.1 y 158.2 CE), que exigen la armonización del sistema tributario foral con el estatal, con limitación de los privilegios tributarios, sobre todo aquéllos que reduzcan la presión fiscal global.</w:t>
      </w:r>
    </w:p>
    <w:p w:rsidR="0025129F" w:rsidRDefault="0025129F" w:rsidP="0025129F">
      <w:pPr>
        <w:pStyle w:val="TextoNormal"/>
      </w:pPr>
      <w:r>
        <w:t>Finalmente, para la Comunidad Autónoma recurrente hay que tener presente que se está subvencionando por la Hacienda pública del Estado un beneficio fiscal establecido por una Administración autonómica, en el que el volumen de gasto comprometido por la Disposición adicional cuestionada no va a depender de una decisión del Estado, sino que viene predeterminada por la decisión de las Haciendas forales. Con ello se están expandiendo los efectos de la imposición foral más allá de sus límites competenciales, vinculándose la propia potestad presupuestaria del Estado a decisiones que le son ajenas.</w:t>
      </w:r>
    </w:p>
    <w:p w:rsidR="0025129F" w:rsidRDefault="0025129F" w:rsidP="0025129F">
      <w:pPr>
        <w:pStyle w:val="TextoNormal"/>
      </w:pPr>
      <w:r>
        <w:t>No es esta, sin embargo, la opinión del Abogado del Estado, para quien la Comunidad Autónoma recurrente carece de legitimación activa para interponer el presente recurso, al no tener la Disposición adicional impugnada conexión alguna con el conjunto de facultades o competencias de esa Comunidad ni con precepto alguno de su Estatuto de Autonomía. Por otra parte, pasando a la cuestión de fondo, afirma el Abogado del Estado que lo único que hace dicha disposición es suprimir una desigualdad preexistente, en perfecta compatibilidad con los fines y principios del Tratado de la Comunidad Económica Europea y del Tratado de la Unión Europea, así como con los mandatos del propio art. 13 CE. Por último, afirma, respecto de la supuesta lesión de la libertad de circulación, residencia y empresa, que "difícilmente puede haber tal lesión en una norma que establece derechos y no mandatos imperativos" y señala, "en cuanto a la solidaridad y la prohibición de privilegios, [que] todas las muy genéricas afirmaciones del recurrente se dirigen en realidad contra la existencia de regímenes fiscales diferenciados en Navarra y en el País Vasco, cuestión enteramente ajena a este recurso de inconstitucionalidad".</w:t>
      </w:r>
    </w:p>
    <w:p w:rsidR="0025129F" w:rsidRDefault="0025129F" w:rsidP="0025129F">
      <w:pPr>
        <w:pStyle w:val="TextoNormal"/>
      </w:pPr>
    </w:p>
    <w:p w:rsidR="0025129F" w:rsidRDefault="0025129F" w:rsidP="0025129F">
      <w:pPr>
        <w:pStyle w:val="TextoNormal"/>
      </w:pPr>
      <w:r w:rsidRPr="0025129F">
        <w:rPr>
          <w:rStyle w:val="NumeroAFNegritaCaracter"/>
        </w:rPr>
        <w:t>2</w:t>
      </w:r>
      <w:r>
        <w:t>. Sobre la base de lo expuesto hay que precisar que la Disposición adicional octava de la Ley objeto de debate, preceptúa, bajo el título de "Concesión de incentivos fiscales y subvenciones a los residentes en el resto de la Unión Europea que no lo sean en territorio español", lo siguiente:</w:t>
      </w:r>
    </w:p>
    <w:p w:rsidR="0025129F" w:rsidRDefault="0025129F" w:rsidP="0025129F">
      <w:pPr>
        <w:pStyle w:val="TextoNormal"/>
      </w:pPr>
      <w:r>
        <w:t>"Los residentes en la Unión Europea, que no lo sean en España y que, por su condición de tales, deban someterse a la legislación tributaria del Estado, sin que, por esa circunstancia, puedan acogerse a la de la Comunidad Autónoma o Territorio Histórico del País Vasco o Navarra en el que operen, tendrán derecho, en el marco de la normativa comunitaria, al reembolso por la Administración Tributaria del Estado de las cantidades que hubieran pagado efectivamente en exceso con respecto al supuesto de haberse podido acoger a la legislación propia de dichas Comunidades Autónomas o Territorios Históricos, en los términos que reglamentariamente se establezcan".</w:t>
      </w:r>
    </w:p>
    <w:p w:rsidR="0025129F" w:rsidRDefault="0025129F" w:rsidP="0025129F">
      <w:pPr>
        <w:pStyle w:val="TextoNormal"/>
      </w:pPr>
      <w:r>
        <w:lastRenderedPageBreak/>
        <w:t>El origen de la anterior disposición -que a la fecha de hoy aún no ha sido objeto de ningún desarrollo reglamentario- se encuentra en las Normas forales sobre incentivos fiscales a la inversión núms. 28/1988, de 18 de julio, 8/1988, de 5 de julio, y 6/1988, de 14 de julio, de Álava, Vizcaya y Guipúzcoa, respectivamente, dos de las cuales han sido anuladas por sendas Sentencias del Tribunal Supremo (la Norma foral 28/1988 por Sentencia de 22 de octubre de 1998 y la 8/1988 por Sentencia de 7 de febrero de 1998). Dichas disposiciones provocaron la Decisión de la Comisión 93/337/CEE, de 10 de mayo (DOCE 134/25, de 3 de junio) que puso de manifiesto la discriminación que dichos regímenes fiscales suponían en relación con el artículo 52 del Tratado de la Comunidad Europea, sobre libertad de establecimiento y ejercicio de actividades empresariales, declarándolos incompatibles con el mercado común de conformidad con el apartado 1 del artículo 92 del Tratado: "dicho sistema fiscal, en lo que respecta a estas ayudas, es contrario a la libertad de establecimiento prevista en el artículo 52 del Tratado.  En efecto, una sociedad de otro Estado miembro que deseara establecer una sucursal, una agencia o un establecimiento en el País Vasco, manteniendo al mismo tiempo su actividad en dicho Estado miembro, no podría beneficiarse de estas ayudas; del mismo modo, una sociedad española instalada en el País Vasco no podría ampliar sus actividades a otro Estado miembro, explotando un establecimiento en el mismo, so pena de perder su derecho a disfrutar de las mencionadas ayudas". Así, y conforme al artículo 1 de dicha Decisión, no sólo se declaraban contrarias al Tratado CEE dichas medidas, sino que además se ordenaba a España "modificar el sistema fiscal" citado "con el fin de eliminar las distorsiones con respecto al artículo 52 del Tratado, a más tardar, el 31 de diciembre de 1993", de tal manera que "a partir de esa fecha, no se podrá conceder ninguna ayuda en la medida en que no se hayan suprimido en su totalidad estas distorsiones".</w:t>
      </w:r>
    </w:p>
    <w:p w:rsidR="0025129F" w:rsidRDefault="0025129F" w:rsidP="0025129F">
      <w:pPr>
        <w:pStyle w:val="TextoNormal"/>
      </w:pPr>
      <w:r>
        <w:t>Pues bien, aun cuando la Decisión comunitaria exigía al Estado español la modificación del sistema fiscal establecido en las normas antes citadas, aquél optó por incluir en la Ley 42/1994, de 30 de diciembre, de medidas fiscales, administrativas y del orden social, una Disposición adicional (la octava), que procedía a equiparar en los territorios forales del País Vasco y Navarra, mediante la concesión de un "crédito fiscal", la tributación de las personas físicas o jurídicas no residentes en España respecto de la de los residentes en aquéllos. La razón de esta equiparación se debe a que, aun disfrutando dichos territorios forales de un régimen tributario propio, consecuencia de la Disposición adicional primera de nuestra Carta Magna (y desarrollado en la Ley 12/1981, de 13 de mayo, por la que se aprueba el Concierto Económico con la Comunidad Autónoma del País Vasco, y en la Ley 28/1990, de 26 de diciembre, por la que se aprueba el Convenio Económico entre el Estado y la Comunidad Foral de Navarra), sin embargo, en materia de tributación de "no residentes" en España, la competencia para regularla era -en aquel entonces- exclusiva del Estado. Hoy, sin embargo, tras la reforma operada por las Leyes 38/1997, de 4 de agosto, y 19/1998, de 15 de junio, de modificación del concierto económico y del convenio económico, respectivamente, los no residentes que operen con establecimientos permanentes en esos territorios quedarán sometidos a la normativa foral y no a la común.</w:t>
      </w:r>
    </w:p>
    <w:p w:rsidR="0025129F" w:rsidRDefault="0025129F" w:rsidP="0025129F">
      <w:pPr>
        <w:pStyle w:val="TextoNormal"/>
      </w:pPr>
      <w:r>
        <w:t xml:space="preserve">Por el motivo expuesto, las personas físicas o jurídicas no residentes en España que operaban en la Comunidad Autónoma del País Vasco se encontraban en una situación de desventaja respecto de aquellas otras personas o entidades que, operando igualmente en tal Comunidad, tenían acceso a una amplia gama de beneficios fiscales como consecuencia de su condición de residentes forales, al serles de aplicación la normativa concertada foral y no la normativa estatal común. Según esto, los efectos de la Disposición adicional impugnada son de exclusiva aplicación a los sujetos citados -no residentes en España que operan </w:t>
      </w:r>
      <w:r>
        <w:lastRenderedPageBreak/>
        <w:t>en el País Vasco y Navarra- pero no a aquellas otras personas o entidades que, aun operando en dichas Comunidades, están establecidas en cualquier otra parte de España. Esto es, para que un sujeto se convierta en acreedor de la "ayuda" contemplada en la norma cuestionada en el presente recurso, es necesaria la concurrencia de una serie de requisitos: a) Que se trate de un no residente en España que sea residente en la Unión Europea; b) Que opere en el País Vasco o Navarra; y c) Que no le sea de aplicación la legislación tributaria de la Comunidad Autónoma o Foral, sino la del Estado. Por tanto, esta ayuda no es aplicable: 1) a los no residentes en España que operen en territorio común, los cuales quedan bajo el ámbito de aplicación de la normativa general del Estado en materia de tributación de no residentes (antes, las Leyes reguladoras del impuesto sobre la renta de las personas físicas y del impuesto de sociedades, IRPF e IS; hoy en día, la Ley 41/1998, de 9 de diciembre, del impuesto sobre la renta de no residentes); 2) a los residentes en el País Vasco o Navarra que operen en dichos territorios forales, lo cuales quedan sometidos a su propia normativa tributaria; 3) a los residentes en territorio común que operen en el País Vasco y Navarra y que les sea de aplicación la normativa foral, siendo para ellos el IRPF o el IS un tributo concertado o convenido de normativa autónoma (como ocurre, por ejemplo, con los que operan exclusivamente en el País Vasco o Navarra); 4) a los residentes en territorio común que no operen en el País Vasco o Navarra, a quienes se aplica la norma común y, en su caso, las especialidades propias de cada Comunidad Autónoma; y 5) a los residentes en territorio común que operen en el País Vasco o Navarra, pero que no les sea de aplicación la normativa foral sino  la común, por ser para ellos el IRPF o el IS un tributo concertado o convenido de normativa común (como ocurre, por ejemplo, con algunos de los que operan tanto en territorio común como en territorio foral).</w:t>
      </w:r>
    </w:p>
    <w:p w:rsidR="0025129F" w:rsidRDefault="0025129F" w:rsidP="0025129F">
      <w:pPr>
        <w:pStyle w:val="TextoNormal"/>
      </w:pPr>
      <w:r>
        <w:t>Pues bien, de los supuestos relacionados sólo interesa el quinto, a los efectos de este proceso constitucional, según se indica a continuación. Y ello porque la primera situación es ajena al presente recurso, so pena de entrar a examinar la diferencia de trato que la disposición impugnada dispensa a los no residentes según desarrollen su actividad en el País Vasco o Navarra, o en el resto del territorio nacional, lo que no configura el objeto de este proceso. La segunda y tercera se justifican precisamente por la aplicación de las normas forales y, en concreto, de los beneficios fiscales que prevén, a los que se asemeja la ayuda contemplada en la Disposición adicional octava de la Ley aquí impugnada. La cuarta se legitima, en principio, en el hecho de que cada sujeto queda sometido a la legislación del territorio donde desarrolla su actividad, donde opera. Es, entonces, en la quinta situación expuesta donde nos encontramos ante un supuesto en el que, tratándose en todo caso de sujetos que operan en el País Vasco o Navarra, unos, los residentes en esos territorios o los que, siendo residentes en territorio común operan exclusivamente en territorio foral, gozan de una serie de beneficios fiscales aplicables al ejercicio de su actividad; otros, los no residentes en España, disfrutan de lo que podríamos denominar una "medida de efecto equivalente", a saber, la ayuda o subvención fiscal, directamente proporcional al beneficio fiscal no disfrutado por su condición de no residentes; y, finalmente, otros, por ser residentes en territorio común, y aun operando igualmente en los territorios forales, ni tienen derecho al beneficio fiscal foral ni son acreedores a la subvención estatal.</w:t>
      </w:r>
    </w:p>
    <w:p w:rsidR="0025129F" w:rsidRDefault="0025129F" w:rsidP="0025129F">
      <w:pPr>
        <w:pStyle w:val="TextoNormal"/>
      </w:pPr>
      <w:r>
        <w:t xml:space="preserve">Ahora bien, no corresponde a este Tribunal analizar en el presente recurso de inconstitucionalidad ninguna de las tachas e imputaciones que sobre las normas forales vierte la representación procesal de la Comunidad Autónoma recurrente y relativas a la discriminación interterritorial, a la prohibición de menoscabar la competencia empresarial o distorsionar la asignación de recursos y el libre movimiento de capitales y mano de obra, así como a las diferencias de presión fiscal efectiva global, pues ello sería tanto como aceptar </w:t>
      </w:r>
      <w:r>
        <w:lastRenderedPageBreak/>
        <w:t>la interposición de una suerte de recurso per saltum contra las normas forales citadas. El objeto del presente recurso de inconstitucionalidad lo constituye única y exclusivamente el análisis de la Disposición adicional octava de la Ley 42/1994 y a ella se va a contraer nuestro estudio, teniendo en cuenta dos circunstancias: de un lado, que, aun cuando la norma impugnada sea consecuencia de la Decisión de la Comisión 93/337/CEE, de 10 de mayo que, a su vez, tiene su origen en las Normas dictadas por las Diputaciones Forales vascas en el año 1988, sin embargo, sus efectos no se limitan únicamente a corregir la disfunción creada en el mercado comunitario por aquéllas, pues, dada su redacción, se aplica a cualquier otra norma foral, vasca o navarra, que establezca un beneficio fiscal no aplicable a los no residentes comunitarios que operan en estos territorios; y de otra parte, que al ser el crédito fiscal aprobado por la disposición impugnada el equivalente de los beneficios fiscales previstos en las normas forales para los residentes en los territorios forales, será necesario acudir a éstas para conocer su alcance, eso sí, teniendo bien presente que lo enjuiciado en el presente recurso de inconstitucionalidad es única y exclusivamente la medida estatal y no las forales que le sirven de base y justificación.</w:t>
      </w:r>
    </w:p>
    <w:p w:rsidR="0025129F" w:rsidRDefault="0025129F" w:rsidP="0025129F">
      <w:pPr>
        <w:pStyle w:val="TextoNormal"/>
      </w:pPr>
    </w:p>
    <w:p w:rsidR="0025129F" w:rsidRDefault="0025129F" w:rsidP="0025129F">
      <w:pPr>
        <w:pStyle w:val="TextoNormal"/>
      </w:pPr>
      <w:r w:rsidRPr="0025129F">
        <w:rPr>
          <w:rStyle w:val="NumeroAFNegritaCaracter"/>
        </w:rPr>
        <w:t>3</w:t>
      </w:r>
      <w:r>
        <w:t>. Antes de enjuiciar el fondo de las cuestiones objeto de este proceso constitucional debemos dar respuesta a la objeción de procedibilidad formulada por el Abogado del Estado, relativa a la falta de interés de la Comunidad Autónoma recurrente para interponer el presente recurso de inconstitucionalidad. Se fundamenta el Abogado del Estado en que, a su juicio, no guarda el recurso ninguna conexión con las competencias de la Comunidad ni con precepto alguno de su Estatuto de Autonomía, por impugnarse una norma que concierne a los regímenes fiscales de Navarra y el País Vasco y a determinados derechos que se reconocen a residentes en la Unión Europea que operen en dichas Comunidades, tanto más cuanto simplemente se alegan presuntas vulneraciones del orden constitucional general, que afectarían por igual a todas las Comunidades Autónomas (fraude o deslealtad constitucional), y vulneraciones del principio de igualdad y de interdicción del arbitrariedad que no tienen relación, tal y como están formuladas, con los presupuestos de la autonomía.</w:t>
      </w:r>
    </w:p>
    <w:p w:rsidR="0025129F" w:rsidRDefault="0025129F" w:rsidP="0025129F">
      <w:pPr>
        <w:pStyle w:val="TextoNormal"/>
      </w:pPr>
      <w:r>
        <w:t>Pues bien, aunque es cierto que hemos venido entendiendo la legitimación de las Comunidades Autónomas para interponer un recurso de inconstitucionalidad [conforme a los arts. 162.1 a) CE y 32.2 LOTC] como referida a las normas que afecten a dichas Comunidades "en el ámbito derivado de las facultades correspondientes a sus intereses peculiares" (STC 25/1981, de 14 de julio, FJ 3, y, en igual sentido, la STC 84/1982, de 23 de diciembre, FJ 2), también lo es que dicha legitimación ha sido entendida "en los mismos términos y con la misma amplitud" que la del resto de los sujetos contemplados en los anteriores artículos, al haberles sido reconocida a cada uno de ellos "no en atención a su interés, sino en virtud de la alta cualificación política que se infiere de su respectivo cometido constitucional" (SSTC 5/1981, de 13 de febrero, FJ 3; 180/2000, de 19 de junio, FJ 2.a; y 274/2000, de 15 de noviembre, FJ 2). Estos artículos las habilitan, entonces, para acudir ante este Tribunal Constitucional no sólo en defensa de sus competencias autonómicas respecto de las cuales se haya producido una invasión o constricción ope legis y, por tanto, hayan sido menoscabadas - directa o indirectamente- por el Estado, sino también en protección de cualquiera de las garantías que tanto la Constitución como el correspondiente Estatuto de Autonomía les confieren como presupuesto y base de su propio ámbito de autonomía, ora por atribuirles determinadas facultades, ora por imponerles ciertos mandatos (SSTC 84/1982, de 23 de diciembre, FJ 1, y 62/1990, de 30 de marzo, FJ 2). Así las cosas, las Comunidades Autónomas se encuentran legitimadas para interponer un recurso de in</w:t>
      </w:r>
      <w:r>
        <w:lastRenderedPageBreak/>
        <w:t>constitucionalidad cuando tienen un interés para recurrir conforme a los criterios expuestos, operando entonces su haz de competencias como una plasmación positiva de su ámbito propio de autonomía y como punto de conexión entre la legitimación y el interés (STC 84/1982, de 25 de diciembre, FFJJ 1 y 2; y 62/1990, de 30 de marzo, FJ 2). No hay que olvidar que cuando una Comunidad Autónoma impugna una Ley está "poniendo de manifiesto la existencia de un interés público objetivo en que el Tribunal Constitucional desarrolle su función de garantizar la supremacía de la Constitución mediante el enjuiciamiento de la ley impugnada" [STC 86/1982, de 23 de diciembre, FJ 2, citada, al efecto, por la STC 180/2000, de 19 de junio, FJ  2 a)].</w:t>
      </w:r>
    </w:p>
    <w:p w:rsidR="0025129F" w:rsidRDefault="0025129F" w:rsidP="0025129F">
      <w:pPr>
        <w:pStyle w:val="TextoNormal"/>
      </w:pPr>
      <w:r>
        <w:t>Conforme a la anterior doctrina, y como dijimos, por ejemplo, en la STC 84/1982, de 23 de diciembre, basta partir de la atribución de una competencia exclusiva (en aquel caso, sobre régimen local a favor de la Generalidad, dado el tenor del art. 9.8 del Estatuto de Autonomía de Cataluña), como es la prevista en el art. 8.1.2 del Estatuto de Autonomía de La Rioja, relativa al "fomento del desarrollo económico de La Rioja dentro de los objetivos marcados por la política económica nacional", o la de desarrollo legislativo contemplada en el art. 9.1.2, sobre "la ordenación y planificación de la actividad económica regional", para encontrar una base suficientemente legitimadora de los órganos de la Comunidad Autónoma de La Rioja a fines de impugnación de un precepto legal referido a la "política económica nacional", que incide en el propio ámbito de su autonomía.</w:t>
      </w:r>
    </w:p>
    <w:p w:rsidR="0025129F" w:rsidRDefault="0025129F" w:rsidP="0025129F">
      <w:pPr>
        <w:pStyle w:val="TextoNormal"/>
      </w:pPr>
      <w:r>
        <w:t>Es oportuno señalar que cuando la Constitución reconoce a las Comunidades Autónomas -en sus arts. 137 y 156- autonomía para la gestión de sus respectivos intereses lo hace tanto en el sentido de reconocerles la autonomía política como la financiera.  La primera, es un "principio que preside la organización territorial del Estado" (SSTC 135/1992, de 5 de octubre, FJ 8, y 192/2000, de 13 de julio, FJ 7) y, por consiguiente, "uno de los pilares básicos del ordenamiento constitucional" (SSTC 32/1981, de 28 de julio, FJ 3, y 104/2000, de 13 de abril, FJ 4) que "exige que se dote a cada ente de todas las competencias propias y exclusivas que sean necesarias para satisfacer el interés respectivo" (STC 25/1981, de 14 de julio, FJ 3, con cita de la STC 4/1981, de 2 de febrero).  Su autonomía política y, en consecuencia, su capacidad de autogobierno se manifiesta, entonces, "en la capacidad para elaborar sus propias políticas públicas en las materias de su competencia" (STC 13/1992, de 6 de febrero, FJ 7), lo que conduce a entender que esa autonomía para "la gestión de sus respectivos intereses" ofrece una vertiente económica importantísima ya que, aun cuando tenga un carácter instrumental o programático (STC 4/1981, de 2 de febrero, FJ 1.b), la amplitud de los medios determina la posibilidad real de alcanzar los fines (STC 135/1992, de 5 de octubre, FJ 8). Por su parte, la autonomía financiera (reconocida también para la Comunidad Autónoma de La Rioja en el art. 32 EAR), como instrumento indispensable para la consecución de la autonomía política, implica tanto la capacidad de las Comunidades Autónomas para establecer y exigir sus propios tributos como su aptitud para acceder a un sistema adecuado -en términos de suficiencia- de ingresos, conforme a lo dispuesto en los artículos 133.2 y 157.1 CE. La autonomía financiera de los entes territoriales va, entonces,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en definitiva, el ejercicio de la autonomía constitucionalmente reconocida en los arts. 137 y 156 CE (SSTC 104/2000, de 13 de abril, FJ 4, y las por ella citadas; y 289/2000, de 30 de noviembre, FJ 3).</w:t>
      </w:r>
    </w:p>
    <w:p w:rsidR="0025129F" w:rsidRDefault="0025129F" w:rsidP="0025129F">
      <w:pPr>
        <w:pStyle w:val="TextoNormal"/>
      </w:pPr>
      <w:r>
        <w:t xml:space="preserve">Según lo expuesto, no es admisible la objeción de procedibilidad alegada por el Abogado del Estado, por cuanto no cabe duda del interés legítimo que sobre los efectos de la </w:t>
      </w:r>
      <w:r>
        <w:lastRenderedPageBreak/>
        <w:t>norma impugnada tiene la Comunidad Autónoma recurrente, pues su aplicación produce el efecto (el llamado "efecto frontera") de estimular el traslado de actividades económicas de territorio común a territorio foral, con lo cual se está incidiendo directa e inequívocamente en su autonomía financiera y, en consecuencia, en "su propio ámbito de autonomía" (ATC 155/1998, de 30 de junio, FJ 2).</w:t>
      </w:r>
    </w:p>
    <w:p w:rsidR="0025129F" w:rsidRDefault="0025129F" w:rsidP="0025129F">
      <w:pPr>
        <w:pStyle w:val="TextoNormal"/>
      </w:pPr>
    </w:p>
    <w:p w:rsidR="0025129F" w:rsidRDefault="0025129F" w:rsidP="0025129F">
      <w:pPr>
        <w:pStyle w:val="TextoNormal"/>
      </w:pPr>
      <w:r w:rsidRPr="0025129F">
        <w:rPr>
          <w:rStyle w:val="NumeroAFNegritaCaracter"/>
        </w:rPr>
        <w:t>4</w:t>
      </w:r>
      <w:r>
        <w:t>. En el escrito de interposición del recurso de inconstitucionalidad se alega la vulneración por la Disposición adicional impugnada de varios preceptos de nuestra Constitución. Ahora bien, lo cierto es que nuestro análisis se debe limitar a contrastar la norma con los principios de seguridad jurídica e interdicción de la arbitrariedad (art. 9.3 CE), igualdad (arts. 14 y 31.1 CE) y libertad de circulación, de residencia y de empresa (arts. 19, 38 y 139 CE), pues las vulneraciones relativas a los principios de solidaridad y de lealtad constitucional -como correctamente apunta el Abogado del Estado- se dirigen en realidad contra los regímenes forales de convenio y concierto, ajenos a la problemática constitucional que aquí se plantea, lo que los excluye de cualquier pronunciamiento por parte de este Tribunal. Basta recordar en este sentido que, conforme a nuestra doctrina,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de 27 de junio, FJ 2; y 118/1998, de 4 de junio, FJ 4). En particular, es claro que la presunción de constitucionalidad de normas con rango de ley no puede desvirtuarse mediante la imputación de vicios que en realidad no corresponden a la norma analizada por atribuirse directa o indirectamente a otras diferentes, aun cuando éstas guarden algún tipo de relación con aquéllas.</w:t>
      </w:r>
    </w:p>
    <w:p w:rsidR="0025129F" w:rsidRDefault="0025129F" w:rsidP="0025129F">
      <w:pPr>
        <w:pStyle w:val="TextoNormal"/>
      </w:pPr>
    </w:p>
    <w:p w:rsidR="0025129F" w:rsidRDefault="0025129F" w:rsidP="0025129F">
      <w:pPr>
        <w:pStyle w:val="TextoNormal"/>
      </w:pPr>
      <w:r w:rsidRPr="0025129F">
        <w:rPr>
          <w:rStyle w:val="NumeroAFNegritaCaracter"/>
        </w:rPr>
        <w:t>5</w:t>
      </w:r>
      <w:r>
        <w:t>. Hechas las aclaraciones que preceden, imputa la Comunidad Autónoma recurrente, en primer lugar, a la transcrita Disposición adicional octava, objeto del presente recurso, la vulneración del principio de seguridad jurídica previsto en el art. 9.3 CE.</w:t>
      </w:r>
    </w:p>
    <w:p w:rsidR="0025129F" w:rsidRDefault="0025129F" w:rsidP="0025129F">
      <w:pPr>
        <w:pStyle w:val="TextoNormal"/>
      </w:pPr>
      <w:r>
        <w:t>Sobre este particular se hace necesario recordar nuestra doctrina con relación al principio de seguridad jurídica, conforme a la cual este principio implica la suma de certeza y legalidad, jerarquía y publicidad normativa, irretroactividad de lo no favorable, interdicción de la arbitrariedad, equilibrada de tal suerte que permita promover, en el orden jurídico, la justicia y la igualdad en libertad, sin perjuicio del valor que por sí mismo tiene aquel principio (SSTC 104/2000, de 13 de abril, FJ 7; y 235/2000, de 5 de octubre, FJ 8, así como las que en una y otra se citan). Es decir, la seguridad jurídica ha de entenderse como la certeza sobre el ordenamiento jurídico aplicable y los intereses jurídicamente tutelados, procurando "la claridad y no la confusión normativa" (STC 46/1990, de 15 de marzo, FJ 4), y como "la expectativa razonablemente fundada del ciudadano en cuál ha de ser la actuación del poder en la aplicación del Derecho" (STC 36/1991, de 14 de febrero, FJ 5). En definitiva,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0025129F" w:rsidRDefault="0025129F" w:rsidP="0025129F">
      <w:pPr>
        <w:pStyle w:val="TextoNormal"/>
      </w:pPr>
      <w:r>
        <w:lastRenderedPageBreak/>
        <w:t>Según lo que antecede, no es difícil concluir que el precepto cuestionado se puede interpretar "de modo natural y no forzado, y sin afectación de la seguridad jurídica" (SSTC 176/1999, de 30 de septiembre, FJ 4; y 74/2000, de 16 de marzo, FJ 3), como una norma que compensa a los no residentes en España que lo son en la Unión Europea y que operan en los territorios forales del País Vasco y Navarra por los beneficios fiscales que no pueden disfrutar en éstos como consecuencia del reparto de competencias que en materia de tributación de no residentes derivaba, entonces, de las Leyes de Concierto y Convenio firmadas entre el Estado y las Comunidades Autónomas del País Vasco y Navarra, respectivamente. Ciertamente, la norma no sólo es clara y precisa en sus efectos y destinatarios, sino que en momento alguno induce a confusión de ningún tipo ni genera duda de ninguna clase, como lo pone de manifiesto el hecho de que la representación procesal de la Comunidad Autónoma recurrente no haya tenido problema alguno en determinar quiénes son sus destinatarios y cuáles sus consecuencias jurídicas. Es más, la propia parte recurrente no sólo delimita perfectamente el ámbito de los destinatarios sino que además reconoce en sus alegaciones que la determinación del beneficio fiscal cuestionado "consiste en una simple resta entre las cuotas efectivamente pagadas al Estado e hipotéticamente debidas a las Haciendas forales para determinar si existe un exceso a favor del contribuyente que constituirá el monto de la devolución a que tiene derecho y que le satisfará la Hacienda pública estatal, no la foral", con lo cual la falta de dificultad en la concreción de los destinatarios de la norma, de un lado, y la sencillez del cálculo del monto del beneficio tributario, de otra parte, chocan frontalmente con la incertidumbre que se le pretende imputar. Es, pues, una norma clara que ni incide en la vertiente objetiva -certeza- ni en la subjetiva - previsibilidad- del principio de seguridad jurídica (STC 273/2000, de 15 de noviembre, FFJJ 9 a 11) y, por tanto, no es contraria a las exigencias del principio en cuestión pues "aparece redactada con la suficiente claridad como para eliminar cualquier sombra de incertidumbre acerca de su contenido y alcance" (STC 235/2000, de 5 de octubre, FJ 8).</w:t>
      </w:r>
    </w:p>
    <w:p w:rsidR="0025129F" w:rsidRDefault="0025129F" w:rsidP="0025129F">
      <w:pPr>
        <w:pStyle w:val="TextoNormal"/>
      </w:pPr>
      <w:r>
        <w:t>Por otra parte, tampoco el hecho de que se remita a un futuro desarrollo reglamentario ataca dicho principio, por cuanto tal remisión es puramente procedimental, a saber, en la forma de solicitar el "crédito fiscal" derivado de la aplicación de la disposición impugnada a los no residentes en España que desarrollan actividades económicas en los territorios forales citados.  No hay que olvidar que el principio de reserva de ley -y, en concreto, el operante en la materia tributaria por obra del art. 31.3 CE- no excluye la posibilidad de que las Leyes contengan remisiones a normas reglamentarias, es decir, de una intervención auxiliar o complementaria del reglamento (por todas, SSTC 235/2000, de 5 de octubre, FJ 5, y 292/2000, de 30 de noviembre, FJ 14), tanto más si esas remisiones afectan a aspectos meramente adjetivos o procedimentales del tributo, que no sustantivos. En conclusión, desde la perspectiva del principio de seguridad jurídica, en términos de certeza, previsibilidad e intereses tutelados, ningún reproche se le puede hacer a la Disposición adicional impugnada.</w:t>
      </w:r>
    </w:p>
    <w:p w:rsidR="0025129F" w:rsidRDefault="0025129F" w:rsidP="0025129F">
      <w:pPr>
        <w:pStyle w:val="TextoNormal"/>
      </w:pPr>
    </w:p>
    <w:p w:rsidR="0025129F" w:rsidRDefault="0025129F" w:rsidP="0025129F">
      <w:pPr>
        <w:pStyle w:val="TextoNormal"/>
      </w:pPr>
      <w:r w:rsidRPr="0025129F">
        <w:rPr>
          <w:rStyle w:val="NumeroAFNegritaCaracter"/>
        </w:rPr>
        <w:t>6</w:t>
      </w:r>
      <w:r>
        <w:t xml:space="preserve">. El siguiente vicio que se atribuye a la norma impugnada es el de su arbitrariedad (art.  9.3 CE) tanto en la fijación de sus destinatarios, "elemento subjetivo", que no se refiere a los españoles o a los extranjeros, sino a los no residentes en España, como en la determinación de su "elemento objetivo", que elimina la territorialidad para el ordenamiento tributario estatal, confundiéndola con la del ordenamiento tributario foral, como, igualmente, en la determinación de su "elemento formal", por acometer una expansión de los derechos forales tributarios constitucionalmente imprevista, o en su "consecuencia </w:t>
      </w:r>
      <w:r>
        <w:lastRenderedPageBreak/>
        <w:t>jurídica", al depender la decisión del gasto comprometido por el Estado de una previa fijación de los incentivos fiscales por los órganos hacendísticos autonómicos.</w:t>
      </w:r>
    </w:p>
    <w:p w:rsidR="0025129F" w:rsidRDefault="0025129F" w:rsidP="0025129F">
      <w:pPr>
        <w:pStyle w:val="TextoNormal"/>
      </w:pPr>
      <w:r>
        <w:t>Pues bien, sobre este particular es obligado señalar que la función de legislar no equivale a una simple ejecución de los preceptos constitucionales, pues, sin perjuicio de la obligación de cumplir los mandatos que la Constitución impone, el legislador goza de una amplia libertad de configuración normativa para traducir en reglas de Derecho las plurales opciones políticas que el cuerpo electoral libremente expresa a través del sistema de representación parlamentaria. Consiguientemente, si el Poder legislativo opta por una configuración legal de una determinada materia o sector del ordenamiento no ha de confundirse lo que es arbitrio legítimo con capricho, inconsecuencia o incoherencia, creadores de desigualdad o de distorsión en los efectos legales, ya en lo técnico legislativo, ya en situaciones personales que se crean o estimen permanentes (SSTC 27/1981, de 20 de julio, FJ 10; 66/1985, de 23 de mayo, FJ 1; y 99/1987, de 11 de junio, FJ 4). Ahora bien, estando el poder legislativo sujeto a la Constitución, es misión de este Tribunal velar para que se mantenga esa sujeción, que no es más que una específica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116/1999, de 17 de junio, FJ 14; y 104/2000, de 13 de abril, FJ 8, y las citadas por ambas).</w:t>
      </w:r>
    </w:p>
    <w:p w:rsidR="0025129F" w:rsidRDefault="0025129F" w:rsidP="0025129F">
      <w:pPr>
        <w:pStyle w:val="TextoNormal"/>
      </w:pPr>
      <w:r>
        <w:t>Conforme a lo expuesto, hay que precisar que la norma impugnada posee una finalidad razonable (adaptar nuestro ordenamiento interno a las exigencias de la Unión Europea) y, en consecuencia, no se muestra desprovista de fundamento, por lo que, desde esta perspectiva no puede calificársela de arbitraria, aunque pueda discreparse de la concreta solución adoptada.  Ahora bien, distinto es si además establece una discriminación injustificada, aspecto este cuyo análisis se efectuará al contrastar la norma con el principio constitucional de igualdad, también invocado por la Comunidad Autónoma recurrente.</w:t>
      </w:r>
    </w:p>
    <w:p w:rsidR="0025129F" w:rsidRDefault="0025129F" w:rsidP="0025129F">
      <w:pPr>
        <w:pStyle w:val="TextoNormal"/>
      </w:pPr>
    </w:p>
    <w:p w:rsidR="0025129F" w:rsidRDefault="0025129F" w:rsidP="0025129F">
      <w:pPr>
        <w:pStyle w:val="TextoNormal"/>
      </w:pPr>
      <w:r w:rsidRPr="0025129F">
        <w:rPr>
          <w:rStyle w:val="NumeroAFNegritaCaracter"/>
        </w:rPr>
        <w:t>7</w:t>
      </w:r>
      <w:r>
        <w:t>. Salvada, en principio, la posible arbitrariedad de la disposición legal impugnada desde el punto de vista de la finalidad perseguida, resta por concretar si, no obstante poseedora de una finalidad constitucionalmente legítima, introduce alguna clase de desigualdad lesiva de la garantía de la igualdad prevista en el Texto constitucional, bien de forma genérica en el artículo 14 CE, bien en cualquiera de sus manifestaciones específicas, a saber, y en lo que al presente supuesto respecta, desde el punto de vista estrictamente tributario (art. 31.1 CE), desde la óptica de la libertad de empresa (art.  38 CE) o, finalmente, desde la perspectiva de la libertad de residencia y circulación (art. 139 CE).</w:t>
      </w:r>
    </w:p>
    <w:p w:rsidR="0025129F" w:rsidRDefault="0025129F" w:rsidP="0025129F">
      <w:pPr>
        <w:pStyle w:val="TextoNormal"/>
      </w:pPr>
      <w:r>
        <w:t>En este sentido, sobre las exigencias que la igualdad impone en la creación del Derecho - igualdad en la ley- existe una muy amplia doctrina de este Tribunal que puede sintetizarse ahora recordando que las diferencias normativas son conformes con la igualdad cuando cabe discernir en ellas una finalidad no contradictoria con la Constitución y cuando, ade</w:t>
      </w:r>
      <w:r>
        <w:lastRenderedPageBreak/>
        <w:t>más, las normas de las que la diferencia nace muestran una estructura coherente, en términos de razonable proporcionalidad con el fin así perseguido.  Tan contraria a la igualdad es, por lo tanto,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(STC 75/1983, de 3 de agosto, FJ 2). En consecuencia, este Tribunal ha venido exigiendo para permitir el trato dispar de situaciones homologables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La proporcionalidad de la medida, pues el principio de igualdad no prohíbe al legislador cualquier desigualdad de trato sino sólo aquellas desigualdades en la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las SSTC 76/1990, de 26 de abril, FJ 9; 214/1994, de 14 de julio, FJ 8; 46/1999, de 22 de marzo, FJ 2; 200/2001, de 4 de octubre, FJ 4; y 39/2002, de 14 de febrero, FJ 4).</w:t>
      </w:r>
    </w:p>
    <w:p w:rsidR="0025129F" w:rsidRDefault="0025129F" w:rsidP="0025129F">
      <w:pPr>
        <w:pStyle w:val="TextoNormal"/>
      </w:pPr>
      <w:r>
        <w:t xml:space="preserve">Por otra parte, también hay que tener presente que la valoración que se realice en cada caso ha de tener en cuenta el régimen jurídico sustantivo del ámbito de relaciones en que se proyecte, y en la materia tributaria es la propia Constitución la que ha concretado y modulado el alcance de su art. 14 en un precepto, el art. 31.1, cuyas determinaciones no pueden dejar de ser tenidas aquí en cuenta, pues la igualdad ante la ley tributaria resulta indisociable de los principios de generalidad, capacidad, justicia y progresividad, que se enuncian en el último precepto constitucional citado (SSTC 27/1981, de 20 de julio, FJ 4; 19/1987, de 17 de febrero, FJ 3; 209/1988, de 10 de noviembre, FJ 6; 45/1989, de 20 de febrero, FJ 4; 221/1992, de 11 de diciembre, FJ 4; 54/1993, de 15 de febrero, FJ 1; 214/1994, de 14 de julio, FJ 5; 134/1996, de 22 de julio, FJ 6; y 46/2000, de 17 de febrero, FJ 4). Efectivamente, dicho precepto constitucional dispone que "todos contribuirán al sostenimiento de los gastos públicos de acuerdo con su capacidad económica mediante un sistema tributario justo inspirado en los principios de igualdad y progresividad que, en ningún caso, tendrá alcance confiscatorio".  Esta recepción constitucional del deber de contribuir al sostenimiento de los gastos públicos según la capacidad económica de cada contribuyente configura un mandato que vincula no sólo a los ciudadanos sino también a los poderes públicos (STC 76/1990, de 26 de abril, FJ 3) ya que, si los unos están obligados a contribuir de acuerdo con su capacidad económica al sostenimiento de los gastos públicos, los poderes públicos están obligados, en principio, a exigir esa contribución a todos los contribuyentes cuya situación ponga de manifiesto una capacidad económica susceptible de ser sometida a tributación. La expresión "todos" absorbe el deber de cualesquiera personas, físicas o jurídicas, nacionales o extranjeras, residentes o no residentes, que por sus relaciones económicas con o desde nuestro territorio (principio de territorialidad) exteriorizan manifestaciones de capacidad económica, lo que les convierte también, en principio, en titulares de la obligación de contribuir conforme al sistema tributario. Se trata, a fin de cuentas, de la igualdad de todos ante una exigencia constitucional -el deber </w:t>
      </w:r>
      <w:r>
        <w:lastRenderedPageBreak/>
        <w:t>de contribuir o la solidaridad en el levantamiento de las cargas públicas- que implica, de un lado, una exigencia directa al legislador, obligado a buscar la riqueza allá donde se encuentre (SSTC 27/1981, de 20 de julio, FJ 4; 150/1990, de 4 de octubre, FJ 9; 221/1992, de 11 de diciembre, FJ 4; y 233/1999, de 16 de diciembre, FJ 14), y, de otra parte, la prohibición en la concesión de privilegios tributarios discriminatorios, es decir, de beneficios tributarios injustificados desde el punto de vista constitucional, al constituir una quiebra del deber genérico de contribuir al sostenimiento de los gastos del Estado.</w:t>
      </w:r>
    </w:p>
    <w:p w:rsidR="0025129F" w:rsidRDefault="0025129F" w:rsidP="0025129F">
      <w:pPr>
        <w:pStyle w:val="TextoNormal"/>
      </w:pPr>
      <w:r>
        <w:t>Aunque el legislador goza de un amplio margen de libertad en la configuración de los tributos, no correspondiendo a este Tribunal enjuiciar si las soluciones adoptadas en la ley son las más correctas técnicamente, sin embargo, sí estamos facultados para determinar si en el régimen legal del tributo el legislador ha vulnerado el citado principio de igualdad (SSTC 27/1981, de 20 de julio, FJ 4; 221/1992, de 11 de diciembre, FJ 4, 214/1994, de 14 de julio, FJ 5; y 46/2000, de 17 de febrero, FJ 4). Por este motivo, la exención o la bonificación -privilegio de su titular- como quiebra del principio de generalidad que rige la materia tributaria (art.  31.1 CE), en cuanto que neutraliza la obligación tributaria derivada de la realización de un hecho generador de capacidad económica, sólo será constitucionalmente válida cuando responda a fines de interés general que la justifiquen (por ejemplo, por motivos de política económica o social, para atender al mínimo de subsistencia, por razones de técnica tributaria, etc), quedando, en caso contrario, proscrita, pues no hay que olvidar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134/1996, de 22 de julio, FJ 8).</w:t>
      </w:r>
    </w:p>
    <w:p w:rsidR="0025129F" w:rsidRDefault="0025129F" w:rsidP="0025129F">
      <w:pPr>
        <w:pStyle w:val="TextoNormal"/>
      </w:pPr>
    </w:p>
    <w:p w:rsidR="0025129F" w:rsidRDefault="0025129F" w:rsidP="0025129F">
      <w:pPr>
        <w:pStyle w:val="TextoNormal"/>
      </w:pPr>
      <w:r w:rsidRPr="0025129F">
        <w:rPr>
          <w:rStyle w:val="NumeroAFNegritaCaracter"/>
        </w:rPr>
        <w:t>8</w:t>
      </w:r>
      <w:r>
        <w:t>. Dado que el juicio de igualdad es de carácter relacional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 Así, y tomando como punto de análisis el diferente trato dispensado por la norma impugnada a aquéllos que operan en los territorios del País Vasco y Navarra, conforme a su condición de residentes o no residentes en España, hay que decir, en primer lugar, que nos encontramos ante una medida que sólo beneficia a los no residentes -residentes en la UE- y no así a los restantes sujetos que igualmente operan en aquellos territorios, bien siendo residentes en territorio común, bien siéndolo en territorio foral. Es decir, estamos en presencia de una medida que introduce una diferencia de trato entre grupos o categorías de personas. Y, en segundo lugar, que los términos de comparación deben considerarse homogéneos, pues se trata en todos los supuestos de personas que "operan" económicamente en los territorios forales citados, cuya única diferencia es la cualidad con la que se presentan en el mercado autonómico: como residentes en España o como no residentes en España siéndolo en un país miembro de la Unión Europea. En suma, estando en presencia de situaciones equiparables que son objeto de una diferencia de trato por el legislador, el juicio de igualdad a realizar exige la comprobación de la concurrencia de la doble garantía a la que se hizo referencia con anterioridad: la de la razonabi</w:t>
      </w:r>
      <w:r>
        <w:lastRenderedPageBreak/>
        <w:t>lidad y la de la proporcionalidad de la medida adoptada conforme a la finalidad perseguida.</w:t>
      </w:r>
    </w:p>
    <w:p w:rsidR="0025129F" w:rsidRDefault="0025129F" w:rsidP="0025129F">
      <w:pPr>
        <w:pStyle w:val="TextoNormal"/>
      </w:pPr>
      <w:r>
        <w:t>A tal fin es necesario partir diciendo que no cabe duda de que, en principio, el elemento diferenciador adoptado por el legislador -la condición de no residente en España- podría justificar en otras circunstancias el trato dispar, dado que históricamente razones de política económica internacional dirigidas a atraer inversiones extranjeras han venido justificando el distinto trato que los diferentes ordenamientos tributarios dispensaban a los titulares de un patrimonio o perceptores de rendimientos según su condición de residentes o no residentes en un determinado territorio. En este sentido, la propia Ley general tributaria, en su art. 21, establece como uno de los criterios de vinculación al poder tributario español el de la residencia en España. Y de la residencia se han servido las leyes reguladoras de los tributos personales (renta de personas físicas, sociedades, sucesiones y donaciones, patrimonio y, hoy también, renta de no residentes), no sólo para vincular a los perceptores de renta o titulares de un patrimonio con el poder tributario español sino incluso para diferenciar los gravámenes aplicables (renta de personas físicas y sociedades), hasta el punto de que en la actualidad existe una norma legal dedicada única y exclusivamente a la determinación de la tributación de las personas -físicas o jurídicas- no residentes en España (la Ley 41/1998). Igualmente, los distintos convenios internacionales bilaterales para evitar la doble imposición en materia de los impuestos sobre la renta, siguiendo el modelo de convenio de la Organización para la Cooperación y el Desarrollo Económico, acogen precisamente la cualidad de residente como el medio principal de distribución de la materia imponible entre los Estados contratantes.</w:t>
      </w:r>
    </w:p>
    <w:p w:rsidR="0025129F" w:rsidRDefault="0025129F" w:rsidP="0025129F">
      <w:pPr>
        <w:pStyle w:val="TextoNormal"/>
      </w:pPr>
      <w:r>
        <w:t>Así las cosas, es indudable que la cualidad o condición de no residente puede justificar desde la perspectiva del art. 31.1 CE un trato dispar, pues el tributo no es sólo un instrumento de recaudación sino también un medio para la consecución de políticas sectoriales. Igualmente, ningún reparo podría oponerse a la circunstancia de que en la actualidad resulten gravadas de forma distinta las personas que obtienen rentas o son titulares de un patrimonio en España, sobre la base de su diferente condición de residentes o no residentes. Ahora bien, lo que no le es dable al legislador -desde el punto de vista de la igualdad como garantía básica del sistema tributario- es localizar en una parte del territorio nacional, y para un sector o grupo de sujetos, un beneficio tributario sin una justificación plausible que haga prevalecer la quiebra del genérico deber de contribuir al sostenimiento de los gastos públicos sobre los objetivos de redistribución de la renta (art. 131.1 CE) y de solidaridad (art. 138.1 CE), que la Constitución española propugna y que dotan de contenido al Estado social y democrático de Derecho (art.  1.1 CE; SSTC 19/1987, de 17 de febrero, FJ 4; 182/1997, de 28 de octubre, FJ 9; y 46/2000, de 17 de febrero, FJ 6).</w:t>
      </w:r>
    </w:p>
    <w:p w:rsidR="0025129F" w:rsidRDefault="0025129F" w:rsidP="0025129F">
      <w:pPr>
        <w:pStyle w:val="TextoNormal"/>
      </w:pPr>
      <w:r>
        <w:t xml:space="preserve">Pues bien, a diferencia de otras medidas tributarias localizadas en una parte del territorio nacional (por ejemplo, las previstas para Ceuta y Melilla, consecuencia del infradesarrollo regional, o para Canarias, resultado de su insularidad), la ayuda ahora analizada carece de justificación alguna que la legitime desde el punto de vista tributario, pues no responde a ninguna clase de política sectorial -social o económica-, cual podría ser el paliar una particular situación de crisis o deterioro industrial, optimizando el crecimiento económico y favoreciendo el desarrollo regional. Y ello aun cuando pueda ser razonable la finalidad perseguida por la norma impugnada, en la medida en que se dirige a ejecutar un mandato comunitario, y pueda ser igualmente válido -como se ha dicho- el elemento diferenciador adoptado por el legislador, a saber, la no residencia. Lo que no supera la norma es el juicio de constitucionalidad en el análisis de sus consecuencias, de sus consecuencias tributarias en este caso, por ser no sólo irrazonables sino también desproporcionadas con </w:t>
      </w:r>
      <w:r>
        <w:lastRenderedPageBreak/>
        <w:t>la finalidad perseguida y, en consecuencia, negadoras de una justificación que permita a los poderes públicos abdicar de la recaudación impositiva.</w:t>
      </w:r>
    </w:p>
    <w:p w:rsidR="0025129F" w:rsidRDefault="0025129F" w:rsidP="0025129F">
      <w:pPr>
        <w:pStyle w:val="TextoNormal"/>
      </w:pPr>
    </w:p>
    <w:p w:rsidR="0025129F" w:rsidRDefault="0025129F" w:rsidP="0025129F">
      <w:pPr>
        <w:pStyle w:val="TextoNormal"/>
      </w:pPr>
      <w:r w:rsidRPr="0025129F">
        <w:rPr>
          <w:rStyle w:val="NumeroAFNegritaCaracter"/>
        </w:rPr>
        <w:t>9</w:t>
      </w:r>
      <w:r>
        <w:t>. Las consecuencias derivadas de la disposición impugnada son irrazonables, pues, aun cuando prima facie parece tratar de forma igual a todo el colectivo de los residentes en España que operan en el País Vasco y Navarra, debe tenerse presente que dentro de este grupo -el de los residentes en España- es necesario distinguir, a su vez, entre aquéllos a los que se les aplica la normativa foral (mayoritariamente, los que tienen la condición de residentes en dichos territorios forales) y aquellos otros a quienes se les aplica la normativa común (mayoritariamente, los residentes en territorio común). Y ello porque, si bien la exclusión que la norma impugnada hace en su aplicación respecto de los primeros se justifica, precisamente, en la existencia de los beneficios fiscales forales, superando con ello el juicio de razonabilidad, sin embargo, la falta de acceso de los segundos a las ayudas cuestionadas se muestra desprovista de un fundamento razonable en la medida en que tampoco disfrutan de los beneficios fiscales forales. Se coloca así a estos últimos en una situación de desventaja insuperable que degenera en discriminatoria, pues la consecuencia final es que la mayoría de los sujetos que intervienen en el mercado autonómico de referencia (residentes en dichos territorios forales y residentes en la Unión Europea que no lo sean en España) lo hacen ofreciendo bienes y servicios a precios con reducida o nula presión fiscal -lo cual mejora notablemente su posición competitiva en el mercado- mientras que otros se ven obligados a intervenir incorporando al precio de sus operaciones el coste fiscal correspondiente derivado de la aplicación de la normativa común.</w:t>
      </w:r>
    </w:p>
    <w:p w:rsidR="0025129F" w:rsidRDefault="0025129F" w:rsidP="0025129F">
      <w:pPr>
        <w:pStyle w:val="TextoNormal"/>
      </w:pPr>
      <w:r>
        <w:t>Por otra parte, las mismas consecuencias derivadas de la Disposición adicional impugnada son extremadamente desproporcionadas en atención a la finalidad perseguida, quebrándose la necesaria proporcionalidad que debe existir entre el medio empleado, el resultado que se produce y el fin pretendido. Ciertamente, al ser el crédito fiscal analizado equivalente al beneficio fiscal foral no disfrutado como consecuencia de la aplicación de la normativa común, es decir, siendo la ayuda estatal prevista en la Ley 42/1994 directamente proporcional al beneficio fiscal foral no aplicable al no residente, entonces, la ayuda estatal se concreta en magnitudes tales como las que a continuación se indican.</w:t>
      </w:r>
    </w:p>
    <w:p w:rsidR="0025129F" w:rsidRDefault="0025129F" w:rsidP="0025129F">
      <w:pPr>
        <w:pStyle w:val="TextoNormal"/>
      </w:pPr>
      <w:r>
        <w:t>En primer lugar, y respecto de los no residentes que operen en el territorio de la Comunidad foral navarra, tendrían derecho a una serie de ayudas equivalentes a una reducción de la base imponible del IS o del IRPF de entre el 45 y el 60 por 100 del importe que del beneficio contable se destinase a una "reserva especial para inversiones", o a una bonificación de entre el 50 y el 95 por 100 en la cuota de los citados tributos a las "entidades de nueva creación"; beneficios todos ellos previstos en las Leyes Forales 12/1993, de 15 de noviembre, de apoyo a la inversión y a la actividad económica y otras medidas tributarias; 24/1996, de 30 de diciembre, del impuesto sobre sociedades; y 22/1998, de 30 de diciembre, del impuesto sobre la renta de las personas físicas. Debe señalarse, no obstante, que los de la Ley Foral 24/1996, fueron, primero, derogados por la Ley Foral 8/2001, de 10 de abril, a partir del día 1 de enero de 2001, y después declarados contrarios al mercado común por la Decisión de la Comisión de 11 de julio de 2001. En segundo lugar, y respecto de los no residentes que operen en los territorios de las Diputaciones Forales de Guipúzcoa, Álava o Vizcaya tendrían derecho a ayudas estatales equivalentes, por ejemplo, a una deducción en la cuota del IS o del IRPF de entre el 20 y el 45 por 100 de las inversiones efectuadas; a la libertad de amortización de los bienes adquiridos; a la exención total en el IS durante 10 años o a una bonificación del 25 al 99 por 100 de la base imponible por las inversiones en activos fijos materiales, para las sociedades de nueva creación; a reduccio</w:t>
      </w:r>
      <w:r>
        <w:lastRenderedPageBreak/>
        <w:t>nes en la base imponible del IS o del IRPF de entre el 40 y el 50 por 100 de las cantidades destinadas a una "reserva especial para inversiones productivas", así como a bonificaciones del 95 por 100 en el impuesto sobre transmisiones patrimoniales, respecto de los actos y contratos relacionados con las inversiones citadas.  Estos beneficios son fruto: a) En Guipúzcoa, de las Normas Forales 6/1988, de 14 de julio, de incentivos fiscales a la inversión; 11/1993, de 26 de junio, de medidas fiscales urgentes de apoyo a la inversión e impulso de la actividad económica; 1/1995, de 16 de febrero, de medidas fiscales de apoyo a la reactivación económica para 1995; y 7/1996, de 4 de julio, del impuesto sobre sociedades; b) En Álava, de las normas forales 28/1988, de 18 de julio, de incentivos fiscales a la inversión; 18/1993, de 5 de julio, de medidas fiscales urgentes de apoyo a la inversión e impulso de la actividad económica; 8/1995, de 8 de marzo, de medidas fiscales de apoyo a la reactivación económica para 1995; y 24/1996, de 5 de julio, del impuesto sobre sociedades; y c) En Vizcaya, de las Normas Forales 8/1988, de 5 de julio, de incentivos fiscales a la inversión; 5/1993, de 4 de julio, de medidas fiscales urgentes de apoyo a la inversión e impulso de la actividad económica; 1/1995, de 24 de febrero, de medidas fiscales de apoyo a la reactivación económica para 1995; y 3/1996, de 26 de junio, del impuesto sobre sociedades.  Ahora bien, los beneficios fiscales previstos en las respectivas Normas Forales reguladoras del IS han sido, primero, anulados por las Sentencias del Tribunal Superior de Justicia del País Vasco de 30 de septiembre de 1999 -recurso núm. 3753/96- y de 7 de octubre de 1999 -recurso núm. 3747/96-, después, derogadas por las Normas Forales 3/2000, de 13 de marzo, 7/2000, de 29 de marzo, y 7/2000, de 19 de julio, respectivamente, para finalmente ser declaradas contrarias al mercado común por la Decisión de la Comisión de 11 de julio de 2001.</w:t>
      </w:r>
    </w:p>
    <w:p w:rsidR="0025129F" w:rsidRDefault="0025129F" w:rsidP="0025129F">
      <w:pPr>
        <w:pStyle w:val="TextoNormal"/>
      </w:pPr>
      <w:r>
        <w:t>En suma, la relación de beneficios expuestos patentiza que la ayuda estatal concedida a los no residentes que operan en el País Vasco y Navarra coloca a un colectivo de contribuyentes -el de determinados no residentes en España- ante una situación de absoluto privilegio fiscal por llegar incluso, en ocasiones, a neutralizar totalmente el deber constitucional -de todos- de contribuir a los gastos del Estado de acuerdo con su capacidad, no sólo sin una justificación plausible que la legitime desde el punto de vista de los principios constitucionales del art. 31.1 CE (generalidad, capacidad e igualdad), sino de una forma tan desproprocionada que la convierte en lesiva y contraria a ese deber de todos de contribuir mediante un "sistema tributario justo".</w:t>
      </w:r>
    </w:p>
    <w:p w:rsidR="0025129F" w:rsidRDefault="0025129F" w:rsidP="0025129F">
      <w:pPr>
        <w:pStyle w:val="TextoNormal"/>
      </w:pPr>
    </w:p>
    <w:p w:rsidR="0025129F" w:rsidRDefault="0025129F" w:rsidP="0025129F">
      <w:pPr>
        <w:pStyle w:val="TextoNormal"/>
      </w:pPr>
      <w:r w:rsidRPr="0025129F">
        <w:rPr>
          <w:rStyle w:val="NumeroAFNegritaCaracter"/>
        </w:rPr>
        <w:t>10</w:t>
      </w:r>
      <w:r>
        <w:t xml:space="preserve">. El hecho de que la norma impugnada pretendiese dar cumplimiento a un mandato de la Comisión Europea no evita, sin embargo, la lesión del art. 31.1 CE, pues si así era, aunque la finalidad perseguida sea constitucionalmente legítima, ello no implica necesariamente que el medio utilizado para alcanzar el fin sea adecuado al mismo, en sentido de razonable y proporcionado. En este sentido, siendo cierto que la norma impugnada está dotada de una finalidad razonable desde el punto de vista constitucional, sin embargo, también lo es que el medio utilizado para alcanzar tal fin es inadecuado. En efecto, conforme a nuestra doctrina, la distribución competencial que entre el Estado y las Comunidades Autónomas ha operado el Texto constitucional rige también para la ejecución del Derecho comunitario, pues la traslación de este Derecho supranacional no afecta a los criterios constitucionales del reparto competencial, de tal manera que el orden competencial establecido no resulta alterado ni por el ingreso de España en la Comunidad Europea ni por la promulgación de normas comunitarias (SSTC 252/1988, de 20 de diciembre, FJ 2; 64/1991, de 22 de mayo, FJ 4; 76/1991, de, 11 de abril, FJ 3; 115/1991, de 23 de mayo, FJ 1; 236/1991, de 12 de diciembre, FJ 9; 79/1992, de 28 de mayo, FJ 1; 117/1992,de 16 de </w:t>
      </w:r>
      <w:r>
        <w:lastRenderedPageBreak/>
        <w:t>septiembre, FJ 2; 80/1993, de 8 de marzo, FJ 3; 141/1993, de 22 de abril, FJ 2; 112/1995, de 6 de julio, FJ 4; 146/1996, de 19 de septiembre, FJ 2; 148/1998, de 2 de julio, FJ 8; y 21/1999, de 25 de febrero, FJ 1). En definitiva, no sólo "la ejecución del Derecho comunitario corresponde a quien materialmente ostente la competencia, según las reglas de Derecho interno, puesto que 'no existe una competencia específica para la ejecución del Derecho comunitario' (STC 236/1991, FJ 9)" (STC 79/1992, de 28 de mayo, FJ 1), sino que "esa responsabilidad ad extra de la Administración del Estado no justifica la asunción de una competencia que no le corresponde, aunque tampoco le impide repercutir ad intra, sobre las Administraciones públicas autonómicas competentes, la responsabilidad que en cada caso proceda" (STC 148/1998, de 2 de julio, FJ 8). Es  más, las dificultades que pudieran existir en la ejecución de la normativa comunitaria, de existir, "no pueden ser alegadas para eludir competencias que constitucionalmente corresponden a una Comunidad Autónoma" (STC 188/2001, de 20 de septiembre, FJ 11).</w:t>
      </w:r>
    </w:p>
    <w:p w:rsidR="0025129F" w:rsidRDefault="0025129F" w:rsidP="0025129F">
      <w:pPr>
        <w:pStyle w:val="TextoNormal"/>
      </w:pPr>
      <w:r>
        <w:t>Así las cosas, el cumplimiento de la exigencia de la Comisión Europea implicaba que la Comunidad Autónoma afectada modificase su normativa en los términos exigidos por la Comunidad Europea, por ser esa Administración territorial la que había introducido en su normativa foral los beneficios fiscales declarados contrarios al mercado común y por ser esa Comunidad la única habilitada para suprimir o modificar tales beneficios. Basta con avanzar unos años en el tiempo para comprobar cómo han sido las propias Comunidades del País Vasco y Navarra las que han procedido a derogar (mediante la Ley Foral 8/2001, de 10 de abril, en Navarra; y las Normas Forales 3/2000, de 13 de marzo, 7/2000, de 29 de marzo, y 7/2000, de 19 de julio, en Guipúzcoa, Álava y Vizcaya, respectivamente) beneficios fiscales aprobados durante el año 1996 en las normas forales reguladoras del impuesto sobre sociedades, además del hecho de las nuevas Decisiones de la Comisión Europa, de fecha 11 de julio de 2001, que los declaraba contrarios al mercado común, exigiendo al Estado español, esta vez, no su modificación, sino su supresión.</w:t>
      </w:r>
    </w:p>
    <w:p w:rsidR="0025129F" w:rsidRDefault="0025129F" w:rsidP="0025129F">
      <w:pPr>
        <w:pStyle w:val="TextoNormal"/>
      </w:pPr>
    </w:p>
    <w:p w:rsidR="0025129F" w:rsidRDefault="0025129F" w:rsidP="0025129F">
      <w:pPr>
        <w:pStyle w:val="TextoNormal"/>
      </w:pPr>
      <w:r w:rsidRPr="0025129F">
        <w:rPr>
          <w:rStyle w:val="NumeroAFNegritaCaracter"/>
        </w:rPr>
        <w:t>11</w:t>
      </w:r>
      <w:r>
        <w:t xml:space="preserve">. Tampoco supera la norma impugnada el juicio de constitucionalidad desde la perspectiva de las libertades de empresa, residencia y circulación (arts. 38, 138.2, 139.1 y 139.2 CE). En efecto, con relación a la libertad de empresa hay que recordar que el art. 38 del Texto constitucional dispone que los poderes públicos garantizan el ejercicio de la libre empresa de acuerdo con las exigencias de la economía general. Dicho mandato debe ser interpretado poniéndolo en relación, primero, con los artículos 128 y 131 CE (SSTC 37/1981, de 16 de noviembre, FJ 2; 111/1983, de 2 de diciembre, FJ 10; y 225/1993, de 8 de julio, FJ 3.b), viniendo a implicar, fundamentalmente,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Ahora bien, también hay que ponerlo en relación con el art. 139.2 CE, pues toda medida que impida o fomente el traslado de empresas incidirá lógicamente en la libertad de circulación y, por tanto, en la libertad de las empresas. Efectivamente, es nuestra doctrina que "el traslado de industrias guarda estrecha relación con los principios de la constitución económica a los que acaba de hacerse referencia, no sólo en la medida en que la actividad de traslado industrial de un lugar a otro dentro del Estado implica desplazamiento espacial de medios productivos y circulación, en consecuencia, de bienes y personas por el territorio nacional, sino también por cuanto constituye una relevante manifestación de la libertad de empresa que el art. 38 de la Constitución reconoce ..., entendida aquí como libertad de actuación, </w:t>
      </w:r>
      <w:r>
        <w:lastRenderedPageBreak/>
        <w:t>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(SSTC 37/1981, de 16 de noviembre, FJ 2; y 64/1990, de 5 de abril, FJ 4).</w:t>
      </w:r>
    </w:p>
    <w:p w:rsidR="0025129F" w:rsidRDefault="0025129F" w:rsidP="0025129F">
      <w:pPr>
        <w:pStyle w:val="TextoNormal"/>
      </w:pPr>
      <w:r>
        <w:t>Cabe, por consiguiente, "que la unidad de mercado se resienta a consecuencia de una actuación autonómica que, en ejercicio de competencias propias, obstaculice el tráfico de industrias. Así habrá de suceder cuando se provoque una modificación sustancial, geográfica o sectorial, del régimen de traslado en o para determinadas zonas del territorio nacional, se generen barreras financieras en torno a alguna de ellas o se desvirtúen artificialmente con el concurso de factores externos al mercado, la igualdad de medios y posibilidades de desplazamiento de las industrias que concurren en el mismo espacio económico. Y ello no sólo a través de medidas coactivas que directamente impongan trabas injustificadas a la circulación de industrias o a su desarrollo en condiciones básicas de igualdad, sino también mediante medidas de naturaleza graciable y acogimiento voluntario como ayudas, subvenciones u otro tipo de auxilios, que, en el marco de la actual Administración prestacional, adquieren, junto a su tradicional configuración como medios de fomento, promoción y protección empresarial, una innegable virtualidad de instrumentos de intervención económica, de los que puede llegar a hacerse un uso incompatible con las exigencias del mercado único, por propiciar, en mayor o menor grado, la disociación en ciertas zonas o sectores de reglas económicas que han de permanecer uniformes" (STC 64/1990, de 5 de abril, FJ 4).</w:t>
      </w:r>
    </w:p>
    <w:p w:rsidR="0025129F" w:rsidRDefault="0025129F" w:rsidP="0025129F">
      <w:pPr>
        <w:pStyle w:val="TextoNormal"/>
      </w:pPr>
      <w:r>
        <w:t>Nuestro Texto constitucional garantiza tanto la unidad de España como la autonomía de sus nacionalidades y regiones, lo que necesariamente obliga a buscar un adecuado equilibrio entre ambos principios, pues la unidad del Estado no es óbice para la coexistencia de una diversidad territorial que admite un importante campo competencial de las Comunidades Autónomas. Ello otorga a nuestro ordenamiento, además, una estructura compuesta, por obra de la cual puede ser distinta la posición jurídica de los ciudadanos en las distintas partes del territorio nacional (STC 37/1981, de 16 de noviembre, FJ 3). En todo caso, nuestra Constitución configura un modelo de Estado donde a los órganos centrales del Estado les corresponde, en una serie de materias, la fijación de los principios o criterios básicos de general aplicación a todo el Estado (STC 32/1981, de 28 de julio, FJ 5).</w:t>
      </w:r>
    </w:p>
    <w:p w:rsidR="0025129F" w:rsidRDefault="0025129F" w:rsidP="0025129F">
      <w:pPr>
        <w:pStyle w:val="TextoNormal"/>
      </w:pPr>
      <w:r>
        <w:t xml:space="preserve">Una de las manifestaciones de esa unidad básica que la Constitución proclama se concreta en la "unidad de mercado" o en la unidad del orden económico en todo el ámbito del Estado (STC 96/1984, de 19 de octubre, FJ 3), como se deduce tanto del Preámbulo -que garantiza la existencia de un "orden económico y social justo"- como de una interpretación conjunta de los arts. 2, 38, 40.1, 130.1, 131.1, 138.1 y 2, 139.2, 149.1.1 y 157.2 CE. En efecto, en múltiples ocasiones hemos afirmado que en Estados como el nuestro, de estructura territorial compleja, la exigencia de que los principios básicos del orden económico sean unos y los mismos en todo el ámbito nacional es una proyección concreta del más general principio de unidad que el art. 2 CE consagra (SSTC 1/1982, de 28 de enero, FJ 1; 11/1984, de 2 de febrero, FJ 5; y 24/1986, de 14 de febrero.  FJ 4). Y, asimismo, hemos inferido reiteradamente de esa unidad, como consecuencia necesaria, la exigencia de un mercado único (STC 88/1986, de 1 de julio, FJ 6), configurándola como un límite de las competencias autonómicas (STC 71/1982, de 30 de noviembre, FJ 2), término éste, el de "mercado", que equivale a "mercado nacional" o "mercado español", esto es, al espacio económico unitario, reconocido implícitamente como tal por el art. 139.2 CE (SSTC 1/1982, de 28 de enero, FJ 1; 71/1982, de 30 de noviembre, FJ 2; 86/1984, de 27 de julio, </w:t>
      </w:r>
      <w:r>
        <w:lastRenderedPageBreak/>
        <w:t>FJ 3; y 87/1985, de 16 de julio, FJ 6). Dicho límite o, una vez más, garantía de la "unidad de mercado" en el territorio nacional, no impide toda normación que, de una manera u otra pueda afectar a la libertad de circulación, sino la "fragmentación del mercado" (STC 32/1983, de 28 de abril, FJ 3), en el sentido de que "las consecuencias objetivas de las medidas adoptadas impliquen el surgimiento de obstáculos que no guardan relación con el fin constitucionalmente lícito que aquéllas persiguen" (SSTC 37/1981, de 16 de noviembre, FJ 2; y 233/1999, de 16 de diciembre, FJ 26).</w:t>
      </w:r>
    </w:p>
    <w:p w:rsidR="0025129F" w:rsidRDefault="0025129F" w:rsidP="0025129F">
      <w:pPr>
        <w:pStyle w:val="TextoNormal"/>
      </w:pPr>
      <w:r>
        <w:t>Al Estado se le atribuye por la Constitución, entonces, el papel de garante de la unidad, pues la diversidad viene dada por la estructura territorial compleja, quedando la consecución del interés general de la Nación confiada a los órganos generales del Estado (STC 42/1981, de 22 de diciembre, FJ 2) y, en concreto, el marco jurídico fundamental para la estructura y funcionamiento de la actividad económica que exige la existencia de unos principios básicos del orden económico que han de aplicarse con carácter unitario y general a todo el territorio nacional (STC 1/1982, de 28 de enero, FJ 1).  La unicidad del orden económico nacional es un presupuesto necesario para que el reparto de competencias entre el Estado y las distintas Comunidades Autónomas en materias económicas no conduzca a resultados disfuncionales y desintegradores (SSTC 1/1982, de 28 de enero, FJ 1; y 29/1986, de 20 de febrero, FJ 4), siendo a partir de esa unidad desde la que cada Comunidad, en defensa del propio interés, podrá establecer las peculiaridades que le convengan dentro del marco de competencias que la Constitución y su Estatuto le hayan atribuido sobre aquella misma materia (STC 1/1982, de 28 de enero, FJ 1; y 88/1986, de 1 de julio, FJ 6).</w:t>
      </w:r>
    </w:p>
    <w:p w:rsidR="0025129F" w:rsidRDefault="0025129F" w:rsidP="0025129F">
      <w:pPr>
        <w:pStyle w:val="TextoNormal"/>
      </w:pPr>
      <w:r>
        <w:t>Ahora bien, en principio, al Estado no le es dado que en uso de sus competencias generales sea él mismo quien quiebre esa unidad sin una justificación razonable desde el punto de vista constitucional cuando, antes al contrario, la unidad del orden económico implica la exigencia de la adopción de medidas de política económica aplicables con carácter general (STC 96/1984, de 19 de octubre, FJ 5). Así se deriva del Texto constitucional y así lo exige la Ley Orgánica de financiación de las Comunidades Autónomas (LOFCA), en cuyo artículo 2.1 b) se atribuye al Estado "la garantía del equilibrio económico, a través de una política económica general, de acuerdo con lo establecido en los artículos 40.1, 131.1 y 138 de la Constitución", a cuyo fin, se le encarga "adoptar las medidas oportunas tendentes a conseguir la estabilidad económica interna y externa" (STC 179/1985, de 19 de diciembre, FJ 3). En consecuencia, la efectiva unicidad del orden económico nacional requiere la unidad de mercado en la medida en que están presentes dos supuestos irreductibles: la libre circulación de bienes y personas por todo el territorio nacional, que ninguna autoridad puede obstaculizar directa o indirectamente (art. 139.2 CE), y la igualdad de las condiciones básicas de ejercicio de la actividad económica (arts. 139.1 y 149.1.1 CE), sin los cuales no es posible alcanzar en el mercado nacional el grado de integración que su carácter unitario impone (STC 64/1990, de 5 de abril, FJ 3).</w:t>
      </w:r>
    </w:p>
    <w:p w:rsidR="0025129F" w:rsidRDefault="0025129F" w:rsidP="0025129F">
      <w:pPr>
        <w:pStyle w:val="TextoNormal"/>
      </w:pPr>
    </w:p>
    <w:p w:rsidR="0025129F" w:rsidRDefault="0025129F" w:rsidP="0025129F">
      <w:pPr>
        <w:pStyle w:val="TextoNormal"/>
      </w:pPr>
      <w:r w:rsidRPr="0025129F">
        <w:rPr>
          <w:rStyle w:val="NumeroAFNegritaCaracter"/>
        </w:rPr>
        <w:t>12</w:t>
      </w:r>
      <w:r>
        <w:t xml:space="preserve">. Conforme a lo dicho, la medida incorporada a la Disposición adicional impugnada, en cuanto norma que limita sus efectos a una parte concreta del territorio nacional sin una justificación suficiente que la legitime, produce la fragmentación del mercado con quiebra de la necesaria unidad del orden económico, pues, como hemos visto, sus consecuencias objetivas provocan el surgimiento de unos obstáculos para un colectivo de sujetos, que no guardan la debida proporción con el fin perseguido, al colocarles en el mercado en una clara situación de desventaja por tener que competir ofreciendo sus productos o servicios a un coste superior al de aquellos otros que son objeto de la ayuda estatal cuestionada. De </w:t>
      </w:r>
      <w:r>
        <w:lastRenderedPageBreak/>
        <w:t>esta manera, su actividad no queda sometida a las reglas de mercado, falseándose la competencia y, en su efecto, quebrando la libertad de empresa del art. 38 CE, y, además, resulta lesionada tanto la libertad de circulación del art.  139.2 CE (por tratarse de unas medidas que imponen trabas injustificadas al desarrollo de las empresas en condiciones básicas de igualdad) como la garantía constitucional del art. 139.1 CE, en cuanto manifestación concreta del principio de igualdad del art. 14 CE, que, aunque no exige que las consecuencias jurídicas de la fijación de la residencia deban ser, a todos los efectos, las mismas en todo el territorio nacional (pudiendo ser las cargas fiscales distintas sobre la base misma de la diferencia territorial), sí garantiza el derecho a la igualdad jurídica, "es decir, a no soportar un perjuicio -o una falta de beneficio- desigual e injustificado en razón de los criterios jurídicos por los que se guía la actuación de los poderes públicos" (STC 8/1986, de 21 de enero, FJ 4). No puede desconocerse que, en un marco de libre competencia, las medidas tributarias afectan a su ejercicio y, consecuentemente, al acceso al mercado en posiciones de libre concurrencia, de modo que, en tanto favorezcan el ejercicio de actividades económicas para determinados operadores o concretas inversiones o actuaciones de los sujetos (bien mediante exenciones o bonificaciones, bien mediante amortizaciones aceleradas de inversiones, bien mediante subvenciones, ayudas, etc.), si carecen de una justificación que las legitime, harán de peor condición a quienes, encontrándose en la misma situación, no pueden acceder a ninguna de ellas.</w:t>
      </w:r>
    </w:p>
    <w:p w:rsidR="0025129F" w:rsidRDefault="0025129F" w:rsidP="0025129F">
      <w:pPr>
        <w:pStyle w:val="TextoNormal"/>
      </w:pPr>
    </w:p>
    <w:p w:rsidR="0025129F" w:rsidRDefault="0025129F" w:rsidP="0025129F">
      <w:pPr>
        <w:pStyle w:val="TextoNormal"/>
      </w:pPr>
      <w:r w:rsidRPr="0025129F">
        <w:rPr>
          <w:rStyle w:val="NumeroAFNegritaCaracter"/>
        </w:rPr>
        <w:t>13</w:t>
      </w:r>
      <w:r>
        <w:t>. Como consecuencia de los razonamientos que se exponen en los fundamentos jurídicos anteriores, y sin necesidad de examinar otras alegaciones del recurso, procede declarar la inconstitucionalidad de la norma cuestionada.</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Declarar la inconstitucionalidad y consiguiente nulidad de la Disposición adicional octava de la Ley 42/1994, de 30 de diciembre, de medidas fiscales, administrativas y del orden social.</w:t>
      </w:r>
    </w:p>
    <w:p w:rsidR="0025129F" w:rsidRDefault="0025129F" w:rsidP="0025129F">
      <w:pPr>
        <w:pStyle w:val="TextoNormal"/>
      </w:pPr>
    </w:p>
    <w:p w:rsidR="0025129F" w:rsidRDefault="0025129F" w:rsidP="0025129F">
      <w:pPr>
        <w:pStyle w:val="TextoNormal"/>
      </w:pPr>
      <w:r>
        <w:t>Madrid, a veinticinco de abril de dos mil dos.</w:t>
      </w:r>
    </w:p>
    <w:p w:rsidR="0025129F" w:rsidRDefault="0025129F" w:rsidP="0025129F">
      <w:pPr>
        <w:pStyle w:val="ParrafoNormal"/>
      </w:pPr>
    </w:p>
    <w:p w:rsidR="0025129F" w:rsidRDefault="0025129F" w:rsidP="0025129F">
      <w:pPr>
        <w:pStyle w:val="TextoNormalNegritaCentrado"/>
        <w:keepNext/>
      </w:pPr>
      <w:r>
        <w:t>Voto particular que formulan el Magistrado don Tomás S. Vives Antón y la Magistrada doña María Emilia Casas Baamonde respecto de la Sentencia recaída en el recurso de inconstitucionalidad núm. 1135/95, al que se adhieren el Magistrado don Pablo García Manzano y la Magistrada doña Elisa Pérez Vera.</w:t>
      </w:r>
    </w:p>
    <w:p w:rsidR="0025129F" w:rsidRDefault="0025129F" w:rsidP="0025129F">
      <w:pPr>
        <w:pStyle w:val="TextoNormalNegritaCentrado"/>
        <w:keepNext/>
      </w:pPr>
    </w:p>
    <w:p w:rsidR="0025129F" w:rsidRDefault="0025129F" w:rsidP="0025129F">
      <w:pPr>
        <w:pStyle w:val="TextoNormal"/>
      </w:pPr>
      <w:r>
        <w:t>Con el mayor respeto hacia la decisión expresada en la Sentencia, pero también con la mayor firmeza, debemos expresar nuestra discrepancia con el fallo y con la argumentación conducente al mismo expuesta a partir de su fundamento jurídico 8. Las razones de nues</w:t>
      </w:r>
      <w:r>
        <w:lastRenderedPageBreak/>
        <w:t>tro absoluto disentimiento, que reiteradamente expusimos en el Pleno desafortunadamente sin éxito, parten del exceso de jurisdicción en que, en nuestra opinión, incurre la Sentencia al someter a enjuiciamiento disposiciones no impugnadas: las normas tributarias de la Comunidad Autónoma o Territorio Histórico del País Vasco o Navarra sobre las que se construye el supuesto normativo de la disposición de la Ley estatal impugnada, pero que no lo han sido en este proceso constitucional.  La fundamentación de la Sentencia radica en la desigualdad que, a su juicio, provoca la disposición estatal impugnada entre residentes en España, según esa residencia tenga lugar en el País Vasco y Navarra o fuera del País Vasco y Navarra, a la que, sin embargo, no atiende la norma estatal objeto de este recurso de inconstitucionalidad, que se dirige a conceder incentivos fiscales o subvenciones a los residentes en el resto de la Unión Europea que no lo sean en territorio español con la finalidad de corregir las distorsiones con respecto al art. 52 del Tratado constitutivo de la Comunidad Europea (nuevo art. 43) puestas de manifiesto por la Decisión de la Comisión 93/337 CEE, de 10 de mayo (DOCE L. 134/25). Incurre, pues, en una mutatio elenchi que hace que la argumentación gire en el vacío y exceda de lo que nuestra cognición limitada en este proceso permite, como en detalle se analiza a continuación.</w:t>
      </w:r>
    </w:p>
    <w:p w:rsidR="0025129F" w:rsidRDefault="0025129F" w:rsidP="0025129F">
      <w:pPr>
        <w:pStyle w:val="TextoNormal"/>
      </w:pPr>
      <w:r>
        <w:t>1. La Sentencia afirma, en su fundamento jurídico 2, que "no corresponde a este Tribunal analizar en el presente recurso de inconstitucionalidad ninguna de las tachas e imputaciones que sobre las normas forales vierte la representación procesal de la Comunidad Autónoma recurrente y relativas a la discriminación interterritorial, a la prohibición de menoscabar la competencia empresarial o distorsionar la asignación de recursos y el libre movimiento de capitales y mano de obra, así como a las diferencias de presión fiscal efectiva global, pues ello sería tanto como aceptar la interposición de una suerte de recurso per saltum contra las normas forales citadas. El objeto del presente recurso de inconstitucionalidad lo constituye única y exclusivamente el análisis de la Disposición adicional octava de la Ley 42/1994 y a ella se va a contraer nuestro estudio ...". Insiste en el citado fundamento jurídico en la necesidad de tener "bien presente que lo enjuiciado en el presente recurso de inconstitucionalidad es única y exclusivamente la medida estatal y no las forales que le sirven de base y justificación". Reitera en el fundamento jurídico 4 que "los regímenes forales del Convenio y Concierto" son "ajenos a la problemática constitucional que aquí se plantea" y que la declaración de inconstitucionalidad no puede derivar de "vicios que en realidad no corresponden a la norma analizada por atribuirse directa o indirectamente a otras diferentes, aun cuando éstas guarden algún tipo de relación con aquéllas".</w:t>
      </w:r>
    </w:p>
    <w:p w:rsidR="0025129F" w:rsidRDefault="0025129F" w:rsidP="0025129F">
      <w:pPr>
        <w:pStyle w:val="TextoNormal"/>
      </w:pPr>
      <w:r>
        <w:t>No es así, sin embargo, y la Sentencia se adentra, desviadamente, en ese recurso per saltum que dice querer evitar, imputando a la disposición estatal impugnada vicios que no le corresponden. La ilicitud constitucional que la Sentencia aprecia en la Disposición adicional octava de la Ley 42/1994, de 30 de diciembre, de medidas fiscales, administrativas y de orden social, se alcanza tras efectuar su contraste con los arts. 14 y 31.1 CE a través de un juicio de igualdad que, además de confundir las diferenciaciones de índole subjetiva y objetiva y mezclar su canon propio con los complementarios de justificación objetiva y razonable de la diferencia y de proporcionalidad, se realiza sobre situaciones que se traen a la comparación sin estar contempladas en la norma estatal impugnada, sino, según reconoce la propia Sentencia, "en el análisis de sus consecuencias, de sus consecuencias tributarias ..., por ser no sólo irrazonables sino también desproporcionadas con la finalidad perseguida y, en consecuencia, negadoras de una justificación que permita a los poderes públicos abdicar de la recaudación impositiva" (FJ 8).</w:t>
      </w:r>
    </w:p>
    <w:p w:rsidR="0025129F" w:rsidRDefault="0025129F" w:rsidP="0025129F">
      <w:pPr>
        <w:pStyle w:val="TextoNormal"/>
      </w:pPr>
      <w:r>
        <w:t xml:space="preserve">Sin necesidad de exponer la reiterada jurisprudencia constitucional sobre el principio de igualdad, que puede considerarse sintetizada en el fundamento jurídico 10 de la STC </w:t>
      </w:r>
      <w:r>
        <w:lastRenderedPageBreak/>
        <w:t>181/2000, de 29 de junio, el enjuiciamiento de la ley desde las exigencias constitucionales del principio de igualdad se proyecta sobre su contenido normativo y no sobre las consecuencias imaginables y aplicaciones posibles que de la ley puedan derivar o efectuarse.  A lo que ha de añadirse que el juicio de igualdad no es posible cuando la desigualdad está prevista en la propia Constitución.</w:t>
      </w:r>
    </w:p>
    <w:p w:rsidR="0025129F" w:rsidRDefault="0025129F" w:rsidP="0025129F">
      <w:pPr>
        <w:pStyle w:val="TextoNormal"/>
      </w:pPr>
      <w:r>
        <w:t>Juzgando la ley desde sus consecuencias posibles, la Sentencia compara a los residentes en España no sometidos a los sistemas tributarios vasco y navarro con los residentes sometidos a esos sistemas (no contemplados en la Disposición adicional octava de la Ley 42/1994) y no, como hubiera debido atendiendo al mandato normativo de la citada disposición impugnada, a los residentes en España con los residentes en la Unión Europea que no lo sean en España, que son los estrictamente afectados por la regulación estatal recurrida. El proceso resulta de este modo desviado de su objeto o, por decirlo con los términos de nuestra doctrina, el término de comparación elegido resulta arbitrario o caprichoso.</w:t>
      </w:r>
    </w:p>
    <w:p w:rsidR="0025129F" w:rsidRDefault="0025129F" w:rsidP="0025129F">
      <w:pPr>
        <w:pStyle w:val="TextoNormal"/>
      </w:pPr>
      <w:r>
        <w:t>La Sentencia sostiene, en su fundamento jurídico 8, que "nos encontramos ante una medida que sólo beneficia a los no residentes -residentes en la Unión Europea- y no así a los restantes sujetos que igualmente operan en aquellos territorios, bien residiendo en territorio común, bien siéndolo en territorio foral"; y advierte que, aún cuando pudiera parecer que trata de forma igual "a todo el colectivo de los residentes en España que operan en el País Vasco o Navarra", se hace "necesario distinguir ... entre aquéllos a los que se le aplica la normativa foral (mayoritariamente, los que tienen la condición de residentes en los territorios forales) y aquellos otros a quienes se les aplica la normativa común (mayoritariamente, los residentes en territorio común)" (FJ 7). Para concluir en que la falta de acceso de estos segundos a los incentivos fiscales y subvenciones contempladas en la disposición legal impugnada "se muestra desprovista de un fundamento razonable en la medida en que tampoco disfrutan de los beneficios fiscales forales" (FJ 9).</w:t>
      </w:r>
    </w:p>
    <w:p w:rsidR="0025129F" w:rsidRDefault="0025129F" w:rsidP="0025129F">
      <w:pPr>
        <w:pStyle w:val="TextoNormal"/>
      </w:pPr>
      <w:r>
        <w:t>Pues bien, ni tal disfunción está considerada en la Disposición adicional octava de la Ley 42/1994, ni ésta produce el efecto de aplicar a los residentes en España, no residentes en el País Vasco o Navarra, la normativa común y el no disfrute de los beneficios fiscales forales, consecuencias que, obviamente, surgen de otras disposiciones, no impugnadas.</w:t>
      </w:r>
    </w:p>
    <w:p w:rsidR="0025129F" w:rsidRDefault="0025129F" w:rsidP="0025129F">
      <w:pPr>
        <w:pStyle w:val="TextoNormal"/>
      </w:pPr>
      <w:r>
        <w:t>Tan decisivas son las normas tributarias emanadas de la Comunidad Foral de Navarra y de las Diputaciones Forales de Guipúzcoa, Álava y Vizcaya en la construcción de la Sentencia que parte de su argumentación se destina a su exposición, concluyendo que son tales beneficios fiscales forales los que "patentizan" la "situación de absoluto privilegio fiscal" (FJ 9) que la norma estatal concede a los no residentes en España; "situación de absoluto privilegio fiscal" que, al no extenderse a todos los residentes en España, determina, según la Sentencia, la inconstitucionalidad de la Disposición adicional octava de la Ley 42/1994.</w:t>
      </w:r>
    </w:p>
    <w:p w:rsidR="0025129F" w:rsidRDefault="0025129F" w:rsidP="0025129F">
      <w:pPr>
        <w:pStyle w:val="TextoNormal"/>
      </w:pPr>
      <w:r>
        <w:t>Con lo que se acaba afirmando que la norma impugnada sólo sería constitucional: a) si generalizase a toda España el régimen fiscal del País Vasco y Navarra, lo que no es sino un puro sinsentido; o b) si introdujese modificaciones en tal régimen, cosa que, en el marco de la Constitución española de 1978, el Estado unilateralmente no puede hacer; o c) si, por último, no pusiera remedio a la infracción del Derecho comunitario que, como la Sentencia reconoce, trata, en efecto de remediar.</w:t>
      </w:r>
    </w:p>
    <w:p w:rsidR="0025129F" w:rsidRDefault="0025129F" w:rsidP="0025129F">
      <w:pPr>
        <w:pStyle w:val="TextoNormal"/>
      </w:pPr>
      <w:r>
        <w:t xml:space="preserve">2. La argumentación de la Sentencia incurre en contradicciones insalvables. Entiende que "la norma impugnada posee una finalidad razonable (adaptar nuestro ordenamiento interno a las exigencias de la Unión Europea) y, en consecuencia, no se muestra desprovista de fundamento" (FJ 6); antes bien, es "poseedora de una finalidad constitucionalmente legítima" (FJ 7); de una "finalidad razonable desde el punto de vista constitucional" (FJ </w:t>
      </w:r>
      <w:r>
        <w:lastRenderedPageBreak/>
        <w:t>10); para después negarlo: "carece de justificación alguna que la legitime desde el punto de vista tributario, pues no responde a ninguna clase de política sectorial - social o económica-, cual podría ser el paliar una particular situación de crisis o deterioro industrial, optimizando el crecimiento económico y favoreciendo el desarrollo regional. Y ello aun cuando pueda ser razonable la finalidad perseguida por la norma impugnada, en la medida en que se dirige a ejecutar un mandato comunitario, y pueda ser igualmente válido ... el elemento diferenciador adoptado por el legislador, a saber, la no residencia" (FJ 8); está desprovista de "una justificación plausible que la legitime desde el punto de vista de los principios constitucionales del art.  31.1 CE (generalidad, capacidad, igualdad)" (FJ 9), pues "el medio utilizado para alcanzar tal fin es inadecuado" (FJ 10); "limita sus efectos a una parte concreta del territorio nacional sin una justificación suficiente que la legitime ..." (FJ 12).</w:t>
      </w:r>
    </w:p>
    <w:p w:rsidR="0025129F" w:rsidRDefault="0025129F" w:rsidP="0025129F">
      <w:pPr>
        <w:pStyle w:val="TextoNormal"/>
      </w:pPr>
      <w:r>
        <w:t>En modo alguno podemos compartir el tortuoso camino argumental seguido, ni la conclusión alcanzada, la declaración de inconstitucionalidad de una disposición legal a la que, no se sabe si por omisión o ex silentio, pues no se dice en el fallo, se imputa no extender los beneficios fiscales forales a todos los residentes en España que operen en la Comunidad Autónoma o Territorio Histórico del País Vasco o Navarra, concediéndolos únicamente a los residentes en la Unión Europea que no lo sean en España.</w:t>
      </w:r>
    </w:p>
    <w:p w:rsidR="0025129F" w:rsidRDefault="0025129F" w:rsidP="0025129F">
      <w:pPr>
        <w:pStyle w:val="TextoNormal"/>
      </w:pPr>
      <w:r>
        <w:t>3. De haberse efectuado el juicio de igualdad en los términos exigidos por nuestra Constitución, tal y como se ha concretado por nuestra doctrina, la diferencia de trato establecida por el legislador entre residentes en la Unión Europea, dentro y fuera de España, de acomodarse al canon de aquel juicio, se justificaría tanto "en el marco de la normativa comunitaria" en el que expresamente opera, como en la propia condición elegida por la norma, la de residente en España o fuera de España. Desde la perspectiva de aquélla, es sabido que la titularidad del derecho de establecimiento de que disfrutan los nacionales de un Estado miembro en el territorio de otro Estado miembro comprende "el acceso a las actividades no asalariadas y su ejercicio, así como la constitución y gestión de empresas y, especialmente, de sociedades... en las condiciones fijadas por la legislación del país de establecimiento para sus propios nacionales..." (art. 43 TCE, antiguo art. 52 TCE).</w:t>
      </w:r>
    </w:p>
    <w:p w:rsidR="0025129F" w:rsidRDefault="0025129F" w:rsidP="0025129F">
      <w:pPr>
        <w:pStyle w:val="TextoNormal"/>
      </w:pPr>
      <w:r>
        <w:t>Por su parte, la cualidad o condición de no residente en España, como la propia Sentencia reconoce, puede justificar el trato dispar del legislador al constituir un criterio relevante para los ordenamientos tributarios a efectos de determinar el sometimiento de los perceptores de renta o titulares de patrimonios al poder tributario y diferenciar los gravámenes aplicables, además de constituir el criterio de distribución de la materia imponible entre Estados y entre el Estado y el País Vasco y Navarra, según las Leyes del Concierto y el Convenio (FJ 8).</w:t>
      </w:r>
    </w:p>
    <w:p w:rsidR="0025129F" w:rsidRDefault="0025129F" w:rsidP="0025129F">
      <w:pPr>
        <w:pStyle w:val="TextoNormal"/>
      </w:pPr>
      <w:r>
        <w:t>Aquí debía haber concluido, por tanto, nuestro control de constitucionalidad, con la consiguiente declaración de la constitucionalidad de la norma impugnada, habida cuenta de que el criterio de la residencia fundamenta el diferente trato fiscal dispensado a los no residentes respecto de los residentes en España con causa, además de en las exigencias de cumplimiento del Tratado constitutivo de la Comunidad Europea, en las de nuestro sistema constitucional (Disposición adicional primera CE) y estatutario de reparto competencial en materia tributaria, que comprende los regímenes tributarios concertados entre el Estado y el País Vasco (art. 41 EAPV y Ley 12/1981, de 13 de mayo por la que se aprueba el Concierto Económico con la Comunidad Autónoma del País Vasco, ulteriormente modificada) y entre el Estado y la Comunidad Foral de Navarra (art. 45 LORAFNA y Ley 28/1990, de 26 de diciembre, por la que se aprueba el Convenio Económico entre el Estado y la Comunidad Foral de Navarra, también modificada después). La Disposición adi</w:t>
      </w:r>
      <w:r>
        <w:lastRenderedPageBreak/>
        <w:t>cional octava de la Ley 42/1994 opera así en función de un elemento objetivo y rigurosamente neutro, que explica la diferencia de trato sin que se constate la presencia de factores injustificados de diferenciación entre colectivos diversos.</w:t>
      </w:r>
    </w:p>
    <w:p w:rsidR="0025129F" w:rsidRDefault="0025129F" w:rsidP="0025129F">
      <w:pPr>
        <w:pStyle w:val="TextoNormal"/>
      </w:pPr>
      <w:r>
        <w:t>Sin embargo, la Sentencia considera que el criterio de la residencia sería relevante "en otras circunstancias", pero no en el caso de una disposición legal a la que acusa de "localizar en una parte del territorio nacional, y para un sector o grupo de sujetos, un beneficio tributario sin una justificación plausible..." (FJ 8). Frente a esa conclusión de la Sentencia, cabe destacar que, como acabamos de decir, la norma estatal se limita a igualar a los residentes en la Unión Europea que no lo sean en España con los residentes en el País Vasco o Navarra, de modo que la desigualdad que la Sentencia imputa a la Ley estatal no está en ella, sino haciéndola derivar del Ordenamiento de las Comunidades Autónomas al que la normativa europea remite, que está previsto en nuestra Constitución y que no puede ser enjuiciado en este proceso.</w:t>
      </w:r>
    </w:p>
    <w:p w:rsidR="0025129F" w:rsidRDefault="0025129F" w:rsidP="0025129F">
      <w:pPr>
        <w:pStyle w:val="TextoNormal"/>
      </w:pPr>
      <w:r>
        <w:t>4. Tampoco se nos alcanza razón alguna que justifique la excepción -un nuevo exceso- a nuestra doctrina de que no nos corresponde analizar la ejecución del Derecho comunitario, o la adecuación de nuestro ordenamiento a aquél, y que "la distribución competencial que entre el Estado y las Comunidades Autónomas ha operado el texto Constitucional rige también para la ejecución del Derecho Comunitario, pues la traslación de este Derecho supranacional no afecta a los criterios constitucionales del reparto competencial, de tal manera que el orden competencial establecido no resulta alterado ni por el ingreso de España en la Comunidad Europea ni por la promulgación de normas comunitarias (SSTC 252/1988, de 20 de diciembre, FJ 2; 64/1991, de 22 de mayo, FJ 4; 76/1991, de, 11 de abril, FJ 3; 115/1991, de 23 de mayo, FJ 1; 236/1991, de 12 de diciembre, FJ 9; 79/1992, de 28 de mayo, FJ 1; 117/1992,de 16 de septiembre, FJ 2; 80/1993, de 8 de marzo, FJ 3; 141/1993, de 22 de abril, FJ 2; 112/1995, de 6 de julio, FJ 4; 146/1996, de 19 de septiembre, FJ 2; 148/1998, de 2 de julio, FJ 8; y 21/1999, de 25 de febrero, FJ 1)" (FJ 10); doctrina que recoge, pero de nuevo no aplica, la Sentencia.</w:t>
      </w:r>
    </w:p>
    <w:p w:rsidR="0025129F" w:rsidRDefault="0025129F" w:rsidP="0025129F">
      <w:pPr>
        <w:pStyle w:val="TextoNormal"/>
      </w:pPr>
      <w:r>
        <w:t>La Sentencia se pronuncia sobre la ejecución de la Decisión de la Comisión Europea, indicando que su correcto cumplimiento habría exigido modificar y suprimir los beneficios fiscales forales y no la aprobación de la disposición estatal impugnada.</w:t>
      </w:r>
    </w:p>
    <w:p w:rsidR="0025129F" w:rsidRDefault="0025129F" w:rsidP="0025129F">
      <w:pPr>
        <w:pStyle w:val="TextoNormal"/>
      </w:pPr>
      <w:r>
        <w:t xml:space="preserve">Así dice que "el cumplimiento de la exigencia de la Comisión Europea implicaba que la Comunidad Autónoma afectada modificase su normativa en los términos exigidos por la Comunidad Europea, por ser esa Administración territorial la que había introducido en su normativa foral los beneficios fiscales declarados contrarios al mercado común y por ser esa Comunidad la única habilitada para suprimir o modificar tales beneficios. Basta con avanzar unos años en el tiempo para comprobar como han sido las propias Comunidades del País Vasco y Navarra las que han procedido a derogar (mediante la Ley Foral 8/2001, de 10 de abril, en Navarra; y las Normas Forales 3/2000, de 13 de marzo, 7/2000, de 29 de marzo, y 7/2000, de 19 de julio, en Guipúzcoa, Álava y Vizcaya, respectivamente) beneficios fiscales aprobados durante el año 1996 en las normas forales reguladoras del Impuesto sobre Sociedades, además del hecho de las nuevas Decisiones de la Comisión Europa, de fecha 11 de julio de 2001, que los declaraba contrarios al mercado común, exigiendo al Estado español, esta vez, no su modificación, sino su supresión" (FJ 10). La Sentencia de la que disentimos había afirmado más arriba que "aun cuando la Decisión comunitaria exigía al Estado español la modificación del sistema fiscal establecido en las normas antes citadas, aquél optó por incluir en la Ley 42/1994, de 30 de diciembre, de medidas fiscales, administrativas y del orden social, una Disposición adicional (la octava), que procedía a equiparar en los territorios forales del País Vasco y Navarra, mediante la concesión de un </w:t>
      </w:r>
      <w:r>
        <w:lastRenderedPageBreak/>
        <w:t>'crédito fiscal', la tributación de las personas físicas o jurídicas no residentes en España respecto de la de los residentes en aquéllos. La razón de esta equiparación se debe a que, aun disfrutando dichos territorios forales de un régimen tributario propio, consecuencia de la Disposición adicional primera de nuestra Carta Magna (y desarrollado en la Ley 12/1981, de 13 de mayo, por el que se aprueba el Concierto Económico con la Comunidad Autónoma del País Vasco, y en la Ley 28/1990, de 26 de diciembre, por la que se aprueba el Convenio Económico entre el Estado y la Comunidad Foral de Navarra), sin embargo, en materia de tributación de 'no residentes' en España, la competencia para regularla era -en aquel entonces- exclusiva del Estado" (FJ 2).</w:t>
      </w:r>
    </w:p>
    <w:p w:rsidR="0025129F" w:rsidRDefault="0025129F" w:rsidP="0025129F">
      <w:pPr>
        <w:pStyle w:val="TextoNormal"/>
      </w:pPr>
      <w:r>
        <w:t>Desde nuestra función de control de la constitucionalidad de las leyes no podemos compartir la descalificación que la Sentencia efectúa de la disposición estatal impugnada por la desviación en que, asumiendo funciones que no le son propias, considera habría incurrido respecto del mandato comunitario en la medida en que no produjo la modificación del sistema fiscal foral.  Como hemos dicho en reiteradas ocasiones, "no corresponde al Tribunal Constitucional controlar la adecuación de la actividad de los poderes públicos nacionales al Derecho comunitario" (STC 201/1996 de 9 de diciembre, con cita de las SSTC 49/1988, 64/1991 y 180/1993, entre otras). Por lo demás, dicha norma legal, dictada por el Estado en ejercicio de su competencia, en aquel momento exclusiva, sobre tributación de las personas físicas o jurídicas o entidades sin personalidad no residentes en territorio español, se limita a eliminar las desigualdades incompatibles con el art. 43 TCE (antiguo art. 52 del Tratado).</w:t>
      </w:r>
    </w:p>
    <w:p w:rsidR="0025129F" w:rsidRDefault="0025129F" w:rsidP="0025129F">
      <w:pPr>
        <w:pStyle w:val="TextoNormal"/>
      </w:pPr>
      <w:r>
        <w:t>5. La desproporción de la Sentencia es también visible en el resto de su análisis sobre la vulneración por la disposición estatal impugnada de las libertades de empresa, residencia y circulación de los arts. 38, 138.2, 139.1 y 2 CE. Nuestra disidencia respecto de estas vulneraciones sigue siendo radical.</w:t>
      </w:r>
    </w:p>
    <w:p w:rsidR="0025129F" w:rsidRDefault="0025129F" w:rsidP="0025129F">
      <w:pPr>
        <w:pStyle w:val="TextoNormal"/>
      </w:pPr>
      <w:r>
        <w:t>A partir de la finalidad de fomentar el traslado de empresas que anida en las normas forales, no impugnadas, que se considera lesiva de la unidad de mercado, la inconstitucionalidad de la norma estatal por vulneradora de las libertades de residencia, circulación y empresa se hace depender, invirtiendo los planos del análisis, de "una actuación autonómica que, en ejercicio de competencias propias, obstaculice el tráfico de industrias" (FJ 11), con cita de nuestra STC 4/1990, de 5 de abril. La exigencia constitucional de la existencia de un mercado único se contempla como "límite de las competencias autonómicas", para, invirtiendo de nuevo los planos ahora desde la actuación de las Comunidades Autónomas en el mercado a la del Estado, reprochar a éste la quiebra de esa unidad y el incumplimiento de su papel de garante de la misma, atribuyendo a la disposición impugnada un fin que no le corresponde, cual es el de corregir las presuntas desigualdades derivadas del reparto competencial en materia tributaria entre el Estado y las Haciendas Forales, consecuencia de las Leyes de Concierto y Convenio con el País Vasco y Navarra. La norma, como vengo insistiendo, emana del Estado en ejercicio de su competencia sobre tributación de no residentes, posee una finalidad constitucional legítima, que es proporcionada al objeto que persigue, y respeta la igualdad de los residentes en España por dirigirse únicamente a los no residentes en territorio nacional, sin impedir ni limitar las libertades de residencia y circulación ni la libertad de empresa y la libre competencia, que, al contrario, amplía en términos del Derecho comunitario.</w:t>
      </w:r>
    </w:p>
    <w:p w:rsidR="0025129F" w:rsidRDefault="0025129F" w:rsidP="0025129F">
      <w:pPr>
        <w:pStyle w:val="TextoNormal"/>
      </w:pPr>
      <w:r>
        <w:t xml:space="preserve">La Sentencia conduce a un preocupante camino sin salida al imponer al Estado una obligación positiva de igualar o parificar que limita las facultades y opciones de configuración política del legislador dentro de un sistema en que la singularidad o diversidad fiscal se consagra en la propia Constitución (Disposición adicional primera CE).  Con base </w:t>
      </w:r>
      <w:r>
        <w:lastRenderedPageBreak/>
        <w:t>en el principio de igualdad la Sentencia impone al legislador su propia concepción de los sistemas forales del Concierto Económico o Convenio, del cumplimiento correcto del Derecho Comunitario y, a la postre, de la decisión política que había de haberse adoptado, lo que no cabe hacer en un proceso constitucional sin trastocar gravemente sus límites.</w:t>
      </w:r>
    </w:p>
    <w:p w:rsidR="0025129F" w:rsidRDefault="0025129F" w:rsidP="0025129F">
      <w:pPr>
        <w:pStyle w:val="TextoNormal"/>
      </w:pPr>
      <w:r>
        <w:t>Madrid, veintinueve de abril de dos mil dos.</w:t>
      </w:r>
    </w:p>
    <w:p w:rsidR="0025129F" w:rsidRDefault="0025129F" w:rsidP="0025129F">
      <w:pPr>
        <w:pStyle w:val="TextoNormal"/>
      </w:pPr>
    </w:p>
    <w:p w:rsidR="0025129F" w:rsidRDefault="0025129F" w:rsidP="0025129F">
      <w:pPr>
        <w:pStyle w:val="TextoNormalNegritaCentrado"/>
        <w:keepNext/>
      </w:pPr>
      <w:r>
        <w:t>Voto particular que formula el Magistrado don Eugeni Gay Montalvo respecto de la Sentencia dictada en el recurso de inconstitucionalidad núm.  1135/95.</w:t>
      </w:r>
    </w:p>
    <w:p w:rsidR="0025129F" w:rsidRDefault="0025129F" w:rsidP="0025129F">
      <w:pPr>
        <w:pStyle w:val="TextoNormalNegritaCentrado"/>
        <w:keepNext/>
      </w:pPr>
    </w:p>
    <w:p w:rsidR="0025129F" w:rsidRDefault="0025129F" w:rsidP="0025129F">
      <w:pPr>
        <w:pStyle w:val="TextoNormal"/>
      </w:pPr>
      <w:r>
        <w:t>Con profundo respeto a la decisión mayoritaria, y de acuerdo con la opinión discrepante que defendí en la deliberación, me permito hacer uso de la posibilidad concedida por el art. 90.2 LOTC y disentir del fallo de la decisión así como de su fundamentación.</w:t>
      </w:r>
    </w:p>
    <w:p w:rsidR="0025129F" w:rsidRDefault="0025129F" w:rsidP="0025129F">
      <w:pPr>
        <w:pStyle w:val="TextoNormal"/>
      </w:pPr>
      <w:r>
        <w:t>Mi discrepancia se sustenta básicamente en el hecho de que la Sentencia afecta a cuestiones que exceden del objeto del recurso interpuesto a pesar de la manifestación de intenciones que proclama en el inicio de su razonamiento. Pero también en la fundamentación jurídica esgrimida para alcanzar un fallo estimatorio, pues, a mi juicio, la disposición estatal impugnada no incurre en los reproches de inconstitucionalidad alegados.</w:t>
      </w:r>
    </w:p>
    <w:p w:rsidR="0025129F" w:rsidRDefault="0025129F" w:rsidP="0025129F">
      <w:pPr>
        <w:pStyle w:val="TextoNormal"/>
      </w:pPr>
      <w:r>
        <w:t>a) Como consta expresamente en los antecedentes de la Sentencia, el recurso de inconstitucionalidad trae su causa en el "efecto frontera" que, para la Comunidad Autónoma de La Rioja, tienen las medidas fiscales establecidas en los territorios forales limítrofes. Es en este contexto, de crítica directa a los regímenes fiscales concertados de Navarra y del País Vasco, donde la Comunidad recurrente ubica las vulneraciones constitucionales que, finalmente, termina por imputar a la Disposición adicional octava de la Ley 42/1994 que se impugna.</w:t>
      </w:r>
    </w:p>
    <w:p w:rsidR="0025129F" w:rsidRDefault="0025129F" w:rsidP="0025129F">
      <w:pPr>
        <w:pStyle w:val="TextoNormal"/>
      </w:pPr>
      <w:r>
        <w:t>La Sentencia de la que discrepo, tal y como decía, es consciente del trasfondo del asunto y, por ello, de modo expreso, insiste en resaltar que "no corresponde a este Tribunal analizar ninguna de las tachas e imputaciones que sobre las normas forales vierte la representación procesal de la Comunidad Autónoma recurrente, relativas a la discriminación interterritorial, a la prohibición de menoscabar la competencia empresarial o distorsionar la asignación de recursos y el libre movimiento de capitales y mano de obra, así como a las diferencias de presión fiscal efectiva global, pues ello sería tanto como aceptar la interposición de una suerte de recurso per saltum contra las normas forales citadas", por lo que precisa que "el objeto del presente recurso lo constituye, única y exclusivamente, el análisis de la Disposición adicional octava de la Ley 42/1994". Criterio que comparto absolutamente.</w:t>
      </w:r>
    </w:p>
    <w:p w:rsidR="0025129F" w:rsidRDefault="0025129F" w:rsidP="0025129F">
      <w:pPr>
        <w:pStyle w:val="TextoNormal"/>
      </w:pPr>
      <w:r>
        <w:t>Sin embargo, pese al autocontrol que proclama, la Sentencia termina por realizar consideraciones excesivamente vinculadas con las normas forales que pretendía no cuestionar.  Momento a partir del cual mi criterio disiente. En particular, en el fundamento jurídico noveno, se dice claramente que el hecho de que los residentes en España sometidos a la normativa común no accedan a las ayudas cuestionadas, es una situación que "se muestra desprovista de un fundamento razonable en la medida en que tampoco disfrutan de los beneficios fiscales forales", colocándolos, por ello, "en una situación de desventaja insuperable que genera en discriminatoria".</w:t>
      </w:r>
    </w:p>
    <w:p w:rsidR="0025129F" w:rsidRDefault="0025129F" w:rsidP="0025129F">
      <w:pPr>
        <w:pStyle w:val="TextoNormal"/>
      </w:pPr>
      <w:r>
        <w:t>b) Y, con ello, a mi juicio, se va más allá del objeto del recurso y de la competencia de este Tribunal.</w:t>
      </w:r>
    </w:p>
    <w:p w:rsidR="0025129F" w:rsidRDefault="0025129F" w:rsidP="0025129F">
      <w:pPr>
        <w:pStyle w:val="TextoNormal"/>
      </w:pPr>
      <w:r>
        <w:lastRenderedPageBreak/>
        <w:t>Más allá del objeto del recurso porque, al final, la autolimitación declarada por la Sentencia respecto a las normas forales y su régimen fiscal, no deviene tal y, además, termina por impedir (por coherencia con dicha declaración) que este Tribunal pueda entrar en un análisis más global y completo que pudiera tener en cuenta como "fundamento razonable" del precepto impugnado, la importante Disposición adicional primera de la Constitución.</w:t>
      </w:r>
    </w:p>
    <w:p w:rsidR="0025129F" w:rsidRDefault="0025129F" w:rsidP="0025129F">
      <w:pPr>
        <w:pStyle w:val="TextoNormal"/>
      </w:pPr>
      <w:r>
        <w:t>A mi juicio, la Disposición adicional primera de la Constitución -donde se manifiesta que ésta ampara y respeta los derechos históricos de los territorios forales-, se configura como un instrumento de autolimitación del Estado cuya finalidad fue, y es, garantizar el consenso en un marco general de unidad constitucional (art. 2 CE). Pero, salvada la unidad, entiendo que deben respetarse las particularidades reconocidas constitucionalmente, porque, además del argumento de la Disposición adicional primera de la Constitución, el concepto de unidad no siempre significa uniformidad cuando las decisiones son proporcionadas, habida cuenta de la configuración del Estado español y la diversidad de regímenes jurídicos y opciones legislativas que, necesariamente, ello conlleva (SSTC 88/1986, de 1 de julio, FJ 6, y 84/1993, de 8 de marzo, FJ 4).</w:t>
      </w:r>
    </w:p>
    <w:p w:rsidR="0025129F" w:rsidRDefault="0025129F" w:rsidP="0025129F">
      <w:pPr>
        <w:pStyle w:val="TextoNormal"/>
      </w:pPr>
      <w:r>
        <w:t>Máxime cuando, por otro lado, la Decisión comunitaria no cuestionaba ni nuestra declaración constitucional, ni la existencia de particularidades financieras y fiscales de Navarra y del País Vasco derivadas de la normas forales y se limitaba simplemente a cuestionar que los sistemas forales, distintos al común, no se aplicaran a las empresas comunitarias no residentes.</w:t>
      </w:r>
    </w:p>
    <w:p w:rsidR="0025129F" w:rsidRDefault="0025129F" w:rsidP="0025129F">
      <w:pPr>
        <w:pStyle w:val="TextoNormal"/>
      </w:pPr>
      <w:r>
        <w:t>Este "traslado del debate", difícilmente evitable, explica la afirmación que hace la Sentencia de que la situación de los residentes en España sometidos al régimen común se encuentra "desprovista de un fundamento razonable" (FJ 9). Pero, a lo mejor, dicho fundamento existe y se encuentra, precisamente, en el propio reconocimiento constitucional de las particularidades fiscales de los territorios forales.</w:t>
      </w:r>
    </w:p>
    <w:p w:rsidR="0025129F" w:rsidRDefault="0025129F" w:rsidP="0025129F">
      <w:pPr>
        <w:pStyle w:val="TextoNormal"/>
      </w:pPr>
      <w:r>
        <w:t>Creo, además, que la Sentencia también podría ir más allá de la competencia de este Tribunal. Al margen de la perspectiva anterior, entiendo que, en todo caso, si ceñimos de verdad el examen a la única norma susceptible de ser impugnada (Disposición adicional octava de la Ley 42/1994), el hecho de que ésta no sea de aplicación a los españoles, sino exclusivamente a los comunitarios no residentes, así como que se trate de una norma que da respuesta a una Decisión europea elaborada sobre los parámetros de legalidad del derecho comunitario sin afectación del derecho interno, me suscita la duda en torno a la posibilidad de un control constitucional. Máxime si, como se desprende de la Sentencia, lo que finalmente se logra es el "salto" que se pretendía evitar y la reconducción de este Tribunal hacia un debate de contornos y sujetos diferentes.</w:t>
      </w:r>
    </w:p>
    <w:p w:rsidR="0025129F" w:rsidRDefault="0025129F" w:rsidP="0025129F">
      <w:pPr>
        <w:pStyle w:val="TextoNormal"/>
      </w:pPr>
      <w:r>
        <w:t>c) En todo caso, en la hipótesis de tener competencia, entiendo que el examen de la única disposición impugnada no puede conducir a declarar su inconstitucionalidad.</w:t>
      </w:r>
    </w:p>
    <w:p w:rsidR="0025129F" w:rsidRDefault="0025129F" w:rsidP="0025129F">
      <w:pPr>
        <w:pStyle w:val="TextoNormal"/>
      </w:pPr>
      <w:r>
        <w:t>Ciertamente, el término de comparación fijado por la Comunidad Autónoma recurrente, consistente en contraponer no residentes y residentes en los territorios forales, revela una disparidad de situaciones que, por sí misma, puede justificar la desigualdad de trato si, como ocurre, presenta cobertura constitucional (Disposición adicional primera) y se sustenta en un criterio objetivo y neutro, como es la residencia, utilizado en numerosas normas nacionales y en convenios bilaterales como criterio de vinculación a nuestro poder tributario. Pero, además, porque aún en la hipótesis de que las situaciones sometidas a comparación fueran homologables, la disposición legal impugnada posee una finalidad legítima y no introduce ninguna desigualdad injustificada.</w:t>
      </w:r>
    </w:p>
    <w:p w:rsidR="0025129F" w:rsidRDefault="0025129F" w:rsidP="0025129F">
      <w:pPr>
        <w:pStyle w:val="TextoNormal"/>
      </w:pPr>
      <w:r>
        <w:t>Como pone de manifiesto el Abogado del Estado, existe una clara finalidad en la intervención del legislador contraria a la que se denuncia por la Comunidad Autónoma recu</w:t>
      </w:r>
      <w:r>
        <w:lastRenderedPageBreak/>
        <w:t>rrente y que consiste, precisamente, en suprimir una discriminación previa puesta de manifiesto por la Decisión de la Comisión 93/337/CEE, de 10 de mayo. La razón de la equiparación de los comunitarios no residentes que persigue la disposición impugnada, responde así al hecho de que, aun disfrutando los territorios históricos de un régimen tributario propio consecuencia de la Disposición adicional primera de la Constitución (desarrollada por las Leyes que aprueban el Concierto económico con la Comunidad Autónoma del País Vasco y la Comunidad Foral de Navarra), la competencia en esta materia respecto de los no residentes era en ese momento del Estado español. Por ello los no residentes quedaban en desventaja respecto de los residentes que también realizaban actividades en los territorios históricos. Al no ser factible para el Estado la modificación de los sistemas tributarios forales y carecer las haciendas forales de competencia para regular todo lo relativo a la tributación de las personas no residentes, el gobierno español optó por la disposición legal impugnada, como único mecanismo útil para proceder a la adecuación exigida por la normativa comunitaria. Entiendo que, con ello, se armonizaba la exigencia de adaptación requerida, con el respeto, al mismo tiempo, de la Disposición adicional primera de la Constitución.</w:t>
      </w:r>
    </w:p>
    <w:p w:rsidR="0025129F" w:rsidRDefault="0025129F" w:rsidP="0025129F">
      <w:pPr>
        <w:pStyle w:val="TextoNormal"/>
      </w:pPr>
      <w:r>
        <w:t>En fin, a mi juicio, nuestra estructura territorial, acrecentada por la existencia misma de los regímenes tributarios forales que aportan un plus de diversidad en materia tributaria, justifica el hecho de que el gobierno en su función de garante de la coordinación interterritorial y extraterritorial corrija una disfunción del sistema como consecuencia de ostentar en ese momento competencias exclusivas en esta materia para los territorios históricos y no creo que ello suponga introducir un elemento diferenciador lesivo; sino, al contrario, corregir una desigualdad previa para los no residentes derivada de la feliz aceptación de la integración europea.</w:t>
      </w:r>
    </w:p>
    <w:p w:rsidR="0025129F" w:rsidRDefault="0025129F" w:rsidP="0025129F">
      <w:pPr>
        <w:pStyle w:val="TextoNormal"/>
      </w:pPr>
      <w:r>
        <w:t>d) Finalmente, tampoco el resto de alegaciones, a mi juicio, debieran prosperar.</w:t>
      </w:r>
    </w:p>
    <w:p w:rsidR="0025129F" w:rsidRDefault="0025129F" w:rsidP="0025129F">
      <w:pPr>
        <w:pStyle w:val="TextoNormal"/>
      </w:pPr>
      <w:r>
        <w:t>Por lo que se refiere a la libertad de residencia, porque no se impide su esencial contenido ya que el ciudadano puede optar por mantener su residencia en donde ya la tenga, o por trasladarla a un lugar distinto (STC 90/1989, de 11 de mayo, FJ 5), sin que pueda apreciarse la vulneración del derecho reconocido en el art. 19 CE porque se asuman voluntariamente las consecuencias vinculadas a la misma. Idénticas consideraciones son trasladables a la libertad de circulación ya que la norma impugnada tampoco la impide u obstaculiza, sin que se pueda confundir la libre circulación y elección de residencia con las consecuencias jurídicas que dicha elección pueda tener en el ciudadano y que no han de ser, a todos los efectos, las mismas en todo el territorio nacional (STC 8/1986, de 21 de enero, FJ 3).</w:t>
      </w:r>
    </w:p>
    <w:p w:rsidR="0025129F" w:rsidRDefault="0025129F" w:rsidP="0025129F">
      <w:pPr>
        <w:pStyle w:val="TextoNormal"/>
      </w:pPr>
      <w:r>
        <w:t>Desde la perspectiva de la libertad de empresa y de la libre competencia (art. 38 CE) creo que, al contrario de lo que se alega, la disposición legal impugnada persigue, precisamente, corregir una situación interna que era considerada atentatoria contra la libre empresa desde la óptica comunitaria y que, además, desde una perspectiva interna no obstaculiza la libre actividad ni impide el acceso al mercado. Y su repercusión en la uniformidad del mercado español creo que es compatible con la Constitución, por no afectar a la situación preexistente en el mercado nacional y por dirigir su ámbito subjetivo de aplicación exclusivamente a los no residentes en España.</w:t>
      </w:r>
    </w:p>
    <w:p w:rsidR="0025129F" w:rsidRDefault="0025129F" w:rsidP="0025129F">
      <w:pPr>
        <w:pStyle w:val="TextoNormal"/>
      </w:pPr>
      <w:r>
        <w:t>Por todo ello, entiendo que debió desestimarse el recurso de inconstitucionalidad.</w:t>
      </w:r>
    </w:p>
    <w:p w:rsidR="0025129F" w:rsidRDefault="0025129F" w:rsidP="0025129F">
      <w:pPr>
        <w:pStyle w:val="TextoNormal"/>
      </w:pPr>
      <w:r>
        <w:t>Madrid, a veintinueve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00" w:name="SENTENCIA_2002_97"/>
      <w:r>
        <w:lastRenderedPageBreak/>
        <w:t>SENTENCIA 97/2002, de 25 de abril de 2002</w:t>
      </w:r>
    </w:p>
    <w:bookmarkEnd w:id="100"/>
    <w:p w:rsidR="0025129F" w:rsidRDefault="0025129F" w:rsidP="0025129F">
      <w:pPr>
        <w:pStyle w:val="TtuloResolucin"/>
      </w:pPr>
      <w:r>
        <w:t>Pleno</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ECLI:ES:TC:2002:97</w:t>
      </w:r>
    </w:p>
    <w:p w:rsidR="0025129F" w:rsidRDefault="0025129F" w:rsidP="0025129F">
      <w:pPr>
        <w:pStyle w:val="SntesisDescriptiva"/>
      </w:pPr>
    </w:p>
    <w:p w:rsidR="0025129F" w:rsidRDefault="0025129F" w:rsidP="0025129F">
      <w:pPr>
        <w:pStyle w:val="SntesisDescriptiva"/>
      </w:pPr>
      <w:r>
        <w:t>Recurso de inconstitucionalidad 3492/1995 y 3672/1995 (acumulados). Promovidos por el Gobierno y el Parlamento de la Comunidad Autónoma de las Illes Balears contra la Ley 26/1995, de 31 de julio, por la que se declara reserva natural las Salinas de Ibiza (“Ses Salines”), las Islas des Freus y las Salinas de Formentera.</w:t>
      </w:r>
    </w:p>
    <w:p w:rsidR="0025129F" w:rsidRDefault="0025129F" w:rsidP="0025129F">
      <w:pPr>
        <w:pStyle w:val="SntesisDescriptiva"/>
      </w:pPr>
    </w:p>
    <w:p w:rsidR="0025129F" w:rsidRDefault="0025129F" w:rsidP="0025129F">
      <w:pPr>
        <w:pStyle w:val="SntesisAnaltica"/>
      </w:pPr>
      <w:r>
        <w:t>Veto del Senado en el procedimiento legislativo. Competencias sobre medio ambiente y espacios naturales protegidos (STC 195/1998). Nulidad de la ley.</w:t>
      </w:r>
    </w:p>
    <w:p w:rsidR="0025129F" w:rsidRDefault="0025129F" w:rsidP="0025129F">
      <w:pPr>
        <w:pStyle w:val="SntesisAnaltica"/>
      </w:pPr>
    </w:p>
    <w:p w:rsidR="0025129F" w:rsidRDefault="0025129F" w:rsidP="0025129F">
      <w:pPr>
        <w:pStyle w:val="Extracto"/>
      </w:pPr>
      <w:r>
        <w:t>1.</w:t>
      </w:r>
      <w:r>
        <w:tab/>
        <w:t>El art. 90 CE en su conjunto impide cualquier interpretación del Reglamento del Senado que pretenda ampliar los supuestos de discrepancia de esta Cámara con el Congreso que han de dar lugar a nueva consideración del texto en éste [FJ 5].</w:t>
      </w:r>
    </w:p>
    <w:p w:rsidR="0025129F" w:rsidRDefault="0025129F" w:rsidP="0025129F">
      <w:pPr>
        <w:pStyle w:val="Extracto"/>
      </w:pPr>
    </w:p>
    <w:p w:rsidR="0025129F" w:rsidRDefault="0025129F" w:rsidP="0025129F">
      <w:pPr>
        <w:pStyle w:val="Extracto"/>
      </w:pPr>
      <w:r>
        <w:t>2.</w:t>
      </w:r>
      <w:r>
        <w:tab/>
        <w:t>Un rechazo del texto remitido por el Congreso, que no se apoye en la mayoría absoluta del Senado, no puede ser calificado como el veto previsto en el art. 90. 2 CE [FJ 6].</w:t>
      </w:r>
    </w:p>
    <w:p w:rsidR="0025129F" w:rsidRDefault="0025129F" w:rsidP="0025129F">
      <w:pPr>
        <w:pStyle w:val="Extracto"/>
      </w:pPr>
    </w:p>
    <w:p w:rsidR="0025129F" w:rsidRDefault="0025129F" w:rsidP="0025129F">
      <w:pPr>
        <w:pStyle w:val="Extracto"/>
      </w:pPr>
      <w:r>
        <w:t>3.</w:t>
      </w:r>
      <w:r>
        <w:tab/>
        <w:t>La inobservacia de los preceptos que regulan el procedimiento legislativo podría viciar de inconstitucionalidad la ley cuando esa inobservancia altere de modo sustancial el proceso de formación de la voluntad en el seno de las Cámaras (STC 99/1987) [FJ 2].</w:t>
      </w:r>
    </w:p>
    <w:p w:rsidR="0025129F" w:rsidRDefault="0025129F" w:rsidP="0025129F">
      <w:pPr>
        <w:pStyle w:val="Extracto"/>
      </w:pPr>
    </w:p>
    <w:p w:rsidR="0025129F" w:rsidRDefault="0025129F" w:rsidP="0025129F">
      <w:pPr>
        <w:pStyle w:val="Extracto"/>
      </w:pPr>
      <w:r>
        <w:t>4.</w:t>
      </w:r>
      <w:r>
        <w:tab/>
        <w:t>Frente al sistema tradicional de nuestro bicameralismo -Comisión Mixta de Diputados y Senadores- el art. 90.2 CE atribuye un destacado protagonismo al Congreso (STC 234/2000) [FJ 4].</w:t>
      </w:r>
    </w:p>
    <w:p w:rsidR="0025129F" w:rsidRDefault="0025129F" w:rsidP="0025129F">
      <w:pPr>
        <w:pStyle w:val="Extracto"/>
      </w:pPr>
    </w:p>
    <w:p w:rsidR="0025129F" w:rsidRDefault="0025129F" w:rsidP="0025129F">
      <w:pPr>
        <w:pStyle w:val="Extracto"/>
      </w:pPr>
      <w:r>
        <w:t>5.</w:t>
      </w:r>
      <w:r>
        <w:tab/>
        <w:t>La autonomía parlamentaria está subordinada a la Constitución [FJ 5].</w:t>
      </w:r>
    </w:p>
    <w:p w:rsidR="0025129F" w:rsidRDefault="0025129F" w:rsidP="0025129F">
      <w:pPr>
        <w:pStyle w:val="Extracto"/>
      </w:pPr>
    </w:p>
    <w:p w:rsidR="0025129F" w:rsidRDefault="0025129F" w:rsidP="0025129F">
      <w:pPr>
        <w:pStyle w:val="Extracto"/>
      </w:pPr>
      <w:r>
        <w:t>6.</w:t>
      </w:r>
      <w:r>
        <w:tab/>
        <w:t>Los Reglamentos parlamentarios tienen virtualidad en el seno de cada una de las Cámaras, sin que por tanto el de una de ellas pueda imponer a la otra un determinado itinerario en su actuación [FJ 5].</w:t>
      </w:r>
    </w:p>
    <w:p w:rsidR="0025129F" w:rsidRDefault="0025129F" w:rsidP="0025129F">
      <w:pPr>
        <w:pStyle w:val="Extracto"/>
      </w:pPr>
    </w:p>
    <w:p w:rsidR="0025129F" w:rsidRDefault="0025129F" w:rsidP="0025129F">
      <w:pPr>
        <w:pStyle w:val="Extracto"/>
      </w:pPr>
      <w:r>
        <w:t>7.</w:t>
      </w:r>
      <w:r>
        <w:tab/>
        <w:t>Las cuestiones planteadas en estos autos sobre la declaración y gestión de los espacios naturales protegidos, situados en la zona marítimo-terrestre, han sido ya resueltas con carácter general en la STC 102/1995 y, más concretamente, en la STC 195/1998, por la que se declaraba reserva natural las Marismas de Santoña y Noja [FJ 8].</w:t>
      </w:r>
    </w:p>
    <w:p w:rsidR="0025129F" w:rsidRDefault="0025129F" w:rsidP="0025129F">
      <w:pPr>
        <w:pStyle w:val="Extracto"/>
      </w:pPr>
    </w:p>
    <w:p w:rsidR="0025129F" w:rsidRDefault="0025129F" w:rsidP="0025129F">
      <w:pPr>
        <w:pStyle w:val="Extracto"/>
      </w:pPr>
      <w:r>
        <w:t>8.</w:t>
      </w:r>
      <w:r>
        <w:tab/>
        <w:t>Teniendo en cuenta la protección otorgada por estas leyes autonómicas a la zona afectada, es claro que ninguna razón aparece para modular los efectos temporales de la nulidad de la Ley 26/1995 (STC 195/1998) [FJ 11].</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0025129F" w:rsidRDefault="0025129F" w:rsidP="0025129F">
      <w:pPr>
        <w:pStyle w:val="TextoNormal"/>
      </w:pPr>
    </w:p>
    <w:p w:rsidR="0025129F" w:rsidRDefault="0025129F" w:rsidP="0025129F">
      <w:pPr>
        <w:pStyle w:val="TextoNormalCentrado"/>
        <w:keepNext/>
      </w:pPr>
      <w:r>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los recursos de inconstitucionalidad núms. 3492/95 y 3672/95, promovidos respectivamente, por el Gobierno de la Comunidad Autónoma de las Illes Balears y por el Parlamento de la misma Comunidad Autónoma, contra la Ley 26/1995, de 31 de julio, por la que se declara reserva natural las Salinas de Ibiza ("Ses Salines"), las Islas des Freus y las Salinas de Formentera. Han comparecido y formulado alegaciones el Congreso de los Diputados, el Senado y el Abogado del Estado. Ha sido Ponente el Magistrado don Javier Delgado Barrio, quien expresa el parecer del Pleno.</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xml:space="preserve">. Mediante escrito registrado el día 17 de octubre de 1995, el Jefe del Departamento Jurídico de la Comunidad Autónoma de las Illes Balears, en la representación que legalmente ostenta, formaliza recurso de inconstitucionalidad contra la Ley 26/1995, de 31 de julio, por la que se declara reserva natural las Salinas de Ibiza, las Islas des Freus y las Salinas de Formentera. </w:t>
      </w:r>
    </w:p>
    <w:p w:rsidR="0025129F" w:rsidRDefault="0025129F" w:rsidP="0025129F">
      <w:pPr>
        <w:pStyle w:val="TextoNormal"/>
      </w:pPr>
      <w:r>
        <w:t xml:space="preserve">El recurso se plantea contra la totalidad de la Ley 26/1995, sustentándose el mismo en los argumentos que a continuación se resumen: </w:t>
      </w:r>
    </w:p>
    <w:p w:rsidR="0025129F" w:rsidRDefault="0025129F" w:rsidP="0025129F">
      <w:pPr>
        <w:pStyle w:val="TextoNormal"/>
      </w:pPr>
      <w:r>
        <w:t xml:space="preserve">a) La representación procesal autonómica comienza su alegato exponiendo el deslinde competencial entre el Estado y la Comunidad Autónoma de las Illes Balears en materia de medio ambiente y espacios naturales protegidos. Así, el art. 11.5 y 13 EAIB, en la redacción entonces vigente, determinaba que corresponde a la Comunidad Autónoma, en el marco de la legislación básica del Estado y, en su caso, en los términos que la misma establezca, el desarrollo legislativo y la ejecución en materia de "espacios naturales protegidos", "ecología" y "normas adicionales de protección del medio ambiente". En cuanto al Estado, de acuerdo con el art. 149.1.23 CE, le corresponde el establecimiento de la legislación básica sobre protección del medio ambiente, sin perjuicio de las facultades de las Comunidades Autónomas de establecer normas adicionales de protección. </w:t>
      </w:r>
    </w:p>
    <w:p w:rsidR="0025129F" w:rsidRDefault="0025129F" w:rsidP="0025129F">
      <w:pPr>
        <w:pStyle w:val="TextoNormal"/>
      </w:pPr>
      <w:r>
        <w:t xml:space="preserve">Para la interpretación de este deslinde competencial, es necesario tener en cuenta la STC 102/1995, de 26 de junio, que resolvió determinados recursos de inconstitucionalidad contra la Ley 4/1989, de 27 de marzo, de conservación de los espacios naturales y de la flora y fauna silvestres. </w:t>
      </w:r>
    </w:p>
    <w:p w:rsidR="0025129F" w:rsidRDefault="0025129F" w:rsidP="0025129F">
      <w:pPr>
        <w:pStyle w:val="TextoNormal"/>
      </w:pPr>
      <w:r>
        <w:lastRenderedPageBreak/>
        <w:t xml:space="preserve">En esta Sentencia se declara que la competencia sobre la normativa básica incluye las normas legales, aunque también resulten excepcionalmente admisibles las normas reglamentarias siempre que resulten imprescindibles y se justifiquen por su contenido técnico, coyuntural o circunstancial. Esa competencia básica no significa la exclusión de otro tipo de intervención estatal, aunque sea ciertamente excepcional. Así ocurre en los casos en que no sea posible la intervención autonómica o en que la actividad afectada, incluso de carácter suprautonómico, no sea susceptible de fraccionamiento. Lo fundamental, no obstante, es que dicha resolución declara que en situación de normalidad las facultades de gestión en materia de medio ambiente corresponden a las Comunidades Autónomas dentro de su territorio, y no al Estado. </w:t>
      </w:r>
    </w:p>
    <w:p w:rsidR="0025129F" w:rsidRDefault="0025129F" w:rsidP="0025129F">
      <w:pPr>
        <w:pStyle w:val="TextoNormal"/>
      </w:pPr>
      <w:r>
        <w:t xml:space="preserve">Lo significativo de dicha Sentencia es que en su fundamento jurídico 18 señala que si en la dimensión normativa puede existir alguna zona de sombra en la delimitación competencial entre el Estado y las Comunidades Autónomas en materia de medio ambiente, no cabe duda de que las facultades de gestión corresponden a las Comunidades Autónomas, especificando que "la declaración de que un espacio natural merece la protección prevista constitucionalmente es un acto netamente ejecutivo". </w:t>
      </w:r>
    </w:p>
    <w:p w:rsidR="0025129F" w:rsidRDefault="0025129F" w:rsidP="0025129F">
      <w:pPr>
        <w:pStyle w:val="TextoNormal"/>
      </w:pPr>
      <w:r>
        <w:t xml:space="preserve">Teniendo en cuenta, además, que la Sentencia señala que las soluciones excepcionales que exigen intervención estatal más allá del contenido normativo de lo básico quedan reservadas para la declaración o creación de parques nacionales, se concluye, según se desprende también del voto particular del Magistrado Ponente, que la declaración de reserva natural como espacio natural protegido se integra en la competencia ejecutiva que tiene estatutariamente asumida la Comunidad Autónoma de las Illes Balears. </w:t>
      </w:r>
    </w:p>
    <w:p w:rsidR="0025129F" w:rsidRDefault="0025129F" w:rsidP="0025129F">
      <w:pPr>
        <w:pStyle w:val="TextoNormal"/>
      </w:pPr>
      <w:r>
        <w:t xml:space="preserve">b) La Ley 26/1995, cuya constitucionalidad se cuestiona, establece que la declaración y gestión de la reserva natural que crea corresponde al Estado, de acuerdo con lo establecido en los arts. 14 y 21.3 de la Ley 4/1989. A su vez, el art. 21.3 de dicha Ley 4/1989 establece que la declaración y gestión de los espacios naturales protegidos a que se refiere el capítulo anterior corresponderá al Estado cuando tenga por objeto la protección de los bienes señalados en el art. 3 de la Ley 22/1988, de 28 de julio, de costas. </w:t>
      </w:r>
    </w:p>
    <w:p w:rsidR="0025129F" w:rsidRDefault="0025129F" w:rsidP="0025129F">
      <w:pPr>
        <w:pStyle w:val="TextoNormal"/>
      </w:pPr>
      <w:r>
        <w:t xml:space="preserve">Pues bien, la Sentencia de 26 de junio de 1995 declaró que en ningún caso la titularidad dominical se convierte en título competencial, afirmando que la calificación de un segmento o trozo marítimo-terrestre como parte de un espacio natural protegible corresponde también a la Comunidad Autónoma en cuyo territorio se encuentre y lo mismo ocurre respecto de su gestión. </w:t>
      </w:r>
    </w:p>
    <w:p w:rsidR="0025129F" w:rsidRDefault="0025129F" w:rsidP="0025129F">
      <w:pPr>
        <w:pStyle w:val="TextoNormal"/>
      </w:pPr>
      <w:r>
        <w:t xml:space="preserve">En definitiva, la doctrina sentada en dicha Sentencia debe necesariamente conllevar la inconstitucionalidad global de la Ley 26/1995, que, como se ha visto, tiene por objeto la declaración y gestión por parte y en favor del Estado de una reserva natural. </w:t>
      </w:r>
    </w:p>
    <w:p w:rsidR="0025129F" w:rsidRDefault="0025129F" w:rsidP="0025129F">
      <w:pPr>
        <w:pStyle w:val="TextoNormal"/>
      </w:pPr>
      <w:r>
        <w:t xml:space="preserve">c) La competencia del Estado en materia de medio ambiente se concreta en el establecimiento de la normativa básica (art. 149.1.23 CE), la cual no se extiende a la realización de actos de ejecución, como es la declaración de reserva natural, pues sólo excepcionalmente podía aquél hacer una declaración de protección de un espacio, cual es la declaración de parque nacional, de acuerdo con la misma Sentencia que se viene trayendo a colación. </w:t>
      </w:r>
    </w:p>
    <w:p w:rsidR="0025129F" w:rsidRDefault="0025129F" w:rsidP="0025129F">
      <w:pPr>
        <w:pStyle w:val="TextoNormal"/>
      </w:pPr>
      <w:r>
        <w:t xml:space="preserve">Por ello, la inconstitucionalidad de la Ley 26/1995 se extiende a todo su articulado, puesto que, como se ha señalado, el Estado no sólo realiza la declaración del espacio protegido, sino que asume su gestión. </w:t>
      </w:r>
    </w:p>
    <w:p w:rsidR="0025129F" w:rsidRDefault="0025129F" w:rsidP="0025129F">
      <w:pPr>
        <w:pStyle w:val="TextoNormal"/>
      </w:pPr>
      <w:r>
        <w:t xml:space="preserve">De manera particularizada, la representación autonómica introduce varias precisiones complementarias. En primer lugar, de la interpretación conjunta de los arts. 2, 3 y 4.1 y 5 de la Ley se deriva que la misma extiende su ámbito territorial a terrenos que exceden del </w:t>
      </w:r>
      <w:r>
        <w:lastRenderedPageBreak/>
        <w:t xml:space="preserve">ámbito recogido en el art. 3 de la Ley de costas y no consta que se haya realizado el deslinde definitivo del demanio. En segundo lugar, el art. 4.2, 3 y 4 tiene un inequívoco contenido urbanístico y de ordenación del territorio que vulnera el art. 10.3 EAIB, pues la clasificación del suelo, delimitándolo y asignándole usos, se inscribe en dicha competencia (SSTC 77/1984, FJ 2, y 149/1991, FJ 1). En tercer lugar, el contenido total de la Ley 26/1995 se inscribe en el ámbito de las funciones ejecutivas autonómicas en materia de medio ambiente. Así, los arts. 5 (tanteo y retracto), 6 (órganos de gestión), 7 (el Patronato como órgano de gestión y apoyo), 8 (los instrumentos de programación y planificación) y 10 (régimen sancionador). </w:t>
      </w:r>
    </w:p>
    <w:p w:rsidR="0025129F" w:rsidRDefault="0025129F" w:rsidP="0025129F">
      <w:pPr>
        <w:pStyle w:val="TextoNormal"/>
      </w:pPr>
      <w:r>
        <w:t xml:space="preserve">d) Por último, la representación autonómica señala que el Derecho comunitario no altera el orden interno de distribución de competencias, citando en su apoyo la STC 79/1992, que contiene, a su vez, la remisión a otras resoluciones. </w:t>
      </w:r>
    </w:p>
    <w:p w:rsidR="0025129F" w:rsidRDefault="0025129F" w:rsidP="0025129F">
      <w:pPr>
        <w:pStyle w:val="TextoNormal"/>
      </w:pPr>
      <w:r>
        <w:t xml:space="preserve">Por tanto, la competencia autonómica reivindicada no debe verse afectada por el hecho de que la Exposición de Motivos de la Ley 26/1995 se refiera al Convenio de Ramsar de 2 de febrero de 1971, sobre humedales de importancia internacional, al Acuerdo del Consejo de Ministros de 28 de mayo de 1993 relativo al mismo y a la Directiva 79/409, sobre zonas de especial protección para las aves, destacando que las Salinas de Ibiza y Formentera se incluyen en las mismas. </w:t>
      </w:r>
    </w:p>
    <w:p w:rsidR="0025129F" w:rsidRDefault="0025129F" w:rsidP="0025129F">
      <w:pPr>
        <w:pStyle w:val="TextoNormal"/>
      </w:pPr>
      <w:r>
        <w:t>En razón a todo lo expuesto, concluye su escrito solicitando del Tribunal que dicte Sentencia declarando la inconstitucionalidad de la Ley recurrida y, en consecuencia, su nulidad.</w:t>
      </w:r>
    </w:p>
    <w:p w:rsidR="0025129F" w:rsidRDefault="0025129F" w:rsidP="0025129F">
      <w:pPr>
        <w:pStyle w:val="TextoNormal"/>
      </w:pPr>
    </w:p>
    <w:p w:rsidR="0025129F" w:rsidRDefault="0025129F" w:rsidP="0025129F">
      <w:pPr>
        <w:pStyle w:val="TextoNormal"/>
      </w:pPr>
      <w:r w:rsidRPr="0025129F">
        <w:rPr>
          <w:rStyle w:val="NumeroAFNegritaCaracter"/>
        </w:rPr>
        <w:t>2</w:t>
      </w:r>
      <w:r>
        <w:t>. Mediante providencia de la Sección Cuarta de 21 de noviembre de 1995, se acordó admitir a trámite el recurso de inconstitucionalidad contra la integridad de la Ley 26/1995, por la que se declara reserva natural las Salinas de Ibiza ("Ses Salines"), las Islas des Freus y las Salinas de Formentera, dando traslado de la demanda y documentos presentados al Congreso de los Diputados y al Senado, por conducto de sus Presidentes, y al Gobierno, por conducto del Ministerio de Justicia e Interior, al objeto de que en el plazo de quince días pudieran personarse en el proceso y formular alegaciones, así como publicar la incoación del recurso de inconstitucionalidad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día 31 de octubre de 1995 se registra en el Tribunal escrito del Presidente del Parlamento de las Illes Balears mediante el cual interpone recurso de inconstitucionalidad contra la citada Ley 26/1995, de 31 de julio. </w:t>
      </w:r>
    </w:p>
    <w:p w:rsidR="0025129F" w:rsidRDefault="0025129F" w:rsidP="0025129F">
      <w:pPr>
        <w:pStyle w:val="TextoNormal"/>
      </w:pPr>
      <w:r>
        <w:t xml:space="preserve">Los argumentos en que se fundamenta el recurso son los que a continuación se exponen sucintamente: </w:t>
      </w:r>
    </w:p>
    <w:p w:rsidR="0025129F" w:rsidRDefault="0025129F" w:rsidP="0025129F">
      <w:pPr>
        <w:pStyle w:val="TextoNormal"/>
      </w:pPr>
      <w:r>
        <w:t xml:space="preserve">a) Se aduce, en primer lugar, un vicio en la tramitación de la Ley recurrida, un vicio in procedendo que podría tachar de inconstitucionalidad dicha Ley [STC 99/1987, FJ 1 a)]. </w:t>
      </w:r>
    </w:p>
    <w:p w:rsidR="0025129F" w:rsidRDefault="0025129F" w:rsidP="0025129F">
      <w:pPr>
        <w:pStyle w:val="TextoNormal"/>
      </w:pPr>
      <w:r>
        <w:t xml:space="preserve">El expresado vicio se habría producido por el hecho de que la Ley 26/1995 trae causa de la proposición de ley del Grupo Parlamentario Federal de Izquierda Unida-Iniciativa per Catalunya, que fue tomada en consideración por el Pleno del Congreso el día 15 de noviembre de 1994 y remitida al Senado una vez aprobada por la Comisión de Agricultura, Ganadería y Pesca del Congreso de los Diputados, con competencia legislativa plena, el día 5 de mayo de 1995. </w:t>
      </w:r>
    </w:p>
    <w:p w:rsidR="0025129F" w:rsidRDefault="0025129F" w:rsidP="0025129F">
      <w:pPr>
        <w:pStyle w:val="TextoNormal"/>
      </w:pPr>
      <w:r>
        <w:t>En el Senado no se presentaron enmiendas, aunque sí propuesta de veto por parte del Grupo Parlamentario Popular. La Comisión de Agricultura, Ganadería y Pesca del Senado, previa designación de Ponencia al respecto, emitió su dictamen el 13 de junio de 1995 y, al día siguiente, el Pleno del Senado rechazó el veto presentado por el Grupo Parlamenta</w:t>
      </w:r>
      <w:r>
        <w:lastRenderedPageBreak/>
        <w:t xml:space="preserve">rio Popular. Sin embargo, también fue rechazado por el Pleno del Senado el dictamen de la citada Comisión, coincidente con el texto remitido por el Congreso, excepción hecha de algunas modificaciones técnicas introducidas por la Ponencia. Tal decisión fue comunicada al Congreso mediante mensaje motivado. </w:t>
      </w:r>
    </w:p>
    <w:p w:rsidR="0025129F" w:rsidRDefault="0025129F" w:rsidP="0025129F">
      <w:pPr>
        <w:pStyle w:val="TextoNormal"/>
      </w:pPr>
      <w:r>
        <w:t xml:space="preserve">La Mesa del Congreso, oída la Junta de Portavoces, acordó, el día 27 de junio de 1995, someter el texto remitido en su día al Senado a sanción real para su posterior publicación en el Boletín Oficial del Estado. Es este acuerdo el que pudiera estar afectado de un vicio in procedendo, puesto que se considera que hubiera sido necesario un nuevo pronunciamiento del Pleno del Congreso de los Diputados, que se ha impedido, al parecer, por el hecho de que el Pleno del Senado no ha ejercido ninguna de las dos posibilidades que le reconoce el art. 90.2 CE, es decir, o bien oponer su veto o bien introducir enmiendas, lo cual significa imponer una concepción restrictiva en cuanto a la participación del Senado en la función legislativa. </w:t>
      </w:r>
    </w:p>
    <w:p w:rsidR="0025129F" w:rsidRDefault="0025129F" w:rsidP="0025129F">
      <w:pPr>
        <w:pStyle w:val="TextoNormal"/>
      </w:pPr>
      <w:r>
        <w:t xml:space="preserve">Esta interpretación del art. 90.2 CE, excesivamente literalista, puede ser rebatida desde diversos puntos de vista. </w:t>
      </w:r>
    </w:p>
    <w:p w:rsidR="0025129F" w:rsidRDefault="0025129F" w:rsidP="0025129F">
      <w:pPr>
        <w:pStyle w:val="TextoNormal"/>
      </w:pPr>
      <w:r>
        <w:t xml:space="preserve">En primer lugar, desde la más evidente lógica de las decisiones adoptadas en el proceso. Cuando el Pleno del Senado vota en contra del dictamen de la Comisión de Agricultura, Ganadería y Pesca de dicha Cámara, que coincide sustancialmente con el texto remitido por el Congreso, no está votando a favor del texto remitido por esta última Cámara. En este sentido, la voluntad política del Pleno del Senado de oponerse a dicho texto es clara, siendo absurdo considerar que es irrelevante el resultado de la votación del dictamen porque, fuera cual fuera dicho resultado, en todo caso el texto sería remitido a sanción real. ¿Qué libertad política de decisión le quedaría en este caso al Pleno del Senado? </w:t>
      </w:r>
    </w:p>
    <w:p w:rsidR="0025129F" w:rsidRDefault="0025129F" w:rsidP="0025129F">
      <w:pPr>
        <w:pStyle w:val="TextoNormal"/>
      </w:pPr>
      <w:r>
        <w:t xml:space="preserve">En segundo lugar, tampoco es admisible argumentar que en caso de producirse un rechazo al dictamen de la Comisión de Agricultura, Ganadería y Pesca, automáticamente volvería a "ponerse en su lugar el texto remitido por el Congreso de los Diputados". Y ello porque, en casos como el actual en que los textos son coincidentes, no ha lugar a que renazca un texto que no se ha variado. </w:t>
      </w:r>
    </w:p>
    <w:p w:rsidR="0025129F" w:rsidRDefault="0025129F" w:rsidP="0025129F">
      <w:pPr>
        <w:pStyle w:val="TextoNormal"/>
      </w:pPr>
      <w:r>
        <w:t xml:space="preserve">En tercer lugar, la tesis de la aceptación absoluta del texto originario remitido por el Congreso podría producir la paradoja de que bastaría que se hubieran incorporado enmiendas al texto del dictamen en el transcurso de la sesión plenaria del Senado y que la mayoría votase en contra del dictamen para que, en tal caso, el texto del Congreso quedara "limpio de contaminación de enmiendas" y fuese enviado a sanción regia. Ello conculcaría los derechos de las minorías. </w:t>
      </w:r>
    </w:p>
    <w:p w:rsidR="0025129F" w:rsidRDefault="0025129F" w:rsidP="0025129F">
      <w:pPr>
        <w:pStyle w:val="TextoNormal"/>
      </w:pPr>
      <w:r>
        <w:t xml:space="preserve">Por último, cabe otra línea argumental, cual es que la actuación procedimental en materia legislativa viene reglada para el Senado en su Reglamento, que tiene carácter y rango de ley y se incardina en el llamado "bloque de la constitucionalidad". Pues bien, de acuerdo con el art. 123.3 de dicho Reglamento, resulta preceptivo que el dictamen de la Comisión sea votado en la forma que se estime oportuna (art. 124 de dicho Reglamento), por lo que no cabe afirmar que el rechazo del veto implicaría naturalmente la imposibilidad de votar el dictamen de dicha Comisión. Pero incluso en el supuesto de que no se hubiesen presentado enmiendas o propuestas de veto, el efecto no es el del envío a sanción regia, sino que el Senado se pronuncia expresamente, bien en las sucesivas fases de Ponencia y/o Comisión y Pleno, bien directamente en el Pleno. Es decir, en ningún caso la decisión del Senado se produce por silencio. </w:t>
      </w:r>
    </w:p>
    <w:p w:rsidR="0025129F" w:rsidRDefault="0025129F" w:rsidP="0025129F">
      <w:pPr>
        <w:pStyle w:val="TextoNormal"/>
      </w:pPr>
      <w:r>
        <w:t xml:space="preserve">En suma, en el procedimiento de aprobación de la Ley 26/1995, se ha alterado el proceso de formación de la voluntad en el Pleno del Senado, que rechazó el dictamen de la Comisión, por lo que dicha Ley sería inconstitucional. </w:t>
      </w:r>
    </w:p>
    <w:p w:rsidR="0025129F" w:rsidRDefault="0025129F" w:rsidP="0025129F">
      <w:pPr>
        <w:pStyle w:val="TextoNormal"/>
      </w:pPr>
      <w:r>
        <w:lastRenderedPageBreak/>
        <w:t xml:space="preserve">b) Desde la perspectiva sustantiva, se sostiene la inconstitucionalidad de la Ley recurrida, ya que, según su art. 1.1, la misma se promulga de conformidad con lo establecido en los arts. 14 y 21.3 de la ley 4/1989, de 27 de marzo, de conservación de los espacios naturales y de la flora y fauna silvestre. </w:t>
      </w:r>
    </w:p>
    <w:p w:rsidR="0025129F" w:rsidRDefault="0025129F" w:rsidP="0025129F">
      <w:pPr>
        <w:pStyle w:val="TextoNormal"/>
      </w:pPr>
      <w:r>
        <w:t xml:space="preserve">Pues bien, el art. 21.3, que atribuía al Estado la declaración y la gestión de los espacios naturales protegidos cuando tengan por objeto la protección de los bienes señalados en el art. 3 de la Ley 22/1988, de 28 de julio, de costas, ha sido declarado inconstitucional por la STC 102/1995, que declaró que la calificación de un segmento o trozo de la zona marítimo-terrestre como parte de un espacio natural protegible corresponde a la Comunidad Autónoma en cuyo territorio se encuentre. Y lo mismo ocurre con la gestión de dicho espacio. De todo ello se deduce que la Ley 26/1995 es inconstitucional por pretender que la declaración y gestión de la reserva natural que crea corresponde al Estado, pues éste carece de título competencial para ello, toda vez que, según la misma STC 102/1995, el Estado sólo tiene competencias respecto de los parques nacionales. </w:t>
      </w:r>
    </w:p>
    <w:p w:rsidR="0025129F" w:rsidRDefault="0025129F" w:rsidP="0025129F">
      <w:pPr>
        <w:pStyle w:val="TextoNormal"/>
      </w:pPr>
      <w:r>
        <w:t xml:space="preserve">El expresado vicio de inconstitucionalidad se extiende a toda la Ley recurrida, puesto que todo su articulado se refiere justamente a la declaración y gestión de la reserva natural. </w:t>
      </w:r>
    </w:p>
    <w:p w:rsidR="0025129F" w:rsidRDefault="0025129F" w:rsidP="0025129F">
      <w:pPr>
        <w:pStyle w:val="TextoNormal"/>
      </w:pPr>
      <w:r>
        <w:t xml:space="preserve">Desde un punto de vista complementario, relativo a las competencias de la Comunidad Autónoma en las materias de medio ambiente, espacios naturales protegidos, ordenación del territorio, litoral incluido, urbanismo y vivienda, la representación autonómica señala que el territorio afectado ha sido tutelado mediante diversas leyes, siendo de destacar en este sentido que ha sido admitida a trámite en el Parlamento balear una proposición de ley de declaración de ese espacio como reserva natural. </w:t>
      </w:r>
    </w:p>
    <w:p w:rsidR="0025129F" w:rsidRDefault="0025129F" w:rsidP="0025129F">
      <w:pPr>
        <w:pStyle w:val="TextoNormal"/>
      </w:pPr>
      <w:r>
        <w:t>Por último, dicha representación procesal señala diversas deficiencias técnicas en la delimitación de la reserva natural contenida en la Ley 26/1995 que determinan la imposibilidad fáctica de su aplicación y, en definitiva, concluye su escrito con la solicitud de que se suspenda cautelarmente la vigencia de dicha ley, se acuerde el recibimiento a prueba y se declare la inconstitucionalidad de la misma.</w:t>
      </w:r>
    </w:p>
    <w:p w:rsidR="0025129F" w:rsidRDefault="0025129F" w:rsidP="0025129F">
      <w:pPr>
        <w:pStyle w:val="TextoNormal"/>
      </w:pPr>
    </w:p>
    <w:p w:rsidR="0025129F" w:rsidRDefault="0025129F" w:rsidP="0025129F">
      <w:pPr>
        <w:pStyle w:val="TextoNormal"/>
      </w:pPr>
      <w:r w:rsidRPr="0025129F">
        <w:rPr>
          <w:rStyle w:val="NumeroAFNegritaCaracter"/>
        </w:rPr>
        <w:t>4</w:t>
      </w:r>
      <w:r>
        <w:t>. La Sección Segunda, mediante providencia de 21 de noviembre de 1995, acuerda admitir a trámite el recurso de inconstitucionalidad promovido por el Parlamento de las Illes Balears contra la Ley 26/1995, dar traslado de la demanda y documentos presentados al Congreso de los Diputados, al Senado y al Gobierno de la Nación, al objeto de que en el plazo de quince días puedan personarse en el proceso y formular alegaciones. Asimismo, acuerda oír a las partes mencionadas para que en el plazo concedido para realizar alegaciones se pronuncien sobre la solicitud de suspensión de la ley recurrida y el recibimiento a prueba y publicar la incoación del procedimiento en el "Boletín Oficial del Estado".</w:t>
      </w:r>
    </w:p>
    <w:p w:rsidR="0025129F" w:rsidRDefault="0025129F" w:rsidP="0025129F">
      <w:pPr>
        <w:pStyle w:val="TextoNormal"/>
      </w:pPr>
    </w:p>
    <w:p w:rsidR="0025129F" w:rsidRDefault="0025129F" w:rsidP="0025129F">
      <w:pPr>
        <w:pStyle w:val="TextoNormal"/>
      </w:pPr>
      <w:r w:rsidRPr="0025129F">
        <w:rPr>
          <w:rStyle w:val="NumeroAFNegritaCaracter"/>
        </w:rPr>
        <w:t>5</w:t>
      </w:r>
      <w:r>
        <w:t>. El Abogado del Estado, en escrito registrado el día 27 de noviembre de 1995, manifiesta que se tenga por personada a la representación que ostenta en los recursos de inconstitucionalidad promovidos por el Gobierno y el Parlamento de las Illes Balears contra la Ley 26/1995, solicitando la acumulación de ambos procesos y la apertura de nuevo plazo para formular alegaciones conjuntas.</w:t>
      </w:r>
    </w:p>
    <w:p w:rsidR="0025129F" w:rsidRDefault="0025129F" w:rsidP="0025129F">
      <w:pPr>
        <w:pStyle w:val="TextoNormal"/>
      </w:pPr>
    </w:p>
    <w:p w:rsidR="0025129F" w:rsidRDefault="0025129F" w:rsidP="0025129F">
      <w:pPr>
        <w:pStyle w:val="TextoNormal"/>
      </w:pPr>
      <w:r w:rsidRPr="0025129F">
        <w:rPr>
          <w:rStyle w:val="NumeroAFNegritaCaracter"/>
        </w:rPr>
        <w:t>6</w:t>
      </w:r>
      <w:r>
        <w:t>. La Sección Segunda, por providencia de 29 de noviembre de 1995, acuerda incorporar a los autos el escrito del Abogado del Estado y dar traslado del mismo al Gobierno y Parlamento autonómicos para que en el plazo de diez días expongan lo que consideren conveniente acerca de la acumulación de procesos solicitada por aquél.</w:t>
      </w:r>
    </w:p>
    <w:p w:rsidR="0025129F" w:rsidRDefault="0025129F" w:rsidP="0025129F">
      <w:pPr>
        <w:pStyle w:val="TextoNormal"/>
      </w:pPr>
    </w:p>
    <w:p w:rsidR="0025129F" w:rsidRDefault="0025129F" w:rsidP="0025129F">
      <w:pPr>
        <w:pStyle w:val="TextoNormal"/>
      </w:pPr>
      <w:r w:rsidRPr="0025129F">
        <w:rPr>
          <w:rStyle w:val="NumeroAFNegritaCaracter"/>
        </w:rPr>
        <w:t>7</w:t>
      </w:r>
      <w:r>
        <w:t>. En escrito registrado el día 29 de noviembre de 1995, el Presidente del Congreso de los Diputados comunica que no se personará ni formulará alegaciones en el recurso de inconstitucionalidad promovido por el Gobierno de las Illes Balears contra la Ley 26/1995.</w:t>
      </w:r>
    </w:p>
    <w:p w:rsidR="0025129F" w:rsidRDefault="0025129F" w:rsidP="0025129F">
      <w:pPr>
        <w:pStyle w:val="TextoNormal"/>
      </w:pPr>
    </w:p>
    <w:p w:rsidR="0025129F" w:rsidRDefault="0025129F" w:rsidP="0025129F">
      <w:pPr>
        <w:pStyle w:val="TextoNormal"/>
      </w:pPr>
      <w:r w:rsidRPr="0025129F">
        <w:rPr>
          <w:rStyle w:val="NumeroAFNegritaCaracter"/>
        </w:rPr>
        <w:t>8</w:t>
      </w:r>
      <w:r>
        <w:t>. El día 1 de diciembre de 1995 se registra en el Tribunal escrito del Presidente del Congreso de los Diputados en el que se recoge el acuerdo de la Mesa de la Cámara de personarse en el proceso promovido contra la Ley 26/1995 por el Parlamento de las Illes Balears y formular alegaciones respecto a la violación de las normas del procedimiento legislativo que se denuncia en la demanda.</w:t>
      </w:r>
    </w:p>
    <w:p w:rsidR="0025129F" w:rsidRDefault="0025129F" w:rsidP="0025129F">
      <w:pPr>
        <w:pStyle w:val="TextoNormal"/>
      </w:pPr>
    </w:p>
    <w:p w:rsidR="0025129F" w:rsidRDefault="0025129F" w:rsidP="0025129F">
      <w:pPr>
        <w:pStyle w:val="TextoNormal"/>
      </w:pPr>
      <w:r w:rsidRPr="0025129F">
        <w:rPr>
          <w:rStyle w:val="NumeroAFNegritaCaracter"/>
        </w:rPr>
        <w:t>9</w:t>
      </w:r>
      <w:r>
        <w:t>. Mediante escritos, ambos de 4 de diciembre de 1995, el Presidente del Senado manifiesta que la Mesa de la Cámara acuerda personarse en los recursos de inconstitucionalidad interpuestos por el Parlamento de las Illes Balears y por el Gobierno de dicha Comunidad Autónoma contra a la Ley 26/1995 y ofrece su colaboración.</w:t>
      </w:r>
    </w:p>
    <w:p w:rsidR="0025129F" w:rsidRDefault="0025129F" w:rsidP="0025129F">
      <w:pPr>
        <w:pStyle w:val="TextoNormal"/>
      </w:pPr>
    </w:p>
    <w:p w:rsidR="0025129F" w:rsidRDefault="0025129F" w:rsidP="0025129F">
      <w:pPr>
        <w:pStyle w:val="TextoNormal"/>
      </w:pPr>
      <w:r w:rsidRPr="0025129F">
        <w:rPr>
          <w:rStyle w:val="NumeroAFNegritaCaracter"/>
        </w:rPr>
        <w:t>10</w:t>
      </w:r>
      <w:r>
        <w:t>. El día 8 de diciembre de 1995, se presenta escrito del Presidente del Parlamento de las Illes Balears en el que manifiesta su conformidad con la acumulación de procedimientos sobre la que se solicitó su parecer.</w:t>
      </w:r>
    </w:p>
    <w:p w:rsidR="0025129F" w:rsidRDefault="0025129F" w:rsidP="0025129F">
      <w:pPr>
        <w:pStyle w:val="TextoNormal"/>
      </w:pPr>
    </w:p>
    <w:p w:rsidR="0025129F" w:rsidRDefault="0025129F" w:rsidP="0025129F">
      <w:pPr>
        <w:pStyle w:val="TextoNormal"/>
      </w:pPr>
      <w:r w:rsidRPr="0025129F">
        <w:rPr>
          <w:rStyle w:val="NumeroAFNegritaCaracter"/>
        </w:rPr>
        <w:t>11</w:t>
      </w:r>
      <w:r>
        <w:t>. Por escrito presentado el día 13 de diciembre de 1995, el Letrado de la Comunidad Autónoma manifiesta que nada tiene que oponer a la acumulación de los procesos incoados contra la Ley 26/1995.</w:t>
      </w:r>
    </w:p>
    <w:p w:rsidR="0025129F" w:rsidRDefault="0025129F" w:rsidP="0025129F">
      <w:pPr>
        <w:pStyle w:val="TextoNormal"/>
      </w:pPr>
    </w:p>
    <w:p w:rsidR="0025129F" w:rsidRDefault="0025129F" w:rsidP="0025129F">
      <w:pPr>
        <w:pStyle w:val="TextoNormal"/>
      </w:pPr>
      <w:r w:rsidRPr="0025129F">
        <w:rPr>
          <w:rStyle w:val="NumeroAFNegritaCaracter"/>
        </w:rPr>
        <w:t>12</w:t>
      </w:r>
      <w:r>
        <w:t xml:space="preserve">. Mediante escrito registrado el día 15 de diciembre de 1995 comparece y formula alegaciones el Letrado de las Cortes Generales que ostenta la representación del Congreso de los Diputados, puntualizando que dichas alegaciones, conforme a lo acordado por la Mesa de la Cámara, se limitarán a contestar a la pretendida violación de las normas reguladoras del procedimiento legislativo, sin entrar a examinar los demás motivos de la demanda. </w:t>
      </w:r>
    </w:p>
    <w:p w:rsidR="0025129F" w:rsidRDefault="0025129F" w:rsidP="0025129F">
      <w:pPr>
        <w:pStyle w:val="TextoNormal"/>
      </w:pPr>
      <w:r>
        <w:t>Tras ello, el representante procesal del Congreso de los Diputados hace referencia a los principales hitos del procedimiento de la tramitación parlamentaria de la Ley recurrida acompañando los Boletines de ambas Cámaras que los acreditan y que son los siguientes: a) La proposición de ley presentada por el Grupo Parlamentario Federal Izquierda Unidad-Iniciativa per Catalunya para declarar la reserva natural objeto de estos recursos, fue tomada en consideración por el Pleno del Congreso de los Diputados 15 de noviembre de 1994; b) La Comisión de Agricultura, Ganadería y Pesca del Congreso de los Diputados debatió la proposición de ley con competencia legislativa plena el 27 de abril de 1995; c) El texto aprobado por dicha Comisión fue remitido al Senado; d) El Grupo Parlamentario Popular del Senado presentó una propuesta de veto alegando que la proposición de ley invadía las competencias autonómicas en materia de declaración y gestión de reservas naturales; e) La Ponencia designada por la Comisión de Agricultura, Ganadería y Pesca del Senado se limitó a proponer algunas correcciones técnicas, al no haberse presentado ninguna enmienda y haberse formulado sólo la referida propuesta de veto; f) El informe de la Ponencia fue aprobado por dicha Comisión el 8 de junio de 1995, dejándose la propues</w:t>
      </w:r>
      <w:r>
        <w:lastRenderedPageBreak/>
        <w:t xml:space="preserve">ta de veto para su debate y votación por el Pleno del Senado; g) El Pleno del Senado examinó el dictamen de la Comisión de Agricultura, Ganadería y Pesca de la Cámara en la sesión de 14 de junio de 1995. En primer lugar, se abrió un debate sobre la propuesta de veto, concluyendo con una votación en la que el veto fue rechazado al no haber obtenido la mayoría absoluta exigida. A continuación, se sometió a votación el texto del dictamen de la Comisión, que fue rechazado con el siguiente resultado: votos emitidos, 230; votos a favor, 111; votos en contra, 118; y 1 abstención. Como consecuencia de ello el Acuerdo del Pleno fue publicado en el Boletín del Senado en estos términos: "El Pleno del Senado en su sesión del día 14 de junio de 1995 ha acordado no aceptar el dictamen de la Comisión de Agricultura, Ganadería y Pesca ...". Tuvo lugar entonces el "mensaje motivado" dirigido por el Senado al Congreso de los Diputados de fecha 19 de junio de 1995 en el que se hace constar que aquél, "en uso de las facultades que le confiere el art. 90.2 de la Constitución, tras rechazar el veto presentado por el Grupo Parlamentario Popular, ha acordado no aceptar el dictamen emitido por la Comisión de Agricultura, Ganadería y Pesca de esta Cámara"; h) Recibido el anterior mensaje, la Mesa del Congreso, el 27 de junio de 1995, tomó el acuerdo en el que se explicitaba que teniendo en cuenta que el Senado "no ha opuesto veto ni ha introducido enmiendas, al amparo de lo establecido en el art. 90.2 de la Constitución, a la proposición de ley de referencia, ... por la Presidencia de la Cámara se dará traslado de dicho texto a la Presidencia del Gobierno a los efectos de que se someta, por el procedimiento habitual, a lo dispuesto en el art. 91 de la Constitución"; i) La novedad de la situación creada -mensaje motivado que no contenía veto ni enmiendas- dio lugar a conversaciones entre los órganos de gobierno de una y otra Cámara, que concluyeron con el siguiente acuerdo de la Mesa del Senado de 7 de julio de 1995, comunicado al Presidente del Congreso: "1. Manifestar que la capacidad colegisladora del Senado, que seguirá votando las iniciativas legislativas que sean sometidas a su consideración, no puede quedar anulada o limitada por interpretaciones discutibles del artículo 90.2 de la Constitución. 2. Señalar que ofrece su disposición a que mediante el oportuno diálogo y en el seno de la reunión conjunta de las Mesas del Congreso de los Diputados y del Senado se fijen los criterios que permitan solventar los conflictos planteados por supuestos como el actual. 3. En relación con la tramitación dada por la Mesa del Congreso de los Diputados al mensaje motivado sobre la proposición de ley por la que se declara reserva natural las Salinas de Ibiza ('Ses Salines'), las Islas des Freus y las Salinas de Formentera, señalar que la misma no prejuzga, a juicio del Senado, soluciones ulteriores de idéntico contenido ni supone para esta Cámara la renuncia al principio establecido en el apartado primero de este acuerdo."; j) Una vez recibido el anterior acuerdo del Senado, se publicó la resolución de la Mesa del Congreso de 27 de junio a la que se ha hecho referencia, de modo que, terminada la tramitación parlamentaria, la proposición de ley fue sancionada, promulgada y publicada como Ley 26/1995, de 31 de julio. </w:t>
      </w:r>
    </w:p>
    <w:p w:rsidR="0025129F" w:rsidRDefault="0025129F" w:rsidP="0025129F">
      <w:pPr>
        <w:pStyle w:val="TextoNormal"/>
      </w:pPr>
      <w:r>
        <w:t xml:space="preserve">Expuesto lo anterior, el representante del Congreso de los Diputados rechaza que se haya producido un vicio en la tramitación de la Ley. Parte para ello de que el Senado no ha ejercido en dicho procedimiento ninguna de las dos posibilidades que le reconoce el art. 90.2 CE: ni ha opuesto un veto aprobado por mayoría absoluta, ni ha introducido enmiendas al texto del proyecto. En consecuencia, la única posibilidad abierta al Congreso de los Diputados era la que su Mesa acordó, es decir, remitir el texto aprobado por el Congreso, no modificado por el Senado, a la sanción regia, toda vez que no pueden existir ni vetos ni enmiendas de carácter tácito. </w:t>
      </w:r>
    </w:p>
    <w:p w:rsidR="0025129F" w:rsidRDefault="0025129F" w:rsidP="0025129F">
      <w:pPr>
        <w:pStyle w:val="TextoNormal"/>
      </w:pPr>
      <w:r>
        <w:t>A continuación rechaza el primero de los argumentos del Parlamento de las Illes Balears, basado en "la lógica de las decisiones adoptadas en el proceso", según el cual cuan</w:t>
      </w:r>
      <w:r>
        <w:lastRenderedPageBreak/>
        <w:t xml:space="preserve">do el Senado vota contra el dictamen de una Comisión de dicha Cámara no está votando a favor del texto enviado por el Congreso, pues, para la representación del Congreso de los Diputados, lo relevante es si tal voto contrario al dictamen, adoptado por mayoría simple, equivale a un veto. Sostiene que tal equivalencia no existe, pues el veto debe formularse expresamente y aprobarse por mayoría absoluta, lo que no ocurrió. </w:t>
      </w:r>
    </w:p>
    <w:p w:rsidR="0025129F" w:rsidRDefault="0025129F" w:rsidP="0025129F">
      <w:pPr>
        <w:pStyle w:val="TextoNormal"/>
      </w:pPr>
      <w:r>
        <w:t xml:space="preserve">El segundo argumento del Parlamento recurrente, que es que votar en contra del dictamen de la Comisión no significa que dicho dictamen sea automáticamente sustituido por el texto remitido por el Congreso, es también rechazado, ya que en todo caso es obvio que si no se aprueban enmiendas permanece el texto remitido por el Congreso. </w:t>
      </w:r>
    </w:p>
    <w:p w:rsidR="0025129F" w:rsidRDefault="0025129F" w:rsidP="0025129F">
      <w:pPr>
        <w:pStyle w:val="TextoNormal"/>
      </w:pPr>
      <w:r>
        <w:t xml:space="preserve">Y en cuanto al razonamiento de que el Reglamento del Senado (arts. 107.3 y 123.2) prevé la votación del proyecto por el Pleno de la Cámara, señala el Letrado del Congreso que el argumento es intranscendente, puesto que, con independencia de que dicho Reglamento no puede prevalecer sobre la Constitución, del hecho de que aquél prevea el voto de textos que no han sido enmendados ni vetados, no se deriva que el Congreso deba volver a votar el texto que remitió al Senado cuando éste se limita a no aprobar o rechazar explícitamente dicho texto. </w:t>
      </w:r>
    </w:p>
    <w:p w:rsidR="0025129F" w:rsidRDefault="0025129F" w:rsidP="0025129F">
      <w:pPr>
        <w:pStyle w:val="TextoNormal"/>
      </w:pPr>
      <w:r>
        <w:t>Termina sus alegaciones solicitando del Tribunal que dicte Sentencia por la que se declare que no se ha producido vicio de inconstitucionalidad en la tramitación de la Ley.</w:t>
      </w:r>
    </w:p>
    <w:p w:rsidR="0025129F" w:rsidRDefault="0025129F" w:rsidP="0025129F">
      <w:pPr>
        <w:pStyle w:val="TextoNormal"/>
      </w:pPr>
    </w:p>
    <w:p w:rsidR="0025129F" w:rsidRDefault="0025129F" w:rsidP="0025129F">
      <w:pPr>
        <w:pStyle w:val="TextoNormal"/>
      </w:pPr>
      <w:r w:rsidRPr="0025129F">
        <w:rPr>
          <w:rStyle w:val="NumeroAFNegritaCaracter"/>
        </w:rPr>
        <w:t>13</w:t>
      </w:r>
      <w:r>
        <w:t xml:space="preserve">. Mediante escrito registrado en el Tribunal el día 15 de diciembre de 1995 comparece y formula alegaciones la representación procesal del Senado, indicando que lo hace con referencia, exclusivamente, al alegado vicio en la elaboración de la Ley 26/1995. </w:t>
      </w:r>
    </w:p>
    <w:p w:rsidR="0025129F" w:rsidRDefault="0025129F" w:rsidP="0025129F">
      <w:pPr>
        <w:pStyle w:val="TextoNormal"/>
      </w:pPr>
      <w:r>
        <w:t xml:space="preserve">En tal sentido, tras exponer las actuaciones desarrolladas en el Senado en el caso que ahora se examina, alude a la relevancia que para el Estado democrático de Derecho tiene el procedimiento de elaboración de las leyes, que, en el caso de España, se traduce en la capacidad colegisladora del Congreso de los Diputados y del Senado, actuando cada Cámara con la extensión y límites que les señala la Constitución, debiendo interpretarse los arts. 66 y 90 de aquélla en su estrecha conexión, dada la relevancia de la interpretación sistemática (STC 5/1983). </w:t>
      </w:r>
    </w:p>
    <w:p w:rsidR="0025129F" w:rsidRDefault="0025129F" w:rsidP="0025129F">
      <w:pPr>
        <w:pStyle w:val="TextoNormal"/>
      </w:pPr>
      <w:r>
        <w:t xml:space="preserve">De acuerdo con el art. 90.1 CE, lo que aprueba el Congreso de los Diputados con carácter previo a su preceptivo envío al Senado no es una ley claudicante o imperfecta, sino que aprueba un proyecto o proposición de ley que remite a este último para que su Presidente lo someta a deliberación, lo que es buena prueba de la plena efectividad de la cláusula del Parlamento colegislador consagrada en el art. 66 CE. De ello deriva, entre otros efectos, la ausencia de sanción jurídica al transcurso del plazo de dos meses y, sobre todo, la obligatoriedad del pronunciamiento del Congreso sobre el veto o enmienda del Senado y la imposibilidad de que el Congreso se pronuncie de forma definitiva sobre la ley en ausencia de mensaje motivado. </w:t>
      </w:r>
    </w:p>
    <w:p w:rsidR="0025129F" w:rsidRDefault="0025129F" w:rsidP="0025129F">
      <w:pPr>
        <w:pStyle w:val="TextoNormal"/>
      </w:pPr>
      <w:r>
        <w:t xml:space="preserve">A continuación, manifiesta que, tanto la regulación de los Reglamentos de las Cámaras, y específicamente el del Senado, como la constante práctica seguida desde la aprobación de la Constitución de 1978, impugnan el pretendido carácter cerrado y exhaustivo del art. 90.2 CE y sostienen la tesis de que tal precepto, en plena coherencia con el concepto de Cámara colegisladora, regula directamente los procedimientos finales de garantía de la supremacía de la voluntad del Pleno del Congreso de los Diputados, pero en ningún caso prohíbe actuaciones del Pleno del Senado que se concreten en la aprobación pura y simple del texto del Congreso o en otras manifestaciones, como es precisamente el caso aquí planteado. </w:t>
      </w:r>
    </w:p>
    <w:p w:rsidR="0025129F" w:rsidRDefault="0025129F" w:rsidP="0025129F">
      <w:pPr>
        <w:pStyle w:val="TextoNormal"/>
      </w:pPr>
      <w:r>
        <w:lastRenderedPageBreak/>
        <w:t xml:space="preserve">En este sentido, no aceptar el texto del dictamen de la Comisión es una manifestación de voluntad legítima de enmienda que no implica un veto formal. Negar tal posibilidad es negar las posibles consecuencias del debate en el Pleno sobre la formación final del criterio y la voluntad de la Cámara, aunque tal decisión sea superable por el Pleno del Congreso en virtud del principio de su primacía sobre las enmiendas del Senado. Es decir, la forma de oposición que se concreta en la no aceptación del dictamen se produce en un momento del procedimiento diferente al preceptivo debate sobre las propuestas de veto y es expresión de una disconformidad diferente en sus causas y efectos a un veto. La voluntad del Pleno del Senado es, a la vista del debate plenario de las enmiendas y del dictamen, la de enmendar de totalidad el mismo y como tal se vota finalmente. Esta interpretación es la que impone la regulación reglamentaria, de especial relevancia para el Tribunal Constitucional (SSTC 101/1983 y 118/1988), y parte de la base de la imposibilidad de regulación total por la Constitución de los variados aspectos de la actividad del órgano deliberante. En conclusión, es evidente que el acuerdo del Pleno del Senado produce efectos en el marco del procedimiento de elaboración y aprobación de la Ley, siendo sin duda el principal el reenvío al Congreso del proyecto de Ley. </w:t>
      </w:r>
    </w:p>
    <w:p w:rsidR="0025129F" w:rsidRDefault="0025129F" w:rsidP="0025129F">
      <w:pPr>
        <w:pStyle w:val="TextoNormal"/>
      </w:pPr>
      <w:r>
        <w:t xml:space="preserve">Pues bien, el examen del acuerdo adoptado por la Mesa del Congreso plantea, no sin cierta preocupación, la cuestión de su naturaleza, efectos y competencia para emitirlo. </w:t>
      </w:r>
    </w:p>
    <w:p w:rsidR="0025129F" w:rsidRDefault="0025129F" w:rsidP="0025129F">
      <w:pPr>
        <w:pStyle w:val="TextoNormal"/>
      </w:pPr>
      <w:r>
        <w:t xml:space="preserve">Dicho acuerdo, habida cuenta de que tiene como necesaria referencia en el proceso colegislador al acuerdo adoptado por el Pleno del Senado, no puede poner en cuestión este último, que sólo puede ser afectado o revocado por el órgano plenario del Congreso de los Diputados. De modo que la ausencia del definitivo pronunciamiento del Pleno del Congreso debiera haber dejado en suspenso la sanción, promulgación y publicación de una norma que, por tal causa, no puede ser calificada como perfecta o válida. </w:t>
      </w:r>
    </w:p>
    <w:p w:rsidR="0025129F" w:rsidRDefault="0025129F" w:rsidP="0025129F">
      <w:pPr>
        <w:pStyle w:val="TextoNormal"/>
      </w:pPr>
      <w:r>
        <w:t xml:space="preserve">El hecho de haberse utilizado en la tramitación en el Congreso de los Diputados una delegación de competencia legislativa plena en la Comisión de Agricultura, Ganadería y Pesca no hace otra cosa que aumentar los motivos para la preocupación. En definitiva, el examen de las competencias explícitas, ex arts. 30 y 31 del Reglamento del Congreso, y la inequívoca atribución de competencia al Pleno para la resolución de cierre plantean un problema de garantía relevante para el ciudadano, de manera que la actuación de la Mesa del Congreso "interioriza" la decisión final y en cierto modo puede decirse que hurta al debate público una fase singular del procedimiento. </w:t>
      </w:r>
    </w:p>
    <w:p w:rsidR="0025129F" w:rsidRDefault="0025129F" w:rsidP="0025129F">
      <w:pPr>
        <w:pStyle w:val="TextoNormal"/>
      </w:pPr>
      <w:r>
        <w:t xml:space="preserve">La preocupación que pueden concitar los problemas planteados y las arriesgadas interpretaciones del art. 90.2 CE se manifiestan en el acuerdo que adopta la Mesa del Senado el día 12 de julio de 1995, en el que, tras señalar la utilidad de una reunión conjunta de las Mesas de ambas Cámaras, manifiesta que la capacidad colegisladora del Senado "no puede quedar anulada o limitada por interpretaciones discutibles del art. 90.2 de la Constitución". </w:t>
      </w:r>
    </w:p>
    <w:p w:rsidR="0025129F" w:rsidRDefault="0025129F" w:rsidP="0025129F">
      <w:pPr>
        <w:pStyle w:val="TextoNormal"/>
      </w:pPr>
      <w:r>
        <w:t xml:space="preserve">Por todo ello, la representación procesal del Senado concluye su escrito solicitando que en la resolución del recurso se salvaguarde de manera íntegra la potestad legislativa que al Senado atribuye el art. 66.1 CE, declarando la relevancia jurídico-constitucional del pronunciamiento del Senado rechazando el dictamen de la Comisión de Agricultura, Ganadería y Pesca en relación con la proposición de ley por la que se declara reserva natural las Salinas de Ibiza (Ses Salines), las Islas des Freus y las Salinas de Formentera. </w:t>
      </w:r>
    </w:p>
    <w:p w:rsidR="0025129F" w:rsidRDefault="0025129F" w:rsidP="0025129F">
      <w:pPr>
        <w:pStyle w:val="TextoNormal"/>
      </w:pPr>
      <w:r>
        <w:t xml:space="preserve">1. 14. El Pleno del Tribunal, mediante Auto de 19 de diciembre de 1995, acordó acumular el recurso de inconstitucionalidad registrado con el núm. 3672/95 al que se sigue con el núm. 3492/95 y conceder un nuevo plazo de quince días al Abogado del Estado para que presentase alegaciones en relación con ambos recursos. 2. 15. Solicitada prórroga </w:t>
      </w:r>
      <w:r>
        <w:lastRenderedPageBreak/>
        <w:t xml:space="preserve">por el Abogado del Estado para formular alegaciones en los recursos de inconstitucionalidad acumulados y concedida por providencia de 12 de enero de 1996, presentó aquél su escrito con las alegaciones que se resumen seguidamente: </w:t>
      </w:r>
    </w:p>
    <w:p w:rsidR="0025129F" w:rsidRDefault="0025129F" w:rsidP="0025129F">
      <w:pPr>
        <w:pStyle w:val="TextoNormal"/>
      </w:pPr>
      <w:r>
        <w:t xml:space="preserve">a) Comienza señalando que los motivos de inconstitucionalidad que se imputan por los recurrentes a la Ley impugnada son de un doble orden: de orden formal y de vulneración de las reglas de distribución de competencias entre la Comunidad Autónoma de las Illes Balears y el Estado. </w:t>
      </w:r>
    </w:p>
    <w:p w:rsidR="0025129F" w:rsidRDefault="0025129F" w:rsidP="0025129F">
      <w:pPr>
        <w:pStyle w:val="TextoNormal"/>
      </w:pPr>
      <w:r>
        <w:t xml:space="preserve">En cuanto a los vicios formales, se concretan en que la Ley recurrida no se habría acomodado al procedimiento adecuado en su tramitación parlamentaria. En lo atinente a la infracción del reparto de competencias, se aduce que se habrían conculcado los arts. 148.1.9 y 149.1.23 CE y la doctrina sentada en la STC 102/1995, de 26 de junio. Mientras que la existencia de vicios en la tramitación parlamentaria sólo ha sido planteada por el Parlamento autonómico, la infracción del orden constitucional de competencias se ha suscitado por ambos recurrentes. </w:t>
      </w:r>
    </w:p>
    <w:p w:rsidR="0025129F" w:rsidRDefault="0025129F" w:rsidP="0025129F">
      <w:pPr>
        <w:pStyle w:val="TextoNormal"/>
      </w:pPr>
      <w:r>
        <w:t xml:space="preserve">b) Señala el Abogado del Estado que para el Parlamento de las Illes Balears se ha producido un defecto en el procedimiento seguido por el Congreso de los Diputados para la aprobación de la Ley 26/1995, defecto que determina su inconstitucionalidad. El mismo radica en que, tras ser rechazado por el Pleno del Senado el dictamen emitido por la Comisión de Agricultura, Ganadería y Pesca de esta Cámara, la Mesa del Congreso, en su reunión de 27 de junio de 1995 y oída la Junta de Portavoces, sometió a sanción real el texto en su día remitido al Senado. En esta actuación se reprocha que no se adoptara un nuevo acuerdo del Congreso de los Diputados, esta vez en Pleno. </w:t>
      </w:r>
    </w:p>
    <w:p w:rsidR="0025129F" w:rsidRDefault="0025129F" w:rsidP="0025129F">
      <w:pPr>
        <w:pStyle w:val="TextoNormal"/>
      </w:pPr>
      <w:r>
        <w:t xml:space="preserve">El Abogado del Estado constata que la parte recurrente cita en su apoyo la STC 99/1987, de 11 de junio, FJ 1, que señalaba que los vicios de tramitación que afecten de modo sustancial al proceso de formación de la voluntad de las Cámaras pueden conllevar la inconstitucionalidad de las leyes. Pues bien, la representación procesal del Estado manifiesta que no se ha producido en este caso la inobservancia de las normas del procedimiento legislativo, ni, en el caso de que ello hubiera ocurrido, se habría alterado de modo sustancial el proceso de formación de la voluntad en el seno de las Cámaras. </w:t>
      </w:r>
    </w:p>
    <w:p w:rsidR="0025129F" w:rsidRDefault="0025129F" w:rsidP="0025129F">
      <w:pPr>
        <w:pStyle w:val="TextoNormal"/>
      </w:pPr>
      <w:r>
        <w:t xml:space="preserve">En su opinión, no se justifica de manera alguna la necesidad de nuevo acuerdo del Congreso de los Diputados, puesto que se ha cumplido el art. 90.2 CE, que sólo exige un nuevo pronunciamiento del Congreso en el caso de que el Senado hubiere vetado el texto remitido por el Congreso o hubiere introducido en él enmiendas. En estos supuestos sí hubiese sido procedente un nuevo acuerdo del Congreso sobre el texto remitido por el Senado, pero no en el caso que se examina, en el que se intentó el veto pero no prosperó al no obtener la mayoría necesaria. </w:t>
      </w:r>
    </w:p>
    <w:p w:rsidR="0025129F" w:rsidRDefault="0025129F" w:rsidP="0025129F">
      <w:pPr>
        <w:pStyle w:val="TextoNormal"/>
      </w:pPr>
      <w:r>
        <w:t xml:space="preserve">En definitiva, según el Abogado del Estado, la exigencia de que después de pronunciarse negativamente el Pleno del Senado sobre el dictamen de la Comisión deba existir un nuevo pronunciamiento del Pleno del Congreso no resulta de norma alguna del bloque de la constitucionalidad. El art. 90.2 CE se limita a expresar que "el proyecto no podrá ser sometido al Rey para sanción sin que el Congreso ratifique por mayoría absoluta, en caso de veto, el texto inicial o por mayoría simple, una vez transcurridos dos meses desde la interposición del mismo, o se pronuncie sobre las enmiendas, aceptándolas o no por mayoría simple". En este caso, el Senado se ha limitado a no aprobar, sin vetar ni introducir enmiendas, por lo que carecería de sentido que el Congreso de los Diputados hubiera de pronunciarse en dos ocasiones, próximas en el tiempo, sobre un texto idéntico. Por ello, el art. 121 del Reglamento del Congreso de los Diputados determina que sólo "los proyectos </w:t>
      </w:r>
      <w:r>
        <w:lastRenderedPageBreak/>
        <w:t xml:space="preserve">de ley aprobados por el Congreso y vetados o enmendados por el Senado serán sometidos a nueva consideración del Pleno de la Cámara". </w:t>
      </w:r>
    </w:p>
    <w:p w:rsidR="0025129F" w:rsidRDefault="0025129F" w:rsidP="0025129F">
      <w:pPr>
        <w:pStyle w:val="TextoNormal"/>
      </w:pPr>
      <w:r>
        <w:t xml:space="preserve">Como último argumento, el Abogado del Estado aduce que aun en la hipótesis, que no admite, de que hubiese habido un defecto procedimental, ello no alteraría la formación de la voluntad del Congreso de los Diputados, pues habiendo ya un primer acuerdo del Congreso, adoptado por mayoría suficiente, si el mismo texto se hubiere sometido a la misma Cámara, se hubiera producido su nueva aprobación. </w:t>
      </w:r>
    </w:p>
    <w:p w:rsidR="0025129F" w:rsidRDefault="0025129F" w:rsidP="0025129F">
      <w:pPr>
        <w:pStyle w:val="TextoNormal"/>
      </w:pPr>
      <w:r>
        <w:t xml:space="preserve">c) Según el Abogado del Estado, ambos recursos de inconstitucionalidad sostienen que el Estado ha dictado la Ley recurrida careciendo de competencia para hacerlo, puesto que habiendo sido declarado inconstitucional el art. 21.3 de la Ley 4/1989, de 27 de marzo, de conservación de espacios naturales protegidos, precepto que sirve de fundamento a la Ley recurrida, es evidente que ésta ha de ser inconstitucional. Además, el Gobierno autonómico mantiene que el art. 149.1.23 CE no otorga competencia al Estado para dictar la Ley. </w:t>
      </w:r>
    </w:p>
    <w:p w:rsidR="0025129F" w:rsidRDefault="0025129F" w:rsidP="0025129F">
      <w:pPr>
        <w:pStyle w:val="TextoNormal"/>
      </w:pPr>
      <w:r>
        <w:t xml:space="preserve">Este planteamiento, continúa alegando el Abogado del Estado, se sustenta en una lectura sesgada de la STC 102/1995, pues la consideración atenta del fundamento jurídico 20 de dicha Sentencia permite alcanzar algunas conclusiones a tener en cuenta. </w:t>
      </w:r>
    </w:p>
    <w:p w:rsidR="0025129F" w:rsidRDefault="0025129F" w:rsidP="0025129F">
      <w:pPr>
        <w:pStyle w:val="TextoNormal"/>
      </w:pPr>
      <w:r>
        <w:t xml:space="preserve">En primer lugar, que la titularidad del dominio público no confiere por sí misma competencia alguna, ni tampoco la importancia de estos bienes para el interés general, por lo que la calificación de un segmento o trozo de la zona marítimo-terrestre como parte de un espacio natural protegible corresponde a la Comunidad Autónoma en cuyo territorio se encuentre, confirmando la doctrina ya recaída al efecto. En segundo lugar, que en el ámbito de la gestión atribuida a la Comunidad Autónoma, cabe la posibilidad de interferencias recíprocas entre ésta y el Estado en el mismo espacio físico para diferentes funciones. Y por último, del citado fundamento jurídico también se desprende que es la existencia de un verdadero interés general nacional (art. 1.1 de la Ley 26/1995) y no la titularidad demanial de la zona afectada lo que podría justificar que el Estado concurriera con la Comunidad Autónoma en la gestión del espacio natural protegido (así se derivaría de la referencia del preámbulo de la Ley 26/1995 a la declaración por el Gobierno balear del espacio como área natural de especial interés). </w:t>
      </w:r>
    </w:p>
    <w:p w:rsidR="0025129F" w:rsidRDefault="0025129F" w:rsidP="0025129F">
      <w:pPr>
        <w:pStyle w:val="TextoNormal"/>
      </w:pPr>
      <w:r>
        <w:t xml:space="preserve">El Abogado del Estado manifiesta a continuación que existe un verdadero interés nacional protegido por la Ley 26/1995, a pesar de que se está ante una reserva natural y no ante un parque nacional, pues este caso concurre lo que el fundamento jurídico 22 de la STC 102/1995 denomina "interés general para el conjunto de la Nación cuya fuerza expansiva trasciende su importancia local", lo que se manifiesta en el preámbulo de aquélla, que alude a la inclusión de la zona protegida en la lista de humedales de importancia internacional, habiendo sido declarada también zona de especial protección para las aves, con base en la Directiva 79/409/CEE. </w:t>
      </w:r>
    </w:p>
    <w:p w:rsidR="0025129F" w:rsidRDefault="0025129F" w:rsidP="0025129F">
      <w:pPr>
        <w:pStyle w:val="TextoNormal"/>
      </w:pPr>
      <w:r>
        <w:t xml:space="preserve">Por ello, no se pretende defender que el establecimiento de la reserva natural y su zona periférica de protección se realice al amparo del carácter de dominio público estatal de la zona, sino que se ha considerado que es el carácter nacional del interés que se desea proteger, que trasciende el de la Comunidad Autónoma, lo que justifica la declaración, que encuentra su amparo en el art. 149.1.23 CE, según se desprende de las finalidades enunciadas en el art. 1.2 de la Ley. </w:t>
      </w:r>
    </w:p>
    <w:p w:rsidR="0025129F" w:rsidRDefault="0025129F" w:rsidP="0025129F">
      <w:pPr>
        <w:pStyle w:val="TextoNormal"/>
      </w:pPr>
      <w:r>
        <w:t xml:space="preserve">Ya en el terreno del articulado de la Ley, el Abogado del Estado señala que sólo el recurso formulado por el Gobierno de la Comunidad Autónoma hace un análisis crítico de parte del mismo, en concreto, de sus arts. 2, 3 y 4, indicando que, al regular la reserva, comprenden un ámbito territorial que excede del delimitado en el art. 21.3 de la Ley 4/1989. Sin embargo, sigue indicando la representación del Estado, no es la titularidad de </w:t>
      </w:r>
      <w:r>
        <w:lastRenderedPageBreak/>
        <w:t xml:space="preserve">la zona afectada por la declaración la determinante de la competencia del Estado, sino su interés nacional. </w:t>
      </w:r>
    </w:p>
    <w:p w:rsidR="0025129F" w:rsidRDefault="0025129F" w:rsidP="0025129F">
      <w:pPr>
        <w:pStyle w:val="TextoNormal"/>
      </w:pPr>
      <w:r>
        <w:t xml:space="preserve">Respecto de la alegación de la representación autonómica de que el propio art. 4, apartados 2, 3 y 4, contiene también normas "urbanísticas", invadiendo, por ello, su competencia en la materia (art. 10.3 EAIB), el Abogado del Estado opone que tal regulación afecta, básicamente, a zonas que se hallan fuera de los núcleos urbanos y persiguen el mantenimiento del espacio natural. </w:t>
      </w:r>
    </w:p>
    <w:p w:rsidR="0025129F" w:rsidRDefault="0025129F" w:rsidP="0025129F">
      <w:pPr>
        <w:pStyle w:val="TextoNormal"/>
      </w:pPr>
      <w:r>
        <w:t xml:space="preserve">Y en cuanto a los argumentos aducidos por la Comunidad Autónoma respecto de la generalidad del articulado de la Ley y que se concretan en que constituyen puras actividades de gestión, el Abogado del Estado advierte que el interés nacional existente hace posible la concurrencia estatal y autonómica incluso en ese ámbito. </w:t>
      </w:r>
    </w:p>
    <w:p w:rsidR="0025129F" w:rsidRDefault="0025129F" w:rsidP="0025129F">
      <w:pPr>
        <w:pStyle w:val="TextoNormal"/>
      </w:pPr>
      <w:r>
        <w:t xml:space="preserve">En conclusión, no se aprecia, según el Abogado del Estado, vulneración de las competencias autonómicas, por lo que solicita del Tribunal que se declare la constitucionalidad de la ley impugnada, a la vez que manifiesta su oposición a que se suspenda la ley y se acuerde el recibimiento a prueba solicitado de contrario. </w:t>
      </w:r>
    </w:p>
    <w:p w:rsidR="0025129F" w:rsidRDefault="0025129F" w:rsidP="0025129F">
      <w:pPr>
        <w:pStyle w:val="TextoNormal"/>
      </w:pPr>
      <w:r>
        <w:t xml:space="preserve">16. Por Auto de 21 de mayo de 1996, el Pleno del Tribunal acordó denegar las peticiones de recibimiento a prueba y de suspensión de la Ley estatal 26/1985, deducidas por el Parlamento de las Illes Balears en el recurso de inconstitucionalidad promovido frente a la citada Ley. </w:t>
      </w:r>
    </w:p>
    <w:p w:rsidR="0025129F" w:rsidRDefault="0025129F" w:rsidP="0025129F">
      <w:pPr>
        <w:pStyle w:val="TextoNormal"/>
      </w:pPr>
      <w:r>
        <w:t>17. Por providencia de 23 de abril de 2002 se acordó fijar para la deliberación y votación de la presente Sentencia el día 25 del mismo mes y año.</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Los presentes recursos de inconstitucionalidad acumulados han sido planteados por el Gobierno y por el Parlamento de la Comunidad Autónoma de las Illes Balears contra la integridad de la Ley 26/1995, de 31 de julio, por la que se declara reserva natural las Salinas de Ibiza ("Ses Salines"), las Islas des Freus y las Salinas de Formentera.</w:t>
      </w:r>
    </w:p>
    <w:p w:rsidR="0025129F" w:rsidRDefault="0025129F" w:rsidP="0025129F">
      <w:pPr>
        <w:pStyle w:val="TextoNormal"/>
      </w:pPr>
      <w:r>
        <w:t>Dos son los vicios que se imputan por los recurrentes a la Ley recurrida. De un lado, tanto el Gobierno como el Parlamento de la Comunidad Autónoma consideran que la Ley 26/1995 ha transgredido el orden constitucional de distribución de competencias en materia de espacios naturales protegidos y medio ambiente, habiendo el Estado ejercido competencias que no le corresponden, pues se encuentran atribuidas a la Comunidad Autónoma por su Estatuto de Autonomía, tal como ya ha declarado la doctrina constitucional. De otro, el Parlamento atribuye también a dicha Ley un defecto formal en su tramitación parlamentaria, consistente en que pese a la oposición manifestada por el Senado, la Mesa del Congreso, sin intervención del Pleno, remitió el texto a la sanción real, lo que determinaría, asimismo, su inconstitucionalidad.</w:t>
      </w:r>
    </w:p>
    <w:p w:rsidR="0025129F" w:rsidRDefault="0025129F" w:rsidP="0025129F">
      <w:pPr>
        <w:pStyle w:val="TextoNormal"/>
      </w:pPr>
    </w:p>
    <w:p w:rsidR="0025129F" w:rsidRDefault="0025129F" w:rsidP="0025129F">
      <w:pPr>
        <w:pStyle w:val="TextoNormal"/>
      </w:pPr>
      <w:r w:rsidRPr="0025129F">
        <w:rPr>
          <w:rStyle w:val="NumeroAFNegritaCaracter"/>
        </w:rPr>
        <w:t>2</w:t>
      </w:r>
      <w:r>
        <w:t>. Con tal planteamiento, procedente será examinar ante todo el denunciado vicio formal.</w:t>
      </w:r>
    </w:p>
    <w:p w:rsidR="0025129F" w:rsidRDefault="0025129F" w:rsidP="0025129F">
      <w:pPr>
        <w:pStyle w:val="TextoNormal"/>
      </w:pPr>
      <w:r>
        <w:t>Las normas constitucionales y parlamentarias que regulan la elaboración de las leyes tienen carácter instrumental respecto de uno de los valores superiores de nuestro ordenamiento, el del pluralismo político (art. 1.1 CE), de suerte que la "inobservancia de los preceptos que regulan el procedimiento legislativo podría viciar de inconstitucionalidad la ley cuando esa inobservancia altere de modo sustancial el proceso de formación de la voluntad en el seno de las Cámaras" (STC 99/1987, de 11 de junio, FJ 1). Ello implica que ha</w:t>
      </w:r>
      <w:r>
        <w:lastRenderedPageBreak/>
        <w:t>brá que examinar, ante todo, si se ha producido o no vulneración de la normativa reguladora de la elaboración de las leyes para, sólo después, y en su caso, valorar si aquella vulneración pudo tener relevancia para la formación de la voluntad legisladora.</w:t>
      </w:r>
    </w:p>
    <w:p w:rsidR="0025129F" w:rsidRDefault="0025129F" w:rsidP="0025129F">
      <w:pPr>
        <w:pStyle w:val="TextoNormal"/>
      </w:pPr>
      <w:r>
        <w:t>Como ya se ha señalado en los antecedentes, los datos relevantes en el itinerario procedimental de la Ley aquí impugnada son los siguientes:</w:t>
      </w:r>
    </w:p>
    <w:p w:rsidR="0025129F" w:rsidRDefault="0025129F" w:rsidP="0025129F">
      <w:pPr>
        <w:pStyle w:val="TextoNormal"/>
      </w:pPr>
      <w:r>
        <w:t>a) La Comisión de Agricultura, Ganadería y Pesca del Congreso de los Diputados aprobó con competencia legislativa plena la proposición de ley relativa a la reserva natural que da lugar a estas actuaciones.</w:t>
      </w:r>
    </w:p>
    <w:p w:rsidR="0025129F" w:rsidRDefault="0025129F" w:rsidP="0025129F">
      <w:pPr>
        <w:pStyle w:val="TextoNormal"/>
      </w:pPr>
      <w:r>
        <w:t>b) Recibida en el Senado, el Grupo Parlamentario Popular formuló propuesta de veto por entender que tal proposición suponía "una invasión en las competencias autonómicas en la materia de que se trata" y la Comisión de Agricultura, Ganadería y Pesca, dejando la votación del veto para el Pleno, aprobó el informe de la Ponencia que, al no haberse propuesto ninguna enmienda, se limitó a introducir algunas correcciones técnicas.</w:t>
      </w:r>
    </w:p>
    <w:p w:rsidR="0025129F" w:rsidRDefault="0025129F" w:rsidP="0025129F">
      <w:pPr>
        <w:pStyle w:val="TextoNormal"/>
      </w:pPr>
      <w:r>
        <w:t>c) Ya en el Pleno del Senado se rechazó el veto, al no haber obtenido la mayoría absoluta exigida por la Constitución, sin que tampoco fuera aprobado el dictamen de la Comisión -111 votos a favor, 118 en contra y una abstención-, por lo que el Presidente de la Cámara declaró rechazado el texto.</w:t>
      </w:r>
    </w:p>
    <w:p w:rsidR="0025129F" w:rsidRDefault="0025129F" w:rsidP="0025129F">
      <w:pPr>
        <w:pStyle w:val="TextoNormal"/>
      </w:pPr>
      <w:r>
        <w:t>d) Como consecuencia, remitió al Congreso mensaje motivado comunicando que el Senado "en uso de las facultades que le confiere el art. 90.2 de la Constitución, tras rechazar el veto propuesto por el Grupo Parlamentario Popular, ha acordado no aceptar el dictamen emitido por la Comisión de Agricultura, Ganadería y Pesca de esta Cámara".</w:t>
      </w:r>
    </w:p>
    <w:p w:rsidR="0025129F" w:rsidRDefault="0025129F" w:rsidP="0025129F">
      <w:pPr>
        <w:pStyle w:val="TextoNormal"/>
      </w:pPr>
      <w:r>
        <w:t>e) La Mesa del Congreso de los Diputados, "teniendo en cuenta, en virtud de la comunicación del Senado, que dicha Cámara no ha opuesto veto ni ha introducido enmiendas, al amparo de lo establecido en el art. 90.2 de la Constitución, a la Proposición de Ley de referencia" acordó el 27 de junio de 1995, dar traslado de su texto a la Presidencia del Gobierno, para la sanción real.</w:t>
      </w:r>
    </w:p>
    <w:p w:rsidR="0025129F" w:rsidRDefault="0025129F" w:rsidP="0025129F">
      <w:pPr>
        <w:pStyle w:val="TextoNormal"/>
      </w:pPr>
    </w:p>
    <w:p w:rsidR="0025129F" w:rsidRDefault="0025129F" w:rsidP="0025129F">
      <w:pPr>
        <w:pStyle w:val="TextoNormal"/>
      </w:pPr>
      <w:r w:rsidRPr="0025129F">
        <w:rPr>
          <w:rStyle w:val="NumeroAFNegritaCaracter"/>
        </w:rPr>
        <w:t>3</w:t>
      </w:r>
      <w:r>
        <w:t>. El Parlamento recurrente entiende que en la tramitación indicada se ha producido un vicio determinante de la inconstitucionalidad, dado que no se tuvo en cuenta la voluntad del Senado, que expresó su oposición a la proposición de ley remitida por el Congreso, lo que debió dar lugar a una decisión del Pleno de éste y no de su Mesa.</w:t>
      </w:r>
    </w:p>
    <w:p w:rsidR="0025129F" w:rsidRDefault="0025129F" w:rsidP="0025129F">
      <w:pPr>
        <w:pStyle w:val="TextoNormal"/>
      </w:pPr>
      <w:r>
        <w:t>En esta misma línea se desenvuelven las alegaciones de la representación procesal del Senado: partiendo de la base de la capacidad colegisladora del Senado establecida en el art.  66.2 CE y de la importancia del procedimiento de elaboración de las leyes, estima que no cabe un entendimiento cerrado y exhaustivo del art. 90.2 CE. El debate del Pleno del Senado no se desarrolla sólo sobre enmiendas y vetos, sino, también, sobre otros objetos distintos, lo que implica la posibilidad de un resultado que no sea ni la aprobación, ni el veto o la introducción de enmiendas. Así ha ocurrido en el caso de la Ley 26/1995, en el que se rechazó el dictamen de la Comisión, lo que significa que la voluntad del Pleno era la de enmendar de totalidad. La consecuencia procedimental había de ser el reenvío a la otra Cámara, a fin de que su Pleno pudiera deliberar con carácter público sobre la decisión del Senado.</w:t>
      </w:r>
    </w:p>
    <w:p w:rsidR="0025129F" w:rsidRDefault="0025129F" w:rsidP="0025129F">
      <w:pPr>
        <w:pStyle w:val="TextoNormal"/>
      </w:pPr>
      <w:r>
        <w:t>En sentido opuesto se manifiesta la representación procesal del Congreso de los Diputados que pone de relieve, ante todo, que ni el Senado planteó conflicto de atribuciones ante el Tribunal Constitucional, ni los Senadores interpusieron recurso de inconstitucionalidad.</w:t>
      </w:r>
    </w:p>
    <w:p w:rsidR="0025129F" w:rsidRDefault="0025129F" w:rsidP="0025129F">
      <w:pPr>
        <w:pStyle w:val="TextoNormal"/>
      </w:pPr>
      <w:r>
        <w:t xml:space="preserve">Y es que, en su sentir, no hay vicio alguno en la tramitación de la Ley 26/1995, dado que no existen vetos tácitos ni enmiendas tácitas: el veto debe formularse expresamente y </w:t>
      </w:r>
      <w:r>
        <w:lastRenderedPageBreak/>
        <w:t>aprobarse por mayoría absoluta. Otra interpretación constituiría un fraude de ley, esto es, un veto aprobado por mayoría simple. Independientemente de que deban o no mantenerse los preceptos del Reglamento del Senado que prevén la votación del proyecto por el Pleno de la Cámara (arts. 107.3 y 123.2), estima que su rechazo no podía determinar una nueva votación en el Congreso.</w:t>
      </w:r>
    </w:p>
    <w:p w:rsidR="0025129F" w:rsidRDefault="0025129F" w:rsidP="0025129F">
      <w:pPr>
        <w:pStyle w:val="TextoNormal"/>
      </w:pPr>
      <w:r>
        <w:t>Y en línea coincidente discurren las alegaciones del Abogado del Estado, pues considera que la decisión de la Mesa del Congreso de los Diputados de remitir directamente a sanción real el texto que esta Cámara adoptó en su día, sin nuevo debate y votación, es plenamente constitucional, ya que el art. 90.2 CE sólo impone la nueva intervención del Pleno del Congreso en el caso de que el Senado hubiera vetado el texto o, alternativamente, formulado enmiendas al mismo, lo que no ocurrió. Por el contrario, el veto fue efectivamente planteado, pero, al no alcanzar la mayoría absoluta exigida, no prosperó. Tampoco se aprobaron enmiendas, sino que se adoptó por mayoría simple un acuerdo de rechazo del texto dictaminado por la Comisión de Agricultura, Ganadería y Pesca del Senado que introducía meros retoques técnicos en el texto del Congreso. En definitiva, al no seguirse una de las dos vías establecidas en el art. 90.2 CE, esto es, la formulación del veto o de enmiendas, resultó correcta en términos constitucionales la remisión a sanción real.</w:t>
      </w:r>
    </w:p>
    <w:p w:rsidR="0025129F" w:rsidRDefault="0025129F" w:rsidP="0025129F">
      <w:pPr>
        <w:pStyle w:val="TextoNormal"/>
      </w:pPr>
    </w:p>
    <w:p w:rsidR="0025129F" w:rsidRDefault="0025129F" w:rsidP="0025129F">
      <w:pPr>
        <w:pStyle w:val="TextoNormal"/>
      </w:pPr>
      <w:r w:rsidRPr="0025129F">
        <w:rPr>
          <w:rStyle w:val="NumeroAFNegritaCaracter"/>
        </w:rPr>
        <w:t>4</w:t>
      </w:r>
      <w:r>
        <w:t>. El fundamento último de las argumentaciones tanto del Senado como del Parlamento balear es el de la capacidad colegisladora del Senado establecida en el art. 66.2 CE -"las Cortes Generales ejercen la potestad legislativa del Estado..."- que debe excluir una interpretación literal que cierre el paso a otras discrepancias del Senado con el Congreso que no sean las expresamente establecidas en el art. 90.2 CE: "El Senado en el plazo de dos meses, a partir del día de la recepción del texto, puede, mediante mensaje motivado, oponer su veto o introducir enmiendas al mismo. El veto deberá ser aprobado por mayoría absoluta. El proyecto no podrá ser sometido al Rey para sanción sin que el Congreso ratifique por mayoría absoluta, en caso de veto, el texto inicial, o por mayoría simple, una vez transcurridos dos meses desde la interposición del mismo, o se pronuncie sobre las enmiendas, aceptándolas o no por mayoría simple".</w:t>
      </w:r>
    </w:p>
    <w:p w:rsidR="0025129F" w:rsidRDefault="0025129F" w:rsidP="0025129F">
      <w:pPr>
        <w:pStyle w:val="TextoNormal"/>
      </w:pPr>
      <w:r>
        <w:t>Y ya con este punto de partida ha de destacarse el detalle con que la Constitución ha trazado el procedimiento legislativo: regula la iniciativa legislativa -arts. 87, 88 y 89-, la delegación en las Comisiones de la aprobación de los proyectos o proposiciones de ley - art. 75.2-, la tramitación en el Senado, con posible nueva lectura en el Congreso -art. 90- y, finalmente, la sanción y promulgación de la leyes -art. 91. De todos ellos, es el art. 90.2 el que importa en este momento.</w:t>
      </w:r>
    </w:p>
    <w:p w:rsidR="0025129F" w:rsidRDefault="0025129F" w:rsidP="0025129F">
      <w:pPr>
        <w:pStyle w:val="TextoNormal"/>
      </w:pPr>
      <w:r>
        <w:t>Frente al sistema tradicional de nuestro bicameralismo -Comisión Mixta de Diputados y Senadores- el art. 90.2 CE atribuye un destacado protagonismo al Congreso, que tiene la decisión final sobre las discrepancias del Senado respecto de los textos remitidos por aquél. Así, la STC 234/2000, de 3 de octubre, FJ 8, señala que "el art. 90 CE, de otra parte, último de los preceptos referidos al procedimiento legislativo stricto sensu y en el que se concentra la regulación de la tramitación en el Senado de los proyectos de ley, se configura como uno de los varios preceptos constitucionales en los que se plasma la diferente posición que ocupan el Congreso de los Diputados y el Senado en el procedimiento legislativo ordinario, así como de las relaciones entre una y otra Cámara en el ejercicio de la potestad legislativa que el art. 66.2 CE residencia en las Cortes Generales, todo lo cual responde, en definitiva, a la característica configuración del modelo bicameral adoptado por nuestra Constitución.".</w:t>
      </w:r>
    </w:p>
    <w:p w:rsidR="0025129F" w:rsidRDefault="0025129F" w:rsidP="0025129F">
      <w:pPr>
        <w:pStyle w:val="TextoNormal"/>
      </w:pPr>
      <w:r>
        <w:lastRenderedPageBreak/>
        <w:t>Ciertamente, como pone de relieve la representación del Senado, la relación entre los arts. 66 y 90 CE no es de jerarquía. Sin embargo, la lectura de sus textos pone de relieve el contraste entre la generalidad del primero y la especialidad del segundo: mientras que el art.  66.2 -primero de los dedicados a las Cortes Generales- atribuye globalmente la potestad legislativa del Estado a las Cortes Generales, es decir, al Congreso de los Diputados y al Senado, el art. 90.2 -último de los que regulan "la elaboración de las leyes"- concreta las funciones que dentro del procedimiento legislativo, en lo que ahora importa, corresponden específicamente a cada una de las Cámaras: por una parte, regula la actuación que al Senado corresponde en el curso de dicho procedimiento -"la materia objeto de regulación por el art.  90 CE no es sino la tramitación en el Senado de los proyectos de ley" (STC 234/2000, de 3 de octubre, FJ 8)- y, por otra, especifica los concretos supuestos de discrepancia del Senado que dan lugar a una ulterior lectura en el Congreso, supuestos estos que son sólo dos: "El Senado ... puede, mediante mensaje motivado, oponer su veto o introducir enmiendas". Y esta precisión de dos únicas posibilidades prevista por el art. 90 en su apartado 2, se reitera en el 3: "El plazo de dos meses de que el Senado dispone para vetar o enmendar el proyecto...". En definitiva, es el art. 90.2 CE el que concreta el sentido de la capacidad colegisladora del Senado prevista en el art. 66.2 CE: como hemos declarado en la STC 234/2000, FJ 13, "la potestad legislativa que residencia en las Cortes Generales el art. 66.2 CE se ejerce por cada una de las Cámaras que la integran, esto es, el Congreso de los Diputados y el Senado, en la forma y con la extensión que el propio texto constitucional determina en el Capítulo Segundo -'De la elaboración de las Leyes'- de su Título III -'De las Cortes Generales'- y, en concreto, por lo que se refiere a la tramitación en el Senado de los proyectos de ley, en los términos que establece su art. 90", precepto este aplicable no sólo a los proyectos de ley, sino también a las proposiciones de ley, pues aunque la Comisión Mixta suprimió la referencia a éstas en la redacción definitiva que dio al texto, la evidente semejanza de ambas figuras pone de relieve la identidad de razón para su régimen jurídico.</w:t>
      </w:r>
    </w:p>
    <w:p w:rsidR="0025129F" w:rsidRDefault="0025129F" w:rsidP="0025129F">
      <w:pPr>
        <w:pStyle w:val="TextoNormal"/>
      </w:pPr>
      <w:r>
        <w:t>En último término, no puede olvidarse que uno de los fines a que responde el art. 90 CE es precisamente el logro de una cierta celeridad en la tramitación senatorial: en primer término, prescribe que el Presidente del Congreso "dará inmediata cuenta" del proyecto aprobado al Presidente del Senado y, en segundo lugar, establece un plazo de dos meses -que pueden reducirse a 20 días- para la actuación del Senado; propósito de celeridad este en cuya línea se inscribe la limitación de los supuestos de regreso del texto al Congreso, lo que hace difícil una interpretación extensiva de aquéllos.</w:t>
      </w:r>
    </w:p>
    <w:p w:rsidR="0025129F" w:rsidRDefault="0025129F" w:rsidP="0025129F">
      <w:pPr>
        <w:pStyle w:val="TextoNormal"/>
      </w:pPr>
      <w:r>
        <w:t>Así pues, y desde el punto de vista que aquí interesa, ha de concluirse que el art. 90 CE en su conjunto contiene una norma que traza un supuesto de hecho en el que se establecen las discrepancias del Senado con el Congreso -oposición de veto o introducción de enmiendas- con virtualidad constitucional para provocar la consecuencia jurídica que es la nueva lectura en el Congreso.</w:t>
      </w:r>
    </w:p>
    <w:p w:rsidR="0025129F" w:rsidRDefault="0025129F" w:rsidP="0025129F">
      <w:pPr>
        <w:pStyle w:val="TextoNormal"/>
      </w:pPr>
    </w:p>
    <w:p w:rsidR="0025129F" w:rsidRDefault="0025129F" w:rsidP="0025129F">
      <w:pPr>
        <w:pStyle w:val="TextoNormal"/>
      </w:pPr>
      <w:r w:rsidRPr="0025129F">
        <w:rPr>
          <w:rStyle w:val="NumeroAFNegritaCaracter"/>
        </w:rPr>
        <w:t>5</w:t>
      </w:r>
      <w:r>
        <w:t>. La conclusión que acaba de establecerse impide cualquier interpretación del Reglamento del Senado que pretenda ampliar los supuestos de discrepancia de esta Cámara con el Congreso que han de dar lugar a nueva consideración del texto en éste, dado que, en primer lugar, y sobre todo, la autonomía parlamentaria está subordinada a la Constitución y, en segundo término, los Reglamentos que de ella se derivan tienen virtualidad en el seno de cada una de las Cámaras, sin que por tanto el de una de ellas pueda imponer a la otra un determinado itinerario en su actuación. Así, la STC 234/2000, de 3 de octubre, FJ 12, declara: "El art. 72.1 CE recoge, ciertamente, entre otras manifestaciones de la auto</w:t>
      </w:r>
      <w:r>
        <w:lastRenderedPageBreak/>
        <w:t>nomía parlamentaria, la reglamentaria de cada una de las Cámaras que integran las Cortes Generales, que se traduce en la facultad de cada una de ellas de dictar sus propios reglamentos sin interferencias de otros órganos o poderes del Estado. Ahora bien, es obvio también que dicha vertiente de la autonomía de las Cámaras, así como las normas reglamentarias que por éstas se dicten en su ejercicio, se encuentran subordinadas y limitadas por la Constitución, cuyas previsiones referidas a la materia parlamentaria delimitan aquella autonomía y deben ser respetadas por las normas reglamentarias que la desarrollen. En otras palabras, el contenido y alcance de la autonomía reglamentaria de las Cámaras, o más precisamente de cada una de las que integran las Cortes Generales, han de ser determinados a partir precisamente de las previsiones del texto constitucional, nunca al margen de ellas, de modo que, aun pudiendo admitirse en principio la disponibilidad de la Cámara sobre los trámites y la cronología del procedimiento, el alcance de tal disponibilidad será el que resulte de los preceptos constitucionales que, en su caso, lo regulen, con las restricciones que al efecto se establezcan". Y añade: "el art. 72.1 CE reconoce la autonomía reglamentaria, así como otras manifestaciones de la autonomía parlamentaria, a cada Cámara, por lo que la propia disponibilidad del procedimiento legislativo correspondería a cada una de las Cámaras respecto de las fases del mismo que se desarrollen en su propio seno", lo que, concretamente, impedía al Reglamento del Senado, en el caso que allí se contemplaba, imponer al Congreso límites temporales no establecidos en el art. 90.3 CE.</w:t>
      </w:r>
    </w:p>
    <w:p w:rsidR="0025129F" w:rsidRDefault="0025129F" w:rsidP="0025129F">
      <w:pPr>
        <w:pStyle w:val="TextoNormal"/>
      </w:pPr>
      <w:r>
        <w:t>Y, aunque no sea necesario, puede añadirse que, en su expresa dicción, los Reglamentos de ambas Cámaras coinciden en la contemplación de dos únicas discrepancias del Senado respecto del Congreso:</w:t>
      </w:r>
    </w:p>
    <w:p w:rsidR="0025129F" w:rsidRDefault="0025129F" w:rsidP="0025129F">
      <w:pPr>
        <w:pStyle w:val="TextoNormal"/>
      </w:pPr>
      <w:r>
        <w:t>a) El art. 106.1 del Reglamento del Senado, aparte la aprobación expresa del texto remitido por el Congreso, solamente habilita al Senado "para, mediante mensaje motivado, oponer su veto o introducir enmiendas al mismo".</w:t>
      </w:r>
    </w:p>
    <w:p w:rsidR="0025129F" w:rsidRDefault="0025129F" w:rsidP="0025129F">
      <w:pPr>
        <w:pStyle w:val="TextoNormal"/>
      </w:pPr>
      <w:r>
        <w:t>b) Y, en la misma línea, el art. 121 del Reglamento del Congreso únicamente ha previsto la nueva consideración por el Pleno de la Cámara para "los proyectos de ley aprobados por el Congreso y vetados o enmendados por el Senado".</w:t>
      </w:r>
    </w:p>
    <w:p w:rsidR="0025129F" w:rsidRDefault="0025129F" w:rsidP="0025129F">
      <w:pPr>
        <w:pStyle w:val="TextoNormal"/>
      </w:pPr>
    </w:p>
    <w:p w:rsidR="0025129F" w:rsidRDefault="0025129F" w:rsidP="0025129F">
      <w:pPr>
        <w:pStyle w:val="TextoNormal"/>
      </w:pPr>
      <w:r w:rsidRPr="0025129F">
        <w:rPr>
          <w:rStyle w:val="NumeroAFNegritaCaracter"/>
        </w:rPr>
        <w:t>6</w:t>
      </w:r>
      <w:r>
        <w:t>. Ya en último término, será de indicar que la representación procesal del Senado ha entendido que el rechazo del dictamen de la Comisión por parte del Pleno de dicha Cámara implica una enmienda de totalidad, lo que debía dar lugar al reenvío del texto al Congreso para su consideración en Pleno, conclusión esta que, desde luego, no comparte la representación del Congreso que indica que el veto debe formularse expresamente y aprobarse por mayoría absoluta, de suerte que otra interpretación sería un fraude de ley, esto es, un veto aprobado por mayoría simple.</w:t>
      </w:r>
    </w:p>
    <w:p w:rsidR="0025129F" w:rsidRDefault="0025129F" w:rsidP="0025129F">
      <w:pPr>
        <w:pStyle w:val="TextoNormal"/>
      </w:pPr>
      <w:r>
        <w:t>Ciertamente, el veto integra un rechazo frontal y global al proyecto o proposición remitidos por el Congreso, es decir, una enmienda a la totalidad. Este es el sentido del veto previsto en el art. 90.2 CE. Pero está sometido al régimen jurídico expresamente delineado en ese precepto. Acudiendo otra vez al debate parlamentario de la Constitución, puede observarse que el anteproyecto no establecía una diferenciación de veto y enmiendas en el ámbito senatorial, lo que dio lugar a que se formularan enmiendas al que entonces era el art. 83.2 - hoy 90.2 CE- y sobre esta base la Comisión del Congreso, en la sesión de 2 de junio de 1978, le dio una nueva redacción, en lo que ahora importa, definitiva, dirigida precisamente a deslindar los supuestos de veto y enmiendas, exigiendo para aquél la mayoría absoluta, lo que excluye la calificación de "veto" para un rechazo del texto remitido por el Congreso que no se apoye en la mayoría absoluta del Senado. Y, en esta línea, puede apreciarse que el Reglamento del Senado, que regula el veto, no se refiere a las en</w:t>
      </w:r>
      <w:r>
        <w:lastRenderedPageBreak/>
        <w:t>miendas a la totalidad, que quedan sometidas al régimen jurídico de aquél, en tanto que el del Congreso prescribe, para el veto senatorial, que "el debate se ajustará a lo establecido para los de totalidad" -art. 122.1-, equiparando veto y enmienda a la totalidad. De todo ello deriva que la enmienda a la totalidad en el Senado es justamente el veto para el que la Constitución exige mayoría absoluta.</w:t>
      </w:r>
    </w:p>
    <w:p w:rsidR="0025129F" w:rsidRDefault="0025129F" w:rsidP="0025129F">
      <w:pPr>
        <w:pStyle w:val="TextoNormal"/>
      </w:pPr>
      <w:r>
        <w:t>En definitiva, pues, y dado que en la tramitación en el Senado fue rechazado el veto por no haber obtenido mayoría absoluta, sin que tampoco se introdujeran enmiendas en el texto del Congreso, al no concurrir el supuesto de hecho exigido por el art.  90.2 CE para la nueva lectura en el Congreso, se ajustó a la Constitución la decisión adoptada por la Mesa de dicha Cámara.</w:t>
      </w:r>
    </w:p>
    <w:p w:rsidR="0025129F" w:rsidRDefault="0025129F" w:rsidP="0025129F">
      <w:pPr>
        <w:pStyle w:val="TextoNormal"/>
      </w:pPr>
    </w:p>
    <w:p w:rsidR="0025129F" w:rsidRDefault="0025129F" w:rsidP="0025129F">
      <w:pPr>
        <w:pStyle w:val="TextoNormal"/>
      </w:pPr>
      <w:r w:rsidRPr="0025129F">
        <w:rPr>
          <w:rStyle w:val="NumeroAFNegritaCaracter"/>
        </w:rPr>
        <w:t>7</w:t>
      </w:r>
      <w:r>
        <w:t>. Entrando ya en el fondo del asunto, ha de indicarse que los recurrentes, tras exponer que la Comunidad Autónoma de las Illes Balears ha asumido las competencias de desarrollo legislativo y ejecución en materia de "espacios naturales protegidos", "ecología" y "normas adicionales de protección del medio ambiente" (art. 11.5 y 13 EAIB en el texto vigente a la sazón, hoy art. 11.7, por virtud de la reforma operada por la Ley Orgánica 3/1999, de 8 de enero), consideran que la Ley 26/1995 que declara reserva natural el ámbito constituido por las Salinas de Ibiza ("Ses Salines"), las Islas des Freus y las Salinas de Formentera, y que atribuye al Estado la gestión de dicho espacio, desconoce y vulnera las citadas competencias autonómicas, según ha quedado reconocido en la STC 102/1995, de 26 de junio.</w:t>
      </w:r>
    </w:p>
    <w:p w:rsidR="0025129F" w:rsidRDefault="0025129F" w:rsidP="0025129F">
      <w:pPr>
        <w:pStyle w:val="TextoNormal"/>
      </w:pPr>
      <w:r>
        <w:t>En definitiva, aducen que tanto la declaración de un espacio protegido, como la determinación de las condiciones de protección, la regulación del régimen de gestión y la gestión misma son actuaciones que se inscriben en la esfera de las competencias autonómicas aludidas, razón por la cual el vicio de inconstitucionalidad se extiende a toda la Ley recurrida, dado que las expresadas actividades han sido ejercidas por órganos estatales o atribuidas a los mismos por la citada Ley. En concreto, alegan que el art. 1.1 de la Ley 26/1995 fundamenta la antedicha atribución de funciones al Estado en los arts. 14 y 21.3 de la Ley 4/1989, de 27 de marzo, de conservación de los espacios naturales y de la flora y fauna silvestres, es decir, en razón a que el espacio protegido se sitúa en el dominio público, lo que ha sido contradicho por la STC 102/1995, que ha dejado sentado que la localización de un espacio natural objeto de protección en el dominio público marítimo-terrestre, como es el caso que nos ocupa, no atribuye al Estado potestades de protección de dicho espacio, pues las mismas han de ser ejercidas en su territorio por la Administración que las tenga atribuidas, con independencia de la naturaleza demanial del entorno físico protegido. En último término, las representaciones procesales del Gobierno y del Parlamento autonómicos consideran que la Ley 26/1995 vulnera sus competencias en materia de urbanismo.</w:t>
      </w:r>
    </w:p>
    <w:p w:rsidR="0025129F" w:rsidRDefault="0025129F" w:rsidP="0025129F">
      <w:pPr>
        <w:pStyle w:val="TextoNormal"/>
      </w:pPr>
      <w:r>
        <w:t xml:space="preserve">El Abogado del Estado discrepa de este planteamiento, que considera propio de una lectura inadecuada de la STC 102/1995. En este sentido, afirma, en primer lugar, que la STC 102/1995 ha confirmado, efectivamente, anterior jurisprudencia constitucional declarativa de que la titularidad del dominio público no confiere por sí misma competencia alguna sobre las distintas actividades que hayan de realizarse en aquél, por lo que la calificación como protegido de un espacio de la zona marítimo-terrestre corresponde a la Comunidad Autónoma en cuyo territorio se encuentre. Con esta premisa de partida, resulta posible, según la propia STC 102/1995, que el Estado realice en el mismo espacio físico otras actuaciones para las que resulte competente. Por último, sigue indicando el Abogado del Estado, el fundamento jurídico 20 de esta resolución justifica que, cuando exista un </w:t>
      </w:r>
      <w:r>
        <w:lastRenderedPageBreak/>
        <w:t>verdadero interés general nacional, puede el Estado desarrollar actividades de protección del espacio físico afectado, las cuales podrán concurrir con las que la Comunidad Autónoma decida realizar para la defensa del mismo. Es decir, la legitimidad de la intervención del Estado no se deriva de su titularidad demanial sobre el espacio en que se localiza el ámbito físico protegido, sino de la existencia de un interés general nacional en su protección. Tal situación es la que existe en este supuesto, dada la importancia que la zona protegida tiene en el contexto de los humedales de importancia internacional y también como territorio específico para la protección de las aves, según pone de relieve el preámbulo de la propia Ley 26/1995.</w:t>
      </w:r>
    </w:p>
    <w:p w:rsidR="0025129F" w:rsidRDefault="0025129F" w:rsidP="0025129F">
      <w:pPr>
        <w:pStyle w:val="TextoNormal"/>
      </w:pPr>
    </w:p>
    <w:p w:rsidR="0025129F" w:rsidRDefault="0025129F" w:rsidP="0025129F">
      <w:pPr>
        <w:pStyle w:val="TextoNormal"/>
      </w:pPr>
      <w:r w:rsidRPr="0025129F">
        <w:rPr>
          <w:rStyle w:val="NumeroAFNegritaCaracter"/>
        </w:rPr>
        <w:t>8</w:t>
      </w:r>
      <w:r>
        <w:t>. Planteada la discrepancia competencial de este recurso de inconstitucionalidad en los términos expuestos, será de señalar ante todo:</w:t>
      </w:r>
    </w:p>
    <w:p w:rsidR="0025129F" w:rsidRDefault="0025129F" w:rsidP="0025129F">
      <w:pPr>
        <w:pStyle w:val="TextoNormal"/>
      </w:pPr>
      <w:r>
        <w:t>a) Que aunque la Ley 26/1995, aquí impugnada, se dicta con expresa invocación del art.  21.3 de la Ley 4/1989, de 27 de marzo, y este precepto ha sido derogado por la Disposición derogatoria primera de la Ley 41/1997, de 5 de noviembre, por la que se modifica la Ley 4/1989, de modo que, en la actualidad, la declaración y gestión de los espacios naturales protegidos situados en la zona marítimo-terrestre ya no se atribuye en todo caso al Estado, tal derogación no arrastra automáticamente la de todas las normas dictadas a su amparo, de suerte que no cabe entender que este recurso haya perdido su objeto (STC 195/1998, de 1 de octubre, FJ 1).</w:t>
      </w:r>
    </w:p>
    <w:p w:rsidR="0025129F" w:rsidRDefault="0025129F" w:rsidP="0025129F">
      <w:pPr>
        <w:pStyle w:val="TextoNormal"/>
      </w:pPr>
      <w:r>
        <w:t>b) Que las cuestiones planteadas en estos autos han sido ya resueltas con carácter general en la STC 102/1995, de 26 de junio, que decidió el recurso de inconstitucionalidad interpuesto contra la Ley 4/1989, de 27 de marzo, sobre conservación de los espacios naturales y de la flora y fauna silvestres y, más concretamente, en la STC 195/1998, de 1 de octubre, que pronunció la inconstitucionalidad de la Ley 6/1992, de 27 de marzo, por la que se declaraba reserva natural las Marismas de Santoña y Noja, dictada con invocación de lo establecido en los arts. 14 y 21.3 de la Ley 4/1989, y que presenta una profunda analogía con la Ley 26/1995 impugnada en los recursos aquí acumulados.</w:t>
      </w:r>
    </w:p>
    <w:p w:rsidR="0025129F" w:rsidRDefault="0025129F" w:rsidP="0025129F">
      <w:pPr>
        <w:pStyle w:val="TextoNormal"/>
      </w:pPr>
    </w:p>
    <w:p w:rsidR="0025129F" w:rsidRDefault="0025129F" w:rsidP="0025129F">
      <w:pPr>
        <w:pStyle w:val="TextoNormal"/>
      </w:pPr>
      <w:r w:rsidRPr="0025129F">
        <w:rPr>
          <w:rStyle w:val="NumeroAFNegritaCaracter"/>
        </w:rPr>
        <w:t>9</w:t>
      </w:r>
      <w:r>
        <w:t>. Así las cosas, bastará con sintetizar brevemente los criterios de las mencionadas Sentencias que deben ser tenidos en cuenta y constituir, así, el canon de constitucionalidad que debe servir para la resolución de estos recursos acumulados:</w:t>
      </w:r>
    </w:p>
    <w:p w:rsidR="0025129F" w:rsidRDefault="0025129F" w:rsidP="0025129F">
      <w:pPr>
        <w:pStyle w:val="TextoNormal"/>
      </w:pPr>
      <w:r>
        <w:t>a) "Este Tribunal ha venido advirtiendo que, a pesar de la íntima relación existente entre las materias relativas al medio ambiente y a los espacios naturales protegidos en nuestro ordenamiento las actividades públicas relativas a estos objetos constituyen ámbitos materiales distintos, dotados de diferente distribución de funciones. Concretamente, se ha dicho que la materia medio ambiente tiene un alcance genérico, tanto en su objeto como en el tipo de protección, respecto de la materia de espacios naturales protegidos, que se refiere únicamente a un elemento u objeto de aquéllas -el soporte topográfico del medio ambiente, en palabras de la STC 102/1995- y a una determinada forma de actuación ... Hecha esta distinción elemental, en diversas resoluciones este Tribunal ha precisado que la declaración de espacios naturales protegidos y la consiguiente delimitación de su ámbito territorial se encuadra con toda naturalidad en la materia de espacios naturales protegidos (por todas, STC 69/1992, FJ 1)" (STC 195/1998, de 1 de octubre, FJ 3).</w:t>
      </w:r>
    </w:p>
    <w:p w:rsidR="0025129F" w:rsidRDefault="0025129F" w:rsidP="0025129F">
      <w:pPr>
        <w:pStyle w:val="TextoNormal"/>
      </w:pPr>
      <w:r>
        <w:t xml:space="preserve">b) "La declaración de que un espacio natural merece la protección prevista constitucionalmente, es un acto netamente ejecutivo que consiste en aplicar la legalidad, individualizándola y, por tanto, es también un acto materialmente administrativo. En tal sentido, ha de considerarse correcto el principio del cual parte la Ley, donde se dice al respecto que la </w:t>
      </w:r>
      <w:r>
        <w:lastRenderedPageBreak/>
        <w:t>declaración de lo que sean parques, reservas naturales, monumentos naturales y paisajes protegidos y su gestión corresponderá a las Comunidades Autónomas en cuyo ámbito territorial se encuentren" (STC 102/1995, FJ 18).</w:t>
      </w:r>
    </w:p>
    <w:p w:rsidR="0025129F" w:rsidRDefault="0025129F" w:rsidP="0025129F">
      <w:pPr>
        <w:pStyle w:val="TextoNormal"/>
      </w:pPr>
      <w:r>
        <w:t>c) "Es opinión pacífica que la titularidad del dominio público no confiere, por sí misma, competencia alguna. Tampoco tiene tal virtud taumatúrgica la importancia de estos bienes para el interés general ... Es la naturaleza jurídica de la actividad el único criterio válido para juzgar de su idoneidad constitucional ... En consecuencia, la calificación de un segmento o trozo de la zona marítimo-terrestre como parte de un espacio natural protegible corresponde también a la Comunidad Autónoma en cuyo territorio se encuentre. Lo mismo cabe decir de la gestión, a los solos efectos de la protección del medio ambiente, sin que la posibilidad de interferencias recíprocas, fenómeno común en el ejercicio de competencias concurrentes sobre el mismo objeto para diferentes funciones, autorice a unificarlas mediante la absorción de la una por la otra" (STC 102/1995, FJ 20).</w:t>
      </w:r>
    </w:p>
    <w:p w:rsidR="0025129F" w:rsidRDefault="0025129F" w:rsidP="0025129F">
      <w:pPr>
        <w:pStyle w:val="TextoNormal"/>
      </w:pPr>
      <w:r>
        <w:t>d) Y tampoco el interés general nacional de los humedales objeto de la Ley 26/1995 tiene relevancia para alterar el reparto competencial establecido constitucional y estatutariamente pues, como ya se ha dicho, tal interés carece de "virtud taumatúrgica" para transformar la naturaleza jurídica de la actividad. Y así, será de recordar que la STC 195/1998 decidió la inconstitucionalidad de la Ley 6/1992 que declaraba reserva natural las Marismas de Santoña y Noja, ámbitos estos en los que el interés general trascendía "el plano nacional como lo demuestra el contenido de la Sentencia de 2 de agosto de 1993 del Tribunal de Justicia de las Comunidades Europeas por la que se condena al Reino de España, al no haber clasificado las Marismas de Santoña como zona de protección especial y no haber adoptado las medidas adecuadas para evitar la contaminación o el deterioro de los hábitats de dicha zona" (FJ 5).</w:t>
      </w:r>
    </w:p>
    <w:p w:rsidR="0025129F" w:rsidRDefault="0025129F" w:rsidP="0025129F">
      <w:pPr>
        <w:pStyle w:val="TextoNormal"/>
      </w:pPr>
    </w:p>
    <w:p w:rsidR="0025129F" w:rsidRDefault="0025129F" w:rsidP="0025129F">
      <w:pPr>
        <w:pStyle w:val="TextoNormal"/>
      </w:pPr>
      <w:r w:rsidRPr="0025129F">
        <w:rPr>
          <w:rStyle w:val="NumeroAFNegritaCaracter"/>
        </w:rPr>
        <w:t>10</w:t>
      </w:r>
      <w:r>
        <w:t>. De acuerdo con la doctrina constitucional reproducida en el fundamento jurídico precedente, la Ley recurrida, en cuanto que procede a declarar reserva natural a un determinado espacio físico, estableciendo el régimen jurídico de protección que le es propio, se incardina, desde la perspectiva del orden constitucional de distribución de competencias, en la materia de espacios naturales protegidos.</w:t>
      </w:r>
    </w:p>
    <w:p w:rsidR="0025129F" w:rsidRDefault="0025129F" w:rsidP="0025129F">
      <w:pPr>
        <w:pStyle w:val="TextoNormal"/>
      </w:pPr>
      <w:r>
        <w:t>Pues bien, la Comunidad Autónoma de las Illes Balears ya había asumido, en el momento de la promoción de los recursos de inconstitucionalidad, la competencia de desarrollo legislativo y la ejecución, en el marco de la legislación básica del Estado, en materia de espacios naturales protegidos y de normas adicionales de protección del medio ambiente (art.  11.5 y 13 EAIB, en su primitiva redacción), habiéndose producido en el momento presente, que es el que debe servir de referencia para precisar las competencias determinantes del enjuiciamiento, una modificación estatutaria, por virtud de la Ley Orgánica 3/1999, de 8 de enero, como consecuencia de la cual el art. 11.7 EAIB, en aquel marco, atribuye a la Comunidad Autónoma la competencia en materia de "Protección del medio ambiente. Normas adicionales de protección. Espacios naturales protegidos. Ecología", lo que no implica alteración de la atribución ya expresada, por lo que carece de consecuencias prácticas.</w:t>
      </w:r>
    </w:p>
    <w:p w:rsidR="0025129F" w:rsidRDefault="0025129F" w:rsidP="0025129F">
      <w:pPr>
        <w:pStyle w:val="TextoNormal"/>
      </w:pPr>
      <w:r>
        <w:t xml:space="preserve">En definitiva, habida cuenta de la competencia reseñada, es claro que la declaración como reserva natural del espacio físico integrado por las Salinas de Ibiza ("Ses Salines"), las Islas des Freus y las Salinas de Formentera, corresponde a la Comunidad Autónoma de las Illes Balears, sin que pueda oponerse nada en contrario por el hecho de que dicho espacio se localice en todo o en parte en el dominio público marítimo-terrestre, en la medida </w:t>
      </w:r>
      <w:r>
        <w:lastRenderedPageBreak/>
        <w:t>en que, según venimos insistiendo, aquella declaración corresponde a la Comunidad Autónoma en cuyo territorio se sitúa la zona protegida incluso en tales supuestos.</w:t>
      </w:r>
    </w:p>
    <w:p w:rsidR="0025129F" w:rsidRDefault="0025129F" w:rsidP="0025129F">
      <w:pPr>
        <w:pStyle w:val="TextoNormal"/>
      </w:pPr>
      <w:r>
        <w:t>Ello determina, ante todo, la declaración de inconstitucionalidad del art. 1 de la Ley 26/1995, que establece su objeto y contiene la calificación antedicha. El resto del articulado de la Ley se refiere a los siguientes aspectos: ámbito territorial (art.  2), área de influencia socioeconómica (art. 3), régimen jurídico de protección (art. 4), declaración de utilidad pública (art. 5), órganos de gestión (art. 6), regulación del Patronato como órgano de colaboración en la gestión (art. 7), instrumentos de programación y planificación (art. 8), régimen económico (art.  9), régimen sancionador (art. 10), acción pública (art. 11), Plan rector de uso y gestión (Disposición adicional primera), constitución del Patronato (Disposición adicional segunda), convenios de colaboración (Disposición adicional tercera) y habilitación al Gobierno para dictar las normas necesarias para la aplicación y desarrollo de la Ley (Disposición final primera). Todos ellos han de ser declarados también inconstitucionales pues toda la regulación "forma una unidad prácticamente inescindible con las normas que delimitan el ámbito territorial de dicha reserva ... que el legislador estatal ha concebido como un todo unitario. En efecto, los artículos que prevén los órganos de gobierno de la reserva natural, su régimen jurídico, su régimen financiero, o su régimen sancionador son una consecuencia directa e inmediata de esa declaración y delimitación de la reserva natural y mantienen con ella una conexión también directa e inmediata" (STC 195/1998, FJ 4).</w:t>
      </w:r>
    </w:p>
    <w:p w:rsidR="0025129F" w:rsidRDefault="0025129F" w:rsidP="0025129F">
      <w:pPr>
        <w:pStyle w:val="TextoNormal"/>
      </w:pPr>
    </w:p>
    <w:p w:rsidR="0025129F" w:rsidRDefault="0025129F" w:rsidP="0025129F">
      <w:pPr>
        <w:pStyle w:val="TextoNormal"/>
      </w:pPr>
      <w:r w:rsidRPr="0025129F">
        <w:rPr>
          <w:rStyle w:val="NumeroAFNegritaCaracter"/>
        </w:rPr>
        <w:t>11</w:t>
      </w:r>
      <w:r>
        <w:t>. Por último, debemos precisar el alcance que debemos otorgar a nuestro fallo en estos recursos de inconstitucionalidad.</w:t>
      </w:r>
    </w:p>
    <w:p w:rsidR="0025129F" w:rsidRDefault="0025129F" w:rsidP="0025129F">
      <w:pPr>
        <w:pStyle w:val="TextoNormal"/>
      </w:pPr>
      <w:r>
        <w:t>En la Sentencia 195/1998 a que acabamos de aludir declaramos que "en los procesos constitucionales como el presente en los que se dirimen conflictos competenciales entre el Estado y una Comunidad Autónoma, el objeto primordial de la Sentencia radica en la determinación de la titularidad de la competencia controvertida. Por ello, una vez alcanzada esta conclusión fundamental, deben evitarse al máximo los posibles perjuicios que esta declaración puede producir en el entramado de bienes, intereses y derechos afectados por la legislación que ha resultado objeto de la controversia: en el caso aquí enjuiciado, la protección, conservación, restauración y mejora del espacio natural ... Desde la perspectiva constitucional no pueden resultar indiferentes los efectos perjudiciales que, de forma transitoria pero no menos irreparable, pudiera tener su decisión sobre esta zona protegida. Por ello, en tanto la Comunidad Autónoma no ejerza la competencia que en esta Sentencia le reconocemos, la inmediata nulidad de la Ley 6/1992 podría provocar una desprotección medioambiental de la zona con graves perjuicios y perturbaciones a los intereses generales en juego y con afectación de situaciones y actuaciones jurídicas consolidadas" (STC 195/1998, FJ 5). Por ello, no se declaró la inmediata nulidad de la Ley impugnada, quedando diferidos sus efectos para el momento en que la Comunidad Autónoma dictase la pertinente disposición declarando espacio natural protegido al ámbito territorial delimitado en aquélla.</w:t>
      </w:r>
    </w:p>
    <w:p w:rsidR="0025129F" w:rsidRDefault="0025129F" w:rsidP="0025129F">
      <w:pPr>
        <w:pStyle w:val="TextoNormal"/>
      </w:pPr>
      <w:r>
        <w:t>Sin embargo, este caso no reclama un planteamiento similar, puesto que la Comunidad Autónoma de las Illes Balears ha adoptado medidas de protección ambiental de la zona afectada, algunas de las cuales son, incluso, anteriores a la promoción de estos recursos de inconstitucionalidad. Así, la Ley 5/1985, de 2 de mayo, de declaración de Ses Salines de Ibiza y Formentera e islotes intermedios como área natural de interés especial, la Ley 5/1988, de 11 de mayo, de declaración de S'estany d'es peix, de Formentera, como área natural de especial interés, la Ley 1/1991, de 30 de enero, de espacios naturales y de régi</w:t>
      </w:r>
      <w:r>
        <w:lastRenderedPageBreak/>
        <w:t>men urbanístico de las áreas de especial protección de las Illes Balears y la Ley 7/1992, de 23 de diciembre, de modificación de determinados artículos de la Ley 1/1991. De otro lado, recientemente, ha entrado en vigor la Ley 17/2001, de 19 de diciembre, de protección ambiental de Ses Salines de Ibiza y Formentera dirigida a tal protección y también "a los efectos de evitar que la eventual declaración de inconstitucionalidad de" la Ley 26/1995 "no deba comportar la pervivencia de sus efectos a falta de regulación propia, de acuerdo con la doctrina establecida por el Tribunal Constitucional en el fundamento 5" de la STC 195/1998.  Teniendo en cuenta la protección otorgada por estas leyes autonómicas, es claro que ninguna razón aparece para modular los efectos temporales de la nulidad de la Ley 26/1995.</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t>Ha decidido</w:t>
      </w:r>
    </w:p>
    <w:p w:rsidR="0025129F" w:rsidRDefault="0025129F" w:rsidP="0025129F">
      <w:pPr>
        <w:pStyle w:val="TextoNormalCentrado"/>
        <w:keepNext/>
      </w:pPr>
    </w:p>
    <w:p w:rsidR="0025129F" w:rsidRDefault="0025129F" w:rsidP="0025129F">
      <w:pPr>
        <w:pStyle w:val="TextoNormal"/>
      </w:pPr>
      <w:r>
        <w:t>Declarar inconstitucional y nula la Ley 26/1995, de 31 de julio, por la que se declara reserva natural las Salinas de Ibiza ("Ses Salines"), las Islas des Freus y las Salinas de Formentera.</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25129F">
      <w:pPr>
        <w:pStyle w:val="TextoNormal"/>
      </w:pPr>
      <w:r>
        <w:t>Dada en Madrid, a veinticinco de abril de dos mil dos.</w:t>
      </w:r>
    </w:p>
    <w:p w:rsidR="0025129F" w:rsidRDefault="0025129F">
      <w:pPr>
        <w:rPr>
          <w:rFonts w:ascii="Times New Roman" w:eastAsia="Times New Roman" w:hAnsi="Times New Roman" w:cs="Times New Roman"/>
          <w:sz w:val="24"/>
          <w:szCs w:val="24"/>
          <w:lang w:eastAsia="es-ES"/>
        </w:rPr>
      </w:pPr>
      <w:r>
        <w:br w:type="page"/>
      </w:r>
    </w:p>
    <w:p w:rsidR="0025129F" w:rsidRDefault="0025129F" w:rsidP="0025129F">
      <w:pPr>
        <w:pStyle w:val="TtuloResolucin"/>
      </w:pPr>
      <w:bookmarkStart w:id="101" w:name="SENTENCIA_2002_98"/>
      <w:r>
        <w:lastRenderedPageBreak/>
        <w:t>SENTENCIA 98/2002, de 29 de abril de 2002</w:t>
      </w:r>
    </w:p>
    <w:bookmarkEnd w:id="101"/>
    <w:p w:rsidR="0025129F" w:rsidRDefault="0025129F" w:rsidP="0025129F">
      <w:pPr>
        <w:pStyle w:val="TtuloResolucin"/>
      </w:pPr>
      <w:r>
        <w:t>Sala Primera</w:t>
      </w:r>
    </w:p>
    <w:p w:rsidR="0025129F" w:rsidRDefault="0025129F" w:rsidP="0025129F">
      <w:pPr>
        <w:pStyle w:val="TtuloResolucin"/>
      </w:pPr>
    </w:p>
    <w:p w:rsidR="0025129F" w:rsidRDefault="0025129F" w:rsidP="0025129F">
      <w:pPr>
        <w:pStyle w:val="TtuloBOE"/>
      </w:pPr>
      <w:r>
        <w:t>("BOE" núm. 122, de 22 de mayo de 2002)</w:t>
      </w:r>
    </w:p>
    <w:p w:rsidR="0025129F" w:rsidRDefault="0025129F" w:rsidP="0025129F">
      <w:pPr>
        <w:pStyle w:val="TtuloBOE"/>
      </w:pPr>
    </w:p>
    <w:p w:rsidR="0025129F" w:rsidRDefault="0025129F" w:rsidP="0025129F">
      <w:pPr>
        <w:pStyle w:val="SntesisDescriptiva"/>
      </w:pPr>
      <w:r>
        <w:t>ECLI:ES:TC:2002:98</w:t>
      </w:r>
    </w:p>
    <w:p w:rsidR="0025129F" w:rsidRDefault="0025129F" w:rsidP="0025129F">
      <w:pPr>
        <w:pStyle w:val="SntesisDescriptiva"/>
      </w:pPr>
    </w:p>
    <w:p w:rsidR="0025129F" w:rsidRDefault="0025129F" w:rsidP="0025129F">
      <w:pPr>
        <w:pStyle w:val="SntesisDescriptiva"/>
      </w:pPr>
      <w:r>
        <w:t>Recurso de amparo 2131/2001. Promovido por don Juan Vicente Marquina Lorenzo frente a los Autos de la Audiencia Provincial de Albacete que prorrogaron su prisión provisional, en una causa seguida por delito contra la salud pública.</w:t>
      </w:r>
    </w:p>
    <w:p w:rsidR="0025129F" w:rsidRDefault="0025129F" w:rsidP="0025129F">
      <w:pPr>
        <w:pStyle w:val="SntesisDescriptiva"/>
      </w:pPr>
    </w:p>
    <w:p w:rsidR="0025129F" w:rsidRDefault="0025129F" w:rsidP="0025129F">
      <w:pPr>
        <w:pStyle w:val="SntesisAnaltica"/>
      </w:pPr>
      <w:r>
        <w:t>Vulneración del derecho a la libertad personal: prisión provisional prorrogada tardíamente, no pudiendo suspender el cómputo del plazo legal máximo las dilaciones debidas a terceros ni declaradas en su momento.</w:t>
      </w:r>
    </w:p>
    <w:p w:rsidR="0025129F" w:rsidRDefault="0025129F" w:rsidP="0025129F">
      <w:pPr>
        <w:pStyle w:val="SntesisAnaltica"/>
      </w:pPr>
    </w:p>
    <w:p w:rsidR="0025129F" w:rsidRDefault="0025129F" w:rsidP="0025129F">
      <w:pPr>
        <w:pStyle w:val="Extracto"/>
      </w:pPr>
      <w:r>
        <w:t>1.</w:t>
      </w:r>
      <w:r>
        <w:tab/>
        <w:t>En el presente caso, el recurrente había permanecido en prisión un tiempo real superior al plazo máximo de dos años, lo que permite afirmar que la Audiencia Provincial no actuó con la «especial diligencia» que le exige el art. 504, párrafo tercero, LECrim, puesto que ni acordó expresamente, mediante una resolución específica y motivada, la suspensión del plazo en el momento en que las dilaciones se produjeron (esto es, cuando el otro acusado no compareció y no se pudo celebrar el juicio), ni decretó la prórroga antes del transcurso del plazo de dos años, habiendo podido hacerlo [FJ 6].</w:t>
      </w:r>
    </w:p>
    <w:p w:rsidR="0025129F" w:rsidRDefault="0025129F" w:rsidP="0025129F">
      <w:pPr>
        <w:pStyle w:val="Extracto"/>
      </w:pPr>
    </w:p>
    <w:p w:rsidR="0025129F" w:rsidRDefault="0025129F" w:rsidP="0025129F">
      <w:pPr>
        <w:pStyle w:val="Extracto"/>
      </w:pPr>
      <w:r>
        <w:t>2.</w:t>
      </w:r>
      <w:r>
        <w:tab/>
        <w:t>La superación de los plazos legales máximos iniciales y de prórroga de la prisión provisional supone una limitación desproporcionada del derecho a la libertad (SSTC 98/1998, 28/2001) [FJ 4].</w:t>
      </w:r>
    </w:p>
    <w:p w:rsidR="0025129F" w:rsidRDefault="0025129F" w:rsidP="0025129F">
      <w:pPr>
        <w:pStyle w:val="Extracto"/>
      </w:pPr>
    </w:p>
    <w:p w:rsidR="0025129F" w:rsidRDefault="0025129F" w:rsidP="0025129F">
      <w:pPr>
        <w:pStyle w:val="Extracto"/>
      </w:pPr>
      <w:r>
        <w:t>3.</w:t>
      </w:r>
      <w:r>
        <w:tab/>
        <w:t>El período de tiempo de suspensión del cómputo del plazo legal máximo de prisión provisional, cuando la causa sufriere dilaciones no imputables a la Administración de Justicia, ha de corresponderse exactamente con la duración de la dilación (STC 127/1984) [FJ 4].</w:t>
      </w:r>
    </w:p>
    <w:p w:rsidR="0025129F" w:rsidRDefault="0025129F" w:rsidP="0025129F">
      <w:pPr>
        <w:pStyle w:val="Extracto"/>
      </w:pPr>
    </w:p>
    <w:p w:rsidR="0025129F" w:rsidRDefault="0025129F" w:rsidP="0025129F">
      <w:pPr>
        <w:pStyle w:val="Extracto"/>
      </w:pPr>
      <w:r>
        <w:t>4.</w:t>
      </w:r>
      <w:r>
        <w:tab/>
        <w:t>La prórroga o ampliación del plazo inicial de la prisión provisional ha de adoptarse antes de que el plazo inicial haya expirado (SSTC 56/1997, 305/2000) [ FJ 4].</w:t>
      </w:r>
    </w:p>
    <w:p w:rsidR="0025129F" w:rsidRDefault="0025129F" w:rsidP="0025129F">
      <w:pPr>
        <w:pStyle w:val="Extracto"/>
      </w:pPr>
    </w:p>
    <w:p w:rsidR="0025129F" w:rsidRDefault="0025129F" w:rsidP="0025129F">
      <w:pPr>
        <w:pStyle w:val="Extracto"/>
      </w:pPr>
      <w:r>
        <w:t>5.</w:t>
      </w:r>
      <w:r>
        <w:tab/>
        <w:t>Nuestra jurisprudencia, en consonancia con la del Tribunal Europeo de Derechos Humanos, ha asumido el requisito de que la prisión provisional esté sometida a un «plazo razonable» (SSTC 8/1990, 206/1991, 305/2000) [FJ 4].</w:t>
      </w:r>
    </w:p>
    <w:p w:rsidR="0025129F" w:rsidRDefault="0025129F" w:rsidP="0025129F">
      <w:pPr>
        <w:pStyle w:val="Extracto"/>
      </w:pPr>
    </w:p>
    <w:p w:rsidR="0025129F" w:rsidRDefault="0025129F" w:rsidP="0025129F">
      <w:pPr>
        <w:pStyle w:val="Extracto"/>
      </w:pPr>
    </w:p>
    <w:p w:rsidR="0025129F" w:rsidRDefault="0025129F" w:rsidP="0025129F">
      <w:pPr>
        <w:pStyle w:val="TextoNormal"/>
      </w:pPr>
      <w: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0025129F" w:rsidRDefault="0025129F" w:rsidP="0025129F">
      <w:pPr>
        <w:pStyle w:val="TextoNormal"/>
      </w:pPr>
    </w:p>
    <w:p w:rsidR="0025129F" w:rsidRDefault="0025129F" w:rsidP="0025129F">
      <w:pPr>
        <w:pStyle w:val="TextoNormalCentrado"/>
        <w:keepNext/>
      </w:pPr>
      <w:r>
        <w:lastRenderedPageBreak/>
        <w:t>EN NOMBRE DEL REY</w:t>
      </w:r>
    </w:p>
    <w:p w:rsidR="0025129F" w:rsidRDefault="0025129F" w:rsidP="0025129F">
      <w:pPr>
        <w:pStyle w:val="TextoNormalCentrado"/>
        <w:keepNext/>
      </w:pPr>
    </w:p>
    <w:p w:rsidR="0025129F" w:rsidRDefault="0025129F" w:rsidP="0025129F">
      <w:pPr>
        <w:pStyle w:val="TextoNormalCentrado"/>
        <w:keepNext/>
      </w:pPr>
    </w:p>
    <w:p w:rsidR="0025129F" w:rsidRDefault="0025129F" w:rsidP="0025129F">
      <w:pPr>
        <w:pStyle w:val="TextoNormal"/>
      </w:pPr>
      <w:r>
        <w:t>la siguiente</w:t>
      </w:r>
    </w:p>
    <w:p w:rsidR="0025129F" w:rsidRDefault="0025129F" w:rsidP="0025129F">
      <w:pPr>
        <w:pStyle w:val="TextoNormal"/>
      </w:pPr>
    </w:p>
    <w:p w:rsidR="0025129F" w:rsidRDefault="0025129F" w:rsidP="0025129F">
      <w:pPr>
        <w:pStyle w:val="TextoNormalCentrado"/>
        <w:keepNext/>
      </w:pPr>
      <w:r>
        <w:t>SENTENCIA</w:t>
      </w:r>
    </w:p>
    <w:p w:rsidR="0025129F" w:rsidRDefault="0025129F" w:rsidP="0025129F">
      <w:pPr>
        <w:pStyle w:val="TextoNormalCentrado"/>
        <w:keepNext/>
      </w:pPr>
    </w:p>
    <w:p w:rsidR="0025129F" w:rsidRDefault="0025129F" w:rsidP="0025129F">
      <w:pPr>
        <w:pStyle w:val="TextoNormal"/>
      </w:pPr>
      <w:r>
        <w:t>En el recurso de amparo núm. 2131-2001 (demanda núm. 938-A-2001), promovido por don Juan Vicente Marquina Lorenzo, representado por el Procurador de los Tribunales don Fernando Pérez Cruz y asistido por el Abogado don Francisco Del Campo López, contra Auto de la Audiencia Provincial de Albacete, Sección Primera, de 20 de marzo de 2001. Ha intervenido el Ministerio Fiscal. Ha sido Ponente el Magistrado don Javier Delgado Barrio, quien expresa el parecer de la Sala.</w:t>
      </w:r>
    </w:p>
    <w:p w:rsidR="0025129F" w:rsidRDefault="0025129F" w:rsidP="0025129F">
      <w:pPr>
        <w:pStyle w:val="TextoNormal"/>
      </w:pPr>
    </w:p>
    <w:p w:rsidR="0025129F" w:rsidRDefault="0025129F" w:rsidP="0025129F">
      <w:pPr>
        <w:pStyle w:val="TextoNormalNegritaCentrado"/>
        <w:keepNext/>
      </w:pPr>
      <w:r>
        <w:t>I. Antecedentes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Mediante escrito que tuvo su entrada en este Tribunal el día 14 de abril de 2001, el Procurador de los Tribunales don Fernando Pérez Cruz, en nombre y representación de don Juan Vicente Marquina Lorenzo, formula demanda de amparo contra el Auto de la Sección Primera de la Audiencia Provincial de Albacete, de fecha 20 de marzo de 2001, que confirma en súplica el de 8 de marzo de 2001, por el que se acordaba mantener la situación de prisión provisional del aquí demandante.</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El recurso tiene su origen en los hechos que seguidamente se exponen en lo que concierne al amparo solicitado: </w:t>
      </w:r>
    </w:p>
    <w:p w:rsidR="0025129F" w:rsidRDefault="0025129F" w:rsidP="0025129F">
      <w:pPr>
        <w:pStyle w:val="TextoNormal"/>
      </w:pPr>
      <w:r>
        <w:t xml:space="preserve">a) El recurrente se encontraba en prisión provisional, de forma ininterrumpida, desde el día 2 de marzo de 1999. La medida fue acordada en el curso de un proceso en el que se le imputaba un delito contra la salud pública por el que el Ministerio Fiscal solicitaba una pena de once años de prisión. </w:t>
      </w:r>
    </w:p>
    <w:p w:rsidR="0025129F" w:rsidRDefault="0025129F" w:rsidP="0025129F">
      <w:pPr>
        <w:pStyle w:val="TextoNormal"/>
      </w:pPr>
      <w:r>
        <w:t xml:space="preserve">b) El día 3 de marzo de 2001, solicitó su inmediata puesta en libertad, al haber transcurrido el plazo máximo de dos años previsto en el art. 504, párrafo cuarto LECrim, sin haberse acordado la prórroga mediante Auto, como exige el citado precepto. </w:t>
      </w:r>
    </w:p>
    <w:p w:rsidR="0025129F" w:rsidRDefault="0025129F" w:rsidP="0025129F">
      <w:pPr>
        <w:pStyle w:val="TextoNormal"/>
      </w:pPr>
      <w:r>
        <w:t xml:space="preserve">c) Posteriormente, el día 8 de marzo de 2001, la Sección Primera de la Audiencia Provincial de Albacete dicta dos Autos. </w:t>
      </w:r>
    </w:p>
    <w:p w:rsidR="0025129F" w:rsidRDefault="0025129F" w:rsidP="0025129F">
      <w:pPr>
        <w:pStyle w:val="TextoNormal"/>
      </w:pPr>
      <w:r>
        <w:t>En el primero de ellos decreta la prórroga de la prisión provisional. Se plantea el Tribunal, en primer lugar, si ha transcurrido el plazo máximo previsto en el artículo 504 LECrim -en cuyo caso no cabría la prórroga y procedería la libertad provisional- llegando a la conclusión de que dicho plazo no ha finalizado, pues aunque el recurrente llevaba más de dos años en prisión, el art. 504 LECrim dispone que "no se tendrá en cuenta, para el cómputo de los plazos establecidos en este artículo, el tiempo en que la causa sufriere dilaciones no imputables a la Administración de Justicia". Y en este caso "hay que descontar al menos el tiempo que media entre la fecha inicial de señalamiento para el juicio (el día 24 de enero de 2001) en el que no se pudo celebrar por incomparecencia de uno de los acusados debidamente citado y la fecha de nuevo señalamiento el día 29 de marzo de 2001, ya que la dilación durante este periodo no es imputable a la Administración de Justicia". Por tanto, al considerar que no ha transcurrido el plazo máximo de prisión provisio</w:t>
      </w:r>
      <w:r>
        <w:lastRenderedPageBreak/>
        <w:t xml:space="preserve">nal, entra a resolver, en segundo término, sobre la procedencia de la prórroga y la acuerda "habida cuenta del fundado temor de que el acusado se sustraiga a la acción de la justicia e impida su enjuiciamiento en el caso de que obtuviera la libertad provisional, ya que existe riesgo de fuga, pues se solicita su condena a una pena de once años. Y, además, como ya se ha expresado anteriormente, concurren todos los requisitos del artículo 504 de la Ley de Enjuiciamiento Criminal para decretar y mantener la prisión provisional". </w:t>
      </w:r>
    </w:p>
    <w:p w:rsidR="0025129F" w:rsidRDefault="0025129F" w:rsidP="0025129F">
      <w:pPr>
        <w:pStyle w:val="TextoNormal"/>
      </w:pPr>
      <w:r>
        <w:t xml:space="preserve">En el segundo de los Autos, la Audiencia acuerda denegar la solicitud de libertad provisional y mantener la situación de prisión provisional comunicada y sin fianza, "teniendo en cuenta las circunstancias personales del acusado y, sobre todo, que se solicita la imposición de una pena de once años, por lo que existe el temor, fundado a juicio de esta Sala, de que si se le diera libertad se sustraería a la acción de la Justicia". "Por otro lado, no ha concluido el plazo máximo de dos años de prisión provisional previsto en el art. 504 de la Ley de Enjuiciamiento Criminal (como se expresa más detalladamente en el Auto de esta misma fecha en el que tras la oportuna comparecencia y a petición fiscal se acuerda la prórroga del plazo) ya que no pueden computarse a cabo en dicho plazo las dilaciones no imputables a la Administración de Justicia, como la debida a la falta de comparencia a juicio de uno de los acusados debidamente citado". </w:t>
      </w:r>
    </w:p>
    <w:p w:rsidR="0025129F" w:rsidRDefault="0025129F" w:rsidP="0025129F">
      <w:pPr>
        <w:pStyle w:val="TextoNormal"/>
      </w:pPr>
      <w:r>
        <w:t>d) Contra las anteriores resoluciones, se interpone recurso de súplica, desestimado por Auto de fecha 20 de marzo de 2001. Se pronuncia la Audiencia, en primer lugar, sobre la finalización del plazo máximo de prisión, afirmando de nuevo que el mismo no ha concluido, porque "no se computan para el transcurso de dicho plazo las dilaciones no imputables a la Administración de Justicia, por tanto el transcurso del mismo se encuentra interrumpido desde el día en que no se pudo celebrar el juicio por la incomparecencia de uno de los acusados, a pesar de ser citado, no prosiguiendo el plazo al menos hasta el día que se ha señalado nuevamente para el inicio del juicio". En segundo lugar, y en cuanto a la procedencia de la prórroga, entiende la Sala "que serían insuficientes otras medidas cautelares para asegurar su presencia en juicio y la efectividad de la acción de la justicia, pues, aun dejando de lado la alarma social producida por un delito como el imputado al recurrente y la frecuencia con la que desgraciadamente se cometen estos delitos en esta provincia y aunque se tenga en cuenta el arraigo del mismo recurrente, se estima el acusado carece de una profesión u otra circunstancia que arraigue especialmente en este lugar, por lo que existe el riesgo de fuga ante el riesgo de obtener una larga condena, pues se le acusa de un delito de tráfico de cocaína y se pide para él la pena de prisión durante once años, con la accesoria de inhabilitación especial para el ejercicio del derecho de sufragio pasivo durante el tiempo de la condena, más multa de 40 millones de pesetas, lo que hace temer a la Sala que de obtener la libertad no sería posible celebrar el juicio".</w:t>
      </w:r>
    </w:p>
    <w:p w:rsidR="0025129F" w:rsidRDefault="0025129F" w:rsidP="0025129F">
      <w:pPr>
        <w:pStyle w:val="TextoNormal"/>
      </w:pPr>
    </w:p>
    <w:p w:rsidR="0025129F" w:rsidRDefault="0025129F" w:rsidP="0025129F">
      <w:pPr>
        <w:pStyle w:val="TextoNormal"/>
      </w:pPr>
      <w:r w:rsidRPr="0025129F">
        <w:rPr>
          <w:rStyle w:val="NumeroAFNegritaCaracter"/>
        </w:rPr>
        <w:t>3</w:t>
      </w:r>
      <w:r>
        <w:t xml:space="preserve">. El recurrente fundamenta su demanda de amparo en la lesión del derecho fundamental a la libertad (art. 17 CE). Dicha lesión se habría producido, en primer lugar, por la falta de motivación de las resoluciones judiciales recurridas, al utilizar una motivación estereotipada, que no alcanza el mínimo constitucionalmente exigido, limitándose a realizar afirmaciones genéricas, aplicables a cualquier caso y no individualizadas y, conforme a la jurisprudencia de este Tribunal, el peligro de fuga no podía determinarse exclusivamente por relación al tipo de delito y a la gravedad de la pena impuesta, sino que el transcurso del tiempo obligaba a ponderar las circunstancias personales del imputado y las del caso concreto, lo que no hicieron los Autos recurridos. </w:t>
      </w:r>
    </w:p>
    <w:p w:rsidR="0025129F" w:rsidRDefault="0025129F" w:rsidP="0025129F">
      <w:pPr>
        <w:pStyle w:val="TextoNormal"/>
      </w:pPr>
      <w:r>
        <w:t xml:space="preserve">En segundo lugar, se alega que la prórroga se decretó una vez transcurrido el plazo de prisión provisional de dos años inicialmente acordado. Aunque la Sala pudo prorrogar la </w:t>
      </w:r>
      <w:r>
        <w:lastRenderedPageBreak/>
        <w:t>prisión provisional antes del transcurso de los dos años desde el inicio de la misma, no lo hizo. Sólo posteriormente, cuando el plazo ya se había agotado y se solicita la puesta en libertad, acuerda la prórroga, alegando que habían existido dilaciones no imputables a la Administración de Justicia (en concreto la incomparecencia de otro de los acusados el día del juicio) y que, por tanto, no se había agotado el plazo máximo legal. Con ello se estaría vulnerando el derecho a la libertad, conforme a la doctrina constitucional sobre la prisión provisional, pues la prórroga acordada fuera de plazo no puede subsanar la vulneración constitucional del derecho a la libertad ya producida por el órgano judicial.</w:t>
      </w:r>
    </w:p>
    <w:p w:rsidR="0025129F" w:rsidRDefault="0025129F" w:rsidP="0025129F">
      <w:pPr>
        <w:pStyle w:val="TextoNormal"/>
      </w:pPr>
    </w:p>
    <w:p w:rsidR="0025129F" w:rsidRDefault="0025129F" w:rsidP="0025129F">
      <w:pPr>
        <w:pStyle w:val="TextoNormal"/>
      </w:pPr>
      <w:r w:rsidRPr="0025129F">
        <w:rPr>
          <w:rStyle w:val="NumeroAFNegritaCaracter"/>
        </w:rPr>
        <w:t>4</w:t>
      </w:r>
      <w:r>
        <w:t>. Por providencia de 11 de febrero de 2002, la Sección Primera de este Tribunal acordó admitir a trámite la demanda de amparo, así como requerir a la Audiencia Provincial de Albacete para la remisión de testimonio de las actuaciones, interesando al mismo tiempo que se emplazara a quienes fueron parte en el procedimiento, con excepción del recurrente, para que pudieran comparecer en el proceso constitucional en el plazo de diez días.</w:t>
      </w:r>
    </w:p>
    <w:p w:rsidR="0025129F" w:rsidRDefault="0025129F" w:rsidP="0025129F">
      <w:pPr>
        <w:pStyle w:val="TextoNormal"/>
      </w:pPr>
    </w:p>
    <w:p w:rsidR="0025129F" w:rsidRDefault="0025129F" w:rsidP="0025129F">
      <w:pPr>
        <w:pStyle w:val="TextoNormal"/>
      </w:pPr>
      <w:r w:rsidRPr="0025129F">
        <w:rPr>
          <w:rStyle w:val="NumeroAFNegritaCaracter"/>
        </w:rPr>
        <w:t>5</w:t>
      </w:r>
      <w:r>
        <w:t>. En la misma providencia se acordó formar la correspondiente pieza separada de suspensión. Mediante nueva providencia de la misma fecha se concedió, en cumplimiento de lo previsto en el art. 56 LOTC, un plazo común de tres días al recurrente en amparo y al Ministerio Fiscal para formular alegaciones en relación con la suspensión interesada, trámite este en el que la representación procesal del recurrente indica que, con fecha 14 de julio de 2001, la Sección Primera de la Audiencia Provincial de Albacete dictó Sentencia condenatoria del ahora recurrente en amparo, por lo que entiende que el incidente de suspensión carece ya de fundamento y solicita que se deje sin efecto. A la vista de lo cual, mediante providencia de 4 de marzo de 2002, la Sección Primera de este Tribunal acuerda acceder a lo solicitado y archivar sin más trámite la pieza de suspensión.</w:t>
      </w:r>
    </w:p>
    <w:p w:rsidR="0025129F" w:rsidRDefault="0025129F" w:rsidP="0025129F">
      <w:pPr>
        <w:pStyle w:val="TextoNormal"/>
      </w:pPr>
    </w:p>
    <w:p w:rsidR="0025129F" w:rsidRDefault="0025129F" w:rsidP="0025129F">
      <w:pPr>
        <w:pStyle w:val="TextoNormal"/>
      </w:pPr>
      <w:r w:rsidRPr="0025129F">
        <w:rPr>
          <w:rStyle w:val="NumeroAFNegritaCaracter"/>
        </w:rPr>
        <w:t>6</w:t>
      </w:r>
      <w:r>
        <w:t>. Mediante providencia de fecha 7 de marzo de 2002, la Sala Primera del Tribunal Constitucional, haciendo uso de la facultad que le confiere el art. 52.2 LOTC, acordó sustituir el trámite de alegaciones por el de vista oral y señalar para su celebración el día veintidós de abril de 2002, a las diez horas.</w:t>
      </w:r>
    </w:p>
    <w:p w:rsidR="0025129F" w:rsidRDefault="0025129F" w:rsidP="0025129F">
      <w:pPr>
        <w:pStyle w:val="TextoNormal"/>
      </w:pPr>
    </w:p>
    <w:p w:rsidR="0025129F" w:rsidRDefault="0025129F" w:rsidP="0025129F">
      <w:pPr>
        <w:pStyle w:val="TextoNormal"/>
      </w:pPr>
      <w:r w:rsidRPr="0025129F">
        <w:rPr>
          <w:rStyle w:val="NumeroAFNegritaCaracter"/>
        </w:rPr>
        <w:t>7</w:t>
      </w:r>
      <w:r>
        <w:t xml:space="preserve">. El día señalado se celebró la vista oral. Abierta la sesión, y tras el resumen de los antecedentes del recurso de amparo llevado a cabo por el Secretario de Justicia, se concedió la palabra al Letrado del recurrente, quien se ratificó íntegramente en las alegaciones expuestas en la demanda de amparo, insistiendo especialmente en que el mantenimiento en prisión provisional, una vez transcurrido el plazo máximo y sin haber acordado la prórroga de tal situación, supone una limitación desproporcionada del derecho a la libertad, vulneradora del art. 17.1 y 4 CE, que no cabe subsanar a posteriori. Respecto de las dilaciones de la causa, que la Audiencia invoca para suspender el cómputo del plazo, recuerda que se produjeron hasta tres suspensiones del juicio debidas a la incomparecencia de otros coencausados, respecto de los que no se había acordado el mantenimiento en prisión pese a lo elevado de las penas solicitadas y que el órgano judicial incumplió con el deber de celeridad que le incumbía, deber especialmente intenso en las causas con preso. </w:t>
      </w:r>
    </w:p>
    <w:p w:rsidR="0025129F" w:rsidRDefault="0025129F" w:rsidP="0025129F">
      <w:pPr>
        <w:pStyle w:val="TextoNormal"/>
      </w:pPr>
      <w:r>
        <w:t xml:space="preserve">Concedida la palabra al Ministerio Fiscal, solicita la estimación del amparo en cuanto a la extemporaneidad de la prórroga de la prisión decidida por la Audiencia Provincial de Albacete, por entender que desde el día 2 de marzo de 2001 el mantenimiento en prisión, sin haber acordado previamente tal prórroga, supone una vulneración del art. 17 CE. </w:t>
      </w:r>
    </w:p>
    <w:p w:rsidR="0025129F" w:rsidRDefault="0025129F" w:rsidP="0025129F">
      <w:pPr>
        <w:pStyle w:val="TextoNormal"/>
      </w:pPr>
      <w:r>
        <w:lastRenderedPageBreak/>
        <w:t xml:space="preserve">Alega el Fiscal que ni la Sala, ni el Ministerio Fiscal observaron la especial diligencia exigida por el art. 504, párrafo tercero, LECrim en su actuación, manteniendo siete días en prisión al recurrente (desde el 2 al 8 de marzo de 2001) sin cobertura alguna y sin que existiera necesidad de dilatar el plazo para decretar la prórroga, que - conforme a la jurisprudencia de este Tribunal- debe acordarse antes de la finalización del plazo inicialmente acordado. Considerar causa de interrupción del cómputo del citado plazo no imputable a la Administración de Justicia la incomparecencia al acto del juicio oral de otro coprocesado es una interpretación de la ley en sentido contrario al derecho fundamental, cuando debe primar el principio favor libertartis, pues tal dilación a quien no es imputable en ningún caso es al ahora recurrente en amparo. </w:t>
      </w:r>
    </w:p>
    <w:p w:rsidR="0025129F" w:rsidRDefault="0025129F" w:rsidP="0025129F">
      <w:pPr>
        <w:pStyle w:val="TextoNormal"/>
      </w:pPr>
      <w:r>
        <w:t xml:space="preserve">El otorgamiento del amparo por esta causa haría innecesario el examen de la alegación relativa a la falta de motivación. Pero para el supuesto de que la Sala no lo estimase así, entiende el Fiscal que debería rechazarse la alegación relativa a la falta de motivación de las resoluciones recurridas, pues éstas -especialmente el Auto de 20 de marzo de 2001- examinan no sólo el riesgo de fuga y la gravedad de la pena, sino también las circunstancias personales y de arraigo del recurrente que constan acreditadas en la pieza de situación, concluyendo -en la ponderación de unas y otras- que el riesgo de fuga y la gravedad de la pena se imponen sobre las circunstancias personales, pues la obligada consideración de éstas no implica necesariamente la puesta en libertad. </w:t>
      </w:r>
    </w:p>
    <w:p w:rsidR="0025129F" w:rsidRDefault="0025129F" w:rsidP="0025129F">
      <w:pPr>
        <w:pStyle w:val="TextoNormal"/>
      </w:pPr>
      <w:r>
        <w:t>A continuación el Presidente del Tribunal concedió de nuevo la palabra al Letrado del recurrente y al Ministerio Fiscal para rectificación de hechos o conceptos, manifestando ambos que no tenían nada que añadir.</w:t>
      </w:r>
    </w:p>
    <w:p w:rsidR="0025129F" w:rsidRDefault="0025129F" w:rsidP="0025129F">
      <w:pPr>
        <w:pStyle w:val="TextoNormal"/>
      </w:pPr>
    </w:p>
    <w:p w:rsidR="0025129F" w:rsidRDefault="0025129F" w:rsidP="0025129F">
      <w:pPr>
        <w:pStyle w:val="TextoNormal"/>
      </w:pPr>
      <w:r w:rsidRPr="0025129F">
        <w:rPr>
          <w:rStyle w:val="NumeroAFNegritaCaracter"/>
        </w:rPr>
        <w:t>8</w:t>
      </w:r>
      <w:r>
        <w:t>. Evacuados los informes y las intervenciones para rectificación de hechos y conceptos, el Presidente declaró el recurso visto para sentencia, levantándose la sesión.</w:t>
      </w:r>
    </w:p>
    <w:p w:rsidR="0025129F" w:rsidRDefault="0025129F" w:rsidP="0025129F">
      <w:pPr>
        <w:pStyle w:val="TextoNormal"/>
      </w:pPr>
    </w:p>
    <w:p w:rsidR="0025129F" w:rsidRDefault="0025129F" w:rsidP="0025129F">
      <w:pPr>
        <w:pStyle w:val="TextoNormalNegritaCentrado"/>
        <w:keepNext/>
      </w:pPr>
      <w:r>
        <w:t>II. Fundamentos jurídicos</w:t>
      </w:r>
    </w:p>
    <w:p w:rsidR="0025129F" w:rsidRDefault="0025129F" w:rsidP="0025129F">
      <w:pPr>
        <w:pStyle w:val="TextoNormalNegritaCentrado"/>
        <w:keepNext/>
      </w:pPr>
    </w:p>
    <w:p w:rsidR="0025129F" w:rsidRDefault="0025129F" w:rsidP="0025129F">
      <w:pPr>
        <w:pStyle w:val="TextoNormal"/>
      </w:pPr>
      <w:r w:rsidRPr="0025129F">
        <w:rPr>
          <w:rStyle w:val="NumeroAFNegritaCaracter"/>
        </w:rPr>
        <w:t>1</w:t>
      </w:r>
      <w:r>
        <w:t>. El presente recurso de amparo se dirige contra el Auto de la Sección Primera de la Audiencia Provincial de Albacete de fecha 20 de marzo de 2001, que confirma en súplica el de 8 de marzo de 2001, por el que se acuerda mantener la situación de prisión provisional del aquí recurrente. Alega éste que la prórroga se decretó una vez transcurrido el plazo de dos años inicialmente acordado (pues no procedía descontar las dilaciones imputables a la incomparecencia de otro de los procesados al juicio oral), con lo que se habría vulnerado su derecho a la libertad (art. 17.1 y 4 CE), pues la prórroga acordada fuera de plazo no puede subsanar la vulneración constitucional ya producida por el órgano judicial. Se denuncia, igualmente, la insuficiente motivación de las resoluciones judiciales recurridas.</w:t>
      </w:r>
    </w:p>
    <w:p w:rsidR="0025129F" w:rsidRDefault="0025129F" w:rsidP="0025129F">
      <w:pPr>
        <w:pStyle w:val="TextoNormal"/>
      </w:pPr>
    </w:p>
    <w:p w:rsidR="0025129F" w:rsidRDefault="0025129F" w:rsidP="0025129F">
      <w:pPr>
        <w:pStyle w:val="TextoNormal"/>
      </w:pPr>
      <w:r w:rsidRPr="0025129F">
        <w:rPr>
          <w:rStyle w:val="NumeroAFNegritaCaracter"/>
        </w:rPr>
        <w:t>2</w:t>
      </w:r>
      <w:r>
        <w:t xml:space="preserve">. Nuestro análisis debe comenzar por la alegación relativa al mantenimiento en prisión provisional del recurrente una vez transcurrido el plazo máximo de dos años inicialmente acordado, lo que nos llevará a pronunciarnos acerca de si ese plazo se había sobrepasado o no en el momento en que se acuerda la prórroga y si resulta admisible, desde la perspectiva que impone el derecho a la libertad, la interpretación y aplicación del párrafo sexto del art. 504 LECrim realizada por la Audiencia Provincial de Albacete, que entiende que no han de tenerse en cuenta en el cómputo del citado plazo las dilaciones imputables a la conducta de otro coprocesado, pues, de estimarse esta primera queja, sería innecesario nuestro pronunciamiento acerca de la suficiencia o no de la motivación del Auto en el que </w:t>
      </w:r>
      <w:r>
        <w:lastRenderedPageBreak/>
        <w:t>finalmente se decide la prórroga, ya que la lesión así producida no podría subsanarse por un intempestivo acuerdo de prórroga adoptado a posteriori (SSTC 98/1998, de 4 de mayo, FJ 4; 142/1998, de 29 de junio, FJ 3; 234/1998, de 1 de diciembre, FJ 2), estuviera o no suficientemente motivado.</w:t>
      </w:r>
    </w:p>
    <w:p w:rsidR="0025129F" w:rsidRDefault="0025129F" w:rsidP="0025129F">
      <w:pPr>
        <w:pStyle w:val="TextoNormal"/>
      </w:pPr>
    </w:p>
    <w:p w:rsidR="0025129F" w:rsidRDefault="0025129F" w:rsidP="0025129F">
      <w:pPr>
        <w:pStyle w:val="TextoNormal"/>
      </w:pPr>
      <w:r w:rsidRPr="0025129F">
        <w:rPr>
          <w:rStyle w:val="NumeroAFNegritaCaracter"/>
        </w:rPr>
        <w:t>3</w:t>
      </w:r>
      <w:r>
        <w:t>. Desde la STC 128/1995, de 26 de julio, este Tribunal viene declarando que la prisión provisional, por el contenido de privación de libertad que comporta (y que la emparenta con las penas privativas de libertad, de las cuales se diferencia, sin embargo, porque quien la sufre goza aún de la presunción de inocencia) ha de ser concebida, tanto en su adopción como en su mantenimiento, como una medida de aplicación excepcional, subsidiaria, provisional y proporcionada a los fines que constitucionalmente la justifican y delimitan (así recientemente, SSTC 47/2000, de 17 de febrero, FJ 3; 147/2000, de 29 de mayo, FJ 3; 305/2000, de 11 de diciembre, FJ 3; 29/2001, de 29 de enero, FJ 3; 8/2002, de 14 de enero, FJ 4).</w:t>
      </w:r>
    </w:p>
    <w:p w:rsidR="0025129F" w:rsidRDefault="0025129F" w:rsidP="0025129F">
      <w:pPr>
        <w:pStyle w:val="TextoNormal"/>
      </w:pPr>
      <w:r>
        <w:t>En cuanto a la excepcionalidad de la medida, reiteradamente hemos afirmado -por todas, STC 147/2000, de 29 de mayo, FJ 5 y, reproduciéndola, STC 305/2000, de 11 de diciembre, FJ 3- que el papel nuclear que desempeña la libertad en el sistema que configura la Constitución, bien como valor superior del ordenamiento jurídico (art. 1.1 CE), bien como derecho fundamental (art. 17 CE), determina que el disfrute de la libertad sea la regla general, en tanto que su restricción o privación representa una excepción.  La efectiva vigencia en nuestro ordenamiento jurídico de los derechos a la libertad personal (art. 17.1 CE) y a la presunción de inocencia (art.  24.2 CE) determina que en los procesos por delito la situación ordinaria del imputado en espera de juicio no es la de hallarse sometido a tal medida cautelar. Como consecuencia de esta característica de la excepcionalidad, rige el principio de favor libertatis (SSTC 32/1987 y 34/1987, ambas de 12 de marzo; 115/1987, de 7 de julio; 37/1996, de 11 de marzo) o de in dubio pro libertate (STC 117/1987, de 8 de julio), formulaciones que, en definitiva, vienen a significar que la interpretación y aplicación de las normas reguladoras de la prisión provisional "debe hacerse con carácter restrictivo y a favor del derecho fundamental a la libertad que tales normas restringen, dado, además, la situación excepcional de la prisión provisional. Todo ello ha de conducir a la elección y aplicación, en caso de duda, de la Ley más favorable, o sea, la menos restrictiva de la libertad" (STC 88/1988, de 9 de mayo, FJ 1).</w:t>
      </w:r>
    </w:p>
    <w:p w:rsidR="0025129F" w:rsidRDefault="0025129F" w:rsidP="0025129F">
      <w:pPr>
        <w:pStyle w:val="TextoNormal"/>
      </w:pPr>
    </w:p>
    <w:p w:rsidR="0025129F" w:rsidRDefault="0025129F" w:rsidP="0025129F">
      <w:pPr>
        <w:pStyle w:val="TextoNormal"/>
      </w:pPr>
      <w:r w:rsidRPr="0025129F">
        <w:rPr>
          <w:rStyle w:val="NumeroAFNegritaCaracter"/>
        </w:rPr>
        <w:t>4</w:t>
      </w:r>
      <w:r>
        <w:t>. Respecto del sometimiento a plazo máximo de la prisión provisional, exigencia constitucional prevista en el art. 17.4 CE y cuya concreta determinación se reserva a la ley, nuestra doctrina puede resumirse en los siguientes puntos:</w:t>
      </w:r>
    </w:p>
    <w:p w:rsidR="0025129F" w:rsidRDefault="0025129F" w:rsidP="0025129F">
      <w:pPr>
        <w:pStyle w:val="TextoNormal"/>
      </w:pPr>
      <w:r>
        <w:t>a) En primer lugar, en cuanto al fundamento de la fijación de un plazo máximo de duración de la prisión provisional, hemos declarado que su razón de ser última es ofrecer una garantía de seguridad jurídica al afectado por la medida cautelar y contribuir a evitar dilaciones indebidas.</w:t>
      </w:r>
    </w:p>
    <w:p w:rsidR="0025129F" w:rsidRDefault="0025129F" w:rsidP="0025129F">
      <w:pPr>
        <w:pStyle w:val="TextoNormal"/>
      </w:pPr>
      <w:r>
        <w:t xml:space="preserve">En palabras de la STC 147/2000, de 29 de mayo, FJ 4, que cita la 98/1998, de 4 de mayo, FJ 2, "la imposición constitucional de que el legislador determine el plazo máximo de duración de la prisión provisional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Al mismo tiempo, este precepto pretende evitar la lentitud </w:t>
      </w:r>
      <w:r>
        <w:lastRenderedPageBreak/>
        <w:t>de la justicia en los procesos penales, de modo que la determinación de un plazo legal para la prisión provisional sirva de acicate a los órganos judiciales para que aceleren la instrucción y el enjuiciamiento de las causas penales con preso (SSTC 8/1990, de 18 de enero, FJ 4; 206/1991, de 30 de octubre, FJ 4)". En la misma línea, STC 305/2000, de 11 de diciembre, FJ 4.</w:t>
      </w:r>
    </w:p>
    <w:p w:rsidR="0025129F" w:rsidRDefault="0025129F" w:rsidP="0025129F">
      <w:pPr>
        <w:pStyle w:val="TextoNormal"/>
      </w:pPr>
      <w:r>
        <w:t>b) El respeto a los plazos legales máximos iniciales y de prórroga de la prisión provisional, establecidos en el art. 504, párrafo cuarto LECrim, constituye una exigencia constitucional, de forma que la superación de dichos plazos supone una limitación desproporcionada del derecho a la libertad y, en consecuencia, su vulneración (por todas, SSTC 98/1998, de 4 de mayo, FJ 2; 142/1998, de 29 de junio, FJ 3; 234/1998, de 1 de diciembre, FJ 2; 19/1999, de 22 de febrero, FJ 4; 147/2000, de 29 de mayo, FJ 4; 71/2000, de 13 de marzo, FJ 5; 72/2000, de 13 de marzo, FJ 6; 231/2000, de 2 de octubre, FJ 5; 305/2000, de 11 de diciembre, FJ 4; 28/2001, de 29 de enero, FJ 4).</w:t>
      </w:r>
    </w:p>
    <w:p w:rsidR="0025129F" w:rsidRDefault="0025129F" w:rsidP="0025129F">
      <w:pPr>
        <w:pStyle w:val="TextoNormal"/>
      </w:pPr>
      <w:r>
        <w:t>c) La prórroga o ampliación del plazo inicial de la prisión provisional requiere una decisión judicial específica que motive tan excepcional decisión con base en alguno de los supuestos que legalmente habilitan para ello (SSTC 142/1998, FJ 3; 234/1998, de 1 de diciembre, FJ 2; 305/2000, de 11 de diciembre, FJ 4) y ha de adoptarse antes de que el plazo inicial haya expirado, pues la lesión en que consiste el incumplimiento del plazo no se subsana por el intempestivo acuerdo de prórroga adoptado una vez superado éste (SSTC 56/1997, de 17 de marzo; 142/1998, de 29 de junio, FJ 3; 234/1998, de 1 de diciembre, FJ 2; 305/2000, de 11 de diciembre, FJ 4).</w:t>
      </w:r>
    </w:p>
    <w:p w:rsidR="0025129F" w:rsidRDefault="0025129F" w:rsidP="0025129F">
      <w:pPr>
        <w:pStyle w:val="TextoNormal"/>
      </w:pPr>
      <w:r>
        <w:t>Respecto de este último extremo, hemos afirmado que "aunque el art. 504, párrafo cuarto LECrim no requiere expresamente que la resolución de prórroga se acuerde antes de la expiración del plazo inicial, constituye ésta una exigencia lógica para la efectividad del derecho a la libertad personal" (STC 234/1998, de 1 de diciembre, FJ 2).</w:t>
      </w:r>
    </w:p>
    <w:p w:rsidR="0025129F" w:rsidRDefault="0025129F" w:rsidP="0025129F">
      <w:pPr>
        <w:pStyle w:val="TextoNormal"/>
      </w:pPr>
      <w:r>
        <w:t>d) Debido al carácter excepcional de la medida, y aunque la Constitución sólo impone de manera expresa al legislador la obligación de fijar plazos, sin imponer un límite preciso para la duración máxima de prisión provisional, nuestra jurisprudencia, en consonancia con la del Tribunal Europeo de Derechos Humanos, ha asumido el requisito de que la prisión provisional esté sometida a un "plazo razonable" (art. 9.3 del Pacto internacional de derechos civiles y políticos y art. 5.3 del Convenio europeo para la protección de los derechos humanos y de las libertades fundamentales), un concepto que, conforme a nuestra doctrina (SSTC 8/1990, de 18 de enero, FFJJ 4 y 5; 206/1991, de 30 de octubre, FFJJ 4 y 5; 41/1996, de 12 de marzo, FJ 2; 66/1997, de 7 de abril, FJ 3; 305/2000 de 11 de diciembre, FJ 4) y a la del Tribunal Europeo (SSTEDH 27 de junio de 1968, caso Neumeister v. Austria; 27 de junio de 1968, caso Wemhoff v.  Alemania; 10 de noviembre de 1969, caso Stogmüller v. Austria; 2 de octubre de 1984, caso Skoogstrom v. Suecia; 25 de octubre de 1989, caso Bezicheri v. Italia; 26 de junio de 1991, caso Letellier v. Francia; 23 de septiembre de 1998, caso I.A. v. Francia; 31 de julio de 2000, caso Jecius v. Lituania; 16 de diciembre de 2000, caso Vaccaro v.</w:t>
      </w:r>
    </w:p>
    <w:p w:rsidR="0025129F" w:rsidRDefault="0025129F" w:rsidP="0025129F">
      <w:pPr>
        <w:pStyle w:val="TextoNormal"/>
      </w:pPr>
      <w:r>
        <w:t>Italia; 22 de febrero de 2001, caso Szeloch v. Polonia) ha de ser integrado en cada caso concreto, atendiendo, por un lado, a la duración efectiva de la prisión provisional y, por otro, a la naturaleza y complejidad de la causa, la actividad desplegada por el órgano judicial (a quien el Tribunal Europeo de Derechos Humanos exige una "especial diligencia" en los mismos términos que el art. 504, párrafo tercero LECrim) y al comportamiento del recurrente, "de tal suerte que la necesidad de prolongar la prisión, a los efectos de asegurar la presencia del imputado en el juicio oral no obedezca ni a una conducta meramente inactiva del Juez de Instrucción, ni sea provocada por una actividad obstruccionista de la de</w:t>
      </w:r>
      <w:r>
        <w:lastRenderedPageBreak/>
        <w:t>fensa, a través del planteamiento de recursos improcedentes o de incidentes dilatorios, dirigidos exclusivamente a obtener el agotamiento de los plazos de la prisión provisional" (STC 206/1991, de 30 de octubre, FJ 5).</w:t>
      </w:r>
    </w:p>
    <w:p w:rsidR="0025129F" w:rsidRDefault="0025129F" w:rsidP="0025129F">
      <w:pPr>
        <w:pStyle w:val="TextoNormal"/>
      </w:pPr>
      <w:r>
        <w:t>e) En cuanto al cómputo del plazo máximo de prisión, hemos declarado que no es posible determinarlo teniendo en cuenta cada uno de los delitos imputados en una misma causa, ya que este criterio haría depender dicho plazo de un elemento incierto y conduciría a un resultado superior a todo plazo razonable (SSTC 127/1984, de 26 de diciembre, FJ 4; 28/1985, de 27 de marzo, FJ 4), salvo que haya sido dictada Sentencia condenatoria que hubiera sido recurrida después (ATC 346/1995, de 18 de diciembre).</w:t>
      </w:r>
    </w:p>
    <w:p w:rsidR="0025129F" w:rsidRDefault="0025129F" w:rsidP="0025129F">
      <w:pPr>
        <w:pStyle w:val="TextoNormal"/>
      </w:pPr>
      <w:r>
        <w:t>Tampoco cabe descontar del tiempo de prisión provisional sufrido como consecuencia de un proceso el período de cumplimiento de condena de una pena de prisión impuesta en otra causa, porque ello ocasionaría también que el límite temporal de duración de la prisión provisional dependiera de un elemento incierto y podría conducir al "desbordamiento de todo plazo razonable" (STC 19/1999, de 22 de febrero), doctrina ésta que hemos extendido al ámbito en que coincide la situación de prisión provisional por extradición con la situación de condenado a pena privativa de libertad en otra causa (SSTC 71/2000 y 72/2000, de 13 de marzo).</w:t>
      </w:r>
    </w:p>
    <w:p w:rsidR="0025129F" w:rsidRDefault="0025129F" w:rsidP="0025129F">
      <w:pPr>
        <w:pStyle w:val="TextoNormal"/>
      </w:pPr>
      <w:r>
        <w:t>También hemos establecido que "los eventos ajenos a la propia medida cautelar de prisión provisional, no previstos en el art. 504 de la LECrim, que es el precepto rector de la prisión provisional, no pueden ser tenidos en consideración para el cómputo del plazo máximo de duración de la misma" (SSTC 19/1999, de 22 de febrero, FJ 5; 71/2000 y 72/2000, de 13 de marzo, FFJJ 5 y 6 respectivamente).</w:t>
      </w:r>
    </w:p>
    <w:p w:rsidR="0025129F" w:rsidRDefault="0025129F" w:rsidP="0025129F">
      <w:pPr>
        <w:pStyle w:val="TextoNormal"/>
      </w:pPr>
      <w:r>
        <w:t>f) Por último, respecto a la suspensión del cómputo del plazo máximo de prisión provisional cuando la causa sufriere dilaciones no imputables a la Administración de Justicia (art. 504, párrafo sexto LECrim), hemos afirmado que la exclusión de dichas dilaciones determina que el cómputo de los plazos máximos de la prisión provisional no tenga un carácter de plena automaticidad, pues sin dejar de ser efectivos y determinados, no se consumen por el transcurso natural del tiempo (ATC 527/1988, de 9 de mayo, FJ 2) y que el periodo de tiempo que ha de excluirse del cómputo ha de corresponderse exactamente con la duración de la dilación (SSTC 127/1984, de 26 de diciembre, FJ 3; 28/1985, de 27 de marzo, FJ 3).</w:t>
      </w:r>
    </w:p>
    <w:p w:rsidR="0025129F" w:rsidRDefault="0025129F" w:rsidP="0025129F">
      <w:pPr>
        <w:pStyle w:val="TextoNormal"/>
      </w:pPr>
      <w:r>
        <w:t>Como criterio interpretativo para la valoración de este inciso, hemos empleado el del "plazo razonable", ponderando la complejidad de la causa, la actividad desplegada por el órgano judicial y el comportamiento del recurrente. Así, hemos admitido que no pueden "merecer el calificativo de 'indebidas' aquellas supuestas dilaciones que obedezcan única y exclusivamente ... a la intencionada conducta de la parte recurrente en amparo", que en aquel caso se había sustraído de la acción de la Justicia, huyendo a Francia, provocando su rebeldía y un proceso de extradición (STC 8/1990, de 18 de enero, FJ 6), y que la interposición de un inútil, intempestivo y dilatorio recurso por la representación procesal del recurrente, que provocó la paralización del proceso penal durante más de un año, no es una dilación imputable a los órganos judiciales, sino una "conducta obstruccionista" que "no solo no guarda proporcionada relación con el legítimo ejercicio del derecho de defensa, sino que, antes al contrario, estuvo dirigida exclusivamente a obtener la indebida puesta en libertad del recurrente por el mero transcurso de los plazos legales de la prisión provisional" (STC 206/1991, de 30 de octubre, FJ 7).</w:t>
      </w:r>
    </w:p>
    <w:p w:rsidR="0025129F" w:rsidRDefault="0025129F" w:rsidP="0025129F">
      <w:pPr>
        <w:pStyle w:val="TextoNormal"/>
      </w:pPr>
      <w:r>
        <w:t>Por el contrario, con esos mismos cánones, hemos rechazado, por "injustificadamente restrictiva en atención al significado prevalente de la libertad y al correlativo carácter excepcional de la medida cautelar" la interpretación de la expresión "Administración de Jus</w:t>
      </w:r>
      <w:r>
        <w:lastRenderedPageBreak/>
        <w:t>ticia" como referida al concreto órgano judicial que decreta la prisión en un procedimiento de extradición -con la que se pretendía excluir del cómputo del plazo de la prisión provisional en una causa el tiempo de prisión provisional sufrido por otra-, afirmando que ello supondría hacer depender el límite temporal de la prisión de un elemento relativamente incierto, "incertidumbre que resulta contraria al espíritu del texto constitucional" (STC 305/2000, de 11 de diciembre, FJ 8).</w:t>
      </w:r>
    </w:p>
    <w:p w:rsidR="0025129F" w:rsidRDefault="0025129F" w:rsidP="0025129F">
      <w:pPr>
        <w:pStyle w:val="TextoNormal"/>
      </w:pPr>
    </w:p>
    <w:p w:rsidR="0025129F" w:rsidRDefault="0025129F" w:rsidP="0025129F">
      <w:pPr>
        <w:pStyle w:val="TextoNormal"/>
      </w:pPr>
      <w:r w:rsidRPr="0025129F">
        <w:rPr>
          <w:rStyle w:val="NumeroAFNegritaCaracter"/>
        </w:rPr>
        <w:t>5</w:t>
      </w:r>
      <w:r>
        <w:t>. De la anterior exposición acerca de las líneas jurisprudenciales, cabe extraer al menos tres criterios aplicables a la solución del presente caso. En primer lugar, que la excepcionalidad de la prisión provisional impone una interpretación restrictiva de las normas reguladoras de esta institución y en el sentido más favorable al derecho a la libertad que las mismas restringen (favor libertatis). En segundo lugar, que del primero de los fundamentos de la exigencia de un plazo máximo de duración de la medida (garantizar la seguridad jurídica) se deriva, a su vez, una exigencia de certeza en el cómputo del mismo, que lleva a la exclusión de los "elementos inciertos", que pueden conducir al "desbordamiento del plazo razonable", conectándose de este modo la exigencia de certeza con la del "plazo razonable". Y, en tercer lugar, que del otro criterio en que se fundamenta el establecimiento del plazo máximo (evitar dilaciones indebidas) se deriva la necesidad de valorar, junto a la complejidad de la causa, tanto la actuación de los órganos judiciales como la conducta del recurrente a la hora de determinar si las dilaciones producidas pueden o no excluirse del cómputo del plazo, criterios que coinciden con los empleados para determinar si nos encontramos o no ante un "plazo razonable".</w:t>
      </w:r>
    </w:p>
    <w:p w:rsidR="0025129F" w:rsidRDefault="0025129F" w:rsidP="0025129F">
      <w:pPr>
        <w:pStyle w:val="TextoNormal"/>
      </w:pPr>
    </w:p>
    <w:p w:rsidR="0025129F" w:rsidRDefault="0025129F" w:rsidP="0025129F">
      <w:pPr>
        <w:pStyle w:val="TextoNormal"/>
      </w:pPr>
      <w:r w:rsidRPr="0025129F">
        <w:rPr>
          <w:rStyle w:val="NumeroAFNegritaCaracter"/>
        </w:rPr>
        <w:t>6</w:t>
      </w:r>
      <w:r>
        <w:t>. Pues bien, la aplicación de estos criterios nos conduce a rechazar la interpretación del párrafo sexto del art. 504 LECrim realizada por la Audiencia Provincial de Albacete, desde la perspectiva que impone el derecho a la libertad en ella implicado.</w:t>
      </w:r>
    </w:p>
    <w:p w:rsidR="0025129F" w:rsidRDefault="0025129F" w:rsidP="0025129F">
      <w:pPr>
        <w:pStyle w:val="TextoNormal"/>
      </w:pPr>
      <w:r>
        <w:t>En el presente caso, el recurrente había permanecido en prisión un tiempo real superior al plazo máximo de dos años previsto en el art. 504, párrafo cuarto LECrim, sin que se hubiera acordado la prórroga, ni se hubiera suspendido expresamente el cómputo del plazo. Sólo cuando ya había finalizado el mismo, y ante su solicitud de libertad, se dicta un Auto en el que se decide la prórroga, estimando que el plazo aún no había finalizado, porque la causa había sufrido dilaciones no imputables a la Administración de Justicia, sino a la incomparecencia de otro de los acusados en el acto del juicio oral, por lo que descuenta el periodo comprendido entre el primer señalamiento del juicio y el nuevo señalamiento.</w:t>
      </w:r>
    </w:p>
    <w:p w:rsidR="0025129F" w:rsidRDefault="0025129F" w:rsidP="0025129F">
      <w:pPr>
        <w:pStyle w:val="TextoNormal"/>
      </w:pPr>
      <w:r>
        <w:t>Ciertamente, esta solución tiene una base legal, pues el art. 504, párrafo sexto LECrim establece: "No se tendrá en cuenta, para el cómputo de los plazos establecidos en este artículo, el tiempo en que la causa sufriere dilaciones no imputables a la Administración de Justicia".  Pero, a la vista de nuestra jurisprudencia, que la interpretación sea posible conforme al tenor literal de la ley no significa que sea constitucionalmente aceptable.</w:t>
      </w:r>
    </w:p>
    <w:p w:rsidR="0025129F" w:rsidRDefault="0025129F" w:rsidP="0025129F">
      <w:pPr>
        <w:pStyle w:val="TextoNormal"/>
      </w:pPr>
      <w:r>
        <w:t>a) En primer lugar, porque la excepcionalidad de la prisión provisional impone un criterio hermenéutico restrictivo de la citada norma, en el sentido más favorable a la libertad. Y no puede sostenerse que la inclusión entre las dilaciones que permiten suspender el cómputo del plazo de la prisión provisional (legitimando, por tanto, la prolongación de la privación de libertad) de aquéllas no derivadas de la conducta del sujeto sometido a la medida, sino del comportamiento de terceros, sea una interpretación restrictiva constitucionalmente válida.</w:t>
      </w:r>
    </w:p>
    <w:p w:rsidR="0025129F" w:rsidRDefault="0025129F" w:rsidP="0025129F">
      <w:pPr>
        <w:pStyle w:val="TextoNormal"/>
      </w:pPr>
      <w:r>
        <w:t xml:space="preserve">b) En segundo lugar, porque la garantía de seguridad jurídica a la que responde la fijación de un plazo máximo y la exigencia de certeza en el cómputo del mismo que de ello se </w:t>
      </w:r>
      <w:r>
        <w:lastRenderedPageBreak/>
        <w:t>deriva, determinan también la exclusión de las citadas dilaciones, pues de otro modo se haría depender el límite temporal máximo de la medida de un "elemento incierto", imprevisible para el recurrente (que no tiene ningún control sobre las conductas de terceros, ni le son imputables), con lo que ese límite máximo tendría un carácter indeterminado e incontrolable, incompatible con las exigencias de sometimiento a un plazo razonable, y convertiría el mantenimiento de la medida en desproporcionado.</w:t>
      </w:r>
    </w:p>
    <w:p w:rsidR="0025129F" w:rsidRDefault="0025129F" w:rsidP="0025129F">
      <w:pPr>
        <w:pStyle w:val="TextoNormal"/>
      </w:pPr>
      <w:r>
        <w:t>c) Por último, porque de la valoración en el caso concreto de la actuación de los órganos judiciales y del recurrente, se llega igualmente a la conclusión de que las dilaciones producidas no debieron excluirse del cómputo del plazo, pues de otro modo no se garantizaría el sometimiento de la medida a un "plazo razonable".</w:t>
      </w:r>
    </w:p>
    <w:p w:rsidR="0025129F" w:rsidRDefault="0025129F" w:rsidP="0025129F">
      <w:pPr>
        <w:pStyle w:val="TextoNormal"/>
      </w:pPr>
      <w:r>
        <w:t>En efecto, no puede afirmarse que la Audiencia Provincial de Albacete haya actuado con la "especial diligencia" que le exige el art. 504, párrafo tercero LECrim, puesto que ni acordó expresamente, mediante una resolución específica y motivada, la suspensión del plazo en el momento en que las dilaciones se produjeron (esto es, cuando el otro acusado no compareció y no se pudo celebrar el juicio), ni decretó la prórroga antes del transcurso del plazo de dos años, habiendo podido hacerlo. Sólo cuando, ya transcurrido el plazo, el recurrente solicita la libertad, y en el mismo Auto en el que se decreta la prórroga, afirma que existen dilaciones no imputables a la Administración de Justicia, por lo que entiende que el plazo no se ha agotado.  A esta conducta poco diligente de la Administración de Justicia ha de contraponerse la valoración del comportamiento del recurrente, a quien no puede reprochársele el empleo de maniobra dilatoria, ni de conducta obstruccionista alguna.</w:t>
      </w:r>
    </w:p>
    <w:p w:rsidR="0025129F" w:rsidRDefault="0025129F" w:rsidP="0025129F">
      <w:pPr>
        <w:pStyle w:val="TextoNormal"/>
      </w:pPr>
    </w:p>
    <w:p w:rsidR="0025129F" w:rsidRDefault="0025129F" w:rsidP="0025129F">
      <w:pPr>
        <w:pStyle w:val="TextoNormal"/>
      </w:pPr>
      <w:r w:rsidRPr="0025129F">
        <w:rPr>
          <w:rStyle w:val="NumeroAFNegritaCaracter"/>
        </w:rPr>
        <w:t>7</w:t>
      </w:r>
      <w:r>
        <w:t>. De todo lo anteriormente expuesto cabe concluir que, en el presente caso, es constitucionalmente inaceptable, en atención al significado prevalente del derecho a la libertad y al carácter excepcional de prisión provisional, la exclusión del cómputo del plazo de prisión provisional de las dilaciones derivadas de la incomparecencia de otro de los coprocesados al acto del juicio oral, que pretenden hacerse valer cuando ya ha transcurrido el plazo máximo inicialmente acordado.</w:t>
      </w:r>
    </w:p>
    <w:p w:rsidR="0025129F" w:rsidRDefault="0025129F" w:rsidP="0025129F">
      <w:pPr>
        <w:pStyle w:val="TextoNormal"/>
      </w:pPr>
      <w:r>
        <w:t>Por tanto, como sostienen tanto el recurrente como el Ministerio Fiscal, el mantenimiento de la medida de prisión desde el día 2 de marzo de 2001, sin haberse dictado previamente la prórroga, supone una vulneración del derecho a la libertad (art. 17 CE), sin que -conforme a nuestra jurisprudencia- pueda entenderse que la prórroga posteriormente decretada fuera de plazo (mediante Auto de 8 de marzo de 2001) subsane la vulneración ya producida.</w:t>
      </w:r>
    </w:p>
    <w:p w:rsidR="0025129F" w:rsidRDefault="0025129F" w:rsidP="0025129F">
      <w:pPr>
        <w:pStyle w:val="TextoNormal"/>
      </w:pPr>
      <w:r>
        <w:t>Siendo así, resulta innecesario -como ya anunciamos- nuestro análisis acerca de la alegada falta de motivación de los Autos que acuerdan la prórroga y deniegan la puesta en libertad.</w:t>
      </w:r>
    </w:p>
    <w:p w:rsidR="0025129F" w:rsidRDefault="0025129F" w:rsidP="0025129F">
      <w:pPr>
        <w:pStyle w:val="TextoNormal"/>
      </w:pPr>
    </w:p>
    <w:p w:rsidR="0025129F" w:rsidRDefault="0025129F" w:rsidP="0025129F">
      <w:pPr>
        <w:pStyle w:val="TextoNormalCentrado"/>
        <w:keepNext/>
      </w:pPr>
      <w:r>
        <w:t>FALLO</w:t>
      </w:r>
    </w:p>
    <w:p w:rsidR="0025129F" w:rsidRDefault="0025129F" w:rsidP="0025129F">
      <w:pPr>
        <w:pStyle w:val="TextoNormalCentrado"/>
        <w:keepNext/>
      </w:pPr>
    </w:p>
    <w:p w:rsidR="0025129F" w:rsidRDefault="0025129F" w:rsidP="0025129F">
      <w:pPr>
        <w:pStyle w:val="TextoNormal"/>
      </w:pPr>
      <w:r>
        <w:t>En atención a todo lo expuesto, el Tribunal Constitucional, POR LA AUTORIDAD QUE LE CONFIERE LA CONSTITUCIÓN DE LA NACIÓN ESPAÑOLA,</w:t>
      </w:r>
    </w:p>
    <w:p w:rsidR="0025129F" w:rsidRDefault="0025129F" w:rsidP="0025129F">
      <w:pPr>
        <w:pStyle w:val="TextoNormal"/>
      </w:pPr>
    </w:p>
    <w:p w:rsidR="0025129F" w:rsidRDefault="0025129F" w:rsidP="0025129F">
      <w:pPr>
        <w:pStyle w:val="TextoNormalCentrado"/>
        <w:keepNext/>
      </w:pPr>
      <w:r>
        <w:lastRenderedPageBreak/>
        <w:t>Ha decidido</w:t>
      </w:r>
    </w:p>
    <w:p w:rsidR="0025129F" w:rsidRDefault="0025129F" w:rsidP="0025129F">
      <w:pPr>
        <w:pStyle w:val="TextoNormalCentrado"/>
        <w:keepNext/>
      </w:pPr>
    </w:p>
    <w:p w:rsidR="0025129F" w:rsidRDefault="0025129F" w:rsidP="0025129F">
      <w:pPr>
        <w:pStyle w:val="TextoNormal"/>
      </w:pPr>
      <w:r>
        <w:t>Otorgar el amparo solicitado por don Juan Vicente Marquina Lorenzo y, en consecuencia,</w:t>
      </w:r>
    </w:p>
    <w:p w:rsidR="0025129F" w:rsidRDefault="0025129F" w:rsidP="0025129F">
      <w:pPr>
        <w:pStyle w:val="TextoNormal"/>
      </w:pPr>
      <w:r>
        <w:t>1º Reconocer el derecho a la libertad del recurrente (art. 17.1 CE).</w:t>
      </w:r>
    </w:p>
    <w:p w:rsidR="0025129F" w:rsidRDefault="0025129F" w:rsidP="0025129F">
      <w:pPr>
        <w:pStyle w:val="TextoNormal"/>
      </w:pPr>
      <w:r>
        <w:t>2º Declarar la nulidad de los Autos de la Sección Primera de la Audiencia Provincial de Albacete de 8 de marzo de 2001, así como del de 20 de marzo de 2001.</w:t>
      </w:r>
    </w:p>
    <w:p w:rsidR="0025129F" w:rsidRDefault="0025129F" w:rsidP="0025129F">
      <w:pPr>
        <w:pStyle w:val="TextoNormal"/>
      </w:pPr>
    </w:p>
    <w:p w:rsidR="0025129F" w:rsidRDefault="0025129F" w:rsidP="0025129F">
      <w:pPr>
        <w:pStyle w:val="TextoNormal"/>
      </w:pPr>
      <w:r>
        <w:t>Publíquese esta Sentencia en el "Boletín Oficial del Estado".</w:t>
      </w:r>
    </w:p>
    <w:p w:rsidR="0025129F" w:rsidRDefault="0025129F" w:rsidP="000B622C">
      <w:pPr>
        <w:pStyle w:val="TextoNormal"/>
      </w:pPr>
      <w:r>
        <w:t>Dada en Madrid, a veintinueve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25129F">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ParrafoNormal"/>
      </w:pPr>
    </w:p>
    <w:p w:rsidR="000B622C" w:rsidRDefault="000B622C" w:rsidP="000B622C">
      <w:pPr>
        <w:pStyle w:val="CabeceraApartado"/>
      </w:pPr>
      <w:r>
        <w:t>AUTOS</w:t>
      </w:r>
    </w:p>
    <w:p w:rsidR="000B622C" w:rsidRDefault="000B622C">
      <w:pPr>
        <w:rPr>
          <w:rFonts w:ascii="Times New Roman" w:eastAsia="Times New Roman" w:hAnsi="Times New Roman" w:cs="Times New Roman"/>
          <w:sz w:val="48"/>
          <w:szCs w:val="24"/>
          <w:lang w:eastAsia="es-ES"/>
        </w:rPr>
      </w:pPr>
      <w:r>
        <w:br w:type="page"/>
      </w:r>
    </w:p>
    <w:p w:rsidR="000B622C" w:rsidRDefault="000B622C" w:rsidP="000B622C">
      <w:pPr>
        <w:pStyle w:val="TtuloResolucin"/>
      </w:pPr>
      <w:bookmarkStart w:id="102" w:name="AUTO_2002_1"/>
      <w:r>
        <w:lastRenderedPageBreak/>
        <w:t>AUTO 1/2002, de 14 de enero de 2002</w:t>
      </w:r>
    </w:p>
    <w:bookmarkEnd w:id="102"/>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ECLI:ES:TC:2002:1A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el levantamiento de suspensión decretada por ATC 221/2000, en el recurso de amparo 2843/98, interpuesto por don Juan Palau Alonso</w:t>
      </w:r>
    </w:p>
    <w:p w:rsidR="000B622C" w:rsidRDefault="000B622C" w:rsidP="000B622C">
      <w:pPr>
        <w:pStyle w:val="SntesisDescriptiva"/>
      </w:pPr>
    </w:p>
    <w:p w:rsidR="000B622C" w:rsidRDefault="000B622C" w:rsidP="000B622C">
      <w:pPr>
        <w:pStyle w:val="SntesisAnaltica"/>
      </w:pPr>
      <w:r>
        <w:t>Suspensión de la ejecución del acto que origina el amparo: modificación de medida cautelar. Suspensión cautelar de sentencias penales: beneficios penitenciarios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día 24 de junio de 1998, procedente del Juzgado de guardia con fecha del día 20 anterior, el Procurador de los Tribunales don José de Murga Rodríguez, en nombre y representación de don Juan Palau Alonso, formuló recurso de amparo contra la Sentencia 132/1996, de 17 de octubre, de la Sección Segunda de la Audiencia Provincial de Palma de Mallorca (rollo de Sala núm. 72/93), por la que se condena al demandante de amparo, como responsable de un delito contra la salud pública, a la pena de cinco años de prisión menor, con las accesorias legales de suspensión de todo cargo público y del derecho de sufragio durante el tiempo de la condena, y multa de cincuenta y un millones de pesetas sustituible, en caso de impago derivado de insolvencia, por tres meses de responsabilidad personal; y contra la Sentencia 579/1998, de 22 de abril, de la Sala de lo Penal del Tribunal Supremo, recaída en el recurso de casación (núm. 3256/96), interpuesto contra la anterior. Mediante otrosí solicitó la suspensión del ingreso en prisión del recurrente acordado por la Audiencia Provincial de Palma de Mallorca.</w:t>
      </w:r>
    </w:p>
    <w:p w:rsidR="000B622C" w:rsidRDefault="000B622C" w:rsidP="000B622C">
      <w:pPr>
        <w:pStyle w:val="TextoNormal"/>
      </w:pPr>
    </w:p>
    <w:p w:rsidR="000B622C" w:rsidRDefault="000B622C" w:rsidP="000B622C">
      <w:pPr>
        <w:pStyle w:val="TextoNormal"/>
      </w:pPr>
      <w:r w:rsidRPr="000B622C">
        <w:rPr>
          <w:rStyle w:val="NumeroAFNegritaCaracter"/>
        </w:rPr>
        <w:t>2</w:t>
      </w:r>
      <w:r>
        <w:t>. Tras requerirse testimonios de las actuaciones de instancia y casación, por providencia de 14 de diciembre de 1998 la Sección Segunda de este Tribunal acordó abrir trámite de alegaciones, conforme a lo dispuesto en el art. 50.3 LOTC. Evacuado el mismo, mediante sendas providencias de 24 de julio de 2000 la Sección Segunda acordó la admisión a trámite de la demanda de amparo y la formación de la correspondiente pieza de suspensión conforme a lo solicitado por el recurrente, concediendo un plazo común de tres días a éste y al Ministerio Fiscal para que alegasen lo que estimaren pertinente en relación con la solicitud de suspensión.</w:t>
      </w:r>
    </w:p>
    <w:p w:rsidR="000B622C" w:rsidRDefault="000B622C" w:rsidP="000B622C">
      <w:pPr>
        <w:pStyle w:val="TextoNormal"/>
      </w:pPr>
    </w:p>
    <w:p w:rsidR="000B622C" w:rsidRDefault="000B622C" w:rsidP="000B622C">
      <w:pPr>
        <w:pStyle w:val="TextoNormal"/>
      </w:pPr>
      <w:r w:rsidRPr="000B622C">
        <w:rPr>
          <w:rStyle w:val="NumeroAFNegritaCaracter"/>
        </w:rPr>
        <w:t>3</w:t>
      </w:r>
      <w:r>
        <w:t>. Evacuado este trámite de alegaciones, la Sala Primera dictó el Auto de 2 de octubre de 2000 (ATC 221/2000, de 2 de octubre), acordando suspender la ejecución de la Sentencia 132/1996, de 17 de octubre, de la Sección Segunda de la Audiencia Provincial de Pal</w:t>
      </w:r>
      <w:r>
        <w:lastRenderedPageBreak/>
        <w:t>ma de Mallorca (rollo de Sala núm. 72/93), exclusivamente en lo que se refiere a la pena de privación de libertad de cinco años de prisión menor y accesorias de suspensión de todo cargo público y del derecho de sufragio durante el tiempo de condena.</w:t>
      </w:r>
    </w:p>
    <w:p w:rsidR="000B622C" w:rsidRDefault="000B622C" w:rsidP="000B622C">
      <w:pPr>
        <w:pStyle w:val="TextoNormal"/>
      </w:pPr>
    </w:p>
    <w:p w:rsidR="000B622C" w:rsidRDefault="000B622C" w:rsidP="000B622C">
      <w:pPr>
        <w:pStyle w:val="TextoNormal"/>
      </w:pPr>
      <w:r w:rsidRPr="000B622C">
        <w:rPr>
          <w:rStyle w:val="NumeroAFNegritaCaracter"/>
        </w:rPr>
        <w:t>4</w:t>
      </w:r>
      <w:r>
        <w:t>. Con fecha 4 de diciembre de 2001 tiene entrada en el registro de este Tribunal escrito presentado por la representación procesal del demandante de amparo en el que se solicita que, continuando con la tramitación del recurso en amparo, se deje sin efecto la suspensión acordada en el ATC 221/2000, de 2 de octubre, toda vez que, debido a que el recurrente está cumpliendo actualmente condena por otros hechos, dicha suspensión le impide acogerse al beneficio de la refundición de condenas, con el perjuicio que ello conlleva en materia de clasificación penitenciaria.</w:t>
      </w:r>
    </w:p>
    <w:p w:rsidR="000B622C" w:rsidRDefault="000B622C" w:rsidP="000B622C">
      <w:pPr>
        <w:pStyle w:val="TextoNormal"/>
      </w:pPr>
    </w:p>
    <w:p w:rsidR="000B622C" w:rsidRDefault="000B622C" w:rsidP="000B622C">
      <w:pPr>
        <w:pStyle w:val="TextoNormal"/>
      </w:pPr>
      <w:r w:rsidRPr="000B622C">
        <w:rPr>
          <w:rStyle w:val="NumeroAFNegritaCaracter"/>
        </w:rPr>
        <w:t>5</w:t>
      </w:r>
      <w:r>
        <w:t>. Mediante providencia de 10 de diciembre de 2001 la Sala Primera de este Tribunal acordó dar traslado de la solicitud de levantamiento de la suspensión formulada por el recurrente al Ministerio Fiscal, para que en plazo de tres días alegase lo que estimare pertinente.</w:t>
      </w:r>
    </w:p>
    <w:p w:rsidR="000B622C" w:rsidRDefault="000B622C" w:rsidP="000B622C">
      <w:pPr>
        <w:pStyle w:val="TextoNormal"/>
      </w:pPr>
    </w:p>
    <w:p w:rsidR="000B622C" w:rsidRDefault="000B622C" w:rsidP="000B622C">
      <w:pPr>
        <w:pStyle w:val="TextoNormal"/>
      </w:pPr>
      <w:r w:rsidRPr="000B622C">
        <w:rPr>
          <w:rStyle w:val="NumeroAFNegritaCaracter"/>
        </w:rPr>
        <w:t>6</w:t>
      </w:r>
      <w:r>
        <w:t>. El Ministerio Fiscal presentó su escrito de alegaciones con fecha 17 de diciembre de 2001, manifestando que procede acceder a lo solicitado por el recurrente y acordar en consecuencia el alzamiento de la suspensión de la ejecución de las penas en su día impuestas.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t>UNICO. De conformidad con lo dispuesto en el art. 57 LOTC, la decisión que inicialmente se hubiere adoptado sobre la suspensión interesada de la ejecución de la resolución recurrida en amparo, puede "ser modificada durante el curso del juicio de amparo constitucional, de oficio o a instancia de parte, en virtud de circunstancias sobrevenidas o que no pudieron ser conocidas al tiempo de sustanciarse el incidente de suspensión".</w:t>
      </w:r>
    </w:p>
    <w:p w:rsidR="000B622C" w:rsidRDefault="000B622C" w:rsidP="000B622C">
      <w:pPr>
        <w:pStyle w:val="TextoNormal"/>
      </w:pPr>
      <w:r>
        <w:t>En el presente caso, la representación procesal del demandante de amparo solicita el alzamiento de la suspensión en su día decretada, alegando para ello que el recurrente está cumpliendo actualmente condena por otros hechos distintos a los enjuiciados en la Sentencia de la Audiencia Provincial de Palma de Mallorca recurrida en amparo, por lo que la suspensión de la ejecución de esta Sentencia le impide acogerse al beneficio de la refundición de condenas, con el perjuicio que ello conlleva en materia de clasificación penitenciaria.</w:t>
      </w:r>
    </w:p>
    <w:p w:rsidR="000B622C" w:rsidRDefault="000B622C" w:rsidP="000B622C">
      <w:pPr>
        <w:pStyle w:val="TextoNormal"/>
      </w:pPr>
      <w:r>
        <w:t>Como señala el Ministerio Fiscal, la circunstancia descrita por el recurrente de amparo constituye en efecto circunstancia sobrevenida, por lo que resulta procedente acordar el levantamiento de la suspensión acordada en el presente recurso de amparo.</w:t>
      </w:r>
    </w:p>
    <w:p w:rsidR="000B622C" w:rsidRDefault="000B622C" w:rsidP="000B622C">
      <w:pPr>
        <w:pStyle w:val="TextoNormal"/>
      </w:pPr>
    </w:p>
    <w:p w:rsidR="000B622C" w:rsidRDefault="000B622C" w:rsidP="000B622C">
      <w:pPr>
        <w:pStyle w:val="TextoNormal"/>
      </w:pPr>
      <w:r>
        <w:t>En virtud de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Acceder a la petición de levantamiento de la suspensión decretada por ATC 221/2000, de 2 de octubre.</w:t>
      </w:r>
    </w:p>
    <w:p w:rsidR="000B622C" w:rsidRDefault="000B622C" w:rsidP="000B622C">
      <w:pPr>
        <w:pStyle w:val="TextoNormal"/>
      </w:pPr>
    </w:p>
    <w:p w:rsidR="000B622C" w:rsidRDefault="000B622C" w:rsidP="000B622C">
      <w:pPr>
        <w:pStyle w:val="TextoNormal"/>
      </w:pPr>
      <w:r>
        <w:lastRenderedPageBreak/>
        <w:t>Madrid, a catorce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03" w:name="AUTO_2002_2"/>
      <w:r>
        <w:lastRenderedPageBreak/>
        <w:t>AUTO 2/2002, de 14 de enero de 2002</w:t>
      </w:r>
    </w:p>
    <w:bookmarkEnd w:id="103"/>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ECLI:ES:TC:2002:2A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la suspensión en el recurso de amparo 179/99, promovido por don Nejat Das.</w:t>
      </w:r>
    </w:p>
    <w:p w:rsidR="000B622C" w:rsidRDefault="000B622C" w:rsidP="000B622C">
      <w:pPr>
        <w:pStyle w:val="SntesisDescriptiva"/>
      </w:pPr>
    </w:p>
    <w:p w:rsidR="000B622C" w:rsidRDefault="000B622C" w:rsidP="000B622C">
      <w:pPr>
        <w:pStyle w:val="SntesisAnaltica"/>
      </w:pPr>
      <w:r>
        <w:t>Suspensión cautelar de resoluciones penales: extradición, suspende; extradiciones pasivas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Procurador de los Tribunales don Antonio María Alvarez- Buylla Ballesteros, por escrito registrado el 14 de enero de 1999, interpuso, en nombre y representación de don Nejat Das, recurso de amparo contra el Auto de 4 de diciembre de 1998 del Pleno de la Sala de lo Penal de la Audiencia Nacional, confirmatorio del Auto de 30 de julio de 1998 de la Sección Primera de la dicha Sala dictado en procedimiento de extradición (procedimientos 29/97 y 33/97, acumulados), que acordó acceder a la extradición del recurrente a la República de Turquía, a fin de cumplir dos sentencias condenatorias impuestas. La representación del recurrente alega que las resoluciones judiciales vulneran los derechos a la vida y a la integridad física y moral (art. 15 CE); a la tutela judicial efectiva sin indefensión (art. 24.1 CE); a un proceso con todas las garantías (art. 24.2 CE); al juez ordinario predeterminado por la Ley en relación con el derecho a juez imparcial (art. 24.2 CE); y el principio de legalidad (art. 25.1 CE). Por otrosí pide, al amparo del art. 56 LOTC, que se acuerde la suspensión cautelar de las resoluciones judiciales impugnadas.</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en que se fundamenta la demanda son, sucintamente expuestos, los siguientes: </w:t>
      </w:r>
    </w:p>
    <w:p w:rsidR="000B622C" w:rsidRDefault="000B622C" w:rsidP="000B622C">
      <w:pPr>
        <w:pStyle w:val="TextoNormal"/>
      </w:pPr>
      <w:r>
        <w:t xml:space="preserve">a) La Sección Segunda de la Audiencia Nacional, en Auto de 30 de julio de 1998, dictado en el rollo núm. 53/97 (correspondiente a los procedimientos de extradición números 29/97 y 33/97, acumulados), acordó acceder a la extradición del recurrente a la República de Turquía, a fin de cumplir dos sentencias condenatorias impuestas (Sentencia de 29 de marzo de 1994 del Tribunal núm. 2 de la Seguridad Estatal de Estambul, por tráfico de drogas, a las penas de cinco años y diez meses de prisión; y Sentencia de 16 de marzo de 1995 del Tribunal núm. 1 de la Seguridad Estatal de Estambul, por tráfico de drogas, a la pena de treinta años de prisión), si bien la entrega se condiciona a la previa prestación por parte del Estado requirente de garantía suficiente de que el reclamado no será sometido a tortura alguna. </w:t>
      </w:r>
    </w:p>
    <w:p w:rsidR="000B622C" w:rsidRDefault="000B622C" w:rsidP="000B622C">
      <w:pPr>
        <w:pStyle w:val="TextoNormal"/>
      </w:pPr>
      <w:r>
        <w:lastRenderedPageBreak/>
        <w:t>b) Formulado recurso de súplica ante el Pleno de la Sala de lo Penal de la Audiencia Nacional (recurso núm. 79/98), fue desestimado en Auto de 4 de diciembre de 1998, confirmatorio del recurrido, si bien se acuerda suspender la entrega del reclamado hasta que recaiga resolución definitiva a su solicitud de asilo.</w:t>
      </w:r>
    </w:p>
    <w:p w:rsidR="000B622C" w:rsidRDefault="000B622C" w:rsidP="000B622C">
      <w:pPr>
        <w:pStyle w:val="TextoNormal"/>
      </w:pPr>
    </w:p>
    <w:p w:rsidR="000B622C" w:rsidRDefault="000B622C" w:rsidP="000B622C">
      <w:pPr>
        <w:pStyle w:val="TextoNormal"/>
      </w:pPr>
      <w:r w:rsidRPr="000B622C">
        <w:rPr>
          <w:rStyle w:val="NumeroAFNegritaCaracter"/>
        </w:rPr>
        <w:t>3</w:t>
      </w:r>
      <w:r>
        <w:t>. Admitido el recurso a trámite y formada la presente pieza de suspensión, la Sección Primera de la Sala Primera de este Tribunal, por providencia de 7 de noviembre de 2001, acuerda conceder un plazo de tres días al Ministerio Fiscal y al solicitante del amparo para que, dentro de dicho término, formulen las alegaciones que estimen pertinente sobre la suspensión solicitada.</w:t>
      </w:r>
    </w:p>
    <w:p w:rsidR="000B622C" w:rsidRDefault="000B622C" w:rsidP="000B622C">
      <w:pPr>
        <w:pStyle w:val="TextoNormal"/>
      </w:pPr>
    </w:p>
    <w:p w:rsidR="000B622C" w:rsidRDefault="000B622C" w:rsidP="000B622C">
      <w:pPr>
        <w:pStyle w:val="TextoNormal"/>
      </w:pPr>
      <w:r w:rsidRPr="000B622C">
        <w:rPr>
          <w:rStyle w:val="NumeroAFNegritaCaracter"/>
        </w:rPr>
        <w:t>4</w:t>
      </w:r>
      <w:r>
        <w:t>. En su escrito de alegaciones, presentado el 19 de noviembre de 2001, el Ministerio Fiscal estima que debe accederse a la solicitud de suspensión del recurrente, pues, según una consolidada doctrina de este Tribunal, en los casos de extradición pasiva como el presente, la efectividad de las resoluciones judiciales por las que se declara procedente la extradición del reclamado, con la consiguiente entrega de éste a las autoridades del Estado requirente, podría convertir en decisión puramente declarativa una eventual Sentencia que otorgase el amparo, sin que, por otra parte, se aprecie que de la suspensión pudiera derivarse una grave perturbación de los intereses generales ni de los derechos fundamentales o libertades públicas de un tercero (ATC 228/1999, con cita de otros Autos anteriores)</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La representación del recurrente, en escrito registrado el 19 de noviembre de 2001, reitera la petición de suspensión en su día efectuada en la demanda. En primer lugar, alega que la ejecución de la resolución ocasionaría unos perjuicios irreversibles e irreparables, pues implicaría permitir la entrega física del recurrente al Estado requirente (República de Turquía), y una vez ya fuera del territorio español difícilmente podría afectarle la resolución que dicte el Tribunal Constitucional. </w:t>
      </w:r>
    </w:p>
    <w:p w:rsidR="000B622C" w:rsidRDefault="000B622C" w:rsidP="000B622C">
      <w:pPr>
        <w:pStyle w:val="TextoNormal"/>
      </w:pPr>
      <w:r>
        <w:t>En segundo lugar, estima que de la suspensión en modo alguno se deriva una perturbación grave, ni siquiera leve, de los intereses generales ni de los derechos fundamentales o libertades públicas de terceros; por el contrario, están en juego los individuales derechos subjetivos básicos del recurrente, que es lo único que se trata de preservar con la medida de suspensión, sin que ésta afecte ni al interés general de España, ni al de la República de Turquía, ni mucho menos a los derechos fundamentales de ningún tercero.</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artículo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De acuerdo con la doctrina mantenida por este Tribunal, en los casos de extradición pasiva procede suspender la ejecución de las resoluciones judiciales que la acuerdan, pues en estos casos "puede ocurrir que la ejecución de las resoluciones impugnadas convierta </w:t>
      </w:r>
      <w:r>
        <w:lastRenderedPageBreak/>
        <w:t>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(ATC 291/1998; en el mismo sentido AATC 402/1983 [RTC 1983\402 ]; 210/1997; y 221/1998). En estos casos, además, por lo general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(AATC 279/1998 y 284/1998)</w:t>
      </w:r>
    </w:p>
    <w:p w:rsidR="000B622C" w:rsidRDefault="000B622C" w:rsidP="000B622C">
      <w:pPr>
        <w:pStyle w:val="TextoNormal"/>
      </w:pPr>
    </w:p>
    <w:p w:rsidR="000B622C" w:rsidRDefault="000B622C" w:rsidP="000B622C">
      <w:pPr>
        <w:pStyle w:val="TextoNormal"/>
      </w:pPr>
      <w:r w:rsidRPr="000B622C">
        <w:rPr>
          <w:rStyle w:val="NumeroAFNegritaCaracter"/>
        </w:rPr>
        <w:t>3</w:t>
      </w:r>
      <w:r>
        <w:t>. En el caso que nos ocupa, el recurso se dirige contra el Auto de 4 de diciembre de 1998 del Pleno de la Sala de lo Penal de la Audiencia Nacional, confirmatorio del Auto de 30 de julio de 1998 de la Sección Primera de la dicha Sala, dictado en procedimiento de extradición (procedimientos números 29/97 y 33/97, acumulados), que acordó acceder a la extradición del recurrente a la República de Turquía, a fin de cumplir dos sentencias condenatorias impuestas. De conformidad con la doctrina antes expuesta, procede acordar la suspensión cautelar de las citadas resoluciones judiciales, que se circunscriben única y exclusivamente a la declaración de procedencia de la extradición,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000B622C" w:rsidRDefault="000B622C" w:rsidP="000B622C">
      <w:pPr>
        <w:pStyle w:val="TextoNormal"/>
      </w:pPr>
      <w:r>
        <w:t>La suspensión cautelar, por el contrario, no se extiende a las resoluciones judiciales relativas a la situación personal del recurrente, pues, aparte de que las mismas no son objeto del presente recurso, con posterioridad a la presentación de la demanda de amparo se han dictado por parte de la Audiencia Nacional distintas resoluciones sobre la situación personal del recurrente, en concreto sobre la prórroga de la prisión provisional, que han dado lugar a otros recursos de amparo constitucional, registrados con los números 5082/2000 y 4801/2001.</w:t>
      </w:r>
    </w:p>
    <w:p w:rsidR="000B622C" w:rsidRDefault="000B622C" w:rsidP="000B622C">
      <w:pPr>
        <w:pStyle w:val="TextoNormal"/>
      </w:pPr>
    </w:p>
    <w:p w:rsidR="000B622C" w:rsidRDefault="000B622C" w:rsidP="000B622C">
      <w:pPr>
        <w:pStyle w:val="TextoNormal"/>
      </w:pPr>
      <w:r>
        <w:t>Por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1º. Suspender la ejecución del Auto de 30 de julio de 1998 de la Sección Primera de la Sala de lo Penal de la Audiencia Nacional, que declara procedente la extradición del recurrente a la República de Turquía en los expedientes de extradición números</w:t>
      </w:r>
    </w:p>
    <w:p w:rsidR="000B622C" w:rsidRDefault="000B622C" w:rsidP="000B622C">
      <w:pPr>
        <w:pStyle w:val="TextoNormal"/>
      </w:pPr>
      <w:r>
        <w:t>29/97 y 33/97, acumulados, y del Auto de 4 de diciembre de 1998 del Pleno de la Sala de lo Penal de la Audiencia Nacional, confirmatorio del anterior.</w:t>
      </w:r>
    </w:p>
    <w:p w:rsidR="000B622C" w:rsidRDefault="000B622C" w:rsidP="000B622C">
      <w:pPr>
        <w:pStyle w:val="TextoNormal"/>
      </w:pPr>
      <w:r>
        <w:t>2º. Comunicar el presente Auto al Gobierno de la Nación por conducto del Ministerio de Justicia, así como al Pleno de la Sala de lo Penal de la Audiencia Nacional.</w:t>
      </w:r>
    </w:p>
    <w:p w:rsidR="000B622C" w:rsidRDefault="000B622C" w:rsidP="000B622C">
      <w:pPr>
        <w:pStyle w:val="TextoNormal"/>
      </w:pPr>
    </w:p>
    <w:p w:rsidR="000B622C" w:rsidRDefault="000B622C" w:rsidP="000B622C">
      <w:pPr>
        <w:pStyle w:val="TextoNormal"/>
      </w:pPr>
      <w:r>
        <w:t>Madrid, a catorce de enero de dos mil dos.</w:t>
      </w:r>
    </w:p>
    <w:p w:rsidR="000B622C" w:rsidRDefault="000B622C">
      <w:pPr>
        <w:rPr>
          <w:rFonts w:ascii="Times New Roman" w:eastAsia="Times New Roman" w:hAnsi="Times New Roman" w:cs="Times New Roman"/>
          <w:sz w:val="24"/>
          <w:szCs w:val="24"/>
          <w:lang w:eastAsia="es-ES"/>
        </w:rPr>
      </w:pPr>
      <w:r>
        <w:lastRenderedPageBreak/>
        <w:br w:type="page"/>
      </w:r>
    </w:p>
    <w:p w:rsidR="000B622C" w:rsidRDefault="000B622C" w:rsidP="000B622C">
      <w:pPr>
        <w:pStyle w:val="TtuloResolucin"/>
      </w:pPr>
      <w:bookmarkStart w:id="104" w:name="AUTO_2002_3"/>
      <w:r>
        <w:lastRenderedPageBreak/>
        <w:t>AUTO 3/2002, de 14 de enero de 2002</w:t>
      </w:r>
    </w:p>
    <w:bookmarkEnd w:id="104"/>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ECLI:ES:TC:2002:3A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Acuerda la extinción del recurso de amparo 106-2000, promovido por don Santiago Fernández Canseco</w:t>
      </w:r>
    </w:p>
    <w:p w:rsidR="000B622C" w:rsidRDefault="000B622C" w:rsidP="000B622C">
      <w:pPr>
        <w:pStyle w:val="SntesisDescriptiva"/>
      </w:pPr>
    </w:p>
    <w:p w:rsidR="000B622C" w:rsidRDefault="000B622C" w:rsidP="000B622C">
      <w:pPr>
        <w:pStyle w:val="SntesisAnaltica"/>
      </w:pPr>
      <w:r>
        <w:t>Recurso de amparo: pérdida de su objeto por satisfacción en otro recurso de amparo. Sentencia de amparo: efectos sobre procesos pendientes. Sentencias del Tribunal Constitucional: efectos de la STC 157/2001</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Registro General de este Tribunal el día 10 de enero de 2000 doña Raquel Gómez Sánchez, Procuradora de los Triburepresentación de don Santiago Fernández Canseco, interpuso recurso de amparo contra el Auto de la Sala de Justicia del Tribunal Militar Central, de 9 de diciembre de 1999, que, revoca</w:t>
      </w:r>
    </w:p>
    <w:p w:rsidR="000B622C" w:rsidRDefault="000B622C" w:rsidP="000B622C">
      <w:pPr>
        <w:pStyle w:val="TextoNormal"/>
      </w:pPr>
      <w:r>
        <w:t>ndo el dictado por el Juzgado Togado Militar Central núm. 1, de 21 de julio de 1999, desestimó la solicitud del demandante de amparo de personarse como acusador particular en el sumario núm. 1/04/99, al que dieron lugar las diligencias previas núm. 1/01/99.</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En la demanda de amparo se recoge la relación de antecedentes fácticos y la fundamentación jurídica que, a continuación, sucintamente se extracta: </w:t>
      </w:r>
    </w:p>
    <w:p w:rsidR="000B622C" w:rsidRDefault="000B622C" w:rsidP="000B622C">
      <w:pPr>
        <w:pStyle w:val="TextoNormal"/>
      </w:pPr>
      <w:r>
        <w:t xml:space="preserve">a) El Auto de la Sala de Justicia del Tribunal Militar Central, de 9 de diciembre de 1999, resuelve, estimándolo, el recurso de queja interpuesto por el Fiscal Jurídico Militar contra el Auto del Juzgado Togado Militar Central núm. 1, de 21 de julio de 1999, que había admitido la personación del ahora demandante de amparo, Guardia Civil, como acusador particular en el sumario núm. 1/04/99, iniciado por la denuncia por él formulada contra los Comandantes de la Guardia Civil don Francisco Galache Antolín y don Guillermo Rebollo Maldonado, por supuestos delitos de abuso de autoridad o extralimitación en el ejercicio del mando. </w:t>
      </w:r>
    </w:p>
    <w:p w:rsidR="000B622C" w:rsidRDefault="000B622C" w:rsidP="000B622C">
      <w:pPr>
        <w:pStyle w:val="TextoNormal"/>
      </w:pPr>
      <w:r>
        <w:t xml:space="preserve">b) La Sala de Justicia del Tribunal Militar Central se remite en el Auto impugnado, como permite apreciar su lectura, a su anterior Auto de 12 de marzo de 1999, desestimatorio del recurso de queja interpuesto por el ahora demandante de amparo contra el Auto del Juzgado Togado Militar Central núm. 1, de 21 de enero de 1999, que desestimó su solicitud de personarse como acusación particular en las diligencias previas núm. 1/01/99, posteriormente elevadas a sumario núm. 1/04/99. </w:t>
      </w:r>
    </w:p>
    <w:p w:rsidR="000B622C" w:rsidRDefault="000B622C" w:rsidP="000B622C">
      <w:pPr>
        <w:pStyle w:val="TextoNormal"/>
      </w:pPr>
      <w:r>
        <w:lastRenderedPageBreak/>
        <w:t xml:space="preserve">c) El demandante de amparo interpuso en su día recurso de amparo, registrado con el núm. 1984/99, contra los mencionados Autos de la Sala de Justicia del Tribunal Militar Central y del Juzgado Togado Militar Central núm. 1, de 12 de marzo y 21 de enero de 1999, respectivamente, que fue admitido a trámite por providencia de la Sala Segunda del Tribunal Constitucional, de 5 de octubre de 1999. </w:t>
      </w:r>
    </w:p>
    <w:p w:rsidR="000B622C" w:rsidRDefault="000B622C" w:rsidP="000B622C">
      <w:pPr>
        <w:pStyle w:val="TextoNormal"/>
      </w:pPr>
      <w:r>
        <w:t xml:space="preserve">d) La Sala Segunda del Tribunal Constitucional, por diligencia de ordenación de 11 de noviembre de 1999, dirigió comunicación al Tribunal Militar Central al objeto de que remitiera la resolución recaída en el recurso de queja interpuesto por el Fiscal Jurídico Militar contra el Auto del Juzgado Togado Militar Central núm. 1, de 21 de julio de 1999, que había estimado la solicitud del demandante de amparo de personarse como acusación particular en el sumario núm. 1/04/99. </w:t>
      </w:r>
    </w:p>
    <w:p w:rsidR="000B622C" w:rsidRDefault="000B622C" w:rsidP="000B622C">
      <w:pPr>
        <w:pStyle w:val="TextoNormal"/>
      </w:pPr>
      <w:r>
        <w:t xml:space="preserve">La anterior circunstancia, se afirma en la demanda de amparo, demuestra la estrecha y directa relación de conexión existente entre los actos que constituyeron el objeto del recurso de amparo núm. 1984/99 y el acto objeto del presente recurso de amparo, motivo por el cual se remite en cuanto a los antecedentes fácticos y fundamentación jurídica de este recurso de amparo a lo ya expuesto en el recurso de amparo núm. 1984/99, al ser idénticos en uno y otro caso, interesando, de acuerdo con lo dispuesto en el art. 83 LOTC, la acumulación de ambos recursos de amparo. </w:t>
      </w:r>
    </w:p>
    <w:p w:rsidR="000B622C" w:rsidRDefault="000B622C" w:rsidP="000B622C">
      <w:pPr>
        <w:pStyle w:val="TextoNormal"/>
      </w:pPr>
      <w:r>
        <w:t>A continuación se reproduce literalmente en la demanda de amparo la fundamentación jurídica del recurso de amparo núm. 1984/99, que concluye suplicando del Tribunal Constitucional que, tras los trámites oportunos, dicte Sentencia en la que se otorgue el amparo solicitado, se declare la nulidad del Auto de la Sala de Justicia del Tribunal Militar Central, de 9 de diciembre de 1999, y se eleve cuestión interna de inconstitucionalidad en relación con los arts. 108, párrafo 2º, de la Ley Orgánica 4/1987, de 25 de julio, de Competencia y Organización de la Jurisdicción Militar y 127, párrafo 1º, de la Ley Orgánica 2/1989, de 13 de abril, Procesal Militar.</w:t>
      </w:r>
    </w:p>
    <w:p w:rsidR="000B622C" w:rsidRDefault="000B622C" w:rsidP="000B622C">
      <w:pPr>
        <w:pStyle w:val="TextoNormal"/>
      </w:pPr>
    </w:p>
    <w:p w:rsidR="000B622C" w:rsidRDefault="000B622C" w:rsidP="000B622C">
      <w:pPr>
        <w:pStyle w:val="TextoNormal"/>
      </w:pPr>
      <w:r w:rsidRPr="000B622C">
        <w:rPr>
          <w:rStyle w:val="NumeroAFNegritaCaracter"/>
        </w:rPr>
        <w:t>3</w:t>
      </w:r>
      <w:r>
        <w:t>. La Sala Segunda del Tribunal Constitucional, por providencia de 7 de noviembre de 2000, acordó admitir a trámite la demanda de amparo y, en aplicación de lo dispuesto en el art. 51 LOTC, dirigir sendas comunicaciones al Tribunal Central Militar y al Juzgado Togado Militar Central núm. 1 a fin de que, en plazo que no excediera de diez días, remitiesen, respectivamente, certificación o fotocopia adverada de las actuaciones correspondientes al sumario 1/04/99 y a las diligencias previas 1/01/99, debiendo previamente el Juzgado emplazar a quienes hubieran sido parte en el procedimiento, a excepción del demandante de amparo, para que pudieran comparecer, si lo deseasen, en el presente proceso de amparo.</w:t>
      </w:r>
    </w:p>
    <w:p w:rsidR="000B622C" w:rsidRDefault="000B622C" w:rsidP="000B622C">
      <w:pPr>
        <w:pStyle w:val="TextoNormal"/>
      </w:pPr>
    </w:p>
    <w:p w:rsidR="000B622C" w:rsidRDefault="000B622C" w:rsidP="000B622C">
      <w:pPr>
        <w:pStyle w:val="TextoNormal"/>
      </w:pPr>
      <w:r w:rsidRPr="000B622C">
        <w:rPr>
          <w:rStyle w:val="NumeroAFNegritaCaracter"/>
        </w:rPr>
        <w:t>4</w:t>
      </w:r>
      <w:r>
        <w:t>. Por diligencia de ordenación de la Secretaría de la Sala Segunda del Tribunal Constitucional, de 18 de enero de 2001, se tuvo por personado y parte en el procedimiento al Abogado del Estado y, por posterior diligencia de 3 de mayo de 2001, se declaró decaído el derecho a personarse en el procedimiento a don Guillermo Rebollo Maldonado y a don Francisco Javier Galache Antolín, acordándose, asimismo, que se diera vista de las actuaciones recibidas a las partes personadas y al Ministerio Fiscal, por plazo común de veinte días, para que pudieran formular las alegaciones que tuvieran por conveniente, de conformidad con lo dispuesto en el art. 52.1 LOTC.</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5</w:t>
      </w:r>
      <w:r>
        <w:t>. El Abogado del Estado evacuó el trámite de alegaciones conferido mediante escrito presentado en el Registro General de este Tribunal el día 17 de mayo de 2001, en el que dio por reproducidas las presentadas con ocasión del mismo trámite del art. 52.1 LOTC en el recurso de amparo núm. 1984/99, interesando la acumulación de ambos recursos de amparo.</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La representación procesal del demandante de amparo evacuó el trámite de alegaciones conferido mediante escrito presentado en el Registro General del Tribunal Constitucional el día 30 de mayo de 2001, en el que dio por reproducidas las vertidas en su escrito de demanda; puso de manifiesto que la Sala de Justicia del Tribunal Central Militar, por Auto de 6 de diciembre de 2000, había dejado en suspensión la resolución del recurso interpuesto por el ahora demandante de amparo contra la decisión del Juzgado Togado Militar Central núm. 1 de sobreseer provisionalmente el sumario núm. 1/04/99; y, en fin, aludió a la STC 115/2001, de 10 de mayo. </w:t>
      </w:r>
    </w:p>
    <w:p w:rsidR="000B622C" w:rsidRDefault="000B622C" w:rsidP="000B622C">
      <w:pPr>
        <w:pStyle w:val="TextoNormal"/>
      </w:pPr>
      <w:r>
        <w:t>Concluye su escrito solicitando de este Tribunal dicte Sentencia estimando la demanda de amparo.</w:t>
      </w:r>
    </w:p>
    <w:p w:rsidR="000B622C" w:rsidRDefault="000B622C" w:rsidP="000B622C">
      <w:pPr>
        <w:pStyle w:val="TextoNormal"/>
      </w:pPr>
    </w:p>
    <w:p w:rsidR="000B622C" w:rsidRDefault="000B622C" w:rsidP="000B622C">
      <w:pPr>
        <w:pStyle w:val="TextoNormal"/>
      </w:pPr>
      <w:r w:rsidRPr="000B622C">
        <w:rPr>
          <w:rStyle w:val="NumeroAFNegritaCaracter"/>
        </w:rPr>
        <w:t>7</w:t>
      </w:r>
      <w:r>
        <w:t>. El Ministerio Fiscal evacuó el trámite de alegaciones conferido mediante escrito presentado en el Registro General del Tribunal Constitucional el día 31 de mayo de 2001, en el que solicitó la acumulación del presente recurso de amparo al recurso de amparo núm. 1984/99, y que se dictase Sentencia desestimatoria de ambos recursos.</w:t>
      </w:r>
    </w:p>
    <w:p w:rsidR="000B622C" w:rsidRDefault="000B622C" w:rsidP="000B622C">
      <w:pPr>
        <w:pStyle w:val="TextoNormal"/>
      </w:pPr>
    </w:p>
    <w:p w:rsidR="000B622C" w:rsidRDefault="000B622C" w:rsidP="000B622C">
      <w:pPr>
        <w:pStyle w:val="TextoNormal"/>
      </w:pPr>
      <w:r w:rsidRPr="000B622C">
        <w:rPr>
          <w:rStyle w:val="NumeroAFNegritaCaracter"/>
        </w:rPr>
        <w:t>8</w:t>
      </w:r>
      <w:r>
        <w:t>. La Sala Segunda del Tribunal Constitucional, al haberse dictado en fecha 2 de julio de 2001 la Sentencia que resolvió el recurso de amparo núm. 1984/99, acordó, por providencia de 19 de julio de 2001, conceder a la parte recurrente, al Abogado del Estado y al Ministerio Fiscal un plazo común de diez días a fin de que alegasen lo que a su derecho conviniese sobre la posible carencia sobrevenida del objeto de este recurso de amparo.</w:t>
      </w:r>
    </w:p>
    <w:p w:rsidR="000B622C" w:rsidRDefault="000B622C" w:rsidP="000B622C">
      <w:pPr>
        <w:pStyle w:val="TextoNormal"/>
      </w:pPr>
    </w:p>
    <w:p w:rsidR="000B622C" w:rsidRDefault="000B622C" w:rsidP="000B622C">
      <w:pPr>
        <w:pStyle w:val="TextoNormal"/>
      </w:pPr>
      <w:r w:rsidRPr="000B622C">
        <w:rPr>
          <w:rStyle w:val="NumeroAFNegritaCaracter"/>
        </w:rPr>
        <w:t>9</w:t>
      </w:r>
      <w:r>
        <w:t xml:space="preserve">. La representación procesal del demandante de amparo evacuó el trámite de alegaciones conferido mediante escrito presentado en el Registro General de este Tribunal el día 25 de julio de 2001, en el que, por las razones que a continuación se resumen, se opone a la declaración de la carencia sobrevenida del objeto del presente recurso de amparo. </w:t>
      </w:r>
    </w:p>
    <w:p w:rsidR="000B622C" w:rsidRDefault="000B622C" w:rsidP="000B622C">
      <w:pPr>
        <w:pStyle w:val="TextoNormal"/>
      </w:pPr>
      <w:r>
        <w:t xml:space="preserve">Argumenta al respecto, en primer lugar, que, pese a la estrecha conexión existente entre el objeto del recurso de amparo núm. 1984/99 y el acto que se impugna en el presente recurso de amparo, no puede establecerse una identidad plena, pues en el seno de un mismo procedimiento judicial pueden sucederse actos que, independientemente unos de los otros, tengan capacidad para resultar vulneradores de derechos fundamentales dignos de protección y amparo. De tal forma esto es así que, salvo que se haya procedido a su acumulación, cada recurso de amparo ha de culminarse con la correspondiente Sentencia, aunque su motivación sea de mera remisión a los argumentos argüidos en otra. </w:t>
      </w:r>
    </w:p>
    <w:p w:rsidR="000B622C" w:rsidRDefault="000B622C" w:rsidP="000B622C">
      <w:pPr>
        <w:pStyle w:val="TextoNormal"/>
      </w:pPr>
      <w:r>
        <w:t xml:space="preserve">En segundo lugar, porque esta parte interesó la acumulación de ambos recursos de amparo, con bastante anterioridad a que se dictase la STC 157/2001, de 2 de julio, la cual no se llevó a cabo por motivos que se desconocen. </w:t>
      </w:r>
    </w:p>
    <w:p w:rsidR="000B622C" w:rsidRDefault="000B622C" w:rsidP="000B622C">
      <w:pPr>
        <w:pStyle w:val="TextoNormal"/>
      </w:pPr>
      <w:r>
        <w:t>Y, finalmente, porque dado el momento procesal en el que se encuentra el presente recurso de amparo debe procederse a su resolución mediante Sentencia.</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10</w:t>
      </w:r>
      <w:r>
        <w:t xml:space="preserve">. El Abogado del Estado evacuó el trámite de alegaciones conferido mediante escrito presentado en el Registro General del Tribunal Constitucional el día 29 de agosto de 2001. </w:t>
      </w:r>
    </w:p>
    <w:p w:rsidR="000B622C" w:rsidRDefault="000B622C" w:rsidP="000B622C">
      <w:pPr>
        <w:pStyle w:val="TextoNormal"/>
      </w:pPr>
      <w:r>
        <w:t>Considera que la STC 157/2001, de 2 de julio, ha resuelto, sin duda, el conflicto jurisdiccional planteado en relación con la posible personación del acusador particular en el caso previsto en los arts. 108, párrafo 2º, de la Ley Orgánica 4/1987, de 15 de julio, de Competencia y Organización de la Jurisdicción Militar, y 127, párrafo 1º, de la Ley Orgánica 2/1989, de 13 de abril, Procesal Militar. Sin embargo, precisa, para determinar si se ha producido la carencia sobrevenida del objeto del presente recurso de amparo ha de tenerse en cuenta si éste coincide con el amparo ya resuelto. En este sentido pone de manifiesto que las resoluciones judiciales objeto de este procedimiento son sendos Autos de 21 de julio (sic) y 9 de diciembre de 1999 dictados en el sumario núm. 1/04/99, mientras que las impugnadas en el recurso de amparo núm. 1984/99 son los Autos de 21 de enero y 12 de marzo de 1999 recaídos en las diligencias previas núm. 1/01/99. Se trata, por lo tanto, de resoluciones distintas dictadas en diferentes procedimientos judiciales.</w:t>
      </w:r>
    </w:p>
    <w:p w:rsidR="000B622C" w:rsidRDefault="000B622C" w:rsidP="000B622C">
      <w:pPr>
        <w:pStyle w:val="TextoNormal"/>
      </w:pPr>
    </w:p>
    <w:p w:rsidR="000B622C" w:rsidRDefault="000B622C" w:rsidP="000B622C">
      <w:pPr>
        <w:pStyle w:val="TextoNormal"/>
      </w:pPr>
      <w:r w:rsidRPr="000B622C">
        <w:rPr>
          <w:rStyle w:val="NumeroAFNegritaCaracter"/>
        </w:rPr>
        <w:t>11</w:t>
      </w:r>
      <w:r>
        <w:t xml:space="preserve">. El Ministerio Fiscal evacuó el trámite de alegaciones conferido mediante escrito presentado en el Registro General de este Tribunal el día 5 de septiembre de 2001, en el que interesó que se declarase la carencia sobrevenida del objeto del presente recurso de amparo, pronunciamiento incardinable en el art. 84 LOTC. </w:t>
      </w:r>
    </w:p>
    <w:p w:rsidR="000B622C" w:rsidRDefault="000B622C" w:rsidP="000B622C">
      <w:pPr>
        <w:pStyle w:val="TextoNormal"/>
      </w:pPr>
      <w:r>
        <w:t xml:space="preserve">El demandante de amparo interpuso dos recursos de amparo, registrados, respectivamente, con los núms. 1984/99 y 106/2000, contra sendas resoluciones del Tribunal Militar Central, Autos de 12 de marzo y 9 de diciembre de 1999, dictadas en el mismo proceso penal -diligencias previas núm. 1/01/99, transformadas en sumario núm. 1/04/99-. La Sala Segunda del Tribunal Constitucional dictó en el recurso de amparo núm. 1984/99 la STC 157/2001, de 2 de julio, en la que se estimó el mismo y, en consecuencia, tras declarar la lesión del derecho a la tutela judicial efectiva del recurrente en amparo, acordó la retroacción del proceso penal "al momento procesal oportuno al objeto de que la solicitud del recurrente en mostrarse parte en la causa como acusador particular sea resuelta de conformidad con los derechos fundamentales reconocidos". </w:t>
      </w:r>
    </w:p>
    <w:p w:rsidR="000B622C" w:rsidRDefault="000B622C" w:rsidP="000B622C">
      <w:pPr>
        <w:pStyle w:val="TextoNormal"/>
      </w:pPr>
      <w:r>
        <w:t>Dado que ambas demandas de amparo se refieren al mismo proceso penal militar, el otorgamiento del amparo en la primera de ellas determina la carencia sobrevenida del objeto de la segunda, puesto que la pretensión de ambos recursos de amparo era la misma -que se admitiese la personación del demandante de amparo en aquel proceso- y el demandante ha obtenido la satisfacción del derecho fundamental mediante la indicada Sentencia.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La presente demanda de amparo tiene por objeto la impugnación del Auto de la Sala de Justicia del Tribunal Central Militar, de 9 de diciembre de 1999, que, estimando el recurso de queja interpuesto por el Fiscal Togado Militar, revocó el Auto del Juzgado Togado Militar Central núm. 1, de 21 de julio de 1999, que había estimado la pretensión del recurrente en amparo, Guardia Civil, de que se le tuviera por personado y parte en el sumario núm. 1/04/99 con el carácter de acusador particular para ejercer las acciones penales y civiles contra los oficiales superiores por él denunciados y de los que depende jerárquicamente.  La Sala fundó su decisión en la aplicación de lo dispuesto en el art.  108, párrafo 2º, de la Ley Orgánica 4/1987, de 15 de julio, de Competencia y Organización de la Juris</w:t>
      </w:r>
      <w:r>
        <w:lastRenderedPageBreak/>
        <w:t>dicción Militar (LOJM) y en el art. 127, párrafo 1º, de la Ley Orgánica 2/1989, de 13 de abril, Procesal Militar (LOPM), preceptos que vedan la comparecencia en concepto de acusador particular y actor civil "cuando ofendido e inculpado sean militares y exista entre ellos relación jerárquica de subordinación", en los términos del último de los preceptos legales citados.</w:t>
      </w:r>
    </w:p>
    <w:p w:rsidR="000B622C" w:rsidRDefault="000B622C" w:rsidP="000B622C">
      <w:pPr>
        <w:pStyle w:val="TextoNormal"/>
      </w:pPr>
      <w:r>
        <w:t>El demandante de amparo imputa, en primer término, a la resolución judicial impugnada la vulneración del derecho a la tutela judicial efectiva (art.  24.1 CE), por falta de motivación, en tanto que incurre en contradicción interna en su fundamentación y en una aplicación arbitraria de la legalidad. Le reprocha, en segundo lugar, una aplicación rigurosa e inadecuada del presupuesto de hecho de la excepción recogida en ambos preceptos, negando que concurra en el caso la relación jerárquica de subordinación entre el recurrente y los oficiales superiores denunciados. Y, finalmente, lo que constituye el verdadero problema o cuestión de fondo de la presente demanda de amparo, propugna la inconstitucionalidad de las normas aplicadas, por hallarse en contradicción con los arts. 14 y 24.1 y 2 CE, en relación con su art. 117.5, pretendiendo que la Sala eleve al Pleno del Tribunal Constitucional cuestión interna de inconstitucionalidad en relación con los mencionados preceptos legales, de conformidad con lo dispuesto en el art. 55.2 LOTC.</w:t>
      </w:r>
    </w:p>
    <w:p w:rsidR="000B622C" w:rsidRDefault="000B622C" w:rsidP="000B622C">
      <w:pPr>
        <w:pStyle w:val="TextoNormal"/>
      </w:pPr>
    </w:p>
    <w:p w:rsidR="000B622C" w:rsidRDefault="000B622C" w:rsidP="000B622C">
      <w:pPr>
        <w:pStyle w:val="TextoNormal"/>
      </w:pPr>
      <w:r w:rsidRPr="000B622C">
        <w:rPr>
          <w:rStyle w:val="NumeroAFNegritaCaracter"/>
        </w:rPr>
        <w:t>2</w:t>
      </w:r>
      <w:r>
        <w:t>. Como se ha dejado constancia en los antecedentes de esta resolución, una vez admitida la demanda de amparo y evacuado el trámite de alegaciones del art. 52.1 LOTC, la Sala Segunda de este Tribunal, por providencia de 9 de julio de 2001, acordó oír a las partes personadas y al Ministerio Fiscal sobre la posible carencia sobrevenida del objeto del presente recurso de amparo, al haberse dictado la STC 157/2001, de 2 de julio, en el recurso de amparo núm.  19884/99, promovido también por el ahora demandante de amparo.</w:t>
      </w:r>
    </w:p>
    <w:p w:rsidR="000B622C" w:rsidRDefault="000B622C" w:rsidP="000B622C">
      <w:pPr>
        <w:pStyle w:val="TextoNormal"/>
      </w:pPr>
      <w:r>
        <w:t>Así pues, la cuestión ahora a dilucidar, y sobre la que se han pronunciado las partes personadas en este proceso en los términos que han quedado reflejados en los antecedentes, no es otra que la de determinar la posible pérdida sobrevenida del objeto de este recurso de amparo como consecuencia de haberse dictado la STC 157/2001, de 2 de julio.</w:t>
      </w:r>
    </w:p>
    <w:p w:rsidR="000B622C" w:rsidRDefault="000B622C" w:rsidP="000B622C">
      <w:pPr>
        <w:pStyle w:val="TextoNormal"/>
      </w:pPr>
    </w:p>
    <w:p w:rsidR="000B622C" w:rsidRDefault="000B622C" w:rsidP="000B622C">
      <w:pPr>
        <w:pStyle w:val="TextoNormal"/>
      </w:pPr>
      <w:r w:rsidRPr="000B622C">
        <w:rPr>
          <w:rStyle w:val="NumeroAFNegritaCaracter"/>
        </w:rPr>
        <w:t>3</w:t>
      </w:r>
      <w:r>
        <w:t>. La citada Sentencia resolvió el recurso de amparo, registrado con el núm.  1984/99, promovido por el ahora demandante de amparo contra el Auto del Juzgado Togado Militar Central núm. 1, de 21 de enero de 1999, confirmado en queja por el Auto del Tribunal Central Militar, de 12 de marzo de 1999, que desestimó su pretensión de personarse en las diligencias previas núm.  1/01/99, que posteriormente fueron elevadas a sumario núm. 1/04/99, con el carácter de acusador particular para ejercitar acciones penales y civiles contra los oficiales superiores por él denunciados y de los que depende jerárquicamente.  Ambas resoluciones judiciales fundaron la denegación de la personación en los mismos motivos en los que se basa el Auto del Tribunal Central Militar, de 9 de diciembre de 1999, objeto del presente recurso de amparo, y se impugnaron por idénticas razones por las que se impugna ahora este último Auto.</w:t>
      </w:r>
    </w:p>
    <w:p w:rsidR="000B622C" w:rsidRDefault="000B622C" w:rsidP="000B622C">
      <w:pPr>
        <w:pStyle w:val="TextoNormal"/>
      </w:pPr>
      <w:r>
        <w:t xml:space="preserve">En la mencionada Sentencia, la Sala Segunda del Tribunal Constitucional, remitiéndose a los razonamientos jurídicos de la Sentencia del Pleno 115/2001, de 10 de mayo, estimó el recurso de amparo interpuesto por el también ahora solicitante de amparo, al considerar incompatible con el principio de igualdad (art. 14 CE) y con el derecho a la tutela judicial efectiva (art. 24.1 CE) "la prohibición del ejercicio de la acción penal, en calidad de acusador particular", contenida en el art. 108, párrafo 2º, LOJM y en el art. 127, párrafo 1º, LOPM. En consecuencia, en su parte dispositiva acordó reconocer que se habían vulnerado los derechos del recurrente en amparo a la igualdad en la Ley (art. 14 CE) y a la tutela </w:t>
      </w:r>
      <w:r>
        <w:lastRenderedPageBreak/>
        <w:t>judicial efectiva (art. 24.1 CE); restablecerle en sus derechos, declarando, a tal fin, "la nulidad del Auto del Juzgado Togado Militar Central núm.  1, de 21 de enero, marzo de 1999, y del Auto del Tribunal Central Militar, de 12 de marzo de 1999, recaídos en las diligencias previas núm.  1/01/99, retrotrayendo las actuaciones al momento procesal oportuno al objeto de que la solicitud del recurrente de mostrarse parte en la causa como acusador particular sea resuelta de conformidad con los derechos fundamentales reconocidos"; y, por último, plantear ante el Pleno del Tribunal Constitucional cuestión de inconstitucionalidad respecto de los arts.  108, párrafo 2º, LOJM y 127, párrafo 1º, LOPM, en su inciso "excepto cuando el ofendido e inculpado sean militares y exista entre ellos una relación jerárquica de subordinación", por su contradicción con los arts. 12 y 24.1 CE, en relación con el inciso final de su art. 117.5.</w:t>
      </w:r>
    </w:p>
    <w:p w:rsidR="000B622C" w:rsidRDefault="000B622C" w:rsidP="000B622C">
      <w:pPr>
        <w:pStyle w:val="TextoNormal"/>
      </w:pPr>
      <w:r>
        <w:t>Por su parte, el presente recurso de amparo, registrado con el núm.  106-2000, tiene su origen, tras la elevación de las diligencias previas núm. 1/01/99 a sumario núm. 1/04/99, en una nueva solicitud formulada por el demandante de amparo en la que reiteró que se le tuviera por personado, con el carácter de acusador particular, en la causa. Admitida su personación por Auto del Juzgado Togado Militar núm. 1 de 21 de julio de 1999, la Sala de Justicia del Tribunal Militar Central, por Auto de 9 de diciembre de 1999, estimó el recurso interpuesto por el Fiscal Jurídico Militar y revocó aquél Auto, denegando, en consecuencia, la solicitud de personación del recurrente en amparo. El recurso de amparo se dirige contra esta última resolución judicial, que fundó la denegación de la personación en los mismos motivos en los que entonces se basaron los Autos del Juzgado Togado Militar Central núm. 1 y del Tribunal Central Militar, de 21 de enero y 12 de marzo de 1999, respectivamente, la cual es impugnada por idénticos motivos por los que en su momento se impugnaron estos Autos.</w:t>
      </w:r>
    </w:p>
    <w:p w:rsidR="000B622C" w:rsidRDefault="000B622C" w:rsidP="000B622C">
      <w:pPr>
        <w:pStyle w:val="TextoNormal"/>
      </w:pPr>
    </w:p>
    <w:p w:rsidR="000B622C" w:rsidRDefault="000B622C" w:rsidP="000B622C">
      <w:pPr>
        <w:pStyle w:val="TextoNormal"/>
      </w:pPr>
      <w:r w:rsidRPr="000B622C">
        <w:rPr>
          <w:rStyle w:val="NumeroAFNegritaCaracter"/>
        </w:rPr>
        <w:t>4</w:t>
      </w:r>
      <w:r>
        <w:t>. El relato precedente pone de manifiesto, como acertadamente señala el Ministerio Fiscal, que las dos demandas de amparo fueron promovidas contra resoluciones, del mismo signo y tenor, recaídas en el mismo proceso penal militar: la primera, registrada con el núm. 1984/99 y en la que recayó la STC 157/2001, de 2 de julio, contra los Autos del Juzgado Togado Militar Central núm. 1 y del Tribunal Central Militar, de 21 de enero y 12 de marzo de 1999, respectivamente, dictados en la fase de diligencias previas; la segunda, registrada con el núm.  106/2000, contra el Auto del Tribunal Central Militar, de 9 de diciembre de 1999, dictado una vez elevadas aquellas diligencias a sumario. Aquel relato también permite apreciar que es idéntica la pretensión de amparo, fundada en las mismas razones, articulada por el recurrente en una y otra demanda.</w:t>
      </w:r>
    </w:p>
    <w:p w:rsidR="000B622C" w:rsidRDefault="000B622C" w:rsidP="000B622C">
      <w:pPr>
        <w:pStyle w:val="TextoNormal"/>
      </w:pPr>
      <w:r>
        <w:t>Sobre esta base, la estimación de la primera demanda de amparo por la STC 157/2001, de 2 de julio, y el alcance de su parte dispositiva a fin de restablecer al recurrente en los derechos vulnerados por las resoluciones judiciales impugnadas, ordenando retrotraer las actuaciones al momento procesal oportuno al objeto de que se resolviese, de conformidad con los derechos constitucionales reconocidos, su solicitud formulada en la fase de diligencias previas de mostrarse parte en la causa como acusador particular, determina la carencia sobrevenida del objeto del presente recurso de amparo, al haber obtenido el demandante de amparo la satisfacción de su pretensión, reiterada con ocasión del presente recurso de amparo, de personarse en la causa con el carácter de acusador particular.</w:t>
      </w:r>
    </w:p>
    <w:p w:rsidR="000B622C" w:rsidRDefault="000B622C" w:rsidP="000B622C">
      <w:pPr>
        <w:pStyle w:val="TextoNormal"/>
      </w:pPr>
    </w:p>
    <w:p w:rsidR="000B622C" w:rsidRDefault="000B622C" w:rsidP="000B622C">
      <w:pPr>
        <w:pStyle w:val="TextoNormal"/>
      </w:pPr>
      <w:r>
        <w:t>Por lo expuesto, la Sala</w:t>
      </w:r>
    </w:p>
    <w:p w:rsidR="000B622C" w:rsidRDefault="000B622C" w:rsidP="000B622C">
      <w:pPr>
        <w:pStyle w:val="TextoNormal"/>
      </w:pPr>
    </w:p>
    <w:p w:rsidR="000B622C" w:rsidRDefault="000B622C" w:rsidP="000B622C">
      <w:pPr>
        <w:pStyle w:val="TextoNormalCentrado"/>
      </w:pPr>
      <w:r>
        <w:lastRenderedPageBreak/>
        <w:t>ACUERDA</w:t>
      </w:r>
    </w:p>
    <w:p w:rsidR="000B622C" w:rsidRDefault="000B622C" w:rsidP="000B622C">
      <w:pPr>
        <w:pStyle w:val="TextoNormalCentrado"/>
      </w:pPr>
    </w:p>
    <w:p w:rsidR="000B622C" w:rsidRDefault="000B622C" w:rsidP="000B622C">
      <w:pPr>
        <w:pStyle w:val="TextoNormal"/>
      </w:pPr>
      <w:r>
        <w:t>Declarar la extinción del presente proceso de amparo, y el archivo de las actuaciones.</w:t>
      </w:r>
    </w:p>
    <w:p w:rsidR="000B622C" w:rsidRDefault="000B622C" w:rsidP="000B622C">
      <w:pPr>
        <w:pStyle w:val="TextoNormal"/>
      </w:pPr>
    </w:p>
    <w:p w:rsidR="000B622C" w:rsidRDefault="000B622C" w:rsidP="000B622C">
      <w:pPr>
        <w:pStyle w:val="TextoNormal"/>
      </w:pPr>
      <w:r>
        <w:t>Madrid, a catorce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05" w:name="AUTO_2002_4"/>
      <w:r>
        <w:lastRenderedPageBreak/>
        <w:t>AUTO 4/2002, de 14 de enero de 2002</w:t>
      </w:r>
    </w:p>
    <w:bookmarkEnd w:id="105"/>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ECLI:ES:TC:2002:4A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2983-2000, promovido por don José Ramón López de Elorriaga Urquiano</w:t>
      </w:r>
    </w:p>
    <w:p w:rsidR="000B622C" w:rsidRDefault="000B622C" w:rsidP="000B622C">
      <w:pPr>
        <w:pStyle w:val="SntesisDescriptiva"/>
      </w:pPr>
    </w:p>
    <w:p w:rsidR="000B622C" w:rsidRDefault="000B622C" w:rsidP="000B622C">
      <w:pPr>
        <w:pStyle w:val="SntesisAnaltica"/>
      </w:pPr>
      <w:r>
        <w:t>Sentencia contencioso-administrativa. Acceso a la función pública: contenido. Tutela judicial efectiva, derecho a la: no incluye un derecho al acierto del juez</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24 de mayo de 2000, don José Ramón López de Elorriaga y Uzquiano, actuando en su propio nombre y representación, interpuso recurso de amparo contra la Sentencia de 13 de noviembre de 1999 del Tribunal Superior de Justicia de Madrid.</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de los que trae causa la demanda son, en síntesis, los siguientes: </w:t>
      </w:r>
    </w:p>
    <w:p w:rsidR="000B622C" w:rsidRDefault="000B622C" w:rsidP="000B622C">
      <w:pPr>
        <w:pStyle w:val="TextoNormal"/>
      </w:pPr>
      <w:r>
        <w:t xml:space="preserve">a) Por Resolución del Vicerrector de Gestión Académica de la Universidad Politécnica de Madrid de 9 de julio de 1996 se denegó al recurrente, Profesor Titular de Escuela Universitaria, su solicitud de cambio de dedicación (de tiempo parcial a tiempo completo) en base a las limitaciones presupuestarias. </w:t>
      </w:r>
    </w:p>
    <w:p w:rsidR="000B622C" w:rsidRDefault="000B622C" w:rsidP="000B622C">
      <w:pPr>
        <w:pStyle w:val="TextoNormal"/>
      </w:pPr>
      <w:r>
        <w:t xml:space="preserve">b) Desestimado el recurso ordinario contra la anterior Resolución, se formalizó recurso contencioso-administrativo alegando vulneración del derecho a la igualdad (art. 14 CE) y derecho de acceso a las funciones públicas (art. 23.2 CE). La Sentencia de 13 de noviembre de 1999 de la Sala de lo Contencioso- Administrativo del Tribunal Superior de Justicia de Madrid desestimó el recurso por entender que la Resolución del Vicerrector se ajustó a la legalidad, y de acuerdo con ella no se dio ninguno de los dos presupuestos para que la Universidad pudiera considerar la petición del recurrente: existencia de dotación para la contratación a tiempo completo, y ser necesidad de dicha contratación para el Departamento. Por otra parte, de acuerdo con la legislación, tampoco podía accederse a la reorganización del Departamento propuesta por el recurrente para posibilitar la concesión de la dedicación total. </w:t>
      </w:r>
    </w:p>
    <w:p w:rsidR="000B622C" w:rsidRDefault="000B622C" w:rsidP="000B622C">
      <w:pPr>
        <w:pStyle w:val="TextoNormal"/>
      </w:pPr>
      <w:r>
        <w:t>c) El solicitante de amparo planteó incidente de nulidad de actuaciones por considerar que el fallo de la anterior Sentencia incurría en incongruencia omisiva. Por Auto de 8 de marzo de 2000 se inadmitió el incidente al considerar que no existió incongruencia por cuanto la Sentencia analizaba las cuestiones planteadas, aplicando la Sala la normativa que fue considerada prevalente a la alegada por el recurrente.</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3</w:t>
      </w:r>
      <w:r>
        <w:t xml:space="preserve">. El demandante de amparo alega que las Resoluciones dictadas por la Universidad vulneraron el derecho a la igualdad (art. 14 CE) y el derecho de acceso a la función pública en condiciones de igualdad (art. 23.2 CE) porque la Administración, de forma discriminatoria, dio prevalencia a la prórroga de un contrato de asociado y al mantenimiento de una titularidad interina (contraria a la ley) frente a su petición de retornar a la dedicación completa. </w:t>
      </w:r>
    </w:p>
    <w:p w:rsidR="000B622C" w:rsidRDefault="000B622C" w:rsidP="000B622C">
      <w:pPr>
        <w:pStyle w:val="TextoNormal"/>
      </w:pPr>
      <w:r>
        <w:t>Por otra parte, imputa a la Sentencia del Tribunal Superior de Justicia una lesión del derecho a la tutela judicial efectiva (art. 24.1 CE) por incurrir en error patente puesto que el juzgador decidió en base a un supuesto erróneo ("contratación" a tiempo completo) que no tiene nada que ver con la condición de funcionario de carrera del recurrente. Asimismo, incurriría en incongruencia omisiva por cuanto el pronunciamiento recae sobre un tema no incluido en las pretensiones deducidas en el proceso al establecer que si alguno de los Profesores hubiera aceptado voluntariamente el cambio en su régimen de dedicación, podría haber sido considerada la petición.</w:t>
      </w:r>
    </w:p>
    <w:p w:rsidR="000B622C" w:rsidRDefault="000B622C" w:rsidP="000B622C">
      <w:pPr>
        <w:pStyle w:val="TextoNormal"/>
      </w:pPr>
    </w:p>
    <w:p w:rsidR="000B622C" w:rsidRDefault="000B622C" w:rsidP="000B622C">
      <w:pPr>
        <w:pStyle w:val="TextoNormal"/>
      </w:pPr>
      <w:r w:rsidRPr="000B622C">
        <w:rPr>
          <w:rStyle w:val="NumeroAFNegritaCaracter"/>
        </w:rPr>
        <w:t>4</w:t>
      </w:r>
      <w:r>
        <w:t>. La Sección Cuarta, por providencia de 18 de diciembre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000B622C" w:rsidRDefault="000B622C" w:rsidP="000B622C">
      <w:pPr>
        <w:pStyle w:val="TextoNormal"/>
      </w:pPr>
    </w:p>
    <w:p w:rsidR="000B622C" w:rsidRDefault="000B622C" w:rsidP="000B622C">
      <w:pPr>
        <w:pStyle w:val="TextoNormal"/>
      </w:pPr>
      <w:r w:rsidRPr="000B622C">
        <w:rPr>
          <w:rStyle w:val="NumeroAFNegritaCaracter"/>
        </w:rPr>
        <w:t>5</w:t>
      </w:r>
      <w:r>
        <w:t>. En su escrito de alegaciones presentado el 19 de enero de 2001, el recurrente reitera los argumentos de su demanda de amparo, interesando la admisión a trámite de la misma.</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El Ministerio Fiscal, en su escrito presentado el 19 de enero de 2001, interesa la inadmisión a trámite de la demanda por entender que carece de contenido constitucional. A su juicio, la Sentencia no incurrió en incongruencia omisiva porque fue congruente con la pretensión del demandante, y para ello el órgano judicial acudió al análisis de la normativa que consideró aplicable, declarando que no concurrían las circunstancias que permitían acceder a lo solicitado por aquél. </w:t>
      </w:r>
    </w:p>
    <w:p w:rsidR="000B622C" w:rsidRDefault="000B622C" w:rsidP="000B622C">
      <w:pPr>
        <w:pStyle w:val="TextoNormal"/>
      </w:pPr>
      <w:r>
        <w:t>Tampoco la alegada vulneración de la igualdad, que debería entenderse como lesión del art. 23.2 CE, tendría relevancia constitucional puesto que el problema planteado por el recurrente, es decir, la denegación de un cambio de dedicación, es una cuestión de legalidad ordinaria ajena al derecho fundamental garantizado por aquel precepto. Y ello porque este derecho no garantiza un determinado status funcionarial, ni un derecho incondicionado al cambio de situación o régimen de dedicación, no habiéndose probado que la decisión administrativa se adoptara ad personam sino por razones objetivas.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La queja por incongruencia omisiva carece de contenido constitucional.  De acuerdo con nuestra jurisprudencia, aquélla sólo lesiona el derecho a la tutela judicial efectiva cuando el desajuste entre el fallo judicial y los términos en que las partes formularon sus </w:t>
      </w:r>
      <w:r>
        <w:lastRenderedPageBreak/>
        <w:t>pretensiones sea de tal naturaleza que suponga una sustancial modificación de los términos en que discurrió la controversia procesal.  En concreto, hemos dicho que las alegaciones aportadas por las partes no requieren una respuesta explícita y pormenorizada a todas ellas, y que es posible apreciar la existencia de respuesta tácita a las pretensiones (STC 23/2000). La Sentencia ahora recurrida fue congruente con la pretensión del demandante -la concesión de dedicación a tiempo completo- declarando que no accedía a ella una vez analizada la normativa aplicable. La declaración de la Sala de que "sólo de haber aceptado alguno de los profesores voluntariamente el cambio de dedicación, podría haber sido considerada la petición" responde efectivamente al principio iura novit curia por lo que no resultaba preciso abrir un trámite de alegaciones sobre dicha cuestión.</w:t>
      </w:r>
    </w:p>
    <w:p w:rsidR="000B622C" w:rsidRDefault="000B622C" w:rsidP="000B622C">
      <w:pPr>
        <w:pStyle w:val="TextoNormal"/>
      </w:pPr>
    </w:p>
    <w:p w:rsidR="000B622C" w:rsidRDefault="000B622C" w:rsidP="000B622C">
      <w:pPr>
        <w:pStyle w:val="TextoNormal"/>
      </w:pPr>
      <w:r w:rsidRPr="000B622C">
        <w:rPr>
          <w:rStyle w:val="NumeroAFNegritaCaracter"/>
        </w:rPr>
        <w:t>2</w:t>
      </w:r>
      <w:r>
        <w:t>. Tampoco puede acogerse la queja que reprocha a la Sentencia impugnada ser fruto de un error patente por aplicar equivocadamente al recurrente una legislación sobre régimen de profesorado contratado, cuando en realidad es funcionario de carrera en régimen de dedicación parcial. Es conocida ya nuestra doctrina según la cual el derecho a la tutela judicial efectiva (art.  24.1 CE) no incluye un pretendido derecho al acierto judicial en la selección, interpretación y aplicación de las disposiciones legales, salvo que con ellas se afecte al contenido de otros derechos fundamentales (por todas, STC 214/1999). Ciertamente, aquel derecho se ve vulnerado cuando la resolución judicial se funda en un error patente, pero éste solo adquiere relevancia constitucional cuando es evidente, imputable al órgano judicial, decisivo para el sentido del fallo, y haya incidido negativa y efectivamente en los derechos fundamentales en juego (SSTC 167/1999; 88/2000; 89/2000, entre muchas). Pues bien, a pesar de que el órgano judicial pudiera haber aplicado erróneamente las disposiciones legales y reglamentarias para resolver el recurso contencioso- administrativo contra la Resolución de la Universidad, ello no ha sido soporte único o básico de la Resolución, ni ha afectado negativamente al derecho material contenido en el art. 23.2 CE, por lo que el pretendido error no supone una lesión del derecho a la tutela judicial efectiva.</w:t>
      </w:r>
    </w:p>
    <w:p w:rsidR="000B622C" w:rsidRDefault="000B622C" w:rsidP="000B622C">
      <w:pPr>
        <w:pStyle w:val="TextoNormal"/>
      </w:pPr>
    </w:p>
    <w:p w:rsidR="000B622C" w:rsidRDefault="000B622C" w:rsidP="000B622C">
      <w:pPr>
        <w:pStyle w:val="TextoNormal"/>
      </w:pPr>
      <w:r w:rsidRPr="000B622C">
        <w:rPr>
          <w:rStyle w:val="NumeroAFNegritaCaracter"/>
        </w:rPr>
        <w:t>3</w:t>
      </w:r>
      <w:r>
        <w:t>. Finalmente, la Resolución del Vicerrector de Gestión Académica de la Universidad Politécnica de Madrid de 9 de julio de 1996, que denegó al recurrente su solicitud de cambio de dedicación, no afecta al derecho de acceso a la función pública en condiciones de igualdad (art. 23.2 CE). Este derecho garantiza a los ciudadanos una situación jurídica de igualdad en el acceso a las funciones públicas, con la consiguiente imposibilidad de establecer requisitos para acceder a las mismas que tengan carácter discriminatorio (por todas, STC 353/1993); y actúa también a lo largo de la duración de la relación funcionarial, de modo que los ciudadanos no deben ser discriminados para el empleo público o una vez incorporados a la función pública (STC 75/1983). Pero tal como alega el Ministerio Fiscal, el recurrente suscita una cuestión de legalidad ordinaria ajena al derecho fundamental consagrado en el art. 23.2 CE, el cual no garantiza un determinado status funcionarial, ni un derecho incondicionado al cambio de situación o régimen de dedicación. Por otra parte, en el presente caso no ha existido propiamente ningún proceso selectivo, ni de promoción interna, en el que haya tomado parte el recurrente conjuntamente con otros candidatos, por lo que no ha existido un término de comparación sobre el que articular un eventual juicio de igualdad, sin el cual no cabe entender que se ha vulnerado la dimensión interna del derecho que reconoce el art. 23.2 CE (STC 138/2000).</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lastRenderedPageBreak/>
        <w:t>ACUERDA</w:t>
      </w:r>
    </w:p>
    <w:p w:rsidR="000B622C" w:rsidRDefault="000B622C" w:rsidP="000B622C">
      <w:pPr>
        <w:pStyle w:val="TextoNormalCentrado"/>
      </w:pPr>
    </w:p>
    <w:p w:rsidR="000B622C" w:rsidRDefault="000B622C" w:rsidP="000B622C">
      <w:pPr>
        <w:pStyle w:val="TextoNormal"/>
      </w:pPr>
      <w:r>
        <w:t>La inadmisión a trámite del presente recurso de amparo, por concurrir la causa prevista en el art. 50.1 c) LOTC, y el archivo de las actuaciones.</w:t>
      </w:r>
    </w:p>
    <w:p w:rsidR="000B622C" w:rsidRDefault="000B622C" w:rsidP="000B622C">
      <w:pPr>
        <w:pStyle w:val="TextoNormal"/>
      </w:pPr>
    </w:p>
    <w:p w:rsidR="000B622C" w:rsidRDefault="000B622C" w:rsidP="000B622C">
      <w:pPr>
        <w:pStyle w:val="TextoNormal"/>
      </w:pPr>
      <w:r>
        <w:t>Madrid, a catorce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06" w:name="AUTO_2002_5"/>
      <w:r>
        <w:lastRenderedPageBreak/>
        <w:t>AUTO 5/2002, de 15 de enero de 2002</w:t>
      </w:r>
    </w:p>
    <w:bookmarkEnd w:id="106"/>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ECLI:ES:TC:2002:5A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Acuerda el levantamiento de suspensión en el recurso de inconstitucionalidad 4407-2001, planteado por el Presidente del Gobierno respecto a la Ley del Parlamento de las Islas Baleares 7/2001, de 23 de abril de impuesto sobre las estancias en empresas turísticas de alojamiento, destinado a la dotación del fondo para la mejora de la actividad turística y la preservación del medio ambiente</w:t>
      </w:r>
    </w:p>
    <w:p w:rsidR="000B622C" w:rsidRDefault="000B622C" w:rsidP="000B622C">
      <w:pPr>
        <w:pStyle w:val="SntesisDescriptiva"/>
      </w:pPr>
    </w:p>
    <w:p w:rsidR="000B622C" w:rsidRDefault="000B622C" w:rsidP="000B622C">
      <w:pPr>
        <w:pStyle w:val="SntesisAnaltica"/>
      </w:pPr>
      <w:r>
        <w:t>Suspensión de disposiciones de las Comunidades Autónomas: levantamiento de la suspensión; perjuicios hipotéticos; tributación autonómica. Baleares: tributos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El día 30 de julio de 2001 tuvo entrada en el Registro General de este Tribunal Constitucional un escrito del Abogado del Estado, en representación del Presidente del Gobierno, por el que interponía recurso de inconstitucionalidad contra la Ley del Parlamento de las Illes Balears 7/2001, de 23 de abril, del Impuesto sobre las Estancias en Empresas Turísticas de Alojamiento, destinado a la dotación del fondo para la mejora de la actividad turística y la preservación del medio ambiente, al entender que vulnera los límites previstos en los apartados 2º y 3º del art. 6 LOFCA y la competencia estatal para la coordinación de la planificación general de la actividad económica, prevista en el apartado 13 del art. 149.1 CE. </w:t>
      </w:r>
    </w:p>
    <w:p w:rsidR="000B622C" w:rsidRDefault="000B622C" w:rsidP="000B622C">
      <w:pPr>
        <w:pStyle w:val="TextoNormal"/>
      </w:pPr>
      <w:r>
        <w:t>En el escrito de demanda se hizo invocación expresa del art. 161.2 CE a los efectos de que se acordase la suspensión de la vigencia y aplicación de los preceptos impugnados.</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Por providencia de 18 de septiembre de 2001, la Sección Tercera acordó admitir a trámite el recurso de inconstitucionalidad promovido por el Abogado del Estado, en nombre del Presidente del Gobierno, dar traslado de la demanda y documentos presentados, conforme al art. 34 LOTC, al Congreso de los Diputados y al Senado, así como al Parlamento de las Illes Balears, al objeto de que en el plazo de quince días puedan personarse en el proceso y formular las alegaciones que consideren oportunas, así como tener por invocado por el Presidente del Gobierno el art. 161.2 CE, lo que, según el art. 30 LOTC, produce la suspensión de la vigencia y aplicación de los preceptos impugnados, y publicar </w:t>
      </w:r>
      <w:r>
        <w:lastRenderedPageBreak/>
        <w:t>la incoación del recurso en el "Boletín Oficial del Estado" y en el "Boletín Oficial de la Comunidad Autónoma de las Illes Balears".</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Mediante escrito presentado en el Registro de este Tribunal con fecha de 27 de septiembre de 2001 la Presidenta del Congreso de los Diputados comunicaba a este Tribunal que dicha Cámara no se personaría en el procedimiento ni formularía alegaciones. Posteriormente, y por escrito registrado el día 4 de octubre siguiente, la Presidenta del Senado solicitaba se la tuviese por personada y por ofrecida su colaboración a los efectos del art. 88.1 LOTC. </w:t>
      </w:r>
    </w:p>
    <w:p w:rsidR="000B622C" w:rsidRDefault="000B622C" w:rsidP="000B622C">
      <w:pPr>
        <w:pStyle w:val="TextoNormal"/>
      </w:pPr>
      <w:r>
        <w:t>Por su parte, el Abogado Jefe del Departamento Jurídico de la Comunidad Autónoma de las Illes Balears, en escrito presentado el día 10 de octubre de 2001, se personaba en nombre y representación del Consejo de Gobierno de las Illes Balears, formulando alegaciones y suplicando se dictase Sentencia por la que se desestime el recurso y se declare que la Ley impugnada se ajusta plenamente a la Constitución. Finalmente, el Presidente del Parlamento de las Illes Balears, mediante escrito registrado el día 11 de octubre siguiente, presentó alegaciones, suplicando se tuviese por personada a dicha Cámara y se dictase Sentencia por la que se rechace el recurso, declarándose la plena constitucionalidad de la Ley impugnada.</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27 de noviembre de 2001, la Sección Cuarta acordó oír a las partes personadas en el procedimiento para que, en el plazo de cinco días, expusieran los que consideren convenientes acerca del mantenimiento o levantamiento de la suspensión de los preceptos objeto del recurso de inconstitucionalidad.</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Abogado del Estado, en escrito registrado el día 5 de diciembre de 2001, solicitó el mantenimiento de la suspensión de la vigencia y aplicación de los artículos objeto del recurso de inconstitucionalidad. Considera el Abogado del Estado que, para resolver acerca de la ratificación o levantamiento de la suspensión, es preciso ponderar tanto los perjuicios o repercusiones negativos que sobre los intereses generales y, en su caso, particulares, podría ocasionar la prórroga o la cesación de la suspensión decretada, como la dificultad o la imposibilidad de reparación de las consecuencias derivadas de una y otra soanaliza, en primer lugar, la Ley objeto del recurso, la cual crea un impuesto sobre estancias en empresas turísticas de alojamiento, de naturaleza directa y de titularidad autonómica, cuyos sujetos pasivos a título de contribuyentes son las personas físicas que hagan una estancia en las empresas de alojamiento, siendo sustitutos del contribuyente las personas físicas y jurídicas que sean titulares de las empresas que explotan los establecimientos turísticos. El impuesto se devenga para el contribuyente con cada estancia hecha por día o fracción, debiendo exigir las empresas turísticas el impuesto al iniciar la estancia mediante la factura o documento análogo para cada uno de ellos. La base imponible está constituida por el número de días de que consta cada estancia y la cuota será de 0,25 a 2 euros diarios (dependiendo de la categoría del establecimiento). En suma, según el Abogado del Estado, estamos en presencia de una medida tributaria con gran incidencia en el sector turístico balear, causando diversos efectos a los distintos agentes y, por supuesto, a los consumidores. </w:t>
      </w:r>
    </w:p>
    <w:p w:rsidR="000B622C" w:rsidRDefault="000B622C" w:rsidP="000B622C">
      <w:pPr>
        <w:pStyle w:val="TextoNormal"/>
      </w:pPr>
      <w:r>
        <w:t xml:space="preserve">El primer efecto derivado de la aplicación del impuesto autonómico, a juicio del Abogado del Estado, será la disminución de la actividad turística en las Islas Baleares como consecuencia del aumento del costo que va a producirse, pues es evidente que el mercado </w:t>
      </w:r>
      <w:r>
        <w:lastRenderedPageBreak/>
        <w:t xml:space="preserve">turístico nacional e internacional tiene una configuración de la demanda apoyada en criterios económicos y, lógicamente, en el precio de las estancias en los establecimientos turísticos. Por ello, un aumento del coste de dichos establecimientos supondrá automáticamente, un triple efecto: 1) una disminución en la demanda, que dará lugar a la reducción del movimiento económico del sector turístico en este territorio; 2) una reducción en la recaudación del Impuesto sobre el Valor Añadido (IVA), pues la prestación del servicio turístico se va a ver intensamente reducida, con lo cual se produce, a su vez, un perjuicio para el interés general de carácter económico e imposible de reparar, pues si se llega a declarar la inconstitucionalidad del tributo, será muy difícil valorar la incidencia exacta que tuvo en los ingresos por IVA; y 3) un daño irreparable en el Impuesto sobre Actividades Económicas (IAE), pues dicho tributo municipal recae directamente sobre la actividad comercial consistente en la prestación de servicios turísticos y la Ley recurrida no ha previsto medidas de compensación o coordinación a favor de las Corporaciones Locales, para evitar que sus recursos se vean mermados. </w:t>
      </w:r>
    </w:p>
    <w:p w:rsidR="000B622C" w:rsidRDefault="000B622C" w:rsidP="000B622C">
      <w:pPr>
        <w:pStyle w:val="TextoNormal"/>
      </w:pPr>
      <w:r>
        <w:t xml:space="preserve">En segundo lugar -continúa el Abogado del Estado-, otros intereses que se van a ver directamente perjudicados por la Ley recurrida, en caso de levantarse la suspensión, son los de las empresas turísticas, pues la modalidad tributaria impugnada va a suponer un incremento, no poco importante, en la tributación de la actividad a que se dedican estas empresas, quedando sujetas a un gasto mayor en el territorio balear, lo que supone una menor competitividad en relación con los servicios dentro y fuera del territorio español, afectando a la cuota de mercado en un sector económico muy competitivo en el que es difícil recuperar la actividad previamente perdida. </w:t>
      </w:r>
    </w:p>
    <w:p w:rsidR="000B622C" w:rsidRDefault="000B622C" w:rsidP="000B622C">
      <w:pPr>
        <w:pStyle w:val="TextoNormal"/>
      </w:pPr>
      <w:r>
        <w:t xml:space="preserve">Por otra parte, otros intereses que resultarán perjudicados por la aplicación de la ley - sigue el Abogado del Estado-, son los propios de la Comunidad Autónoma de las Illes Balears, pues el levantamiento de la suspensión supondrá que la Comunidad Autónoma podrá disponer de una nueva fuente de ingresos con la consiguiente previsión presupuestaria, con lo cual, una eventual declaración de inconstitucionalidad le obligaría a habilitar presupuestariamente una suma de dinero suficiente para hacer frente a sus consecuencias económicas, lo que unido a la reciente declaración de inconstitucionalidad por la STC 289/2000, de la Ley del Parlamento Balear 12/1991, supondría hacer incurrir a la Comunidad Autónoma en un déficit excesivo, unido al ya obtenido con la citada declaración de inconstitucionalidad que ha obligado al Gobierno Balear a presentar un proyecto de Ley (núm. 1635/01) de modificación de la Ley de Presupuestos Generales de la Comunidad Autónoma para el año 2001. Por lo tanto, es razonable pensar que si la modalidad tributaria recurrida es declarada inconstitucional, después de un período de aplicación, la recuperación del equilibrio presupuestario de la Comunidad Autónoma será prácticamente imposible, por lo menos durante un largo período de tiempo. </w:t>
      </w:r>
    </w:p>
    <w:p w:rsidR="000B622C" w:rsidRDefault="000B622C" w:rsidP="000B622C">
      <w:pPr>
        <w:pStyle w:val="TextoNormal"/>
      </w:pPr>
      <w:r>
        <w:t>Por último, tras reconocer que argumentos similares a los anteriores han sido desestimados por este Tribunal en Autos recientemente dictados en recursos de inconstitucionalidad interpuestos contra otras modalidades tributarias autonómicas, concluye el Abogado del Estado señalando que, en este caso, se dan circunstancias especiales que justificarían otra resolución del incidente, como sería la ya citada imposibilidad de recuperar el equilibrio presupuestario ante una eventual declaración de inconstitucionalidad, de un lado, y la imposibilidad de devolver a cada uno de los turistas los euros satisfechos en concepto de pago de este impuesto por sus estancias en establecimientos turísticos de la Comunidad Autónoma de las Illes Balears, de otra parte.</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6</w:t>
      </w:r>
      <w:r>
        <w:t>. Con fecha de 7 de diciembre de 2001, el Abogado Jefe del Departamento Jurídico de la Comunidad Autónoma de las Illes Balears, en representación del Gobierno de la misma, presentó su escrito de alegaciones, suplicando el levantamiento de la suspensión de la Ley impugnada. En apoyo de su pretensión señala que el mantenimiento de la suspensión debe considerarse como excepcional en atención a reiterada doctrina de este Tribunal Constitucional, por lo que la inmutabilidad de la situación de suspensión únicamente sería concebible si la parte actora fuera capaz de asumir el correspondiente onus probandi y demostrar cumplidamente, con argumentos y prueba, la necesidad incontrovertible de su mantenimiento. Por otra parte, se queja esta representación procesal de que el trámite de alegaciones, con relación al levantamiento o no de la suspensión, se haga simultáneamente para todas las partes y no sucesivamente, como sería lo correcto conforme al principio de igualdad de armas y medios de contradicción procesal, pues debía ser quien solicitó el mantenimiento de la suspensión quien debiera previamente aportar los argumentos o razones en que se pretenda justificar tal pretensión, para que luego, la contraparte, pueda contradecirlas. Lo contrario, no sólo vulnera la Ley Orgánica de este Tribunal, sino también el art. 24.2 CE.</w:t>
      </w:r>
    </w:p>
    <w:p w:rsidR="000B622C" w:rsidRDefault="000B622C" w:rsidP="000B622C">
      <w:pPr>
        <w:pStyle w:val="TextoNormal"/>
      </w:pPr>
    </w:p>
    <w:p w:rsidR="000B622C" w:rsidRDefault="000B622C" w:rsidP="000B622C">
      <w:pPr>
        <w:pStyle w:val="TextoNormal"/>
      </w:pPr>
      <w:r w:rsidRPr="000B622C">
        <w:rPr>
          <w:rStyle w:val="NumeroAFNegritaCaracter"/>
        </w:rPr>
        <w:t>7</w:t>
      </w:r>
      <w:r>
        <w:t xml:space="preserve">. El Parlamento de las Illes Balears, a través de su Presidente, registró su escrito de alegaciones el día 11 de diciembre de 2001, en el que suplica igualmente el levantamiento de la suspensión de la vigencia de la Ley impugnada. Y lo hace tomando como referencia la doctrina de este Tribunal, para deducir de ella que "el mantenimiento o el levantamiento de la suspensión de las leyes autonómicas ha de ser el resultado de contrapesar dos criterios hermenéuticos, el primero de los cuales es el de la 'vocación de eficacia' que tienen los actos de los poderes públicos, siendo el segundo, el derivado de los perjuicios que su puesta en vigencia y aplicación de la disposición suspendida pueda producir (ATC 362/1988, de 27 de septiembre). Al hilo de esto último, no debe olvidarse que la Ley, una vez entrada en vigor, presenta un carácter ejecutivo indudable y que, además, goza de una presunción de validez superior a la de cualquier otro acto de los poderes públicos". </w:t>
      </w:r>
    </w:p>
    <w:p w:rsidR="000B622C" w:rsidRDefault="000B622C" w:rsidP="000B622C">
      <w:pPr>
        <w:pStyle w:val="TextoNormal"/>
      </w:pPr>
      <w:r>
        <w:t>Dicho lo anterior, entiende el representante del Parlamento que el mantenimiento de la suspensión producirá inexorablemente perjuicios considerables a la Hacienda de la Comunidad Autónoma, en la medida en que dejará de ingresar unos 13.000 millones de pesetas que han sido presupuestados y que irán destinados a implementar algunos proyectos especiales (de remodelación y rehabilitación de zonas turísticas; de adquisición, recuperación, protección y gestión de recursos naturales; de defensa y recuperación de los bienes integrantes del patrimonio histórico y cultural, etc). Por este motivo, no debe prevalecer el interés del Estado al mantenimiento de la suspensión, sobre el autonómico a su levantamiento, tanto más cuando el Abogado del Estado, no acredita ni disminución de ingresos por el IVA, como consecuencia de la aplicación del Impuesto sobre las Estancias, ni la existencia de un descenso en la recaudación del IAE.</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El Abogado del Estado, en representación del Gobierno de la Nación, solicita, al amparo del art. 161.2 CE, el mantenimiento de la suspensión de la vigencia de la Ley del Parlamento de las Illes Balears 7/2001, de 23 de abril, del Impuesto sobre las Estancias en Empresas Turísticas de Alojamiento, destinado a la dotación del fondo para la mejora de </w:t>
      </w:r>
      <w:r>
        <w:lastRenderedPageBreak/>
        <w:t>la actividad turística y la preservación del medio ambiente, sobre la base de los argumentos expuestos anteriormente.</w:t>
      </w:r>
    </w:p>
    <w:p w:rsidR="000B622C" w:rsidRDefault="000B622C" w:rsidP="000B622C">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(por todos, ATC 132/2001, de 22 de mayo, FJ 2).</w:t>
      </w:r>
    </w:p>
    <w:p w:rsidR="000B622C" w:rsidRDefault="000B622C" w:rsidP="000B622C">
      <w:pPr>
        <w:pStyle w:val="TextoNormal"/>
      </w:pPr>
    </w:p>
    <w:p w:rsidR="000B622C" w:rsidRDefault="000B622C" w:rsidP="000B622C">
      <w:pPr>
        <w:pStyle w:val="TextoNormal"/>
      </w:pPr>
      <w:r w:rsidRPr="000B622C">
        <w:rPr>
          <w:rStyle w:val="NumeroAFNegritaCaracter"/>
        </w:rPr>
        <w:t>2</w:t>
      </w:r>
      <w:r>
        <w:t>. Entrando a examinar los perjuicios concretos que se derivarían, en opinión del Abogado del Estado, del levantamiento de la suspensión de la Ley recurrida, aquél aduce, en primer lugar, la disminución de la actividad turística en las Islas Baleares, con la consiguiente reducción de la recaudación del IVA y la existencia de un daño irreparable en el IAE.</w:t>
      </w:r>
    </w:p>
    <w:p w:rsidR="000B622C" w:rsidRDefault="000B622C" w:rsidP="000B622C">
      <w:pPr>
        <w:pStyle w:val="TextoNormal"/>
      </w:pPr>
      <w:r>
        <w:t>Ciertamente, este planteamiento no resulta convincente. Hemos tenido ocasión de reiterar en el mismo trámite incidental de otros tributos autonómicos en los que el Abogado del Estado empleaba el mismo argumento, que la verosimilitud de los perjuicios invocados, meramente potenciales e hipotéticos, aparece condicionada a que en la Sentencia por la que se resuelva en su momento el recurso de inconstitucionalidad se declare que la Comunidad Autónoma en el ejercicio de su potestad tributaria no ha respetado, bien el límite previsto en el art. 6.2 LOFCA, bien el recogido en el art. 6.3 LOFCA, ora por recaer el impuesto impugnado sobre los mismos hechos imponibles gravados por el Estado, ora por incidir en una materia que la legislación de régimen local reserva a las Corporaciones Locales sin haber establecido las medidas de compensación o coordinación adecuadas, lo que es negado por los representantes procesales del Parlamento y del Consejo de Gobierno de las Illes Balears, para quienes el impuesto impugnado no afecta ni a los hechos imponibles gravados por el Estado ni a las materias imponibles objeto de los tributos municipales.</w:t>
      </w:r>
    </w:p>
    <w:p w:rsidR="000B622C" w:rsidRDefault="000B622C" w:rsidP="000B622C">
      <w:pPr>
        <w:pStyle w:val="TextoNormal"/>
      </w:pPr>
      <w:r>
        <w:t xml:space="preserve">Ha de tenerse en cuenta, además, que el Título V de la Ley impugnada afecta el rendimiento del impuesto a determinadas políticas sectoriales, en este caso, medioambientales y culturales, que resultan de competencia autonómica y que, en este tipo de incidentes, también deben ser valorados (por ejemplo, ATC 417/1997, de 16 de diciembre, FJ 2, en recurso de inconstitucionalidad contra la Ley del Parlamento de Cataluña 4/1997, de 20 de mayo, de Protección Civil de Cataluña; ATC 72/1999, de 23 de marzo, FJ 3, en recurso de inconstitucionalidad contra la Ley de la Asamblea de Extremadura 9/1998, de 26 de junio, del Impuesto sobre el suelo sin edificar y edificaciones ruinosas; y ATC 189/2001, de 3 de julio, FJ 2, en recurso de inconstitucionalidad contra la Ley del Parlamento de Cataluña 16/2000, de 29 de diciembre, del Impuesto sobre Grandes Establecimientos Comerciales). En este sentido, hay que recordar que la Ley recurrida fija como objetivo la financiación total o parcial de los proyectos o las actuaciones que persigan algunos de los siguientes objetivos: a) remodelación y rehabilitación de zonas turísticas para potenciar su calidad, incluyendo la introducción en este sector de sistemas de ahorro y eficiencia del agua, así como de técnicas de ahorro, eficiencia y desarrollo de energías renovables; b) adquisición, recuperación, protección y gestión sostenible de espacios y recursos naturales; c) defensa y recuperación de los bienes integrantes del patrimonio histórico y cultural en zonas de </w:t>
      </w:r>
      <w:r>
        <w:lastRenderedPageBreak/>
        <w:t>influencia turística; d) revitalización de la agricultura como actividad competitiva, potenciando especialmente la utilización del agua derivada de la depuración terciaria; y e) gestión sostenible de los espacios naturales que permita la conservación duradera de su biodiversidad; en especial, el desarrollo de las figuras de Reserva de la Biosfera, Parques Naturales y otras previstas en la legislación vigente. Pues bien, el mantenimiento de la suspensión incidiría negativamente en la consecución de tales objetivos. Por los motivos reseñados, en tanto se produce una decisión sobre el fondo del asunto, los supuestos perjuicios alegados por el Abogado del Estado, no pueden prevalecer sobre la presunción de legitimidad de la Ley tributaria autonómica.</w:t>
      </w:r>
    </w:p>
    <w:p w:rsidR="000B622C" w:rsidRDefault="000B622C" w:rsidP="000B622C">
      <w:pPr>
        <w:pStyle w:val="TextoNormal"/>
      </w:pPr>
    </w:p>
    <w:p w:rsidR="000B622C" w:rsidRDefault="000B622C" w:rsidP="000B622C">
      <w:pPr>
        <w:pStyle w:val="TextoNormal"/>
      </w:pPr>
      <w:r w:rsidRPr="000B622C">
        <w:rPr>
          <w:rStyle w:val="NumeroAFNegritaCaracter"/>
        </w:rPr>
        <w:t>3</w:t>
      </w:r>
      <w:r>
        <w:t>. El Abogado del Estado se refiere, en segundo lugar, a los perjuicios que la efectiva aplicación de la Ley 7/2001 produciría a los titulares de las empresas turísticas, pues la modalidad tributaria impugnada va a suponer un incremento, no poco importante, en la tributación de la actividad a que se dedican estas empresas, quedando sujetas a un gasto mayor en el territorio balear, lo que supone una menor competitividad en relación con los servicios dentro y fuera del territorio español, afectando a la cuota de mercado en un sector económico muy competitivo en el que es difícil recuperar la actividad previamente perdida.</w:t>
      </w:r>
    </w:p>
    <w:p w:rsidR="000B622C" w:rsidRDefault="000B622C" w:rsidP="000B622C">
      <w:pPr>
        <w:pStyle w:val="TextoNormal"/>
      </w:pPr>
      <w:r>
        <w:t>Sin entrar a considerar la eventual pérdida de competitividad del sector, que no ha sido acreditada, la falta de relevancia de esta segunda consecuencia respecto al interés general que se conecta a la aplicación de la Ley autonómica no sólo se desprende de cuanto se ha expuesto en el anterior fundamento jurídico, sino también de otro dato más importante, cual es, que el impuesto autonómico no grava la actividad turística en la persona de los operadores (empresas turísticas) sino de los turistas individualmente considerados, con lo cual, difícilmente puede suponer un aumento del gasto de aquéllas o de su tributación. En efecto, basta con acudir al art. 8 de la Ley cuestionada para comprobar como los contribuyentes del impuesto son "las personas físicas que hagan una estancia en las empresas de alojamiento", siendo éstas quienes, conforme al art. 12, deben soportar la tributación, en factura y por repercusión de las empresas turísticas de alojamiento, que actúan como sustitutos del contribuyente y, por tanto, cumplen con las obligaciones formales y materiales. De esta manera, tales empresas actúan como meros intermediarios (sustitutos) entre la Hacienda pública autonómica y los receptores de los servicios turísticos (contribuyentes), siendo éstos y sólo estos los que han de soportar el nuevo impuesto, con lo cual, carece de base jurídica la tesis del Abogado del Estado de que aquel tributo va a suponer un incremento de la tributación de las actividades turísticas.</w:t>
      </w:r>
    </w:p>
    <w:p w:rsidR="000B622C" w:rsidRDefault="000B622C" w:rsidP="000B622C">
      <w:pPr>
        <w:pStyle w:val="TextoNormal"/>
      </w:pPr>
    </w:p>
    <w:p w:rsidR="000B622C" w:rsidRDefault="000B622C" w:rsidP="000B622C">
      <w:pPr>
        <w:pStyle w:val="TextoNormal"/>
      </w:pPr>
      <w:r w:rsidRPr="000B622C">
        <w:rPr>
          <w:rStyle w:val="NumeroAFNegritaCaracter"/>
        </w:rPr>
        <w:t>4</w:t>
      </w:r>
      <w:r>
        <w:t>. El siguiente argumento del Abogado del Estado aduce que, en caso de que se estimara el recurso de inconstitucionalidad, la Comunidad de las Illes Balears deberá devolver -junto con los intereses de demora- las cantidades cobradas hasta ese momento y consignadas en sus presupuestos, lo que podría producir un endeudamiento de la Comunidad Autónoma, que repercutiría en los objetivos del Estado y de la Unión Europea sobre la estabilidad presupuestaria.</w:t>
      </w:r>
    </w:p>
    <w:p w:rsidR="000B622C" w:rsidRDefault="000B622C" w:rsidP="000B622C">
      <w:pPr>
        <w:pStyle w:val="TextoNormal"/>
      </w:pPr>
      <w:r>
        <w:t xml:space="preserve">Tampoco este argumento puede prosperar, pues, como hemos dicho en el reciente Auto 189/2001, de 3 de julio (en recurso de inconstitucionalidad contra la Ley del Parlamento de Cataluña 16/2000, de 29 de diciembre, del Impuesto sobre Grandes Establecimientos Comerciales), ello haría recaer el peso de nuestras decisiones en estos incidentes, no en las consecuencias directas e inmediatas que acarrearía la efectiva aplicación de la Ley autonómica impugnada, sino en hipotéticos resultados futuros conectados con una eventual </w:t>
      </w:r>
      <w:r>
        <w:lastRenderedPageBreak/>
        <w:t>decisión estimatoria del recurso de inconstitucionalidad, lo que no es criterio válido para una adecuada ponderación de los intereses en presencia.</w:t>
      </w:r>
    </w:p>
    <w:p w:rsidR="000B622C" w:rsidRDefault="000B622C" w:rsidP="000B622C">
      <w:pPr>
        <w:pStyle w:val="TextoNormal"/>
      </w:pPr>
    </w:p>
    <w:p w:rsidR="000B622C" w:rsidRDefault="000B622C" w:rsidP="000B622C">
      <w:pPr>
        <w:pStyle w:val="TextoNormal"/>
      </w:pPr>
      <w:r w:rsidRPr="000B622C">
        <w:rPr>
          <w:rStyle w:val="NumeroAFNegritaCaracter"/>
        </w:rPr>
        <w:t>5</w:t>
      </w:r>
      <w:r>
        <w:t>. El último argumento del Abogado del Estado se centra en el número indeterminado de afectados por la aplicación del impuesto recurrido (los usuarios de los servicios turísticos), circunstancia ésta que hace que los efectos económicos de la aplicación del tributo objeto de recurso sean irreparables, al ser notoria y manifiestamente imposible devolver a cada uno de los turistas afectados los euros satisfechos.</w:t>
      </w:r>
    </w:p>
    <w:p w:rsidR="000B622C" w:rsidRDefault="000B622C" w:rsidP="000B622C">
      <w:pPr>
        <w:pStyle w:val="TextoNormal"/>
      </w:pPr>
      <w:r>
        <w:t>En este sentido, es cierto que en otras ocasiones nos hemos servido del criterio del reducido número de afectados para levantar la suspensión pues, en caso de una eventual futura declaración de inconstitucionalidad de la norma legal impugnada, la identificación de los afectados y la devolución del impuesto recaudado, se presentaba como de fácil realización. Así se hizo, por ejemplo, en el ATC 253/1992, de 9 de septiembre (en recurso de inconstitucionalidad contra la Ley del Parlamento de las Illes Balears, 12/1991, de 20 de diciembre, reguladora del Impuesto sobre instalaciones que incidan en el medio ambiente); ATC 417/1997, de 16 de diciembre (en recurso de inconstitucionalidad contra la Ley del Parlamento de Cataluña 4/1997, de 20 de mayo, de Protección Civil de Cataluña); ATC 72/1999, de 23 de marzo (en recurso de inconstitucionalidad contra la Ley de la Asamblea de Extremadura 9/1998, de 26 de junio, del Impuesto sobre el suelo sin edificar y edificaciones ruinosas); y ATC 189/2001, de 3 de julio (en recurso de inconstitucionalidad contra la Ley del Parlamento de Cataluña 16/2000, de 29 de diciembre, del Impuesto sobre Grandes Establecimientos Comerciales).</w:t>
      </w:r>
    </w:p>
    <w:p w:rsidR="000B622C" w:rsidRDefault="000B622C" w:rsidP="000B622C">
      <w:pPr>
        <w:pStyle w:val="TextoNormal"/>
      </w:pPr>
      <w:r>
        <w:t>Pero es igualmente cierto que no fue la idea del número reducido de afectados la que condujo a adoptar un resultado favorable al levantamiento de la suspensión en aquellos supuestos, sino el hecho de "que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(por ejemplo, ATC 253/1992, FJ 3); ahora bien, los problemas y costos que la devolución produciría en la Administración autonómica nunca serían superiores a los perjuicios que el mantenimiento de la suspensión ocasionaría en su presupuesto, teniendo además en consideración el dato especialmente relevante de la solvencia de las Comunidades Autónomas (AATC 253/1992, FJ 3; 417/1997, FJ 2; y 72/1999, FJ 4). Por este motivo, el número indeterminado de los afectados no puede convertirse, per se, y como pretende el Abogado del Estado, en un criterio automático desestimatorio de la pretensión de levantamiento de la suspensión, en la medida en que dicha indeterminación no imposibilita una futura devolución del impuesto indebidamente recaudado, de llegarse a una solución de inconstitucionalidad del texto legal que lo ampara, sino que, todo lo más, la dificulta, obligando al contribuyente afectado a observar una específica cautela y ocasionando alguna molestia más en la Administración autonómica que si el tributo fuese dirigido a un número reducido de contribuyentes. No obstante, en la ponderación de intereses en conflicto, es evidente que debe prevalecer el interés autonómico a la recaudación de un tributo cuya norma legal de cobertura no sólo goza de la presunción de legitimidad, que sólo la Sentencia que ponga fin al proceso constitucional puede destruir, sino que tiene una finalidad que se configura hoy en un objetivo prevalente -la protección del medio ambiental y cultural-, sobre otro interés, el particular de los ciudadanos, a no soportar un tributo cuya cuantía individualizada, recordemos, oscila entre los 25 céntimos de euro por día del agroturismo, a los dos euros diarios de los establecimientos hoteleros de cinco estrellas.</w:t>
      </w:r>
    </w:p>
    <w:p w:rsidR="000B622C" w:rsidRDefault="000B622C" w:rsidP="000B622C">
      <w:pPr>
        <w:pStyle w:val="TextoNormal"/>
      </w:pPr>
    </w:p>
    <w:p w:rsidR="000B622C" w:rsidRDefault="000B622C" w:rsidP="000B622C">
      <w:pPr>
        <w:pStyle w:val="TextoNormal"/>
      </w:pPr>
      <w:r>
        <w:t>Por todo lo expuesto, el Pleno del Tribunal</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Levantar la suspensión de la vigencia de la Ley del Parlamento de las Illes Balears 7/2001, de 23 de abril, del Impuesto sobre las Estancias en Empresas Turísticas de Alojamiento, destinado a la dotación del fondo para la mejora de la actividad turística</w:t>
      </w:r>
    </w:p>
    <w:p w:rsidR="000B622C" w:rsidRDefault="000B622C" w:rsidP="000B622C">
      <w:pPr>
        <w:pStyle w:val="TextoNormal"/>
      </w:pPr>
      <w:r>
        <w:t>y la preservación del medio ambiente.</w:t>
      </w:r>
    </w:p>
    <w:p w:rsidR="000B622C" w:rsidRDefault="000B622C" w:rsidP="000B622C">
      <w:pPr>
        <w:pStyle w:val="TextoNormal"/>
      </w:pPr>
    </w:p>
    <w:p w:rsidR="000B622C" w:rsidRDefault="000B622C" w:rsidP="000B622C">
      <w:pPr>
        <w:pStyle w:val="TextoNormal"/>
      </w:pPr>
      <w:r>
        <w:t>Madrid, a quince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07" w:name="AUTO_2002_6"/>
      <w:r>
        <w:lastRenderedPageBreak/>
        <w:t>AUTO 6/2002, de 28 de enero de 2002</w:t>
      </w:r>
    </w:p>
    <w:bookmarkEnd w:id="107"/>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ECLI:ES:TC:2002:6A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Inadmite a trámite el recurso de amparo 290/99, promovido por don Rafael Chico Benítez</w:t>
      </w:r>
    </w:p>
    <w:p w:rsidR="000B622C" w:rsidRDefault="000B622C" w:rsidP="000B622C">
      <w:pPr>
        <w:pStyle w:val="SntesisDescriptiva"/>
      </w:pPr>
    </w:p>
    <w:p w:rsidR="000B622C" w:rsidRDefault="000B622C" w:rsidP="000B622C">
      <w:pPr>
        <w:pStyle w:val="SntesisAnaltica"/>
      </w:pPr>
      <w:r>
        <w:t>Sentencia penal. Acusatorio, principio: correlación entre acusación y fallo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20 de enero de 1999 se registra en este Tribunal escrito firmado por la representación del demandante mediante el que interpone recurso de amparo contra la Sentencia de 17 de diciembre de 1998, de la Sección Tercera de la Audiencia Provincial de Cádiz, constituida con un Magistrado, dictada en el rollo de apelación núm. 147/98, por la que se revoca parcialmente la dictada por el Juzgado de Instrucción núm. 4 de los de Algeciras en juicio de faltas núm. 26/97.</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El recurso tiene su origen en los siguientes antecedentes de hecho que se resumen en lo que concierne al objeto de la demanda: </w:t>
      </w:r>
    </w:p>
    <w:p w:rsidR="000B622C" w:rsidRDefault="000B622C" w:rsidP="000B622C">
      <w:pPr>
        <w:pStyle w:val="TextoNormal"/>
      </w:pPr>
      <w:r>
        <w:t xml:space="preserve">a) El recurrente compareció como denunciado en un juicio de faltas incoado tras un accidente de tráfico acaecido en enero de 1997, en la carretera N-340, a las 23:30 horas, cuando un vehículo que circulaba en dirección a Cádiz colisionó con una vaca retinta de su propiedad que se hallaba obstaculizando la carretera. Como consecuencia de la colisión resultaron lesionados los ocupantes del coche (el conductor, su cónyuge y su hijo), dañado el vehículo, y Los denunciantes (la esposa y el hijo del conductor) solicitaron la condena del propietario de la res (como autor de una falta prevista y penada en el art. 631 del Código Penal -en adelante CP) y la del conductor del vehículo (como autor de una falta prevista y penada en el art. 621.1 del mismo texto legal), acumulando a la pretensión penal la de resarcimiento por las lesiones sufridas. </w:t>
      </w:r>
    </w:p>
    <w:p w:rsidR="000B622C" w:rsidRDefault="000B622C" w:rsidP="000B622C">
      <w:pPr>
        <w:pStyle w:val="TextoNormal"/>
      </w:pPr>
      <w:r>
        <w:t xml:space="preserve">b) La sentencia de instancia condenó al recurrente conforme a la calificación jurídica propuesta por los denunciantes (art. 631 CP) al apreciar la existencia de responsabilidad penal del recurrente por no haber evitado que un animal feroz o dañino de su propiedad (la vaca) quedara suelto o en disposición de causar mal a terceros, imponiéndole como responsabilidad civil el pago de los perjuicios personales y materiales causados, cuyo importe superaba la cuantía de 30 millones de pesetas. </w:t>
      </w:r>
    </w:p>
    <w:p w:rsidR="000B622C" w:rsidRDefault="000B622C" w:rsidP="000B622C">
      <w:pPr>
        <w:pStyle w:val="TextoNormal"/>
      </w:pPr>
      <w:r>
        <w:t xml:space="preserve">Al justificar la condena, el Juez de Instrucción utilizó la siguiente fundamentación: "En el presente caso resulta que el Sr. Chico Benitez ya tenía experiencia de que las vacas se hubieran escapado en otras ocasiones, rompiendo la alambrada. Las vacas de su propiedad están sueltas en un campo, sin que nadie las vigile por la noche, únicamente delimitado </w:t>
      </w:r>
      <w:r>
        <w:lastRenderedPageBreak/>
        <w:t xml:space="preserve">por una alambrada cuya fragilidad resulta evidente ya que -como se dijo- se han escapado en otras ocasiones. En fin, el Sr. Chico Benitez era consciente de que las vacas podían salirse de la alambrada e irrumpir en la calzada con el consiguiente riesgo de los usuarios de la misma y no adoptó ninguna cautela a fin de impedirlo. era tan consciente de que algo como lo ahora enjuiciado podía suceder que contrató un seguro para estas eventualidades (...)" </w:t>
      </w:r>
    </w:p>
    <w:p w:rsidR="000B622C" w:rsidRDefault="000B622C" w:rsidP="000B622C">
      <w:pPr>
        <w:pStyle w:val="TextoNormal"/>
      </w:pPr>
      <w:r>
        <w:t xml:space="preserve">c) El demandante de amparo recurrió en apelación la condena, alegando infracción de ley al entender que la conducta que se le imputaba no era encuadrable en el art. 631 CP por cuanto el animal contra el que colisionó el vehículo era una vaca palurda y mansa que no podía considerarse como animal feroz o dañino, que es lo que exige el art. 631 CP. Añadió que tampoco concurría el elemento subjetivo del injusto exigido por la norma penal (dejar el animal suelto o en disposición de causar mal, a sabiendas) pues la vaca pastaba en una finca cercada con alambrada como es tradicional en la zona. Por último, tras alegar que en la colisión tuvo plena responsabilidad el conductor del vehículo por conducirlo en condiciones tales que no le permitieron salvar el obstáculo que encontró en la calzada, impugnó las cantidades que se habían señalado como responsabilidad civil derivada del ilícito. </w:t>
      </w:r>
    </w:p>
    <w:p w:rsidR="000B622C" w:rsidRDefault="000B622C" w:rsidP="000B622C">
      <w:pPr>
        <w:pStyle w:val="TextoNormal"/>
      </w:pPr>
      <w:r>
        <w:t xml:space="preserve">d) Al impugnar dicho recurso de apelación, los denunciantes y la entidad aseguradora del vehículo implicado en el atropello insistieron en afirmar la responsabilidad penal del recurrente alegando que no había tomado precaución alguna para evitar que las vacas de su propiedad se escaparan del cercado colindante con la carretera, pese a conocer que lo hacían habitualmente. En la impugnación del recurso efectuada por la entidad aseguradora se afirma lo siguiente: "Y desde luego, si una vaca rompe una alambrada esto ocurre porque, al contrario de lo que dice el recurrente, la misma no está en buenas condiciones, ni repasada periódicamente; una alambrada en buen estado no la rompe una res vacuna; la atraviesa cuando está medio caída y los alambres descolgados o rotos, lo que evidencia una falta de cuidado en el que tiene su ganado allí pastando. Y esta negligencia o falta de cuidado es imputable al hoy recurrente, como con acierto, repetimos, establece la sentencia que nos ocupa". </w:t>
      </w:r>
    </w:p>
    <w:p w:rsidR="000B622C" w:rsidRDefault="000B622C" w:rsidP="000B622C">
      <w:pPr>
        <w:pStyle w:val="TextoNormal"/>
      </w:pPr>
      <w:r>
        <w:t>e) La Sección Tercera de la Audiencia Provincial de Cádiz, constituida con un Magistrado, estimó parcialmente el recurso del recurrente al entender que, tal y como alegaba en el recurso de apelación, su conducta no era subsumible en el tipo del art. 631 CP. Sin embargo, el Magistrado que resolvió la apelación consideró que si lo era en el tipo de imprudencia previsto en el art. 621 CP por concurrir todos sus elementos característicos, por lo que absolvió al demandante de la falta por la que se había condenado, pero mantuvo su condena a la pena de veinte días de multa como autor de una falta de imprudencia, manteniendo, también parcialmente, la condena al pago de la responsabilidad civil fijada en la instancia.</w:t>
      </w:r>
    </w:p>
    <w:p w:rsidR="000B622C" w:rsidRDefault="000B622C" w:rsidP="000B622C">
      <w:pPr>
        <w:pStyle w:val="TextoNormal"/>
      </w:pPr>
    </w:p>
    <w:p w:rsidR="000B622C" w:rsidRDefault="000B622C" w:rsidP="000B622C">
      <w:pPr>
        <w:pStyle w:val="TextoNormal"/>
      </w:pPr>
      <w:r w:rsidRPr="000B622C">
        <w:rPr>
          <w:rStyle w:val="NumeroAFNegritaCaracter"/>
        </w:rPr>
        <w:t>3</w:t>
      </w:r>
      <w:r>
        <w:t>. Considera el demandante que la sentencia dictada en apelación ha lesionado sus derechos a un proceso con todas las garantías y a no padecer indefensión por cuanto ha variado la calificación penal de la conducta imputada sin que le haya sido pedido por las partes, introduciendo de esta forma un elemento nuevo en el debate procesal frente al que no ha podido defenderse. Denuncia también que una de sus pretensiones, la referida a la supuesta responsabilidad imprudente del conductor del vehículo, ha quedado imprejuzgada ya que no ha habido contestación razonada a este motivo de impugnación.</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4</w:t>
      </w:r>
      <w:r>
        <w:t>. El pasado 2 de Julio de 2001, la Sección Tercera de este Tribunal Constitucional acordó, de conformidad con lo previsto en el art. 50.3 LOTC, conceder al demandante y al Ministerio Fiscal un plazo común de diez días para formular las alegaciones que estimaran pertinentes en relación con la posible carencia manifiesta de contenido constitucional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Por escrito presentado el 25 de julio de 2001, el recurrente reitera, en defensa de su pretensión de amparo, los argumentos expresados en la demanda, señalando -con cita de la STC 36/1996, de 12 de febrero- que no ha tenido oportunidad procesal para realizar una defensa específica respecto al cambio de calificación jurídica, operado por el órgano judicial de apelación, respecto a la conducta que se le imputa en la condena. </w:t>
      </w:r>
    </w:p>
    <w:p w:rsidR="000B622C" w:rsidRDefault="000B622C" w:rsidP="000B622C">
      <w:pPr>
        <w:pStyle w:val="TextoNormal"/>
      </w:pPr>
      <w:r>
        <w:t xml:space="preserve">6.- El Ministerio Fiscal, en escrito que tuvo entrada en este Tribunal el 30 de julio de 2001, interesó la inadmisión a trámite de la demanda por carecer de contenido constitucional al señalar que la aplicación al caso presente de la doctrina sentada en las SSTC 225/1997 y 302/2000 conduce a considerar que la condena por una falta de imprudencia del art. 621 CP, en vez de por la falta prevista en el art. 631 CP, no supone que el órgano judicial haya vulnerado el principio acusatorio "en cuanto se han respetado en la sentencia condenatoria los hechos traídos al proceso así como la pena impuesta, modificándose únicamente su calificación jurídica, que no obstante ser nominalmente distinta, no implica una divergencia esencial derivada de la naturaleza de ambas infracciones, pues las dos se fundamentan, exclusivamente, en un actuar indiligente por parte del sujeto; contemplándose en una de ellas la efectiva realización de una previsible lesión de un bien jurídico, y en la otra, la mera puesta en peligro de ese mismo bien jurídico. Diferencia que resulta aún más desdibujada teniendo en cuenta que aunque en la infracción de peligro no aparezca como elemento típico la causación de un resultado, es lo cierto que cuando se añade éste al concreto suceso acaecido, no varía la realización del tipo penal previsto, de modo que éste puede concurrir perfectamente con un resultado sin sufrir afectación su naturaleza, que por ello aparece mostrando una práctica identidad con la que corresponde a las infracciones imprudentes". </w:t>
      </w:r>
    </w:p>
    <w:p w:rsidR="000B622C" w:rsidRDefault="000B622C" w:rsidP="000B622C">
      <w:pPr>
        <w:pStyle w:val="TextoNormal"/>
      </w:pPr>
      <w:r>
        <w:t>Por último, entiende que no se da la denunciada incongruencia omisiva en que habría incurrido la sentencia de apelación por cuanto la misma, si bien con parquedad, ha dado respuesta razonada a todas las pretensiones planteadas como motivos de impugnación, al descartar la existencia de prueba sobre la supuesta conducta indiligente del conductor del vehículo.</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La pretensión de amparo se dirige contra la Sentencia de la Sección Tercera de la Audiencia Provincial de Cádiz, dictada en apelación, por la que se condena al recurrente como autor de una falta de imprudencia prevista y penada en el art. 621 del Código Penal vigente, pese a que la sentencia de instancia y las pretensiones acusatorias entonces formuladas, ratificadas en la apelación, calificaron los hechos conforme al art. 631 CP, que prevé la responsabilidad penal de "los dueños o encargados de la custodia de animales feroces o dañinos que los dejaren sueltos o en condiciones de causar mal".</w:t>
      </w:r>
    </w:p>
    <w:p w:rsidR="000B622C" w:rsidRDefault="000B622C" w:rsidP="000B622C">
      <w:pPr>
        <w:pStyle w:val="TextoNormal"/>
      </w:pPr>
      <w:r>
        <w:t xml:space="preserve">Para quien demanda el amparo ante este Tribunal, la sentencia condenatoria cuestionada ha vulnerado el art. 24 CE, tanto por incurrir en incongruencia omisiva al no haber dado respuesta a uno de sus motivos de impugnación, como por haber variado la calificación </w:t>
      </w:r>
      <w:r>
        <w:lastRenderedPageBreak/>
        <w:t>jurídica de los hechos enjuiciados, lo que, en su opinión, ha provocado que no haya podido defenderse previamente frente a la acusación por el tipo penal de "imprudencia" previsto como falta contra las personas en el art. 621 CP, pues esta calificación de la conducta denunciada nunca fue formulada expresamente en el juicio de faltas. Considera, por esta segunda razón, que ha quedado indefenso al no haberse respetado en el proceso penal el principio acusatorio por no existir correlación entre el contenido de la acusación formulada en primera y segunda instancia y la sentencia condenatoria.</w:t>
      </w:r>
    </w:p>
    <w:p w:rsidR="000B622C" w:rsidRDefault="000B622C" w:rsidP="000B622C">
      <w:pPr>
        <w:pStyle w:val="TextoNormal"/>
      </w:pPr>
    </w:p>
    <w:p w:rsidR="000B622C" w:rsidRDefault="000B622C" w:rsidP="000B622C">
      <w:pPr>
        <w:pStyle w:val="TextoNormal"/>
      </w:pPr>
      <w:r w:rsidRPr="000B622C">
        <w:rPr>
          <w:rStyle w:val="NumeroAFNegritaCaracter"/>
        </w:rPr>
        <w:t>2</w:t>
      </w:r>
      <w:r>
        <w:t>. Dada su manifiesta falta de contenido es procedente descartar, en primer lugar, la denunciada indefensión por incongruencia omisiva. Tal y como se expuso en las SSTC 15/1999, de 22 de febrero y 53/1999, de 12 de abril, el vicio de incongruencia, entendido como desajuste entre el fallo judicial y los términos en que las partes formularon sus pretensiones, concediendo más o menos o cosa distinta de lo pedido, sólo adquiere relevancia constitucional, por entrañar una vulneración del principio de contradicción lesiva del derecho a la tutela judicial, cuando la desviación sea de tal naturaleza que suponga una sustancial modificación de los términos en que discurrió la controversia procesal. Dicho con palabras de la STC 53/1999: "la llamada incongruencia omisiva sólo tiene relevancia constitucional cuando, por dejar imprejuzgada la pretensión oportunamente planteada, el órgano judicial no tutela los derechos e intereses legítimos sometidos a su jurisdicción, provocando una denegación de justicia (SSTC 53/1991, FJ 2., y 57/1997, FJ 5.). Denegación que se comprueba examinando si existe "un desajuste externo" entre el fallo judicial y las pretensiones de las partes, nunca verificando "la lógica de los argumentos" empleados por el juzgador para fundar su fallo (STC 118/1989, FJ 3.)".</w:t>
      </w:r>
    </w:p>
    <w:p w:rsidR="000B622C" w:rsidRDefault="000B622C" w:rsidP="000B622C">
      <w:pPr>
        <w:pStyle w:val="TextoNormal"/>
      </w:pPr>
      <w:r>
        <w:t>Pues bien, la aplicación de esta doctrina al supuesto analizado lleva directamente a la conclusión de que, desde la perspectiva propia del amparo constitucional, la pretensión analizada carece de fundamento. Así es, el recurrente impugnó la sentencia de instancia alegando que la responsabilidad de las lesiones sufridas en el accidente de tráfico que dio lugar al juicio de faltas era atribuible al conductor del vehículo, pues debía manejar el suyo de forma tal que le permitiera sortear el obstáculo que, ya entrada la noche, encontró en la calzada.  El órgano de apelación rechazó dicho motivo de impugnación y dicha imputación de responsabilidad por conducción indiligente al considerar que no existía en las actuaciones prueba alguna de la previsibilidad y evitabilidad de la colisión con el animal (fundamento jurídico cuarto de la Sentencia de apelación).  Por tanto, la resolución impugnada se pronunció expresamente sobre la pretensión que había deducido el recurrente, denegando la responsabilidad penal del conductor del vehículo, por lo que, al responder a la pretensión deducida por el demandante, no ha negado la tutela judicial prescrita por el art. 24.1 CE, pues dicho precepto no garantiza el derecho a una respuesta pormenorizada a todas y cada una de las alegaciones que se formulen, de manera que si, como en este caso, el ajuste es sustancial y se resuelven las pretensiones, no existe denegación de justicia (SSTC 29/1987, de 6 de marzo, FJ 3, y 91/1995, de 19 de junio, FJ 4.).</w:t>
      </w:r>
    </w:p>
    <w:p w:rsidR="000B622C" w:rsidRDefault="000B622C" w:rsidP="000B622C">
      <w:pPr>
        <w:pStyle w:val="TextoNormal"/>
      </w:pPr>
    </w:p>
    <w:p w:rsidR="000B622C" w:rsidRDefault="000B622C" w:rsidP="000B622C">
      <w:pPr>
        <w:pStyle w:val="TextoNormal"/>
      </w:pPr>
      <w:r w:rsidRPr="000B622C">
        <w:rPr>
          <w:rStyle w:val="NumeroAFNegritaCaracter"/>
        </w:rPr>
        <w:t>3</w:t>
      </w:r>
      <w:r>
        <w:t>. La supuesta lesión del art. 24 CE, anudada a la del "principio acusatorio", que fundamenta la primera de las pretensiones de amparo expuestas en la demanda no ha de correr mejor suerte que la ya analizada, ya que el recurrente no ha sido condenado por cosa distinta de la que se le acusaba y de la que, por ello, pudo defenderse, pues, como expondremos a continuación, la condena se ha dictado según los elementos que conformaron el debate contradictorio en ambas instancias, por más que la sentencia dictada en apelación haya variado la calificación jurídica de los hechos propugnada por las partes acusadoras.</w:t>
      </w:r>
    </w:p>
    <w:p w:rsidR="000B622C" w:rsidRDefault="000B622C" w:rsidP="000B622C">
      <w:pPr>
        <w:pStyle w:val="TextoNormal"/>
      </w:pPr>
      <w:r>
        <w:lastRenderedPageBreak/>
        <w:t>Como hemos recordado en la STC 143/2001, de 18 de junio, la posibilidad de contradicción es una de las reglas esenciales del desarrollo del proceso (SSTC 41/1997, de 10 de marzo; 218/1997, de 4 de diciembre, 138/1999, de 22 de julio, y 91/2000, de 4 de mayo), sin cuya concurrencia la idea de juicio justo es una simple quimera. Del derecho de defensa contradictoria, hemos dicho, son manifestaciones instrumentales los derechos a ser informado de la acusación, a utilizar los medios de prueba, a no declarar contra sí mismo, o el derecho a no confesarse culpable (STC 29/1995, de 6 de febrero).  Además, su carácter nuclear y estructural convierten la posibilidad de contradicción en fundamento de las obligaciones judiciales de emplazamiento personal y congruencia, así como en exigencia de validez de la actividad probatoria, ya sea la sumarial reconstituida (SSTC 200/1996, de 3 de diciembre; y 40/1997, de 27 de febrero) o la practicada en el juicio oral, de manera que puede afirmarse que ningún pronunciamiento fáctico o jurídico puede hacerse en el proceso penal si no ha venido precedido de la posibilidad de contradicción sobre su contenido, pues, el derecho a ser oído en juicio en defensa de los propios derechos e intereses es garantía demasiado esencial del Estado de Derecho como para matizarlo o ponerle adjetivos (STC 144/1997, de 15 de septiembre). Es indudable, por tanto, que, tal y como aduce el recurrente,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FJ 2.-. Por ello, hemos reiterado que el Tribunal penal ha de pronunciarse siempre dentro de los términos del debate, de forma que exista correlación entre la acusación y el fallo (SSTC 11/1992, de 27 de enero, FJ 3.; 95/1995, de 19 de junio, FJ 2.; 36/1996, de 11 de marzo, FJ 4. y 225/1997, de 15 de diciembre, FJ 3).</w:t>
      </w:r>
    </w:p>
    <w:p w:rsidR="000B622C" w:rsidRDefault="000B622C" w:rsidP="000B622C">
      <w:pPr>
        <w:pStyle w:val="TextoNormal"/>
      </w:pPr>
      <w:r>
        <w:t>Pero la correlación entre acusación y fallo constitucionalmente exigible no es la identidad que propone el recurrente, pues, como en la última de las sentencias citadas tuvimos ocasión de señalar, " ... la sujeción de la condena a la acusación no puede ir tan lejos como para impedir que el órgano judicial modifique la calificación de los hechos enjuiciados en el ámbito de los elementos que han sido o han podido ser objeto de debate contradictorio (pues)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(SSTC 10/1988, FJ 2 y 302/2000, de 11 de diciembre). En este sentido, "el órgano judicial, si así lo considera, no está vinculado por la tipificación o la imputación" que en la acusación se verifique (STC 11/1992, FJ 3).".</w:t>
      </w:r>
    </w:p>
    <w:p w:rsidR="000B622C" w:rsidRDefault="000B622C" w:rsidP="000B622C">
      <w:pPr>
        <w:pStyle w:val="TextoNormal"/>
      </w:pPr>
      <w:r>
        <w:t>Las exigencias constitucionales de correlación entre la calificación jurídica de la acusación y la del fallo se colman cuando se constata una analogía entre los elementos esenciales de los tipos delictivos puestos en relación, de tal manera que la acusación por un determinado delito posibilite per se la defensa en relación con el homogéneo respecto a él, que sirve de fundamento al fallo condenatorio. No se trata, por tanto, de una homogeneidad material de los títulos en los que se encuadra penalmente cada tipo delictivo, sino que es preciso que "estando contenidos todos los elementos del segundo tipo en el tipo delictivo objeto de la acusación, no haya en la condena ningún elemento nuevo del que el acusado no haya podido defenderse" (ATC 244/1995 FJ 2.)."</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Teniendo en cuenta la anterior jurisprudencia, puede ya justificarse el rechazo, antes apuntado, de la pretensión de amparo, pues, en el caso analizado, la condena no se produjo </w:t>
      </w:r>
      <w:r>
        <w:lastRenderedPageBreak/>
        <w:t>por hechos o perspectivas jurídicas que de facto no hayan sido o no hayan podido ser plenamente debatidas y contrarrestadas por el recurrente a la vista del desarrollo del juicio oral y el debate mantenido en la apelación.</w:t>
      </w:r>
    </w:p>
    <w:p w:rsidR="000B622C" w:rsidRDefault="000B622C" w:rsidP="000B622C">
      <w:pPr>
        <w:pStyle w:val="TextoNormal"/>
      </w:pPr>
      <w:r>
        <w:t>Así es, como con mucho mas detalle se recoge en los antecedentes, si bien la condena en segunda instancia por la falta de imprudencia prevista en el art.  621 CP vino precedida de la acusación por una falta del art. 631 CP, el debate procesal, tanto en el juicio oral como en la apelación tuvo por contenido la conducta del recurrente, en cuanto propietario de una res que invadió la carretera N-340, y su posible incardinación en esa calificación jurídica que tanto los denunciantes como el Juez de Instrucción consideraron siempre que se refería a una conducta indiligente.</w:t>
      </w:r>
    </w:p>
    <w:p w:rsidR="000B622C" w:rsidRDefault="000B622C" w:rsidP="000B622C">
      <w:pPr>
        <w:pStyle w:val="TextoNormal"/>
      </w:pPr>
      <w:r>
        <w:t>Cabe apreciar razonablemente que la discusión del supuesto fáctico que se proponía subsumir en el tipo penal del art. 631 CP (responsabilidad penal del dueño de animales feroces o dañinos que los dejaren sueltos o en disposición de causar mal) abarcaba todos los elementos del supuesto de hecho que da lugar a la calificación jurídica de imprudencia, pues a tenor del contenido de las preguntas formuladas en el juicio, las alegaciones vertidas al defender la pretensión de condena y los razonamientos del Juez de instancia, lo que se discutió y valoró fue si el recurrente adoptó las medidas de precaución exigibles para evitar que sus animales abandonaran el cercado con el peligro para la circulación que suponía la eventual invasión de la calzada.  Puesto que este, y no otro, fue el contenido del debate, cualquiera que sea la posición dogmática que se mantenga acerca de la estructura de los tipos penales en discusión, ninguna tacha cabe oponer a la razonabilidad de la afirmación judicial según la cual existe afinidad entre el tipo delictivo por el que se formuló la acusación y aquel otro que justificó la condena en segunda instancia.</w:t>
      </w:r>
    </w:p>
    <w:p w:rsidR="000B622C" w:rsidRDefault="000B622C" w:rsidP="000B622C">
      <w:pPr>
        <w:pStyle w:val="TextoNormal"/>
      </w:pPr>
      <w:r>
        <w:t>Constatada tal afinidad o correlación entre la acusación y el fallo, entre el debate procesal y los términos de la condena, la pretensión de amparo ha de ser rechazada pues no identifica el recurrente en su demanda, ni tampoco el estudio de las resoluciones impugnadas permite apreciarlo, qué elemento esencial de la calificación final que justificó el fallo no pudo ser plena y frontalmente contradicho en el debate procesal previo, sin que sea suficiente, por las razones expuestas, fundar la queja en la variación del título de imputación, ya que tal modificación no es suficiente para apreciar la alegada lesión de su derecho fundamental a no padecer indefensión, pues pudo el recurrente defenderse con plenitud de la realidad de los hechos que fundamentaron la pretensión de condena y de la razón jurídica de la misma, que no fue otra que la apreciación judicial de una conducta indiligente.</w:t>
      </w:r>
    </w:p>
    <w:p w:rsidR="000B622C" w:rsidRDefault="000B622C" w:rsidP="000B622C">
      <w:pPr>
        <w:pStyle w:val="TextoNormal"/>
      </w:pPr>
      <w:r>
        <w:t>En la medida en que se inadmite a trámite la demanda de amparo no ha lugar a pronunciarse sobre la petición de suspensión planteada.</w:t>
      </w:r>
    </w:p>
    <w:p w:rsidR="000B622C" w:rsidRDefault="000B622C" w:rsidP="000B622C">
      <w:pPr>
        <w:pStyle w:val="TextoNormal"/>
      </w:pPr>
    </w:p>
    <w:p w:rsidR="000B622C" w:rsidRDefault="000B622C" w:rsidP="000B622C">
      <w:pPr>
        <w:pStyle w:val="TextoNormal"/>
      </w:pPr>
      <w:r>
        <w:t>Por todo lo expuesto, y de conformidad con el artículo 50.1 c) LOTC,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 la demanda de amparo y el archivo de las actuaciones.</w:t>
      </w:r>
    </w:p>
    <w:p w:rsidR="000B622C" w:rsidRDefault="000B622C" w:rsidP="000B622C">
      <w:pPr>
        <w:pStyle w:val="TextoNormal"/>
      </w:pPr>
    </w:p>
    <w:p w:rsidR="000B622C" w:rsidRDefault="000B622C" w:rsidP="000B622C">
      <w:pPr>
        <w:pStyle w:val="TextoNormal"/>
      </w:pPr>
      <w:r>
        <w:t>Notifíquese al demandante y al Ministerio Fiscal.</w:t>
      </w:r>
    </w:p>
    <w:p w:rsidR="000B622C" w:rsidRDefault="000B622C" w:rsidP="000B622C">
      <w:pPr>
        <w:pStyle w:val="TextoNormal"/>
      </w:pPr>
      <w:r>
        <w:t>En Madrid, a veintiocho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08" w:name="AUTO_2002_7"/>
      <w:r>
        <w:lastRenderedPageBreak/>
        <w:t>AUTO 7/2002, de 28 de enero de 2002</w:t>
      </w:r>
    </w:p>
    <w:bookmarkEnd w:id="108"/>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ECLI:ES:TC:2002:7A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doña María Emilia Casas Baamonde y don Javier Delgado Barrio.</w:t>
      </w:r>
    </w:p>
    <w:p w:rsidR="000B622C" w:rsidRDefault="000B622C" w:rsidP="000B622C">
      <w:pPr>
        <w:pStyle w:val="SntesisDescriptiva"/>
      </w:pPr>
    </w:p>
    <w:p w:rsidR="000B622C" w:rsidRDefault="000B622C" w:rsidP="000B622C">
      <w:pPr>
        <w:pStyle w:val="SntesisDescriptiva"/>
      </w:pPr>
      <w:r>
        <w:t>Acuerda suspensión en el recurso de amparo 2760-2000, promovido por don Pedro José Ramírez Codina y otros</w:t>
      </w:r>
    </w:p>
    <w:p w:rsidR="000B622C" w:rsidRDefault="000B622C" w:rsidP="000B622C">
      <w:pPr>
        <w:pStyle w:val="SntesisDescriptiva"/>
      </w:pPr>
    </w:p>
    <w:p w:rsidR="000B622C" w:rsidRDefault="000B622C" w:rsidP="000B622C">
      <w:pPr>
        <w:pStyle w:val="SntesisAnaltica"/>
      </w:pPr>
      <w:r>
        <w:t>Suspensión cautelar de sentencias civiles: publicación de fallo en diario, suspende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12 de mayo de 2000, don José Luis Ferrer Recuero, Procurador de los Tribunales y de don Pedro J. Ramírez Codina, don José María Zavala Chicharro y "Unidad Editorial, S.A.", interpuso recurso de amparo contra la resolución judicial que se cita en el encabezamiento y contra las dos que le preceden en el orden procesal: Sentencia del Juzgado de Primera Instancia núm. 17 de Madrid, de 6 de mayo de 1996 (autos del juicio incidental núm. 567/94) y Sentencia de la Sección Decimotercera de la Audiencia Provincial de Madrid, de 5 de febrero de 1998 (rollo de apelación núm. 720/96). La Sentencia de primera instancia había condenado a la parte hoy demandante de amparo por vulneración del derecho al honor de varias personas mediante un artículo periodístico (publicado en el ejemplar del diario "El Mundo del Siglo XXI" de 19 de mayo de 1994) en el que se hacía referencia a supuestas actividades financieras irregulares. La condena de primera instancia, luego confirmada en apelación y en casación, consistió en una indemnización a los dos demandantes civiles (en cuantía de dos millones de pesetas) y la publicación del texto de la Sentencia en el propio diario.</w:t>
      </w:r>
    </w:p>
    <w:p w:rsidR="000B622C" w:rsidRDefault="000B622C" w:rsidP="000B622C">
      <w:pPr>
        <w:pStyle w:val="TextoNormal"/>
      </w:pPr>
    </w:p>
    <w:p w:rsidR="000B622C" w:rsidRDefault="000B622C" w:rsidP="000B622C">
      <w:pPr>
        <w:pStyle w:val="TextoNormal"/>
      </w:pPr>
      <w:r w:rsidRPr="000B622C">
        <w:rPr>
          <w:rStyle w:val="NumeroAFNegritaCaracter"/>
        </w:rPr>
        <w:t>2</w:t>
      </w:r>
      <w:r>
        <w:t>. A juicio de los recurrentes, en el proceso de primera instancia, ante el Juzgado de Primera Instancia núm. 17 de Madrid, no se práctico parte de la prueba pericial propuesta y aceptada: la transcripción de ciertos disquetes informáticos en poder del diario "El Mundo del Siglo XXI". Este defecto probatorio habría infringido el derecho a utilizar los medios de prueba pertinentes (art. 24.2 CE). De otro lado, en la Sentencia de casación impugnada -así como en las de primera instancia y apelación- no se habrían ponderado adecuadamente los derechos fundamentales en concurrencia: derecho al honor (art. 18.1 CE) y derecho a comunicar libremente información veraz [art. 20.1 d) CE], y ello por una incorrecta exigencia de veracidad en la información controvertida. En la demanda de amparo se pide, por "otrosí", la suspensión de la Sentencia del Tribunal Supremo impugnada en lo referente a su publicación en el diario "El Mundo del Siglo XXI".</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3</w:t>
      </w:r>
      <w:r>
        <w:t>. Mediante providencia de 4 de diciembre de 2001 la Sección Primera de este Tribunal acordó la formación de la presente pieza separada de suspensión y, de conformidad con lo prevenido en el art. 56 LOTC, dar un plazo común de tres días al Ministerio Fiscal y al solicitante de amparo para que alegaran lo que estimasen pertinente en relación con la posible suspensión de la resolución judicial impugnada</w:t>
      </w:r>
    </w:p>
    <w:p w:rsidR="000B622C" w:rsidRDefault="000B622C" w:rsidP="000B622C">
      <w:pPr>
        <w:pStyle w:val="TextoNormal"/>
      </w:pPr>
    </w:p>
    <w:p w:rsidR="000B622C" w:rsidRDefault="000B622C" w:rsidP="000B622C">
      <w:pPr>
        <w:pStyle w:val="TextoNormal"/>
      </w:pPr>
      <w:r w:rsidRPr="000B622C">
        <w:rPr>
          <w:rStyle w:val="NumeroAFNegritaCaracter"/>
        </w:rPr>
        <w:t>4</w:t>
      </w:r>
      <w:r>
        <w:t>. El escrito de alegaciones de los solicitantes de amparo tuvo entrada en este Tribunal el 12 de diciembre de 2001. En él se afirma, de forma sucinta, que la publicación de la Sentencia impugnada afectaría a la credibilidad del medio; también se informa de que al tiempo de las alegaciones ya estaban satisfechas las indemnizaciones impuestas a los recurrentes.</w:t>
      </w:r>
    </w:p>
    <w:p w:rsidR="000B622C" w:rsidRDefault="000B622C" w:rsidP="000B622C">
      <w:pPr>
        <w:pStyle w:val="TextoNormal"/>
      </w:pPr>
    </w:p>
    <w:p w:rsidR="000B622C" w:rsidRDefault="000B622C" w:rsidP="000B622C">
      <w:pPr>
        <w:pStyle w:val="TextoNormal"/>
      </w:pPr>
      <w:r w:rsidRPr="000B622C">
        <w:rPr>
          <w:rStyle w:val="NumeroAFNegritaCaracter"/>
        </w:rPr>
        <w:t>5</w:t>
      </w:r>
      <w:r>
        <w:t>. Con fecha 17 de diciembre de 2001 tuvo entrada el escrito de alegaciones del Ministerio Fiscal, quien pide la suspensión de la publicación de la Sentencia impugnada. Funda aquella petición en que la publicación de dicha Sentencia ocasionaría un perjuicio irreparable en la credibilidad del medio de comunicación; de otro lado, considera el Ministerio Fiscal, no existe ningún interés general relevante que se oponga a la suspensión mencionada. Cita aquí el Ministerio Fiscal varias resoluciones anteriores de este Tribunal: AATC 123/1996; 84/1997; 13/1999; y 211/1999.</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Nuestra Ley Orgánica ha previsto una medida cautelar -art. 56.1- estableciendo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Este supuesto de hecho queda completado en el propio precepto con la introducción de un elemento excluyente de la suspensión para cuando de ella pueda seguirse "perturbación grave de los intereses generales o de los derechos fundamentales o libertades públicas de un tercero". En la interpretación de la referida norma, este Tribunal viene manteniendo que hay perjuicio atendible cuando el restablecimiento del recurrente en el derecho constitucional vulnerado sea tardío e impida definitivamente que tal restauración sea efectiva (AATC 51/1989, 20/1992, 370/1996, 69/1997, 263/1998 y 215/1999). En suma, puede afirmarse que el art. 56.1 LOTC parte de la premisa de que la interposición de un recurso de amparo no suspende, como regla general, la ejecución de los actos recurridos, salvo en el supuesto expresamente previsto de la pérdida de la finalidad del amparo y, aun en este caso, con subordinación a que la suspensión no produzca las perturbaciones aludidas en el mismo (AATC 156 y 157/1999).</w:t>
      </w:r>
    </w:p>
    <w:p w:rsidR="000B622C" w:rsidRDefault="000B622C" w:rsidP="000B622C">
      <w:pPr>
        <w:pStyle w:val="TextoNormal"/>
      </w:pPr>
    </w:p>
    <w:p w:rsidR="000B622C" w:rsidRDefault="000B622C" w:rsidP="000B622C">
      <w:pPr>
        <w:pStyle w:val="TextoNormal"/>
      </w:pPr>
      <w:r w:rsidRPr="000B622C">
        <w:rPr>
          <w:rStyle w:val="NumeroAFNegritaCaracter"/>
        </w:rPr>
        <w:t>2</w:t>
      </w:r>
      <w:r>
        <w:t>. En aplicación de la anterior doctrina, este Tribunal viene apreciando que la condena a la publicación de la parte dispositiva de una Sentencia normalmente ocasiona un perjuicio que haría perder al amparo su finalidad, caso de otorgarse posteriormente éste (AATC 239/1990, 25/1991, 165/1995, 135/1996, 84/1997, 13/1999, 18/2001 y 44/2001).  Así, hemos declarado reiteradamente que "procede la suspensión de la obligación de publicar la Sentencia impugnada en el medio en que se publicó la noticia que dio lugar al litigio, pues la ejecución de esta parte de la condena sí podría generar perjuicios irreparables, co</w:t>
      </w:r>
      <w:r>
        <w:lastRenderedPageBreak/>
        <w:t>mo han alegado los recurrentes, concernientes a la credibilidad del medio y, consiguientemente, de los profesionales afectados, que se vería directamente menoscabada por tal publicación. Por lo que la difusión de la Sentencia condenatoria podría hacer perder al amparo "gran parte de su finalidad" (AATC 165/1995, 135/1996 y 84/1997).- 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el contrario, como ya declaró el ATC 237/1996, recogiendo una reiterada doctrina de este Tribunal en procesos de amparo promovidos por los titulares y profesionales de medios de comunicación invocando el derecho a la información, de no proceder a la suspensión podría quedar gravemente afectado el derecho de los recurrentes si este Tribunal lo reconociese en su resolución sobre el fondo del asunto, con lo que esta decisión perdería su sentido esencial de protección de derechos fundamentales (ATC 123/1996)".</w:t>
      </w:r>
    </w:p>
    <w:p w:rsidR="000B622C" w:rsidRDefault="000B622C" w:rsidP="000B622C">
      <w:pPr>
        <w:pStyle w:val="TextoNormal"/>
      </w:pPr>
      <w:r>
        <w:t>Pues bien, en el caso que nos ocupa también debemos apreciar, siguiendo lo alegado por el Ministerio Fiscal, que la publicación de la Sentencia impugnada afectaría a la credibilidad del diario "El Mundo del Siglo XXI", máxime cuando la condena está fundada, precisamente, en la falta de veracidad de la información contenida en dicho diario. De otro lado, no se produce con ello una afectación grave de los intereses generales o de terceros cuya satisfacción queda, en su caso, meramente aplazada.</w:t>
      </w:r>
    </w:p>
    <w:p w:rsidR="000B622C" w:rsidRDefault="000B622C" w:rsidP="000B622C">
      <w:pPr>
        <w:pStyle w:val="TextoNormal"/>
      </w:pPr>
    </w:p>
    <w:p w:rsidR="000B622C" w:rsidRDefault="000B622C" w:rsidP="000B622C">
      <w:pPr>
        <w:pStyle w:val="TextoNormal"/>
      </w:pPr>
      <w:r>
        <w:t>Por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Suspender la ejecución de la Sentencia dictada por el Juzgado de Primera Instancia núm. 17 de los de Madrid el 6 de mayo de 1996 en lo autos incidentales 567/94, confirmada después por la Audiencia Provincial de Madrid y en definitiva por la Sentencia de</w:t>
      </w:r>
    </w:p>
    <w:p w:rsidR="000B622C" w:rsidRDefault="000B622C" w:rsidP="000B622C">
      <w:pPr>
        <w:pStyle w:val="TextoNormal"/>
      </w:pPr>
      <w:r>
        <w:t>la Sala Primera del Tribunal Supremo de 11 de abril de 2000, recaída en el recurso de casación núm. 1165/94, exclusivamente en lo que respecta a la publicación de la primera de las indicadas Sentencias.</w:t>
      </w:r>
    </w:p>
    <w:p w:rsidR="000B622C" w:rsidRDefault="000B622C" w:rsidP="000B622C">
      <w:pPr>
        <w:pStyle w:val="TextoNormal"/>
      </w:pPr>
    </w:p>
    <w:p w:rsidR="000B622C" w:rsidRDefault="000B622C" w:rsidP="000B622C">
      <w:pPr>
        <w:pStyle w:val="TextoNormal"/>
      </w:pPr>
      <w:r>
        <w:t>Madrid, a veintiocho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09" w:name="AUTO_2002_8"/>
      <w:r>
        <w:lastRenderedPageBreak/>
        <w:t>AUTO 8/2002, de 28 de enero de 2002</w:t>
      </w:r>
    </w:p>
    <w:bookmarkEnd w:id="109"/>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ECLI:ES:TC:2002:8A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4852-2000, promovido por don Francisco Moreno Fernández</w:t>
      </w:r>
    </w:p>
    <w:p w:rsidR="000B622C" w:rsidRDefault="000B622C" w:rsidP="000B622C">
      <w:pPr>
        <w:pStyle w:val="SntesisDescriptiva"/>
      </w:pPr>
    </w:p>
    <w:p w:rsidR="000B622C" w:rsidRDefault="000B622C" w:rsidP="000B622C">
      <w:pPr>
        <w:pStyle w:val="SntesisAnaltica"/>
      </w:pPr>
      <w:r>
        <w:t>Sentencia penal. Derecho a la presunción de inocencia: declaración incriminatoria de coimputado. Prueba de cargo: reconocimiento judicial. Derecho a un juez imparcial: procesamiento confirmado en apelación, respetado; imparcialidad objetiva.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El Procurador de los Tribunales don José Luis Barragué Fernández, actuando en nombre y representación de don Francisco Moreno Fernández, presentó en el Juzgado de guardia de Madrid el 7 de septiembre de 2000, con entrada en el Registro de este Tribunal el siguiente día 8 del mismo mes, escrito formulando recurso de amparo contra la Sentencia de la Sección Cuarta de la Audiencia Provincial de Murcia, de fecha 30 de diciembre de 1998, dictada en el rollo núm. 54/96 y contra la Sentencia de la Sala de lo Penal del Tribunal Supremo, de fecha 5 de julio de 2000, dictada en el recurso de casación núm. 813/99. </w:t>
      </w:r>
    </w:p>
    <w:p w:rsidR="000B622C" w:rsidRDefault="000B622C" w:rsidP="000B622C">
      <w:pPr>
        <w:pStyle w:val="TextoNormal"/>
      </w:pPr>
      <w:r>
        <w:t>Según se afirma en la demanda de amparo, y consta en la documentacSentencia de la Audiencia Provincial de Murcia, amén de otros pronunciamientos, condenó al ahora recurrente en amparo, Sr. Moreno Fernández, "como autor responsable de los delitos de tráfico d</w:t>
      </w:r>
    </w:p>
    <w:p w:rsidR="000B622C" w:rsidRDefault="000B622C" w:rsidP="000B622C">
      <w:pPr>
        <w:pStyle w:val="TextoNormal"/>
      </w:pPr>
      <w:r>
        <w:t>e drogas y robo con intimidación, ya definidos, a la pena de cuatro años, dos meses y un día de prisión menor, con suspensión del ejercicio del derecho de sufragio pasivo durante el tiempo de la condena y multa de 51.000.000 pts. o arresto sustitutorio de seis meses por el primero (Código Penal 1973), y cuatro años, dos meses y un día de prisión menor, con suspensión del ejercicio del derecho de sufragio pasivo por el segundo (Código Penal 1973)". La Sentencia de la Sala de lo Penal del Tribunal Supremo declaró, también entre otros pronunciamientos, no haber lugar al recurso de casación que se había formulado en representación del Sr. Moreno Fernández.</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En la demanda de amparo se alega que las expresadas Sentencias vulneraron los derechos fundamentales a la presunción de inocencia y al Juez imparcial, consagrados ambos por el art. 24 CE. Asimismo se imputa a la Sentencia de la Sala de lo Penal del Tribunal Supremo la vulneración del derecho a la tutela judicial efectiva por incongruencia omisiva, también reconocido por el art. 24 CE. </w:t>
      </w:r>
    </w:p>
    <w:p w:rsidR="000B622C" w:rsidRDefault="000B622C" w:rsidP="000B622C">
      <w:pPr>
        <w:pStyle w:val="TextoNormal"/>
      </w:pPr>
      <w:r>
        <w:lastRenderedPageBreak/>
        <w:t xml:space="preserve">a) La pretendida vulneración del derecho a la presunción de inocencia se fundamenta por el recurrente en "la ausencia de pruebas de cargo para las condenas que le han sido impuestas". El recurrente, amén de cuestionar, en términos generales, la existencia de prueba de cargo para fundamentar la comisión de los delitos contra la salud pública y robo con intimidación, justifica tal alegación, respecto de su concreta participación en los hechos, del siguiente modo: "... de un lado, por cuanto había sido el testimonio y reconocimiento en rueda de un único imputado de los siete que junto a mi representado habían resultado condenados la única prueba citada en la Sentencia en la que descansaba la condena de mi representado por sendos delitos contra la salud pública y robo; de otro, porque esta parte entendía que ante la falta de corroboración en el acto del juicio oral del reconocimiento efectuado en sede sumarial, y no habiendo sido sometida esa modificación a contradicción por el Ministerio Público en la vista, quien no procedió de conformidad con lo prevenido en la Ley de Enjuiciamiento Criminal al objeto de averiguar cuál de las dos declaraciones era la veraz, dicha prueba no podía ser estimada como apta para desvirtuar la presunción de inocencia, más aún cuando en la Sentencia de la Sección 4ª de la Audiencia Provincial no se justificaban o razonaban las causas que habían llevado al Tribunal a decantarse por las declaraciones sumariales frente a las prestadas en sede de plenario, y finalmente porque, en cualquier caso, dicha prueba aparecía como única, lo que tampoco la habilita como suficiente para destruir la presunción de inocencia conforme a la más reciente doctrina de este Tribunal y debía ser entendida como nula por cuanto el reconocimiento en rueda efectuado venía precedido de un previo reconocimiento fotográfico en el que la intervención de los funcionarios policiales, tal y como consta en el Acta levantada, determinó sin duda los posteriores acontecimientos". A continuación se refiere el recurrente a la jurisprudencia constitucional sobre la presunción de inocencia y sobre el valor incriminatorio de las declaraciones de un coimputado. </w:t>
      </w:r>
    </w:p>
    <w:p w:rsidR="000B622C" w:rsidRDefault="000B622C" w:rsidP="000B622C">
      <w:pPr>
        <w:pStyle w:val="TextoNormal"/>
      </w:pPr>
      <w:r>
        <w:t xml:space="preserve">b) El recurrente fundamenta la vulneración del derecho a un Juez imparcial en el hecho de que, según dice textualmente en su escrito de recurso, "los miembros que integraban la Sección Cuarta de la Ilma. Audiencia Provincial de Murcia que dictó la Sentencia que en este momento, junto con la de la Sala Segunda del Tribunal Supremo, se recurre fueron los mismos que en una fase anterior del proceso dictaron el Auto de fecha 3 de diciembre de 1996 por el que se confirmaba en apelación el Auto de Procesamiento de 26 de febrero de 1996", añadiendo que "no sólo se produjo esta coincidencia respecto de los miembros que conformaron el Tribunal, sino que, además, el Magistrado Ponente en ambos casos fue la misma persona". A continuación invoca la jurisprudencia sobre el particular tanto de este Tribunal como del Tribunal Europeo de Derechos Humanos (TEDH). </w:t>
      </w:r>
    </w:p>
    <w:p w:rsidR="000B622C" w:rsidRDefault="000B622C" w:rsidP="000B622C">
      <w:pPr>
        <w:pStyle w:val="TextoNormal"/>
      </w:pPr>
      <w:r>
        <w:t xml:space="preserve">c) En cuanto a la vulneración del derecho a la tutela judicial efectiva por incongruencia omisiva, que se imputa a la Sentencia de la Sala de lo Penal del Tribunal Supremo, dice el recurrente que se produjo porque, "pese a haberle sido expresamente planteada la cuestión respecto a la forma en que debieron traerse al plenario las declaraciones sumariales de Miguel Angel Gutiérrez para que las mismas pudieran constituir la base de una sentencia condenatoria, nada ha resuelto sobre esa cuestión". </w:t>
      </w:r>
    </w:p>
    <w:p w:rsidR="000B622C" w:rsidRDefault="000B622C" w:rsidP="000B622C">
      <w:pPr>
        <w:pStyle w:val="TextoNormal"/>
      </w:pPr>
      <w:r>
        <w:t>d) Por último, se formula en la demanda de amparo, como petición principal, que se declare la vulneración del derecho del recurrente a la presunción de inocencia, con la consiguiente anulación de las Sentencias impugnadas, de la Audiencia Provincial de Murcia y de la Sala de lo Penal del Tribunal Supremo, exclusivamente respecto del recurrente en amparo. Subsidiariamente se solicita la declaración de que se han vulnerado los derechos fundamentales del recurrente a la tutela judicial efectiva (art. 24 CE) y a la igualdad (art. 14 CE), y de que el recurrente tiene derecho a obtener una resolución motivada que re</w:t>
      </w:r>
      <w:r>
        <w:lastRenderedPageBreak/>
        <w:t xml:space="preserve">suelva la totalidad de las pretensiones expuestas, con la consiguiente retroacción de las actuaciones al momento inmediatamente anterior a aquel en se pronunció la Sentencia causante de dicha violación, la Sentencia de la Sala de lo Penal del Tribunal Supremo, a fin de que por este órgano judicial se dicte otra en la que se dé respuesta a la totalidad de las cuestiones planteadas. Finalmente, y para el caso de que se desestimen las dos peticiones anteriores, se solicita que se declare la vulneración del derecho del recurrente a ser juzgado por un Tribunal imparcial y se anulen la Sentencia de la Sección Cuarta de la Audiencia Provincial de Murcia y la Sentencia de la Sala de lo Penal del Tribunal Supremo, exclusivamente en lo que se refiere al recurrente en amparo, o bien, en su defecto, que se retrotraigan las actuaciones al momento de apertura del juicio oral, a fin de que sea vista la causa por una Sección distinta de la Audiencia Provincial de Murcia, de la que no formen parte ninguno de los Magistrados que en su día conocieron el asunto. </w:t>
      </w:r>
    </w:p>
    <w:p w:rsidR="000B622C" w:rsidRDefault="000B622C" w:rsidP="000B622C">
      <w:pPr>
        <w:pStyle w:val="TextoNormal"/>
      </w:pPr>
      <w:r>
        <w:t>Por otrosí se solicita la suspensión de la ejecución de las penas privativas de libertad a las que fue condenado el recurrente en amparo, así como la de multa en tanto lleva aparejada la sustitutoria de arresto en caso de impago de la misma.</w:t>
      </w:r>
    </w:p>
    <w:p w:rsidR="000B622C" w:rsidRDefault="000B622C" w:rsidP="000B622C">
      <w:pPr>
        <w:pStyle w:val="TextoNormal"/>
      </w:pPr>
    </w:p>
    <w:p w:rsidR="000B622C" w:rsidRDefault="000B622C" w:rsidP="000B622C">
      <w:pPr>
        <w:pStyle w:val="TextoNormal"/>
      </w:pPr>
      <w:r w:rsidRPr="000B622C">
        <w:rPr>
          <w:rStyle w:val="NumeroAFNegritaCaracter"/>
        </w:rPr>
        <w:t>3</w:t>
      </w:r>
      <w:r>
        <w:t>. La Sección Cuarta de este Tribunal acordó, por providencia de 17 de mayo de 2001, conceder al demandante de amparo y al Ministerio Fiscal el plazo común de diez días para que, de conformidad con las previsiones del art. 50.3 LOTC, formulasen las alegaciones que estimaran pertinentes en relación con la carencia manifiesta de contenido constitucional de la demanda [art. 50.1c) LOTC].</w:t>
      </w:r>
    </w:p>
    <w:p w:rsidR="000B622C" w:rsidRDefault="000B622C" w:rsidP="000B622C">
      <w:pPr>
        <w:pStyle w:val="TextoNormal"/>
      </w:pPr>
    </w:p>
    <w:p w:rsidR="000B622C" w:rsidRDefault="000B622C" w:rsidP="000B622C">
      <w:pPr>
        <w:pStyle w:val="TextoNormal"/>
      </w:pPr>
      <w:r w:rsidRPr="000B622C">
        <w:rPr>
          <w:rStyle w:val="NumeroAFNegritaCaracter"/>
        </w:rPr>
        <w:t>4</w:t>
      </w:r>
      <w:r>
        <w:t>. Con fecha 12 de junio de 2001 presentó el recurrente ante este Tribunal el escrito de alegaciones, en el que reiteró sustancialmente las manifestaciones hechas en la demanda de amparo.</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Con fecha 14 de junio de 2001 presentó el Ministerio Fiscal ante este Tribunal el correspondiente escrito de alegaciones. </w:t>
      </w:r>
    </w:p>
    <w:p w:rsidR="000B622C" w:rsidRDefault="000B622C" w:rsidP="000B622C">
      <w:pPr>
        <w:pStyle w:val="TextoNormal"/>
      </w:pPr>
      <w:r>
        <w:t xml:space="preserve">a) Respecto de la supuesta vulneración del derecho a la presunción de inocencia, recoge inicialmente las alegaciones fundamentales de la parte, a continuación transcribe en lo sustancial la fundamentación jurídica de la Sentencia del Tribunal Supremo sobre el particular, y seguidamente expone, con cita de la STC 72/2001 y Sentencias mencionadas en ésta, la jurisprudencia constitucional sobre la prueba de cargo y sobre el valor incriminatorio de las declaraciones de un coimputado. </w:t>
      </w:r>
    </w:p>
    <w:p w:rsidR="000B622C" w:rsidRDefault="000B622C" w:rsidP="000B622C">
      <w:pPr>
        <w:pStyle w:val="TextoNormal"/>
      </w:pPr>
      <w:r>
        <w:t xml:space="preserve">Aplicando dicha doctrina jurisprudencial al supuesto de autos entiende que "cabe concluir la inexistencia de la vulneración alegada por cuanto respecto de ambos ilícitos el Tribunal sentenciador contó con prueba suficiente". Así, "respecto del tráfico de drogas, se tuvo en cuenta el testimonio autoincriminatorio de varios de los coencausados", añadiendo que "tal testimonio aparecería corroborado por datos acreditados, cuales eran el lugar de origen de la sustancia y la nacionalidad del inicial proveedor y por el propio decurso posterior de los hechos", decurso que a continuación relaciona. Por lo que se refiere al robo con intimidación, dice, entre otros extremos, que "la persona víctima de la sustracción reconoció al recurrente como uno de los intervinientes en dicho acto" y que "el hecho de la sustracción aparecía adverado por el testimonio de un coimputado que vio salir al robado presa de gran excitación instantes después de que acaeciese la sustracción, y el hecho del robo aparecería adverado igualmente por el propio decurso posterior de los acontecimientos". </w:t>
      </w:r>
    </w:p>
    <w:p w:rsidR="000B622C" w:rsidRDefault="000B622C" w:rsidP="000B622C">
      <w:pPr>
        <w:pStyle w:val="TextoNormal"/>
      </w:pPr>
      <w:r>
        <w:lastRenderedPageBreak/>
        <w:t xml:space="preserve">Señala, igualmente, el Ministerio Fiscal, que "las tachas de irregularidad en el inicial reconocimiento fotográfico en Comisaría de Policía aparecen desvirtuadas por la intervención en tal diligencia del Juez Instructor" y que la supuesta retractación del coimputado "aparece desmentida por lo recogido en el acta donde aquél no rectificó, ni corrigió sus anteriores declaraciones y reconocimientos, limitándose a expresar en el plenario de modo dubitativo sobre el extremo del reconocimiento a la vista actual del reconocido, de cuyos reconocimientos anteriores estuvo plenamente seguro". </w:t>
      </w:r>
    </w:p>
    <w:p w:rsidR="000B622C" w:rsidRDefault="000B622C" w:rsidP="000B622C">
      <w:pPr>
        <w:pStyle w:val="TextoNormal"/>
      </w:pPr>
      <w:r>
        <w:t xml:space="preserve">b) Respecto de la tacha de incongruencia omisiva de la Sentencia de la Sala de lo Penal del Tribunal Supremo, dice el Ministerio Fiscal que "no ha sido hecha valer mediante el oportuno incidente regulado en el art. 240.3 LOPJ ... por lo que tal motivo incurre en causa de inadmisión por falta de agotamiento de la vía judicial previa". Con independencia de ello, indica el Ministerio Fiscal que tal alegación carece de fundamento ya que "tal cuestión fue suficientemente analizada por la sentencia dictada en casación (en) su decimocuarto fundamento". </w:t>
      </w:r>
    </w:p>
    <w:p w:rsidR="000B622C" w:rsidRDefault="000B622C" w:rsidP="000B622C">
      <w:pPr>
        <w:pStyle w:val="TextoNormal"/>
      </w:pPr>
      <w:r>
        <w:t xml:space="preserve">c) El Ministerio Fiscal rechaza, por último, que se haya producido la pretendida vulneración del derecho al Juez imparcial. Dice al respecto, en primer lugar, que "la falta oportuna de recusación, o siquiera alegación de tal cuestión en el plenario, convierte a la queja en inadmisible por falta de agotamiento de la vía judicial previa". En segundo lugar, afirma que "de lo expuesto por la parte y del examen del auto de 3 de diciembre de 1996 dictado por la Sección 4ª de la Audiencia Provincial de Murcia, resolutorio del recurso de apelación contra el auto de procesamiento, se constata que el órgano de apelación, y así lo expone en el encabezamiento del primero de sus razonamientos jurídicos, se atuvo en exclusividad al análisis del auto cuestionado, y a los meros efectos de lo que provisionalmente tal auto implicaba, sin que la manifestación de total coincidencia entre dicho auto y lo finalmente sentenciado tampoco aparezca habida cuenta de la no condena a varios procesados y acusados por la muerte sucedida que se recoge en el segundo de los fundamentos de derecho, así como también del delito de tenencia ilícita de armas, por ejemplo, por su no participación en los hechos". </w:t>
      </w:r>
    </w:p>
    <w:p w:rsidR="000B622C" w:rsidRDefault="000B622C" w:rsidP="000B622C">
      <w:pPr>
        <w:pStyle w:val="TextoNormal"/>
      </w:pPr>
      <w:r>
        <w:t>d) El Ministerio Fiscal termina su exposición solicitando que se dicte Auto inadmitiendo la demanda de amparo por falta de contenido constitucional y de agotamiento de la vía judicial previa.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presente recurso de amparo se dirige contra la Sentencia de la Sección Cuarta de la Audiencia Provincial de Murcia, de fecha 30 de diciembre de 1998, dictada en el rollo núm.54/96, y contra la Sentencia de la Sala de lo Penal del Tribunal Supremo, de fecha 5 de julio de 2000, dictada en el recurso de casación núm. 813/99. Como con más detalle se indica en los antecedentes, la Sentencia de la Audiencia Provincial condenó al ahora recurrente en amparo a sendas penas de privación de libertad, como autor de un delito contra la salud pública y de un delito de robo con intimidación, y además a pena de multa por el primero de dichos delitos, y la Sentencia de la Sala de lo Penal del Tribunal Supremo declaró no haber lugar al recurso de casación formulado contra la primera.</w:t>
      </w:r>
    </w:p>
    <w:p w:rsidR="000B622C" w:rsidRDefault="000B622C" w:rsidP="000B622C">
      <w:pPr>
        <w:pStyle w:val="TextoNormal"/>
      </w:pPr>
      <w:r>
        <w:t xml:space="preserve">El recurrente en amparo imputa a ambas Sentencias la vulneración de los derechos fundamentales a la presunción de inocencia y a un Juez imparcial, ambos reconocidos por el art. 24 CE. Asimismo imputa a la Sentencia de la Sala de lo Penal del Tribunal Supremo la </w:t>
      </w:r>
      <w:r>
        <w:lastRenderedPageBreak/>
        <w:t>vulneración del derecho a la tutela judicial efectiva por incongruencia omisiva, también reconocido por el mencionado art. 24 CE.</w:t>
      </w:r>
    </w:p>
    <w:p w:rsidR="000B622C" w:rsidRDefault="000B622C" w:rsidP="000B622C">
      <w:pPr>
        <w:pStyle w:val="TextoNormal"/>
      </w:pPr>
    </w:p>
    <w:p w:rsidR="000B622C" w:rsidRDefault="000B622C" w:rsidP="000B622C">
      <w:pPr>
        <w:pStyle w:val="TextoNormal"/>
      </w:pPr>
      <w:r w:rsidRPr="000B622C">
        <w:rPr>
          <w:rStyle w:val="NumeroAFNegritaCaracter"/>
        </w:rPr>
        <w:t>2</w:t>
      </w:r>
      <w:r>
        <w:t>. En primer lugar, se alega la vulneración del derecho a la presunción de inocencia.  Ya queda indicado en los antecedentes los términos en los que se formula la denuncia de la infracción de este derecho.</w:t>
      </w:r>
    </w:p>
    <w:p w:rsidR="000B622C" w:rsidRDefault="000B622C" w:rsidP="000B622C">
      <w:pPr>
        <w:pStyle w:val="TextoNormal"/>
      </w:pPr>
      <w:r>
        <w:t>El derecho a la presunción de inocencia, según dijimos en la STC 157/1998, de 13 de julio, FJ 2, y reiteramos en la STC 85/1999, de10 de mayo, FJ 8), "opera, en el ámbito del proceso penal, como derecho del acusado a no sufrir una condena a menos que su culpabilidad haya quedado establecida, más allá de toda duda razonable, en virtud de pruebas que puedan considerarse de cargo y obtenidas con todas las garantías". No compete a este Tribunal examinar la valoración de las pruebas practicadas hecha por la Sentencia recurrida, sino solamente "comprobar si ha habido una mínima actividad probatoria de cargo, suficiente para desvirtuar la presunción de inocencia", actividad probatoria que ha de servir "para evidenciar tanto la existencia del hecho punible como la participación en él del acusado" (STC 85/1999, FJ 8, y las que en ella se citan). Por otra parte, como dijimos en la STC 72/2001, de 26 de marzo, FJ 3 (que se remite, a su vez, a otras Sentencias), "únicamente pueden considerarse como pruebas las practicadas en el acto del juicio oral bajo la vigencia de los principios de igualdad, contradicción, inmediación y publicidad", aun cuando de ello "se exceptúan los supuestos de prueba preconstituida y anticipada, siempre y cuando se observe el cumplimiento de determinados requisitos: materiales, subjetivos, objetivos y formales", entre ellos "su introducción en el juicio oral a través de la lectura de documentos requerida por el art. 730 LECrim".</w:t>
      </w:r>
    </w:p>
    <w:p w:rsidR="000B622C" w:rsidRDefault="000B622C" w:rsidP="000B622C">
      <w:pPr>
        <w:pStyle w:val="TextoNormal"/>
      </w:pPr>
      <w:r>
        <w:t>En relación con este derecho se plantea la cuestión de si puede constituir prueba de cargo la declaración incriminatoria de un coimputado. Dijimos en la STC 72/2001, FJ 4, con cita de otras Sentencias, que "tal declaración ha de quedar en todo caso sometida a un detenido examen", con mayor razón "cuando constituye la única prueba de cargo en el proceso", por lo cual "hemos puesto de relieve que ha de quedar ´mínimamente corroborada´ (SSTC 153/1997 y 49/1998)", de modo que "esa declaración ha de estar avalada ´por otros hechos, datos o circunstancias externas´ de los que haya constancia en el proceso".</w:t>
      </w:r>
    </w:p>
    <w:p w:rsidR="000B622C" w:rsidRDefault="000B622C" w:rsidP="000B622C">
      <w:pPr>
        <w:pStyle w:val="TextoNormal"/>
      </w:pPr>
    </w:p>
    <w:p w:rsidR="000B622C" w:rsidRDefault="000B622C" w:rsidP="000B622C">
      <w:pPr>
        <w:pStyle w:val="TextoNormal"/>
      </w:pPr>
      <w:r w:rsidRPr="000B622C">
        <w:rPr>
          <w:rStyle w:val="NumeroAFNegritaCaracter"/>
        </w:rPr>
        <w:t>3</w:t>
      </w:r>
      <w:r>
        <w:t>. Aplicando la doctrina expuesta al caso ahora considerado, se concluye que no se ha producido la denunciada vulneración del derecho a la presunción de inocencia del recurrente en amparo por las razones que seguidamente se exponen.</w:t>
      </w:r>
    </w:p>
    <w:p w:rsidR="000B622C" w:rsidRDefault="000B622C" w:rsidP="000B622C">
      <w:pPr>
        <w:pStyle w:val="TextoNormal"/>
      </w:pPr>
      <w:r>
        <w:t>a) Respecto del delito contra la salud pública, en lo que se refiere a la naturaleza e importancia de la sustancia objeto de las transacciones, consta el testimonio autoincriminatorio de varios de los encausados, testimonio corroborado por otros datos acreditados, entre ellos, la procedencia de la sustancia y el decurso posterior de los hechos, indudablemente acaecidos por la naturaleza y consiguiente importancia económica de la sustancia objeto de entrega y que resultó impagada: plural desplazamiento hasta Cartagena de quienes se vieron despojados de aquélla, su alojamiento en dicha ciudad, todo ello con el desembolso que comporta, inútiles gestiones para el cobro y, finalmente, muerte violenta de una persona.</w:t>
      </w:r>
    </w:p>
    <w:p w:rsidR="000B622C" w:rsidRDefault="000B622C" w:rsidP="000B622C">
      <w:pPr>
        <w:pStyle w:val="TextoNormal"/>
      </w:pPr>
      <w:r>
        <w:t>b) Respecto de la participación del ahora recurrente en amparo en dicho delito y en el delito de robo con violencia e intimidación, consta el testimonio incriminatorio de un coimputado, el Sr. Gutiérrez, precisamente el que fue víctima de la sustracción, quien reconoció a aquél como uno de los intervinientes en el hecho. Tal reconocimiento se efectuó, como afirma el fundamento jurídico decimocuarto de la Sentencia del Tribunal Su</w:t>
      </w:r>
      <w:r>
        <w:lastRenderedPageBreak/>
        <w:t>premo, "en rueda de reconocimiento practicada con todas las garantías", que fue luego ratificada en posterior declaración judicial. Dicho testimonio, dado por quien dice fue amenazado con un cuchillo por el ahora recurrente, viene corroborado por el de otro inculpado, quien manifestó, según se indica por la expresada Sentencia, "que aquél salió de la casa despavorido urgiéndole de que se fuera de allí ante lo ocurrido", corroboración que también resulta del curso posterior de los hechos, al evidenciarse el impago de la sustancia (con la que se habían quedado el ahora recurrente y otro), la marcha de quienes la habían entregado y posteriores actuaciones que culminaron con una muerte violenta.  Es oportuno señalar, por último, que en el acto del juicio oral no hubo una efectiva retractación o rectificación del coimputado Sr.  Gutiérrez, sino que se limitó a mostrarse dubitativo, lo cual, como se afirma en dicha Sentencia, "(no) deja de ser un elemento más a valorar por el Juzgador respecto a la credibilidad que le inspire al Tribunal", máxime si se tiene en cuenta el período de tiempo transcurrido desde la fecha de los hechos hasta la celebración del juicio oral.</w:t>
      </w:r>
    </w:p>
    <w:p w:rsidR="000B622C" w:rsidRDefault="000B622C" w:rsidP="000B622C">
      <w:pPr>
        <w:pStyle w:val="TextoNormal"/>
      </w:pPr>
      <w:r>
        <w:t>Por último, respecto de la tacha de irregularidad fundamentada en el inicial reconocimiento fotográfico, basta señalar que tal identificación fotográfica se practicó a presencia del Juez de Instrucción y que no hay base o dato alguno sobre el que fundamentar que esta previa actuación pueda hacer irregular la rueda de reconocimiento, igualmente practicada con intervención del Juez Instructor.</w:t>
      </w:r>
    </w:p>
    <w:p w:rsidR="000B622C" w:rsidRDefault="000B622C" w:rsidP="000B622C">
      <w:pPr>
        <w:pStyle w:val="TextoNormal"/>
      </w:pPr>
    </w:p>
    <w:p w:rsidR="000B622C" w:rsidRDefault="000B622C" w:rsidP="000B622C">
      <w:pPr>
        <w:pStyle w:val="TextoNormal"/>
      </w:pPr>
      <w:r w:rsidRPr="000B622C">
        <w:rPr>
          <w:rStyle w:val="NumeroAFNegritaCaracter"/>
        </w:rPr>
        <w:t>4</w:t>
      </w:r>
      <w:r>
        <w:t>. El recurrente alega también la vulneración del derecho fundamental a un Juez imparcial, debido a que la Sección de la Audiencia Provincial que dictó la Sentencia impugnada fue la que con anterioridad había resuelto en sentido desestimatorio, mediante Auto de 3 de diciembre de 1996, el recurso de apelación formulado contra el Auto de procesamiento, estando dicha Sección compuesta, en ambos casos, con los mismos Magistrados, y siendo el Ponente el mismo en las dos circunstancias.</w:t>
      </w:r>
    </w:p>
    <w:p w:rsidR="000B622C" w:rsidRDefault="000B622C" w:rsidP="000B622C">
      <w:pPr>
        <w:pStyle w:val="TextoNormal"/>
      </w:pPr>
      <w:r>
        <w:t>a) Este Tribunal ha declarado en reiteradas ocasiones que la imparcialidad del órgano judicial constituye una exigencia básica del proceso debido.  Por ello se ha establecido la incompatibilidad entre las facultades de instrucción y las de enjuiciamiento (entre otras, SSTC 151/1991, de 8 de julio, FJ 4, y 142/1997, de 15 de septiembre, FJ 3), si bien se ha precisado que la incompatibilidad no se proyecta sobre cualquier clase de actividad desplegada en el marco de la instrucción, sino que es preciso analizar cada caso concreto, "pues es la investigación directa de los hechos, con una función inquisitiva dirigida frente a determinada persona", la que fundamenta la tacha de parcialidad (SSTC 136/1992, de 13 de octubre, FJ 2, y, en igual sentido, SSTC 164/1988, de 26 de septiembre, FJ 1, y 106/1989, de 8 de junio, FJ 4).</w:t>
      </w:r>
    </w:p>
    <w:p w:rsidR="000B622C" w:rsidRDefault="000B622C" w:rsidP="000B622C">
      <w:pPr>
        <w:pStyle w:val="TextoNormal"/>
      </w:pPr>
      <w:r>
        <w:t>Por su parte el Tribunal Europeo de Derechos Humanos ha excluido del proceso debido aquellos supuestos en que la actividad jurisdiccional previa ha supuesto la exteriorización anticipada del juicio de culpabilidad (entre otros, caso Castillo Algar, Sentencia de 28 de octubre de 1998). A iguales supuestos se ha referido en alguna ocasión este Tribunal. Así, en la STC 55/1990, de 28 de marzo, que declaró la inconstitucionalidad del art. 8.1 párrafo II, de la Ley Orgánica 2/1986, de 13 de marzo, de Fuerzas y Cuerpos de Seguridad del Estado, en cuanto que en dicho precepto se atribuía la competencia para dictar el Auto de Procesamiento a la Audiencia Provincial, que también era competente para conocer del juicio oral.</w:t>
      </w:r>
    </w:p>
    <w:p w:rsidR="000B622C" w:rsidRDefault="000B622C" w:rsidP="000B622C">
      <w:pPr>
        <w:pStyle w:val="TextoNormal"/>
      </w:pPr>
      <w:r>
        <w:t xml:space="preserve">Ahora bien, en todo caso ha de matizarse que la sospecha de parcialidad no deriva de la realización de cualquier clase de valoración anticipada acerca de la relevancia penal de los hechos o de la existencia de indicios para atribuir tales hechos al acusado, sino que dicha </w:t>
      </w:r>
      <w:r>
        <w:lastRenderedPageBreak/>
        <w:t>parcialidad sólo se origina cuando el contenido de la valoración es sustancialmente idéntico al que integra el juicio de culpabilidad (STC 14/1999, de 22 de febrero, FJ4, y 162/1999, de 27 de septiembre, FJ 6). En el mismo sentido, la Decisión TEDH de 2 de marzo de 2000 (caso Garrido Guerrero) insiste en que la cuestión de si se pueden considerar objetivamente justificadas las dudas de parcialidad contra un Juez que ha formado parte de la Sala que revisó el Auto de procesamiento "varía según las circunstancias de la causa", de manera que, en ese caso, dado que el Tribunal de apelación tuvo buen cuidado de precisar los límites del acto de inculpación como decisión formal y provisional, "no prejuzgando en nada el desenlace del litigio ni en cuanto a la calificación de los hechos imputados ni en cuanto a la culpabilidad del acusado", se inadmitió la pretendida infracción de la garantía de imparcialidad.</w:t>
      </w:r>
    </w:p>
    <w:p w:rsidR="000B622C" w:rsidRDefault="000B622C" w:rsidP="000B622C">
      <w:pPr>
        <w:pStyle w:val="TextoNormal"/>
      </w:pPr>
      <w:r>
        <w:t>b) En el supuesto ahora considerado no concurren los presupuestos necesarios para estimar vulnerada la garantía de imparcialidad del Juez, según se razona a continuación.</w:t>
      </w:r>
    </w:p>
    <w:p w:rsidR="000B622C" w:rsidRDefault="000B622C" w:rsidP="000B622C">
      <w:pPr>
        <w:pStyle w:val="TextoNormal"/>
      </w:pPr>
      <w:r>
        <w:t>En primer lugar, el hecho de dictar el expresado Auto de 3 de diciembre de 1996 no constituye una de las actividades instructoras tendentes al esclarecimiento de los hechos ni supone una toma de contacto directo sea con el entonces procesado sea con las fuentes de prueba.</w:t>
      </w:r>
    </w:p>
    <w:p w:rsidR="000B622C" w:rsidRDefault="000B622C" w:rsidP="000B622C">
      <w:pPr>
        <w:pStyle w:val="TextoNormal"/>
      </w:pPr>
      <w:r>
        <w:t>En segundo lugar, el expresado Auto pone reiteradamente de manifiesto que la valoración que en él se hace se mantiene en un "nivel indiciario", sin que constituya de suyo la emisión de juicios que corresponde a otros momentos del proceso: así, alude a "la negativa (del ahora recurrente en amparo) de reconocer el valor de indicios de ciertos datos comprobados en la instrucción", y afirma que "la invocación (hecha por dicho interesado) a la presunción de inocencia cubre de juridicidad tal pretensión, debiéndose reservar para instantes procesales más avanzados el juego de esta constitucional suposición". Así pues, no hay la emisión de una valoración anticipada de hechos o conductas que sea equivalente a un juicio de culpabilidad.</w:t>
      </w:r>
    </w:p>
    <w:p w:rsidR="000B622C" w:rsidRDefault="000B622C" w:rsidP="000B622C">
      <w:pPr>
        <w:pStyle w:val="TextoNormal"/>
      </w:pPr>
    </w:p>
    <w:p w:rsidR="000B622C" w:rsidRDefault="000B622C" w:rsidP="000B622C">
      <w:pPr>
        <w:pStyle w:val="TextoNormal"/>
      </w:pPr>
      <w:r w:rsidRPr="000B622C">
        <w:rPr>
          <w:rStyle w:val="NumeroAFNegritaCaracter"/>
        </w:rPr>
        <w:t>5</w:t>
      </w:r>
      <w:r>
        <w:t>. Se alega asimismo la vulneración por la Sentencia de la Sala de lo Penal del Tribunal Supremo del derecho a la tutela judicial efectiva por incongruencia omisiva, ya que nada se resolvió sobre una de las cuestiones planteadas en el recurso de casación, concretamente la atinente a la forma en que debían de haberse traído al plenario las declaraciones del Sr. Gutiérrez para que las mismas pudiera constituir la base de una sentencia condenatoria.</w:t>
      </w:r>
    </w:p>
    <w:p w:rsidR="000B622C" w:rsidRDefault="000B622C" w:rsidP="000B622C">
      <w:pPr>
        <w:pStyle w:val="TextoNormal"/>
      </w:pPr>
      <w:r>
        <w:t>Con independencia del hecho de que el recurrente de amparo no acudió a la vía incidental del art. 240.3 LOPJ, requisito necesario para agotar la vía judicial previa, si realmente estima producida la vulneración aducida, es lo cierto, en todo caso, que tal alegación carece de fundamento. En efecto, la expresada Sentencia analizó en el fundamento jurídico decimocuarto las indicadas declaraciones, señalando que en el acto del juicio oral dicho testigo no había efectuado rectificación o retractación, ni del hecho de la sustracción, ni de los reconocimientos previamente efectuados, habiéndose mostrado únicamente dubitativo en cuanto al reconocimiento actual, transcurridos ya varios años desde el acaecimiento de los hechos, lo que, como dice la Sentencia, "[no] deja de ser un elemento más a valorar por el juzgador respecto a la credibilidad que le inspire al Tribunal".</w:t>
      </w:r>
    </w:p>
    <w:p w:rsidR="000B622C" w:rsidRDefault="000B622C" w:rsidP="000B622C">
      <w:pPr>
        <w:pStyle w:val="TextoNormal"/>
      </w:pPr>
    </w:p>
    <w:p w:rsidR="000B622C" w:rsidRDefault="000B622C" w:rsidP="000B622C">
      <w:pPr>
        <w:pStyle w:val="TextoNormal"/>
      </w:pPr>
      <w:r w:rsidRPr="000B622C">
        <w:rPr>
          <w:rStyle w:val="NumeroAFNegritaCaracter"/>
        </w:rPr>
        <w:t>6</w:t>
      </w:r>
      <w:r>
        <w:t>. El recurrente en amparo solicita en la primera petición subsidiaria de la demanda, con invocación del art. 14 CE, la declaración de que se ha vulnerado el derecho fundamental a la igualdad [antecedente 2.d) de esta Sentencia], petición que formula juntamente con la relativa a la declaración de vulneración del derecho a la tutela judicial efectiva, por in</w:t>
      </w:r>
      <w:r>
        <w:lastRenderedPageBreak/>
        <w:t>congruencia omisiva. En ninguna parte de la demanda de amparo se efectúa una fundamentación de tal supuesta vulneración del derecho a la igualdad, derecho al que sólo se alude -nada más que para mencionarlo- en la referida súplica de la demanda. Así pues, carente tal petición de un mínimo desarrollo o fundamentación, procede su desestimación, sin más.</w:t>
      </w:r>
    </w:p>
    <w:p w:rsidR="000B622C" w:rsidRDefault="000B622C" w:rsidP="000B622C">
      <w:pPr>
        <w:pStyle w:val="TextoNormal"/>
      </w:pPr>
    </w:p>
    <w:p w:rsidR="000B622C" w:rsidRDefault="000B622C" w:rsidP="000B622C">
      <w:pPr>
        <w:pStyle w:val="TextoNormal"/>
      </w:pPr>
      <w:r>
        <w:t>En virtud de todo lo expuesto, y visto el art. 50.1.c) LOTC, la Sección Cuarta del Tribunal Constitucional</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Inadmitir el presente recurso de amparo, interpuesto en representación de don Francisco Moreno Fernández contra las Sentencias dictadas por la Sección Cuarta de la Audiencia Provincial de Murcia en fecha 30 de diciembre de 1998 y por la Sala de lo Penal</w:t>
      </w:r>
    </w:p>
    <w:p w:rsidR="000B622C" w:rsidRDefault="000B622C" w:rsidP="000B622C">
      <w:pPr>
        <w:pStyle w:val="TextoNormal"/>
      </w:pPr>
      <w:r>
        <w:t>del Tribunal Supremo en fecha 5 de julio de 2000.</w:t>
      </w:r>
    </w:p>
    <w:p w:rsidR="000B622C" w:rsidRDefault="000B622C" w:rsidP="000B622C">
      <w:pPr>
        <w:pStyle w:val="TextoNormal"/>
      </w:pPr>
    </w:p>
    <w:p w:rsidR="000B622C" w:rsidRDefault="000B622C" w:rsidP="000B622C">
      <w:pPr>
        <w:pStyle w:val="TextoNormal"/>
      </w:pPr>
      <w:r>
        <w:t>Madrid, a veintiocho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0" w:name="AUTO_2002_9"/>
      <w:r>
        <w:lastRenderedPageBreak/>
        <w:t>AUTO 9/2002, de 28 de enero de 2002</w:t>
      </w:r>
    </w:p>
    <w:bookmarkEnd w:id="110"/>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ECLI:ES:TC:2002:9A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Deniega suspensión en el recurso de amparo 4914-2000, promovido por la entidad mercantil Hijos de J. Barreras, S.A.</w:t>
      </w:r>
    </w:p>
    <w:p w:rsidR="000B622C" w:rsidRDefault="000B622C" w:rsidP="000B622C">
      <w:pPr>
        <w:pStyle w:val="SntesisDescriptiva"/>
      </w:pPr>
    </w:p>
    <w:p w:rsidR="000B622C" w:rsidRDefault="000B622C" w:rsidP="000B622C">
      <w:pPr>
        <w:pStyle w:val="SntesisAnaltica"/>
      </w:pPr>
      <w:r>
        <w:t>Suspensión cautelar de sentencias contencioso-administrativas: liquidación tributaria. Contenido patrimonial; cuantía; ponderación de todas las circunstancias; carga de fundamentación</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Registro de este Tribunal con fecha de 13 de septiembre de 2000 el Procurador de los Tribunales don José Manuel de Dorremochea Aramburu, en nombre y representación de la entidad mercantil "Hijos de J. Barreras, S.A.", interpuso recurso de amparo contra la Sentencia de la Sección Segunda de la Sala Tercera del Tribunal Supremo de fecha de 23 de junio de 2000, que estimaba parcialmente el recurso de casación interpuesto por el Abogado del Estado contra la Sentencia de la Sección Segunda de la Sala de lo Contencioso- Administrativo de la Audiencia Nacional de 11 de octubre de 1994, en materia de desgravación fiscal a la exportación, por considerar que vulneraba su derecho a la igualdad en la aplicación de la ley, reconocido en el artículo 14 CE.</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que han dado lugar a la demanda de amparo, sucintamente expuestos, son los siguientes: </w:t>
      </w:r>
    </w:p>
    <w:p w:rsidR="000B622C" w:rsidRDefault="000B622C" w:rsidP="000B622C">
      <w:pPr>
        <w:pStyle w:val="TextoNormal"/>
      </w:pPr>
      <w:r>
        <w:t xml:space="preserve">a) El recurrente construyó tres buques, dos con destino a armadores nacionales ("Amable Márquez Álvarez" y "Vieiras Ocho") y un tercero con destino al extranjero ("Trakia"). Los contratos eran todos de 2 de julio, 6 de diciembre y 30 de marzo de 1985, es decir, de fecha anterior a la entrada en vigor del IVA (día 1 de enero de 1986) y las entregas se produjeron los días 5 de agosto de 1989, 25 de abril 1988 y 4 de diciembre de 1987, respectivamente (es decir, cuando ya estaba vigente el IVA). </w:t>
      </w:r>
    </w:p>
    <w:p w:rsidR="000B622C" w:rsidRDefault="000B622C" w:rsidP="000B622C">
      <w:pPr>
        <w:pStyle w:val="TextoNormal"/>
      </w:pPr>
      <w:r>
        <w:t xml:space="preserve">b) La empresa actora solicitó en fechas de 6 de agosto de 1987, 26 de abril de 1988 y 9 de diciembre de 1987 de la Dirección General de Aduanas e Impuestos Especiales la desgravación fiscal a la construcción, por los dos primeros, y la desgravación fiscal a la exportación, por el tercero. Dichas solicitudes fueron denegadas por Resoluciones de 14 de septiembre de 1987, 16 de mayo de 1988 y 21 de julio de 1988, respectivamente, sobre la base de que, dado que la entrega de los buques se había producido después del 1 de enero </w:t>
      </w:r>
      <w:r>
        <w:lastRenderedPageBreak/>
        <w:t xml:space="preserve">de 1986, cuando ya había entrado en vigor el IVA, ya no se tenía derecho a percibir la desgravación fiscal. </w:t>
      </w:r>
    </w:p>
    <w:p w:rsidR="000B622C" w:rsidRDefault="000B622C" w:rsidP="000B622C">
      <w:pPr>
        <w:pStyle w:val="TextoNormal"/>
      </w:pPr>
      <w:r>
        <w:t xml:space="preserve">c) Presentadas reclamaciones ante el Tribunal Económico-Administrativo Central (núms. RG 4823-2-87 y RS 18/88; RG 3338-2-88 y RS 298/88; y RG 330-2-88 y RS 122/88), fueron desestimadas acumuladamente por Resolución de 12 de septiembre de 1990, por los mismos motivos que la Dirección General de Aduanas. </w:t>
      </w:r>
    </w:p>
    <w:p w:rsidR="000B622C" w:rsidRDefault="000B622C" w:rsidP="000B622C">
      <w:pPr>
        <w:pStyle w:val="TextoNormal"/>
      </w:pPr>
      <w:r>
        <w:t xml:space="preserve">d) Interpuesto recurso contencioso-administrativo ante la Audiencia Nacional (núm. 208.294/90), por Sentencia de la Sección Segunda de 11 de octubre de 1994 se estimó, anulando la resolución del TEAC y reconociendo el derecho de la recurrente a la desgravación fiscal por la entrega de los tres buques. </w:t>
      </w:r>
    </w:p>
    <w:p w:rsidR="000B622C" w:rsidRDefault="000B622C" w:rsidP="000B622C">
      <w:pPr>
        <w:pStyle w:val="TextoNormal"/>
      </w:pPr>
      <w:r>
        <w:t>e) Recurrida en casación por el Abogado del Estado (núm. 532/95), por Sentencia de 23 de junio de 2000 del Tribunal Supremo se estimó en parte el recurso, declarando el derecho de la recurrente a cobrar la desgravación fiscal por la construcción de los buques destinados a armadores españoles ("Amable Márquez Álvarez" y "Vieira Ocho"), pero denegando la desgravación fiscal a la exportación del buque "Trakia".</w:t>
      </w:r>
    </w:p>
    <w:p w:rsidR="000B622C" w:rsidRDefault="000B622C" w:rsidP="000B622C">
      <w:pPr>
        <w:pStyle w:val="TextoNormal"/>
      </w:pPr>
    </w:p>
    <w:p w:rsidR="000B622C" w:rsidRDefault="000B622C" w:rsidP="000B622C">
      <w:pPr>
        <w:pStyle w:val="TextoNormal"/>
      </w:pPr>
      <w:r w:rsidRPr="000B622C">
        <w:rPr>
          <w:rStyle w:val="NumeroAFNegritaCaracter"/>
        </w:rPr>
        <w:t>3</w:t>
      </w:r>
      <w:r>
        <w:t>. La demanda de amparo denuncia la vulneración del derecho a la igualdad en la aplicación de la ley (art. 14 CE) porque la resolución judicial impugnada contradice el criterio sentado en otras muchas Sentencias previas del mismo órgano judicial en idénticos supuestos y sin motivación alguna que justifique el cambio de criterio. A juicio de la actora, el Tribunal Supremo ha venido manteniendo como criterio constante que el derecho a la desgravación fiscal a la exportación nace con la firma del contrato (por ejemplo, en las SSTS de 22 de mayo de 1995, 30 de enero de 1999, 10 de diciembre de 1999 y 16 de diciembre de 1999), con independencia del momento de la entrega del buque, cuando, sin embargo, en la Sentencia impugnada se asume como momento del nacimiento del derecho a la desgravación, sin motivación que justifique el cambio de criterio, el de la entrega del buque (solicitud de exportación).</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la Sala Segunda de 19 de julio de 2000 se acordó la admisión a trámite del recurso, y, en aplicación de lo previsto en el art. 51 LOTC, se acordó dirigir comunicación a la Sección Segunda de la Sala de lo Contencioso- Administrativo del Tribunal Supremo, a la Sección Segunda de la Sala de lo Contencioso- Administrativo de la Audiencia Nacional, y al Tribunal Económico-Administrativo Central, a fin de que en el plazo de diez días remitiesen certificación o copia adverada de las actuaciones correspondientes al recurso de casación núm. 532/95, al recurso contencioso-administrativo núm. 208294/90, y a las reclamaciones económico-administrativas núms. RG 330-2/88 y RS 122/88; RG 4823-2/87 y RG 18/88; y RG 3338-2/88 y RS 298/88, respectivamente, con emplazamiento de quienes hubieran sido parte en el procedimiento, excepto la parte recurrente en amparo, a fin de que en el plazo de diez días pudiesen comparecer ante este Tribunal Constitucional, si así lo deseasen.</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Por escrito registrado en este Tribunal el día 30 de noviembre de 2001 el recurrente interesó, al amparo del art. 56 LOTC, la suspensión de la ejecución de la Sentencia del Tribunal Supremo, por cuanto su ejecución ocasionaría un perjuicio que haría perder al amparo su finalidad, dada la elevada cuantía de la deuda reclamada por la Agencia Tributaria, que asciende a un total de más de 308 millones de pesetas, no disponiendo de tesorería para hacer frente de inmediato a un pago tan elevado. Por providencia de la misma Sala </w:t>
      </w:r>
      <w:r>
        <w:lastRenderedPageBreak/>
        <w:t>Segunda de fecha de 10 de diciembre de 2001 se ordenó formar la presente pieza separada de suspensión, concediendo a la parte recurrente, al Abogado del Estado y al Ministerio Fiscal (ex art. 56 LOTC) el plazo común de tres días para que formulasen alegaciones al respecto.</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Evacuando el trámite de alegaciones, el Abogado del Estado, por escrito registrado el día 17 de diciembre de 2001, solicitó la denegación de la suspensión interesada con base en los siguientes argumentos: </w:t>
      </w:r>
    </w:p>
    <w:p w:rsidR="000B622C" w:rsidRDefault="000B622C" w:rsidP="000B622C">
      <w:pPr>
        <w:pStyle w:val="TextoNormal"/>
      </w:pPr>
      <w:r>
        <w:t xml:space="preserve">a) En primer lugar, por no haberse acreditado por el recurrente ninguno de los extremos en los que basa la medida cautelar instada, pues "hemos de conjeturar -tal vez con riesgo de error- que, estimada la demanda por la Audiencia Nacional, pidió y le fue concedida la ejecución provisional, previa prestación de garantía. En el contexto de esa ejecución provisional, tal vez le fueron abonadas las tres desgravaciones fiscales que pretendía buques Amable Márquez Álvarez, Vieiras Ocho y Trakia). Pero tras haberse dado lugar el Tribunal Supremo a la casación del Abogado del Estado, la Administración Tributaria reclama la devolución de la desgravación correspondiente al Trakia. Pero, ha de insistirse, todo son conjeturas". </w:t>
      </w:r>
    </w:p>
    <w:p w:rsidR="000B622C" w:rsidRDefault="000B622C" w:rsidP="000B622C">
      <w:pPr>
        <w:pStyle w:val="TextoNormal"/>
      </w:pPr>
      <w:r>
        <w:t xml:space="preserve">b) En segundo término, cree el Abogado del Estado que la devolución a la Administración tributaria de las cantidades relativas al buque Trakia no haría perder al amparo su finalidad, que es simplemente la declaración y, en su caso, reparación de una lesión del derecho a la aplicación igual de la Ley, pues la reparación de este derecho no supone necesariamente el reconocimiento del derecho a percibir la desgravación por el Trakia, al ser compatible con la estimación del recurso de casación del Abogado del Estado. </w:t>
      </w:r>
    </w:p>
    <w:p w:rsidR="000B622C" w:rsidRDefault="000B622C" w:rsidP="000B622C">
      <w:pPr>
        <w:pStyle w:val="TextoNormal"/>
      </w:pPr>
      <w:r>
        <w:t xml:space="preserve">c) En tercer lugar, la devolución de la desgravación por el Trakia no crea situaciones irreversibles, sino que supone simplemente una alteración del patrimonio de la sociedad recurrente que, en el caso de que finalmente se declarara procedente su cobro, podría perfectamente ser compensada mediante el retorno de la cantidad devuelta y sus intereses. </w:t>
      </w:r>
    </w:p>
    <w:p w:rsidR="000B622C" w:rsidRDefault="000B622C" w:rsidP="000B622C">
      <w:pPr>
        <w:pStyle w:val="TextoNormal"/>
      </w:pPr>
      <w:r>
        <w:t xml:space="preserve">d) En cuarto lugar, a la sociedad recurrente correspondía la carga de probar sus dificultades de tesorería, que no pudieran ser superadas mediante el recurso a la financiación externa. De hecho, si tiene prestada caución (aval bancario) es porque goza de crédito suficiente entre las entidades financieras. </w:t>
      </w:r>
    </w:p>
    <w:p w:rsidR="000B622C" w:rsidRDefault="000B622C" w:rsidP="000B622C">
      <w:pPr>
        <w:pStyle w:val="TextoNormal"/>
      </w:pPr>
      <w:r>
        <w:t>e) En quinto lugar, la cuantía de la devolución (308 millones) es un argumento más para denegar la suspensión pretendida, pues se trata de una cifra de fondos públicos costeada por los contribuyentes de suficiente entidad para que no siga en poder de quien, según Sentencia judicial firme del Tribunal Supremo, no tiene derecho a retenerlos.</w:t>
      </w:r>
    </w:p>
    <w:p w:rsidR="000B622C" w:rsidRDefault="000B622C" w:rsidP="000B622C">
      <w:pPr>
        <w:pStyle w:val="TextoNormal"/>
      </w:pPr>
    </w:p>
    <w:p w:rsidR="000B622C" w:rsidRDefault="000B622C" w:rsidP="000B622C">
      <w:pPr>
        <w:pStyle w:val="TextoNormal"/>
      </w:pPr>
      <w:r w:rsidRPr="000B622C">
        <w:rPr>
          <w:rStyle w:val="NumeroAFNegritaCaracter"/>
        </w:rPr>
        <w:t>7</w:t>
      </w:r>
      <w:r>
        <w:t>. Por su parte el Ministerio Fiscal, por escrito registrado el día 20 de diciembre de 2001, no se opuso a la suspensión solicitada, eso sí, supeditada al mantenimiento del aval, pues, aunque el carácter de medida cautelar de la suspensión supone que ha de entenderse como excepcional y de aplicación restrictiva, no pudiendo constituir una anticipación del eventual otorgamiento del amparo, sin embargo, dado que se trata de un pronunciamiento judicial con una cuantía notoriamente elevada y avalada bancariamente, es procedente la suspensión con mantenimiento de aval.</w:t>
      </w:r>
    </w:p>
    <w:p w:rsidR="000B622C" w:rsidRDefault="000B622C" w:rsidP="000B622C">
      <w:pPr>
        <w:pStyle w:val="TextoNormal"/>
      </w:pPr>
    </w:p>
    <w:p w:rsidR="000B622C" w:rsidRDefault="000B622C" w:rsidP="000B622C">
      <w:pPr>
        <w:pStyle w:val="TextoNormalNegritaCentrado"/>
        <w:keepNext/>
      </w:pPr>
      <w:r>
        <w:lastRenderedPageBreak/>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la suspensión cuando de ella "puede seguirse perturbación grave de los intereses generales, o de derechos fundamentales o libertades públicas de un tercero".</w:t>
      </w:r>
    </w:p>
    <w:p w:rsidR="000B622C" w:rsidRDefault="000B622C" w:rsidP="000B622C">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000B622C" w:rsidRDefault="000B622C" w:rsidP="000B622C">
      <w:pPr>
        <w:pStyle w:val="TextoNormal"/>
      </w:pPr>
    </w:p>
    <w:p w:rsidR="000B622C" w:rsidRDefault="000B622C" w:rsidP="000B622C">
      <w:pPr>
        <w:pStyle w:val="TextoNormal"/>
      </w:pPr>
      <w:r w:rsidRPr="000B622C">
        <w:rPr>
          <w:rStyle w:val="NumeroAFNegritaCaracter"/>
        </w:rPr>
        <w:t>2</w:t>
      </w:r>
      <w:r>
        <w:t>. La proyección de los anteriores criterios jurisprudenciales al presente recurso conduce a la denegación de la suspensión solicitada. En efecto, la entidad demandante de amparo, como correctamente apunta el Abogado del Estado, no justifica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w:t>
      </w:r>
    </w:p>
    <w:p w:rsidR="000B622C" w:rsidRDefault="000B622C" w:rsidP="000B622C">
      <w:pPr>
        <w:pStyle w:val="TextoNormal"/>
      </w:pPr>
      <w:r>
        <w:t xml:space="preserve">En efecto, la entidad recurrente alega, que no prueba, mera falta de tesorería "para hacer frente de inmediato a un pago tal elevado". En este sentido no debe olvidarse que la acreditación del perjuicio es carga del recurrente, quien, además de alegar también debe probar o, por los menos, justificar razonadamente, ofreciendo un principio razonable de prueba, la irreparabilidad o dificultad de la reparación de los perjuicios de seguirse la ejecución del acto impugnado (por todos, AATC 253/1995, de 25 de septiembre, FJ 1; y </w:t>
      </w:r>
      <w:r>
        <w:lastRenderedPageBreak/>
        <w:t>72/1997, de 10 de marzo, FJ 2). Sin embargo, en el caso analizado, no sólo no se acredita un perjuicio irreparable de hacerse efectiva la devolución que se dice instada por la Administración Tributaria, sino que ni siquiera se aporta algún elemento o indicio convincente sobre la existencia de dificultades de tesorería que hagan imposible la devolución, haciéndose referencia únicamente a unas supuestas dificultades coyunturales para hacer frente de forma "inmediata" al pago de la deuda contraída con la Hacienda Pública.</w:t>
      </w:r>
    </w:p>
    <w:p w:rsidR="000B622C" w:rsidRDefault="000B622C" w:rsidP="000B622C">
      <w:pPr>
        <w:pStyle w:val="TextoNormal"/>
      </w:pPr>
    </w:p>
    <w:p w:rsidR="000B622C" w:rsidRDefault="000B622C" w:rsidP="000B622C">
      <w:pPr>
        <w:pStyle w:val="TextoNormal"/>
      </w:pPr>
      <w:r w:rsidRPr="000B622C">
        <w:rPr>
          <w:rStyle w:val="NumeroAFNegritaCaracter"/>
        </w:rPr>
        <w:t>3</w:t>
      </w:r>
      <w:r>
        <w:t>. A mayor abundamiento es cierto que este Tribunal ha declarado en ocasiones que, aun tratándose de resoluciones con contenido patrimonial en las que se condena a una de las partes al abono de una cantidad dineraria, también es posible acceder a la suspensión solicitada cuando se trate de supuestos en que la cuantía de la indemnización o cantidad a la que se ha sido condenada es de gran importancia (por todos, AATC 65/1999, de 22 de marzo, FJ 2; 61/2000, de 28 de febrero, FJ 4; y 115/2000, de 5 de mayo, FJ 2).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  No obstante, en el presente caso, y al contrario de lo ocurrido en los supuestos citados, no se da ningún motivo excepcional que permita a este Tribunal dar prevalencia al interés particular a la no ejecución de una sentencia firme sobre el general a su ejecución, pues, aun cuando a priori la cantidad sobre la que pueda versar la devolución a la Administración Tributaria parece alcanzar la suma de 308.000.000 de pesetas, sin embargo dicha cantidad no puede ser considerada de forma aislada, es decir, abstracción hecha de la capacidad económica del contribuyente, sino puesta en relación con el importe del negocio del cual derivaba el derecho a la desgravación fiscal que la Sentencia impugnada le ha denegado, y que, conforme al contrato de construcción del buque de fecha de 30 de marzo de 1985, ascendía a la suma de 1.651.000.000 de pesetas.</w:t>
      </w:r>
    </w:p>
    <w:p w:rsidR="000B622C" w:rsidRDefault="000B622C" w:rsidP="000B622C">
      <w:pPr>
        <w:pStyle w:val="TextoNormal"/>
      </w:pPr>
      <w:r>
        <w:t>En suma, el volumen de negocio del recurrente, unido al propio tenor de sus palabras, de las cuales es fácilmente colegible la posibilidad real y cierta de hacerse con la tesorería necesaria para llevar a efecto la devolución instada, hace que deba prevalecer el interés general que se halla en el cumplimiento de las resoluciones judiciales sobre el particular a su suspensión, no procediendo, en consecuencia, adoptar la medida cautelar prevista en el art. 56 LOTC.</w:t>
      </w:r>
    </w:p>
    <w:p w:rsidR="000B622C" w:rsidRDefault="000B622C" w:rsidP="000B622C">
      <w:pPr>
        <w:pStyle w:val="TextoNormal"/>
      </w:pPr>
    </w:p>
    <w:p w:rsidR="000B622C" w:rsidRDefault="000B622C" w:rsidP="000B622C">
      <w:pPr>
        <w:pStyle w:val="TextoNormal"/>
      </w:pPr>
      <w:r>
        <w:t>Por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solicitada.</w:t>
      </w:r>
    </w:p>
    <w:p w:rsidR="000B622C" w:rsidRDefault="000B622C" w:rsidP="000B622C">
      <w:pPr>
        <w:pStyle w:val="TextoNormal"/>
      </w:pPr>
    </w:p>
    <w:p w:rsidR="000B622C" w:rsidRDefault="000B622C" w:rsidP="000B622C">
      <w:pPr>
        <w:pStyle w:val="TextoNormal"/>
      </w:pPr>
      <w:r>
        <w:t>Madrid, a veintiocho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1" w:name="AUTO_2002_10"/>
      <w:r>
        <w:lastRenderedPageBreak/>
        <w:t>AUTO 10/2002, de 28 de enero de 2002</w:t>
      </w:r>
    </w:p>
    <w:bookmarkEnd w:id="111"/>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ECLI:ES:TC:2002:10A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Inadmite a trámite el recurso de amparo 339-2001, promovido por doña Noelia Navarro Gaspar y otra</w:t>
      </w:r>
    </w:p>
    <w:p w:rsidR="000B622C" w:rsidRDefault="000B622C" w:rsidP="000B622C">
      <w:pPr>
        <w:pStyle w:val="SntesisDescriptiva"/>
      </w:pPr>
    </w:p>
    <w:p w:rsidR="000B622C" w:rsidRDefault="000B622C" w:rsidP="000B622C">
      <w:pPr>
        <w:pStyle w:val="SntesisAnaltica"/>
      </w:pPr>
      <w:r>
        <w:t>Resoluciones penales. Recurso de amparo: carencia manifiesta de contenido. Derecho a la libertad personal: puesta en libertad anterior al amparo.   Sentencias del Tribunal Constitucional: distingue la STC 305/2000</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día 24 de abril de 2001,los Tribunales doña Virginia Salto Maquedano, en nombre y representación de doña Noelia Navarro Gaspar y doña Sara López Clavería, interpuso recurso de amparo contra el Auto de 22 de dici</w:t>
      </w:r>
    </w:p>
    <w:p w:rsidR="000B622C" w:rsidRDefault="000B622C" w:rsidP="000B622C">
      <w:pPr>
        <w:pStyle w:val="TextoNormal"/>
      </w:pPr>
      <w:r>
        <w:t>embre de 2000 de la Audiencia Provincial de Zaragoza, que desestimó el recurso de apelación contra el Auto de 29 de septiembre de 2000 de la misma Audiencia Provincial, el cual declaró no haber lugar al recurso de queja contra el Auto de 9 de agosto de 2000 del Juzgado de Instrucción núm.10 de Zaragoza y el Auto de 22 de agosto de 2000 del Juzgado de Instrucción núm.8 de Zaragoza.</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que fundan la demanda son, en síntesis, los siguientes: </w:t>
      </w:r>
    </w:p>
    <w:p w:rsidR="000B622C" w:rsidRDefault="000B622C" w:rsidP="000B622C">
      <w:pPr>
        <w:pStyle w:val="TextoNormal"/>
      </w:pPr>
      <w:r>
        <w:t xml:space="preserve">a) Por Auto de 9 de agosto de 2000 del Juzgado de Instrucción núm.10 de Zaragoza se decretó la prisión provisional de las recurrentes, de dieciséis años de edad, después de ser detenidas como presuntas autoras de un robo con intimidación, consistente en la sustracción de mil quinientas pesetas a unas compañeras del colegio. </w:t>
      </w:r>
    </w:p>
    <w:p w:rsidR="000B622C" w:rsidRDefault="000B622C" w:rsidP="000B622C">
      <w:pPr>
        <w:pStyle w:val="TextoNormal"/>
      </w:pPr>
      <w:r>
        <w:t xml:space="preserve">b) Contra la anterior resolución se interpuso recurso de reforma, que fue desestimado por Auto de 22 de agosto de 2000 del Juzgado de Instrucción núm.8 de Zaragoza. </w:t>
      </w:r>
    </w:p>
    <w:p w:rsidR="000B622C" w:rsidRDefault="000B622C" w:rsidP="000B622C">
      <w:pPr>
        <w:pStyle w:val="TextoNormal"/>
      </w:pPr>
      <w:r>
        <w:t xml:space="preserve">c) El 12 de septiembre se interesó la libertad provisional de las recurrentes, que fue acordada mediante Auto de 16 de septiembre de 2000 del Juzgado de Instrucción núm.8 de Zaragoza, reformando el Auto de 9 de agosto de 2000. </w:t>
      </w:r>
    </w:p>
    <w:p w:rsidR="000B622C" w:rsidRDefault="000B622C" w:rsidP="000B622C">
      <w:pPr>
        <w:pStyle w:val="TextoNormal"/>
      </w:pPr>
      <w:r>
        <w:t xml:space="preserve">d) Por Auto de 29 de septiembre de 2000 la Audiencia Provincial de Zaragoza declaró no haber lugar al recurso de queja contra los Autos de 9 y 22 de agosto, que se confirman, señalando que las menores fueron puestas ya en libertad provisional, y que "el mencionado medio devolutivo no va a causar ningún efecto". </w:t>
      </w:r>
    </w:p>
    <w:p w:rsidR="000B622C" w:rsidRDefault="000B622C" w:rsidP="000B622C">
      <w:pPr>
        <w:pStyle w:val="TextoNormal"/>
      </w:pPr>
      <w:r>
        <w:lastRenderedPageBreak/>
        <w:t>e) Por Auto de 22 de diciembre de 2000 la Audiencia Provincial de Zaragoza desestimó el recurso de apelación contra los mismos Autos, afirmando que carecía de finalidad por cuanto la medida de prisión provisional fue dejada sin efecto por el Juez Instructor.</w:t>
      </w:r>
    </w:p>
    <w:p w:rsidR="000B622C" w:rsidRDefault="000B622C" w:rsidP="000B622C">
      <w:pPr>
        <w:pStyle w:val="TextoNormal"/>
      </w:pPr>
    </w:p>
    <w:p w:rsidR="000B622C" w:rsidRDefault="000B622C" w:rsidP="000B622C">
      <w:pPr>
        <w:pStyle w:val="TextoNormal"/>
      </w:pPr>
      <w:r w:rsidRPr="000B622C">
        <w:rPr>
          <w:rStyle w:val="NumeroAFNegritaCaracter"/>
        </w:rPr>
        <w:t>3</w:t>
      </w:r>
      <w:r>
        <w:t>. Las recurrentes alegan vulneración del derecho a la libertad personal (art.17.1 CE) por considerar que las resoluciones impugnadas (Auto de 9 de agosto de 2000 del Juzgado de Instrucción núm.10 de Zaragoza y Auto de 22 de agosto de 2000 del Juzgado de Instrucción núm.8 de Zaragoza) carecen en absoluto de motivación, sin ofrecer fundamentación alguna a la restricción de la libertad de las menores, decretada en base a la gravedad abstracta del delito, de una supuesta y no acreditada reincidencia, y a la alarma social, sin que se haga referencia a la circunstancias personales de la minoría de edad, ni se expliciten los fines constitucionales de la medida, y sin efectuar ningún juicio de ponderación. En definitiva, tales resoluciones incumplen las exigencias constitucionales que, de acuerdo con la jurisprudencia del Tribunal Constitucional, requiere la adopción de la medida de prisión provisional.</w:t>
      </w:r>
    </w:p>
    <w:p w:rsidR="000B622C" w:rsidRDefault="000B622C" w:rsidP="000B622C">
      <w:pPr>
        <w:pStyle w:val="TextoNormal"/>
      </w:pPr>
    </w:p>
    <w:p w:rsidR="000B622C" w:rsidRDefault="000B622C" w:rsidP="000B622C">
      <w:pPr>
        <w:pStyle w:val="TextoNormal"/>
      </w:pPr>
      <w:r w:rsidRPr="000B622C">
        <w:rPr>
          <w:rStyle w:val="NumeroAFNegritaCaracter"/>
        </w:rPr>
        <w:t>4</w:t>
      </w:r>
      <w:r>
        <w:t>. La Sección Tercera, por providencia de 16 de junio de 2001, acordó abrir el trámite de alegaciones, conforme a lo dispuesto en el art.50.3 LOTC, acerca de la eventual concurrencia de la causa de inadmisión prevista en el art.50.1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0B622C" w:rsidRDefault="000B622C" w:rsidP="000B622C">
      <w:pPr>
        <w:pStyle w:val="TextoNormal"/>
      </w:pPr>
    </w:p>
    <w:p w:rsidR="000B622C" w:rsidRDefault="000B622C" w:rsidP="000B622C">
      <w:pPr>
        <w:pStyle w:val="TextoNormal"/>
      </w:pPr>
      <w:r w:rsidRPr="000B622C">
        <w:rPr>
          <w:rStyle w:val="NumeroAFNegritaCaracter"/>
        </w:rPr>
        <w:t>5</w:t>
      </w:r>
      <w:r>
        <w:t>. En su escrito de alegaciones presentado el 5 de septiembre de 2001, las recurrentes reiteran los argumentos vertidos en la demanda de amparo, insistiendo en la falta de motivación de las resoluciones impugnadas, que habría comportado una vulneración del art.17 CE, la cual no habría sido subsanada por las posteriores resoluciones de la Audiencia Provincial de Zaragoza. Alegan que el hecho de haber sido puestas en libertad transcurridos treinta y nueve días de su detención no priva de objeto al recurso interpuesto contra aquellas resoluciones privativas de libertad pues corresponde a los órganos superiores reparar las vulneraciones cometidas, y al no hacerlo así, el recurso de amparo que ahora se impetra no pierde su objeto.</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En el escrito del Ministerio Fiscal, registrado el 14 de septiembre de 2001, se interesa la inadmisión del recurso por entender que su objeto ha desaparecido pues la queja planteada se orienta a la petición de libertad provisional, y ésta ha obtenido satisfacción en el propio proceso penal, pues las recurrentes se encontraban en situación de libertad provisional en el momento de interponer la presente demanda. En este sentido, alega que es de aplicación el art.86.1 LOTC puesto que de acuerdo con nuestra jurisprudencia aquél es aplicable a la desaparición sobrevenida del objeto, y con mayor razón cuando la pretendida vulneración haya sido reparada en vía jurisdiccional antes incluso de que el actor acuda al amparo constitucional. </w:t>
      </w:r>
    </w:p>
    <w:p w:rsidR="000B622C" w:rsidRDefault="000B622C" w:rsidP="000B622C">
      <w:pPr>
        <w:pStyle w:val="TextoNormal"/>
      </w:pPr>
      <w:r>
        <w:t xml:space="preserve">En relación al fondo del asunto, el Ministerio Fiscal afirma que las quejas vertidas en la demanda carecen de contenido constitucional pues un examen de las resoluciones impugnadas permiten afirmar que la prisión provisional de las recurrentes se adoptó de acuerdo </w:t>
      </w:r>
      <w:r>
        <w:lastRenderedPageBreak/>
        <w:t>con las exigencias constitucionales puesto que aquéllas justifican la utilidad de la medida, expresan el fin constitucionalmente legítimo de su adopción, y razonan la posible existencia de reproducción de similar conducta, valorando las circunstancias personales y fundando la privación de libertad en base a una regla de proporcionalidad.</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En el presente recurso de amparo las demandantes impugnan el Auto de 9 de agosto de 2000 del Juzgado de Instrucción núm.10 de Zaragoza, que decretó su prisión provisional, y el Auto de 22 de agosto de 2000 del Juzgado de Instrucción núm.8 de Zaragoza, que desestimó el recurso de reforma contra el anterior, alegando vulneración del derecho a la libertad personal (art.17.1 CE). Se da la circunstancia de que en el momento de interponer la presente demanda (24 de abril de 2001), las recurrentes se encontraban en libertad provisional acordada por Auto de 16 de septiembre de 2000 del Juzgado de Instrucción núm.8 de Zaragoza.  Por tal motivo, el Ministerio Fiscal propone la inadmisión a trámite del recurso al considerar que su objeto ha desaparecido pues la queja planteada ha obtenido satisfacción en la vía judicial ordinaria.</w:t>
      </w:r>
    </w:p>
    <w:p w:rsidR="000B622C" w:rsidRDefault="000B622C" w:rsidP="000B622C">
      <w:pPr>
        <w:pStyle w:val="TextoNormal"/>
      </w:pPr>
    </w:p>
    <w:p w:rsidR="000B622C" w:rsidRDefault="000B622C" w:rsidP="000B622C">
      <w:pPr>
        <w:pStyle w:val="TextoNormal"/>
      </w:pPr>
      <w:r w:rsidRPr="000B622C">
        <w:rPr>
          <w:rStyle w:val="NumeroAFNegritaCaracter"/>
        </w:rPr>
        <w:t>2</w:t>
      </w:r>
      <w:r>
        <w:t>. En relación con la delimitación temporal del objeto del recurso de amparo, hemos declarado que nuestro pronunciamiento debe concretarse en el momento en que se formula la demanda de amparo, por lo que, al menos con carácter general, son las circunstancias que concurren en ese momento las que deben tenerse en cuenta a los efectos de determinar si se produjo la lesión del derecho fundamental invocado.</w:t>
      </w:r>
    </w:p>
    <w:p w:rsidR="000B622C" w:rsidRDefault="000B622C" w:rsidP="000B622C">
      <w:pPr>
        <w:pStyle w:val="TextoNormal"/>
      </w:pPr>
    </w:p>
    <w:p w:rsidR="000B622C" w:rsidRDefault="000B622C" w:rsidP="000B622C">
      <w:pPr>
        <w:pStyle w:val="TextoNormal"/>
      </w:pPr>
      <w:r w:rsidRPr="000B622C">
        <w:rPr>
          <w:rStyle w:val="NumeroAFNegritaCaracter"/>
        </w:rPr>
        <w:t>3</w:t>
      </w:r>
      <w:r>
        <w:t>. En el presente caso, con anterioridad a la iniciación de la vía de amparo se acordó la libertad provisional de las recurrentes por Auto de 26 de septiembre de 2000 del Juzgado de Instrucción núm. 8 de Zaragoza, con lo cual se restableció su derecho fundamental a la libertad en la vía judicial ordinaria. No se trata pues de una desaparición sobrevenida del objeto del recurso, como en otros casos similares (STC 305/2000; ATC 183/2001), sino de la inexistencia originaria del mismo. Por todo ello, de conformidad con las alegaciones del Ministerio Fiscal, al haberse reparado la lesión en vía judicial, carece ya de sentido un pronunciamiento de este Tribunal en el presente recurso.</w:t>
      </w:r>
    </w:p>
    <w:p w:rsidR="000B622C" w:rsidRDefault="000B622C" w:rsidP="000B622C">
      <w:pPr>
        <w:pStyle w:val="TextoNormal"/>
      </w:pPr>
    </w:p>
    <w:p w:rsidR="000B622C" w:rsidRDefault="000B622C" w:rsidP="000B622C">
      <w:pPr>
        <w:pStyle w:val="TextoNormal"/>
      </w:pPr>
      <w:r>
        <w:t>En virtud de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a trámite del presente recurso de amparo, por concurrir la causa prevista en el art.50.1 c) LOTC, y el archivo de las actuaciones.</w:t>
      </w:r>
    </w:p>
    <w:p w:rsidR="000B622C" w:rsidRDefault="000B622C" w:rsidP="000B622C">
      <w:pPr>
        <w:pStyle w:val="TextoNormal"/>
      </w:pPr>
    </w:p>
    <w:p w:rsidR="000B622C" w:rsidRDefault="000B622C" w:rsidP="000B622C">
      <w:pPr>
        <w:pStyle w:val="TextoNormal"/>
      </w:pPr>
      <w:r>
        <w:t>Madrid, a veintiocho de enero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2" w:name="AUTO_2002_11"/>
      <w:r>
        <w:lastRenderedPageBreak/>
        <w:t>AUTO 11/2002, de 4 de febrero de 2002</w:t>
      </w:r>
    </w:p>
    <w:bookmarkEnd w:id="112"/>
    <w:p w:rsidR="000B622C" w:rsidRDefault="000B622C" w:rsidP="000B622C">
      <w:pPr>
        <w:pStyle w:val="TtuloResolucin"/>
      </w:pPr>
      <w:r>
        <w:t>Sección Segunda</w:t>
      </w:r>
    </w:p>
    <w:p w:rsidR="000B622C" w:rsidRDefault="000B622C" w:rsidP="000B622C">
      <w:pPr>
        <w:pStyle w:val="TtuloResolucin"/>
      </w:pPr>
    </w:p>
    <w:p w:rsidR="000B622C" w:rsidRDefault="000B622C" w:rsidP="000B622C">
      <w:pPr>
        <w:pStyle w:val="SntesisDescriptiva"/>
      </w:pPr>
      <w:r>
        <w:t>ECLI:ES:TC:2002:11A</w:t>
      </w:r>
    </w:p>
    <w:p w:rsidR="000B622C" w:rsidRDefault="000B622C" w:rsidP="000B622C">
      <w:pPr>
        <w:pStyle w:val="SntesisDescriptiva"/>
      </w:pPr>
    </w:p>
    <w:p w:rsidR="000B622C" w:rsidRDefault="000B622C" w:rsidP="000B622C">
      <w:pPr>
        <w:pStyle w:val="SntesisDescriptiva"/>
      </w:pPr>
      <w:r>
        <w:t>Excms. Srs. don Pablo García Manzano, don Fernando Garrido Falla y doña María Emilia Casas Baamonde.</w:t>
      </w:r>
    </w:p>
    <w:p w:rsidR="000B622C" w:rsidRDefault="000B622C" w:rsidP="000B622C">
      <w:pPr>
        <w:pStyle w:val="SntesisDescriptiva"/>
      </w:pPr>
    </w:p>
    <w:p w:rsidR="000B622C" w:rsidRDefault="000B622C" w:rsidP="000B622C">
      <w:pPr>
        <w:pStyle w:val="SntesisDescriptiva"/>
      </w:pPr>
      <w:r>
        <w:t>Inadmite a trámite el recurso de amparo 1416/98, interpuesto por doña María Dolores Gorostiaga Retuerto y don José Domingo Sola Torres</w:t>
      </w:r>
    </w:p>
    <w:p w:rsidR="000B622C" w:rsidRDefault="000B622C" w:rsidP="000B622C">
      <w:pPr>
        <w:pStyle w:val="SntesisDescriptiva"/>
      </w:pPr>
    </w:p>
    <w:p w:rsidR="000B622C" w:rsidRDefault="000B622C" w:rsidP="000B622C">
      <w:pPr>
        <w:pStyle w:val="SntesisAnaltica"/>
      </w:pPr>
      <w:r>
        <w:t>Sentencia penal. derecho a la presunción de inocencia: confesión  sumarial. Diligencias sumariales: valor probatorio. Demanda de amparo: carga de fundamentación.</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Mediante escrito fechado y certificado el día 16 de marzo de 1998, con entrada en este Tribunal Constitucional, vía correo, el día 27 de marzo de 1998, Gorostiaga Retuerto y don José Domingo Sola Torres manifestaron su intención de interponer recurso de amparo frente al Auto de la Sala de lo Penal del Tribunal Supremo que inadmitió el recurso de casación núm. 1728/97-P, solicitando que se les designare al efecto Abogado y Procurador de oficio. </w:t>
      </w:r>
    </w:p>
    <w:p w:rsidR="000B622C" w:rsidRDefault="000B622C" w:rsidP="000B622C">
      <w:pPr>
        <w:pStyle w:val="TextoNormal"/>
      </w:pPr>
      <w:r>
        <w:t>Tras la correspondiente tramitación, mediante escrito con entrada en el Registro General de este Tribunal el día 18 de julio de 1998, el Procurador de los Tribunales don José Ángel Donaire Gómez, en representación de la Sra. Gorostiaga y el Sr. Sola, con la asistencia letrada de doña María de los Ángeles Rodríguez Martín, interpuso recurso de amparo contra la Sentencia de la Sección Primera de la Sala de lo Penal de la Audiencia Nacional de 17 de junio de 1997, recaída en la causa dimanante del Sumario 11/96, procedente del Juzgado Central de Instrucción núm. 1.</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de relevancia para el presente recurso de amparo son, en esencia, los que siguen: </w:t>
      </w:r>
    </w:p>
    <w:p w:rsidR="000B622C" w:rsidRDefault="000B622C" w:rsidP="000B622C">
      <w:pPr>
        <w:pStyle w:val="TextoNormal"/>
      </w:pPr>
      <w:r>
        <w:t xml:space="preserve">a) La Sentencia de la Sección Primera de la Sala de lo Penal de la Audiencia Nacional de 17 de junio de 1997 condenó, entre otros, a la Sra. Gorostiaga como autora de un delito de terrorismo del antiguo Código Penal, sin circunstancias modificativas, a la pena de diez años y un día de prisión mayor, y al Sr. Sola como cómplice del mismo delito, también sin circunstancias modificativas, a la pena de seis años de prisión menor. Las penas señaladas llevaban consigo las accesorias de suspensión de cargo público, profesión y oficio durante el tiempo de la condena. </w:t>
      </w:r>
    </w:p>
    <w:p w:rsidR="000B622C" w:rsidRDefault="000B622C" w:rsidP="000B622C">
      <w:pPr>
        <w:pStyle w:val="TextoNormal"/>
      </w:pPr>
      <w:r>
        <w:t>Se declara expresamente probado que en diciembre de 1993 la Sra. Gorostiaga estaba integrada en ETA Militar, llevando a cabo generalmente tareas de apoyo, siendo de esta última clase las que efectuaba el Sr. Sola. Otros dos condenados, los Sres. Prieto y Cañas, tenían decidido colocar artilugios explosivos en las instalaciones del repetidor de Retevi</w:t>
      </w:r>
      <w:r>
        <w:lastRenderedPageBreak/>
        <w:t xml:space="preserve">sión situadas en la cima del monte San Cristóbal, en el término municipal de Artica. Para examinar tales instalaciones y determinar cómo llevar a cabo la operación, los Sres. Prieto y Cañas subieron diversos días al monte, siendo acompañados en una de las ocasiones por el Sr. Sola, que les auxiliaba para asegurar el éxito de la operación, que conocía. El día 24 de diciembre de 1993, los Sres. Prieto y Cañas y la Sra. Gorostiaga, en unión de una cuarta persona, se trasladaron desde Pamplona al monte San Cristóbal en un coche matriculado a nombre de la Sra. Gorostiaga. Mientras el Sr. Prieto y la Sra. Gorostiaga vigilaban en los alrededores para evitar que los demás, con los que se comunicaban mediante transmisores, fueran sorprendidos en su tarea, éstos colocaron diversos artilugios explosivos que, finalmente, estallaron de diverso modo. </w:t>
      </w:r>
    </w:p>
    <w:p w:rsidR="000B622C" w:rsidRDefault="000B622C" w:rsidP="000B622C">
      <w:pPr>
        <w:pStyle w:val="TextoNormal"/>
      </w:pPr>
      <w:r>
        <w:t xml:space="preserve">La mencionada intervención en los hechos de los recurrentes en amparo la fundamenta el órgano judicial en las declaraciones de los acusados, haciendo referencia a la existencia de doctrina jurisprudencial en torno a la eficacia de la puesta en relación de las declaraciones prestadas en el juicio con las efectuadas con anterioridad, siempre que esas declaraciones previas hayan sido llevadas a cabo con las garantías correspondientes al estadio procesal en que se formularon y sometidas a contradicción, incluso mediante la lectura durante la vista de las actas correspondientes, lo que indica que ha ocurrido en el presente caso. </w:t>
      </w:r>
    </w:p>
    <w:p w:rsidR="000B622C" w:rsidRDefault="000B622C" w:rsidP="000B622C">
      <w:pPr>
        <w:pStyle w:val="TextoNormal"/>
      </w:pPr>
      <w:r>
        <w:t xml:space="preserve">Así, para lo que ahora interesa, se expone que el Sr. Cañas declaró ante la Guardia Civil, asistido de letrado de oficio, que el traslado lo realizó en el vehículo de la Sra. Gorostiaga, con ella y el Sr. Prieto. Respecto de la Sra. Gorostiaga, esa versión del Sr. Cañas coincide con la que dio aquélla ante la Guardia Civil el día 20 de diciembre de 1994, asistida de letrado de oficio, ratificándola posteriormente en el Juzgado el siguiente día 21 de diciembre, asistida de letrado de libre designación, aunque manifestó que estuvo aterrorizada ante la Policía. Habiendo sido sometidas a contradicción en el juicio, mediante las preguntas de las partes, esas primeras versiones que, sobre la intervención de la Sra. Gorostiaga dieron ella y el Sr. Cañas, el Tribunal les da credibilidad, por la espontaneidad derivable de ser las primeras. </w:t>
      </w:r>
    </w:p>
    <w:p w:rsidR="000B622C" w:rsidRDefault="000B622C" w:rsidP="000B622C">
      <w:pPr>
        <w:pStyle w:val="TextoNormal"/>
      </w:pPr>
      <w:r>
        <w:t xml:space="preserve">En cuanto al Sr. Sola, afirmó ante la Guardia Civil el día 22 de diciembre de 1994 y asistido de letrado de oficio, que había acompañado a los otros condenados al monte San Cristóbal, ya que querían verlo al objeto de estudiar la colocación de una carga explosiva, ofreciéndoles el Sr. Sola determinada información. Posteriormente, ante el Juez, el día 23 siguiente, asistido de letrado de libre designación, señaló que acompañó a los Sres. Prieto y Cañas sin saber lo que iban a hacer. Habiendo sido sometida a contradicción en el juicio, mediante las preguntas de las partes, la primera versión del Sr. Sola, el Tribunal le da credibilidad, por el carácter más espontáneo que, con arreglo a la experiencia general, cabe predicar de la primera manifestación. </w:t>
      </w:r>
    </w:p>
    <w:p w:rsidR="000B622C" w:rsidRDefault="000B622C" w:rsidP="000B622C">
      <w:pPr>
        <w:pStyle w:val="TextoNormal"/>
      </w:pPr>
      <w:r>
        <w:t>b) Formalizado recurso de casación por los hoy demandantes de amparo, denunciando la vulneración de su derecho fundamental a la presunción de inocencia, la Sala de lo Penal del Tribunal Supremo, mediante Auto de 18 de febrero de 1998, declara no haber lugar a su admisión. En su Razonamiento Jurídico Único señala que consta en las actuaciones la confesión de los hechos en las iniciales declaraciones y la ratificación, a presencia judicial, de aquéllas, teniendo en cuenta también el Tribunal de instancia lo que cada uno de los imputados manifestó en relación con la participación de los otros. La convicción de la autoría, se añade, se basa en la prueba practicada en el juicio oral, en el que se les preguntó sobre el contenido de sus declaraciones en el procedimiento y donde negaron lo que habían manifestado ante el Juez, refiriéndose a la consolidada doctrina jurisprudencial en el sentido de que el Tribunal de instancia puede otorgar prevalencia para fundar su convic</w:t>
      </w:r>
      <w:r>
        <w:lastRenderedPageBreak/>
        <w:t>ción a la prueba practicada en la fase de instrucción sobre la practicada en el plenario, caso de discordancia entre ambas, por traslucir una mayor verosimilitud y fidelidad, siempre que aquélla sea sometida en tal acto a contradicción con las correspondientes garantías. De este modo, se continúa, cuando un testigo o acusado declara en el juicio oral en un sentido diverso a lo manifestado en la instrucción, el Tribunal, como una expresión más del principio de apreciación conjunta de la prueba, puede tener en cuenta cualquiera de tales declaraciones, total o parcialmente, asumiendo, en su caso, las precedentes al juicio, con tal de que en la diligencia de instrucción se hayan observado las formalidades y requisitos exigidos por la Ley y que, de algún modo, normalmente a través del trámite del artículo 714 LECrim., se incorpore al debate del plenario el contenido de las anteriores manifestaciones o, al menos, que en el desarrollo del juicio se contengan referencias a lo expresado por testigos o acusados, lo que puede deducirse, incluso, del propio contenido de las preguntas o respuestas reflejadas en el acto del juicio, no imperando así un riguroso criterio formalista.</w:t>
      </w:r>
    </w:p>
    <w:p w:rsidR="000B622C" w:rsidRDefault="000B622C" w:rsidP="000B622C">
      <w:pPr>
        <w:pStyle w:val="TextoNormal"/>
      </w:pPr>
    </w:p>
    <w:p w:rsidR="000B622C" w:rsidRDefault="000B622C" w:rsidP="000B622C">
      <w:pPr>
        <w:pStyle w:val="TextoNormal"/>
      </w:pPr>
      <w:r w:rsidRPr="000B622C">
        <w:rPr>
          <w:rStyle w:val="NumeroAFNegritaCaracter"/>
        </w:rPr>
        <w:t>3</w:t>
      </w:r>
      <w:r>
        <w:t>. En la demanda de amparo se considera que la Sentencia de la Sala de lo Penal de la Audiencia Nacional ha vulnerado los derechos fundamentales de los recurrentes a la tutela judicial efectiva (artículo 24.1 CE) y a la presunción de inocencia (artículo 24.2 CE), como consecuencia de que aquélla se ha basado, para la decisión condenatoria, sólo en las declaraciones de los recurrentes en el momento de la detención, pruebas obtenidas de forma irregular, máxime cuando después en el plenario se desdicen de lo previamente manifestado. Teniendo en cuenta, se añade, que la prueba que ha de tomarse en cuenta es precisamente la practicada en el acto del juicio oral, con todo tipo de garantías procesales, no existe ninguna otra actividad probatoria que lleve a concluir de forma contundente en la autoría por los recurrentes de los hechos enjuiciados. En consecuencia, se solicita de este Tribunal que, tras la práctica de los trámites legales oportunos, dicte Sentencia otorgando el amparo solicitado.</w:t>
      </w:r>
    </w:p>
    <w:p w:rsidR="000B622C" w:rsidRDefault="000B622C" w:rsidP="000B622C">
      <w:pPr>
        <w:pStyle w:val="TextoNormal"/>
      </w:pPr>
    </w:p>
    <w:p w:rsidR="000B622C" w:rsidRDefault="000B622C" w:rsidP="000B622C">
      <w:pPr>
        <w:pStyle w:val="TextoNormal"/>
      </w:pPr>
      <w:r w:rsidRPr="000B622C">
        <w:rPr>
          <w:rStyle w:val="NumeroAFNegritaCaracter"/>
        </w:rPr>
        <w:t>4</w:t>
      </w:r>
      <w:r>
        <w:t>. Mediante providencia de 13 de junio de 2001, la Sección Primera del Tribunal Constitucional acordó, a tenor de lo dispuesto en el artículo 50.3 LOTC, conceder un plazo común de diez días al Ministerio Fiscal y a los solicitantes del amparo, para que dentro de dicho término alegaren lo que estimaren pertinente en relación con la posible existencia del motivo de inadmisión del recurso de amparo consistente en carecer la demanda manifiestamente de contenido que justifique una decisión sobre el fondo de la misma por parte del Tribunal Constitucional, de conformidad con lo prevenido en el artículo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Mediante escrito con entrada en el Registro General de este Tribunal el día 28 de junio de 2001, el Ministerio Fiscal formuló sus alegaciones. Tras exponer los hechos de mayor relevancia para el presente recurso de amparo y recoger diversas declaraciones de los AATC 301/2000 y 302/2000, considera el Ministerio Fiscal que la queja de los recurrentes ha de reconducirse a la vulneración de los derechos fundamentales a un proceso con todas las garantías y a la presunción de inocencia, deduciéndose, sin embargo, de las resoluciones judiciales recaídas, que las afirmaciones de aquéllos son inexactas. Así, se rechaza toda irregularidad en las declaraciones autoincriminatorias efectuadas en sede policial y, luego, judicial, porque fueron realizadas con cumplimiento de todos los requisitos establecidos en la LECrim. A juicio del Ministerio Fiscal, la Sra. Gorostiaga ratificó plenamente </w:t>
      </w:r>
      <w:r>
        <w:lastRenderedPageBreak/>
        <w:t xml:space="preserve">en sede judicial su anterior declaración autoincriminatoria, y el Sr. Sola tan sólo la matizó ligeramente, de modo que tales declaraciones, aun cuando luego existiera una retractación parcial en el plenario, pueden ser valoradas como prueba de cargo por los órganos judiciales. Añade que no fueron éstas las únicas pruebas de cargo tenidas en cuenta, sino también el testimonio inculpatorio de alguno de los coimputados, cuya validez como tal prueba de cargo aparece de forma clara al aparecer corroborado por datos que no se cuestionan, tales como, por una parte, que la Sra. Gorostiaga era la titular del vehículo utilizado en los desplazamientos al lugar en que se colocaron los explosivos y para el transporte de los mismos, habiendo adquirido tal vehículo tras serle entregado por los otros condenados no recurrentes en amparo el dinero a tal fin, así como, por otro lado, los contactos que existieron, en la época de autos, entre todos los coprocesados, que alejan toda sospecha de algún móvil turbio en la incriminación, dándose además la circunstancia de que los recurrentes reconocieron en el plenario haber alojado en aquellas fechas a los restantes integrantes del comando en sus domicilios. A juicio del Ministerio Fiscal, incluso habría base para los pronunciamientos condenatorios emitidos, respecto de la Sra. Gorostiaga, con la compra y puesta a su nombre del vehículo utilizado, además del alojamiento de los otros miembros del comando y, respecto del Sr. Sola, con ese alojamiento de tales miembros en su domicilio. </w:t>
      </w:r>
    </w:p>
    <w:p w:rsidR="000B622C" w:rsidRDefault="000B622C" w:rsidP="000B622C">
      <w:pPr>
        <w:pStyle w:val="TextoNormal"/>
      </w:pPr>
      <w:r>
        <w:t>Por todo ello, el Ministerio Fiscal interesa que se dicte Auto inadmitiendo la demanda por falta de contenido constitucional.</w:t>
      </w:r>
    </w:p>
    <w:p w:rsidR="000B622C" w:rsidRDefault="000B622C" w:rsidP="000B622C">
      <w:pPr>
        <w:pStyle w:val="TextoNormal"/>
      </w:pPr>
    </w:p>
    <w:p w:rsidR="000B622C" w:rsidRDefault="000B622C" w:rsidP="000B622C">
      <w:pPr>
        <w:pStyle w:val="TextoNormal"/>
      </w:pPr>
      <w:r w:rsidRPr="000B622C">
        <w:rPr>
          <w:rStyle w:val="NumeroAFNegritaCaracter"/>
        </w:rPr>
        <w:t>6</w:t>
      </w:r>
      <w:r>
        <w:t>. Mediante escrito con entrada en el Registro General de este Tribunal el día 2 de julio de 2001, los recurrentes formulan sus alegaciones, ratificándose en lo expuesto en la demanda de amparo y solicitando que se decida sobre el fondo de la misma.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Tal como resulta de los Antecedentes, en el presente recurso de amparo, los demandantes, doña María Dolores Gorostiaga Retuerto y don José Domingo Sola Torres, consideran que la Sentencia de la Sección Primera de la Sala de lo Penal de la Audiencia Nacional de 17 de junio de 1997, que les condenó, respectivamente, como autora y cómplice de un delito de terrorismo, ha vulnerado sus derechos fundamentales a la tutela judicial efectiva, reconocido en el artículo 24.1 CE, y a la presunción de inocencia, consagrado en el artículo 24.2 CE. Dos circunstancias deben ponerse de manifiesto, no obstante, ante todo. En primer lugar, que el recurso de amparo ha de entenderse también dirigido frente al Auto de la Sala de lo Penal del Tribunal Supremo de 18 de febrero de 1998, en la medida en que éste, al inadmitir el recurso de casación formalizado por los hoy demandantes de amparo frente a la Sentencia de la Audiencia Nacional, habría venido, en su caso, a dejar sin reparación las vulneraciones constitucionales denunciadas, que considera que no se han producido.  En segundo lugar, que la exposición que los recurrentes realizan en su demanda de amparo permite deducir que, en realidad, consideran que se ha lesionado su derecho fundamental a la presunción de inocencia, al que debe reconducirse la referencia que se hace al derecho fundamental a la tutela judicial efectiva.</w:t>
      </w:r>
    </w:p>
    <w:p w:rsidR="000B622C" w:rsidRDefault="000B622C" w:rsidP="000B622C">
      <w:pPr>
        <w:pStyle w:val="TextoNormal"/>
      </w:pPr>
      <w:r>
        <w:t>En efecto, debe tenerse presente que los recurrentes, en su demanda de amparo, entienden que la decisión condenatoria se ha adoptado de manera constitucionalmente incorrecta, como consecuencia de que la misma se ha fundado tan sólo en sus propias declaraciones en el momento de la detención, declaraciones que, por una parte, habrían sido obteni</w:t>
      </w:r>
      <w:r>
        <w:lastRenderedPageBreak/>
        <w:t>das de forma irregular y que, por otra parte, no permiten basar en ellas tal condena, habida cuenta de que los recurrentes, en el juicio oral, se desdijeron de lo previamente manifestado y que, precisamente, para condenar sólo puede tomarse en cuenta la prueba practicada en el acto del juicio oral. Se aprecia claramente, por tanto, que los recurrentes están considerando, en realidad, lesionado su derecho fundamental a la presunción de inocencia, al entender que han sido condenados sin la existencia de prueba apta para desvirtuarla. Por otro lado, debe tenerse presente que las denuncias de lesión constitucional de los recurrentes se ciñen exclusivamente a los aspectos considerados, lo que, consecuentemente, determina que a los mismos hayamos de contraer nuestro pronunciamiento. Y es que, como hemos señalado reiteradamente (por todas, SSTC 281/2000, de 27 de noviembre, FJ 5, ó 21/2001, de 29 de enero, FJ 3),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w:t>
      </w:r>
    </w:p>
    <w:p w:rsidR="000B622C" w:rsidRDefault="000B622C" w:rsidP="000B622C">
      <w:pPr>
        <w:pStyle w:val="TextoNormal"/>
      </w:pPr>
    </w:p>
    <w:p w:rsidR="000B622C" w:rsidRDefault="000B622C" w:rsidP="000B622C">
      <w:pPr>
        <w:pStyle w:val="TextoNormal"/>
      </w:pPr>
      <w:r w:rsidRPr="000B622C">
        <w:rPr>
          <w:rStyle w:val="NumeroAFNegritaCaracter"/>
        </w:rPr>
        <w:t>2</w:t>
      </w:r>
      <w:r>
        <w:t>. Pues bien, el examen tanto de la Sentencia de la Sala de lo Penal de la Audiencia Nacional como del Auto de la Sala de lo Penal del Tribunal Supremo, muestra que, frente a lo manifestado por los recurrentes en su demanda de amparo, la condena se fundó, tanto por lo que se refiere a la Sra. Gorostiaga como al Sr. Sola, en las declaraciones prestadas por los mismos ante el Juzgado en fase de instrucción.</w:t>
      </w:r>
    </w:p>
    <w:p w:rsidR="000B622C" w:rsidRDefault="000B622C" w:rsidP="000B622C">
      <w:pPr>
        <w:pStyle w:val="TextoNormal"/>
      </w:pPr>
      <w:r>
        <w:t>En este sentido, debe recordarse que este Tribunal ha declarado (por todas, STC 51/1995, de 23 de febrero, FJ 2) que la regla conforme a la cual las pruebas incriminatorias capaces de destruir la presunción de inocencia son las practicadas con todas las garantías en el juicio oral, sin que merezcan tal naturaleza probatoria las diligencias llevadas a cabo en la fase instructora, no ostenta un valor absoluto, sino que, por el contrario, no cabe negar toda eficacia probatoria a dichas diligencias instructoras siempre que, habiéndose practicado con las formalidades que la Constitución y el ordenamiento procesal establecen, sean efectivamente reproducidas en el juicio oral en condiciones que permitan a la defensa del acusado someterlas a contradicción. En los supuestos de que las declaraciones realizadas en fase de instrucción no coincidan con las prestadas en el acto del juicio oral, lo determinante para la eficacia probatoria de aquéllas es, como señala el ATC 54/2000, de 25 de febrero (FJ 2), con cita de la STC 161/1990, de 19 de octubre (FJ 2), que se dé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aportados por los declarantes.</w:t>
      </w:r>
    </w:p>
    <w:p w:rsidR="000B622C" w:rsidRDefault="000B622C" w:rsidP="000B622C">
      <w:pPr>
        <w:pStyle w:val="TextoNormal"/>
      </w:pPr>
      <w:r>
        <w:t>Por lo demás, la posibilidad de que, en caso de contradicción, el órgano judicial funde su convicción en las pruebas de la fase instructora, frente a lo manifestado en el juicio oral, ha sido reiteradamente reconocida por este Tribunal (por todas, SSTC 137/1988, de 7 de julio, FJ 3, 98/1990, de 24 de mayo, FJ 2, ó 115/1998, de 1 de junio, FJ 5, y AATC 167/2000, de 7 de julio, FJ 5, ó 301/2000, de 13 de diciembre, FJ 3).</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La aplicación de las consideraciones que acabamos de exponer al supuesto sometido a nuestro examen determina que no puedan aceptarse las razones expuestas por los demandantes de amparo para considerar vulnerado su derecho fundamental a la presunción </w:t>
      </w:r>
      <w:r>
        <w:lastRenderedPageBreak/>
        <w:t>de inocencia, razones a las que, como indicábamos, debe adecuarse nuestro pronunciamiento.</w:t>
      </w:r>
    </w:p>
    <w:p w:rsidR="000B622C" w:rsidRDefault="000B622C" w:rsidP="000B622C">
      <w:pPr>
        <w:pStyle w:val="TextoNormal"/>
      </w:pPr>
      <w:r>
        <w:t>En efecto, según resulta del contenido de las resoluciones judiciales y de las actuaciones de que se dispone, las declaraciones en fase de instrucción que se toman en consideración por aquellas resoluciones (prestadas ante el Juzgado Central de Instrucción núm. 5 en Diligencias Previas), se realizaron, tanto las de la Sra. Gorostiaga como las del Sr. Sola, previa información de sus derechos constitucionales y en presencia del Letrado designado Sr. Gorostiza, con cumplimiento de las garantías exigibles. En dichas declaraciones, la Sra.  Gorostiaga manifestó expresamente que era cierto el relato que había hecho ante la Guardia Civil sobre el atentado perpetrado en el monte San Cristóbal, así como lo descrito en cuanto a la forma en que se llevó a cabo, debiendo recordarse que en aquellas declaraciones ante la Guardia Civil la hoy recurrente en amparo reconoció su participación en los hechos. Por su parte, el Sr. Sola, en su declaración en fase instructora, puso de manifiesto que previamente al día de las explosiones había acompañado al monte San Cristóbal a dos de los otros condenados, aun cuando señalare que no sabían lo que iban a hacer.</w:t>
      </w:r>
    </w:p>
    <w:p w:rsidR="000B622C" w:rsidRDefault="000B622C" w:rsidP="000B622C">
      <w:pPr>
        <w:pStyle w:val="TextoNormal"/>
      </w:pPr>
      <w:r>
        <w:t>Por otra parte, la Sala de lo Penal de la Audiencia Nacional, en su Sentencia, afirma expresamente que en el acto del juicio oral se procedió a dar lectura a las declaraciones previas de los recurrentes, lo que, como hemos visto, éstos no niegan en su demanda de amparo.  Asimismo, el examen del acta del juicio oral muestra con toda claridad que los recurrentes fueron preguntados por el Ministerio Fiscal y se manifestaron sobre las consideradas declaraciones.</w:t>
      </w:r>
    </w:p>
    <w:p w:rsidR="000B622C" w:rsidRDefault="000B622C" w:rsidP="000B622C">
      <w:pPr>
        <w:pStyle w:val="TextoNormal"/>
      </w:pPr>
      <w:r>
        <w:t>Finalmente, la Sala de lo Penal de la Audiencia Nacional señala, en relación con los dos recurrentes, que otorga credibilidad a las versiones que dieron en sus declaraciones en fase de instrucción, en razón de la espontaneidad que, con arreglo a la experiencia general, cabe predicar de las primeras manifestaciones.</w:t>
      </w:r>
    </w:p>
    <w:p w:rsidR="000B622C" w:rsidRDefault="000B622C" w:rsidP="000B622C">
      <w:pPr>
        <w:pStyle w:val="TextoNormal"/>
      </w:pPr>
    </w:p>
    <w:p w:rsidR="000B622C" w:rsidRDefault="000B622C" w:rsidP="000B622C">
      <w:pPr>
        <w:pStyle w:val="TextoNormal"/>
      </w:pPr>
      <w:r w:rsidRPr="000B622C">
        <w:rPr>
          <w:rStyle w:val="NumeroAFNegritaCaracter"/>
        </w:rPr>
        <w:t>4</w:t>
      </w:r>
      <w:r>
        <w:t>. En consecuencia, frente a lo afirmado en la demanda de amparo, la condena no se ha fundado tan sólo en las declaraciones prestadas por los recurrentes ante la Guardia Civil, ni tampoco es correcta su argumentación en el sentido de que aquélla sólo puede basarse en las pruebas practicadas en el acto del juicio oral. Los órganos judiciales han considerado las declaraciones prestadas en fase de instrucción, con las debidas garantías, por los recurrentes; dichas declaraciones han sido llevadas al acto del juicio oral en condiciones tales que éstos han tenido ocasión de defenderse frente a las mismas y de contradecirlas; por fin, se ha otorgado mayor credibilidad a lo manifestado en fase de instrucción que a las declaraciones practicadas en el acto del juicio oral, por las razones que se exponen en la Sentencia de la Sala de lo Penal de la Audiencia Nacional. Tal actuación judicial, en los aspectos considerados, resulta, como hemos tenido ocasión de exponer, constitucionalmente correcta, decayendo así la argumentación desplegada por los recurrentes en su demanda de amparo.  Por todo ello, concurre la causa de inadmisión del recurso de amparo prevista en el artículo 50.1 c) LOTC.</w:t>
      </w:r>
    </w:p>
    <w:p w:rsidR="000B622C" w:rsidRDefault="000B622C" w:rsidP="000B622C">
      <w:pPr>
        <w:pStyle w:val="TextoNormal"/>
      </w:pPr>
    </w:p>
    <w:p w:rsidR="000B622C" w:rsidRDefault="000B622C" w:rsidP="000B622C">
      <w:pPr>
        <w:pStyle w:val="TextoNormal"/>
      </w:pPr>
      <w:r>
        <w:t>Por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Inadmitir el recurso de amparo interpuesto por doña María Dolores Gorostiaga Retuerto y don José Domingo Sola Torres.</w:t>
      </w:r>
    </w:p>
    <w:p w:rsidR="000B622C" w:rsidRDefault="000B622C" w:rsidP="000B622C">
      <w:pPr>
        <w:pStyle w:val="TextoNormal"/>
      </w:pPr>
    </w:p>
    <w:p w:rsidR="000B622C" w:rsidRDefault="000B622C" w:rsidP="000B622C">
      <w:pPr>
        <w:pStyle w:val="TextoNormal"/>
      </w:pPr>
      <w:r>
        <w:t>Madrid, a cuatro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3" w:name="AUTO_2002_12"/>
      <w:r>
        <w:lastRenderedPageBreak/>
        <w:t>AUTO 12/2002, de 11 de febrero de 2002</w:t>
      </w:r>
    </w:p>
    <w:bookmarkEnd w:id="113"/>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ECLI:ES:TC:2002:12A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2626/99, interpuesto por la Unión de Sindicatos y Trabajadores y Trabajadoras de Andalucía (USTEA)</w:t>
      </w:r>
    </w:p>
    <w:p w:rsidR="000B622C" w:rsidRDefault="000B622C" w:rsidP="000B622C">
      <w:pPr>
        <w:pStyle w:val="SntesisDescriptiva"/>
      </w:pPr>
    </w:p>
    <w:p w:rsidR="000B622C" w:rsidRDefault="000B622C" w:rsidP="000B622C">
      <w:pPr>
        <w:pStyle w:val="SntesisAnaltica"/>
      </w:pPr>
      <w:r>
        <w:t>Sentencia social. Libertad sindical: elecciones a representantes de los trabajadores. Elecciones sindicales: candidatura incompleta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17 de junio de 1999, la Unión de Sindicatos de Trabajadores y Trabajadoras de Andalucía (USTEA), representada por la Procuradora de los Tribunales doña Almudena Gil Segura y asistida por el LMorales Ortega, interpuso recurso de amparo contra la Sentencia del Juzgado de lo Social núm. 1 de Jaén de 13 de mayo de 1999, dictada en autos número 247/99.</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El recurso tiene su origen en los siguientes antecedentes de hecho: </w:t>
      </w:r>
    </w:p>
    <w:p w:rsidR="000B622C" w:rsidRDefault="000B622C" w:rsidP="000B622C">
      <w:pPr>
        <w:pStyle w:val="TextoNormal"/>
      </w:pPr>
      <w:r>
        <w:t xml:space="preserve">a) Con fecha 13 de enero de 1999 se presentó en la Oficina Pública de Registro el preaviso de elecciones sindicales a representantes de los trabajadores en los Servicios Periféricos de la Junta de Andalucía de Jaén, siendo promotores de las mismas SPAP, CCOO., FSP-UGT y CSI- CSIF, a fin de elegir a los representantes de la Junta de Personal, determinándose como fecha de inicio del proceso electoral el 5 de marzo de 1999. </w:t>
      </w:r>
    </w:p>
    <w:p w:rsidR="000B622C" w:rsidRDefault="000B622C" w:rsidP="000B622C">
      <w:pPr>
        <w:pStyle w:val="TextoNormal"/>
      </w:pPr>
      <w:r>
        <w:t xml:space="preserve">b) El Sindicato USTEA presentó candidatura con igual número de miembros como puestos a cubrir, veintiuno, proclamándose por la Mesa Electoral provisionalmente dicha candidatura el 25 de marzo de 1999. </w:t>
      </w:r>
    </w:p>
    <w:p w:rsidR="000B622C" w:rsidRDefault="000B622C" w:rsidP="000B622C">
      <w:pPr>
        <w:pStyle w:val="TextoNormal"/>
      </w:pPr>
      <w:r>
        <w:t xml:space="preserve">c) En esa misma fecha el sindicato CCOO impugnó la referida proclamación por encontrarse una de las candidatas de la lista de USTEA (doña María Dolores Martínez Casas) también en la lista de CCOO, por lo que, en realidad, la candidatura de USTEA no contaba con el mismo número de candidatos que puestos a cubrir. En esta misma fecha, pero con posterioridad a la proclamación provisional, la candidata referida renunció a su permanencia en la candidatura de USTEA ante la Mesa electoral por encontrarse también en las listas de Comisiones Obreras, sindicato al que se encontraba afiliada. </w:t>
      </w:r>
    </w:p>
    <w:p w:rsidR="000B622C" w:rsidRDefault="000B622C" w:rsidP="000B622C">
      <w:pPr>
        <w:pStyle w:val="TextoNormal"/>
      </w:pPr>
      <w:r>
        <w:t xml:space="preserve">d) El 29 de marzo, el sindicato Comisiones Obreras presentó ante el Centro de Mediación, Arbitraje y Conciliación en Jaén reclamación electoral para que se excluyera del proceso electoral al sindicato USTEA por considerar que su candidatura no reunía el requisito de presentar igual número de candidatos al de puestos a cubrir al presentarse una de sus candidatas también en la lista de CCOO. El árbitro don Francisco Javier Carazo Carazo </w:t>
      </w:r>
      <w:r>
        <w:lastRenderedPageBreak/>
        <w:t xml:space="preserve">dictó Laudo arbitral en el que se estimaba la pretensión de CCOO y se declaraba no válida la proclamación de la candidatura de USTEA. </w:t>
      </w:r>
    </w:p>
    <w:p w:rsidR="000B622C" w:rsidRDefault="000B622C" w:rsidP="000B622C">
      <w:pPr>
        <w:pStyle w:val="TextoNormal"/>
      </w:pPr>
      <w:r>
        <w:t xml:space="preserve">e) Este Laudo fue impugnado por USTEA. La Sentencia del Juzgado de lo Social núm. 1 de Jaén desestimó la demanda y declaró la nulidad de la candidatura de USTEA sobre la base de que este Sindicato no presentó el mismo número de miembros que de puestos a cubrir, puesto que la candidata que renunció a la candidatura, al estar también en la lista de CCOO, no podía resultar elegible lo que, por tanto, impedía toda convalidación por medio de renuncia. Asimismo la Sentencia declara que la posibilidad de subsanación a la que alude el Sindicato por parte de la Mesa electoral se configura en la normativa reglamentaria como una facultad pero no como obligación para solicitar que se subsanen los defectos observados, sin que, en todo caso, pueda servir para justificar una conducta negligente o descuidada de quienes deben velar por su propio derecho en un punto sustancial como son sus posibles candidatos. </w:t>
      </w:r>
    </w:p>
    <w:p w:rsidR="000B622C" w:rsidRDefault="000B622C" w:rsidP="000B622C">
      <w:pPr>
        <w:pStyle w:val="TextoNormal"/>
      </w:pPr>
      <w:r>
        <w:t>f) Celebrada la votación, el Sindicato USTEA obtuvo un total de 248 votos con derecho a 5 Delegados en la Junta de Personal.</w:t>
      </w:r>
    </w:p>
    <w:p w:rsidR="000B622C" w:rsidRDefault="000B622C" w:rsidP="000B622C">
      <w:pPr>
        <w:pStyle w:val="TextoNormal"/>
      </w:pPr>
    </w:p>
    <w:p w:rsidR="000B622C" w:rsidRDefault="000B622C" w:rsidP="000B622C">
      <w:pPr>
        <w:pStyle w:val="TextoNormal"/>
      </w:pPr>
      <w:r w:rsidRPr="000B622C">
        <w:rPr>
          <w:rStyle w:val="NumeroAFNegritaCaracter"/>
        </w:rPr>
        <w:t>3</w:t>
      </w:r>
      <w:r>
        <w:t>. El recurso de amparo del sindicato USTEA se basa en la vulneración del art. 28 CE por entender que cuando se presentó la candidatura la misma presentaba tantos miembros como puestos a cubrir y que, si con posterioridad a la proclamación provisional de candidaturas se produjo la renuncia de una candidata, el art. 16.3 del Real Decreto 1846/94 impide que se anule la candidatura cuando la renuncia respeta el 60por 100 de los puestos a cubrir. Manifiesta que la Ley no indica el momento en que se debe renunciar, sino que sólo expresa que ha de hacerse "antes de la votación", por lo que si la norma no distingue no es posible que el órgano judicial lo haga. Además alega el sindicato que, aunque se aceptara que no era elegible la candidata por pertenecer a dos listas, la Mesa debiera haber observado dicho error y haber solicitado la subsanación (STC 113/1991), aunque, en realidad, entiende que no había que subsanar nada porque al proclamar la Mesa su candidatura ello suponía su implícita aceptación. En cualquier caso insiste el sindicato en que las renuncias de candidatos antes de la votación no alteran el desarrollo del proceso electoral ni invalidan las respectivas candidaturas si conservan el porcentaje mínimo de puestos a cubrir legalmente previsto (STC 13/1997 de 27 de enero), por lo que la anulación de su candidatura sin darle además posibilidad de subsanar vulneró su derecho de libertad sindical, dentro de cuyo contenido adicional se encuentra el de presentar candidaturas para la elección de representantes de los trabajadores, por lo que solicita que se le reponga en su derecho declarando la nulidad de la Sentencia del Juzgado y declarando la validez de su candidatura y de la votación celebrada.</w:t>
      </w:r>
    </w:p>
    <w:p w:rsidR="000B622C" w:rsidRDefault="000B622C" w:rsidP="000B622C">
      <w:pPr>
        <w:pStyle w:val="TextoNormal"/>
      </w:pPr>
    </w:p>
    <w:p w:rsidR="000B622C" w:rsidRDefault="000B622C" w:rsidP="000B622C">
      <w:pPr>
        <w:pStyle w:val="TextoNormal"/>
      </w:pPr>
      <w:r w:rsidRPr="000B622C">
        <w:rPr>
          <w:rStyle w:val="NumeroAFNegritaCaracter"/>
        </w:rPr>
        <w:t>4</w:t>
      </w:r>
      <w:r>
        <w:t>. Por diligencia de ordenación de 25 de noviembre de 1999, y antes de entrar a resolver sobre la admisibilidad del recurso, la Sala Segunda de este Tribunal dirigió atenta comunicación al Juzgado de lo Social núm. 1 de Jaén a fin de que, a la mayor brevedad posible, remitiera certificación o fotocopia adverada de las actuaciones correspondientes al presente recurso.</w:t>
      </w:r>
    </w:p>
    <w:p w:rsidR="000B622C" w:rsidRDefault="000B622C" w:rsidP="000B622C">
      <w:pPr>
        <w:pStyle w:val="TextoNormal"/>
      </w:pPr>
    </w:p>
    <w:p w:rsidR="000B622C" w:rsidRDefault="000B622C" w:rsidP="000B622C">
      <w:pPr>
        <w:pStyle w:val="TextoNormal"/>
      </w:pPr>
      <w:r w:rsidRPr="000B622C">
        <w:rPr>
          <w:rStyle w:val="NumeroAFNegritaCaracter"/>
        </w:rPr>
        <w:t>5</w:t>
      </w:r>
      <w:r>
        <w:t>. Mediante providencia de 15 de marzo de 2000 la Sección Cuarta de este Tribunal acordó abrir el trámite previsto en el art. 50.3 LOTC, concediendo al demandante de amparo y al Ministerio Fiscal el plazo común de diez días para que formularan las alegacio</w:t>
      </w:r>
      <w:r>
        <w:lastRenderedPageBreak/>
        <w:t>nes que estimaran pertinentes en relación con la carencia manifiesta de contenido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6</w:t>
      </w:r>
      <w:r>
        <w:t>. El 31 de marzo de 2000 doña Almudena Gil Segura, en representación del Sindicato demandante, presentó escrito reiterando la argumentación contenida en la demanda de amparo con cita de la STC 13/1997 de 27 de enero.</w:t>
      </w:r>
    </w:p>
    <w:p w:rsidR="000B622C" w:rsidRDefault="000B622C" w:rsidP="000B622C">
      <w:pPr>
        <w:pStyle w:val="TextoNormal"/>
      </w:pPr>
    </w:p>
    <w:p w:rsidR="000B622C" w:rsidRDefault="000B622C" w:rsidP="000B622C">
      <w:pPr>
        <w:pStyle w:val="TextoNormal"/>
      </w:pPr>
      <w:r w:rsidRPr="000B622C">
        <w:rPr>
          <w:rStyle w:val="NumeroAFNegritaCaracter"/>
        </w:rPr>
        <w:t>7</w:t>
      </w:r>
      <w:r>
        <w:t>. El 6 de abril de 2000 el Ministerio Fiscal interesa la inadmisión del recurso de amparo planteado por falta manifiesta de contenido. El Ministerio Fiscal reconoce que la STC 13/1997 ha declarado el engarce de las elecciones a delegados de personal y Comité de Empresa con el derecho de libertad sindical, y que se vulnera el art. 28 CE cuando se impide al Sindicato participar en el proceso electoral por causas que no obedezcan a razones atendibles de protección de derechos o intereses constitucionales que la norma legal o reglamentaria hayan tomado en consideración al establecer la regulación del proceso electoral. Pero precisa que esta misma Sentencia declara que este derecho de configuración legal ha de ejercerse en los términos legalmente previstos y que no corresponde a este Tribunal determinar cuál es la interpretación más correcta de tal cuerpo normativo ni inclinarse a priori por la interpretación aparentemente más beneficiosa para el titular del derecho fundamental, bastando con constatar si la interpretación llevada a cabo salvaguarda o no suficientemente el contenido del derecho fundamental. Sobre esta base el Ministerio Fiscal alega que la pretendida vulneración alegada por el sindicato únicamente podría considerarse como tal si el órgano judicial hubiera realizado una interpretación formalista, dictando una sentencia en la que se justificara el Laudo impugnado en base a argumentos o razones alejados de la defensa de derechos o intereses constitucionales que la norma legal o reglamentaria haya tomado en consideración al establecer la regulación del proceso electoral. En la medida en que los razonamientos de la Sentencia tratan de amparar otros derechos o intereses constitucionales, entiende que debe desestimarse el recurso de amparo planteado. Máxime cuando de aceptarse la tesis mantenida por el sindicato recurrente se llegaría al absurdo de que cualquier central sindical podría concurrir a las elecciones con un número cualquiera de candidatos prestándose el sistema a un verdadero fraude electoral. Esto es lo que entiende se ha producido en el presente caso, donde, ante la necesidad de alcanzar el número de candidatos precisos para cubrir los puestos, el sindicato recurrente no duda en incluir nombres aleatorios de trabajadores para de inmediato invocar el art. 71.2 a) del Estatuto de los Trabajadores sobre la exigencia de un 60por 100 de los proclamados para permitir así la proclamación definitiva de los verdaderos candidatos y su participación como elegibles en el proceso electoral.</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Sostiene el Sindicato recurrente que el Laudo arbitral y la Sentencia del Juzgado impugnados en los que se declara la nulidad de la candidatura presentada por USTEA al proceso electoral vulnerar el derecho de libertad sindical reconocido en el art.  28.1 CE, ya que cuando la candidatura se presentó contaba con tantos miembros como puestos a cubrir, y cuando se produjo la renuncia posterior de una de las candidatas cumplía también el requisito legal de cubrir al menos el 60por 100 de los puestos exigido por el art. 16.3 del Real Decreto 1846/94. En todo caso, además, alega que, si no era elegible la candidata por </w:t>
      </w:r>
      <w:r>
        <w:lastRenderedPageBreak/>
        <w:t>pertenecer a dos listas, la Mesa debiera haber observado dicho error y haber solicitado su subsanación.</w:t>
      </w:r>
    </w:p>
    <w:p w:rsidR="000B622C" w:rsidRDefault="000B622C" w:rsidP="000B622C">
      <w:pPr>
        <w:pStyle w:val="TextoNormal"/>
      </w:pPr>
    </w:p>
    <w:p w:rsidR="000B622C" w:rsidRDefault="000B622C" w:rsidP="000B622C">
      <w:pPr>
        <w:pStyle w:val="TextoNormal"/>
      </w:pPr>
      <w:r w:rsidRPr="000B622C">
        <w:rPr>
          <w:rStyle w:val="NumeroAFNegritaCaracter"/>
        </w:rPr>
        <w:t>2</w:t>
      </w:r>
      <w:r>
        <w:t>. Se plantea de nuevo el engarce de las elecciones a delegados de personal y miembros del Comité de Empresa con el derecho de libertad sindical, sobre el que ya existe una doctrina consolidada de este Tribunal que reconoce que, junto a los medios de acción que configuran el núcleo mínimo e indisponible de la libertad sindical por contribuir de forma primordial al desenvolvimiento de las funciones que constitucionalmente les corresponden (art. 7 CE), los Sindicatos pueden también ostentar otras facultades o derechos adicionales atribuidos por normas legales o reglamentarias que pasan a engrosar el contenido del derecho; de suerte que los actos contrarios a tales facultades, son susceptibles de impugnación a través del recurso de amparo por incidir en el contenido de ese derecho (SSTC 39/1986 y 184/1987, entre otras).</w:t>
      </w:r>
    </w:p>
    <w:p w:rsidR="000B622C" w:rsidRDefault="000B622C" w:rsidP="000B622C">
      <w:pPr>
        <w:pStyle w:val="TextoNormal"/>
      </w:pPr>
      <w:r>
        <w:t>Una de estas facultades o derechos es la presentación de candidaturas por los Sindicatos para la elección de representantes unitarios. Ello no significa, sin embargo, la inclusión en el ámbito del derecho de libertad sindical de las normas electorales en su conjunto o de todos los actos relacionados con el proceso electoral (STC 13/1997, de 27 de enero, FJ 3). Por eso, y en la medida en que el debate se refiere de modo inmediato a la aplicación de normas de rango infraconstitucional [en este caso concreto al art. 18.1 a) de la Ley 9/19887 de 12 de junio y 16.3 del Real Decreto 1844/1994, de 9 de septiembre], debemos fijar el límite de nuestras facultades de control. Sobre la determinación de ese límite han sido reiteradas las ocasiones en que se ha pronunciado este Tribunal, en formulaciones coincidentes en lo sustancial, aunque no siempre literalmente idénticas, señalando que nuestra función revisora debe limitarse a examinar "el carácter motivado, razonable y no indebidamente restrictivo de la resolución impugnada, así como la justificación finalista de las normas que considera aplicables" (SSTC 51/1988, de 22 de marzo, FJ 5; 272/1993, de 20 de septiembre, FJ 2; 1/1994, de 17 de enero, FJ 4; 18/2001, de 29 de enero, FJ 2 y AATC 257/1991, de 16 de septiembre y 340/1991, de 11 de noviembre)</w:t>
      </w:r>
    </w:p>
    <w:p w:rsidR="000B622C" w:rsidRDefault="000B622C" w:rsidP="000B622C">
      <w:pPr>
        <w:pStyle w:val="TextoNormal"/>
      </w:pPr>
      <w:r>
        <w:t>Con mayor precisión la STC 13/1997, de 27 de enero, FJ 3, aunque sin comprometerse en una elaboración dogmática de un canon de revisión preciso, viene prácticamente a marcar una adecuada pauta al respecto, cuando, tras proclamar como contenido adicional del derecho fundamental de libertad sindical el derecho de los sindicatos a la presentación de candidaturas para la elección de Comités de empresa y delegados de personal, agrega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Este derecho de configuración legal ha de ejercerse en los términos legalmente previstos [art. 2.2 d)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w:t>
      </w:r>
    </w:p>
    <w:p w:rsidR="000B622C" w:rsidRDefault="000B622C" w:rsidP="000B622C">
      <w:pPr>
        <w:pStyle w:val="TextoNormal"/>
      </w:pPr>
    </w:p>
    <w:p w:rsidR="000B622C" w:rsidRDefault="000B622C" w:rsidP="000B622C">
      <w:pPr>
        <w:pStyle w:val="TextoNormal"/>
      </w:pPr>
      <w:r w:rsidRPr="000B622C">
        <w:rPr>
          <w:rStyle w:val="NumeroAFNegritaCaracter"/>
        </w:rPr>
        <w:t>3</w:t>
      </w:r>
      <w:r>
        <w:t>. Precisado el marco constitucional con arreglo al que hemos de resolver la cuestión planteada, debemos centrar nuestro análisis en los contenidos de la Sentencia recurrida.</w:t>
      </w:r>
    </w:p>
    <w:p w:rsidR="000B622C" w:rsidRDefault="000B622C" w:rsidP="000B622C">
      <w:pPr>
        <w:pStyle w:val="TextoNormal"/>
      </w:pPr>
      <w:r>
        <w:lastRenderedPageBreak/>
        <w:t>En ella el órgano judicial pone de manifiesto que la normativa aplicable no define cuándo debe entenderse que una candidatura está completa ni cuando ha de formalizarse la renuncia, pero precisa claramente la exigencia de que la candidatura, a diferencia de otros supuestos en que son posibles las listas abiertas, contenga el mismo número de miembros que puestos a cubrir al tratarse de listas cerradas y bloqueadas. Sobre esta base entiende que la renuncia permitida legalmente procede exclusivamente respecto de candidatos en quienes concurren las condiciones precisas de elegibilidad, "puesto que quien no es elegible obviamente no puede renunciar a nada y la inclusión en dos listas de la candidata constituye un hecho cuya gravedad radical impide la convalidación por medio de la renuncia". En la medida en que para el órgano judicial la candidatura presentada por USTEA resultaba ab initio incompleta, rechaza que pueda atenderse el argumento del recurrente en torno a la validez de la misma por reunir el 60% de los puestos a cubrir aplicable en casos de renuncia de un candidato antes de la votación, porque entiende que dicha previsión es aplicable a supuestos de listas completas y válidas desde un inicio ya que, en otro caso, entiende que el sistema se prestaría a un verdadero fraude electoral. Asimismo, frente a la alegación del deber de la Mesa electoral de otorgar al Sindicato recurrente un plazo de subsanación del defecto, la Sentencia razona que se trata de una facultad y no así de una obligación, que además es de carácter reglamentario, por lo que declarar su carácter imperativo sería una regulación prohibida por ultra vires; en todo caso, señala igualmente, esta facultad "tiende a facilitar, en la medida de lo posible el proceso electoral, concediendo un poder a la mesa que puede o no ejercer", pero en ningún caso "puede justificar una conducta acaso negligente o descuidada de quienes deben velar por su propio derecho, más tratándose de una cuestión sustancial, posibles candidatos, que sólo la opción sindical puede conocer, algo del todo ajeno a la Mesa".</w:t>
      </w:r>
    </w:p>
    <w:p w:rsidR="000B622C" w:rsidRDefault="000B622C" w:rsidP="000B622C">
      <w:pPr>
        <w:pStyle w:val="TextoNormal"/>
      </w:pPr>
    </w:p>
    <w:p w:rsidR="000B622C" w:rsidRDefault="000B622C" w:rsidP="000B622C">
      <w:pPr>
        <w:pStyle w:val="TextoNormal"/>
      </w:pPr>
      <w:r w:rsidRPr="000B622C">
        <w:rPr>
          <w:rStyle w:val="NumeroAFNegritaCaracter"/>
        </w:rPr>
        <w:t>4</w:t>
      </w:r>
      <w:r>
        <w:t>. Como se comprueba, se trata de una resolución motivada, razonable y en la que la declaración de nulidad de la candidatura de USTEA constituye una restricción de su derecho que ha tenido en cuenta la justificación finalista de las normas aplicables.</w:t>
      </w:r>
    </w:p>
    <w:p w:rsidR="000B622C" w:rsidRDefault="000B622C" w:rsidP="000B622C">
      <w:pPr>
        <w:pStyle w:val="TextoNormal"/>
      </w:pPr>
      <w:r>
        <w:t>En efecto, la nulidad de la candidatura de USTEA y la negación a este Sindicato de la posibilidad de participar en el proceso electoral responde a razones atendibles de protección de derechos o intereses constitucionales tomados en consideración por la normativa legal y reglamentaria al establecer la regulación del proceso electoral. Así, de un lado, como manifiesta el Ministerio Fiscal, los razonamientos de la Sentencia tratan de amparar otros derechos constitucionales, como la libertad sindical del Sindicato Comisiones Obreras, a cuyo sindicato se encontraba afiliada la trabajadora que renuncia y que se presentaba en su candidatura, así como, de otro lado, el derecho de la propia trabajadora, cuyo nombre había sido utilizado por USTEA sin su conocimiento ni consentimiento. Pero, además, la argumentación de la Sentencia impugnada tiene en cuenta, igualmente, el interés del propio sistema electoral, en la medida en que niega la interpretación propuesta por el recurrente sobre la base de que su aceptación permitiría llegar al absurdo de que cualquier central sindical podría, mediante una estrategia electoral, concurrir a las elecciones cualquiera que sea el número de candidatos pero sin necesidad de contar con el número de puestos a cubrir, prestándose así el sistema a un verdadero fraude electoral; a lo que se habría de añadir la inducción a la confusión que provoca en los electores la inclusión de una misma candidata en dos listas sindicales distintas.</w:t>
      </w:r>
    </w:p>
    <w:p w:rsidR="000B622C" w:rsidRDefault="000B622C" w:rsidP="000B622C">
      <w:pPr>
        <w:pStyle w:val="TextoNormal"/>
      </w:pPr>
      <w:r>
        <w:t xml:space="preserve">La gravedad del defecto presentado por la candidatura (incorporar, sin su conocimiento ni consentimiento, a una trabajadora que, además, se encuentra afiliada a otro de los sindicatos concurrentes), el hecho de que el mismo sea imputable directamente al Sindicato, así </w:t>
      </w:r>
      <w:r>
        <w:lastRenderedPageBreak/>
        <w:t>como que a su través se pueda incentivar o permitir un fraude electoral (basado en la inclusión aleatoria de trabajadores a fin de cumplir los requisitos iniciales pero con la intención de beneficiarse de una subsanación posterior que le permita acogerse a una rebaja de las exigencias legales), lleva al órgano judicial a declarar el carácter insubsanable del defecto.  Imposibilidad de subsanar que, además, el órgano judicial entiende de aplicación sobre la base de que la normativa que confiere a la Mesa electoral la posibilidad de subsanar defectos tiene carácter facultativo y no obligatorio; carácter éste que se refuerza por el hecho de estar contemplado en una norma reglamentaria sin que pueda otorgársele carácter imperativo por resultar en tal caso dicha interpretación prohibida por ultra vires. Interpretación ésta que, como cualquiera otra más proclive a la tutela del derecho fundamental que se alega como vulnerado, no nos corresponde calificar cuando se constata que la interpretación llevada a cabo salvaguarda el contenido del derecho fundamental por obedecer a razones atendibles de protección de intereses tenidos en cuenta en el proceso electoral.</w:t>
      </w:r>
    </w:p>
    <w:p w:rsidR="000B622C" w:rsidRDefault="000B622C" w:rsidP="000B622C">
      <w:pPr>
        <w:pStyle w:val="TextoNormal"/>
      </w:pPr>
      <w:r>
        <w:t>Por todo ello, aunque fuera posible una interpretación alternativa más beneficiosa al recurrente, la interpretación realizada por el órgano judicial se apoya en la defensa de derechos constitucionales que las mismas normas de aplicación protegen, sin que pueda afirmarse que, a la vista de las circunstancias concurrentes, el derecho fundamental alegado haya sido lesionado merced a una interpretación restrictiva y rígidamente formalista de la normativa aplicable, por cuanto la realizada se justifica por la necesidad de salvaguardar otros derechos o intereses dignos de protección.</w:t>
      </w:r>
    </w:p>
    <w:p w:rsidR="000B622C" w:rsidRDefault="000B622C" w:rsidP="000B622C">
      <w:pPr>
        <w:pStyle w:val="TextoNormal"/>
      </w:pPr>
    </w:p>
    <w:p w:rsidR="000B622C" w:rsidRDefault="000B622C" w:rsidP="000B622C">
      <w:pPr>
        <w:pStyle w:val="TextoNormal"/>
      </w:pPr>
      <w:r>
        <w:t>Por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a trámite del recurso de amparo y el archivo de las presentes actuaciones.</w:t>
      </w:r>
    </w:p>
    <w:p w:rsidR="000B622C" w:rsidRDefault="000B622C" w:rsidP="000B622C">
      <w:pPr>
        <w:pStyle w:val="TextoNormal"/>
      </w:pPr>
    </w:p>
    <w:p w:rsidR="000B622C" w:rsidRDefault="000B622C" w:rsidP="000B622C">
      <w:pPr>
        <w:pStyle w:val="TextoNormal"/>
      </w:pPr>
      <w:r>
        <w:t>Madrid, a once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4" w:name="AUTO_2002_13"/>
      <w:r>
        <w:lastRenderedPageBreak/>
        <w:t>AUTO 13/2002, de 11 de febrero de 2002</w:t>
      </w:r>
    </w:p>
    <w:bookmarkEnd w:id="114"/>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ECLI:ES:TC:2002:13A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Inadmite a trámite el recurso de amparo 2858-2000, interpuesto por la Empresa Necso-Entrecanales-Cubiertas, S.A.</w:t>
      </w:r>
    </w:p>
    <w:p w:rsidR="000B622C" w:rsidRDefault="000B622C" w:rsidP="000B622C">
      <w:pPr>
        <w:pStyle w:val="SntesisDescriptiva"/>
      </w:pPr>
    </w:p>
    <w:p w:rsidR="000B622C" w:rsidRDefault="000B622C" w:rsidP="000B622C">
      <w:pPr>
        <w:pStyle w:val="SntesisAnaltica"/>
      </w:pPr>
      <w:r>
        <w:t>Resolución social. Acceso al recurso legal: inadmisión de recurso de suplicación, respetado. Recurso de suplicación: consignación previa.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18 de mayo de 2000, la empresa NECSO-ENTRECANALES-CUBIERTAS S.A., representada por el Procurador de los Tribunales don Cesar de Arias Benito, interpuso recurso de amparo contra el Auto del Tribunal Superior de Justicia del País Vasco de 21 de marzo de 2000, desestimatorio del recurso de queja interpuesto frente al Auto del Juzgado de lo Social núm. 4 de Vizcaya de 23 de noviembre de 1999 teniendo por no anunciado recurso de suplicación.</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en que se fundamenta la pretensión de amparo son, en síntesis, los siguientes: </w:t>
      </w:r>
    </w:p>
    <w:p w:rsidR="000B622C" w:rsidRDefault="000B622C" w:rsidP="000B622C">
      <w:pPr>
        <w:pStyle w:val="TextoNormal"/>
      </w:pPr>
      <w:r>
        <w:t xml:space="preserve">a) Por Sentencia de 19 de mayo de 1999 (autos 399/98) el Juzgado de lo Social núm. 4 de Vizcaya estimó la demanda de unos trabajadores contra varias empresas codemandadas, entre ellas la ahora recurrente. Frente a dicha sentencia la entidad recurrente anunció recurso de suplicación el 22 de junio de 1999, acompañando resguardo de depósito de 25.000 pesetas. El 5 de julio de 1999 esta misma entidad solicita al órgano judicial que, al estar asegurada en una de las empresas codemandadas, y desconocer si ésta había recurrido y consignado toda la condena, se le informe sobre este punto, y se le diga si debe consignar todo, parte o nada de la cantidad objeto de la condena. Tres días antes (el 2 de julio) se le habían notificado a la empresa recurrente dos Autos de aclaración de Sentencia (de fechas 18 y 22 de junio, respectivamente). </w:t>
      </w:r>
    </w:p>
    <w:p w:rsidR="000B622C" w:rsidRDefault="000B622C" w:rsidP="000B622C">
      <w:pPr>
        <w:pStyle w:val="TextoNormal"/>
      </w:pPr>
      <w:r>
        <w:t xml:space="preserve">b) Requerida la aseguradora para que indicase en qué concepto había realizado la cantidad ingresada, con la advertencia de que su falta de contestación se entendería como ingreso para su puesta a disposición del demandante, no comunicó nada al Juzgado. El Juzgado por Auto de 23 de noviembre de 1999 acordó tener por no anunciado el recurso de suplicación intentado por la entidad ahora recurrente, con fundamento en la falta de consignación de la cantidad a la que había sido condenada en la Sentencia. </w:t>
      </w:r>
    </w:p>
    <w:p w:rsidR="000B622C" w:rsidRDefault="000B622C" w:rsidP="000B622C">
      <w:pPr>
        <w:pStyle w:val="TextoNormal"/>
      </w:pPr>
      <w:r>
        <w:t>c) Contra dicho Auto interpuso la empresa recurrente recurso de queja, señalando que nunca se había negado a consignar, sino que, por el contrario, había manifestado su inten</w:t>
      </w:r>
      <w:r>
        <w:lastRenderedPageBreak/>
        <w:t>ción de hacerlo, y que, en todo caso, estaba asegurada la cantidad, dada la solvencia de la empresa y de su aseguradora, por lo que debió permitírsele subsanar el defecto de consignación para que su derecho de tutela judicial efectiva no se viera lesionado. Este recurso fue desestimado por el Tribunal Superior de Justicia del País Vasco por Auto de 21 de marzo de 2000. La Sala recuerda que la consignación constituye un requisito indispensable para anunciar el recurso de suplicación, y que la falta de consignación, cuando es plena, resulta insubsanable (arts. 228 y 193 LPL; SSTS de 3 de marzo de 1997 y 11 enero de 1999), siendo tal efecto conforme con la Constitución, pues una cosa son los supuestos de defectuoso o erróneo cumplimiento, y otra aquellos en que se produce un total incumplimiento (STC 173/1993). Asimismo, la Sala resalta la razón de ser de la fijación de un plazo para que se revele la voluntad de impugnar una sentencia y de que el mismo sea breve, ya que sólo así puede dispensarse tutela judicial sin dilaciones indebidas, a lo que conduciría la inexistencia de plazo o el hecho de que éste fuese amplio, siendo esta misma la razón que preside la fijación de un plazo breve para que se cumplan las cargas que se imponen para recurrir. Finalmente, razona que los plazos para tales finalidades no pueden modularse al tratarse de derecho imperativo, cuya finalidad es la tutela de quien ha resultado favorecido en la instancia. Sobre estas bases concluye que en el caso de autos la entidad no consignó en el plazo de cinco días legales, pese a no tener obstáculo alguno para dar cumplimiento a esta carga, no realizó acto alguno en ese tiempo, poniendo en conocimiento del órgano judicial su voluntad de satisfacer la misma, siendo su primer intento a tal efecto extemporáneo y, en cierto modo, pueril, al no tener ningún obstáculo para tomar conocimiento del comportamiento de su aseguradora, no sólo mediante relación directa, sino examinando los autos en el propio Juzgado; por todo ello, confirma el Auto impugnado.</w:t>
      </w:r>
    </w:p>
    <w:p w:rsidR="000B622C" w:rsidRDefault="000B622C" w:rsidP="000B622C">
      <w:pPr>
        <w:pStyle w:val="TextoNormal"/>
      </w:pPr>
    </w:p>
    <w:p w:rsidR="000B622C" w:rsidRDefault="000B622C" w:rsidP="000B622C">
      <w:pPr>
        <w:pStyle w:val="TextoNormal"/>
      </w:pPr>
      <w:r w:rsidRPr="000B622C">
        <w:rPr>
          <w:rStyle w:val="NumeroAFNegritaCaracter"/>
        </w:rPr>
        <w:t>3</w:t>
      </w:r>
      <w:r>
        <w:t>. Contra esta resolución judicial la empresa NECSO-ENTRECANALES- CUBIERTAS S.A., representada por el Procurador de los Tribunales don Cesar de Arias Benito, interpuso recurso de amparo, registrado en este Tribunal el 18 de mayo de 2000, en el que se alegaba vulneración del derecho a una tutela judicial efectiva, reconocido en el art. 24.1 CE, por no otorgársele un plazo de subsanación para consignar y, por tal motivo, denegársele el acceso al recurso. En particular alega que la doctrina constitucional (STC 343/1993) diferencia entre los supuestos defectuosos en los que la parte no se muestra contraria al cumplimiento total de los mismos, y aquellos en que por la voluntad del sujeto o la cobertura parcial debe facilitarse el acceso al recurso. Entiende que en este caso no existía falta total de consignación, pues la otra empresa codemandada había ya depositado una cantidad importante. Por otro lado alega que la extemporaneidad a que hace referencia el Auto impugnado, porque sólo se hizo manifestación de la voluntad de pago el 5 de julio de 1999, no tiene en cuenta que el 18 de junio se había dictado un Auto de aclaración, notificado el 2 de julio, que reabría el plazo de cinco días para recurrir en suplicación.</w:t>
      </w:r>
    </w:p>
    <w:p w:rsidR="000B622C" w:rsidRDefault="000B622C" w:rsidP="000B622C">
      <w:pPr>
        <w:pStyle w:val="TextoNormal"/>
      </w:pPr>
    </w:p>
    <w:p w:rsidR="000B622C" w:rsidRDefault="000B622C" w:rsidP="000B622C">
      <w:pPr>
        <w:pStyle w:val="TextoNormal"/>
      </w:pPr>
      <w:r w:rsidRPr="000B622C">
        <w:rPr>
          <w:rStyle w:val="NumeroAFNegritaCaracter"/>
        </w:rPr>
        <w:t>4</w:t>
      </w:r>
      <w:r>
        <w:t>. Mediante providencia de 26 de noviembre de 2001 la Sección Tercera de este Tribunal acordó abrir el trámite previsto en el art. 50.3 LOTC, concediendo al demandante de amparo y al Ministerio Fiscal el plazo común de diez días para que formularan las alegaciones que estimaran pertinentes, en relación con la carencia manifiesta de contenido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19 de diciembre de 2001 el Procurador de la empresa recurrente se ratifica íntegramente en la argumentación contenida en la demanda de amparo. </w:t>
      </w:r>
    </w:p>
    <w:p w:rsidR="000B622C" w:rsidRDefault="000B622C" w:rsidP="000B622C">
      <w:pPr>
        <w:pStyle w:val="TextoNormal"/>
      </w:pPr>
      <w:r>
        <w:lastRenderedPageBreak/>
        <w:t xml:space="preserve">7. El 20 de diciembre de 2001 el Ministerio Fiscal interesa la inadmisión del recurso de amparo planteado por falta manifiesta de contenido constitucional. El Ministerio Fiscal comienza recordando que el art. 24.1 CE sólo puede limitarse en aras de otro derecho o libertad constitucionalmente protegido, que en el caso de la consignación del importe de la Sentencia puede ser el derecho a la ejecución, dado que tal consignación constituye una garantía cautelar para la efectividad del derecho fundamental a la ejecución de las Sentencias. Asimismo, precisa que, en todo caso, el legislador en este marco no tiene absoluta libertad para imponer obstáculos que puedan estimarse excesivos, que sean producto de un innecesario formalismo u no se compaginen con el derecho a la justicia o a la finalidad de la norma (STC 30/1984), pero sin que la jurisprudencia constitucional haya considerado como tal el requisito de la consignación, siempre que se valore el supuesto analizado y la falta de medios o liquidez del sujeto obligado , correspondiendo al empresario la carga de la prueba de que procede este tratamiento excepcional sobre la consignación, así como el ofrecimiento en el momento de hacerlo de medios alternativos de consignación segura (STC 9/1983). </w:t>
      </w:r>
    </w:p>
    <w:p w:rsidR="000B622C" w:rsidRDefault="000B622C" w:rsidP="000B622C">
      <w:pPr>
        <w:pStyle w:val="TextoNormal"/>
      </w:pPr>
      <w:r>
        <w:t>Aplicando esta doctrina al caso examinado, el Ministerio Fiscal entiende que carece de relevancia constitucional la pretensión de la entidad demandante, pues, a la vista de las circunstancias concurrentes en el caso, los órganos judiciales razonablemente entendieron que no existía dato alguno que permitiera flexibilizar la obligación de consignar la cantidad requerida. Varias circunstancias son resaltadas en este sentido por parte del Ministerio Fiscal: a) la paradoja de que la entidad pretendiera abrir una suerte de trámite procesal en el que debatir con el juzgado sobre la necesidad de consignar, olvidando la taxatividad de los términos de la sentencia, b) el hecho de que en el escrito de preparación no se haga manifestación alguna sobre la consignación, y esta cuestión sólo se cuestione en un posterior escrito (5 de julio de 1999), lo que permite inferir una voluntad deliberada de incumplimiento, al no esgrimir una explicación razonable para cumplir con el depósito y no con la consignación, cuando ambas exigencias legales son claras, c) el hecho de tratar de reabrir los plazos invocando la posterior notificación de los autos aclaratorios de la sentencia y lograr la temporaneidad de la pretensión deducida por vez primera en el escrito de 5 de julio, cuando se omite sin embargo por la parte que el contenido de los autos aclaratorios no alteraba en modo alguno la naturaleza de su obligación, así como el hecho de que, aun en la hipótesis de la temporaneidad del escrito, al no recibir una respuesta pronta del juzgado, no consignara la cantidad debida, y optara por interpretar que la misma era un supuesto de suspensión por tiempo indefinido, cuando, por el contrario, es un principio inconcuso el de que los plazos procesales no pueden quedar al arbitrio de las partes, d) la clara existencia de una voluntad renuente al cumplimiento de la obligación de consignación, pues en su escrito de 5 de julio reconoce expresamente que entiende que ésta es una obligación que compete a su entidad aseguradora, tanto anuncie como no su propósito de interponer recurso de suplicación, por lo que es imposible considerar la existencia de un mero error formal , subsanable, de la falta de consignación, e) el hecho de que el recurrente sólo interprete los preceptos que le interesan del proceso laboral, pero no el Código Civil, a cuyo tenor la solidaridad de las obligaciones de los deudores permite la reclamación simultánea del acreedor contra todos ellos, que es lo que hace la sentencia, al condenar solidariamente a todos los demandados, exigiendo a todos y cada uno la consignación de la cantidad para recurrir, f) el hecho de que la duda que se plantea al órgano judicial (si la aseguradora ha consignado el importe de la condena y ha recurrido) pueda resolverse por el propio recurrente, al tratarse de su aseguradora con la que se presume facilidad de comunicación.</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objeto del presente recurso de amparo consiste en determinar si la resolución recurrida, en virtud de la cual que confirmó una anterior por la que se resolvía tener por no anunciado el recurso de suplicación interpuesto por la entidad demandante, ha vulnerado o no el derecho a la tutela judicial efectiva, por no otorgar un plazo para subsanar la falta total de consignación.</w:t>
      </w:r>
    </w:p>
    <w:p w:rsidR="000B622C" w:rsidRDefault="000B622C" w:rsidP="000B622C">
      <w:pPr>
        <w:pStyle w:val="TextoNormal"/>
      </w:pPr>
    </w:p>
    <w:p w:rsidR="000B622C" w:rsidRDefault="000B622C" w:rsidP="000B622C">
      <w:pPr>
        <w:pStyle w:val="TextoNormal"/>
      </w:pPr>
      <w:r w:rsidRPr="000B622C">
        <w:rPr>
          <w:rStyle w:val="NumeroAFNegritaCaracter"/>
        </w:rPr>
        <w:t>2</w:t>
      </w:r>
      <w:r>
        <w:t>. Se plantea de nuevo el problema de la consignación como requisito indisponible de recurribilidad y su relación con la doctrina constitucional sobre el acceso al recurso.</w:t>
      </w:r>
    </w:p>
    <w:p w:rsidR="000B622C" w:rsidRDefault="000B622C" w:rsidP="000B622C">
      <w:pPr>
        <w:pStyle w:val="TextoNormal"/>
      </w:pPr>
      <w:r>
        <w:t>Sobre esta cuestión este Tribunal ha declarado que el cumplimiento de los requisitos procesales es una materia de orden público (SSTC 3/1983, 173/1993), y que la obligación de consignar el importe de la condena para que pueda tenerse por anunciado y admitirse el recurso de suplicación en el orden laboral no es una carga que pueda estimarse lesiva del referido derecho del art. 24.1 C.E. Aunque es cierto que mediante algunas Sentencias de este Tribunal se flexibilizó la interpretación del art. 170 de la Ley de Procedimiento Laboral de 1980 (entre otras, SSTC 3/1983, de 25 de enero; 9/1983, de 21 de febrero; 14/1983, de 28 de febrero; 46/1983, de 27 de mayo; 100/1983, de 18 de noviembre; 76/1985, de 26 de junio; 52/1990, de 26 de marzo), esa doctrina tenía como supuesto legal de referencia una regulación en la que la exigencia de consignación en metálico se establecía sin alternativa posible, siendo esa unicidad del contenido del requisito lo que daba lugar a las recomendaciones de atenuación del rigor legal por parte de la jurisdicción ordinaria en tanto no se produjera una reforma legislativa. Pero producida ésta a partir de la Ley de Bases del Procedimiento Laboral de 1989 y de su articulación mediante el Real Decreto Legislativo 521/1990, de 27 de abril, el legislador dio entrada como garantía suficiente y sustitutoria de la consignación en metálico a los avales bancarios, pero sin modificar la indispensable exigencia de consignar la cantidad objeto de la condena.  De ahí que, con posteridad a la mencionada reforma, este Tribunal haya declarado que, salvo en casos límite y excepcionales, como el que dio lugar a la STC 30/1994, de 27 de enero, el requisito de la consignación, en principio, no encuentra razón para ser atenuado (STC 64/2000, de 13 de marzo).</w:t>
      </w:r>
    </w:p>
    <w:p w:rsidR="000B622C" w:rsidRDefault="000B622C" w:rsidP="000B622C">
      <w:pPr>
        <w:pStyle w:val="TextoNormal"/>
      </w:pPr>
      <w:r>
        <w:t>En consecuencia, la interpretación que de esta exigencia procesal para acceder a los recursos realicen los órganos judiciales se encuentra sometida al control general de constitucionalidad del derecho a la tutela judicial efectiva en su vertiente de acceso a los recursos. Desde esta perspectiva, debe recordarse que hemos afirmado que, salvo en materia penal, el principio pro actione actúa con menor intensidad que en los casos de acceso a la jurisdicción, y que este Tribunal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procésales ex art. 117 CE en lo que respecta al acceso a los recursos previstos en las leyes. Por ello, cuando se alega el derecho de acceso a los recursos, nuestro control de las resoluciones judiciales es meramente externo y debe limitarse a comprobar si tienen motivación y si han incurrido en error material patente, en arbitrariedad o en manifiesta irrazonabilidad lógica, pero evitando toda ponderación acerca de la corrección jurídica de las mismas (SSTC 258/2000 y 6/2001).</w:t>
      </w:r>
    </w:p>
    <w:p w:rsidR="000B622C" w:rsidRDefault="000B622C" w:rsidP="000B622C">
      <w:pPr>
        <w:pStyle w:val="TextoNormal"/>
      </w:pPr>
    </w:p>
    <w:p w:rsidR="000B622C" w:rsidRDefault="000B622C" w:rsidP="000B622C">
      <w:pPr>
        <w:pStyle w:val="TextoNormal"/>
      </w:pPr>
      <w:r w:rsidRPr="000B622C">
        <w:rPr>
          <w:rStyle w:val="NumeroAFNegritaCaracter"/>
        </w:rPr>
        <w:t>3</w:t>
      </w:r>
      <w:r>
        <w:t>. Aplicando esta doctrina al presente caso, no se aprecia vulneración del derecho fundamental alegado por la entidad recurrente, pues la resolución impugnada no incurre en error material patente, arbitrariedad, ni manifiesta irrazonabilidad lógica.</w:t>
      </w:r>
    </w:p>
    <w:p w:rsidR="000B622C" w:rsidRDefault="000B622C" w:rsidP="000B622C">
      <w:pPr>
        <w:pStyle w:val="TextoNormal"/>
      </w:pPr>
      <w:r>
        <w:t>En efecto, la resolución impugnada parte de que la consignación constituye un requisito indispensable de recurribilidad y de su carácter insubsanable cuando su falta es plena y manifiesta, teniendo en cuenta para tal declaración no sólo la doctrina constitucional y la jurisprudencia, sino también la finalidad del requisito legal y de los breves plazos en que ha de ser cumplido, y que no es otra sino la de lograr la tutela de quien ha resultado favorecido en la instancia y evitar dilaciones indebidas que impidan la ejecución inmediata de la condena.</w:t>
      </w:r>
    </w:p>
    <w:p w:rsidR="000B622C" w:rsidRDefault="000B622C" w:rsidP="000B622C">
      <w:pPr>
        <w:pStyle w:val="TextoNormal"/>
      </w:pPr>
      <w:r>
        <w:t>Junto a ello, la resolución que se examina tiene en cuenta que en el presente caso no existe una situación excepcional de imposibilidad de pago (pues, muy al contrario, la recurrente reconoce expresamente su solvencia), ni se produce ninguna dificultad insalvable para el cumplimiento del requisito legal en sus estrictos términos, por lo que no sólo no encuentra razón alguna para atenuar el rigor de la exigencia del requisito legal, sino que infiere la existencia de una renuencia al cumplimiento por parte de la entidad recurrente. Así, pese a que la entidad recurrente hace constar en el escrito de 5 de julio, de modo expreso, su voluntad de satisfacer la consignación, tal declaración resulta meramente formal, pues, como señala el Auto impugnado y resalta el Ministerio Fiscal, concurren varios datos objetivos de los que se deduce una voluntad deliberada al incumplimiento y a la dilatación de la referida obligación.  Entre ellos, el hecho de que inicialmente depositara pero no consignara, realizando un cumplimiento aleatorio de las dos cargas procesales, y cuestionando únicamente el tenor de una de ellas; el dato de que no manifestara en ese momento ninguna duda ni dificultad respecto a la consignación y dejara tal cuestión para un momento posterior, una vez sobrepasado el plazo; o el hecho de que no existiera obstáculo alguno para que la propia entidad recurrente pudiera conocer de modo directo el dato que, sin embargo, se exige al órgano judicial y cuya obtención resultaba sencilla mediante un comportamiento propio y diligente, ya sea preguntando a su propia aseguradora o bien mediante un examen de los autos.</w:t>
      </w:r>
    </w:p>
    <w:p w:rsidR="000B622C" w:rsidRDefault="000B622C" w:rsidP="000B622C">
      <w:pPr>
        <w:pStyle w:val="TextoNormal"/>
      </w:pPr>
      <w:r>
        <w:t>Todos estos elementos, razonados y motivados en la resolución impugnada revelan que la interpretación realizada por el órgano judicial de inadmitir el recurso cuando no se consigna en plazo ninguna cantidad, no puede tacharse de arbitraria o irrazonable y en modo alguno vulnera el art. 24 CE, pues el acceso al recurso de suplicación está condicionado por un precepto legal de carácter imperativo, cuya constitucionalidad este Tribunal ha aceptado, y que la parte no ha cumplido.</w:t>
      </w:r>
    </w:p>
    <w:p w:rsidR="000B622C" w:rsidRDefault="000B622C" w:rsidP="000B622C">
      <w:pPr>
        <w:pStyle w:val="TextoNormal"/>
      </w:pPr>
    </w:p>
    <w:p w:rsidR="000B622C" w:rsidRDefault="000B622C" w:rsidP="000B622C">
      <w:pPr>
        <w:pStyle w:val="TextoNormal"/>
      </w:pPr>
      <w:r>
        <w:t>Por todo lo cual,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a trámite del recurso de amparo y el archivo de las presentes actuaciones.</w:t>
      </w:r>
    </w:p>
    <w:p w:rsidR="000B622C" w:rsidRDefault="000B622C" w:rsidP="000B622C">
      <w:pPr>
        <w:pStyle w:val="TextoNormal"/>
      </w:pPr>
    </w:p>
    <w:p w:rsidR="000B622C" w:rsidRDefault="000B622C" w:rsidP="000B622C">
      <w:pPr>
        <w:pStyle w:val="TextoNormal"/>
      </w:pPr>
      <w:r>
        <w:t>Madrid, a once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5" w:name="AUTO_2002_14"/>
      <w:r>
        <w:lastRenderedPageBreak/>
        <w:t>AUTO 14/2002, de 11 de febrero de 2002</w:t>
      </w:r>
    </w:p>
    <w:bookmarkEnd w:id="115"/>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ECLI:ES:TC:2002:14A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Inadmite a trámite el recurso de amparo 3107-2000, interpuesto por doña Concepción Fos Martínez</w:t>
      </w:r>
    </w:p>
    <w:p w:rsidR="000B622C" w:rsidRDefault="000B622C" w:rsidP="000B622C">
      <w:pPr>
        <w:pStyle w:val="SntesisDescriptiva"/>
      </w:pPr>
    </w:p>
    <w:p w:rsidR="000B622C" w:rsidRDefault="000B622C" w:rsidP="000B622C">
      <w:pPr>
        <w:pStyle w:val="SntesisAnaltica"/>
      </w:pPr>
      <w:r>
        <w:t>Sentencia civil. Tutela judicial efectiva, derecho a la: cosa juzgada, respetado. Acceso a la justicia: inadmisión de demanda civil por cosa juzgada penal, respetado. Órdenes jurisdiccionales: condena penal y posterior pleito civil. Acción civil derivada de delito: vías judiciales. Ministerio fiscal: ejercicio de acciones civiles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30 de mayo de 2000, la representación procesal de doña Concepción Fos Araceli formuló demanda de amparo contra la Sentencia de 5 de mayo de 2000 de la Sección Segunda de la Audiencia Provincial de Albacete, dictada en el rollo de apelación 327/99.</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de los que trae causa la demanda pueden resumirse en los siguientes: </w:t>
      </w:r>
    </w:p>
    <w:p w:rsidR="000B622C" w:rsidRDefault="000B622C" w:rsidP="000B622C">
      <w:pPr>
        <w:pStyle w:val="TextoNormal"/>
      </w:pPr>
      <w:r>
        <w:t xml:space="preserve">a) Doña Concepción Fos Mesenguer era titular de una finca registral urbana. A su muerte, don Ángel Piñero Sánchez y su esposa doña María Dolores Nuñez Bautista, alegando falsamente que habían adquirido la finca por compraventa mediante documento privado extraviado consiguieron a través del planteamiento de un expediente de dominio inscribir el bien a su nombre que, posteriormente, enajenaron. </w:t>
      </w:r>
    </w:p>
    <w:p w:rsidR="000B622C" w:rsidRDefault="000B622C" w:rsidP="000B622C">
      <w:pPr>
        <w:pStyle w:val="TextoNormal"/>
      </w:pPr>
      <w:r>
        <w:t xml:space="preserve">b) Algunos de los parientes que se consideraron perjudicados, por ser herederos de la fallecida, se querellaron contra Ángel Piñero Sánchez y su esposa y seguido el correspondiente proceso penal, se dictó Sentencia por el Juzgado de lo Penal núm.1 de Albacete (juicio oral 327/94) el 23 de junio de 1995 en el que los referidos fueron condenados por un delito de falsedad en documento público y otro de estafa a las penas correspondientes. </w:t>
      </w:r>
    </w:p>
    <w:p w:rsidR="000B622C" w:rsidRDefault="000B622C" w:rsidP="000B622C">
      <w:pPr>
        <w:pStyle w:val="TextoNormal"/>
      </w:pPr>
      <w:r>
        <w:t xml:space="preserve">En el proceso penal tanto los querellantes como el Ministerio Fiscal ejercitaron la acción civil y la Sentencia penal condenó a los acusados a indemnizar conjunta y solidariamente a aquellos que resultasen haber tenido un derecho de propiedad sobre la vivienda que fue objeto de los delitos enjuiciados en la causa penal en la cantidad de 5.032.000 pesetas con los intereses legales de dicha cantidad, por ser la suma en la que fue valorada la finca a los efectos del Impuesto de Transmisiones Patrimoniales. </w:t>
      </w:r>
    </w:p>
    <w:p w:rsidR="000B622C" w:rsidRDefault="000B622C" w:rsidP="000B622C">
      <w:pPr>
        <w:pStyle w:val="TextoNormal"/>
      </w:pPr>
      <w:r>
        <w:t xml:space="preserve">c) Firme la Sentencia penal, doña Concepción Fos Martínez, mediante escrito presentado el 9 de enero de 1996, con firma de Procurador y Letrado, compareció en el proceso penal y alegando que no había podido intervenir en el procedimiento, solicitó que se le </w:t>
      </w:r>
      <w:r>
        <w:lastRenderedPageBreak/>
        <w:t xml:space="preserve">tuviera por comparecida a los efectos de recibir la indemnización que se fije haciendo expresa reserva de las acciones civiles que le pudieran corresponder. </w:t>
      </w:r>
    </w:p>
    <w:p w:rsidR="000B622C" w:rsidRDefault="000B622C" w:rsidP="000B622C">
      <w:pPr>
        <w:pStyle w:val="TextoNormal"/>
      </w:pPr>
      <w:r>
        <w:t xml:space="preserve">d) Seguido el oportuno incidente de ejecución de la Sentencia penal para determinar quienes eran los sucesores de la fallecida doña Concepción Fos Mesenguer, perjudicados por los delitos objeto de la condena penal, la ahora recurrente percibió la cantidad de 1.006.400 pesetas, correspondientes a la quinta parte de sus derechos hereditarios en el valor de la finca, más otra cantidad por intereses. </w:t>
      </w:r>
    </w:p>
    <w:p w:rsidR="000B622C" w:rsidRDefault="000B622C" w:rsidP="000B622C">
      <w:pPr>
        <w:pStyle w:val="TextoNormal"/>
      </w:pPr>
      <w:r>
        <w:t xml:space="preserve">e) Mediante escrito presentado el 16 de febrero de 1999, doña Concepción Fos Martínez interpuso demanda de juicio de menor cuantía contra don Ángel Piñero Sánchez y doña María Dolores Nuñez Bautista en reclamación de la cantidad de 2.760.294 pesetas en concepto de daños y perjuicios, alegando, en síntesis, que ésta era la cantidad que le correspondía percibir por los daños sufridos a consecuencia de la enajenación delictiva de la finca de la que era propietaria, en una quinta parte, y que era la diferencia entre la cantidad percibida en el proceso penal fijada tomando en cuenta la valoración de la finca establecida en la Sentencia penal, y la que resultaba de tomar como valor de la finca la que consideraba procedente con arreglo a las tasaciones periciales que aportaba. </w:t>
      </w:r>
    </w:p>
    <w:p w:rsidR="000B622C" w:rsidRDefault="000B622C" w:rsidP="000B622C">
      <w:pPr>
        <w:pStyle w:val="TextoNormal"/>
      </w:pPr>
      <w:r>
        <w:t xml:space="preserve">f) Seguido el proceso civil, el Juzgado de Primera Instancia núm. 3 de Albacete (menor cuantía 83/99), dictó Sentencia el 14 de septiembre de 1999 en la que acogiendo la excepción de cosa juzgada alegada por los demandados desestimó la demanda con imposición de las costas a la actora. </w:t>
      </w:r>
    </w:p>
    <w:p w:rsidR="000B622C" w:rsidRDefault="000B622C" w:rsidP="000B622C">
      <w:pPr>
        <w:pStyle w:val="TextoNormal"/>
      </w:pPr>
      <w:r>
        <w:t xml:space="preserve">El Juzgado fundó su decisión en la siguiente motivación recogida en los Fundamentos de Derecho 1º, 2º y 3º de la Sentencia: </w:t>
      </w:r>
    </w:p>
    <w:p w:rsidR="000B622C" w:rsidRDefault="000B622C" w:rsidP="000B622C">
      <w:pPr>
        <w:pStyle w:val="TextoNormal"/>
      </w:pPr>
      <w:r>
        <w:t xml:space="preserve">"PRIMERO.- Oponen los demandados en primer lugar la excepción perentoria de cosa juzgada por entender que la acción de resarcimiento de daños y perjuicios ahora ejercitada ya lo fue por el Ministerio Fiscal en el Juicio Oral 327/94 (P.A. 33//94), recogiéndose en la Sentencia dictada por el Juzgado de lo Penal núm. 1 de 23 de junio de 1995 una indemnización a favor de los perjudicados, entre los que se encontraba la hoy actora, de 5.032.500 pesetas, de modo que en la ejecutoria 374/95 dimanante le correspondió la cantidad de 1.006.400 pesetas, de principal que le han sido entregadas. </w:t>
      </w:r>
    </w:p>
    <w:p w:rsidR="000B622C" w:rsidRDefault="000B622C" w:rsidP="000B622C">
      <w:pPr>
        <w:pStyle w:val="TextoNormal"/>
      </w:pPr>
      <w:r>
        <w:t xml:space="preserve">La cosa juzgada es la vinculación que produce una Sentencia dictada en un proceso, en otro en el que se pretende hacer valer la misma pretensión; a ella se refiere el art. 544 de la Ley de Enjuiciamiento Civil y 1252 del Código Civil; para que pueda desplegar su eficacia es preciso que entre el caso resuelto y aquél en que sea invocada concurra la más perfecta identidad entre las cosas, las causas, las personas de los litigantes y la calidad en que lo fueron. </w:t>
      </w:r>
    </w:p>
    <w:p w:rsidR="000B622C" w:rsidRDefault="000B622C" w:rsidP="000B622C">
      <w:pPr>
        <w:pStyle w:val="TextoNormal"/>
      </w:pPr>
      <w:r>
        <w:t xml:space="preserve">SEGUNDO.- En el presente caso no se discute la existencia del procedimiento penal aludido en el que los demandados fueron condenados por un delito de estafa, en el que además de intervenir lógicamente el Ministerio Fiscal, lo hizo determinada acusación particular; tampoco se discute el que en dicho procedimiento se ejercitó la acción civil por el Ministerio Fiscal y la acusación particular sin que ninguno de los personados hiciera expresa reserva de acciones civiles, ni tampoco el que la hoy actora se personara en dichos autos cuando ya estaban en trámite de ejecutoria (año 1996) y aceptara la indemnización que le tocaba, si bien, según se desprende, dijo que lo hacía a "cuenta de la indemnización que le correspondiera". </w:t>
      </w:r>
    </w:p>
    <w:p w:rsidR="000B622C" w:rsidRDefault="000B622C" w:rsidP="000B622C">
      <w:pPr>
        <w:pStyle w:val="TextoNormal"/>
      </w:pPr>
      <w:r>
        <w:t xml:space="preserve">Bajo las premisas anteriores considero que no cabe otro pronunciamiento que estimar la excepción esgrimida y desestimar la demanda sin entrar a resolver, por innecesario, las demás cuestiones suscitadas. </w:t>
      </w:r>
    </w:p>
    <w:p w:rsidR="000B622C" w:rsidRDefault="000B622C" w:rsidP="000B622C">
      <w:pPr>
        <w:pStyle w:val="TextoNormal"/>
      </w:pPr>
      <w:r>
        <w:lastRenderedPageBreak/>
        <w:t xml:space="preserve">TERCERO.- Efectivamente, en cuanto al nacimiento u origen de las obligaciones civiles están los delitos y faltas (Art. 1089 del Código Civil y art. 100 de la Ley de Enjuiciamiento Criminal); el delito de estafa, por el que fueron condenados los demandados, llevaba consigo la acción civil para la reparación del daño e indemnización del perjuicio causado (acción que la actora pretende ejercitar nuevamente por considerar que la indemnización que se le dio fue insuficiente en atención al valor de la finca, que ella juzga muy superior a la establecida en Sentencia); la acción civil proveniente de delito se extingue por diversas causas, pero entre ellas está el haberse agotado por su ejercicio anterior; en principio la acción civil debe ejercitarse conjuntamente con la acción penal, encomendándose de este modo al Ministerio Fiscal según el art. 108 de la Ley de Enjuiciamiento Criminal; cosa que efectivamente hizo, sin que ninguno de los perjudicados renunciara a su derecho o se lo reservara para ejercerlo en un proceso ulterior; como la actora no se mostró parte en la causa hasta la fase de ejecución, el Ministerio Fiscal, en el ejercicio correcto de sus funciones, ejercitó la acción civil, (art. 112 de la Ley de Enjuiciamiento Criminal: "Ejercitada sólo la acción penal, se entenderá utilizada también la civil, a no ser que el dañado o perjudicado la renunciase o la reservase expresamente para ejercitarle después de terminado el juicio criminal, si a ello hubiere lugar. Si se ejercitase sólo la civil que nace de un delito de los que no pueden perseguirse sino en virtud de querella particular, se considerará extinguida desde luego la acción penal"). </w:t>
      </w:r>
    </w:p>
    <w:p w:rsidR="000B622C" w:rsidRDefault="000B622C" w:rsidP="000B622C">
      <w:pPr>
        <w:pStyle w:val="TextoNormal"/>
      </w:pPr>
      <w:r>
        <w:t xml:space="preserve">En consecuencia, ventilada ya la acción civil en procedimiento penal sin reserva de la interesada, quedó agotado su ejercicio, no siendo posible nuevo procedimiento sobre lo mismo que ya fue juzgado". </w:t>
      </w:r>
    </w:p>
    <w:p w:rsidR="000B622C" w:rsidRDefault="000B622C" w:rsidP="000B622C">
      <w:pPr>
        <w:pStyle w:val="TextoNormal"/>
      </w:pPr>
      <w:r>
        <w:t xml:space="preserve">g) Interpuesto recurso de apelación por la actora, la Sección Segunda de la Audiencia Provincial de Albacete (rollo 327/99), dictó Sentencia el 5 de mayo de 2000, notificada parece que el 8 de mayo, en la que desestimó el recurso y confirmó la Sentencia apelada. </w:t>
      </w:r>
    </w:p>
    <w:p w:rsidR="000B622C" w:rsidRDefault="000B622C" w:rsidP="000B622C">
      <w:pPr>
        <w:pStyle w:val="TextoNormal"/>
      </w:pPr>
      <w:r>
        <w:t xml:space="preserve">La Audiencia funda su decisión en la siguiente motivación recogida en el Fundamento de Derecho 1º de la Sentencia: </w:t>
      </w:r>
    </w:p>
    <w:p w:rsidR="000B622C" w:rsidRDefault="000B622C" w:rsidP="000B622C">
      <w:pPr>
        <w:pStyle w:val="TextoNormal"/>
      </w:pPr>
      <w:r>
        <w:t>"PRIMERO.- En el procedimiento penal tramitado, aunque la hoy apelante no estuviera personada en el mismo, el Ministerio Fiscal actuó en nombre de los posibles perjudicados, como claramente se expone en el fallo de la Sentencia dictada, entre los que, indiscutiblemente, se encontraba la hoy recurrente por ser heredera de la titular registral, y por ello, al haberse ejercitado por el Ministerio Público, al mismo tiempo que la acción penal, la civil, y haber recaído Sentencia firme sobre la misma, la resolución dictada, tiene fuerza de cosa juzgada, y es imposible que sobre el mismo objeto se interponga una nueva pretensión, sin que el hecho de no haber intervenido directa y personalmente en el proceso legítimo a la hoy actora, ya que en dicho proceso estuvo legalmente representada por quien tenía la obligación de hacerlo en caso de la carencia de una actuación directa y personal".</w:t>
      </w:r>
    </w:p>
    <w:p w:rsidR="000B622C" w:rsidRDefault="000B622C" w:rsidP="000B622C">
      <w:pPr>
        <w:pStyle w:val="TextoNormal"/>
      </w:pPr>
    </w:p>
    <w:p w:rsidR="000B622C" w:rsidRDefault="000B622C" w:rsidP="000B622C">
      <w:pPr>
        <w:pStyle w:val="TextoNormal"/>
      </w:pPr>
      <w:r w:rsidRPr="000B622C">
        <w:rPr>
          <w:rStyle w:val="NumeroAFNegritaCaracter"/>
        </w:rPr>
        <w:t>3</w:t>
      </w:r>
      <w:r>
        <w:t>. La demanda denuncia la vulneración del derecho a la tutela judicial efectiva del art. 24.1 CE que, a juicio de la recurrente, se ha producido porque el Juzgado y la Audiencia han desestimado su demanda civil sin entrar en el fondo del asunto, al apreciar la existencia de la excepción de cosa juzgada, por considerar que la acción civil derivada del delito ya había sido examinada y decidida en la Sentencia penal, sin que la recurrente haya sido parte en el proceso penal y sin que se le hiciera el ofrecimiento de acciones del art. 109 LECrim., por lo que, en suma, se ha lesionado el art. 24.1 CE ya que la Sentencia recurrida ha impedido a la recurrente ejercer la acción de reclamación de los daños producidos por los hechos delictivos que la privaron de forma ilegal de su derecho de propiedad.</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4</w:t>
      </w:r>
      <w:r>
        <w:t>. Por providencia de 16 de julio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50.1.c) LOTC].</w:t>
      </w:r>
    </w:p>
    <w:p w:rsidR="000B622C" w:rsidRDefault="000B622C" w:rsidP="000B622C">
      <w:pPr>
        <w:pStyle w:val="TextoNormal"/>
      </w:pPr>
    </w:p>
    <w:p w:rsidR="000B622C" w:rsidRDefault="000B622C" w:rsidP="000B622C">
      <w:pPr>
        <w:pStyle w:val="TextoNormal"/>
      </w:pPr>
      <w:r w:rsidRPr="000B622C">
        <w:rPr>
          <w:rStyle w:val="NumeroAFNegritaCaracter"/>
        </w:rPr>
        <w:t>5</w:t>
      </w:r>
      <w:r>
        <w:t>. Por escrito registrado el 30 de julio de 2001, la representación procesal de la recurrente reitera su solicitud de amparo y alega que sufrió indefensión ya que en el proceso penal en el que era perjudicada, se le notificó su existencia cuando ya estaban determinadas las responsabilidades civiles, sin posibilidad de reclamar en la vía penal, por lo que se vio obligada a acudir a la reclamación civil, que le fue desestimada por acogerse la excepción de cosa juzgada. Por lo que, en definitiva, se ha visto privada de defender sus derechos legítimos, tanto en la vía penal como en la civil, por causas no imputables a ella.</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Mediante escrito registrado el 13 de septiembre de 2001, el Fiscal formula sus alegaciones en las que interesa la inadmisión. La aplicación al caso presente de la doctrina constitucional sobre la cosa juzgada que se recoge en la STC 43/1998, exige determinar si la apreciación , por parte de las Sentencias recurridas, de la triple identidad exigida por la ley para reconocer eficacia a la cosa juzgada incurre en alguno de los vicios revisables en sede constitucional, a cuyo efecto es necesario destacar que tales vicios los imputa la demandante de amparo a la apreciación de la concurrencia de la identidad subjetiva porque en el proceso penal no tuvo intervención la demandante de amparo, aunque sí la tuvieron otros acusadores, también coherederos de la titular registral del inmueble, que provocaron la incoación del proceso ejercitando en forma de querella las acciones penal y civil derivada del delito, y el Ministerio Fiscal, que, conforme a lo previsto en el art. 105 LECrim., ejercitó la acción penal derivada del delito atribuido a los querellados que, por ser público, no estaba sujeto en su persecución al cumplimiento de requisito alguno de procedibilidad, lo que supuso, en virtud de lo dispuesto en el art. 110 LECrim., el ejercicio de la acción civil correspondiente porque no constaba que la demandante de amparo, ni otros perjudicados, hubiesen renunciado a su ejercicio o lo hubiesen reservado para llevarlo a cabo promoviendo el proceso civil pertinente. </w:t>
      </w:r>
    </w:p>
    <w:p w:rsidR="000B622C" w:rsidRDefault="000B622C" w:rsidP="000B622C">
      <w:pPr>
        <w:pStyle w:val="TextoNormal"/>
      </w:pPr>
      <w:r>
        <w:t xml:space="preserve">Tal reserva la efectuó la demandante de amparo, pero lo hizo cuando ya la acción civil se había consumido porque, ejercitada la pretensión de resarcimiento por los acusadores particulares y, por ministerio de la ley, por el Ministerio Fiscal a consecuencia del ejercicio de la acción penal, aquélla fue mantenida en nombre de todos los perjudicados y fue resuelta mediante la Sentencia correspondiente, que la estimó utilizando una fórmula que permitía que, en ejecución de sentencia, se produjera la satisfacción a cada uno de los herederos de la titular registral perjudicados la parte que les correspondiese del precio de la finca cuya titularidad habían obtenido fraudulentamente los condenados, lo que les había permitido llevar a cabo su enajenación a un tercero que, por haberla adquirido a título oneroso y de buena fe, habían consolidado una titularidad jurídica inexpugnable en virtud de lo dispuesto por el art. 34 de la Ley Hipotecaria, que fue lo que impidió que la pretensión de resarcimiento se pudiese concretar en la restitución de la finca como, con carácter preferente, dispone que se realice el art. 111 CP de 1995 y su homólogo del CP de 1973. </w:t>
      </w:r>
    </w:p>
    <w:p w:rsidR="000B622C" w:rsidRDefault="000B622C" w:rsidP="000B622C">
      <w:pPr>
        <w:pStyle w:val="TextoNormal"/>
      </w:pPr>
      <w:r>
        <w:t xml:space="preserve">En consecuencia, si las resoluciones judiciales han apreciado la concurrencia de la identidad subjetiva no puede tildarse a las mismas que hayan efectuado tal apreciación mediante una selección arbitraria o una interpretación errónea de las normas aplicables, ya </w:t>
      </w:r>
      <w:r>
        <w:lastRenderedPageBreak/>
        <w:t xml:space="preserve">que no han hecho otra cosa que seleccionar las que están llamadas a serlo e interpretarlas conforme al sentido propio de las mismas. </w:t>
      </w:r>
    </w:p>
    <w:p w:rsidR="000B622C" w:rsidRDefault="000B622C" w:rsidP="000B622C">
      <w:pPr>
        <w:pStyle w:val="TextoNormal"/>
      </w:pPr>
      <w:r>
        <w:t xml:space="preserve">De la falta de intervención de la demandante de amparo en el proceso penal no se deriva, sin más, que haya sufrido indefensión que resulte preceptivo eliminar mediante el otorgamiento del amparo, pretensión que debe inadmitirse cuando dicha indefensión no se ha producido. Para determinar si se ha producido indefensión hay que partir en el presente caso de que la pretensión de resarcimiento de la demandante de amparo fue rechazada sin examen sobre el fondo porque dicho examen se había realizado en el proceso penal precedente, aún cuando sin intervención de aquélla, lo que, como antes se ha demostrado, no entraña vulneración alguna de normas constitucionales ni de otro rango. Así lo reconoce la propia demandante de amparo porque, en la demanda planteada ante este Tribunal, alega inequívocamente que la pretensión civil a cuyo rechazo anuda la vulneración de derechos fundamentales tiene la misma causa petendi que la pretensión de resarcimiento mantenida en su nombre por el Ministerio Fiscal en el proceso penal, que no es otra que la venta de la finca cuya titularidad se obtuvo de manera fraudulenta. </w:t>
      </w:r>
    </w:p>
    <w:p w:rsidR="000B622C" w:rsidRDefault="000B622C" w:rsidP="000B622C">
      <w:pPr>
        <w:pStyle w:val="TextoNormal"/>
      </w:pPr>
      <w:r>
        <w:t xml:space="preserve">La única alegación novedosa que se realizó en la demanda civil fue la de entender que el perjuicio cuyo resarcimiento reclamaba derivaba de que la valoración del inmueble se realizó en el proceso penal atendiendo a los criterios utilizados por la Administración Tributaria, cuya aplicación arrojó un valor muy inferior al resultante de la pericial realizada a instancia de la demandante que se acompañaba a la demanda. Dicho con otras palabras, la queja de la demandante de amparo se fundamenta en que, si hubiese intervenido en el proceso penal, podía haber aportado dicha prueba pericial y, en consecuencia, el juzgador podía haberla tomado en consideración para determinar el valor del inmueble y, por ende, para cifrar el del perjuicio. Pero, como se ve, de lo que el demandante se queja no es de una vulneración real de su derecho, ya que no ha demostrado, ni siquiera intentado hacerlo, que la valoración efectuada era errónea. De esa manera lo que únicamente alega es que es posible que el juzgador hubiera hecho una valoración diferente, más beneficiosa para ella ciertamente, pero no que la hubiera tenido que hacer, y que hubiera conducido a una valoración diferente de la efectuada que es el presupuesto necesario para fundamentar la vulneración que se denuncia (STC 1/1996). </w:t>
      </w:r>
    </w:p>
    <w:p w:rsidR="000B622C" w:rsidRDefault="000B622C" w:rsidP="000B622C">
      <w:pPr>
        <w:pStyle w:val="TextoNormal"/>
      </w:pPr>
      <w:r>
        <w:t>Finalmente, si se considera que la vulneración del derecho fundamental denunciado por la demandante de amparo se conecta a que no fue llamada para intervenir en el proceso penal, tal vulneración no sería atribuible a los órganos del Poder Judicial que conocieron dicho proceso, los cuales no tuvieron posibilidad de conocer la existencia de la demandante de amparo, ni su relación con el objeto del proceso que habría justificado su llamamiento al mismo porque, entre otras razones, por negligencia de la propia demandante de amparo no se promovió la liquidación y partición de la herencia de la primitiva titular registral del inmueble, lo que hubiera permitido saber que ella era una de las cotitulares del derecho de dominio sobre dicho bien y que, constituyendo el objeto del proceso la modificación fraudulenta de la titularidad registral de aquél, necesariamente tendría que haber sido llamada conforme determina el art. 109 LECrim. En consecuencia, dicha negligencia de la demandante de amparo también priva de contenido constitucional a su queja (STC 210/99).</w:t>
      </w:r>
    </w:p>
    <w:p w:rsidR="000B622C" w:rsidRDefault="000B622C" w:rsidP="000B622C">
      <w:pPr>
        <w:pStyle w:val="TextoNormal"/>
      </w:pPr>
    </w:p>
    <w:p w:rsidR="000B622C" w:rsidRDefault="000B622C" w:rsidP="000B622C">
      <w:pPr>
        <w:pStyle w:val="TextoNormalNegritaCentrado"/>
        <w:keepNext/>
      </w:pPr>
      <w:r>
        <w:lastRenderedPageBreak/>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Tras el examen de las alegaciones formuladas por la recurrente y por el Ministerio Fiscal, la Sección, en contestación a su providencia de 16 de julio de 2001, concluye que carece manifiestamente de contenido, lo que constituye la causa de inadmisión prevista en el art. 50.1 c) LOTC.</w:t>
      </w:r>
    </w:p>
    <w:p w:rsidR="000B622C" w:rsidRDefault="000B622C" w:rsidP="000B622C">
      <w:pPr>
        <w:pStyle w:val="TextoNormal"/>
      </w:pPr>
    </w:p>
    <w:p w:rsidR="000B622C" w:rsidRDefault="000B622C" w:rsidP="000B622C">
      <w:pPr>
        <w:pStyle w:val="TextoNormal"/>
      </w:pPr>
      <w:r w:rsidRPr="000B622C">
        <w:rPr>
          <w:rStyle w:val="NumeroAFNegritaCaracter"/>
        </w:rPr>
        <w:t>2</w:t>
      </w:r>
      <w:r>
        <w:t>.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FJ 2; 69/1984, de 11 de junio, FJ 2; 6/1986, de 21 de enero, FJ 3; 118/1987, de 8 de julio, FJ 2; 57/1988, de 5 de abril, FJ 1; 124/1988, de 23 de junio, FJ 3; 216/1989, de 21 de diciembre, FJ 3; 154/1992, de 19 de octubre, FJ 2; 55/1995, de 6 de marzo, FJ 2; 104/1997, de 2 de junio, FJ 2; 108/2000, de 5 de mayo, FJ 3;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 FJ 2).</w:t>
      </w:r>
    </w:p>
    <w:p w:rsidR="000B622C" w:rsidRDefault="000B622C" w:rsidP="000B622C">
      <w:pPr>
        <w:pStyle w:val="TextoNormal"/>
      </w:pPr>
      <w:r>
        <w:t>Asimismo, hemos declarado que una de la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respecto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(SSTC 159/1987, de 26 de octubre, FJ 2; 135/1994, de 9 de mayo, FJ 2; 198/1994, de 4 de julio, FJ 3; 59/1996, de 15 de abril, FJ 2; 43/1998, de 24 de febrero, FJ 3; 53/2000, de 28 de febrero, FJ 6; 55/2000, de 28 de febrero, FJ 4; 207/2000, de 24 de julio, FJ 2; 309/2000, de 18 de diciembre, FJ 3; 151/2001, de 2 de julio, FJ 3).</w:t>
      </w:r>
    </w:p>
    <w:p w:rsidR="000B622C" w:rsidRDefault="000B622C" w:rsidP="000B622C">
      <w:pPr>
        <w:pStyle w:val="TextoNormal"/>
      </w:pPr>
      <w:r>
        <w:t>Por ello,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000B622C" w:rsidRDefault="000B622C" w:rsidP="000B622C">
      <w:pPr>
        <w:pStyle w:val="TextoNormal"/>
      </w:pPr>
      <w:r>
        <w:t xml:space="preserve">Igualmente, este Tribunal ha declarado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w:t>
      </w:r>
      <w:r>
        <w:lastRenderedPageBreak/>
        <w:t>242/1992, de 21 de diciembre, FJ 3; 92/1993, de 15 de marzo, FJ 3; 135/1994, de 9 de mayo, FJ 2; 43/1998, de 24 de febrero, FJ 4).</w:t>
      </w:r>
    </w:p>
    <w:p w:rsidR="000B622C" w:rsidRDefault="000B622C" w:rsidP="000B622C">
      <w:pPr>
        <w:pStyle w:val="TextoNormal"/>
      </w:pPr>
    </w:p>
    <w:p w:rsidR="000B622C" w:rsidRDefault="000B622C" w:rsidP="000B622C">
      <w:pPr>
        <w:pStyle w:val="TextoNormal"/>
      </w:pPr>
      <w:r w:rsidRPr="000B622C">
        <w:rPr>
          <w:rStyle w:val="NumeroAFNegritaCaracter"/>
        </w:rPr>
        <w:t>3</w:t>
      </w:r>
      <w:r>
        <w:t>. De conformidad con la doctrina expuesta, la función de este Tribunal, por consiguiente, ha de limitarse a comprobar si la Sentencia recurrida, al desestimar la demanda civil por apreciar la cosa juzgada derivada de la Sentencia recaída en el anterior proceso penal, puede considerarse una respuesta válida desde la perspectiva del derecho a la tutela judicial efectiva o, por el contrario, resulta una decisión arbitraria, incongruente o irrazonable que no satisface las exigencias del art. 24.1 CE.</w:t>
      </w:r>
    </w:p>
    <w:p w:rsidR="000B622C" w:rsidRDefault="000B622C" w:rsidP="000B622C">
      <w:pPr>
        <w:pStyle w:val="TextoNormal"/>
      </w:pPr>
    </w:p>
    <w:p w:rsidR="000B622C" w:rsidRDefault="000B622C" w:rsidP="000B622C">
      <w:pPr>
        <w:pStyle w:val="TextoNormal"/>
      </w:pPr>
      <w:r w:rsidRPr="000B622C">
        <w:rPr>
          <w:rStyle w:val="NumeroAFNegritaCaracter"/>
        </w:rPr>
        <w:t>4</w:t>
      </w:r>
      <w:r>
        <w:t>. Para realizar el referido análisis hemos de recordar que en nuestro sistema procesal, el proceso penal no queda limitado al ejercicio y conocimiento de la acción penal a través de la cual se manifiesta el ius puniendi del Estado; por el contrario, en el proceso penal puede ejercitarse y decidirse también la acción civil dirigida a satisfacer la llamada responsabilidad civil ex delicto, es decir, la responsabilidad civil derivada del hecho ilícito que es constitutivo de delito o falta.  Además, el legislador, por razones de economía o de oportunidad, considera que ejercitada la acción penal se entiende utilizada también la acción civil, de forma que salvo que el perjudicado por el hecho delictivo haya renunciado a la acción civil o se haya reservado expresamente esta acción para ejercitarla después de terminado el proceso penal en el correspondiente juicio civil (art. 112 LECrim.), la Sentencia que ponga fin al proceso penal, en el caso de que sea condenatoria (y excepcionalmente, cuando sea absolutoria en los supuestos del art. 118 del Código Penal) deberá pronunciarse también sobre la responsabilidad civil ex delicto. A este fin, el Ministerio Fiscal está obligado, haya o no acusador particular, a ejercer la acción civil, salvo que el perjudicado haya renunciado o se haya reservado las acciones civiles (art. 108 LECrim).</w:t>
      </w:r>
    </w:p>
    <w:p w:rsidR="000B622C" w:rsidRDefault="000B622C" w:rsidP="000B622C">
      <w:pPr>
        <w:pStyle w:val="TextoNormal"/>
      </w:pPr>
      <w:r>
        <w:t>De este modo, el legislador ha querido que la Sentencia penal decida definitivamente toda las consecuencias penales y civiles derivadas del hecho delictivo, salvo el supuesto de renuncia o de reserva de las acciones civiles por parte del perjudicado, pues no existiendo esta renuncia o reserva de acciones, el Ministerio Fiscal ostenta una legitimación extraordinaria o por sustitución para ejercer, en nombre de los perjudicados, las acciones civiles que puedan corresponderles, por lo que ejercitadas estas acciones por el Fiscal, el perjudicado no podrá ya volver a ejercitarlas en un posterior proceso civil, salvo que se trate de objetos o cuestiones civiles no discutidas en la Sentencia penal.</w:t>
      </w:r>
    </w:p>
    <w:p w:rsidR="000B622C" w:rsidRDefault="000B622C" w:rsidP="000B622C">
      <w:pPr>
        <w:pStyle w:val="TextoNormal"/>
      </w:pPr>
      <w:r>
        <w:t xml:space="preserve">El esquema que se deja expuesto, permite sostener que la Sentencia penal condenatoria que se haya pronunciado sobre la responsabilidad civil del condenado produce efectos de cosa juzgada en el ulterior proceso civil que pueda plantear el perjudicado, pues la Sentencia penal produce efectos consuntivos de cuantas acciones penales y civiles se ejercitaron y ventilaron en el proceso penal. Sólo aquellas acciones civiles que no fueron objeto de la Sentencia penal, porque la sentencia fue absolutoria, porque el perjudicado se las reservó para ejercitarlas en un posterior proceso civil, o porque no fueron ejercitadas en el proceso penal, son las que podrán ejercerse y ventilarse en un posterior proceso civil y no quedaran afectadas por la cosa juzgada que produce la Sentencia penal. De ello se colige fácilmente, que la Sentencia penal que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w:t>
      </w:r>
      <w:r>
        <w:lastRenderedPageBreak/>
        <w:t>que fue objeto de enjuiciamiento en el ámbito criminal, este pronunciamiento vinculara positivamente al juez civil que no podrá ya fundar ninguna responsabilidad civil en la existencia del hecho que fue declarado inexistente por la jurisdicción penal.</w:t>
      </w:r>
    </w:p>
    <w:p w:rsidR="000B622C" w:rsidRDefault="000B622C" w:rsidP="000B622C">
      <w:pPr>
        <w:pStyle w:val="TextoNormal"/>
      </w:pPr>
    </w:p>
    <w:p w:rsidR="000B622C" w:rsidRDefault="000B622C" w:rsidP="000B622C">
      <w:pPr>
        <w:pStyle w:val="TextoNormal"/>
      </w:pPr>
      <w:r w:rsidRPr="000B622C">
        <w:rPr>
          <w:rStyle w:val="NumeroAFNegritaCaracter"/>
        </w:rPr>
        <w:t>5</w:t>
      </w:r>
      <w:r>
        <w:t>. En el presente caso, nos hallamos ante un proceso penal por estafa y falsedad documental que se inició por querella de una parte de los perjudicados por el hecho delictivo, estos querellantes ejercitaron la acción civil y solicitaron que la indemnización se fijase atendiendo al valor de mercado de la finca que fue enajenada delictivamente por los acusados, frente a la petición del Fiscal que interesó que la indemnización se fijase en el precio de venta de la finca. Lo que queremos decir con esto es que, la actuación procesal de los querellantes, en cuanto actores civiles, fue determinante para que la Sentencia penal fijase la indemnización reconocida a los perjudicados en los 5.032.000 pesetas frente a la petición del Fiscal, cifrada en 3.250.000 pesetas, por considerar la Sentencia penal que la cantidad establecida como indemnización reflejaba el valor de mercado del bien, al ser el aplicado en el Impuesto de Transmisiones Patrimoniales.</w:t>
      </w:r>
    </w:p>
    <w:p w:rsidR="000B622C" w:rsidRDefault="000B622C" w:rsidP="000B622C">
      <w:pPr>
        <w:pStyle w:val="TextoNormal"/>
      </w:pPr>
      <w:r>
        <w:t>Teniendo en cuenta lo anterior, la pretensión de la ahora recurrente dirigida a exigir una indemnización superior al considerar que el valor de la finca objeto del pleito era el de más de 19 millones de pesetas, supone que se pretenda ejercer la misma acción de daños ya ventilada en el proceso y la Sentencia penal, pero limitada a aumentar la cuantificación del daño, cuando en el proceso penal una parte de los perjudicados (que además fueron los que a su instancia iniciaron el proceso penal), con un claro interés (el mismo que el de la ahora recurrente) en que el valor de la finca se fijase en la suma más alta, ya tuvieron oportunidad de alegar todo lo que estimaron procedente para fijar el valor "objetivo" del bien.</w:t>
      </w:r>
    </w:p>
    <w:p w:rsidR="000B622C" w:rsidRDefault="000B622C" w:rsidP="000B622C">
      <w:pPr>
        <w:pStyle w:val="TextoNormal"/>
      </w:pPr>
      <w:r>
        <w:t>Por ello, la decisión que ahora se recurre no resulta irrazonable ni arbitraria, y no causa indefensión en la medida en que los intereses de la ahora recurrente estuvieron defendidos tanto por el Fiscal como por el resto de los perjudicados que, en cuanto querellantes, desplegaron una actuación procesal que no se ha demostrado que fuera perjudicial para la recurrente, dirigida a exigir y obtener una indemnización objetiva del daño causado por la conducta ilícita de los acusados, cifrada en el valor de mercado de la finca de la que ilegítimamente resultaron desposeídos los legítimos propietarios del inmueble, entre los que se encuentra la recurrente.</w:t>
      </w:r>
    </w:p>
    <w:p w:rsidR="000B622C" w:rsidRDefault="000B622C" w:rsidP="000B622C">
      <w:pPr>
        <w:pStyle w:val="TextoNormal"/>
      </w:pPr>
      <w:r>
        <w:t>Por otra parte, la indefensión que la recurrente denuncia por no haber sido parte en el proceso penal, por lo que no pudo ejercer su derecho de defensa como perjudicada por los hechos delictivos enjuiciados en él, no puede acogerse pues no es imputable a los órganos judiciales sino a su propia falta de diligencia que, por desidia o desconocimiento de sus vínculos familiares y patrimoniales con la fallecida, titular del inmueble fraudulentamente enajenado, no compareció ni actuó en el proceso penal, a diferencia de los otros perjudicados que actuaron como querellantes. A ello debe añadirse que el Fiscal ejercitó, en virtud de la representación ex lege que tiene atribuida de los perjudicados, sus derechos, que también fueron ejercitados de forma favorable para ella por los querellantes con los que compartía un interés común y convergente en que el bien ilegítimamente enajenado fuera objeto de la máxima valoración posible, ya que ello repercutiría en beneficio de todos los perjudicados.</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lastRenderedPageBreak/>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once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6" w:name="AUTO_2002_15"/>
      <w:r>
        <w:lastRenderedPageBreak/>
        <w:t>AUTO 15/2002, de 11 de febrero de 2002</w:t>
      </w:r>
    </w:p>
    <w:bookmarkEnd w:id="116"/>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ECLI:ES:TC:2002:15A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Acuerda la suspensión parcial en el recurso de amparo 5340-2000, promovido por don Arlindo Luis Carbalho Cordero.</w:t>
      </w:r>
    </w:p>
    <w:p w:rsidR="000B622C" w:rsidRDefault="000B622C" w:rsidP="000B622C">
      <w:pPr>
        <w:pStyle w:val="SntesisDescriptiva"/>
      </w:pPr>
    </w:p>
    <w:p w:rsidR="000B622C" w:rsidRDefault="000B622C" w:rsidP="000B622C">
      <w:pPr>
        <w:pStyle w:val="SntesisAnaltica"/>
      </w:pPr>
      <w:r>
        <w:t>Suspensión cautelar de resoluciones administrativas: sanción penitenciaria, suspende. Sanción cumplida; beneficios penitenciarios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9 de octubre de 2000, don Arlindo Luis Carbalho Cordero interesó el nombramiento de Abogado y Procurador del turno de oficio a fin de promover recurso de amparo contra el acuerdo sancionador de 25 de noviembre de 1999, de la Comisión Disciplinaria del Centro Penitenciario Madrid II, y las posteriores resoluciones judiciales que ratificaron parcialmente la sanción impuesta, fijándola en la de tres días de aislamiento en celda. Hechas las oportunas designaciones, el pasado 5 de enero de 2001, el Procurador don Roberto Alonso Verdú, en representación del demandante, y bajo la dirección del Letrado don Francisco S. Fernández Álvarez, formuló la demanda de amparo.</w:t>
      </w:r>
    </w:p>
    <w:p w:rsidR="000B622C" w:rsidRDefault="000B622C" w:rsidP="000B622C">
      <w:pPr>
        <w:pStyle w:val="TextoNormal"/>
      </w:pPr>
    </w:p>
    <w:p w:rsidR="000B622C" w:rsidRDefault="000B622C" w:rsidP="000B622C">
      <w:pPr>
        <w:pStyle w:val="TextoNormal"/>
      </w:pPr>
      <w:r w:rsidRPr="000B622C">
        <w:rPr>
          <w:rStyle w:val="NumeroAFNegritaCaracter"/>
        </w:rPr>
        <w:t>2</w:t>
      </w:r>
      <w:r>
        <w:t>. El recurrente considera vulnerado su derecho a utilizar los medios de prueba pertinentes para su defensa (Art. 24.2 CE), lesión en la que habría incurrido la Comisión Disciplinaria del Centro Penitenciario al no admitir, o no pronunciarse sobre diversos elementos de prueba propuestos por el interno en el expediente disciplinario en el que recayó la sanción que ahora cuestiona. Por medio de otrosí solicitó en la demanda de amparo la suspensión del acuerdo sancionador por entender que, de llevarse a efecto el mismo, quedaría sin efecto la pretensión de amparo.</w:t>
      </w:r>
    </w:p>
    <w:p w:rsidR="000B622C" w:rsidRDefault="000B622C" w:rsidP="000B622C">
      <w:pPr>
        <w:pStyle w:val="TextoNormal"/>
      </w:pPr>
    </w:p>
    <w:p w:rsidR="000B622C" w:rsidRDefault="000B622C" w:rsidP="000B622C">
      <w:pPr>
        <w:pStyle w:val="TextoNormal"/>
      </w:pPr>
      <w:r w:rsidRPr="000B622C">
        <w:rPr>
          <w:rStyle w:val="NumeroAFNegritaCaracter"/>
        </w:rPr>
        <w:t>3</w:t>
      </w:r>
      <w:r>
        <w:t>. Por providencia de 18 de octubre de 2001 la Sala acordó la admisión a trámite de la demanda de amparo y acordó formar pieza separada de suspensión con el testimonio de la providencia de admisión y de la demanda de amparo, concediendo, de conformidad con lo prevenido en el artículo 56 LOTC, al Ministerio Fiscal, al Abogado del Estado y al solicitante del amparo el plazo común de tres días para que alegasen lo que estimaran oportuno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4</w:t>
      </w:r>
      <w:r>
        <w:t>. Por escrito de 25 de octubre de 2001 el Abogado del Estado se opuso a la suspensión de la sanción, señalando que, dado el tiempo transcurrido desde su imposición, la suspensión de la ejecución de la sanción sólo produciría complicaciones prácticas, dado que es previsible que la misma se haya ya ejecutado.</w:t>
      </w:r>
    </w:p>
    <w:p w:rsidR="000B622C" w:rsidRDefault="000B622C" w:rsidP="000B622C">
      <w:pPr>
        <w:pStyle w:val="TextoNormal"/>
      </w:pPr>
    </w:p>
    <w:p w:rsidR="000B622C" w:rsidRDefault="000B622C" w:rsidP="000B622C">
      <w:pPr>
        <w:pStyle w:val="TextoNormal"/>
      </w:pPr>
      <w:r w:rsidRPr="000B622C">
        <w:rPr>
          <w:rStyle w:val="NumeroAFNegritaCaracter"/>
        </w:rPr>
        <w:t>5</w:t>
      </w:r>
      <w:r>
        <w:t>. Por escrito registrado el 30 de octubre de 2001 el Ministerio Fiscal interesó la suspensión de la sanción si la misma no hubiera sido ya ejecutada, y aun para tal caso consideró oportuno que, mientras se resuelve el recurso de amparo, se decrete la suspensión de la anotación de la sanción en el expediente del interno.</w:t>
      </w:r>
    </w:p>
    <w:p w:rsidR="000B622C" w:rsidRDefault="000B622C" w:rsidP="000B622C">
      <w:pPr>
        <w:pStyle w:val="TextoNormal"/>
      </w:pPr>
    </w:p>
    <w:p w:rsidR="000B622C" w:rsidRDefault="000B622C" w:rsidP="000B622C">
      <w:pPr>
        <w:pStyle w:val="TextoNormal"/>
      </w:pPr>
      <w:r w:rsidRPr="000B622C">
        <w:rPr>
          <w:rStyle w:val="NumeroAFNegritaCaracter"/>
        </w:rPr>
        <w:t>6</w:t>
      </w:r>
      <w:r>
        <w:t>. Por escrito presentado el 29 de octubre de 2001 la representación procesal del recurrente interesó la suspensión de la sanción disciplinaria impuesta por entender que, analizada la naturaleza de la sanción y el tiempo que requiere la resolución del recurso de amparo, de no procederse a ella se causaría un perjuicio de imposible reparación, sin que quepa apreciar que, en este caso, la suspensión entrañaría lesión o perjuicio a terceros o al interés general.</w:t>
      </w:r>
    </w:p>
    <w:p w:rsidR="000B622C" w:rsidRDefault="000B622C" w:rsidP="000B622C">
      <w:pPr>
        <w:pStyle w:val="TextoNormal"/>
      </w:pPr>
    </w:p>
    <w:p w:rsidR="000B622C" w:rsidRDefault="000B622C" w:rsidP="000B622C">
      <w:pPr>
        <w:pStyle w:val="TextoNormal"/>
      </w:pPr>
      <w:r w:rsidRPr="000B622C">
        <w:rPr>
          <w:rStyle w:val="NumeroAFNegritaCaracter"/>
        </w:rPr>
        <w:t>7</w:t>
      </w:r>
      <w:r>
        <w:t>. Por diligencia de ordenación de 21 de enero de 2002 se acordó dirigir comunicación al Centro Penitenciario a fin de que informara a este Tribunal si la sanción impuesta había sido o no cumplida. La solicitud ha sido contestada por el Director del Centro, el pasado 25 de enero, indicando que la misma fue ejecutada en el mes de abril de 2000, y quedó cancelada el pasado 5 de julio de 2000.</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dispone el art. 56.1 LOTC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 Se establece así una regla general y una excepción, siendo ésta última la posibilidad de suspensión</w:t>
      </w:r>
    </w:p>
    <w:p w:rsidR="000B622C" w:rsidRDefault="000B622C" w:rsidP="000B622C">
      <w:pPr>
        <w:pStyle w:val="TextoNormal"/>
      </w:pPr>
      <w:r>
        <w:t>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general debe ser la de no proceder a la suspensión de tales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2</w:t>
      </w:r>
      <w:r>
        <w:t>. Tal como consta en la comunicación a que se hace referencia en el antecedente séptimo de esta resolución, el recurrente cumplió en el mes de abril de 2000 la sanción de aislamiento que le fue impuesta, incluso antes de que la demanda de amparo fuera presentada en este Tribunal, lo que, en principio, podría llevarnos a considerar la inutilidad de la suspensión pretendida, pues, si atendiéramos exclusivamente a los efectos propios de la sanción disciplinaria cuestionada, ésta, no solamente ha sido cumplida, sino que incluso ha sido ya cancelada de conformidad con lo dispuesto en el artículo 260 del Reglamento Penitenciario (Real Decreto 190/1996, de 9 de febrero).</w:t>
      </w:r>
    </w:p>
    <w:p w:rsidR="000B622C" w:rsidRDefault="000B622C" w:rsidP="000B622C">
      <w:pPr>
        <w:pStyle w:val="TextoNormal"/>
      </w:pPr>
      <w:r>
        <w:t>Sin embargo, a pesar de tales circunstancias, tal y como hemos señalado en los AATC 58/1996, de 11 de marzo y 186/2001, de 21 de julio, es preciso determinar si la no suspensión de la resolución puede generar otros efectos, de forma que, "de un lado la suspensión, en cuanto medida cautelar, mantenga su sentido y, de otro, su concesión no sea contraria al interés general o los derechos fundamentales y libertades públicas de un tercero".</w:t>
      </w:r>
    </w:p>
    <w:p w:rsidR="000B622C" w:rsidRDefault="000B622C" w:rsidP="000B622C">
      <w:pPr>
        <w:pStyle w:val="TextoNormal"/>
      </w:pPr>
      <w:r>
        <w:t>Pues bien, tal como se resolvió en las citadas resoluciones, en la medida en que, a pesar del cumplimiento efectivo de la sanción, ésta puede tener efectos negativos en la concesión de beneficios penitenciarios al recurrente (arts.  202, 204, 205 y 206 Reglamento Penitenciario de 1996), y dado que se trata de efectos que por su naturaleza pueden favorecer al reo sin que, en principio, pueda colegirse un inmediato perjuicio del interés general o de los derechos fundamentales o libertades públicas de terceros, resulta pertinente la suspensión solicitada, si bien limitando la suspensión a los efectos que pudieran derivarse de ella.</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Estimar parcialmente la solicitud formulada y suspender los efectos que pudieran derivarse de la sanción disciplinaria de tres días de aislamiento en celda que fue impuesta al recurrente por acuerdo sancionador, de 25 de noviembre de 1999, de la Comisión</w:t>
      </w:r>
    </w:p>
    <w:p w:rsidR="000B622C" w:rsidRDefault="000B622C" w:rsidP="000B622C">
      <w:pPr>
        <w:pStyle w:val="TextoNormal"/>
      </w:pPr>
      <w:r>
        <w:t>Disciplinaria del Centro Penitenciario Madrid II, en el expediente disciplinario 543-2/99.</w:t>
      </w:r>
    </w:p>
    <w:p w:rsidR="000B622C" w:rsidRDefault="000B622C" w:rsidP="000B622C">
      <w:pPr>
        <w:pStyle w:val="TextoNormal"/>
      </w:pPr>
    </w:p>
    <w:p w:rsidR="000B622C" w:rsidRDefault="000B622C" w:rsidP="000B622C">
      <w:pPr>
        <w:pStyle w:val="TextoNormal"/>
      </w:pPr>
      <w:r>
        <w:t>Madrid, a once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7" w:name="AUTO_2002_16"/>
      <w:r>
        <w:lastRenderedPageBreak/>
        <w:t>AUTO 16/2002, de 11 de febrero de 2002</w:t>
      </w:r>
    </w:p>
    <w:bookmarkEnd w:id="117"/>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ECLI:ES:TC:2002:16A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Desestima el recurso de súplica interpuesto por don Aurelio Luigi Bruzzone en el recurso de amparo 6363-2000</w:t>
      </w:r>
    </w:p>
    <w:p w:rsidR="000B622C" w:rsidRDefault="000B622C" w:rsidP="000B622C">
      <w:pPr>
        <w:pStyle w:val="SntesisDescriptiva"/>
      </w:pPr>
    </w:p>
    <w:p w:rsidR="000B622C" w:rsidRDefault="000B622C" w:rsidP="000B622C">
      <w:pPr>
        <w:pStyle w:val="SntesisAnaltica"/>
      </w:pPr>
      <w:r>
        <w:t>Suspensión cautelar de resoluciones penales. revocación de libertad condicional, no suspende. Amparo anticipado. Recurso de súplica contra Autos del Tribunal Constitucional: desestima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día 1 de diciembre de 2000, el Procurador de los Tribunales don José Carlos Caballero Ballesteros, en representación de don Aurelio Luigi Bruzzone, interpuso recurso de amparo contra el Auto de 6 de noviembre de 2000 de la Audiencia Provincial de Cádiz, que había resuelto en sentido desestimatorio el recurso de queja formulado contra la providencia de 29 de junio de 2000 del Juzgado de Vigilancia Penitenciaria núm. 4 de Andalucía (expediente 111/99), con sede en el Puerto de Santa María, providencia que, a su vez, había denegado la admisión de la personación del Procurador y Abogado en representación y defensa de quien ahora es recurrente en amparo. Mediante otrosí de la demanda de amparo se solicitaba "la suspensión de los efectos de la decisión de revocación de la libertad condicional mientras se tramita esta demanda", decisión que había sido adoptada por Auto del Juzgado ya citado de fecha 5 de junio de 2000. La libertad condicional había sido acordada por Auto de 15 de noviembre de 1999 del expresado Juzgado de Vigilancia Penitenciaria.</w:t>
      </w:r>
    </w:p>
    <w:p w:rsidR="000B622C" w:rsidRDefault="000B622C" w:rsidP="000B622C">
      <w:pPr>
        <w:pStyle w:val="TextoNormal"/>
      </w:pPr>
    </w:p>
    <w:p w:rsidR="000B622C" w:rsidRDefault="000B622C" w:rsidP="000B622C">
      <w:pPr>
        <w:pStyle w:val="TextoNormal"/>
      </w:pPr>
      <w:r w:rsidRPr="000B622C">
        <w:rPr>
          <w:rStyle w:val="NumeroAFNegritaCaracter"/>
        </w:rPr>
        <w:t>2</w:t>
      </w:r>
      <w:r>
        <w:t>. La Sala Segunda, por providencia de 28 de junio de 2001, acordó la admisión a trámite del recurso, y a tenor de lo dispuesto en el art. 51 LOTC, requerir a la Audiencia Provincial de Cádiz la remisión de la certificación de las actuaciones correspondientes al rollo 12/00. Igualmente acordó dirigir comunicación al Juzgado de Vigilancia Penitenciaria del Puerto de Santa María para que emplazase a quienes hubieran sido parte en el procedimiento, con excepción del recurrente en amparo.</w:t>
      </w:r>
    </w:p>
    <w:p w:rsidR="000B622C" w:rsidRDefault="000B622C" w:rsidP="000B622C">
      <w:pPr>
        <w:pStyle w:val="TextoNormal"/>
      </w:pPr>
    </w:p>
    <w:p w:rsidR="000B622C" w:rsidRDefault="000B622C" w:rsidP="000B622C">
      <w:pPr>
        <w:pStyle w:val="TextoNormal"/>
      </w:pPr>
      <w:r w:rsidRPr="000B622C">
        <w:rPr>
          <w:rStyle w:val="NumeroAFNegritaCaracter"/>
        </w:rPr>
        <w:t>3</w:t>
      </w:r>
      <w:r>
        <w:t>. Por providencia de la misma fecha, vista la solicitud del recurrente en orden a la suspensión de ejecución del Auto revocatorio de la libertad condicional, se acordó formar pieza separada concediendo al demandante y al Ministerio Fiscal, conforme al art. 56 LOTC, el plazo común de tres días para que formularan alegaciones al respecto.</w:t>
      </w:r>
    </w:p>
    <w:p w:rsidR="000B622C" w:rsidRDefault="000B622C" w:rsidP="000B622C">
      <w:pPr>
        <w:pStyle w:val="TextoNormal"/>
      </w:pPr>
    </w:p>
    <w:p w:rsidR="000B622C" w:rsidRDefault="000B622C" w:rsidP="000B622C">
      <w:pPr>
        <w:pStyle w:val="TextoNormal"/>
      </w:pPr>
      <w:r w:rsidRPr="000B622C">
        <w:rPr>
          <w:rStyle w:val="NumeroAFNegritaCaracter"/>
        </w:rPr>
        <w:t>4</w:t>
      </w:r>
      <w:r>
        <w:t>. Evacuado el trámite de alegaciones conferido, la Sala Segunda del Tribunal dictó el Auto de 15 de octubre de 2001 (ATC 265/2001) por el que se acordó denegar la suspensión de la ejecución del Auto de 5 de junio de 2000 dictado por el Juez de Vigilancia Penitenciaria núm. 4 de Andalucía porque ello implicaría anticipar de hecho los eventuales efectos del otorgamiento del amparo, sin que conllevara el restablecimiento automático de la libertad condicional, no comportando la ejecución de dicha resolución perjuicios irreparables ni haciendo perder al amparo su finalidad.</w:t>
      </w:r>
    </w:p>
    <w:p w:rsidR="000B622C" w:rsidRDefault="000B622C" w:rsidP="000B622C">
      <w:pPr>
        <w:pStyle w:val="TextoNormal"/>
      </w:pPr>
    </w:p>
    <w:p w:rsidR="000B622C" w:rsidRDefault="000B622C" w:rsidP="000B622C">
      <w:pPr>
        <w:pStyle w:val="TextoNormal"/>
      </w:pPr>
      <w:r w:rsidRPr="000B622C">
        <w:rPr>
          <w:rStyle w:val="NumeroAFNegritaCaracter"/>
        </w:rPr>
        <w:t>5</w:t>
      </w:r>
      <w:r>
        <w:t>. En escrito registrado en este Tribunal el 30 de octubre de 2001, la representación de don Aurelio Luigi Bruzzone interpuso recurso de súplica contra el citado Auto al amparo del art. 93.2 LOTC. En el mismo se alega que el recurrente se encuentra en una situación de angustia moral por hallarse sometido a una resolución que revocó su libertad condicional, la cual fue adoptada sin que se le hubiera oído, restringiendo sus derechos fundamentales, y por ello su mantenimiento le causa un perjuicio irreparable. En el cuerpo del escrito se refiere igualmente a la providencia del mencionado Juzgado de Vigilancia Penitenciaria, de fecha 30 de marzo de 2000, que acordó la suspensión de la libertad condicional (libertad condicional posteriormente revocada por el Auto de 5 de junio de 2000). Termina el recurso suplicando se acceda a la suspensión de dicho Auto de 5 de junio de 2000, indicando expresamente que "tal suspensión podría detenerse en el mantenimiento de la referida providencia (de 30 de marzo de 2000)".</w:t>
      </w:r>
    </w:p>
    <w:p w:rsidR="000B622C" w:rsidRDefault="000B622C" w:rsidP="000B622C">
      <w:pPr>
        <w:pStyle w:val="TextoNormal"/>
      </w:pPr>
    </w:p>
    <w:p w:rsidR="000B622C" w:rsidRDefault="000B622C" w:rsidP="000B622C">
      <w:pPr>
        <w:pStyle w:val="TextoNormal"/>
      </w:pPr>
      <w:r w:rsidRPr="000B622C">
        <w:rPr>
          <w:rStyle w:val="NumeroAFNegritaCaracter"/>
        </w:rPr>
        <w:t>6</w:t>
      </w:r>
      <w:r>
        <w:t>. Por providencia de 7 de noviembre de 2000, la Sala a tenor de lo dispuesto en el art. 93.2 LOTC concedió un plazo común de tres días para que la parte recurrente y el Ministerio Fiscal alegasen lo que estimasen pertinente sobre el recurso de súplica formulado.</w:t>
      </w:r>
    </w:p>
    <w:p w:rsidR="000B622C" w:rsidRDefault="000B622C" w:rsidP="000B622C">
      <w:pPr>
        <w:pStyle w:val="TextoNormal"/>
      </w:pPr>
    </w:p>
    <w:p w:rsidR="000B622C" w:rsidRDefault="000B622C" w:rsidP="000B622C">
      <w:pPr>
        <w:pStyle w:val="TextoNormal"/>
      </w:pPr>
      <w:r w:rsidRPr="000B622C">
        <w:rPr>
          <w:rStyle w:val="NumeroAFNegritaCaracter"/>
        </w:rPr>
        <w:t>7</w:t>
      </w:r>
      <w:r>
        <w:t>. En el escrito registrado en este Tribunal el 26 de noviembre de 2001, el Ministerio Fiscal interesó la desestimación de la súplica interpuesta por considerar que en la misma no se combate el extremo fáctico de hallarse evadido el recurrente, ni el jurídico de que la pretensión de la parte implica anticipar eventuales efectos del otorgamiento del amparo, que por otra parte no conllevaría necesariamente el restablecimiento automático de la libertad condicional. Según el Fiscal, no debe accederse a la petición de mantener la providencia de 30 de marzo de 2000 porque ello permitiría que, a efectos de extinción de la pena, se computase como extinguido un periodo de tiempo en el cual el recurrente ha estado evadido a la acción de la Justicia.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1C09AE">
        <w:rPr>
          <w:rStyle w:val="NumeroAFNegritaCaracter"/>
        </w:rPr>
        <w:t>ÚNICO.</w:t>
      </w:r>
      <w:r>
        <w:t xml:space="preserve">  Interpuesto recurso de súplica al amparo del art. 93.2 LOTC contra el Auto de 15 de octubre de 2001 de la Sala Segunda de este Tribunal, que acordó denegar la suspensión de la ejecución del Auto de 5 de junio de 2000 del Juzgado de Vigilancia</w:t>
      </w:r>
    </w:p>
    <w:p w:rsidR="000B622C" w:rsidRDefault="000B622C" w:rsidP="000B622C">
      <w:pPr>
        <w:pStyle w:val="TextoNormal"/>
      </w:pPr>
      <w:r>
        <w:t>Penitenciaria núm. 4 de Andalucía, procede su desestimación y la confirmación de la resolución impugnada.</w:t>
      </w:r>
    </w:p>
    <w:p w:rsidR="000B622C" w:rsidRDefault="000B622C" w:rsidP="000B622C">
      <w:pPr>
        <w:pStyle w:val="TextoNormal"/>
      </w:pPr>
      <w:r>
        <w:t xml:space="preserve">En efecto, como sostiene el Ministerio Fiscal, ninguna de las alegaciones vertidas en el recurso de súplica desvirtúa los fundamentos de nuestra anterior resolución, a saber, que la ejecución del citado Auto de 5 de junio de 2000 no comporta perjuicios irreparables ni </w:t>
      </w:r>
      <w:r>
        <w:lastRenderedPageBreak/>
        <w:t>hace perder al amparo su finalidad, mientras que la suspensión de su ejecutoriedad implicaría anticipar los eventuales efectos del otorgamiento del amparo, y entrañaría sin lugar a dudas una afectación del interés general (art.56.1 LOTC), aún en el caso de la postulada atenuación de la medida en los términos a que se refiere el recurrente al citar la providencia de 30 de marzo de 2000.</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Desestimar el recurso de súplica interpuesto por la representación procesal de don Aurelio Luigi Bruzzone, procediendo a confirmar el Auto de 15 de octubre de 2001.</w:t>
      </w:r>
    </w:p>
    <w:p w:rsidR="000B622C" w:rsidRDefault="000B622C" w:rsidP="000B622C">
      <w:pPr>
        <w:pStyle w:val="TextoNormal"/>
      </w:pPr>
    </w:p>
    <w:p w:rsidR="000B622C" w:rsidRDefault="000B622C" w:rsidP="000B622C">
      <w:pPr>
        <w:pStyle w:val="TextoNormal"/>
      </w:pPr>
      <w:r>
        <w:t>Madrid, a once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8" w:name="AUTO_2002_17"/>
      <w:r>
        <w:lastRenderedPageBreak/>
        <w:t>AUTO 17/2002, de 11 de febrero de 2002</w:t>
      </w:r>
    </w:p>
    <w:bookmarkEnd w:id="118"/>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ECLI:ES:TC:2002:17A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Inadmite a trámite el recurso de amparo 6778-2000, interpuesto por Programa Multi-Sponsor PMS, S.A.</w:t>
      </w:r>
    </w:p>
    <w:p w:rsidR="000B622C" w:rsidRDefault="000B622C" w:rsidP="000B622C">
      <w:pPr>
        <w:pStyle w:val="SntesisDescriptiva"/>
      </w:pPr>
    </w:p>
    <w:p w:rsidR="000B622C" w:rsidRDefault="000B622C" w:rsidP="000B622C">
      <w:pPr>
        <w:pStyle w:val="SntesisAnaltica"/>
      </w:pPr>
      <w:r>
        <w:t>Sentencia civil. Tutela judicial efectiva, derecho a la: Sentencia fundada en Derecho, respetado. Sentencia fundada en Derecho: error no determinante. Errores de los órganos judiciales: error no patente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26 de diciembre de 2000, la representación procesal de la sociedad mercantil Programa Multi- Sponsor PMS, S.A., formuló demanda de amparo contra la Sentencia de 21 de noviembre de 2000 de la Sección Segunda de la Audiencia Provincial de Lleida, dictada en el rollo de apelación 379/00.</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de los que trae causa la demanda de amparo relevantes para la resolución del caso son, en síntesis, los siguientes: </w:t>
      </w:r>
    </w:p>
    <w:p w:rsidR="000B622C" w:rsidRDefault="000B622C" w:rsidP="000B622C">
      <w:pPr>
        <w:pStyle w:val="TextoNormal"/>
      </w:pPr>
      <w:r>
        <w:t xml:space="preserve">a) La recurrente, sociedad dedicada a la captación y fidelización de clientes a través del "PROGRAMA TURYOCIO" y titular de diversas marcas comerciales que incorporan la palabra "TURY", formuló un juicio de menor cuantía contra la sociedad "OK-TURI 2000, S.L.", ejercitando acciones derivadas de competencia desleal, por la utilización por la demandada de un sistema de captación y fidelización de clientes que utilizaba cupones y otros instrumentos que incluyen la palabra "TURI". </w:t>
      </w:r>
    </w:p>
    <w:p w:rsidR="000B622C" w:rsidRDefault="000B622C" w:rsidP="000B622C">
      <w:pPr>
        <w:pStyle w:val="TextoNormal"/>
      </w:pPr>
      <w:r>
        <w:t xml:space="preserve">La demandada se opuso con diversos argumentos, alegando ser la titular de la marca comercial y del distintivo gráfico "OK-TURI 2000". </w:t>
      </w:r>
    </w:p>
    <w:p w:rsidR="000B622C" w:rsidRDefault="000B622C" w:rsidP="000B622C">
      <w:pPr>
        <w:pStyle w:val="TextoNormal"/>
      </w:pPr>
      <w:r>
        <w:t xml:space="preserve">b) El Juzgado de Primera Instancia núm. seis de Lleida (menor cuantía 202/99), tras la oportuna tramitación, dictó Sentencia el 29 de junio de 2000 en la que desestimó íntegramente la demanda. </w:t>
      </w:r>
    </w:p>
    <w:p w:rsidR="000B622C" w:rsidRDefault="000B622C" w:rsidP="000B622C">
      <w:pPr>
        <w:pStyle w:val="TextoNormal"/>
      </w:pPr>
      <w:r>
        <w:t xml:space="preserve">c) La actora interpuso recurso de apelación y en la fase de instrucción, de conformidad con los arts. 506, 863 y 893 LEC, presentó certificación de la Oficina Española de Patentes y Marcas en la que se hacía constar la denegación del nombre comercial "OK TURI 2000" a favor de OK-TURI 2000, S.L. por su semejanza con las Marcas y Nombres Comercial "TURYOCIO". </w:t>
      </w:r>
    </w:p>
    <w:p w:rsidR="000B622C" w:rsidRDefault="000B622C" w:rsidP="000B622C">
      <w:pPr>
        <w:pStyle w:val="TextoNormal"/>
      </w:pPr>
      <w:r>
        <w:t>La Sección Segunda de la Audiencia Provincial de Lleida (rollo 379/00), dictó la Sentencia de 21 de noviembre de 2000, notificada el 29 de noviembre, que ahora se impugna, que desestimó el recurso y confirmó la Sentencia apelada. Esta Sentencia, entre sus razo</w:t>
      </w:r>
      <w:r>
        <w:lastRenderedPageBreak/>
        <w:t>namientos utiliza el de que la demandada es titular del Nombre Comercial registrado "OK TURI 2000". Este razonamiento se utiliza en la fundamentación de la Sentencia cuatro veces.</w:t>
      </w:r>
    </w:p>
    <w:p w:rsidR="000B622C" w:rsidRDefault="000B622C" w:rsidP="000B622C">
      <w:pPr>
        <w:pStyle w:val="TextoNormal"/>
      </w:pPr>
    </w:p>
    <w:p w:rsidR="000B622C" w:rsidRDefault="000B622C" w:rsidP="000B622C">
      <w:pPr>
        <w:pStyle w:val="TextoNormal"/>
      </w:pPr>
      <w:r w:rsidRPr="000B622C">
        <w:rPr>
          <w:rStyle w:val="NumeroAFNegritaCaracter"/>
        </w:rPr>
        <w:t>3</w:t>
      </w:r>
      <w:r>
        <w:t>. La demanda denuncia la vulneración del derecho a la tutela judicial efectiva del art. 24.1 CE que, a juicio de la recurrente, se ha producido porque la Sentencia recurrida ha incurrido en un error patente que ha sido decisivo para el fallo adoptado. Este error ha consistido en considerar que la demandada es titular del nombre comercial registrado "OK- TURI 2000", cuando, en realidad, este nombre comercial fue denegado, como consta en la documental aportada en la apelación.</w:t>
      </w:r>
    </w:p>
    <w:p w:rsidR="000B622C" w:rsidRDefault="000B622C" w:rsidP="000B622C">
      <w:pPr>
        <w:pStyle w:val="TextoNormal"/>
      </w:pPr>
    </w:p>
    <w:p w:rsidR="000B622C" w:rsidRDefault="000B622C" w:rsidP="000B622C">
      <w:pPr>
        <w:pStyle w:val="TextoNormal"/>
      </w:pPr>
      <w:r w:rsidRPr="000B622C">
        <w:rPr>
          <w:rStyle w:val="NumeroAFNegritaCaracter"/>
        </w:rPr>
        <w:t>4</w:t>
      </w:r>
      <w:r>
        <w:t>. Por diligencia de ordenación de 18 de enero de 2001, de conformidad con el art. 50.5 LOTC se acordó conceder un plazo de diez días a la recurrente para que aportase copia de la Sentencia del Juzgado y acreditase fehacientemente la notificación de la Sentencia de la Audiencia y haber invocado ante la jurisdicción ordinaria el derecho constitucional que se estima vulnerado, y por diligencia de ordenación de 5 de julio de 2001, antes de resolver sobre la admisibilidad del recurso, se acordó requerir a la Sección Segunda de la Audiencia Provincial de Lérida y al Juzgado de Primera Instancia núm. 6 de Lérida, para que remitiesen testimonio del juicio de menor cuantía 202/99 y del rollo de apelación 379/00.</w:t>
      </w:r>
    </w:p>
    <w:p w:rsidR="000B622C" w:rsidRDefault="000B622C" w:rsidP="000B622C">
      <w:pPr>
        <w:pStyle w:val="TextoNormal"/>
      </w:pPr>
    </w:p>
    <w:p w:rsidR="000B622C" w:rsidRDefault="000B622C" w:rsidP="000B622C">
      <w:pPr>
        <w:pStyle w:val="TextoNormal"/>
      </w:pPr>
      <w:r w:rsidRPr="000B622C">
        <w:rPr>
          <w:rStyle w:val="NumeroAFNegritaCaracter"/>
        </w:rPr>
        <w:t>5</w:t>
      </w:r>
      <w:r>
        <w:t>. Por providencia de 15 de octubre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50.1.c) LOTC], dándoles vista al efecto de las actuaciones recibidas.</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Por escrito registrado el 10 de noviembre de 2001 la recurrente presenta sus alegaciones en las que reitera su solicitud de amparo. Según tiene declarado el Tribunal Constitucional en torno a la doctrina del error patente con relevancia constitucional, el error patente es una institución relacionada primordialmente con aspectos de carácter fáctico, de modo que se alude a ella como "indebida apreciación de datos de la realidad condicionantes de la resolución adoptada"(STS 68/1998, de 30 de marzo); o se la relaciona "con la determinación de los hechos objeto del juicio o con la determinación y relación del material de hecho sobre el que se asienta la decisión" (STC 112/1998, de 1 de junio); aplicándose incluso a un "dato fáctico indebidamente declarado como cierto" (STC 100/1999, de 31 de mayo). En nuestra demanda de amparo pusimos de manifiesto la existencia de un doble error en la Sentencia de 21 de noviembre de 2000. Dichos errores consistían en que, en fundamento de sus pronunciamientos, la Sentencia recurrida en amparo reiteraba en numerosas ocasiones que el nombre comercial y el rótulo de establecimiento OK TURI 2000 estaban concedidos y registrados. Y todo ello, pese a que las pruebas obrantes en las actuaciones ponían de manifiesto, en primer lugar, que el nombre comercial OK TURI 2000 estaba denegado, tal como acreditó mi mandante aportando a la alzada en el momento procesal oportuno la Certificación emitida por el Departamento de Signos Distintivos de la Oficina Española de Patentes y Marcas, acreditativa de la Denegación de la solicitud de insccomercial OK TURI 2000, interesada por la entonces apelada OK TURI 2000, </w:t>
      </w:r>
      <w:r>
        <w:lastRenderedPageBreak/>
        <w:t>S.L.. En segundo lugar, el contenido de los autos evidenciaba que el rótulo de establecimiento OK TURI 2000 estaba simplemente solicitado, sin que con posterioridad ninguna de las partes alegara ni acreditara nada a propósito de la suerte que había corrido la solicitud del rótulo de establecimiento OK TURI 2000, el cual, por cierto, fue definitivamente denegado, según acreditamos ante este Tribunal con la aportación del documento 5 de nuestra demanda de amparo. A mayor abundamiento, la Sentencia recurrida no contiene una motivación acerca de las razones o elementos probatorios con base en los cuales llegó a afirmar que el nombre comercial y rótulo de establecimiento OK TURI 2000 estaban registrados, ni más allá, razonó por qué no había de merecer consideración alguna la documental aportada por mi mandante a la alzada y acreditativa de la efectiva denegación del nombre comercial OK TURI 2000. Determinado así el doble error contenido en la Sentencia recurrida en amparo, atendidos los requisitos que la jurisprudencia constitucional exige para que el error patente lesione el derecho a la tutela judicial efectiva (SSTC 99/2000 y 55/2001), se dan todos conforme a los razonamientos que se exponen en el escrito presentado.</w:t>
      </w:r>
    </w:p>
    <w:p w:rsidR="000B622C" w:rsidRDefault="000B622C" w:rsidP="000B622C">
      <w:pPr>
        <w:pStyle w:val="TextoNormal"/>
      </w:pPr>
    </w:p>
    <w:p w:rsidR="000B622C" w:rsidRDefault="000B622C" w:rsidP="000B622C">
      <w:pPr>
        <w:pStyle w:val="TextoNormal"/>
      </w:pPr>
      <w:r w:rsidRPr="000B622C">
        <w:rPr>
          <w:rStyle w:val="NumeroAFNegritaCaracter"/>
        </w:rPr>
        <w:t>7</w:t>
      </w:r>
      <w:r>
        <w:t xml:space="preserve">. Mediante escrito registrado el 19 de noviembre de 2001, el Fiscal presenta sus alegaciones en las que interesa la inadmisión de la demanda de amparo. De la lectura de la demanda de amparo se deduce que la empresa recurrente deduce el error de la Sala sentenciadora en el hecho de entender registrado el nombre comercial de la apelada cuando en realidad no lo está como trató de demostrar con el documento que presentó ante la Sala en trámite de prueba y que aporta junto con la demanda de amparo. El error patente como señala la recurrente es lesivo de la tutela judicial efectiva siempre que, al margen de su cualidad de equivocación inherente a todo error, sea fácilmente verificable y, además, determinante del fallo que se dictó con el que ha de estar enlazado causalmente (SSTC 175/96, 54/97 y 58/97). En el presente caso se observa, al leer las resoluciones judiciales, que el error denunciado ni es comprobable por los datos que se aportan ni es determinante del fallo. A tales efectos, habrá de tenerse en cuenta, en primer lugar, no solo la sentencia de apelación sino los datos y argumentaciones contenidos en la de primera instancia, habida cuenta de que la aquí recurrida, en su fundamento jurídico quinto, en su segundo párrafo hace suyos "los atinados razonamientos" de la sentencia de primera instancia, y en segundo lugar, ha de tenerse en cuenta que la certificación registral que se hace valer como demostrativa de la denegación de inscripción es anterior en el tiempo al dictado de la primera sentencia. Pues bien en la sentencia de primera instancia se afirma, en su fundamento jurídico cuarto, párrafo segundo, "que la empresa OK-TURI 2000 ha sido registrada en la Oficina Española de Patentes y Marcas para los productos y servicios de la clase 39... según se acredita en las resoluciones de concesión incorporadas a instancia de la demandada... habiéndose desestimado en vía administrativa las oposiciones que se formularon por la actora...". Líneas más abajo, en el mismo párrafo, se dice "estando acreditado el registro del signo denominativo OK TURI 2000 a favor de la demandada y no constando la cancelación de dicho registro...". Es por tanto por lo que las afirmaciones de la Sentencia de la Audiencia Provincial sobre la registración de la empresa demandada y, en las que la recurrente pretende sustentar el error patente, tienen el apoyo fáctico, probatorio y argumental de la sentencia primera a cuyos razonamientos se remite la Audiencia Provincial. La no alusión al documento presentado en fase de prueba por la aquí recurrente, a falta de mención expresa por la Sala, debe obedecer a la desconsideración probatoria del mismo en el peso suficiente para desvirtuar los documentos a los que se aluden en la sentencia primera. En cualquier caso el error que se dice patente queda oscurecido por lo hasta aquí dicho, sin </w:t>
      </w:r>
      <w:r>
        <w:lastRenderedPageBreak/>
        <w:t>que aparezca con los requisitos de obvio y manifiesto, que exige la jurisprudencia del Tribunal Constitucional. Asimismo, los argumentos desestimatorios de la inicial demanda de la que recurrente no están basados en el hecho del registro de la marca por la sociedad demandada sino en la negación de que haya competido deslealmente lo que se revela en la disimilitud de denominación de las compañías, la distinta naturaleza del negocio (de intermediación o de venta directa) y en la no posibilidad de confusión de los adquirentes de los cupones, a la postre, clientes de las empresas. Ello hace por tanto despreciar que concurra el requisito constitucional de la relevancia para el fallo que se atribuye al error.</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1C09AE">
        <w:rPr>
          <w:rStyle w:val="NumeroAFNegritaCaracter"/>
        </w:rPr>
        <w:t>Único.</w:t>
      </w:r>
      <w:r>
        <w:t xml:space="preserve"> Tras el examen de las alegaciones formuladas por el recurrentes y por el Ministerio Fiscal, la Sección se ratifica en el juicio inicial puesto de manifiesto en nuestra providencia de 15 de octubre de 2001, de que la demanda carece manifiestamente</w:t>
      </w:r>
    </w:p>
    <w:p w:rsidR="000B622C" w:rsidRDefault="000B622C" w:rsidP="000B622C">
      <w:pPr>
        <w:pStyle w:val="TextoNormal"/>
      </w:pPr>
      <w:r>
        <w:t>de contenido que justifique una decisión sobre el fondo en forma de Sentencia por parte de este Tribunal, lo que constituye la causa de inadmisión prevista en el art. 50.1.c) LOTC.</w:t>
      </w:r>
    </w:p>
    <w:p w:rsidR="000B622C" w:rsidRDefault="000B622C" w:rsidP="000B622C">
      <w:pPr>
        <w:pStyle w:val="TextoNormal"/>
      </w:pPr>
      <w:r>
        <w:t>Para resolver el presente recurso de amparo debemos partir de dos hechos acreditados en el proceso a quo. En este sentido, la sociedad demandada (OK-TURI 2000, S.L.), es titular de la marca comercial con distintivo "OK-TURI 2000" (marcas núms.  2.172.151 y 2.172.152), sin embargo, no posee la titularidad del nombre comercial "OK- TURI 2000", ya que este nombre comercial le fue denegado por su semejanza con las marcas y nombre comercial TURYOCIO, que pertenecen a la sociedad actora y ahora demandante del amparo. Estos extremos constan de los documentos aportados al proceso y, en concreto, que la demandada no es titular del nombre comercial registrado "OK-TURI 2000", es un hecho que consta con toda claridad de la documental aportada y admitida en la segunda instancia. Sentado lo anterior, parece evidente que la Sentencia recurrida ha incurrido en una equivocación, pues por cuatro veces hace referencia a que la demandada es titular del nombre comercial registrado "OK-TURI 2000".</w:t>
      </w:r>
    </w:p>
    <w:p w:rsidR="000B622C" w:rsidRDefault="000B622C" w:rsidP="000B622C">
      <w:pPr>
        <w:pStyle w:val="TextoNormal"/>
      </w:pPr>
      <w:r>
        <w:t>Pero aceptado que existe la equivocación que se deja señalada, el problema, en el plano de la constitucionalidad que a este Tribunal le corresponde dilucidar, consiste en precisar si esta equivocación constituye un error patente susceptible de integrar una lesión del derecho a la tutela judicial efectiva, en los términos que la jurisprudencia constitucional ha delimitado pues, como es sabido, este Tribunal ha declarado que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y procede otorgar el amparo (SSTC 55/1993, 124/1993, 107/1994, 203/1994, 5/1995, 162/1995, 40/1996, 61/1996, 160/1996, 175/1996, 58/1997, 124/1997, 63/1998, 112/1998, 180/1998), siempre que se trate de un error que sea inmediatamente verificable de forma incontrovertible a partir de las actuaciones judiciales y sea determinante de la decisión adoptada, constituyendo el soporte único o básico (ratio decidendi) de la resolución, de forma que no pueda saberse cuál hubiera sido el criterio del órgano judicial de no haber incurrido en dicho error (SSTC 63/1998, 112/1998, 180/1998, por todas).</w:t>
      </w:r>
    </w:p>
    <w:p w:rsidR="000B622C" w:rsidRDefault="000B622C" w:rsidP="000B622C">
      <w:pPr>
        <w:pStyle w:val="TextoNormal"/>
      </w:pPr>
      <w:r>
        <w:t>En el presente caso, pese a la equivocación que se deja señalada, la lectura de los razonamientos de la Sentencia de apelación, que se remite, asimismo, a los "atinados razona</w:t>
      </w:r>
      <w:r>
        <w:lastRenderedPageBreak/>
        <w:t>mientos y ponderada valoración de la prueba" de la Sentencia de primera instancia, que el Tribunal ad quem hace suyos (FJ 5), pone de manifiesto que la Sentencia recurrida, una vez centrados los términos de la controversia, fundamenta su fallo en el análisis de si la actuación de las partes tiene encaje en los arts. 6 ó 11 LCD, llegando a la conclusión de que no existe la competencia desleal de la demanda, al contrastar el giro comercial o empresarial de las partes, pues, mientras la demandada "funciona como agencia de viajes, ofreciendo directamente sus productos en este sector económico", la actora "simplemente intermedia ofreciendo un programa de fidelización, pero sin ofrecer ella misma de forma inmediata o directa servicio alguno relacionado con lo que sería el objeto propio de una agencia de viajes" (FJ 4), razonando también el fallo desestimatorio de la demanda en la inexistencia de riesgo de confusión en el mercado de la actividad de la demandada con el de la actora, y en que no puede reconocerse que la demandada se aproveche de la reputación de la actora (FJ 5).</w:t>
      </w:r>
    </w:p>
    <w:p w:rsidR="000B622C" w:rsidRDefault="000B622C" w:rsidP="000B622C">
      <w:pPr>
        <w:pStyle w:val="TextoNormal"/>
      </w:pPr>
      <w:r>
        <w:t>Lo expuesto permite afirmar que la equivocación de la Sentencia recurrida, que confunde el nombre comercial con la marca comercial en los términos antes referidos, no puede considerarse, sin embargo, como el soporte único o básico (ratio decidendi) de la decisión judicial, por lo que faltaría este requisito que la doctrina de este Tribunal sobre el "error patente" exige para que estemos ante un error lesivo del derecho a la tutela judicial efectiva, lo que excluye la vulneración del art. 24.1 CE que se denuncia y determina la carencia manifiesta de contenido constitucional de la demanda que conduce a la inadmisión del presente recurso.</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consiguiente archivo de las actuaciones.</w:t>
      </w:r>
    </w:p>
    <w:p w:rsidR="000B622C" w:rsidRDefault="000B622C" w:rsidP="000B622C">
      <w:pPr>
        <w:pStyle w:val="TextoNormal"/>
      </w:pPr>
    </w:p>
    <w:p w:rsidR="000B622C" w:rsidRDefault="000B622C" w:rsidP="000B622C">
      <w:pPr>
        <w:pStyle w:val="TextoNormal"/>
      </w:pPr>
      <w:r>
        <w:t>Madrid, a once de febrero de dos mil uno.</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19" w:name="AUTO_2002_18"/>
      <w:r>
        <w:lastRenderedPageBreak/>
        <w:t>AUTO 18/2002, de 11 de febrero de 2002</w:t>
      </w:r>
    </w:p>
    <w:bookmarkEnd w:id="119"/>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ECLI:ES:TC:2002:18A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Deniega la suspensión en el recurso de amparo 4142-2001, interpuesto por don José Toledo Sobrón y otro Diputado del Parlamento de La Rioja</w:t>
      </w:r>
    </w:p>
    <w:p w:rsidR="000B622C" w:rsidRDefault="000B622C" w:rsidP="000B622C">
      <w:pPr>
        <w:pStyle w:val="SntesisDescriptiva"/>
      </w:pPr>
    </w:p>
    <w:p w:rsidR="000B622C" w:rsidRDefault="000B622C" w:rsidP="000B622C">
      <w:pPr>
        <w:pStyle w:val="SntesisAnaltica"/>
      </w:pPr>
      <w:r>
        <w:t>Suspensión cautelar de resoluciones parlamentarias: disolución de grupo parlamentario, no suspende. Amparo anticipado; derechos parlamentarios y económicos. Derecho parlamentario: autonomía de las Cámaras. Parlamentos autonómicos: La Rioja.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Mediante escrito registrado en este Tribunal el 31 de julio de 2001, don José Toledo Sobrón y don Miguel González de Legarra, Diputados regionales electos en el Parlamento de La Rioja e integrantes del Grupo Parlamentario del Partido Riojano, representados por la Procuradora de los Tribunales doña Rosalía Rosique Samper, y asistidos por el Letrado don Carlos Coello Martín, interpusieron recurso de amparo contra los siguientes Acuerdos de la Mesa de dicho Parlamento: </w:t>
      </w:r>
    </w:p>
    <w:p w:rsidR="000B622C" w:rsidRDefault="000B622C" w:rsidP="000B622C">
      <w:pPr>
        <w:pStyle w:val="TextoNormal"/>
      </w:pPr>
      <w:r>
        <w:t xml:space="preserve">a) El Acuerdo de la Mesa del Parlamento de La Rioja de 19 de abril del 2001 por el que acuerda la disolución del Grupo Parlamentario del Partido Riojano y se concede un plazo de ocho días para que, si lo desean se asocien a alguno de los Grupos Parlamentarios que integran la Cámara, y caso de no hacerlo, serían incorporados al Grupo Mixto. </w:t>
      </w:r>
    </w:p>
    <w:p w:rsidR="000B622C" w:rsidRDefault="000B622C" w:rsidP="000B622C">
      <w:pPr>
        <w:pStyle w:val="TextoNormal"/>
      </w:pPr>
      <w:r>
        <w:t xml:space="preserve">b) Los acuerdos de la Mesa del Parlamento de La Rioja del 26 de abril del 2001 sobre no reconsideración del Acuerdo de la Mesa del Parlamento de La Rioja del 19 de abril del 2001 e inadmisión de las peticiones deducidas por los diputados Sr. González de Legarra y Sr. Toledo Sobrón. </w:t>
      </w:r>
    </w:p>
    <w:p w:rsidR="000B622C" w:rsidRDefault="000B622C" w:rsidP="000B622C">
      <w:pPr>
        <w:pStyle w:val="TextoNormal"/>
      </w:pPr>
      <w:r>
        <w:t xml:space="preserve">c) Los Acuerdos de la Mesa del Parlamento de La Rioja del 2 de mayo del 2001 sobre incorporación forzada del Sr. González de Legarra como portavoz del Grupo Mixto. </w:t>
      </w:r>
    </w:p>
    <w:p w:rsidR="000B622C" w:rsidRDefault="000B622C" w:rsidP="000B622C">
      <w:pPr>
        <w:pStyle w:val="TextoNormal"/>
      </w:pPr>
      <w:r>
        <w:t xml:space="preserve">e) El Acuerdo de la Mesa del Parlamento de La Rioja del 9 de mayo de 2001, relativo a la Resolución de la Presidencia sobre funcionamiento del Grupo Mixto. </w:t>
      </w:r>
    </w:p>
    <w:p w:rsidR="000B622C" w:rsidRDefault="000B622C" w:rsidP="000B622C">
      <w:pPr>
        <w:pStyle w:val="TextoNormal"/>
      </w:pPr>
      <w:r>
        <w:t xml:space="preserve">f) El Acuerdo de la Mesa del Parlamento del 22 de mayo de 2001 sobre libramiento de subvenciones a los Grupos Parlamentarios. </w:t>
      </w:r>
    </w:p>
    <w:p w:rsidR="000B622C" w:rsidRDefault="000B622C" w:rsidP="000B622C">
      <w:pPr>
        <w:pStyle w:val="TextoNormal"/>
      </w:pPr>
      <w:r>
        <w:t>g) El Acuerdo de la Mesa del Parlamento de La Rioja del 31 de mayo de 2001, por el que inadmite la solicitud de abono de cotizaciones a la seguridad social correspondientes al Diputado Sr. González de Legarra.</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2</w:t>
      </w:r>
      <w:r>
        <w:t xml:space="preserve">. En síntesis, y en lo que aquí más interesa, los hechos en los que se basa el recurso de amparo son los siguientes: </w:t>
      </w:r>
    </w:p>
    <w:p w:rsidR="000B622C" w:rsidRDefault="000B622C" w:rsidP="000B622C">
      <w:pPr>
        <w:pStyle w:val="TextoNormal"/>
      </w:pPr>
      <w:r>
        <w:t xml:space="preserve">a) El 18 de abril de 2001 tiene lugar la aprobación por el Pleno del Parlamento de La Rioja de un Nuevo Reglamento, publicado en el Boletín Oficial del Parlamento de La Rioja de la misma fecha (V Legislatura), cuyo art. 22 aumentó el número de diputados necesarios para constituir Grupo Parlamentario de los dos hasta ese momento necesarios y en cuya virtud los recurrentes conformaban el mencionado Grupo Parlamentario del Partido Riojano, a tres. La Disposición Final Segunda de dicho Reglamento dispuso su entrada en vigor el mismo día de su publicación en el Boletín Oficial del Parlamento. La única Disposición Transitoria no hace referencia alguna a los Grupos Parlamentarios. </w:t>
      </w:r>
    </w:p>
    <w:p w:rsidR="000B622C" w:rsidRDefault="000B622C" w:rsidP="000B622C">
      <w:pPr>
        <w:pStyle w:val="TextoNormal"/>
      </w:pPr>
      <w:r>
        <w:t xml:space="preserve">b) Por Acuerdo de la Mesa del día siguiente, 19 de abril, adoptado por mayoría, se disuelve el Grupo Parlamentario del Partido Riojano, formado por los dos demandantes de amparo, en aplicación de nuevo Reglamento, concediéndoseles ocho días de plazo para asociarse a alguno de los Grupos Parlamentarios integrantes de la Cámara, plazo tras el cual necesariamente habrían de integrarse en el Grupo Mixto si no hubieren formalizado la citada asociación. </w:t>
      </w:r>
    </w:p>
    <w:p w:rsidR="000B622C" w:rsidRDefault="000B622C" w:rsidP="000B622C">
      <w:pPr>
        <w:pStyle w:val="TextoNormal"/>
      </w:pPr>
      <w:r>
        <w:t xml:space="preserve">c) Tras solicitar los afectados la reconsideración por la Mesa de dicha decisión, solicitud denegada por Acuerdo de 26 de abril, por sendos Acuerdos de 2 de mayo se incorpora forzosamente a los aquí demandantes al Grupo Mixto y se designa al Sr. González de Legarra como Portavoz del mismo. </w:t>
      </w:r>
    </w:p>
    <w:p w:rsidR="000B622C" w:rsidRDefault="000B622C" w:rsidP="000B622C">
      <w:pPr>
        <w:pStyle w:val="TextoNormal"/>
      </w:pPr>
      <w:r>
        <w:t>d) Por Acuerdo de la Mesa de 9 de mayo se adopta la Resolución de Presidencia sobre funcionamiento del Grupo Mixto.</w:t>
      </w:r>
    </w:p>
    <w:p w:rsidR="000B622C" w:rsidRDefault="000B622C" w:rsidP="000B622C">
      <w:pPr>
        <w:pStyle w:val="TextoNormal"/>
      </w:pPr>
    </w:p>
    <w:p w:rsidR="000B622C" w:rsidRDefault="000B622C" w:rsidP="000B622C">
      <w:pPr>
        <w:pStyle w:val="TextoNormal"/>
      </w:pPr>
      <w:r w:rsidRPr="000B622C">
        <w:rPr>
          <w:rStyle w:val="NumeroAFNegritaCaracter"/>
        </w:rPr>
        <w:t>3</w:t>
      </w:r>
      <w:r>
        <w:t>. En la demanda de amparo se solicita la declaración de nulidad de los Acuerdos de la Mesa de la Cámara que se impugna, que se reconozca y restablezca el derecho fundamental reconocido en el art. 23 de la Constitución y que, en consecuencia, se ordene la reposición con todos los derechos de carácter parlamentario y económico del Grupo Parlamentario del Partido Riojano. Por otrosí se interesa la suspensión, al amparo del art. 56 LOTC, del Acuerdo de la Mesa del Parlamento de La Rioja de 19 de abril de 2001 y de todos los demás dictados en desarrollo y ejecución del aquél, ordenándose la reposición de los parlamentarios recurrentes en su condición de diputados integrados en el Grupo Parlamentario disuelto por aquel Acuerdo, con los derechos económicos y parlamentarios aparejados a tal condición.</w:t>
      </w:r>
    </w:p>
    <w:p w:rsidR="000B622C" w:rsidRDefault="000B622C" w:rsidP="000B622C">
      <w:pPr>
        <w:pStyle w:val="TextoNormal"/>
      </w:pPr>
    </w:p>
    <w:p w:rsidR="000B622C" w:rsidRDefault="000B622C" w:rsidP="000B622C">
      <w:pPr>
        <w:pStyle w:val="TextoNormal"/>
      </w:pPr>
      <w:r w:rsidRPr="000B622C">
        <w:rPr>
          <w:rStyle w:val="NumeroAFNegritaCaracter"/>
        </w:rPr>
        <w:t>4</w:t>
      </w:r>
      <w:r>
        <w:t>. Este Tribunal, por Providencia de la Sección Segunda de 10 de diciembre de 2001, acordó la admisión a trámite de la demanda de amparo, sin perjuicio de lo que resulte de los antecedentes, tener por personada y parte en nombre y representación de los recurrentes a la Procuradora doña Rosalía Rosique Samper, y dirigir atenta comunicación al Excmo. Sr. Presidente del Parlamento de La Rioja para que, en virtud del art. 51 LOTC, en el plazo de diez días remitiese testimonio de los expedientes correspondientes a los Acuerdos de la Mesa de la Cámara contra los que se interpone recurso, acompañándose copia de la demanda para conocimiento de la Mesa del Parlamento de La Rioja, a efectos de su personación.</w:t>
      </w:r>
    </w:p>
    <w:p w:rsidR="000B622C" w:rsidRDefault="000B622C" w:rsidP="000B622C">
      <w:pPr>
        <w:pStyle w:val="TextoNormal"/>
      </w:pPr>
    </w:p>
    <w:p w:rsidR="000B622C" w:rsidRDefault="000B622C" w:rsidP="000B622C">
      <w:pPr>
        <w:pStyle w:val="TextoNormal"/>
      </w:pPr>
      <w:r w:rsidRPr="000B622C">
        <w:rPr>
          <w:rStyle w:val="NumeroAFNegritaCaracter"/>
        </w:rPr>
        <w:t>5</w:t>
      </w:r>
      <w:r>
        <w:t>. Por providencia de la misma Sección y fecha, se acuerda formar pieza separada de suspensión y, de conformidad con lo establecido en el art. 56 LOTC, conceder plazo co</w:t>
      </w:r>
      <w:r>
        <w:lastRenderedPageBreak/>
        <w:t>mún de tres días al Ministerio Fiscal y a los solicitantes del amparo para alegaciones en relación con tal petición de los recurrentes.</w:t>
      </w:r>
    </w:p>
    <w:p w:rsidR="000B622C" w:rsidRDefault="000B622C" w:rsidP="000B622C">
      <w:pPr>
        <w:pStyle w:val="TextoNormal"/>
      </w:pPr>
    </w:p>
    <w:p w:rsidR="000B622C" w:rsidRDefault="000B622C" w:rsidP="000B622C">
      <w:pPr>
        <w:pStyle w:val="TextoNormal"/>
      </w:pPr>
      <w:r w:rsidRPr="000B622C">
        <w:rPr>
          <w:rStyle w:val="NumeroAFNegritaCaracter"/>
        </w:rPr>
        <w:t>6</w:t>
      </w:r>
      <w:r>
        <w:t>. Mediante escrito registrado en este Tribunal el 31 de diciembre de 2001, los recurrentes presentan sus alegaciones que, en buena medida, reiteran el contenido del otrosí por el que se solicitaba la suspensión de la demanda de amparo. En esencia, los argumentos en los que basan su petición son: el fumus boni iuris de la petición de amparo, el perjuicio cierto de los derechos económicos (en los que se insiste especialmente tanto en relación con las labores parlamentarias - así, respecto del control parlamentario en supuestos tales como el traspaso de competencias de la sanidad pública-, como en relación con la financiación del partido político al que pertenecen los recurrentes) y representativos, el que no se ocasionan perjuicios graves para el ejercicio de la función parlamentaria de los otros Grupos y, sobre todo, el que la denegación de la suspensión ocasionaría la pérdida de la finalidad del amparo solicitado caso de ser concedido, al no resultar posible la restauración de los derechos conculcados una vez finado el mandato parlamentario ni durante el tiempo que no se ejercieren.</w:t>
      </w:r>
    </w:p>
    <w:p w:rsidR="000B622C" w:rsidRDefault="000B622C" w:rsidP="000B622C">
      <w:pPr>
        <w:pStyle w:val="TextoNormal"/>
      </w:pPr>
    </w:p>
    <w:p w:rsidR="000B622C" w:rsidRDefault="000B622C" w:rsidP="000B622C">
      <w:pPr>
        <w:pStyle w:val="TextoNormal"/>
      </w:pPr>
      <w:r w:rsidRPr="000B622C">
        <w:rPr>
          <w:rStyle w:val="NumeroAFNegritaCaracter"/>
        </w:rPr>
        <w:t>7</w:t>
      </w:r>
      <w:r>
        <w:t>. Por escrito registrado en este Tribunal el 8 de enero de 2002, el Ministerio Fiscal da a conocer sus alegaciones, oponiéndose a la suspensión solicitada en razón, por un lado, de que el actual status de los Parlamentarios recurrentes no incide en la esencia de su labor representativa parlamentaria, pues el Grupo Mixto es tan Grupo parlamentario como los demás de la Cámara, con la única especificidad, establecida en el art. 26.1 del Reglamento, de la reducción del tiempo de intervención en las sesiones, reducción proporcional a la importancia numérica del Grupo; y, por otro, en cuanto a las consecuencias de contenido económico se refiere, en razón de que la consolidada doctrina de este Tribunal de que los perjuicios económicos son reparables a posteriori si se concede el amparo solicitado, se ha venido aplicando ya en varias ocasiones en el ámbito de los derechos de los parlamentarios (AATC 589/1989 y 254/1994).</w:t>
      </w:r>
    </w:p>
    <w:p w:rsidR="000B622C" w:rsidRDefault="000B622C" w:rsidP="000B622C">
      <w:pPr>
        <w:pStyle w:val="TextoNormal"/>
      </w:pPr>
    </w:p>
    <w:p w:rsidR="000B622C" w:rsidRDefault="000B622C" w:rsidP="000B622C">
      <w:pPr>
        <w:pStyle w:val="TextoNormal"/>
      </w:pPr>
      <w:r w:rsidRPr="000B622C">
        <w:rPr>
          <w:rStyle w:val="NumeroAFNegritaCaracter"/>
        </w:rPr>
        <w:t>8</w:t>
      </w:r>
      <w:r>
        <w:t>. Por escrito registrado en este Tribunal el 4 de febrero de 2002, el Letrado Mayor del Parlamento de La Rioja, en nombre y representación del mismo, presenta alegaciones sobre la suspensión por si la Sala tuviera a bien su estimación en la sustanciación del incidente. En esencia, se opone a la misma afirmando, primero, que lo que realmente se recurre por los demandantes es un precepto (el art. 22.1) del Reglamento parlamentario, norma que tiene valor de ley, de modo que la concesión de la medida cautelar supondría la suspensión del propio Reglamento de la Cámara y, después, que ni sus derechos parlamentarios ni sus derechos económicos han sufrido perjuicios irreparables, aportando como demostración de ello minucioso detalle de las actividades parlamentarias llevadas a cabo por los recurrentes desde que pasaron a formar parte del Grupo Mixto, los extremos concretos de su nuevo status (adscripción a las Comisiones, a la Diputación Permanente, tiempos de intervención en los debates, etc.) y las subvenciones y asignaciones económicas que han venido percibiendo tanto en su condición de Grupo como en la de parlamentarios.</w:t>
      </w:r>
    </w:p>
    <w:p w:rsidR="000B622C" w:rsidRDefault="000B622C" w:rsidP="000B622C">
      <w:pPr>
        <w:pStyle w:val="TextoNormal"/>
      </w:pPr>
    </w:p>
    <w:p w:rsidR="000B622C" w:rsidRDefault="000B622C" w:rsidP="000B622C">
      <w:pPr>
        <w:pStyle w:val="TextoNormalNegritaCentrado"/>
        <w:keepNext/>
      </w:pPr>
      <w:r>
        <w:lastRenderedPageBreak/>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art. 56.1 LOTC dispone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  Como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 Dicho de otro modo, acorde, pues, con la naturaleza extraordinaria de la jurisdicción de amparo, la suspensión prevista en la LOTC se configura como una medida provisional de carácter excepcional y de aplicación restrictiva (ATC 24/2001, de 17 de septiembre, y los numerosos en él citados en igual sentido). Igual de constante es la doctrina de que la suspensión no puede anticipar el amparo que se solicita, de modo que si su concesión conlleva tal anticipación, ello se convierte en causa para denegarla (por todos, ATC 263/2001, de 15 de octubre, y los en él aludidos).</w:t>
      </w:r>
    </w:p>
    <w:p w:rsidR="000B622C" w:rsidRDefault="000B622C" w:rsidP="000B622C">
      <w:pPr>
        <w:pStyle w:val="TextoNormal"/>
      </w:pPr>
      <w:r>
        <w:t>La doctrina que resumidamente se acaba de recordar supone, respecto del objeto de la presente solicitud de suspensión de los Acuerdos impugnados de la Mesa del Parlamento de la Rioja, que ha de desecharse a limine el argumento que los recurrentes esgrimen del fumus boni iuris que tiene el amparo que impetran.  Por la misma razón, ha de rechazarse también el argumento del Ministerio Fiscal de que el Grupo Mixto es tan Grupo Parlamentario como cualquiera otro.  Ambos argumentos se proyectan sobre el fondo de la cuestión planteada en la demanda y, en sentido opuesto obviamente, suponen predeterminar la solución del recurso que en su momento esta Sala habrá de resolver en el sentido que razonadamente estime oportuno.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Sin embargo, como los mismos demandantes de amparo afirman, no hay duda de la afectación de sus derechos, económicos y parlamentarios, que ha supuesto su nueva condición de componentes del Grupo Mixto frente a la anterior de integrantes de un Grupo Parlamentario con entidad propia: de hecho, esa y no otra es la razón por la que acuden a esta sede en solicitud de amparo. Ahora bien, tal afectación no comporta necesariamente, por sí sola, que haya de concederse la suspensión solicitada. Lo decisivo, de acuerdo con el art. 56.1 de nuestra Ley, es si el amparo eventualmente otorgado perdería su finalidad por no concederse dicha suspensión. En tal sentido, parece claro que ni el Acuerdo referido a las condiciones personales de uno de los recurrentes (en concreto a sus cuotas a la Seguridad Social), ni los de contenido estrictamente económico, pueden entenderse como determinantes de la pérdida de tal finalidad si no se suspenden: en particular en relación con estos últimos (en la necesidad de cuya suspensión se insiste especialmente en las alegaciones), y como recuerda el Ministerio Público que hemos dicho ya en algunas ocasiones referidas también a actos parlamentarios, una eventual sentencia favorable a los recurrentes podría implicar percibir con efecto retroactivo las asignaciones y subvenciones que, ya personalmente (ATC 254/1994, de 19 de septiembre), ya como Grupo Parlamentario (ATC 589/1989, de 11 de diciembre), hubiesen dejado de percibir.  No procede, por </w:t>
      </w:r>
      <w:r>
        <w:lastRenderedPageBreak/>
        <w:t>tanto, la suspensión de los Acuerdos impugnados que tienen los contenidos a los que se acaba de hacer referencia.</w:t>
      </w:r>
    </w:p>
    <w:p w:rsidR="000B622C" w:rsidRDefault="000B622C" w:rsidP="000B622C">
      <w:pPr>
        <w:pStyle w:val="TextoNormal"/>
      </w:pPr>
    </w:p>
    <w:p w:rsidR="000B622C" w:rsidRDefault="000B622C" w:rsidP="000B622C">
      <w:pPr>
        <w:pStyle w:val="TextoNormal"/>
      </w:pPr>
      <w:r w:rsidRPr="000B622C">
        <w:rPr>
          <w:rStyle w:val="NumeroAFNegritaCaracter"/>
        </w:rPr>
        <w:t>3</w:t>
      </w:r>
      <w:r>
        <w:t>. La cuestión queda reducida, pues, a los Acuerdos que afectan a los derechos parlamentarios propiamente dichos, es decir, lo que se plantea es si la finalidad del recurso se perdería si durante el tiempo que conlleve su resolución no se suspenden los Acuerdos afectantes a los derechos propiamente parlamentarios, vale decir, al de disolución del Grupo Parlamentario, porque de él derivan el resto. La respuesta a la cuestión así planteada es que, aun no siendo iguales, evidentemente, las circunstancias en que los recurrentes pueden desarrollar sus derechos representativos como miembros del Grupo Mixto que en su originaria condición de integrantes de un Grupo Parlamentario con identidad propia, sí pueden, sin duda, seguir ejerciendo tales derechos representativos en su esencia; incluso pueden, aun en esas condiciones, seguir haciendo valer los intereses de los concretos votantes de la formación política por la que salieron elegidos, que es lo que un Grupo Parlamentario con entidad distinta y singular comporta. Por ello, en consecuencia, no cabe entender que la eventual concesión del amparo en relación con el acuerdo de disolución del Grupo que venía constituyendo pierda su finalidad si no se suspenden los Acuerdos impugnados que tienen por contenido derechos parlamentarios. En ello abunda, por lo demás, el interés general que conlleva la ejecución de los actos y decisiones de los poderes públicos, amparados, como están, en la presunción de legalidad y veracidad, como hemos dicho siempre al tratar de la medida cautelar que posibilita el art. 56 de nuestra Ley Orgánica reguladora (recientemente, ATC 208/2001, de 16 de junio y los en él mencionados en idéntica línea). Pren el caso de actos provenientes de órganos parlamentarios, se une la característica y esencial autonomía parlamentaria que, como tal, ha de respetarse siempre en la medida de lo posible. En definitiva, pues, tampoco procede la suspensión del resto de los Acuerdos impugnados.</w:t>
      </w:r>
    </w:p>
    <w:p w:rsidR="000B622C" w:rsidRDefault="000B622C" w:rsidP="000B622C">
      <w:pPr>
        <w:pStyle w:val="TextoNormal"/>
      </w:pPr>
      <w:r>
        <w:t>Concluido lo anterior, ha de reseñarse que este Tribunal es consciente de la preclusividad que comporta en los asuntos de origen parlamentario el final, natural o provocado, de la legislatura, y por ello entiende conveniente apuntar -como hemos hecho ya en ocasiones de tipo similar (AATC 144/1990, de 29 de marzo, y el citado 254/1994)- que, el hecho de que el presente recurso de amparo sea instado por quienes están investidos por el voto popular y ejercen la esencial función representativa de los ciudadanos, aconseja reducir al máximo posible la eventual afectación de sus derechos y, consiguientemente, adelantar, en cuanto sea compatible con la tramitación procesal, el momento de dictar Sentencia.</w:t>
      </w:r>
    </w:p>
    <w:p w:rsidR="000B622C" w:rsidRDefault="000B622C" w:rsidP="000B622C">
      <w:pPr>
        <w:pStyle w:val="TextoNormal"/>
      </w:pPr>
    </w:p>
    <w:p w:rsidR="000B622C" w:rsidRDefault="000B622C" w:rsidP="000B622C">
      <w:pPr>
        <w:pStyle w:val="TextoNormal"/>
      </w:pPr>
      <w:r>
        <w:t>En virtud de todo ello,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de los acuerdos parlamentarios de la Mesa del Parlamento de La Rioja, solicitada en el recurso de amparo interpuesto por sus Diputados don José Toledo Sobrón y don Miguel González de Legarra.</w:t>
      </w:r>
    </w:p>
    <w:p w:rsidR="000B622C" w:rsidRDefault="000B622C" w:rsidP="000B622C">
      <w:pPr>
        <w:pStyle w:val="TextoNormal"/>
      </w:pPr>
    </w:p>
    <w:p w:rsidR="000B622C" w:rsidRDefault="000B622C" w:rsidP="000B622C">
      <w:pPr>
        <w:pStyle w:val="TextoNormal"/>
      </w:pPr>
      <w:r>
        <w:t>Madrid, once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20" w:name="AUTO_2002_19"/>
      <w:r>
        <w:lastRenderedPageBreak/>
        <w:t>AUTO 19/2002, de 11 de febrero de 2002</w:t>
      </w:r>
    </w:p>
    <w:bookmarkEnd w:id="120"/>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ECLI:ES:TC:2002:19A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el desistimiento en el recurso de amparo 6153-2001, promovido en proceso contencioso-administrativo.</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21" w:name="AUTO_2002_20"/>
      <w:r>
        <w:lastRenderedPageBreak/>
        <w:t>AUTO 20/2002, de 12 de febrero de 2002</w:t>
      </w:r>
    </w:p>
    <w:bookmarkEnd w:id="121"/>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ECLI:ES:TC:2002:20A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Acuerda el levantamiento de suspensión en el recurso de inconstitucionalidad 5061-2001, planteado por el Presidente del Gobierno respecto de los arts. 4.2; 14.1; 18; 20; 21.1 b); 22.1, inciso final y 54.1¸ y mantener la de los arts. 27 a), 28 y 35.2 de la Ley 11/2001, de 15 de junio, de ordenación de la actividad comercial en las Illes Balears</w:t>
      </w:r>
    </w:p>
    <w:p w:rsidR="000B622C" w:rsidRDefault="000B622C" w:rsidP="000B622C">
      <w:pPr>
        <w:pStyle w:val="SntesisDescriptiva"/>
      </w:pPr>
    </w:p>
    <w:p w:rsidR="000B622C" w:rsidRDefault="000B622C" w:rsidP="000B622C">
      <w:pPr>
        <w:pStyle w:val="SntesisAnaltica"/>
      </w:pPr>
      <w:r>
        <w:t>Suspensión de disposiciones de las Comunidades Autónomas: levanta la suspensión parcialmente. Entidades de crédito; establecimientos comerciales; horarios comerciales; modalidades de venta. Baleares: ordenación del comercio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Registro de este Tribunal el día 27 de septiembre de 2001, el Abogado del Estado, en nombre del Presidente del Gobierno, presentó escrito de interposición de recurso de inconstitucionalidad contra los arts. 4.2; 14.1; 18; 20; 21.1 b); 22.1, inciso final; 27 a); 28; 35.2 y 54.1 de la Ley 11/2001, de 15 de junio, de ordenación de la actividad comercial en les Illes Balears. El Abogado del Estado invocó el art. 161.2 CE, a fin de que se acordara la suspensión de los artículos recurridos.</w:t>
      </w:r>
    </w:p>
    <w:p w:rsidR="000B622C" w:rsidRDefault="000B622C" w:rsidP="000B622C">
      <w:pPr>
        <w:pStyle w:val="TextoNormal"/>
      </w:pPr>
    </w:p>
    <w:p w:rsidR="000B622C" w:rsidRDefault="000B622C" w:rsidP="000B622C">
      <w:pPr>
        <w:pStyle w:val="TextoNormal"/>
      </w:pPr>
      <w:r w:rsidRPr="000B622C">
        <w:rPr>
          <w:rStyle w:val="NumeroAFNegritaCaracter"/>
        </w:rPr>
        <w:t>2</w:t>
      </w:r>
      <w:r>
        <w:t>. Mediante providencia de 16 de octubre de 2001, la Sección Cuarta admitió a trámite el recurso de inconstitucionalidad promovido por el Abogado del Estado contra los artículos antes citados de la Ley del Parlamento de las Illes Balears 11/2001 y acordó dar traslado de la demanda y documentos presentados, de acuerdo con el art. 34 LOTC, al Congreso de los Diputados y al Senado, así como al Parlamento y al Gobierno de las Illes Balears, al objeto de que puedan personarse en el proceso y formular alegaciones. Asimismo, acordó tener por invocado por el Presidente del Gobierno el art. 161.2 CE, lo que produce la suspensión de la vigencia y aplicación de los preceptos impugnados, y publicar la incoación del recurso y la suspensión efectuada en el Boletín Oficial del Estado y en el de la Comunidad Autónoma.</w:t>
      </w:r>
    </w:p>
    <w:p w:rsidR="000B622C" w:rsidRDefault="000B622C" w:rsidP="000B622C">
      <w:pPr>
        <w:pStyle w:val="TextoNormal"/>
      </w:pPr>
    </w:p>
    <w:p w:rsidR="000B622C" w:rsidRDefault="000B622C" w:rsidP="000B622C">
      <w:pPr>
        <w:pStyle w:val="TextoNormal"/>
      </w:pPr>
      <w:r w:rsidRPr="000B622C">
        <w:rPr>
          <w:rStyle w:val="NumeroAFNegritaCaracter"/>
        </w:rPr>
        <w:t>3</w:t>
      </w:r>
      <w:r>
        <w:t>. Mediante escrito registrado el día 2 de noviembre de 2001, la Presidenta del Congreso de los Diputados comunica al Tribunal que la Cámara no se personará en el procedimiento ni formulará alegaciones.</w:t>
      </w:r>
    </w:p>
    <w:p w:rsidR="000B622C" w:rsidRDefault="000B622C" w:rsidP="000B622C">
      <w:pPr>
        <w:pStyle w:val="TextoNormal"/>
      </w:pPr>
    </w:p>
    <w:p w:rsidR="000B622C" w:rsidRDefault="000B622C" w:rsidP="000B622C">
      <w:pPr>
        <w:pStyle w:val="TextoNormal"/>
      </w:pPr>
      <w:r w:rsidRPr="000B622C">
        <w:rPr>
          <w:rStyle w:val="NumeroAFNegritaCaracter"/>
        </w:rPr>
        <w:t>4</w:t>
      </w:r>
      <w:r>
        <w:t>. En escrito registrado el día 7 de noviembre de 2001, el Jefe del Departamento Jurídico de la Comunidad Autónoma de las Illes Balears, en representación de su Gobierno, solicita del Tribunal que se le tenga por personado en el procedimiento y se le conceda una prórroga de ocho días para presentar sus alegaciones.</w:t>
      </w:r>
    </w:p>
    <w:p w:rsidR="000B622C" w:rsidRDefault="000B622C" w:rsidP="000B622C">
      <w:pPr>
        <w:pStyle w:val="TextoNormal"/>
      </w:pPr>
    </w:p>
    <w:p w:rsidR="000B622C" w:rsidRDefault="000B622C" w:rsidP="000B622C">
      <w:pPr>
        <w:pStyle w:val="TextoNormal"/>
      </w:pPr>
      <w:r w:rsidRPr="000B622C">
        <w:rPr>
          <w:rStyle w:val="NumeroAFNegritaCaracter"/>
        </w:rPr>
        <w:t>5</w:t>
      </w:r>
      <w:r>
        <w:t>. La Sección Tercera, por providencia de 14 de noviembre de 2001, acuerda tener por personado al Letrado Jefe del Departamento Jurídico de las Illes Balears y le concede la prórroga de ocho días que le fue solicitada.</w:t>
      </w:r>
    </w:p>
    <w:p w:rsidR="000B622C" w:rsidRDefault="000B622C" w:rsidP="000B622C">
      <w:pPr>
        <w:pStyle w:val="TextoNormal"/>
      </w:pPr>
    </w:p>
    <w:p w:rsidR="000B622C" w:rsidRDefault="000B622C" w:rsidP="000B622C">
      <w:pPr>
        <w:pStyle w:val="TextoNormal"/>
      </w:pPr>
      <w:r w:rsidRPr="000B622C">
        <w:rPr>
          <w:rStyle w:val="NumeroAFNegritaCaracter"/>
        </w:rPr>
        <w:t>6</w:t>
      </w:r>
      <w:r>
        <w:t>. Mediante escrito registrado el día 15 de noviembre de 2001, el Presidente del Parlamento de las Illes Balears comparece, en la representación que ostenta, y formula alegaciones, solicitando del Tribunal que en su día dicte Sentencia rechazando el recurso de inconstitucionalidad y declarando la constitucionalidad de la Ley impugnada, solicitando también, mediante otrosí, que antes de expirar el plazo de cinco meses establecido en el art. 161.2 CE se le de traslado para efectuar las alegaciones oportunas en orden a obtener el alzamiento de la suspensión de dicha Ley.</w:t>
      </w:r>
    </w:p>
    <w:p w:rsidR="000B622C" w:rsidRDefault="000B622C" w:rsidP="000B622C">
      <w:pPr>
        <w:pStyle w:val="TextoNormal"/>
      </w:pPr>
    </w:p>
    <w:p w:rsidR="000B622C" w:rsidRDefault="000B622C" w:rsidP="000B622C">
      <w:pPr>
        <w:pStyle w:val="TextoNormal"/>
      </w:pPr>
      <w:r w:rsidRPr="000B622C">
        <w:rPr>
          <w:rStyle w:val="NumeroAFNegritaCaracter"/>
        </w:rPr>
        <w:t>7</w:t>
      </w:r>
      <w:r>
        <w:t>. La Presidenta del Senado, en escrito registrado el día 16 de noviembre de 2001, comunica al Tribunal que da por personada a la Cámara en el recurso de inconstitucionalidad y ofrece su colaboración.</w:t>
      </w:r>
    </w:p>
    <w:p w:rsidR="000B622C" w:rsidRDefault="000B622C" w:rsidP="000B622C">
      <w:pPr>
        <w:pStyle w:val="TextoNormal"/>
      </w:pPr>
    </w:p>
    <w:p w:rsidR="000B622C" w:rsidRDefault="000B622C" w:rsidP="000B622C">
      <w:pPr>
        <w:pStyle w:val="TextoNormal"/>
      </w:pPr>
      <w:r w:rsidRPr="000B622C">
        <w:rPr>
          <w:rStyle w:val="NumeroAFNegritaCaracter"/>
        </w:rPr>
        <w:t>8</w:t>
      </w:r>
      <w:r>
        <w:t xml:space="preserve">. El día 27 de noviembre de 2001 se registra en el Tribunal el escrito de alegaciones presentado por el Letrado Jefe del Departamento Jurídico de la Comunidad Autónoma de las Illes Balears, en el que solicita que el Tribunal desestime el recurso de inconstitucionalidad. </w:t>
      </w:r>
    </w:p>
    <w:p w:rsidR="000B622C" w:rsidRDefault="000B622C" w:rsidP="000B622C">
      <w:pPr>
        <w:pStyle w:val="TextoNormal"/>
      </w:pPr>
      <w:r>
        <w:t xml:space="preserve">También solicita que, estando suspendida la aplicación de la Ley recurrida, se proceda a acordar el levantamiento inmediato de la suspensión de la Ley impugnada, sin esperar al transcurso del plazo de cinco meses desde que dicha suspensión fue acordada, formulando, a tal fin, las alegaciones siguientes: </w:t>
      </w:r>
    </w:p>
    <w:p w:rsidR="000B622C" w:rsidRDefault="000B622C" w:rsidP="000B622C">
      <w:pPr>
        <w:pStyle w:val="TextoNormal"/>
      </w:pPr>
      <w:r>
        <w:t xml:space="preserve">A) En primer lugar, aduce que la suspensión automática de la vigencia y aplicación de las disposiciones de rango legal impugnadas ante el Tribunal Constitucional, con invocación del art. 161.2 CE, puede ser levantada en cualquier momento, dentro de un plazo no superior a cinco meses. Esta posibilidad ha sido reiteradamente admitida por el propio Tribunal (AATC 417/1997, 221/1995, 222/1995, 154/1994 y 504/1989), toda vez que aquel precepto constitucional indica que el plazo de cinco meses es un plazo máximo. </w:t>
      </w:r>
    </w:p>
    <w:p w:rsidR="000B622C" w:rsidRDefault="000B622C" w:rsidP="000B622C">
      <w:pPr>
        <w:pStyle w:val="TextoNormal"/>
      </w:pPr>
      <w:r>
        <w:t xml:space="preserve">B) A continuación, manifiesta que existe también doctrina consolidada, emanada del propio Tribunal Constitucional, que declara que el levantamiento o mantenimiento de la suspensión deja al margen todo juicio o argumento sobre la viabilidad o inviabilidad de la pretensión deducida en el proceso principal (AATC 12/1992, 253/1992, 417/1997 y 44/1998, entre otros). </w:t>
      </w:r>
    </w:p>
    <w:p w:rsidR="000B622C" w:rsidRDefault="000B622C" w:rsidP="000B622C">
      <w:pPr>
        <w:pStyle w:val="TextoNormal"/>
      </w:pPr>
      <w:r>
        <w:t xml:space="preserve">A ello añade que la decisión sobre el levantamiento de la suspensión depende de dos criterios alejados de la pretensión de fondo. De un lado, de la presunción de legitimidad de las normas, que cobra fuerza renovada cuando se trata de una ley formal. Y de otro, de la ponderación de los intereses en presencia, sea el interés general o público, representado por el estatal y el autonómico en un plano de igualdad, sea el interés particular o privado de terceras personas, así como la posibilidad de que pudieran producirse o no perjuicios de </w:t>
      </w:r>
      <w:r>
        <w:lastRenderedPageBreak/>
        <w:t xml:space="preserve">imposible reparación que vaciaran de contenido efectivo la resolución final del proceso constitucional pendiente. </w:t>
      </w:r>
    </w:p>
    <w:p w:rsidR="000B622C" w:rsidRDefault="000B622C" w:rsidP="000B622C">
      <w:pPr>
        <w:pStyle w:val="TextoNormal"/>
      </w:pPr>
      <w:r>
        <w:t xml:space="preserve">C) En este caso, es obvio que nos encontramos ante una norma con rango legal, que es expresión directa de la voluntad del pueblo balear manifestada a través de su Parlamento. </w:t>
      </w:r>
    </w:p>
    <w:p w:rsidR="000B622C" w:rsidRDefault="000B622C" w:rsidP="000B622C">
      <w:pPr>
        <w:pStyle w:val="TextoNormal"/>
      </w:pPr>
      <w:r>
        <w:t xml:space="preserve">Precisamente por ser una ley, la posibilidad de mantenimiento de la suspensión debe contemplarse como algo muy excepcional, que únicamente sería posible si la parte actora fuera capaz de demostrar cumplidamente que la vigencia y aplicación de la ley cuestionada produciría perjuicios irreparables al interés general o de terceros. De modo que la carga probatoria se desplaza a la parte recurrente, pues si no hay prueba en contrario procede el levantamiento de la suspensión que actualmente pesa sobre la ley impugnada (AATC 568/1985, 1268/1988, 12/1992 y 44/1998). </w:t>
      </w:r>
    </w:p>
    <w:p w:rsidR="000B622C" w:rsidRDefault="000B622C" w:rsidP="000B622C">
      <w:pPr>
        <w:pStyle w:val="TextoNormal"/>
      </w:pPr>
      <w:r>
        <w:t xml:space="preserve">D) La Ley 11/2001, de 15 de junio, de ordenación de la actividad comercial de las Illes Balears, se ampara en las competencias autonómicas de comercio interior y defensa de los consumidores y usuarios y regula, además de disposiciones generales y aspectos organizativos y sancionadores, el régimen administrativo de los establecimientos comerciales, los horarios comerciales y distintas modalidades de venta. </w:t>
      </w:r>
    </w:p>
    <w:p w:rsidR="000B622C" w:rsidRDefault="000B622C" w:rsidP="000B622C">
      <w:pPr>
        <w:pStyle w:val="TextoNormal"/>
      </w:pPr>
      <w:r>
        <w:t xml:space="preserve">Aunque deberá examinarse cada uno de los artículos impugnados para efectuar la ponderación de los intereses en presencia, resulta posible realizar una doble argumentación inicial para minimizar la incidencia de la ley recurrida sobre el interés público estatal representado por los títulos competenciales de la ordenación general de la economía y de la libre circulación de bienes en que el mismo se sustenta. Así, en primer lugar, la jurisprudencia del Tribunal de Justicia de las Comunidades Europeas sostiene que la regulación de los horarios comerciales y de las modalidades de venta corresponde a los Estados miembros, por no tener incidencia efectiva en la libre circulación de mercancías y en la unidad de mercado. En segundo lugar, el hecho insular supone que difícilmente regulaciones materiales como las aludidas puedan afectar a las bases para la planificación general de la actividad económica en todo el territorio nacional. La fragmentación geográfica que supone la realidad insular impide que las medidas recurridas propaguen sus efectos al resto del territorio nacional. </w:t>
      </w:r>
    </w:p>
    <w:p w:rsidR="000B622C" w:rsidRDefault="000B622C" w:rsidP="000B622C">
      <w:pPr>
        <w:pStyle w:val="TextoNormal"/>
      </w:pPr>
      <w:r>
        <w:t xml:space="preserve">E) A continuación, la representación procesal del Gobierno de la Comunidad Autónoma pondera los intereses en presencia en los distintos preceptos impugnados. </w:t>
      </w:r>
    </w:p>
    <w:p w:rsidR="000B622C" w:rsidRDefault="000B622C" w:rsidP="000B622C">
      <w:pPr>
        <w:pStyle w:val="TextoNormal"/>
      </w:pPr>
      <w:r>
        <w:t xml:space="preserve">El art. 4.2 de la Ley 11/2001 es sólo una precisión o especificación del art. 4.1, no impugnado, y significa definir lo que es "también" actividad comercial, que no causa perjuicio alguno al interés público estatal ni, menos aún, al interés particular de terceros. </w:t>
      </w:r>
    </w:p>
    <w:p w:rsidR="000B622C" w:rsidRDefault="000B622C" w:rsidP="000B622C">
      <w:pPr>
        <w:pStyle w:val="TextoNormal"/>
      </w:pPr>
      <w:r>
        <w:t xml:space="preserve">La limitación de la superficie útil para la exposición y venta de los establecimientos comerciales en función del número de habitantes del municipio, contenida en el art. 14.1 de la Ley, no hace sin mantener un criterio que ha venido aplicándose a través de instrumentos tales como el Plan Director Sectorial y la Norma Territorial Cautelar. Frente a la legitimidad de esta decisión, el mantenimiento de la suspensión producirá el perjuicio irreparable de la masiva construcción y apertura de establecimientos comerciales con una superficie que distorsionarán el tejido local de pequeños comerciantes, con los consiguientes problemas de accesos, aparcamientos, etc. que se han querido evitar. Por el contrario, el levantamiento de la suspensión no produciría perjuicio irreparable alguno, ya que pueden construirse establecimientos comerciales dentro de los márgenes de superficie autorizados y los escasos intereses que se vieran imposibilitados de hacerlo, por precisar mayor superficie, siempre serían indemnizables. Así, los AATC 253/1992 y 417/1997, entre otros, han tenido en cuenta que los afectados sean poco numerosos y perfectamente identificables para el levantamiento de la suspensión. </w:t>
      </w:r>
    </w:p>
    <w:p w:rsidR="000B622C" w:rsidRDefault="000B622C" w:rsidP="000B622C">
      <w:pPr>
        <w:pStyle w:val="TextoNormal"/>
      </w:pPr>
      <w:r>
        <w:lastRenderedPageBreak/>
        <w:t xml:space="preserve">Los artículos que regulan los horarios comerciales no producen perjuicios irreparables al interés general del Estado, que se conecta con las bases de la planificación general de la actividad económica. A ello se añade que el hecho insular minimiza o excluye que pueda afectar a la unidad del mercado nacional. Menos aún puede argüirse que la regulación autonómica pueda producir perjuicios irreparables a terceros y que, en cambio, no se producen si la regulación nace del Estado. </w:t>
      </w:r>
    </w:p>
    <w:p w:rsidR="000B622C" w:rsidRDefault="000B622C" w:rsidP="000B622C">
      <w:pPr>
        <w:pStyle w:val="TextoNormal"/>
      </w:pPr>
      <w:r>
        <w:t xml:space="preserve">La prohibición de establecimientos dedicados exclusivamente a la venta de saldos constituye una decisión legítima del legislador autonómico que no produce graves perjuicios ni al interés general ni al de los terceros. Conviene resaltar que la restricción se limita a que la venta de saldos se realice "de forma exclusiva", como necesaria consecuencia de mantener en todo caso que los productos pertenezcan al comerciante al menos seis meses antes. </w:t>
      </w:r>
    </w:p>
    <w:p w:rsidR="000B622C" w:rsidRDefault="000B622C" w:rsidP="000B622C">
      <w:pPr>
        <w:pStyle w:val="TextoNormal"/>
      </w:pPr>
      <w:r>
        <w:t xml:space="preserve">Tampoco puede producir perjuicios irreparables que el art. 28 de la Ley 11/2001 amplíe de uno a dos meses el plazo anterior a los períodos de rebajas en que no pueden realizarse ventas de promoción. Máxime, si la norma estatal (art. 26.1 y Disposición final única de la ley 7/1996) se ha dictado como derecho supletorio y la norma autonómica busca evitar que se autoricen, sin cumplir los requisitos, los períodos de rebajas. </w:t>
      </w:r>
    </w:p>
    <w:p w:rsidR="000B622C" w:rsidRDefault="000B622C" w:rsidP="000B622C">
      <w:pPr>
        <w:pStyle w:val="TextoNormal"/>
      </w:pPr>
      <w:r>
        <w:t xml:space="preserve">En cuanto al art. 35.2, sólo contiene la definición de la venta a pérdida y remitiéndose a lo indicado en relación con los horarios comerciales y con el art. 28, se insiste en que no se causa perjuicio irreparable al interés general o de terceros. </w:t>
      </w:r>
    </w:p>
    <w:p w:rsidR="000B622C" w:rsidRDefault="000B622C" w:rsidP="000B622C">
      <w:pPr>
        <w:pStyle w:val="TextoNormal"/>
      </w:pPr>
      <w:r>
        <w:t xml:space="preserve">Por último, la omisión expresa de la reincidencia en el art. 54.1 no conduce a su inaplicación en el ámbito autonómico, ya que es posible una integración interpretativa de la norma estatal, siendo ésta una cuestión que afecta al aplicador del Derecho. La suspensión de una omisión no resulta posible ya que produciría el efecto positivo de su integración en una ley autonómica sin la imprescindible participación del Parlamento. </w:t>
      </w:r>
    </w:p>
    <w:p w:rsidR="000B622C" w:rsidRDefault="000B622C" w:rsidP="000B622C">
      <w:pPr>
        <w:pStyle w:val="TextoNormal"/>
      </w:pPr>
      <w:r>
        <w:t>Por todo lo expuesto, el representante del Gobierno de la Comunidad Autónoma concluye su escrito solicitando que el Tribunal levante la suspensión de los artículos impugnados de la Ley 11/2001.</w:t>
      </w:r>
    </w:p>
    <w:p w:rsidR="000B622C" w:rsidRDefault="000B622C" w:rsidP="000B622C">
      <w:pPr>
        <w:pStyle w:val="TextoNormal"/>
      </w:pPr>
    </w:p>
    <w:p w:rsidR="000B622C" w:rsidRDefault="000B622C" w:rsidP="000B622C">
      <w:pPr>
        <w:pStyle w:val="TextoNormal"/>
      </w:pPr>
      <w:r w:rsidRPr="000B622C">
        <w:rPr>
          <w:rStyle w:val="NumeroAFNegritaCaracter"/>
        </w:rPr>
        <w:t>9</w:t>
      </w:r>
      <w:r>
        <w:t>. Por providencia de 11 de diciembre de 2001, la Sección Tercera acuerda incorporar a los autos los escritos de alegaciones recibidos del Parlamento y del Gobierno de las Illes Balears y oír al Abogado del Estado y a la representación procesal del Parlamento Balear para que aleguen sobre la petición formulada por la representación procesal del Gobierno de la Comunidad Autónoma de levantamiento de la suspensión de los preceptos recurridos.</w:t>
      </w:r>
    </w:p>
    <w:p w:rsidR="000B622C" w:rsidRDefault="000B622C" w:rsidP="000B622C">
      <w:pPr>
        <w:pStyle w:val="TextoNormal"/>
      </w:pPr>
    </w:p>
    <w:p w:rsidR="000B622C" w:rsidRDefault="000B622C" w:rsidP="000B622C">
      <w:pPr>
        <w:pStyle w:val="TextoNormal"/>
      </w:pPr>
      <w:r w:rsidRPr="000B622C">
        <w:rPr>
          <w:rStyle w:val="NumeroAFNegritaCaracter"/>
        </w:rPr>
        <w:t>10</w:t>
      </w:r>
      <w:r>
        <w:t xml:space="preserve">. El Abogado del Estado presenta, con fecha 21 de diciembre de 2001, sus alegaciones acerca del mantenimiento o levantamiento de la suspensión de los artículos recurridos de la Ley 1/2001. </w:t>
      </w:r>
    </w:p>
    <w:p w:rsidR="000B622C" w:rsidRDefault="000B622C" w:rsidP="000B622C">
      <w:pPr>
        <w:pStyle w:val="TextoNormal"/>
      </w:pPr>
      <w:r>
        <w:t xml:space="preserve">Comienza su alegato señalando que, según la doctrina constitucional acerca de este tipo de incidentes, la decisión que haya de adoptarse deberá tener en cuenta las consecuencias que para los intereses públicos y, en su caso, para los particulares afectados podrían derivarse de una u otra alternativa, estimando como criterio relevante al respecto la irreparabilidad o dificultad de reparación de las situaciones que podrían generarse según el sentido de la decisión. </w:t>
      </w:r>
    </w:p>
    <w:p w:rsidR="000B622C" w:rsidRDefault="000B622C" w:rsidP="000B622C">
      <w:pPr>
        <w:pStyle w:val="TextoNormal"/>
      </w:pPr>
      <w:r>
        <w:t xml:space="preserve">Partiendo de este planteamiento, examina los preceptos recurridos, agrupándolos del modo siguiente: </w:t>
      </w:r>
    </w:p>
    <w:p w:rsidR="000B622C" w:rsidRDefault="000B622C" w:rsidP="000B622C">
      <w:pPr>
        <w:pStyle w:val="TextoNormal"/>
      </w:pPr>
      <w:r>
        <w:lastRenderedPageBreak/>
        <w:t xml:space="preserve">A) El art. 4.2 amplía el concepto de actividad comercial al detalle, incluyendo acuerdos que se encuentran regulados por el régimen jurídico de los servicios financieros propios de las entidades de crédito, como son el pago de intereses y la financiación de bienes y servicios. </w:t>
      </w:r>
    </w:p>
    <w:p w:rsidR="000B622C" w:rsidRDefault="000B622C" w:rsidP="000B622C">
      <w:pPr>
        <w:pStyle w:val="TextoNormal"/>
      </w:pPr>
      <w:r>
        <w:t xml:space="preserve">El levantamiento de la suspensión de este artículo causaría un perjuicio directo y evidente a las Entidades de Crédito que tendrían que someter este tipo de actividades promocionales para captar clientela al régimen jurídico propio del comerciante detallista, existiendo dos normativas, la reguladora de la actividad de las entidades de crédito y la reguladora del comercio minorista. Ello daría lugar a infinidad litigios y conflictos sobre el contenido de las obligaciones de las partes y sus responsabilidades, perturbando tanto la actividad económica, por su incidencia en el sector financiero, como los intereses de las partes contractuales. </w:t>
      </w:r>
    </w:p>
    <w:p w:rsidR="000B622C" w:rsidRDefault="000B622C" w:rsidP="000B622C">
      <w:pPr>
        <w:pStyle w:val="TextoNormal"/>
      </w:pPr>
      <w:r>
        <w:t xml:space="preserve">B) El art. 14.1 prohibe la instalación, ampliación y apertura de los establecimientos comerciales de determinadas dimensiones. </w:t>
      </w:r>
    </w:p>
    <w:p w:rsidR="000B622C" w:rsidRDefault="000B622C" w:rsidP="000B622C">
      <w:pPr>
        <w:pStyle w:val="TextoNormal"/>
      </w:pPr>
      <w:r>
        <w:t xml:space="preserve">La consecuencia inmediata de la aplicación del art. 14.1 sería la imposibilidad de abrir en cualquier punto del territorio balear ningún establecimiento comercial que tenga una superficie superior a 1.300 m2, al margen de las excepciones previstas en el apartado 2 del precepto. Excluido el municipio de Palma de Mallorca, en los sesenta y seis municipios restantes del archipiélago, se impediría la apertura de establecimientos con más de 800 m2. En cincuenta y siete municipios el establecimiento más grande que podría abrirse sería de 600 m2. En cincuenta, de 400 m2. Y en veinticinco, de 240 m2. </w:t>
      </w:r>
    </w:p>
    <w:p w:rsidR="000B622C" w:rsidRDefault="000B622C" w:rsidP="000B622C">
      <w:pPr>
        <w:pStyle w:val="TextoNormal"/>
      </w:pPr>
      <w:r>
        <w:t xml:space="preserve">Así, los comerciantes de Baleares resultarían discriminados en su derecho a poner en marcha establecimientos cuya apertura es libre en el resto de España, aunque en algunas Comunidades pueda estar sometida a una licencia específica. </w:t>
      </w:r>
    </w:p>
    <w:p w:rsidR="000B622C" w:rsidRDefault="000B622C" w:rsidP="000B622C">
      <w:pPr>
        <w:pStyle w:val="TextoNormal"/>
      </w:pPr>
      <w:r>
        <w:t xml:space="preserve">La misma discriminación se extendería al conjunto de la población de la Comunidad, que vería mermado su derecho a poder disponer de nuevos establecimientos comerciales de cierta entidad. Esta situación equivaldría en la práctica a una eliminación de la competencia respecto al comercio ahora establecido, con los efectos correspondientes en la modernización de las estructuras comerciales. </w:t>
      </w:r>
    </w:p>
    <w:p w:rsidR="000B622C" w:rsidRDefault="000B622C" w:rsidP="000B622C">
      <w:pPr>
        <w:pStyle w:val="TextoNormal"/>
      </w:pPr>
      <w:r>
        <w:t xml:space="preserve">El Abogado del Estado aporta también un análisis de los datos del Anuario de la firma de investigación de mercados Nielsen acerca de los precios de venta al público en los establecimientos comerciales y otros extremos, afirmando que las limitaciones expresadas perjudican a los consumidores y a los comerciantes que quieran abrir estos grandes establecimientos, siendo imposible indemnizar en su momento a estos últimos, por ser inidentificables. Todo ello acabaría perjudicando a la economía balear en su conjunto. </w:t>
      </w:r>
    </w:p>
    <w:p w:rsidR="000B622C" w:rsidRDefault="000B622C" w:rsidP="000B622C">
      <w:pPr>
        <w:pStyle w:val="TextoNormal"/>
      </w:pPr>
      <w:r>
        <w:t xml:space="preserve">C) Los arts. 18, 20, 21.1 b) y 22.1, inciso final, que tienen por objeto la regulación de horarios comerciales, reducen el horario establecido por la Ley estatal. Su entrada en vigor supondría una merma considerable en el horario posible de atención al público en los comercios de Baleares. </w:t>
      </w:r>
    </w:p>
    <w:p w:rsidR="000B622C" w:rsidRDefault="000B622C" w:rsidP="000B622C">
      <w:pPr>
        <w:pStyle w:val="TextoNormal"/>
      </w:pPr>
      <w:r>
        <w:t xml:space="preserve">Los perjudicados serían, según el Abogado del Estado, los comerciantes más emprendedores y con mayor interés por prestar servicios a sus clientes, que verían limitadas sus posibilidades en clara discriminación con los comerciantes del resto de España. El perjuicio se extendería a los consumidores presentes en el territorio balear, entre los que se encuentran numerosos turistas. Finalmente, también quedaría afectada la unidad del mercado nacional, siendo clara la contradicción con lo regulado en la normativa básica (72 horas, frente a 90; cierre obligatorio a las 16 horas; jornada máxima de 12 horas, frente a libertad; inhabilidad comercial de domingos y festivos). </w:t>
      </w:r>
    </w:p>
    <w:p w:rsidR="000B622C" w:rsidRDefault="000B622C" w:rsidP="000B622C">
      <w:pPr>
        <w:pStyle w:val="TextoNormal"/>
      </w:pPr>
      <w:r>
        <w:lastRenderedPageBreak/>
        <w:t xml:space="preserve">D) Los arts. 27 a), 28 y 35.2 regulan diversas modalidades de ventas. Su vigencia causaría los perjuicios conectados a la prohibición de realizar determinadas modalidades de comercio y afectarían tanto a los consumidores como a los comerciantes. Los daños son indeterminados y, desde luego, irreparables, pues afectarían a diversos colectivos indeterminados y en grado de intensidad también indeterminado. </w:t>
      </w:r>
    </w:p>
    <w:p w:rsidR="000B622C" w:rsidRDefault="000B622C" w:rsidP="000B622C">
      <w:pPr>
        <w:pStyle w:val="TextoNormal"/>
      </w:pPr>
      <w:r>
        <w:t xml:space="preserve">E) El art. 54.1 no prevé la reincidencia como elemento de graduación de las sanciones. Ello produce daños y perjuicios en relación con la aplicación del ordenamiento jurídico, perjudicándose al interés general. </w:t>
      </w:r>
    </w:p>
    <w:p w:rsidR="000B622C" w:rsidRDefault="000B622C" w:rsidP="000B622C">
      <w:pPr>
        <w:pStyle w:val="TextoNormal"/>
      </w:pPr>
      <w:r>
        <w:t xml:space="preserve">F) El Tribunal se ha pronunciado en el ATC 206/1989 sobre el mantenimiento o levantamiento de la suspensión de la Ley 10/1988, del Parlamento de Galicia, de ordenación del comercio interior de Galicia, lo que constituye un precedente. Para resolver el incidente, el Tribunal distinguió dos tipos de preceptos, los que regulaban los horarios comerciales y los que regulaban las modalidades especiales de ventas. </w:t>
      </w:r>
    </w:p>
    <w:p w:rsidR="000B622C" w:rsidRDefault="000B622C" w:rsidP="000B622C">
      <w:pPr>
        <w:pStyle w:val="TextoNormal"/>
      </w:pPr>
      <w:r>
        <w:t xml:space="preserve">En el primer caso, se acordó el levantamiento de la suspensión, por considerar que por lo menos en dos Comunidades Autónomas existía un régimen de horarios distinto al previsto por el Estado, lo que determinaba que no se produjeran daños irreparables. En el segundo caso se llega a la conclusión contraria, en razón a los perjuicios irreparables que se producirían a los comerciantes. </w:t>
      </w:r>
    </w:p>
    <w:p w:rsidR="000B622C" w:rsidRDefault="000B622C" w:rsidP="000B622C">
      <w:pPr>
        <w:pStyle w:val="TextoNormal"/>
      </w:pPr>
      <w:r>
        <w:t xml:space="preserve">Este criterio, que avala el mantenimiento de la suspensión es aplicable al presente supuesto, incluso para los horarios comerciales, porque, a diferencia de lo que ocurría entonces, en la actualidad los horarios comerciales se encuentran armonizados con las previsiones estatales, de modo que los preceptos impugnados al constituir límites a la actividad comercial, conllevan perjuicios irreparables para los comerciantes afectados. Esta doctrina , en suma, es aplicable al art. 4.2 y al art. 14.1 y, según lo expuesto a los arts. 27, 28 y 35.2 reguladores de distintas modalidades de ventas. </w:t>
      </w:r>
    </w:p>
    <w:p w:rsidR="000B622C" w:rsidRDefault="000B622C" w:rsidP="000B622C">
      <w:pPr>
        <w:pStyle w:val="TextoNormal"/>
      </w:pPr>
      <w:r>
        <w:t>Finalmente, el art. 54.1 debe mantenerse suspendido, en aplicación de la doctrina del ATC 29/1990.</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objeto de esta resolución es determinar, de acuerdo con el art. 161.2 CE, si procede mantener o levantar la suspensión de la vigencia que afecta a diversos artículos de la Ley 11/2001, de 15 de junio, de ordenación de la actividad comercial en las Illes Balears.</w:t>
      </w:r>
    </w:p>
    <w:p w:rsidR="000B622C" w:rsidRDefault="000B622C" w:rsidP="000B622C">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000B622C" w:rsidRDefault="000B622C" w:rsidP="000B622C">
      <w:pPr>
        <w:pStyle w:val="TextoNormal"/>
      </w:pPr>
      <w:r>
        <w:t>El Abogado del Estado expone los perjuicios concretos que se derivarían del levantamiento de la suspensión de los preceptos recurridos agrupando los mismos según su objeto, por lo que cumple ahora a verificar su alcance.</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2</w:t>
      </w:r>
      <w:r>
        <w:t>. El art. 4.2 asimila a la actividad comercial al detalle los obsequios y regalos que se ofertan por las Entidades de Crédito a los usuarios de sus servicios financieros y la financiación para la adquisición de un bien o producto que la propia Entidad Financiera pone a disposición del cliente.</w:t>
      </w:r>
    </w:p>
    <w:p w:rsidR="000B622C" w:rsidRDefault="000B622C" w:rsidP="000B622C">
      <w:pPr>
        <w:pStyle w:val="TextoNormal"/>
      </w:pPr>
      <w:r>
        <w:t>Para el Abogado del Estado la efectiva aplicación de este artículo generaría numerosos conflictos entre las Entidades de Crédito y sus clientes, toda vez que aquéllas quedarían sometidas, en relación con la actividad regulada, a una doble normativa, la reguladora de su actividad como Entidad de Crédito y la de la Ley recurrida, lo cual produciría perjuicios a ambas partes y al sistema financiero.</w:t>
      </w:r>
    </w:p>
    <w:p w:rsidR="000B622C" w:rsidRDefault="000B622C" w:rsidP="000B622C">
      <w:pPr>
        <w:pStyle w:val="TextoNormal"/>
      </w:pPr>
      <w:r>
        <w:t>El representante procesal del Gobierno de la Comunidad Autónoma rechaza la producción de cualquier perjuicio, toda vez que las actividades expresadas encajan con naturalidad en el concepto de actividad comercial al detalle regulada en el art. 4.1.</w:t>
      </w:r>
    </w:p>
    <w:p w:rsidR="000B622C" w:rsidRDefault="000B622C" w:rsidP="000B622C">
      <w:pPr>
        <w:pStyle w:val="TextoNormal"/>
      </w:pPr>
      <w:r>
        <w:t>Con independencia del juicio de fondo que el precepto, al regular estas relaciones entre partes, haya de merecernos, lo cierto es que los perjuicios que el Abogado del Estado anuda a su efectiva aplicación son inconcretos y meramente hipotéticos, puesto que las Entidades Crediticias, en sus relaciones con sus clientes, han de atenerse no sólo a las normas que disciplinan las relaciones de crédito sino también el resto del ordenamiento jurídico, por lo que en principio, desde la perspectiva del objeto de este incidente, ningún inconveniente existe en que hayan de tenerse en cuenta las prescripciones de la ley recurrida, sobre todo cuando el Abogado del Estado, a quien incumbe la carga de justificar los perjuicios que hayan de generarse, no ha expuesto aspectos concretos de la Ley autonómica que, al aplicarse a estas transacciones, colidan con las regulaciones legales del crédito a los mismos efectos. Por ello, la posible afectación expuesta por el representante del Estado no puede prevalecer sobre la presunción de legitimidad de la Ley autonómica, máxime cuando las relaciones que estamos ahora considerando han de estar presididas por la transparencia. Por todo ello, procede levantar la suspensión de este artículo.</w:t>
      </w:r>
    </w:p>
    <w:p w:rsidR="000B622C" w:rsidRDefault="000B622C" w:rsidP="000B622C">
      <w:pPr>
        <w:pStyle w:val="TextoNormal"/>
      </w:pPr>
    </w:p>
    <w:p w:rsidR="000B622C" w:rsidRDefault="000B622C" w:rsidP="000B622C">
      <w:pPr>
        <w:pStyle w:val="TextoNormal"/>
      </w:pPr>
      <w:r w:rsidRPr="000B622C">
        <w:rPr>
          <w:rStyle w:val="NumeroAFNegritaCaracter"/>
        </w:rPr>
        <w:t>3</w:t>
      </w:r>
      <w:r>
        <w:t>. El art. 14.1 establece una correlación entre la superficie de los establecimientos comerciales y el número de habitantes de los municipios del archipiélago balear, prohibiendo la autorización de obras de instalación o ampliación de dichos establecimientos o la autorización de su apertura cuando superen la superficie correspondiente a la población de que se trate.</w:t>
      </w:r>
    </w:p>
    <w:p w:rsidR="000B622C" w:rsidRDefault="000B622C" w:rsidP="000B622C">
      <w:pPr>
        <w:pStyle w:val="TextoNormal"/>
      </w:pPr>
      <w:r>
        <w:t>El Abogado del Estado manifiesta que las superficies autorizadas son menores que las contenidas en la normativa básica estatal, según se detalla en el antecedente 10 B). Así, los comerciantes no podrán abrir grandes establecimientos que, en concreto, no podrán ser superiores a 1.300 m2, lo que les discrimina con relación al resto de España. Los consumidores también experimentarán los correspondientes perjuicios, puesto que los precios ofertados en los grandes establecimientos resultan ventajosos.  Además, la propia competencia se menoscaba, perjudicando a la economía general.</w:t>
      </w:r>
    </w:p>
    <w:p w:rsidR="000B622C" w:rsidRDefault="000B622C" w:rsidP="000B622C">
      <w:pPr>
        <w:pStyle w:val="TextoNormal"/>
      </w:pPr>
      <w:r>
        <w:t>El Letrado del Gobierno de la Comunidad Autónoma niega que la correlación legal entre población municipal y superficie autorizada para los establecimientos comerciales genere perjuicios. Considera, por el contrario, que los perjuicios se producirían si se autorizaran superficies mayores, pues la construcción de establecimientos de tal naturaleza conllevaría efectos negativos vinculados a la necesaria instrumentación de infraestructuras, accesos, aparcamientos, etc., y también lesionaría el tejido local de pequeños comerciantes.</w:t>
      </w:r>
    </w:p>
    <w:p w:rsidR="000B622C" w:rsidRDefault="000B622C" w:rsidP="000B622C">
      <w:pPr>
        <w:pStyle w:val="TextoNormal"/>
      </w:pPr>
      <w:r>
        <w:t xml:space="preserve">En este caso tampoco resultan convincentes los argumentos del Abogado del Estado, pues, como señala implícitamente la representación autonómica, resulta difícil evaluar los </w:t>
      </w:r>
      <w:r>
        <w:lastRenderedPageBreak/>
        <w:t>perjuicios que hayan de sufrir los comerciantes como consecuencia de las limitaciones establecidas, pues es claro que la incidencia, positiva o negativa, no les afectaría a todos por igual. Por el contrario, las consecuencias del mantenimiento de la suspensión han de estimarse más negativas que las del levantamiento de la misma, por sus efectos irreversibles en las infraestructuras complementarias, en el caso de que el examen de fondo nos condujera a una declaración de constitucionalidad del precepto.  Por tanto, dados los intereses en presencia, procede acordar el levantamiento de la suspensión de este precepto.</w:t>
      </w:r>
    </w:p>
    <w:p w:rsidR="000B622C" w:rsidRDefault="000B622C" w:rsidP="000B622C">
      <w:pPr>
        <w:pStyle w:val="TextoNormal"/>
      </w:pPr>
    </w:p>
    <w:p w:rsidR="000B622C" w:rsidRDefault="000B622C" w:rsidP="000B622C">
      <w:pPr>
        <w:pStyle w:val="TextoNormal"/>
      </w:pPr>
      <w:r w:rsidRPr="000B622C">
        <w:rPr>
          <w:rStyle w:val="NumeroAFNegritaCaracter"/>
        </w:rPr>
        <w:t>4</w:t>
      </w:r>
      <w:r>
        <w:t>. Los arts. 18, 20, 21.1 b) y 22.1 contienen la regulación de los horarios comerciales. En ellos se reducen los límites establecidos por la legislación estatal (art. 43 del Real Decreto Ley 6/2000, de 23 de junio) para la jornada diaria, el cómputo semanal y la apertura dominical, según se detalla en el antecedente 10 C).</w:t>
      </w:r>
    </w:p>
    <w:p w:rsidR="000B622C" w:rsidRDefault="000B622C" w:rsidP="000B622C">
      <w:pPr>
        <w:pStyle w:val="TextoNormal"/>
      </w:pPr>
      <w:r>
        <w:t>Para el Abogado del Estado, la regulación impugnada, en caso de aplicarse, perjudicaría notablemente a los comerciantes más emprendedores, que tendrían más limitada su atención al público que en el resto de España, y a los consumidores, que perderían las ventajas propias de un mayor tiempo de apertura. El Abogado del Estado aduce, en apoyo del mantenimiento de la suspensión, el ATC 206/1989, recaído en esta materia.</w:t>
      </w:r>
    </w:p>
    <w:p w:rsidR="000B622C" w:rsidRDefault="000B622C" w:rsidP="000B622C">
      <w:pPr>
        <w:pStyle w:val="TextoNormal"/>
      </w:pPr>
      <w:r>
        <w:t>Para el Letrado de la Comunidad Autónoma, no se deben producir perjuicios por la diferente regulación de estos horarios, especialmente si se considera que el hecho insular minimiza o excluye que quede afectada la unidad del mercado nacional.</w:t>
      </w:r>
    </w:p>
    <w:p w:rsidR="000B622C" w:rsidRDefault="000B622C" w:rsidP="000B622C">
      <w:pPr>
        <w:pStyle w:val="TextoNormal"/>
      </w:pPr>
      <w:r>
        <w:t>Los perjuicios que el Abogado del Estado conecta al levantamiento de la suspensión de estos artículos, que reducen los márgenes de horarios contenidos en la normativa estatal, carecen de la entidad suficiente para prosperar a los exclusivos efectos de este incidente. El criterio contenido en el ATC 206/1989, que nos llevó al levantamiento de la suspensión en este punto de la Ley 10/1988, de 20 de julio, de comercio interior de Galicia, se sustentaba en que las restricciones de horarios contenidas en dicha Ley en relación con lo regulado en la normativa estatal, no constituían una excepción en el territorio nacional, puesto que la legislación de otras Comunidades Autónomas tampoco se ajustaba a aquélla</w:t>
      </w:r>
    </w:p>
    <w:p w:rsidR="000B622C" w:rsidRDefault="000B622C" w:rsidP="000B622C">
      <w:pPr>
        <w:pStyle w:val="TextoNormal"/>
      </w:pPr>
      <w:r>
        <w:t>Pues bien, ahora hemos de llegar a la misma conclusión, pues esa posible diferenciación se prevé en la normativa estatal, lo cual, insistiendo de nuevo en la idea de que lo que ahora resolvemos no implica ninguna predeterminación del fallo que emitamos sobre el fondo, nos exime de examinar las normas de las distintas Comunidades Autónomas.</w:t>
      </w:r>
    </w:p>
    <w:p w:rsidR="000B622C" w:rsidRDefault="000B622C" w:rsidP="000B622C">
      <w:pPr>
        <w:pStyle w:val="TextoNormal"/>
      </w:pPr>
      <w:r>
        <w:t>En efecto, el art. 43 del Real Decreto-Ley 6/2000, que ha sido objeto de varios recursos de inconstitucionalidad, ya admitidos a trámite, establece una regulación de horarios sustentada en topes mínimos que, como reconoce el Letrado de la Comunidad Autónoma, no es respetada por la Ley recurrida. En ese marco general, según el citado art.  43, apartado 2, corresponde a las Comunidades Autónomas la regulación de los horarios para la apertura y cierre de los establecimientos. Sin embargo, el propio art.  43, apartado 4, dispone que "en defecto de disposiciones autonómicas sobre las materias reguladas en este artículo, será de aplicación lo dispuesto en el art. 2 de la ley Orgánica 2/1996, de 15 de enero, complementaria de la de Ordenación del Comercio Minorista". Pues bien, el art. 2 de la Ley Orgánica 2/1996 dispone, a su vez, que "cada comerciante determinará, con plena libertad y sin limitación legal alguna en todo el territorio del Estado, el horario de apertura y cierre de sus establecimientos comerciales de venta y distribución de mercancías, así como los días festivos o no, y el número de horas diarias o semanales en los que desarrollará su actividad".  Por tanto, si el propio legislador estatal no ha considerado gravoso o perjudicial para los intereses generales conectados a la materia regulada que, en defecto de legislación autonómica, puedan los mismos comerciantes determinar, "con plena libertad y sin limita</w:t>
      </w:r>
      <w:r>
        <w:lastRenderedPageBreak/>
        <w:t>ción alguna" sus propios horarios, con las consiguientes diferencias en el seno, incluso, de una misma Comunidad, es claro que no puede prosperar el criterio de que resultan gravemente afectados los intereses generales por la aplicación de la norma autonómica, así como que los intereses particulares de comerciantes y usuarios no pueden prevalecer sobre los vinculados a los intereses propios de la Ley autonómica y a su presunción de legitimidad. Por todo lo cual, la suspensión de este bloque de artículos debe ser levantada.</w:t>
      </w:r>
    </w:p>
    <w:p w:rsidR="000B622C" w:rsidRDefault="000B622C" w:rsidP="000B622C">
      <w:pPr>
        <w:pStyle w:val="TextoNormal"/>
      </w:pPr>
    </w:p>
    <w:p w:rsidR="000B622C" w:rsidRDefault="000B622C" w:rsidP="000B622C">
      <w:pPr>
        <w:pStyle w:val="TextoNormal"/>
      </w:pPr>
      <w:r w:rsidRPr="000B622C">
        <w:rPr>
          <w:rStyle w:val="NumeroAFNegritaCaracter"/>
        </w:rPr>
        <w:t>5</w:t>
      </w:r>
      <w:r>
        <w:t>. Los arts. 27, 28 y 35.2 regulan diversas modalidades de ventas. En concreto, el art. 27 a) prohibe los establecimientos comerciales dedicados de forma exclusiva a la venta de saldos. El art.  28 prohibe la promoción de cualquier tipo de ventas durante los dos meses anteriores a los períodos autorizados para la venta en rebajas. Por último, el art. 35.2 define la venta a pérdida, delimitando su alcance.</w:t>
      </w:r>
    </w:p>
    <w:p w:rsidR="000B622C" w:rsidRDefault="000B622C" w:rsidP="000B622C">
      <w:pPr>
        <w:pStyle w:val="TextoNormal"/>
      </w:pPr>
      <w:r>
        <w:t>Para el Abogado del Estado, la vigencia de estos preceptos supone la prohibición de realizar determinadas modalidades de comercio, lo que perjudica notablemente a comerciantes y consumidores. Para la representación autonómica no se producen perjuicios irreparables por la efectiva aplicación de los mismos.</w:t>
      </w:r>
    </w:p>
    <w:p w:rsidR="000B622C" w:rsidRDefault="000B622C" w:rsidP="000B622C">
      <w:pPr>
        <w:pStyle w:val="TextoNormal"/>
      </w:pPr>
      <w:r>
        <w:t>En este punto, debemos atenernos a nuestra doctrina, según la cual "las restricciones que se establecen a las modalidades de venta en los citados preceptos pueden suponer perjuicios indudables a los comerciantes, que serían de imposible o muy difícil reparación de no procederse al mantenimiento de la suspensión solicitada" (ATC 206/1989, de 18 de abril, FJ 2), y, en concordancia con lo también resuelto en relación con un precepto regulador de la venta en rebajas en el ATC 428/1987, de 2 de abril, debemos mantener la suspensión de la vigencia de estos artículos.</w:t>
      </w:r>
    </w:p>
    <w:p w:rsidR="000B622C" w:rsidRDefault="000B622C" w:rsidP="000B622C">
      <w:pPr>
        <w:pStyle w:val="TextoNormal"/>
      </w:pPr>
    </w:p>
    <w:p w:rsidR="000B622C" w:rsidRDefault="000B622C" w:rsidP="000B622C">
      <w:pPr>
        <w:pStyle w:val="TextoNormal"/>
      </w:pPr>
      <w:r w:rsidRPr="000B622C">
        <w:rPr>
          <w:rStyle w:val="NumeroAFNegritaCaracter"/>
        </w:rPr>
        <w:t>6</w:t>
      </w:r>
      <w:r>
        <w:t>. Cumple examinar, por último, el art. 54.1 que se impugna por no prever la reincidencia como elemento de graduación de las sanciones, con lo que, según el Abogado del Estado, se perjudica al interés general relativo a la aplicación del ordenamiento jurídico, citando en su apoyo el ATC 29/1990.</w:t>
      </w:r>
    </w:p>
    <w:p w:rsidR="000B622C" w:rsidRDefault="000B622C" w:rsidP="000B622C">
      <w:pPr>
        <w:pStyle w:val="TextoNormal"/>
      </w:pPr>
      <w:r>
        <w:t>Constatando que el ATC 29/1990 no resulta de aplicación a este caso, pues en el mismo se analiza un supuesto de reducción por la normativa autonómica de las sanciones reguladas en la normativa estatal, en este supuesto se impugna una omisión, que, al margen de no ser susceptible de ser suspendida, no justificaría la decisión de mantenimiento de la suspensión del precepto al que se atribuye la omisión, pues incluye diversas causas de graduación de las sanciones que no han merecido reproche de constitucionalidad.</w:t>
      </w:r>
    </w:p>
    <w:p w:rsidR="000B622C" w:rsidRDefault="000B622C" w:rsidP="000B622C">
      <w:pPr>
        <w:pStyle w:val="TextoNormal"/>
      </w:pPr>
    </w:p>
    <w:p w:rsidR="000B622C" w:rsidRDefault="000B622C" w:rsidP="000B622C">
      <w:pPr>
        <w:pStyle w:val="TextoNormal"/>
      </w:pPr>
      <w:r>
        <w:t>Por todo lo expuesto, el Pleno del tribunal</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Levantar la suspensión de los arts. 4.2; 14.1; 18; 20; 21.1 b); 22.1, inciso final y 54.1¸y mantener la de los arts. 27 a), 28 y 35.2 de la Ley 11/2001, de 15 de junio, de ordenación de la actividad comercial en las Illes Balears.</w:t>
      </w:r>
    </w:p>
    <w:p w:rsidR="000B622C" w:rsidRDefault="000B622C" w:rsidP="000B622C">
      <w:pPr>
        <w:pStyle w:val="TextoNormal"/>
      </w:pPr>
    </w:p>
    <w:p w:rsidR="000B622C" w:rsidRDefault="000B622C" w:rsidP="000B622C">
      <w:pPr>
        <w:pStyle w:val="TextoNormal"/>
      </w:pPr>
      <w:r>
        <w:t>Madrid, a doce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22" w:name="AUTO_2002_21"/>
      <w:r>
        <w:lastRenderedPageBreak/>
        <w:t>AUTO 21/2002, de 25 de febrero de 2002</w:t>
      </w:r>
    </w:p>
    <w:bookmarkEnd w:id="122"/>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ECLI:ES:TC:2002:21A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Deniega la suspensión en el recurso de amparo 4834-2000, interpuesto por don Juan Sánchez Mancebo y otra</w:t>
      </w:r>
    </w:p>
    <w:p w:rsidR="000B622C" w:rsidRDefault="000B622C" w:rsidP="000B622C">
      <w:pPr>
        <w:pStyle w:val="SntesisDescriptiva"/>
      </w:pPr>
    </w:p>
    <w:p w:rsidR="000B622C" w:rsidRDefault="000B622C" w:rsidP="000B622C">
      <w:pPr>
        <w:pStyle w:val="SntesisAnaltica"/>
      </w:pPr>
      <w:r>
        <w:t>Suspensión cautelar de resoluciones civiles: acogimiento de menores revocado, no suspende; medidas judiciales. En general; interés de los menores. Familia: convivencia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Registro General de este Tribunal el día 8 de septiembre de 2000 doña María Rodríguez Puyol, Procuradora de los Triburepresentación de don Juan Sánchez Mancebo y de doña Josefa Rivas Gómez, interpuso recurso de amparo contra el Auto de la Sección Sexta de la Audiencia Provincial de Sevilla, de 5 de junio de 2000, por el que se denegó la personación de los demandantes de amparo en el rollo de apelación núm. 3044/99, dimanante de los autos acumulados de acogimiento núm. 878/97 y de oposición al desamparo núm. 408/97, procedentes del Juzgado de Primera Instancia núm. 7 de Sevilla, así como contra el Auto de la referida Sección de 11 de julio de 2000, por el que se inadmitió a trámite el recurso de suplica promovido contra el anterior Auto de 5 de junio de 2000.</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 demanda de amparo trae causa, en síntesis, de los siguientes hechos: </w:t>
      </w:r>
    </w:p>
    <w:p w:rsidR="000B622C" w:rsidRDefault="000B622C" w:rsidP="000B622C">
      <w:pPr>
        <w:pStyle w:val="TextoNormal"/>
      </w:pPr>
      <w:r>
        <w:t xml:space="preserve">a) Por resolución de la Consejería de Asuntos Sociales de la Junta de Andalucía, de 12 de noviembre de 1996, se declaró en situación de desamparo a dos menores hermanos, acordando su ingreso en una residencia de acogida (arts. 172.1 y 3 Cc.; arts. 18 y 20 Ley Orgánica 1/1996, de 15 de enero, de Protección Jurídica al Menor). Por nueva resolución de 2 de junio de 1997 se ratificó la situación de desamparo de los menores y se acordó la constitución de un acogimiento familiar preadoptivo, siendo designados a tales efectos los ahora demandantes de amparo, a quienes se les hizo entrega de los menores en esas mismas fechas. </w:t>
      </w:r>
    </w:p>
    <w:p w:rsidR="000B622C" w:rsidRDefault="000B622C" w:rsidP="000B622C">
      <w:pPr>
        <w:pStyle w:val="TextoNormal"/>
      </w:pPr>
      <w:r>
        <w:t xml:space="preserve">Formalizado el pertinente convenio de acogida preadoptiva (arts. 173.2 y 173 bis 3 Cc.) e iniciados los trámites judiciales para su constitución (art. 1828 LEC), se formaron los autos núm. 878/97, instruidos por el Juzgado de Primera Instancia núm. 6 de Sevilla. </w:t>
      </w:r>
    </w:p>
    <w:p w:rsidR="000B622C" w:rsidRDefault="000B622C" w:rsidP="000B622C">
      <w:pPr>
        <w:pStyle w:val="TextoNormal"/>
      </w:pPr>
      <w:r>
        <w:t xml:space="preserve">b) Doña Carmen Fernández Fernández, madre biológica de los menores y con quien éstos convivieron hasta la fecha de declaración de desamparo, se opuso a dicha declaración, </w:t>
      </w:r>
      <w:r>
        <w:lastRenderedPageBreak/>
        <w:t xml:space="preserve">iniciándose también el correspondiente procedimiento de jurisdicción voluntaria (art. 1827 LEC) ante el Juzgado de Primera Instancia núm. 7 de Sevilla con el núm. 408/97. </w:t>
      </w:r>
    </w:p>
    <w:p w:rsidR="000B622C" w:rsidRDefault="000B622C" w:rsidP="000B622C">
      <w:pPr>
        <w:pStyle w:val="TextoNormal"/>
      </w:pPr>
      <w:r>
        <w:t xml:space="preserve">c) El Juzgado de Primera Instancia núm. 7 de Sevilla, por Auto de 20 de enero de 1998, acordó acumular los autos de acogimiento (núm. 878/97) a los de oposición a la declaración de desamparo (núm. 408/97), dictando Sentencia, de fecha 8 de septiembre de 1998, en la que declaró no haber lugar a la oposición formulada al desamparo y acordó continuar la constitución del acogimiento familiar preadoptivo en las personas de los ahora demandantes de amparo. </w:t>
      </w:r>
    </w:p>
    <w:p w:rsidR="000B622C" w:rsidRDefault="000B622C" w:rsidP="000B622C">
      <w:pPr>
        <w:pStyle w:val="TextoNormal"/>
      </w:pPr>
      <w:r>
        <w:t xml:space="preserve">d) Doña Carmen Fernández Fernández interpuso recurso de apelación contra la anterior Sentencia, cuyo conocimiento correspondió a la Sección Sexta de la Audiencia Provincial de Sevilla. </w:t>
      </w:r>
    </w:p>
    <w:p w:rsidR="000B622C" w:rsidRDefault="000B622C" w:rsidP="000B622C">
      <w:pPr>
        <w:pStyle w:val="TextoNormal"/>
      </w:pPr>
      <w:r>
        <w:t xml:space="preserve">e) Los ahora demandantes de amparo, mediante escrito de fecha 10 de abril de 2000, interesaron, una vez iniciada la tramitación del recurso, su personación en el rollo de apelación en su condición de familia de acogida preadoptiva. </w:t>
      </w:r>
    </w:p>
    <w:p w:rsidR="000B622C" w:rsidRDefault="000B622C" w:rsidP="000B622C">
      <w:pPr>
        <w:pStyle w:val="TextoNormal"/>
      </w:pPr>
      <w:r>
        <w:t xml:space="preserve">La Sección Sexta de la Audiencia Provincial de Sevilla, por Auto de 5 de junio de 2000, denegó la personación de los demandantes de amparo por carecer de legitimación "dada la fase del procedimiento", "porque los intereses de los menores se encuentran atendidos por el Mº Fiscal y por la Administración" y "porque la reserva y confidencialidad que establece la ley quedarían violentadas mediante la referida personación, que carece de todo sentido" (Fundamento de Derecho 2º). </w:t>
      </w:r>
    </w:p>
    <w:p w:rsidR="000B622C" w:rsidRDefault="000B622C" w:rsidP="000B622C">
      <w:pPr>
        <w:pStyle w:val="TextoNormal"/>
      </w:pPr>
      <w:r>
        <w:t xml:space="preserve">f) Los ahora demandantes de amparo interpusieron recurso de súplica contra el anterior Auto, que fue inadmitido por Auto de la Sección Sexta de la Audiencia Provincial de Sevilla, de 11 de julio de 2000, al entender la Sala que, "no habiéndosele admitido a trámite su personación" mediante el Auto recurrido, "no procede la tramitación del recurso de súplica que se interpone contra la misma". </w:t>
      </w:r>
    </w:p>
    <w:p w:rsidR="000B622C" w:rsidRDefault="000B622C" w:rsidP="000B622C">
      <w:pPr>
        <w:pStyle w:val="TextoNormal"/>
      </w:pPr>
      <w:r>
        <w:t>g) La Sección Sexta de la Audiencia Provincial de Sevilla dictó Sentencia en fecha 12 de junio de 2000, en la que estimó el recurso de apelación interpuesto por doña Carmen Fernández Fernández y, en consecuencia, declaró la inexistencia de situación legal de desamparo, dejó sin efecto el acogimiento familiar preadoptivo constituido a favor de los demandantes de amparo y ordenó que los menores fueran devueltos y colocados bajo la guarda y custodia de su madre biológica, recuperando ésta así su patria potestad, lo que se debería de llevar a cabo de inmediato.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cuanto a la fundamentación jurídica de la demanda de amparo se invoca en ésta, frente a los Autos de la Sección Sexta de la Audiencia Provincial de Sevilla, de 5 de junio y 11 de julio de 2000, la vulneración del derecho a la tutela judicial efectiva sin que, en ningún caso, pueda producirse indefensión (art. 24.1 CE). </w:t>
      </w:r>
    </w:p>
    <w:p w:rsidR="000B622C" w:rsidRDefault="000B622C" w:rsidP="000B622C">
      <w:pPr>
        <w:pStyle w:val="TextoNormal"/>
      </w:pPr>
      <w:r>
        <w:t xml:space="preserve">Los demandantes de amparo aducen, en primer término, que la denegación, que califican de infundada, de su solicitud de personación en el recurso de apelación lesiona el derecho fundamental invocado, en su manifestación de derecho de acceso al proceso, rebatiendo en este extremo las razones en las que el órgano judicial basó su decisión. Asimismo entienden que la inadmisión del recurso de súplica interpuesto contra el Auto de 5 de junio de 2000 constituye una segunda infracción del mencionado derecho fundamental, en su vertiente de derecho de acceso a los recursos. </w:t>
      </w:r>
    </w:p>
    <w:p w:rsidR="000B622C" w:rsidRDefault="000B622C" w:rsidP="000B622C">
      <w:pPr>
        <w:pStyle w:val="TextoNormal"/>
      </w:pPr>
      <w:r>
        <w:t>Concluyen el escrito de demanda de amparo suplicando del Tribunal Constitucional que, tras los trámites legales pertinentes, dicte Sentencia en la que se otorgue el amparo solicitado, se declare la nulidad de los Autos recurridos de 5 de junio y 11 de julio de 2000, así como la de todo lo actuado en el procedimiento a partir del primero de los men</w:t>
      </w:r>
      <w:r>
        <w:lastRenderedPageBreak/>
        <w:t>cionados Autos. Mediante otrosí, de acuerdo con lo previsto en el art. 56.1 LOTC, interesan la suspensión de la ejecución de la Sentencia de la Sección Sexta de la Audiencia Provincial de Sevilla de 12 de junio de 2000, dado que su inminente ejecución haría perder la finalidad al recurso de amparo.</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La Sección Tercera, por providencia de 22 de marzo de 2001, acordó dirigir atentas comunicaciones a la Audiencia Provincial de Sevilla y al Juzgado de Primera Instancia núm. 7 de dicha ciudad a fin de que, a la mayor brevedad posible, remitieran, respectivamente, certificación o fotocopia adverada de las actuaciones correspondientes al rollo de apelación núm. 3044/99 y a los autos acumulados núms. 408/97 y 878/97. </w:t>
      </w:r>
    </w:p>
    <w:p w:rsidR="000B622C" w:rsidRDefault="000B622C" w:rsidP="000B622C">
      <w:pPr>
        <w:pStyle w:val="TextoNormal"/>
      </w:pPr>
      <w:r>
        <w:t xml:space="preserve">La Sección, por providencia de 14 de julio de 2001, acordó dar vista de las actuaciones recibidas al Ministerio Fiscal y a la parte recurrente, por plazo común de diez días, para que formulasen las alegaciones que estimaren pertinentes en relación con la posible carencia manifiesta de contenido constitucional de la demanda de amparo [(art. 50.1 c) LOTC]. </w:t>
      </w:r>
    </w:p>
    <w:p w:rsidR="000B622C" w:rsidRDefault="000B622C" w:rsidP="000B622C">
      <w:pPr>
        <w:pStyle w:val="TextoNormal"/>
      </w:pPr>
      <w:r>
        <w:t>Evacuado el trámite de alegaciones conferido, la Sala Segunda del Tribunal Constitucional, por providencia de 19 de octubre de 2001, acordó admitir a trámite la demanda de amparo, así como, en aplicación del art. 51 LOTC, obrando ya en la Sala las actuaciones correspondientes al rollo de apelación núm. 3044/99 y a los autos acumulados núms. 408/97 y 878/97, dirigir atentas comunicaciones a la Sección Sexta de la Audiencia Provincial de Sevilla, al objeto de poner en su conocimiento la admisión del recurso de amparo, y al Juzgado de Primera Instancia núm. 7 de Sevilla, a fin de que, en plazo que no excediera de diez días, emplazase a quienes hubieran sido parte en el procedimiento, a excepción de los demandantes de amparo, para que pudieran comparecer, si lo deseasen, en el plazo de diez días, en el presente proceso de amparo.</w:t>
      </w:r>
    </w:p>
    <w:p w:rsidR="000B622C" w:rsidRDefault="000B622C" w:rsidP="000B622C">
      <w:pPr>
        <w:pStyle w:val="TextoNormal"/>
      </w:pPr>
    </w:p>
    <w:p w:rsidR="000B622C" w:rsidRDefault="000B622C" w:rsidP="000B622C">
      <w:pPr>
        <w:pStyle w:val="TextoNormal"/>
      </w:pPr>
      <w:r w:rsidRPr="000B622C">
        <w:rPr>
          <w:rStyle w:val="NumeroAFNegritaCaracter"/>
        </w:rPr>
        <w:t>5</w:t>
      </w:r>
      <w:r>
        <w:t>. La Sala Segunda del Tribunal Constitucional, por providencia de 29 de octubre de 2001, acordó formar la oportuna pieza para la tramitación del incidente de suspensión y, de conformidad con lo dispuesto en el art. 56 LOTC, conceder un plazo común de tres días a la parte recurrente y al Ministerio Fiscal para que alegasen lo que tuvieran por conveniente sobre la suspensión solicitada.</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La representación procesal de los demandantes de amparo evacuó el trámite de alegaciones conferido mediante escrito presentado en el Registro General de este Tribunal el día 10 de noviembre de 2001, que, a continuación, sucintamente, se extracta: </w:t>
      </w:r>
    </w:p>
    <w:p w:rsidR="000B622C" w:rsidRDefault="000B622C" w:rsidP="000B622C">
      <w:pPr>
        <w:pStyle w:val="TextoNormal"/>
      </w:pPr>
      <w:r>
        <w:t xml:space="preserve">Argumenta al respecto que la Sentencia de la Sección Sexta de la Audiencia Provincial se ha dictado una vez denegada la personación de los demandantes de amparo y, por lo tanto, sin poder haber intervenido éstos en el procedimiento, de modo que, en caso de estimarse el recurso de amparo, deberían retrotraerse las actuaciones al momento en que se les causó a los recurrentes en amparo la indefensión denunciada, con la consiguiente declaración de nulidad de aquella Sentencia. </w:t>
      </w:r>
    </w:p>
    <w:p w:rsidR="000B622C" w:rsidRDefault="000B622C" w:rsidP="000B622C">
      <w:pPr>
        <w:pStyle w:val="TextoNormal"/>
      </w:pPr>
      <w:r>
        <w:t xml:space="preserve">Así pues, de continuar la tramitación del procedimiento se produciría la devolución de los menores a doña Carmen Fernández Fernández, con lo que el recurso de amparo que se tramita ya no tendría sentido, pues el daño estaría hecho y, en caso de otorgarse el amparo, ¿qué hacemos?, ¿devolvemos otra vez los niños a sus padres adoptivos mientras se tramita de nuevo el procedimiento de apelación?. En este caso lo que se dilucida es la vida de personas, por lo que hay que ser muy cauteloso para no generar daños irreversibles, ponderando los intereses en conflicto. </w:t>
      </w:r>
    </w:p>
    <w:p w:rsidR="000B622C" w:rsidRDefault="000B622C" w:rsidP="000B622C">
      <w:pPr>
        <w:pStyle w:val="TextoNormal"/>
      </w:pPr>
      <w:r>
        <w:lastRenderedPageBreak/>
        <w:t xml:space="preserve">Tras reproducir los AATC 97/1998, de 20 de abril, 6/1997 de 13 de enero, 99/1998, de 20 de abril y 38/1997, de 10 de febrero, la representación procesal de los demandantes de amparo considera que la doctrina recogida en el primero de los mencionados Autos resulta totalmente aplicable a este supuesto, pues concurren los requisitos en el mismo exigidos para acceder a la suspensión de la ejecución, dado que la ejecución de la Sentencia de la Sección Sexta de la Audiencia Provincial de Sevilla les ocasionaría a los solicitantes de amparo un perjuicio que haría perder la finalidad del recurso, ya que aquella Sentencia ordena la devolución de los menores a su madre biológica. Es más, no sólo el perjuicio se les ocasionaría a los recurrentes en amparo, sino también, lo que es más grave aún, a los niños, que son los terceros en juego cuyos intereses se verían afectados al sufrir un cambio de custodia y vida. A raíz de la transcripción del segundo de los Autos mencionados afirma que, si se devuelven los niños a doña Carmen Fernández Fernández y posteriormente se estima el recurso de amparo, los años vividos por los niños en la familia preadoptiva no serán reparables, ni indemnizables, para añadir, a continuación, que en este caso se encuentra afectado el art. 15 CE y que en el procedimiento a quo se está tramitando un incidente de ejecución, cuyo estado describe para insistir nuevamente en el carácter irreparable que tendría la devolución de los menores a su madre biológica. </w:t>
      </w:r>
    </w:p>
    <w:p w:rsidR="000B622C" w:rsidRDefault="000B622C" w:rsidP="000B622C">
      <w:pPr>
        <w:pStyle w:val="TextoNormal"/>
      </w:pPr>
      <w:r>
        <w:t>Concluye su escrito, solicitando del Tribunal Constitucional la suspensión de la ejecución de la Sentencia de la Sección Sexta de la Audiencia Provincial de Sevilla de 12 de junio de 2000.</w:t>
      </w:r>
    </w:p>
    <w:p w:rsidR="000B622C" w:rsidRDefault="000B622C" w:rsidP="000B622C">
      <w:pPr>
        <w:pStyle w:val="TextoNormal"/>
      </w:pPr>
    </w:p>
    <w:p w:rsidR="000B622C" w:rsidRDefault="000B622C" w:rsidP="000B622C">
      <w:pPr>
        <w:pStyle w:val="TextoNormal"/>
      </w:pPr>
      <w:r w:rsidRPr="000B622C">
        <w:rPr>
          <w:rStyle w:val="NumeroAFNegritaCaracter"/>
        </w:rPr>
        <w:t>7</w:t>
      </w:r>
      <w:r>
        <w:t xml:space="preserve">. El Ministerio Fiscal evacuó el trámite de alegaciones conferido mediante escrito presentado en el Registro General de este Tribunal el día 19 de noviembre de 2001, en el que interesó la suspensión de la ejecución de la resolución recurrida en amparo. </w:t>
      </w:r>
    </w:p>
    <w:p w:rsidR="000B622C" w:rsidRDefault="000B622C" w:rsidP="000B622C">
      <w:pPr>
        <w:pStyle w:val="TextoNormal"/>
      </w:pPr>
      <w:r>
        <w:t xml:space="preserve">Tras reproducir la doctrina recogida en el ATC 161/1999, de 14 de junio, sobre los criterios que deben de operar en la solución del incidente de ejecución del art. 56 LOTC, el Ministerio Fiscal alega que en el presente caso los recurrentes en amparo son unos acogedores preadoptivos que invocan, a favor de la suspensión solicitada, los perjuicios que la ejecución de la Sentencia de la Sección Sexta de la Audiencia Provincial de Sevilla, de 12 de junio de 2000, podría acarrear a los derechos de los acogidos, lo que, en su opinión, constituye un interés protegible jurídicamente que puede ser aducido en el proceso por los acogedores, ya que su status jurídico es, cuando menos, semejante al de un guardador y, estando uno y otro obligados a cuidar de los acogidos como si de hijos se tratase (art. 173 Cc.), deben velar por los derechos de éstos y pedir ante los Tribunales su protección, con independencia de la actuación del verdadero representante legal de tales niños, que en este supuesto es la entidad pública que los declaró en situación de desamparo (art. 172 Cc.). Tal invocación la pueden realizar, además, en propio nombre, porque el interés de los acogidos en continuar con los acogedores es el envés del que tienen éstos en permanecer con aquéllos. </w:t>
      </w:r>
    </w:p>
    <w:p w:rsidR="000B622C" w:rsidRDefault="000B622C" w:rsidP="000B622C">
      <w:pPr>
        <w:pStyle w:val="TextoNormal"/>
      </w:pPr>
      <w:r>
        <w:t xml:space="preserve">El peligro que se deriva de la ejecución de la Sentencia para los niños y, por ende, para los propios acogedores, radica en que, siendo aquéllos obligados a volver con quienes por su comportamiento, con independencia del reproche que pudieran merecer, dieron lugar a la separación inherente a la situación de desamparo en la que colocaron a sus hijos, se les volverá a colocar en situación de riesgo para su desarrollo, no tanto por el juicio de pronóstico negativo que pueda hacerse sobre el cumplimiento de sus obligaciones respecto a sus hijos en el futuro basado en el incumplimiento que observaron en el pasado, cuanto por obligar a éstos a vivir de nuevo con quienes no cumplieron con los más elementales de </w:t>
      </w:r>
      <w:r>
        <w:lastRenderedPageBreak/>
        <w:t xml:space="preserve">tales deberes, lo que impedirá el armónico crecimiento y desarrollo de los mismos en el seno de una familia. </w:t>
      </w:r>
    </w:p>
    <w:p w:rsidR="000B622C" w:rsidRDefault="000B622C" w:rsidP="000B622C">
      <w:pPr>
        <w:pStyle w:val="TextoNormal"/>
      </w:pPr>
      <w:r>
        <w:t>Tales intereses de los niños, elevados a categoría de derechos por la Convención sobre Derechos del Niño adoptada por la Asamblea General de las Naciones Unidas en fecha 20 de noviembre de 1989 (art. 6, 9, 19 y 27), ratificada por España en fecha 30 de noviembre de 1990, deben considerarse que forman parte del contenido del derecho a la integridad física y moral (art. 15 CE), por lo que el riesgo de vulneración del mismo que comporta la ejecución de la Sentencia es motivo suficiente para acordar su suspensión, ya que, en otro caso, la concesión del amparo que se solicita podría carecer de efectividad, pues, si se produjera una modificación del sentido del fallo como consecuencia de la intervención de los acogedores en el proceso y se mantuviera la situación de desamparo y el acogimiento preadoptivo acordado, los niños deberían nuevamente volver con los acogedores, por lo que sus derechos a crecer y educarse en compañía de las personas obligadas a proporcionarles los cuidados que los mismos necesitan resultarían vulnerados, dado que serían obligados a vivir mientras se resuelve el recurso de amparo con quienes han demostrado con su comportamiento el incumplimiento de tales obligaciones, lo que obviamente no constituye el medio ideal para el desenvolvimiento de los acogidos.</w:t>
      </w:r>
    </w:p>
    <w:p w:rsidR="000B622C" w:rsidRDefault="000B622C" w:rsidP="000B622C">
      <w:pPr>
        <w:pStyle w:val="TextoNormal"/>
      </w:pPr>
    </w:p>
    <w:p w:rsidR="000B622C" w:rsidRDefault="000B622C" w:rsidP="000B622C">
      <w:pPr>
        <w:pStyle w:val="TextoNormal"/>
      </w:pPr>
      <w:r w:rsidRPr="000B622C">
        <w:rPr>
          <w:rStyle w:val="NumeroAFNegritaCaracter"/>
        </w:rPr>
        <w:t>8</w:t>
      </w:r>
      <w:r>
        <w:t>. Por diligencia de ordenación de la Secretaría de la Sala Segunda del Tribunal Constitucional, de 24 de enero de 2002, se acordó, en lo que a esta pieza de suspensión interesa, librar atenta comunicación, vía fax, al Juzgado de Primera Instancia núm. 7 de Sevilla a fin de que, a la mayor brevedad posible, remitiera certificación o fotocopia adverada de las actuaciones que se hubieran practicado en los autos núms. 408/97 y 878/97 a partir de la providencia de 23 de mayo de 2001.</w:t>
      </w:r>
    </w:p>
    <w:p w:rsidR="000B622C" w:rsidRDefault="000B622C" w:rsidP="000B622C">
      <w:pPr>
        <w:pStyle w:val="TextoNormal"/>
      </w:pPr>
    </w:p>
    <w:p w:rsidR="000B622C" w:rsidRDefault="000B622C" w:rsidP="000B622C">
      <w:pPr>
        <w:pStyle w:val="TextoNormal"/>
      </w:pPr>
      <w:r w:rsidRPr="000B622C">
        <w:rPr>
          <w:rStyle w:val="NumeroAFNegritaCaracter"/>
        </w:rPr>
        <w:t>9</w:t>
      </w:r>
      <w:r>
        <w:t xml:space="preserve">. A los efectos de esta pieza de suspensión, deben destacarse de las actuaciones judiciales remitidas los siguientes extremos: </w:t>
      </w:r>
    </w:p>
    <w:p w:rsidR="000B622C" w:rsidRDefault="000B622C" w:rsidP="000B622C">
      <w:pPr>
        <w:pStyle w:val="TextoNormal"/>
      </w:pPr>
      <w:r>
        <w:t xml:space="preserve">a) Solicitada por doña Carmen Fernández Fernández la ejecución de la Sentencia de la Sección Sexta de la Audiencia Provincial de Sevilla, de 12 de junio de 2000, el Juzgado de Primera Instancia núm. 7 de Sevilla, por providencia de 4 de octubre de 2000, acordó citar a los acogedores para que comparecieran con los dos menores el día 20 de octubre de 2000 ante el Juzgado, al objeto de éstos fueran oídos por su señoría en presencia del Equipo Psicosocial adscrito al Juzgado y del Ministerio Fiscal para hacerles saber que se tienen que ir con su madre biológica, con carácter inmediato, como ordena la resolución dictada por la Audiencia Provincial. A continuación, los niños deberían ser entregados a su madre biológica. </w:t>
      </w:r>
    </w:p>
    <w:p w:rsidR="000B622C" w:rsidRDefault="000B622C" w:rsidP="000B622C">
      <w:pPr>
        <w:pStyle w:val="TextoNormal"/>
      </w:pPr>
      <w:r>
        <w:t xml:space="preserve">A la vista del resultado de la anterior comparecencia, el Juzgado de Primera Instancia núm. 7 de Sevilla, por Auto de 23 de octubre de 2000, a fin de evitar perturbaciones dañosas a los niños, acordó que éstos permaneciesen con los acogedores preadoptivos y estableció un régimen de visitas entre los menores y su madre biológica durante todos los sábados de 11 a 18 horas, que se habrían de desarrollar de forma intervenida en un Punto de Encuentro Familiar, debiendo emitir los responsables del Punto de Encuentro Familiar, transcurridos tres meses, un informe sobre la evolución del régimen de visitas. </w:t>
      </w:r>
    </w:p>
    <w:p w:rsidR="000B622C" w:rsidRDefault="000B622C" w:rsidP="000B622C">
      <w:pPr>
        <w:pStyle w:val="TextoNormal"/>
      </w:pPr>
      <w:r>
        <w:t xml:space="preserve">Emitido por la Directora del Punto de Encuentro Familiar el informe requerido, por providencia de 22 de noviembre de 2000, se acordó que las partes designasen un Perito Psicólogo, a fin de que determinase el modo y la forma de que se pudiera llevar a efecto el reencuentro de la madre biológica con sus hijos ante el fracaso del régimen de visitas iniciado en el Punto de Encuentro Familiar. </w:t>
      </w:r>
    </w:p>
    <w:p w:rsidR="000B622C" w:rsidRDefault="000B622C" w:rsidP="000B622C">
      <w:pPr>
        <w:pStyle w:val="TextoNormal"/>
      </w:pPr>
      <w:r>
        <w:lastRenderedPageBreak/>
        <w:t xml:space="preserve">b) Designado por las partes el Perito, y emitido por éste informe, el Juzgado de Primera Instancia núm. 7 de Sevilla, por Auto de 11 de julio de 2001, acordó llevar a efecto y ejecutar lo resuelto por la Sentencia de la Sección Sexta de la Audiencia Provincial de Sevilla, de 12 de junio de 200, en los siguientes términos: </w:t>
      </w:r>
    </w:p>
    <w:p w:rsidR="000B622C" w:rsidRDefault="000B622C" w:rsidP="000B622C">
      <w:pPr>
        <w:pStyle w:val="TextoNormal"/>
      </w:pPr>
      <w:r>
        <w:t xml:space="preserve">"Por consiguiente, a raíz de las conclusiones elaboradas en dicho informe ha quedado patente que, en la actualidad, de forma incuestionable, el INTERES DE LOS NIÑOS PASA POR QUEDARSE CON SUS PADRES DE ACOGIDA. Evidentemente la situación legal de los niños no sería la de estar sometidos a un acogimiento preadoptivo pero sí a una situación de GUARDA DE HECHO, que a todos los efectos, implica la asunción de todas las funciones derivadas del ejercicio de la tutela (art. 259 y siguientes del Código Civil), sin perjuicio de establecerse medidas de control y vigilancia que se consideren oportunas (art. 303 Código Civil) y que seguidamente se expondrán. </w:t>
      </w:r>
    </w:p>
    <w:p w:rsidR="000B622C" w:rsidRDefault="000B622C" w:rsidP="000B622C">
      <w:pPr>
        <w:pStyle w:val="TextoNormal"/>
      </w:pPr>
      <w:r>
        <w:t xml:space="preserve">Ahora bien: ¿resulta actualmente imposible toda solución o propuesta de reencuentro de Dª Carmen Fernández con sus hijos?. Esta pregunta, como plausiblemente ha informado el Perito, no se ha de contestar con una respuesta categórica afirmativa o negativa: todo depende del comportamiento que la madre y los acogedores muestren en el futuro, convencidos de la necesidad de aunar esfuerzos, renunciar posicionamientos intransigentes y relegar actitudes de enfrentamiento. Todo ello, ante el denominador común que ha de inspirar a ambas partes: el interés y bienestar de los niños. </w:t>
      </w:r>
    </w:p>
    <w:p w:rsidR="000B622C" w:rsidRDefault="000B622C" w:rsidP="000B622C">
      <w:pPr>
        <w:pStyle w:val="TextoNormal"/>
      </w:pPr>
      <w:r>
        <w:t xml:space="preserve">En relación a Dª Carmen Fernández, está tendrá la difícil tarea, de entrada, de hacer desaparecer en los niños la aversión que sienten hacía ella. Ahora bien, se ha de ser consciente de que al margen de los recuerdos que (los niños) tienen de su pasado, principalmente ese rechazo obedece al temor, desasosiego y amenaza que Dª Carmen representa para ellos en el sentido de que en el transcurso de esta ejecución, siempre ha puesto de manifiesto que su intención era recuperar a sus hijos. Dicha intención, de cara a los niños, como se ha dicho, implica arrancarlos de la estabilidad familiar que ahora conocen, separarles de su padre y madre. Naturalmente, los niños no están dispuestos a ello. La insistencia, empecinamiento y actitud intransigente de Dª Carmen en esta línea, le llevaría a no hacer posible si quiera la reanudación del contacto con sus hijos. </w:t>
      </w:r>
    </w:p>
    <w:p w:rsidR="000B622C" w:rsidRDefault="000B622C" w:rsidP="000B622C">
      <w:pPr>
        <w:pStyle w:val="TextoNormal"/>
      </w:pPr>
      <w:r>
        <w:t xml:space="preserve">Sin embargo, dicha reanudación sólo podría hacerse posible a corto plazo si Carmen, supiera renunciar (por sus hijos) a iniciales posicionamientos e intentara hacer desaparecer en los niños esa fobia y recelo que sienten hacia ella. Sería, pues, necesario que creara un clima idóneo de confianza, en primer lugar, entre la madre y los acogedores, y en segundo lugar que ese clima se hiciera extensivo a los niños, haciéndoles ver que su presencia no pone en peligro la estabilidad familiar y la continuidad de convivencia con los acogedores. </w:t>
      </w:r>
    </w:p>
    <w:p w:rsidR="000B622C" w:rsidRDefault="000B622C" w:rsidP="000B622C">
      <w:pPr>
        <w:pStyle w:val="TextoNormal"/>
      </w:pPr>
      <w:r>
        <w:t xml:space="preserve">.- Esa primera fase de acercamiento entre acogedores y madre biológica (sin intervención de los niños), según la recomendación del Perito, tendría lugar por un espacio de TRES MESES. Estas entrevistas se llevarán a cabo en un centro Público (alternativamente en Sevilla y Dos Hermanas) supervisados por profesionales del Departamento de Psiquiatría. </w:t>
      </w:r>
    </w:p>
    <w:p w:rsidR="000B622C" w:rsidRDefault="000B622C" w:rsidP="000B622C">
      <w:pPr>
        <w:pStyle w:val="TextoNormal"/>
      </w:pPr>
      <w:r>
        <w:t xml:space="preserve">- Posteriormente por otro espacio de SEIS MESES, y a través de la colaboración que ha ofrecido el Departamento de Psiquiatría del Doctor Sacristán, se iniciarán unas visitas supervisadas por personal de dicho Departamento, en un centro neutral para los niños y que se ubicará en su localidad de residencia (Dos Hermanas). La frecuencia y duración de dichas visitas se deberán indicar por el Doctor Sacristán, una vez que concluya la primera fase a la que se ha aludido en el párrafo anterior. </w:t>
      </w:r>
    </w:p>
    <w:p w:rsidR="000B622C" w:rsidRDefault="000B622C" w:rsidP="000B622C">
      <w:pPr>
        <w:pStyle w:val="TextoNormal"/>
      </w:pPr>
      <w:r>
        <w:t xml:space="preserve">Una vez transcurridos seis meses, se explorara judicialmente a los menores y se emitirá un informe por el aludido Departamento de Psiquiatría sobre la evolución de las relación </w:t>
      </w:r>
      <w:r>
        <w:lastRenderedPageBreak/>
        <w:t xml:space="preserve">materno-filial y sobre la conveniencia de proseguir con el régimen de acercamiento iniciado, informando si se deben ampliar, restringir e, incluso suspender las visitar. </w:t>
      </w:r>
    </w:p>
    <w:p w:rsidR="000B622C" w:rsidRDefault="000B622C" w:rsidP="000B622C">
      <w:pPr>
        <w:pStyle w:val="TextoNormal"/>
      </w:pPr>
      <w:r>
        <w:t xml:space="preserve">En cuanto al resultado final de dicho programa, se ha de dejar por sentado que ha de quedar indeterminado, no descartando una hipótesis de futuro reencuentro definitivo de los niños con Dª Carmen, si esta fuera su voluntad una vez alcanzada una edad y grado de madurez que les permitiera comprender el esfuerzo y empeño que ha mostrado su madre para superar sus problemas con el fin de recuperarlos. </w:t>
      </w:r>
    </w:p>
    <w:p w:rsidR="000B622C" w:rsidRDefault="000B622C" w:rsidP="000B622C">
      <w:pPr>
        <w:pStyle w:val="TextoNormal"/>
      </w:pPr>
      <w:r>
        <w:t xml:space="preserve">Actualmente, a corto y medio plazo esta hipótesis está descartada, siendo desaconsejable que Dª Carmen enfoque la reanudación del contacto con los niños en este sentido, pues de esta manera quebraría la premisa de crear el necesario clima de tranquilidad y estabilidad en los niños. </w:t>
      </w:r>
    </w:p>
    <w:p w:rsidR="000B622C" w:rsidRDefault="000B622C" w:rsidP="000B622C">
      <w:pPr>
        <w:pStyle w:val="TextoNormal"/>
      </w:pPr>
      <w:r>
        <w:t xml:space="preserve">Por su parte, los acogedores habrán de ser conscientes del esfuerzo y de la renuncia que, por el interés de los niños, realiza Dª Carmen; y tener en cuenta que, a la larga, resultaría beneficioso para ellos, el hacer desaparecer la aversión, actualmente injustificada que sienten hacia su madre. En atención a la edad de los niños, se entiende que se está en condiciones de iniciar el referido programa de acercamiento, quedando claro para los propios niños y los acogedores que ello no pondrá en peligro su estabilidad y continuidad familiar tal y como se viene desarrollando en el presente. En tal sentido los acogedores también vendrán obligados a participar en dicho programa, fomentando y positivizando la figura materna (una vez creado el adecuado clima de acercamiento y confianza entre ellos). El informe referido, que habrá de elaborar el Departamento de Psiquiatría, deberá contener al respecto también la actitud que han mostrado los acogedores a fin de procurar su finalidad. En definitiva se trata de rebajar tensiones y de concienciar a ambas partes, enfrentadas por el objetivo común de lograr la felicidad y bienestar de unos niños, de que dicha meta sólo se puede alcanzar a través de colaborar recíprocamente y no a través de la vía del enfrentamiento. Naturalmente en la actualidad es Dª Carmen quien (como se ha dicho) se encuentra en la situación más precaria. Es más, hoy por hoy lo tiene todo perdido en relación a unos hijos que ya comenzó a perder hace años. El que de alguna forma los pueda recuperar en un futuro, dependerá del resultado del programa descrito y que se habrá de iniciar inmediatamente" (Razonamiento Jurídico 4). </w:t>
      </w:r>
    </w:p>
    <w:p w:rsidR="000B622C" w:rsidRDefault="000B622C" w:rsidP="000B622C">
      <w:pPr>
        <w:pStyle w:val="TextoNormal"/>
      </w:pPr>
      <w:r>
        <w:t xml:space="preserve">c) Por providencia de 5 de septiembre de 2001 se tuvo por preparado el recurso de apelación interpuesto por la representación procesal de doña Carmen Fernández Fernández contra el Auto de 11 de julio de 2001. </w:t>
      </w:r>
    </w:p>
    <w:p w:rsidR="000B622C" w:rsidRDefault="000B622C" w:rsidP="000B622C">
      <w:pPr>
        <w:pStyle w:val="TextoNormal"/>
      </w:pPr>
      <w:r>
        <w:t xml:space="preserve">d) Por providencia de 22 de noviembre de 2001 el Juzgado de Primera Instancia núm. 7 de Sevilla acordó dar comienzo a la primera fase de acercamiento entre acogedores y madre biológica (sin intervención de los niños) por espacio de tres meses, debiendo ser supervisadas las entrevistas por el Departamento de Psiquiatría del Doctor Sacristán. </w:t>
      </w:r>
    </w:p>
    <w:p w:rsidR="000B622C" w:rsidRDefault="000B622C" w:rsidP="000B622C">
      <w:pPr>
        <w:pStyle w:val="TextoNormal"/>
      </w:pPr>
      <w:r>
        <w:t>Por posterior providencia de 15 de enero de 2002 se puso en conocimiento de las partes las propuestas de plan de trabajo del Doctor Sacristán para poner en práctica el programa de acercamiento acordado en su primera fase.</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art. 56. 1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recoge un límite a esta posibilidad de suspen</w:t>
      </w:r>
      <w:r>
        <w:lastRenderedPageBreak/>
        <w:t>sión, al prever que la suspensión puede ser denegada "cuando de ésta pueda seguirse perturbación grave de los intereses generales o de los derechos fundamentales o libertades públicas de un tercero".</w:t>
      </w:r>
    </w:p>
    <w:p w:rsidR="000B622C" w:rsidRDefault="000B622C" w:rsidP="000B622C">
      <w:pPr>
        <w:pStyle w:val="TextoNormal"/>
      </w:pPr>
      <w:r>
        <w:t>De acuerdo con una reiterada doctrina constitucional, la suspensión supone una medida provisional, de carácter excepcional y de aplicación restrictiva al existir un interés general en la efectividad de las resoluciones de los poderes públicos y, en particular, en la ejecución de las resoluciones judiciales. El art. 56.1 LOTC parte de la premisa de que la interposición de un recurso de amparo, como regla general, no suspende la ejecución de los actos recurridos, salvo en el supuesto expresamente previsto de la pérdida de la finalidad del amparo y, aún en este caso, con la condición de que la suspensión no produzca las perturbaciones aludidas en el mismo (AATC 17/1980, de 24 de septiembre; 57/1980, de 22 de octubre; 275/1986, de 19 de marzo; 249/1989, de 9 de mayo; 141/1990, de 27 de marzo; 47/1996, de 26 de febrero; 110/1996, de 29 de abril; 326/1996, de 11 de noviembre; 206/200, de 18 de septiembre). En concreto, y por lo que respecta a dichos límites, este Tribunal ha tenido de ocasión de declarar en numerosas ocasiones que toda suspensión de la ejecución de una Sentencia firme supone por sí una cierta perturbación del interés general, consistente en mantener su eficacia, por lo que la regla general debe ser la de no proceder a la suspensión, salvo que el demandante acredite suficientemente la irreparabilidad que para sus derechos fundamentales pueda conllevar la ejecución, privando así al amparo de su finalidad, y, ello, además, siempre que la citada suspensión no produzca las perturbaciones graves y aludidas (AATC 81/1981, de 15 de julio; 36/1986, de 16 de enero, por todos).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25 de agosto; 50/1996, de 26 de febrero; 219/1996, de 22 de julio; 206/2000, de 18 de diciembre).</w:t>
      </w:r>
    </w:p>
    <w:p w:rsidR="000B622C" w:rsidRDefault="000B622C" w:rsidP="000B622C">
      <w:pPr>
        <w:pStyle w:val="TextoNormal"/>
      </w:pPr>
      <w:r>
        <w:t>Ahora bien, al ser la no suspensión la regla general y la irreparabilidad de los perjuicios la excepción, la existencia de un evidente interés general en la ejecución de los fallos judiciales firmes (art. 118 CE) no puede ser entendida de modo tan rígido que haga inviable en todo caso la suspensión de la ejecución de las resoluciones judiciales. De modo que la posible afectación del interés general sólo será relevante si, en atención a las concretas circunstancias del caso y del contenido del fallo, reviste la suficiente gravedad para excluir de raíz la concesión de la suspensión (AATC 169/1995, de 5 de junio; 206/2000, de 18 de diciembre).  Más concretamente, este Tribunal ha establecido como criterio general que no procede la suspensión de la ejecución de aquellos fallos judiciales que admiten la restitución íntegra de lo ejecutado, a diferencia de aquellos otros en los que, por afectar a bienes o derechos del recurrente en amparo de imposible o muy difícil restitución a su estado anterior, es procedente acordarla.</w:t>
      </w:r>
    </w:p>
    <w:p w:rsidR="000B622C" w:rsidRDefault="000B622C" w:rsidP="000B622C">
      <w:pPr>
        <w:pStyle w:val="TextoNormal"/>
      </w:pPr>
    </w:p>
    <w:p w:rsidR="000B622C" w:rsidRDefault="000B622C" w:rsidP="000B622C">
      <w:pPr>
        <w:pStyle w:val="TextoNormal"/>
      </w:pPr>
      <w:r w:rsidRPr="000B622C">
        <w:rPr>
          <w:rStyle w:val="NumeroAFNegritaCaracter"/>
        </w:rPr>
        <w:t>2</w:t>
      </w:r>
      <w:r>
        <w:t>. La aplicación de la doctrina que acaba de exponerse requiere el examen de las diversas circunstancias concurrentes en el presente caso en orden a pronunciarnos sobre la concesión o denegación de la suspensión solicitada.</w:t>
      </w:r>
    </w:p>
    <w:p w:rsidR="000B622C" w:rsidRDefault="000B622C" w:rsidP="000B622C">
      <w:pPr>
        <w:pStyle w:val="TextoNormal"/>
      </w:pPr>
      <w:r>
        <w:t xml:space="preserve">El objeto de este incidente de suspensión es la Sentencia de la Sección Sexta de la Audiencia Provincial de Sevilla, de 12 de junio de 2000, que, estimando el recurso de apelación interpuesto por la madre biológica de dos hermanos menores contra la Sentencia del Juzgado de Primera Instancia núm. 7 de Sevilla de 8 de septiembre de 1998, declaró la inexistencia de situación legal de desamparo de los dos menores, dejó sin efecto el acogimiento familiar preadoptivo constituido a favor de los demandantes de amparo y ordenó </w:t>
      </w:r>
      <w:r>
        <w:lastRenderedPageBreak/>
        <w:t>que los menores fueran devueltos y colocados bajo la guarda y custodia de su madre biológica, recuperando ésta su patria potestad, lo que se debería de llevar a cabo de inmediato. Los recurrentes en amparo dirigen su demanda contra los Autos de la referida Sección, de 5 de junio y 11 de julio de 2000, cuya nulidad interesan, al igual que la de la mencionada Sentencia en cuanto acto que pone fin al procedimiento, al considerar que han vulnerado su derecho a la tutela judicial efectiva (art. 24.1 CE) por haberles denegado su personación, en su condición de familia de acogida preadoptiva, en el recurso de apelación tramitado ante la Audiencia Provincial.</w:t>
      </w:r>
    </w:p>
    <w:p w:rsidR="000B622C" w:rsidRDefault="000B622C" w:rsidP="000B622C">
      <w:pPr>
        <w:pStyle w:val="TextoNormal"/>
      </w:pPr>
      <w:r>
        <w:t>De otra parte, instada por doña Carmen Fernández Fernández la ejecución de la Sentencia de la Audiencia Provincial, el Juzgado de Primera Instancia núm. 7 de Sevilla en el incidente de ejecución, de cuyas decisiones más relevantes se ha dejado constancia en los antecedentes de esta resolución, ha acordado por Auto de 11 de julio de 2001, ante las dificultades que se plantearon para ejecutar en sus propios términos aquella Sentencia, llevar a efecto y ejecutar lo resuelto por la Audiencia Provincial, en atención a los intereses de los menores, mediante un programa de acercamiento de éstos a su madre biológica, supervisado por el Departamento de Psiquiatría del Perito designado por ambas partes, que se compone de dos fases: una primera fase de acercamiento entre los acogedores y la madre biológica, sin intervención de los niños, que tendrá lugar por espacio de tres meses; y una segunda fase posterior, por espacio de seis meses, en la que se iniciarán visitas entre la madre biológica y los menores, supervisadas por el referido Departamento. Tras la conclusión de dichas fases, el mencionado Departamento de Psiquiatría habrá de elevar un informe al Juzgado sobre la evolución de la relación materno-filial y sobre la conveniencia de proseguir con el régimen de acercamiento iniciado, permaneciendo entre tanto los menores con sus padres de acogida en situación de guarda de hecho, que implica la asunción por éstos de todas las funciones derivadas del ejercicio de la tutela.</w:t>
      </w:r>
    </w:p>
    <w:p w:rsidR="000B622C" w:rsidRDefault="000B622C" w:rsidP="000B622C">
      <w:pPr>
        <w:pStyle w:val="TextoNormal"/>
      </w:pPr>
      <w:r>
        <w:t>El Juzgado de Primera Instancia núm. 7 de Sevilla por providencia de 22 de noviembre de 2001 acordó dar comienzo a la primera fase del mencionado programa, fase de acercamiento entre padres acogedores y madre biológica, sin intervención de los niños, poniendo en conocimiento de unos y otros por posterior providencia de 15 de enero de 2002 el plan de trabajo propuesto en esta primera fase por el antes ya mencionado Departamento de Psiquiatría.</w:t>
      </w:r>
    </w:p>
    <w:p w:rsidR="000B622C" w:rsidRDefault="000B622C" w:rsidP="000B622C">
      <w:pPr>
        <w:pStyle w:val="TextoNormal"/>
      </w:pPr>
    </w:p>
    <w:p w:rsidR="000B622C" w:rsidRDefault="000B622C" w:rsidP="000B622C">
      <w:pPr>
        <w:pStyle w:val="TextoNormal"/>
      </w:pPr>
      <w:r w:rsidRPr="000B622C">
        <w:rPr>
          <w:rStyle w:val="NumeroAFNegritaCaracter"/>
        </w:rPr>
        <w:t>3</w:t>
      </w:r>
      <w:r>
        <w:t>. A la vista de las circunstancias que concurren en este caso parece evidente, en primer lugar, que la ejecución de la Sentencia de la Audiencia Provincial, en el supuesto de no accederse a la suspensión, no haría perder al recurso de amparo su finalidad, pues ésta se halla dirigida a garantizar que en el recurso de apelación interpuesto por la madre biológica de los menores contra la Sentencia del Juzgado de Primera Instancia se permita la personación de los demandantes de amparo, al objeto de que puedan alegar y probar cuanto consideren conveniente en favor de sus derechos e intereses, lo que sucederá en cualquier caso de prosperar la demanda de amparo (ATC 272/2001, de 29 de octubre, por todos). No obstante, también es cierto, en segundo lugar, que la suspensión de la resolución judicial, ni perturba gravemente interés general alguno específico distinto al genérico que existe en que las resoluciones judiciales se cumplan en sus justos términos, y que, como ya hemos tenido ocasión de señalar, admite excepciones, ni afecta en este caso, en términos constitucionalmente inaceptables, al derecho de la madre biológica a la ejecución de las resoluciones judiciales (art.  24.1 CE), pues su interés al respecto ha de considerarse supeditado al de los menores.</w:t>
      </w:r>
    </w:p>
    <w:p w:rsidR="000B622C" w:rsidRDefault="000B622C" w:rsidP="000B622C">
      <w:pPr>
        <w:pStyle w:val="TextoNormal"/>
      </w:pPr>
      <w:r>
        <w:lastRenderedPageBreak/>
        <w:t>En casos como el presente la ponderación de intereses en juego para decidir acerca del otorgamiento o denegación de la suspensión instada debe ser extremadamente cuidadosa y subordinada en todo caso a la protección jurídica de la persona y de los derechos de personalidad de los menores afectados, y al respecto este Tribunal tiene declarado en casos similares al ahora considerado que la protección de los derechos e intereses de los menores queda de momento mejor garantizada por el mantenimiento y la no alteración de su ámbito afectivo y de convivencia actual durante la tramitación del recurso de amparo, ya que, de no accederse a la suspensión y ser estimada posteriormente la demanda de amparo, los menores se verían obligados, al menos, a cambiar por dos veces su entorno afectivo y de convivencia, lo que podría causarles graves perjuicios en su personalidad en formación, pudiendo resultar irreversible el daño sufrido y su reparación ineficaz y tardía en caso de que el fallo que llegara a recaer en el proceso de amparo fuese estimatorio (ATC 350/1992, de 19 de noviembre; 180/1995, de 19 de junio; 225/1995, de 24 de julio; 254/1995, de 25 de septiembre; 206/2000, de 18 de diciembre).</w:t>
      </w:r>
    </w:p>
    <w:p w:rsidR="000B622C" w:rsidRDefault="000B622C" w:rsidP="000B622C">
      <w:pPr>
        <w:pStyle w:val="TextoNormal"/>
      </w:pPr>
      <w:r>
        <w:t>Pero ese criterio de atención preferente a la finalidad de la no alteración del ámbito afectivo y de convivencia actual del menor, que justifica en otros casos la suspensión, está adecuadamente garantizado en el actual, pues en el momento en que este Tribunal ha de pronunciarse sobre la suspensión solicitada, son suficiente garantía las medidas ya adoptadas por el Juzgado de primera Instancia en el incidente de ejecución de la Sentencia de la Sección Sexta de la Audiencia Provincial de 12 de junio de 2000. En efecto, habiéndose acordado por dicho Juzgado un programa de acercamiento de los dos menores con su madre biológica, cuya primera fase, antes referida, ha puesto en marcha, permaneciendo entre tanto aquéllos en el ámbito afectivo y de convivencia en el que se encontraban antes de interponerse la demanda de amparo, y contemplando, una vez concluida aquella primera fase, el comienzo de una segunda fase en el que se iniciarán las visitas entre los menores y su madre biológica, sin alterar tampoco dicho ámbito afectivo y de convivencia, tales medidas cumplen por sí mismas el fin cautelar que en otro caso pudiera justificar la suspensión. Procede, por ello, denegar la solicitud de suspensión de la ejecución de la Sentencia de la Audiencia Provincial, en tanto permanezcan en vigor las medidas adoptados por el Juzgado, sin perjuicio, obviamente, de que en cualquier momento pueda ponerse en conocimiento de este Tribunal circunstancias sobrevenidas que pudieran aconsejar la modificación de esta resolución (art. 57 LOTC).</w:t>
      </w:r>
    </w:p>
    <w:p w:rsidR="000B622C" w:rsidRDefault="000B622C" w:rsidP="000B622C">
      <w:pPr>
        <w:pStyle w:val="TextoNormal"/>
      </w:pPr>
    </w:p>
    <w:p w:rsidR="000B622C" w:rsidRDefault="000B622C" w:rsidP="000B622C">
      <w:pPr>
        <w:pStyle w:val="TextoNormal"/>
      </w:pPr>
      <w:r w:rsidRPr="000B622C">
        <w:rPr>
          <w:rStyle w:val="NumeroAFNegritaCaracter"/>
        </w:rPr>
        <w:t>4</w:t>
      </w:r>
      <w:r>
        <w:t>. Asimismo, en atención a la importancia de los valores e intereses en juego en este caso procede resolver en el plazo más breve posible el presente recurso de amparo, incluso anteponiéndolo en el orden de los señalamientos, una vez concluida su tramitación (AATC 144/1990, de 29 de marzo; 169/1995, de 5 de junio; 246/1996, de 16 de septiembre; 272/2001, de 29 de octubre, por todos).</w:t>
      </w:r>
    </w:p>
    <w:p w:rsidR="000B622C" w:rsidRDefault="000B622C" w:rsidP="000B622C">
      <w:pPr>
        <w:pStyle w:val="TextoNormal"/>
      </w:pPr>
    </w:p>
    <w:p w:rsidR="000B622C" w:rsidRDefault="000B622C" w:rsidP="000B622C">
      <w:pPr>
        <w:pStyle w:val="TextoNormal"/>
      </w:pPr>
      <w:r>
        <w:t>En virtud de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No acceder a la suspensión interesada por los recurrentes en amparo.</w:t>
      </w:r>
    </w:p>
    <w:p w:rsidR="000B622C" w:rsidRDefault="000B622C" w:rsidP="000B622C">
      <w:pPr>
        <w:pStyle w:val="TextoNormal"/>
      </w:pPr>
    </w:p>
    <w:p w:rsidR="000B622C" w:rsidRDefault="000B622C" w:rsidP="000B622C">
      <w:pPr>
        <w:pStyle w:val="TextoNormal"/>
      </w:pPr>
      <w:r>
        <w:t>Madrid, a veinticinco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23" w:name="AUTO_2002_22"/>
      <w:r>
        <w:lastRenderedPageBreak/>
        <w:t>AUTO 22/2002, de 25 de febrero de 2002</w:t>
      </w:r>
    </w:p>
    <w:bookmarkEnd w:id="123"/>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ECLI:ES:TC:2002:22A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Acuerda la suspensión parcial en el recurso de amparo 6577-2000, interpuesto por don Eduardo García Atienza</w:t>
      </w:r>
    </w:p>
    <w:p w:rsidR="000B622C" w:rsidRDefault="000B622C" w:rsidP="000B622C">
      <w:pPr>
        <w:pStyle w:val="SntesisDescriptiva"/>
      </w:pPr>
    </w:p>
    <w:p w:rsidR="000B622C" w:rsidRDefault="000B622C" w:rsidP="000B622C">
      <w:pPr>
        <w:pStyle w:val="SntesisAnaltica"/>
      </w:pPr>
      <w:r>
        <w:t>Suspensión cautelar de resoluciones penales: prisión de cinco años, suspensión de derecho de sufragio, suspende; inhabilitación especial, multa, responsabilidad personal subsidiaria, costas procesales, no suspende. Penas accesorias en general. Extensión de la petición inicial. Profesiones tituladas: inahabilitación especial para la profesión de graduado social. Procesos constitucionales: señalamiento preferente de recurso de amparo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El 15 de diciembre de 2000 tuvo entrada en el Registro de este Tribunal escrito firmado por doña Rocío Sampere Meneses, en representación de don Eduardo García Atienza, en virtud del cual interponía recurso de amparo contra el Auto de la Sala Segunda del Tribunal Supremo de 27 de octubre de 2000, por el que se declaró no haber lugar a la admisión del recurso de casación interpuesto contra la Sentencia de la Audiencia Provincial de Cádiz de 8 de octubre de 1999 que condenó al demandante de amparo, como autor de un delito de apropiación indebida y de otro de falsedad en documento privado, respectivamente, a las penas de 4 años de prisión, inhabilitación especial para el ejercicio de su profesión de graduado social y diez meses de multa, a razón de una cuota diaria de 200 pesetas, y 1 año de prisión y suspensión del derecho de sufragio pasivo durante el tiempo de la condena, todo ello con indemnización al perjudicado don Abel Rosso Arenas en la cantidad de 893.228 pesetas, e imposición de costas. </w:t>
      </w:r>
    </w:p>
    <w:p w:rsidR="000B622C" w:rsidRDefault="000B622C" w:rsidP="000B622C">
      <w:pPr>
        <w:pStyle w:val="TextoNormal"/>
      </w:pPr>
      <w:r>
        <w:t>La Sentencia condenatoria imputa al recurrente haber retirado, en virtud del poder notarial otorgado por el perjudicado, ciertas cantidades pendientes de cobro que éste tenía a su disposición en el Fondo de Garantía Salarial, incorporándolas a su propio patrimonio, sin entregarlas al Sr. Rosso, así como haber confeccionado un documento en el que éste y otra persona reconocían haber recibido del demandante de amparo cierta cantidad en efectivo metálico, comprometiéndose a su devolución o compensación una vez percibidas las sumas que dicho Fondo pudiera abonarles por su despido de la empresa donde trabajaban.</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El recurrente considera que el Auto del Tribunal Supremo vulnera los derechos fundamentales consagrados en el art. 24.1 y 2 CE, en relación con el art. 14, párrafo 5, del </w:t>
      </w:r>
      <w:r>
        <w:lastRenderedPageBreak/>
        <w:t>Pacto Internacional de Derechos Civiles y Políticos. Asimismo, por medio de otrosí, solicita la suspensión de la ejecución de la resolución recurrida.</w:t>
      </w:r>
    </w:p>
    <w:p w:rsidR="000B622C" w:rsidRDefault="000B622C" w:rsidP="000B622C">
      <w:pPr>
        <w:pStyle w:val="TextoNormal"/>
      </w:pPr>
    </w:p>
    <w:p w:rsidR="000B622C" w:rsidRDefault="000B622C" w:rsidP="000B622C">
      <w:pPr>
        <w:pStyle w:val="TextoNormal"/>
      </w:pPr>
      <w:r w:rsidRPr="000B622C">
        <w:rPr>
          <w:rStyle w:val="NumeroAFNegritaCaracter"/>
        </w:rPr>
        <w:t>3</w:t>
      </w:r>
      <w:r>
        <w:t>. Mediante providencia de 24 de enero de 2002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0B622C" w:rsidRDefault="000B622C" w:rsidP="000B622C">
      <w:pPr>
        <w:pStyle w:val="TextoNormal"/>
      </w:pPr>
    </w:p>
    <w:p w:rsidR="000B622C" w:rsidRDefault="000B622C" w:rsidP="000B622C">
      <w:pPr>
        <w:pStyle w:val="TextoNormal"/>
      </w:pPr>
      <w:r w:rsidRPr="000B622C">
        <w:rPr>
          <w:rStyle w:val="NumeroAFNegritaCaracter"/>
        </w:rPr>
        <w:t>5</w:t>
      </w:r>
      <w:r>
        <w:t>. La Procuradora doña Rocío Sampere Meneses presentó escrito en este Tribunal el 31 de enero de 2002, en el que formula sus alegaciones en relación con el incidente de suspensión. Invoca la doctrina de este Tribunal, según la cual, para acordar la suspensión se ha de acreditar suficientemente la irreparabilidad que para los derechos fundamentales del recurrente supondría la ejecución, privando al amparo de su finalidad, así como el hecho de que la suspensión no produzca las perturbaciones graves a que se refiere el art. 56 LOTC. Manifiesta que las penas privativas de libertad, por sí mismas, suponen una lesión irreparable del derecho fundamental del recurrente, ya que los perjuicios y daños que se derivan de la ejecución difícilmente podrían ser compensados de forma que el amparo se convertiría en meramente ilusorio. Añade la consideración de que la suspensión referida a las penas privativas de libertad no supondría perturbaciones graves a los intereses generales o a los derechos y libertades públicas de un tercero. Afirma que, en tal caso, la lesión al interés general se reduce a la suspensión del fallo judicial, no considerando esta lesión lo suficientemente grave como para sacrificar su derecho fundamental. En cuanto a las penas accesorias y a la pena de multa que se imponen, estima que las primeras seguirían la suerte de la pena principal a la que acompañan, por lo cual, procedería su suspensión, si bien respecto a la multa no procedería acordarla, al tener una naturaleza de contenido económico perfectamente resarcible.</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Por su parte, el Fiscal, en escrito registrado el 4 de febrero de 2002, manifiesta su oposición a la suspensión solicitada. Hace referencia el escrito a la doctrina de este Tribunal, en cuanto a que la suspensión de la ejecución de resoluciones judiciales entraña en sí misma una perturbación del interés general consistente en mantener su eficacia, salvo que el demandante acredite suficientemente la irreparabilidad que para sus derechos fundamentales pudiera tener la inejecución del fallo, privando al amparo de su finalidad; señalando que por perjuicio irreparable se ha de entender aquél que provoque un restablecimiento del recurrente en el derecho constitucional vulnerado que sea tardío e impida su efectiva restauración. Precisa el Fiscal las anteriores afirmaciones señalando que, como criterio general, se ha establecido el de la improcedencia de la suspensión de la ejecución de aquellos fallos judiciales que admiten la restitución íntegra de lo ejecutado, a diferencia de los que, por afectar a bienes o derechos del recurrente de imposible o muy difícil restitución, procede acordarla, lo cual sucede, en principio, con las condenas privativas de libertad y privativas o limitativas de ciertos derechos. No obstante, aclara que este criterio </w:t>
      </w:r>
      <w:r>
        <w:lastRenderedPageBreak/>
        <w:t xml:space="preserve">no es absoluto, pues la doctrina elaborada por este Tribunal señala que, en el último de los supuestos, es necesario ponderar otros criterios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w:t>
      </w:r>
    </w:p>
    <w:p w:rsidR="000B622C" w:rsidRDefault="000B622C" w:rsidP="000B622C">
      <w:pPr>
        <w:pStyle w:val="TextoNormal"/>
      </w:pPr>
      <w:r>
        <w:t>En cuanto al presente supuesto, afirma el Fiscal que el demandante de amparo no ha acreditado ni argumentado de ninguna forma la irreparabilidad que para sus derechos fundamentales pudiera tener la ejecución del fallo, por lo que hay que aplicar los criterios generales, al no constar alegada ninguna circunstancia particular. Diferenciando los dos tipos de penas que impone la Sentencia de la Audiencia Provincial de Cádiz, indica que, comoquiera que las de contenido económico admiten una restitución íntegra, el perjuicio que se pudiera seguir de su ejecución no es irreparable, por lo que no procede acordar su suspensión. En cuanto a las privativas de libertad, los perjuicios serían irreparables, por afectar a un derecho de imposible restitución, por lo que se hace preciso examinar las circunstancias del caso para valorar el equilibrio de los intereses en conflicto. En este sentido, manifiesta el Fiscal que el demandante de amparo ha sido condenado por el delito de apropiación indebida, delito de contenido económico sin empleo de fuerza ni violencia, que no alcanza el grado de reproche de otros que afectan a bienes de la personalidad. Ahora bien, las circunstancias concurrentes aumentan notablemente la reprochabilidad de la conducta, porque se ha llevado a cabo en el ejercicio de su profesión de graduado social, porque es reincidente en el delito (fue condenado en una Sentencia cuya firmeza es anterior en sólo once meses a la realización de estos hechos) y porque el dinero objeto de la apropiación era la indemnización por despido del perjudicado. En cuanto al delito de falsedad documental, se hizo con la única finalidad de engañar al órgano judicial que instruía la causa por la querella del trabajador perjudicado. Considerando que las penas privativas de libertad suman en total cinco años, de los que no consta que el recurrente haya cumplido nada, concluye el Ministerio Público afirmando que se debe denegar también la suspensión del cumplimiento de las penas privativas de libertad.</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0B622C" w:rsidRDefault="000B622C" w:rsidP="000B622C">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w:t>
      </w:r>
      <w:r>
        <w:lastRenderedPageBreak/>
        <w:t>convirtiéndolo en meramente ilusorio (AATC 47/1992, 258/1996 y 29/1999), y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0B622C" w:rsidRDefault="000B622C" w:rsidP="000B622C">
      <w:pPr>
        <w:pStyle w:val="TextoNormal"/>
      </w:pPr>
      <w:r>
        <w:t>Más concretamente, este Tribunal, entre otros, en los recientes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 Ahora bien, también hemos dicho que este criterio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en su ejecución (ATC 273/1998).</w:t>
      </w:r>
    </w:p>
    <w:p w:rsidR="000B622C" w:rsidRDefault="000B622C" w:rsidP="000B622C">
      <w:pPr>
        <w:pStyle w:val="TextoNormal"/>
      </w:pPr>
    </w:p>
    <w:p w:rsidR="000B622C" w:rsidRDefault="000B622C" w:rsidP="000B622C">
      <w:pPr>
        <w:pStyle w:val="TextoNormal"/>
      </w:pPr>
      <w:r w:rsidRPr="000B622C">
        <w:rPr>
          <w:rStyle w:val="NumeroAFNegritaCaracter"/>
        </w:rPr>
        <w:t>2</w:t>
      </w:r>
      <w:r>
        <w:t>. Descendiendo ya al análisis del concreto supuesto a que se refiere la presente petición de suspensión, se ha de advertir que, aunque en la demanda de amparo el recurrente se limita a pedirla frente al Auto del Tribunal Supremo objeto del recurso, en su escrito de alegaciones interesa la suspensión no sólo de dicho Auto, sino también de la Sentencia de la Audiencia Provincial de Cádiz, en virtud de la cual se le condenó como autor de un delito de apropiación indebida y de otro de falsedad en documento privado. No existe impedimento para aceptar tal extensión, pues aunque la eventual estimación del amparo determinaría la reposición de actuaciones al momento de la inadmisión del recurso de casación planteado, el derecho defendido por el recurrente no se refiere sólo al derecho a la admisión de la casación, sino, en último término, a su derecho a poder impugnar la Sentencia de instancia, en cuya virtud se le condenó.  Ciertamente, ello no supone la garantía de un pronunciamiento de fondo favorable a sus pretensiones pero, en la medida en que la inadmisión del recurso ha supuesto la firmeza de la Sentencia de instancia, se debe valorar que la ejecución de ésta haría irreversible el perjuicio ocasionado ante una hipotética futura estimación de aquéllas.  Por consiguiente, se ha de admitir la extensión de la petición de suspensión -y de la consiguiente decisión que este Tribunal adopte- a la Sentencia de la Sección Primera de la Audiencia Provincial de Cádiz de 8 de octubre de 1999.</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Recordemos que la referida Sentencia condenó al recurrente, como autor de un delito de apropiación indebida, a las penas de 4 años de prisión, inhabilitación especial para el ejercicio de su profesión de graduado social y diez meses de multa, a razón de una cuota diaria de 200 pesetas; y como autor de otro de falsedad en documento privado, a las penas de 1 año de prisión y suspensión del derecho de sufragio pasivo durante el tiempo de la </w:t>
      </w:r>
      <w:r>
        <w:lastRenderedPageBreak/>
        <w:t>condena, todo ello con indemnización al perjudicado don Abel Rosso Arenas en la cantidad de 893.228 pesetas, e imposición de costas.</w:t>
      </w:r>
    </w:p>
    <w:p w:rsidR="000B622C" w:rsidRDefault="000B622C" w:rsidP="000B622C">
      <w:pPr>
        <w:pStyle w:val="TextoNormal"/>
      </w:pPr>
      <w:r>
        <w:t>En la demanda, el recurrente se limita a señalar que la ejecución de la resolución recurrida ocasionaría un perjuicio que haría perder al amparo su finalidad. En el posterior escrito de alegaciones, presentado en el trámite previsto en el art. 56.2 LOTC, invoca la doctrina de este Tribunal, a cuya luz entiende, por una parte, que no procede la suspensión con respecto a la pena de multa, al tener un contenido económico perfectamente resarcible, mientras que, por otra, señala que las penas privativas de libertad suponen en sí mismas una lesión irreparable del derecho fundamental del demandante de amparo. En este último plano considera que los perjuicios y daños que se derivarían de la ejecución de estas penas difícilmente podrían ser compensados de forma alguna, convirtiendo el amparo en meramente ilusorio, aduciendo además que su suspensión no supondría perturbaciones graves a los intereses generales o a los derechos y libertades públicas de un tercero. Al no alegar ni acreditar el recurrente la concurrencia de otras circunstancias que pudieran tener influencia al adoptar la decisión de suspensión de la ejecución de las resoluciones antes reseñadas, nuestro análisis deberá centrarse en la determinación de si debe acordarse la suspensión de la ejecución de la pena privativa de libertad y, en su caso, de las penas accesorias de inhabilitación especial para el ejercicio de la profesión de graduado social y de suspensión del derecho de sufragio pasivo durante el tiempo de la condena privativa de libertad.</w:t>
      </w:r>
    </w:p>
    <w:p w:rsidR="000B622C" w:rsidRDefault="000B622C" w:rsidP="000B622C">
      <w:pPr>
        <w:pStyle w:val="TextoNormal"/>
      </w:pPr>
    </w:p>
    <w:p w:rsidR="000B622C" w:rsidRDefault="000B622C" w:rsidP="000B622C">
      <w:pPr>
        <w:pStyle w:val="TextoNormal"/>
      </w:pPr>
      <w:r w:rsidRPr="000B622C">
        <w:rPr>
          <w:rStyle w:val="NumeroAFNegritaCaracter"/>
        </w:rPr>
        <w:t>4</w:t>
      </w:r>
      <w:r>
        <w:t>. En relación con las penas privativas de libertad, se han de tener en cuenta las circunstancias concurrentes en el caso, en el que las penas impuestas suman un total de cinco años de prisión, que no existe una particular lesión de los intereses generales distinta de la que en sí misma produce la suspensión de un fallo judicial y que de la no suspensión derivarían perjuicios y daños irreparables para el recurrente. Atendidas estas circunstancias, se ha de otorgar la suspensión solicitada respecto a estas penas, pues, tomando en consideración su duración, el amparo podría perder en buena medida su virtualidad, quedando así en entredicho la eficacia de un eventual fallo estimatorio.</w:t>
      </w:r>
    </w:p>
    <w:p w:rsidR="000B622C" w:rsidRDefault="000B622C" w:rsidP="000B622C">
      <w:pPr>
        <w:pStyle w:val="TextoNormal"/>
      </w:pPr>
      <w:r>
        <w:t>Por el contrario, no procede la suspensión de la condena en lo que se refiere a los pronunciamientos de contenido patrimonial -multa de diez meses a razón de una cuota diaria de 200 pesetas, indemnización de 893.228 pesetas al perjudicado y abono de las costas procesales- de conformidad con el criterio de este Tribunal de que, por tratarse de condenas de contenido económico, los perjuicios anejos a su ejecución son perfectamente reparables, incluso aunque se otorgase el amparo (AATC 371/1996, 91/1997, 182/1998, 273/1998, 189/2000, 193/2000 y 258/2000). El propio recurrente acepta este criterio, al reconocer que no procede la suspensión de la pena de multa porque, al tener naturaleza meramente económica, resulta resarcible.</w:t>
      </w:r>
    </w:p>
    <w:p w:rsidR="000B622C" w:rsidRDefault="000B622C" w:rsidP="000B622C">
      <w:pPr>
        <w:pStyle w:val="TextoNormal"/>
      </w:pPr>
      <w:r>
        <w:t>Por otra parte, ha de añadirse la consideración de que la suspensión de la ejecución en cuanto al pago de la indemnización, aparte de no haber sido interesada por el demandante de amparo, afectaría a los derechos de un tercero, concretamente, a los del perjudicado, Sr.  Rosso Arena. En efecto, éste vería sacrificado su derecho a la tutela judicial efectiva, en la vertiente relativa a la obtención de la ejecución de una Sentencia que contiene un pronunciamiento favorable a sus intereses, con la circunstancia particular de que la indemnización a abonar corresponde a la cantidad de la que se apropió el recurrente, consistente en la indemnización por despido de su trabajo, que el perjudicado debía percibir.</w:t>
      </w:r>
    </w:p>
    <w:p w:rsidR="000B622C" w:rsidRDefault="000B622C" w:rsidP="000B622C">
      <w:pPr>
        <w:pStyle w:val="TextoNormal"/>
      </w:pPr>
      <w:r>
        <w:t xml:space="preserve">Tampoco procede, en el momento actual, la suspensión de la responsabilidad personal subsidiaria para el caso de impago de la pena de multa -arresto sustitutorio, de acuerdo </w:t>
      </w:r>
      <w:r>
        <w:lastRenderedPageBreak/>
        <w:t>con lo previsto en el art. 53 CP-, pues se trata de una eventualidad incierta en este momento, que depende de que se constate la situación de insolvencia del condenado -cuestión sobre la que éste no ha ofrecido alegación o acreditación alguna- o de que, en cualquier caso, la multa no llegue a ser abonada voluntariamente o por la vía de apremio. De todas formas, si sobreviniera tal eventualidad en el futuro -pues no consta acreditado tampoco que el demandante haya cumplido alguna parte de las penas impuestas-, podría haber lugar a modificar la medida cautelar que ahora se adopta, en virtud de lo establecido en el art. 57 LOTC (AATC 107/1998, 136/1999, 227/1999, 245/1999, 61/2000 y 159/2001).</w:t>
      </w:r>
    </w:p>
    <w:p w:rsidR="000B622C" w:rsidRDefault="000B622C" w:rsidP="000B622C">
      <w:pPr>
        <w:pStyle w:val="TextoNormal"/>
      </w:pPr>
    </w:p>
    <w:p w:rsidR="000B622C" w:rsidRDefault="000B622C" w:rsidP="000B622C">
      <w:pPr>
        <w:pStyle w:val="TextoNormal"/>
      </w:pPr>
      <w:r w:rsidRPr="000B622C">
        <w:rPr>
          <w:rStyle w:val="NumeroAFNegritaCaracter"/>
        </w:rPr>
        <w:t>5</w:t>
      </w:r>
      <w:r>
        <w:t>. La procedencia o improcedencia de la suspensión de las penas accesorias requiere un pronunciamiento particularizado. Este Tribunal tiene declarado que, como regla general, la suspensión de la pena principal implicará, paralelamente, la de las accesorias, que siguen la misma suerte de las penas a las que acompañan (entre otros muchos, AATC 144/1984, 267/1995, 301/1995, 7/1996, 152/1996, 87/1997, 286/1997, 182/1998, 271/1998, 114/2000, 286/2000, 7/2001 y 63/2001). No obstante, esta doctrina no ha impedido que, en algún caso, se conceda la suspensión respecto de la pena principal y se deniegue en cuanto a alguna de las accesorias, como ocurrió en el resuelto por el reciente ATC 293/2001, de 26 de noviembre.</w:t>
      </w:r>
    </w:p>
    <w:p w:rsidR="000B622C" w:rsidRDefault="000B622C" w:rsidP="000B622C">
      <w:pPr>
        <w:pStyle w:val="TextoNormal"/>
      </w:pPr>
      <w:r>
        <w:t>En el presente supuesto no existe inconveniente en suspender la pena accesoria de suspensión del derecho de sufragio pasivo; sin embargo, la solución debe ser otra con respecto a la inhabilitación especial para el ejercicio de la profesión de graduado social. Como señala en su escrito el Ministerio Fiscal, aunque la conducta penada no alcanza el grado de trascendencia que otros hechos delictivos que afectan a bienes de la personalidad, no obstante, concurren circunstancias que aumentan el reproche de que se hace merecedora.  Por una parte, el delito se ha llevado a cabo en el ejercicio de la profesión de graduado social y respecto de un cliente, violentando así la relación de confianza que debe existir entre ellos; por otra, hay que recordar que el recurrente fue condenado por otro delito de apropiación indebida por Sentencia que adquirió firmeza tan sólo once meses antes de la comisión de los hechos enjuiciados ahora; y, finalmente, porque la conducta por la que ha sido condenado muestra un especial desprecio de los principios deontológicos de la profesión. Aunque estos extremos no son suficientes para motivar la denegación total de la suspensión, como interesa el Fiscal, sí tienen relevancia para no suspender la pena accesoria de inhabilitación especial para el ejercicio de la profesión de graduado social. En la ponderación de tales circunstancias se pone claramente de manifiesto la preeminencia del interés general que demanda la ejecución de la expresada pena accesoria, representado por la salvaguarda de la seguridad y confianza de los ciudadanos y del prestigio de una profesión, frente a los cuales nada ha alegado el demandante de amparo que pueda hacer prevalecer un criterio de valoración distinto.</w:t>
      </w:r>
    </w:p>
    <w:p w:rsidR="000B622C" w:rsidRDefault="000B622C" w:rsidP="000B622C">
      <w:pPr>
        <w:pStyle w:val="TextoNormal"/>
      </w:pPr>
    </w:p>
    <w:p w:rsidR="000B622C" w:rsidRDefault="000B622C" w:rsidP="000B622C">
      <w:pPr>
        <w:pStyle w:val="TextoNormal"/>
      </w:pPr>
      <w:r w:rsidRPr="000B622C">
        <w:rPr>
          <w:rStyle w:val="NumeroAFNegritaCaracter"/>
        </w:rPr>
        <w:t>6</w:t>
      </w:r>
      <w:r>
        <w:t>. Asimismo, en atención a la importancia de los valores e intereses en juego en este caso procede resolver en el plazo más breve posible el presente recurso de amparo, incluso anteponiéndolo en el orden de los señalamientos, una vez concluida su tramitación (AATC 144/1990, de 29 de marzo; 169/1995, de 5 de junio; 246/1996, de 16 de septiembre; 272/2001, de 29 de octubre, por todos).</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lastRenderedPageBreak/>
        <w:t>ACUERDA</w:t>
      </w:r>
    </w:p>
    <w:p w:rsidR="000B622C" w:rsidRDefault="000B622C" w:rsidP="000B622C">
      <w:pPr>
        <w:pStyle w:val="TextoNormalCentrado"/>
      </w:pPr>
    </w:p>
    <w:p w:rsidR="000B622C" w:rsidRDefault="000B622C" w:rsidP="000B622C">
      <w:pPr>
        <w:pStyle w:val="TextoNormal"/>
      </w:pPr>
      <w:r>
        <w:t>Suspender la ejecución del Auto de la Sala de lo Penal del Tribunal Supremo de 27 de octubre de 2000, recaído en el recurso de casación núm. 521/00, y de la Sentencia dictada por la Sección Primera de la Audiencia Provincial de Cádiz el 8 de octubre de</w:t>
      </w:r>
    </w:p>
    <w:p w:rsidR="000B622C" w:rsidRDefault="000B622C" w:rsidP="000B622C">
      <w:pPr>
        <w:pStyle w:val="TextoNormal"/>
      </w:pPr>
      <w:r>
        <w:t>1999, en el procedimiento abreviado núm. 264/98, exclusivamente en lo referente a la pena privativa de libertad de cuatro años más uno de prisión y a la accesoria de suspensión del derecho de sufragio pasivo durante el tiempo de la condena.</w:t>
      </w:r>
    </w:p>
    <w:p w:rsidR="000B622C" w:rsidRDefault="000B622C" w:rsidP="000B622C">
      <w:pPr>
        <w:pStyle w:val="TextoNormal"/>
      </w:pPr>
    </w:p>
    <w:p w:rsidR="000B622C" w:rsidRDefault="000B622C" w:rsidP="000B622C">
      <w:pPr>
        <w:pStyle w:val="TextoNormal"/>
      </w:pPr>
      <w:r>
        <w:t>En Madrid, a veinticinco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24" w:name="AUTO_2002_23"/>
      <w:r>
        <w:lastRenderedPageBreak/>
        <w:t>AUTO 23/2002, de 25 de enero de 2002</w:t>
      </w:r>
    </w:p>
    <w:bookmarkEnd w:id="124"/>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ECLI:ES:TC:2002:23A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Acuerda el desistimiento en el recurso de amparo 6616-2000, promovido por el Banco Santander Central Hispano</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25" w:name="AUTO_2002_24"/>
      <w:r>
        <w:lastRenderedPageBreak/>
        <w:t>AUTO 24/2002, de 25 de febrero de 2002</w:t>
      </w:r>
    </w:p>
    <w:bookmarkEnd w:id="125"/>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ECLI:ES:TC:2002:24A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el desistimiento en el recurso de amparo 1199-2001, promovido en proceso contencioso-administrativo.</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26" w:name="AUTO_2002_25"/>
      <w:r>
        <w:lastRenderedPageBreak/>
        <w:t>AUTO 25/2002, de 25 de febrero de 2002</w:t>
      </w:r>
    </w:p>
    <w:bookmarkEnd w:id="126"/>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ECLI:ES:TC:2002:25A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Deniega suspensión en el recurso de amparo 3787-2001, interpuesto por don José Luis Pichardo Miranda</w:t>
      </w:r>
    </w:p>
    <w:p w:rsidR="000B622C" w:rsidRDefault="000B622C" w:rsidP="000B622C">
      <w:pPr>
        <w:pStyle w:val="SntesisDescriptiva"/>
      </w:pPr>
    </w:p>
    <w:p w:rsidR="000B622C" w:rsidRDefault="000B622C" w:rsidP="000B622C">
      <w:pPr>
        <w:pStyle w:val="SntesisAnaltica"/>
      </w:pPr>
      <w:r>
        <w:t>Suspensión cautelar de sentencias penales: prisión de nueve años, multa, costas procesales, no suspende. Penas privativas de libertad</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día 3 de julio de 2001, doña Isabel Mota Torres, Procuradora de los Tribunales y de don José Luis Pichardo Miranda, interpuso recurso de amparo contra la Sentencia de la Sala de lo Penal del Tribunal Supremo, de 12 de mayo de 2001, que declara no haber lugar al recurso de casación contra la dictada por la Audiencia Provincial de Barcelona, de fecha 21 de junio de 2000.</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Sucintamente expuestos, los hechos en que se basa la pretensión de amparo son los siguientes: </w:t>
      </w:r>
    </w:p>
    <w:p w:rsidR="000B622C" w:rsidRDefault="000B622C" w:rsidP="000B622C">
      <w:pPr>
        <w:pStyle w:val="TextoNormal"/>
      </w:pPr>
      <w:r>
        <w:t xml:space="preserve">a) El 3 de junio de 1998 llegaron al aeropuerto de Barcelona tres paquetes postales procedentes de Venezuela, respecto de los cuales la policía española había sido alertada de que podían contener sustancias estupefacientes, ante lo cual se concedió autorización por la Fiscalía del Tribunal Superior de Justicia de Cataluña para proceder a la entrega controlada de los mismos. Efectuada una primera entrega a la empresa DEMOTRANS S.L., se detiene al titular de la misma, don Juan Ramón Martínez Navarro, quien participa en la siguiente fase de la entrega controlada, que debía efectuarse en la ciudad de Reus, a don Antonio Raja Juncosa, a quien también se detuvo. Posteriormente se procede a la apertura de los paquetes en presencia de los detenidos, del Juez, del Secretario Judicial y de una Letrada del turno de oficio, comprobándose que contenían 4.200 gr. de cocaína con una riqueza del 59 por 100, que en el mercado negro hubiese alcanzado un valor de 42.420.000 pesetas. Una semana después, el día 3 de julio de 1998, fue detenido el recurrente. En el momento de su detención, se le intervienen unas hojas manuscritas y dobladas, sin sobre, en el interior de una agenda que portaba, que la Guardia Civil lee e incorpora a la causa. Se trataba de una carta escrita por el coimputado don Antonio Raja desde la prisión, dirigida al recurrente, y que le fue entregada a través de otra persona. </w:t>
      </w:r>
    </w:p>
    <w:p w:rsidR="000B622C" w:rsidRDefault="000B622C" w:rsidP="000B622C">
      <w:pPr>
        <w:pStyle w:val="TextoNormal"/>
      </w:pPr>
      <w:r>
        <w:t xml:space="preserve">b) El recurrente fue condenado -junto con Antonio Raja- por Sentencia de 21 de junio de 2000, dictada por la Sección Décima de la Audiencia Provincial de Barcelona, como </w:t>
      </w:r>
      <w:r>
        <w:lastRenderedPageBreak/>
        <w:t xml:space="preserve">autor de un delito contra la salud pública, a la pena de nueve años de prisión, accesoria y multa de 42.420.000 pesetas, así como al pago de la mitad de las costas procesales. La citada Sentencia estima probado que el recurrente se había concertado previamente con el coprocesado Antonio Raja Juncosa con el fin de introducir la cocaína en España para su posterior distribución a terceros. Igualmente estima probado que fue el recurrente quien propuso al Sr. Raja participar en la recepción del envío y quien le daba las instrucciones, habiéndole indicado la necesidad de concertar la gestión con DEMOTRANS y habiéndole acompañado a la citada empresa en el momento de contratar la recepción del envío. </w:t>
      </w:r>
    </w:p>
    <w:p w:rsidR="000B622C" w:rsidRDefault="000B622C" w:rsidP="000B622C">
      <w:pPr>
        <w:pStyle w:val="TextoNormal"/>
      </w:pPr>
      <w:r>
        <w:t xml:space="preserve">c) Interpuesto recurso de casación contra la anterior resolución, la Sala Segunda del Tribunal Supremo, en Sentencia de 12 de mayo de 2001, decide desestimarlo, confirmando la Sentencia de la Audiencia. </w:t>
      </w:r>
    </w:p>
    <w:p w:rsidR="000B622C" w:rsidRDefault="000B622C" w:rsidP="000B622C">
      <w:pPr>
        <w:pStyle w:val="TextoNormal"/>
      </w:pPr>
      <w:r>
        <w:t xml:space="preserve">d) Interpuesto recurso de aclaración contra esta Sentencia (en el que, según el Auto, se alegaba incongruencia y falta de motivación), el mismo es resuelto por Auto de fecha 13 de septiembre de 2001, en el que el Tribunal Supremo afirma que las alegaciones quedan fuera del ámbito del recurso de aclaración, pero pese a todo resuelve sobre lo alegado, desestimando el recurso. </w:t>
      </w:r>
    </w:p>
    <w:p w:rsidR="000B622C" w:rsidRDefault="000B622C" w:rsidP="000B622C">
      <w:pPr>
        <w:pStyle w:val="TextoNormal"/>
      </w:pPr>
      <w:r>
        <w:t>e) El recurso de amparo es interpuesto el día 3 de julio de 2001, cuando aún estaba pendiente de resolución el recurso de aclaración. Con posterioridad, una vez resuelto, el recurrente presenta un nuevo escrito ante este Tribunal, de fecha 10 de octubre de 2001, en el que comunica la resolución de la aclaración y solicita que se tenga por reproducido el recurso de amparo.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la demanda de amparo se solicita que se declare que las resoluciones judiciales citadas han vulnerado el derecho del recurrente a la intimidad en relación con el derecho al secreto de las comunicaciones postales (art. 18.3 CE), el derecho a un proceso con todas las garantías (art. 24.2 CE), el derecho a la presunción de inocencia (art. 24.2 CE) y el derecho a la tutela judicial efectiva (art. 24.1 CE). </w:t>
      </w:r>
    </w:p>
    <w:p w:rsidR="000B622C" w:rsidRDefault="000B622C" w:rsidP="000B622C">
      <w:pPr>
        <w:pStyle w:val="TextoNormal"/>
      </w:pPr>
      <w:r>
        <w:t>Por otrosí, en la misma demanda, al amparo de lo previsto en el artículo 56.1 LOTC el demandante solicita se deje en suspenso la ejecución de la sentencia, alegando que su ejecución podría ocasionar a los recurrentes un perjuicio que haría perder al amparo su finalidad, que ya sufrió prisión provisional por esta causa del 3 de julio de 1998 al 17 de noviembre de 1999, y que de la suspensión no se derivaría perturbación grave de los intereses generales, ni de los derechos de terceros.</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Por providencia de 10 de diciembre de 2001, la Sección Segunda de este Tribunal acordó la admisión a trámite de la demanda así como, a tenor de lo establecido en el artículo 51 LOTC, requerir atentamente a la Sección Décima de la Audiencia Provincial de Barcelona y a la Sala de lo Penal del Tribunal Supremo, para que en plazo de diez días remitieran testimonio del procedimiento, interesándose al mismo tiempo que se emplace a quienes fueron parte en el mencionado procedimiento, para que en el plazo de diez días puedan comparecer en este proceso constitucional. </w:t>
      </w:r>
    </w:p>
    <w:p w:rsidR="000B622C" w:rsidRDefault="000B622C" w:rsidP="000B622C">
      <w:pPr>
        <w:pStyle w:val="TextoNormal"/>
      </w:pPr>
      <w:r>
        <w:t>En la misma providencia se acordó formar la correspondiente pieza separada de suspensión y, mediante otra providencia de la misma fecha, se acordó de conformidad con lo previsto en el artículo 56 LOTC conceder un plazo común de tres días al Ministerio Fiscal y al solicitante de amparo para que alegaran lo que estimaran pertinente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5</w:t>
      </w:r>
      <w:r>
        <w:t>. El 31 de diciembre de 2001 se registró en este Tribunal el escrito de alegaciones del recurrente, en el que reitera su solicitud de suspensión de la ejecución de la pena, dado que se trata de una condena a una pena de nueve años de prisión, que ya sufrió prisión provisional por esta causa, que es muy probable que la demanda de amparo prospere, que la ejecución de la pena impuesta haría perder al recurso su finalidad, ante la previsible demora en la resolución del mismo, y que la suspensión no afectaría ni a los intereses generales ni a los derechos fundamentales de terceros.</w:t>
      </w:r>
    </w:p>
    <w:p w:rsidR="000B622C" w:rsidRDefault="000B622C" w:rsidP="000B622C">
      <w:pPr>
        <w:pStyle w:val="TextoNormal"/>
      </w:pPr>
    </w:p>
    <w:p w:rsidR="000B622C" w:rsidRDefault="000B622C" w:rsidP="000B622C">
      <w:pPr>
        <w:pStyle w:val="TextoNormal"/>
      </w:pPr>
      <w:r w:rsidRPr="000B622C">
        <w:rPr>
          <w:rStyle w:val="NumeroAFNegritaCaracter"/>
        </w:rPr>
        <w:t>6</w:t>
      </w:r>
      <w:r>
        <w:t>. El 4 de enero de 2002 tuvo entrada en este Tribunal el escrito de alegaciones del Ministerio Fiscal. En dicho escrito, tras un breve relato de los antecedentes procesales y de la Jurisprudencia en esta materia, el Ministerio Público se opone a la suspensión de la ejecución de las resoluciones recurridas, pues entiende que, por mucho sea el tiempo que transcurra hasta que se resuelva la pretensión de amparo, el otorgamiento del mismo nunca carecería de finalidad, porque para entonces la pena habría empezado prácticamente a cumplirse y las prestaciones económicas que pudieran realizarse para el pago de las costas serían fácilmente retribuibles. Por tanto, desde la perspectiva de la irreparabilidad del perjuicio, lo procedente es denegar la suspensión.</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0B622C" w:rsidRDefault="000B622C" w:rsidP="000B622C">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000B622C" w:rsidRDefault="000B622C" w:rsidP="000B622C">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w:t>
      </w:r>
      <w:r>
        <w:lastRenderedPageBreak/>
        <w:t>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0B622C" w:rsidRDefault="000B622C" w:rsidP="000B622C">
      <w:pPr>
        <w:pStyle w:val="TextoNormal"/>
      </w:pPr>
    </w:p>
    <w:p w:rsidR="000B622C" w:rsidRDefault="000B622C" w:rsidP="000B622C">
      <w:pPr>
        <w:pStyle w:val="TextoNormal"/>
      </w:pPr>
      <w:r w:rsidRPr="000B622C">
        <w:rPr>
          <w:rStyle w:val="NumeroAFNegritaCaracter"/>
        </w:rPr>
        <w:t>2</w:t>
      </w:r>
      <w:r>
        <w:t>. La aplicación al caso de la doctrina reseñada nos debe conducir a la denegación de la suspensión solicitada, a la vista de que el recurrente ha sido condenado a una pena privativa de libertad de nueve años, accesoria, multa de 42.420.000 pesetas, y pago de la mitad de las costas procesales por un delito de tráfico de drogas.</w:t>
      </w:r>
    </w:p>
    <w:p w:rsidR="000B622C" w:rsidRDefault="000B622C" w:rsidP="000B622C">
      <w:pPr>
        <w:pStyle w:val="TextoNormal"/>
      </w:pPr>
      <w:r>
        <w:t>Ninguna duda ofrece la posibilidad de restitución íntegra del pago de la multa y de las costas, al tratarse de una prestación económica, de modo que su ejecución no ocasionaría ningún perjuicio irreparable y, por tanto, no procede la suspensión.</w:t>
      </w:r>
    </w:p>
    <w:p w:rsidR="000B622C" w:rsidRDefault="000B622C" w:rsidP="000B622C">
      <w:pPr>
        <w:pStyle w:val="TextoNormal"/>
      </w:pPr>
      <w:r>
        <w:t>Por lo que se refiere a la pena de prisión, la ponderación de intereses que hemos de llevar a cabo nos obliga a considerar, entre otros factores, la gravedad y trascendencia social del delito y la gravedad de la pena impuesta, factores que determinan un especial interés en su ejecución. Frente a ello, desde la perspectiva de la irreparabilidad del perjuicio, como señala el Ministerio Fiscal, a la vista de la fecha de la sentencia condenatoria y de la elevada condena, un eventual otorgamiento del mismo no le privaría de finalidad, pues todavía restaría un largo tiempo de cumplimiento.</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solicitada.</w:t>
      </w:r>
    </w:p>
    <w:p w:rsidR="000B622C" w:rsidRDefault="000B622C" w:rsidP="000B622C">
      <w:pPr>
        <w:pStyle w:val="TextoNormal"/>
      </w:pPr>
    </w:p>
    <w:p w:rsidR="000B622C" w:rsidRDefault="000B622C" w:rsidP="000B622C">
      <w:pPr>
        <w:pStyle w:val="TextoNormal"/>
      </w:pPr>
      <w:r>
        <w:t>Madrid, a veinticinco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27" w:name="AUTO_2002_26"/>
      <w:r>
        <w:lastRenderedPageBreak/>
        <w:t>AUTO 26/2002, de 26 de febrero de 2002</w:t>
      </w:r>
    </w:p>
    <w:bookmarkEnd w:id="127"/>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ECLI:ES:TC:2002:26A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Inadmite a trámite la cuestión de inconstitucionalidad 818-2001, planteada por el Juzgado de lo Contencioso-Administrativo núm. 2 de Girona, en relación con el art. 1 a) de la Ley Orgánica 6/1997, de 15 de septiembre, de transferencia de competencias ejecutivas en materia de tráfico y circulación de vehículos a motor a la Comunidad Autónoma de Cataluña</w:t>
      </w:r>
    </w:p>
    <w:p w:rsidR="000B622C" w:rsidRDefault="000B622C" w:rsidP="000B622C">
      <w:pPr>
        <w:pStyle w:val="SntesisDescriptiva"/>
      </w:pPr>
    </w:p>
    <w:p w:rsidR="000B622C" w:rsidRDefault="000B622C" w:rsidP="000B622C">
      <w:pPr>
        <w:pStyle w:val="SntesisAnaltica"/>
      </w:pPr>
      <w:r>
        <w:t>Non bis in idem, principio: sanciones por dos Administraciones públicas, respetado; concepto. Tráfico: potestad sancionadora compartida. Orden constitucional de competencias: transferencia de facultades estatales. Cataluña: competencia sobre tráfico. Procedimiento administrativo: complejo. Cuestión de inconstitucionalidad: juicio de relevancia insuficiente; notoriamente infundada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día 15 de febrero de 2001 tuvo entrada en el Registro General del Tribunal Constitucional un escrito de la Magistrada-Juez titular del Juzgado Administrativo núm. 2 de Girona al que se acompaña, junto al testimonio del correspondiente procedimiento, el Auto de 29 de diciembre de 2000, por el que se acuerda plantear cuestión de inconstitucionalidad en relación con el art. 1 a) de la Ley Orgánica 6/1997, de 15 de septiembre, de transferencia de competencias ejecutivas en materia de tráfico y circulación de vehículos a motor a la Comunidad Autónoma de Cataluña por su posible contradicción con el art. 25.1 CE.</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 cuestión trae causa del procedimiento abreviado núm. 192/00 promovido por don Marcos González Alsina contra la Resolución de la Delegación de Gobierno de la Generalidad en Girona, de 14 de enero de 1999, confirmada en alzada por Resolución del Servicio Catalán de Tráfico, de 15 de febrero de 2000, por la que se impuso al actor una sanción de multa de 75.000 pesetas por la comisión de una infracción muy grave prevista en el art. 20.1 del Real Decreto 13/1992, de 17 de enero, por el que se aprueba el Reglamento General de Circulación, consistente en conducir un vehículo a motor con una tasa de alcohol en aire espirado superior a 0,4 miligramos por litro. </w:t>
      </w:r>
    </w:p>
    <w:p w:rsidR="000B622C" w:rsidRDefault="000B622C" w:rsidP="000B622C">
      <w:pPr>
        <w:pStyle w:val="TextoNormal"/>
      </w:pPr>
      <w:r>
        <w:lastRenderedPageBreak/>
        <w:t xml:space="preserve">Concluso el procedimiento, con suspensión del término para dictar Sentencia, el Juzgado de lo Contencioso-Administrativo núm. 2 de Girona, por Auto de 1 de diciembre de 2000, acordó oír a las partes personadas y al Ministerio Fiscal, por un plazo común e improrrogable de diez días, para que pudieran formular alegaciones sobre la pertinencia de plantear cuestión de inconstitucionalidad en relación con el art. 1 a) y la disposición transitoria única de la Ley Orgánica 6/1997, de 15 de diciembre, de transferencia de competencias ejecutivas en materia de tráfico y circulación de vehículos a motor a la Comunidad Autónoma de Cataluña, por poder vulnerar "el derecho fundamental a un procedimiento con todas las garantías, previsto por el artículo 24.2 de la Constitución Española, por infracción del principio ne bis in idem, por, en su caso, ordenar la posibilidad de que unos mismos hechos, constitutivos de idéntica infracción, puedan ser sancionados en dos resoluciones distintas y por dos autoridades administrativas también distintas...". </w:t>
      </w:r>
    </w:p>
    <w:p w:rsidR="000B622C" w:rsidRDefault="000B622C" w:rsidP="000B622C">
      <w:pPr>
        <w:pStyle w:val="TextoNormal"/>
      </w:pPr>
      <w:r>
        <w:t>Evacuado el trámite de alegaciones conferido, se opusieron al planteamiento de la cuestión de inconstitucionalidad el Ministerio Fiscal y el Letrado de la Generalidad de Cataluña, en tanto que lo estimaron pertinente la representación letrada de la parte demandante en el proceso a quo y el Abogado del Estado.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el Auto de planteamiento de la cuestión de inconstitucionalidad el órgano judicial proponente realiza, en síntesis, las siguientes consideraciones: </w:t>
      </w:r>
    </w:p>
    <w:p w:rsidR="000B622C" w:rsidRDefault="000B622C" w:rsidP="000B622C">
      <w:pPr>
        <w:pStyle w:val="TextoNormal"/>
      </w:pPr>
      <w:r>
        <w:t xml:space="preserve">a) En virtud de lo dispuesto en el art. 1 a) de la Ley Orgánica 6/1997, de 15 de septiembre, se transfieren a la Comunidad Autónoma de Cataluña las facultades de ejecución de la legislación del Estado en materia de tráfico, circulación de vehículos y seguridad vial, salvo, entre otras, la facultad de suspender los permisos y licencias para conducir vehículos a motor como consecuencia de expedientes de sanción o en vía cautelar. </w:t>
      </w:r>
    </w:p>
    <w:p w:rsidR="000B622C" w:rsidRDefault="000B622C" w:rsidP="000B622C">
      <w:pPr>
        <w:pStyle w:val="TextoNormal"/>
      </w:pPr>
      <w:r>
        <w:t xml:space="preserve">En aplicación de la referida previsión legal, el Servicio Catalán de Tráfico, creado por Ley 14/1997, de 24 de diciembre, instruye y resuelve los expedientes sancionadores incoados por infracciones cometidas en materia de tráfico [art. 4 a)], imponiendo, en su caso, la sanción de multa correspondiente. Y, firme esta resolución, porque haya sido consentida o porque se hayan desestimado los recursos formulados en su contra tanto en vía administrativa como judicial, da cuenta de la sanción a la correspondiente Jefatura Provincial de Tráfico para que, tras los trámites oportunos, se imponga, de estimarse procedente, la sanción de suspensión de permiso de conducir por la Delegación del Gobierno en Cataluña. </w:t>
      </w:r>
    </w:p>
    <w:p w:rsidR="000B622C" w:rsidRDefault="000B622C" w:rsidP="000B622C">
      <w:pPr>
        <w:pStyle w:val="TextoNormal"/>
      </w:pPr>
      <w:r>
        <w:t xml:space="preserve">Así pues, se producen dos resoluciones sancionadoras, dictadas por las autoridades competentes de la Generalidad de Cataluña y de la Administración General del Estado en esta Comunidad Autónoma, respecto de unos mismos hechos constitutivos de idéntica infracción administrativa y contra una misma persona. De modo que la controversia estriba en determinar si la primera resolución sancionadora que se dicta cierra el expediente a una segunda o ulterior resolución sancionadora, que, de producirse, lo haría en contra del principio non bis in idem. </w:t>
      </w:r>
    </w:p>
    <w:p w:rsidR="000B622C" w:rsidRDefault="000B622C" w:rsidP="000B622C">
      <w:pPr>
        <w:pStyle w:val="TextoNormal"/>
      </w:pPr>
      <w:r>
        <w:t xml:space="preserve">b) En el supuesto objeto del proceso a quo se formuló denuncia contra el demandante don Marcos González Alsina por conducir un vehículo de motor con una tasa de alcohol en aire espirado superior a 0,4 miligramos por litro, constitutiva de una infracción tipificada como muy grave por el art. 65.5.2 b) de la Ley de Tráfico. Con esta denuncia se inició un expediente sancionador, instruido por los Servicios Territoriales en Girona del Servicio Catalán de Tráfico, en el que se dictó resolución sancionadora por el Delegado Territorial en Girona del Gobierno de la Generalidad, imponiéndole como autor de esa infracción una multa de 75.000 pesetas </w:t>
      </w:r>
    </w:p>
    <w:p w:rsidR="000B622C" w:rsidRDefault="000B622C" w:rsidP="000B622C">
      <w:pPr>
        <w:pStyle w:val="TextoNormal"/>
      </w:pPr>
      <w:r>
        <w:lastRenderedPageBreak/>
        <w:t xml:space="preserve">Por aplicación de lo antes expuesto cabe esperar que, una vez firme la Sentencia que recaiga en el presente recurso contencioso-administrativo y en el caso de que se declare ajustada a Derecho la sanción impuesta, el Servicio Catalán de Tráfico dé cuenta de la misma a la Jefatura Provincial de Tráfico de esta Provincia para que formule la correspondiente acusación contra la misma persona y por el mismo hecho, solicitando la imposición de una sanción de suspensión del permiso de conducir que, en su caso, será impuesta por la Delegada del Gobierno en Cataluña. </w:t>
      </w:r>
    </w:p>
    <w:p w:rsidR="000B622C" w:rsidRDefault="000B622C" w:rsidP="000B622C">
      <w:pPr>
        <w:pStyle w:val="TextoNormal"/>
      </w:pPr>
      <w:r>
        <w:t xml:space="preserve">c) Se alude, a continuación, en el Auto de planteamiento a la doctrina del Tribunal Constitucional sobre el principio ne bis in idem, respecto de la que se reproduce la declaración recogida en la STC 177/1999, de 11 de octubre, de que "irrogada una sanción, sea ésta de índole penal o administrativa, no cabe, sin vulnerar el mencionado derecho fundamental, superponer o adicionar otra distinta, siempre que concurran las tan repetidas identidades de sujeto, hecho y fundamento. Es éste el núcleo esencial el que ha de ser respetado en el ámbito de la potestad punitiva genéricamente considerada, para evitar que una única conducta infractora reciba un doble reproche aflictivo" (FJ 4). </w:t>
      </w:r>
    </w:p>
    <w:p w:rsidR="000B622C" w:rsidRDefault="000B622C" w:rsidP="000B622C">
      <w:pPr>
        <w:pStyle w:val="TextoNormal"/>
      </w:pPr>
      <w:r>
        <w:t xml:space="preserve">La aplicación de la mencionada doctrina al caso examinado ha de conducir, en opinión del órgano judicial proponente, a que la sanción de suspensión del permiso de conducir que en su día pudiera ser impuesta incumplirá la prohibición bis in idem por producirse respecto de una misma persona e infracción. En este sentido, rechazando las alegaciones que hicieran en el trámite de audiencia a las partes personadas el Ministerio Fiscal y el Abogado del Estado, entiende que la titularidad de la potestad sancionadora por parte de la Generalidad de Cataluña y de la Administración Central no impide que pueda vulnerarse el derecho fundamental a no ser doblemente castigado. </w:t>
      </w:r>
    </w:p>
    <w:p w:rsidR="000B622C" w:rsidRDefault="000B622C" w:rsidP="000B622C">
      <w:pPr>
        <w:pStyle w:val="TextoNormal"/>
      </w:pPr>
      <w:r>
        <w:t xml:space="preserve">d) Descarta también, en respuesta a las alegaciones que en el mismo trámite hiciera el Letrado de la Generalidad de Cataluña, la existencia en nuestro Ordenamiento de un procedimiento complejo para la imposición de sanciones. Al respecto aduce que el procedimiento sancionador se rige por el principio de legalidad (art. 134.1 de la Ley 30/1992, de 26 de noviembre, de Régimen Jurídico de las Administraciones Públicas y del Procedimiento Administrativo Común -LRJAPPAC-) y que de acuerdo con los arts. 87.1 y 89.1 LRJAPPAC el procedimiento administrativo sancionador concluye con una sola resolución que debe pronunciarse sobre la acusación incorporada a la propuesta de resolución y, por consiguiente, sobre todos los elementos constitutivos de la pretensión punitiva en ella ejercitada, pronunciándose sobre la existencia de los hechos y la culpabilidad del hasta ese momento presunto responsable, así como sobre las sanciones que legalmente merezca. </w:t>
      </w:r>
    </w:p>
    <w:p w:rsidR="000B622C" w:rsidRDefault="000B622C" w:rsidP="000B622C">
      <w:pPr>
        <w:pStyle w:val="TextoNormal"/>
      </w:pPr>
      <w:r>
        <w:t xml:space="preserve">Por su parte, el art. 79 del Real Decreto Legislativo 339/1990, de 2 de marzo, por el que se aprueba el Texto Articulado de la Ley sobre Tráfico, Circulación de Vehículos a Motor y Seguridad Vial no se aparta de este esquema, previendo tan sólo una acusación y una resolución que pone fin al procedimiento. </w:t>
      </w:r>
    </w:p>
    <w:p w:rsidR="000B622C" w:rsidRDefault="000B622C" w:rsidP="000B622C">
      <w:pPr>
        <w:pStyle w:val="TextoNormal"/>
      </w:pPr>
      <w:r>
        <w:t xml:space="preserve">Así pues, la resolución sancionadora pone fin al procedimiento y, por consiguiente, la segunda acusación no se formula ya contra un presunto responsable, sino contra el responsable de una infracción administrativa, al que, en una segunda resolución, se le impone otra sanción, poniendo término a otro procedimiento, toda vez que el primero, por mandato legal, concluyó con la anterior resolución. Dicho con otras palabras, dictada la resolución sancionadora se pone fin al procedimiento y, en consecuencia, la segunda sanción se produce con vulneración de lo dispuesto en el art. 133 LRJAPPAC, a cuyo tenor "no podrán sancionarse los hechos que hayan sido sancionados penal o administrativamente, en los casos en los que se aprecie identidad de sujeto, hecho y fundamento", recogiéndose en este precepto el principio ne bis in idem. </w:t>
      </w:r>
    </w:p>
    <w:p w:rsidR="000B622C" w:rsidRDefault="000B622C" w:rsidP="000B622C">
      <w:pPr>
        <w:pStyle w:val="TextoNormal"/>
      </w:pPr>
      <w:r>
        <w:lastRenderedPageBreak/>
        <w:t xml:space="preserve">e) En virtud del principio de legalidad en materia sancionadora no puede imponerse más sanción que la legalmente prevista, pero ésta debe imponerse siempre que se acredite la comisión por el acusado de la infracción que haya sido objeto de la acusación. </w:t>
      </w:r>
    </w:p>
    <w:p w:rsidR="000B622C" w:rsidRDefault="000B622C" w:rsidP="000B622C">
      <w:pPr>
        <w:pStyle w:val="TextoNormal"/>
      </w:pPr>
      <w:r>
        <w:t xml:space="preserve">En consecuencia, formulada la acusación, el órgano sancionador debe imponer todas las sanciones que procedan con arreglo a la Ley, sin más limitaciones que las impuestas por el principio acusatorio. </w:t>
      </w:r>
    </w:p>
    <w:p w:rsidR="000B622C" w:rsidRDefault="000B622C" w:rsidP="000B622C">
      <w:pPr>
        <w:pStyle w:val="TextoNormal"/>
      </w:pPr>
      <w:r>
        <w:t xml:space="preserve">Proyectada la doctrina constitucional en relación con el principio acusatorio sobre el procedimiento administrativo sancionador, resulta que el órgano sancionador queda desvinculado de la solicitud formulada por el órgano instructor en la propuesta de resolución o en el acuerdo de iniciación del expediente al que se le confiera el valor de aquélla, siempre y cuando respete los hechos declarados en ellas y se dirija a remediar la omisión de alguna de las sanciones forzosamente aparejadas a la infracción sancionada o se produzca dentro de los márgenes de la sanción correspondiente a la infracción que ha sido objeto de acusación y debate. Por ello legalmente no puede considerarse que el responsable de una infracción merezca más sanción que la que le fue impuesta en la resolución del procedimiento sancionador y cualquier otra sanción que se le imponga con posterioridad, se encuentre o no prevista en la Ley, supondrá la sanción reiterada de unos mismos hechos. </w:t>
      </w:r>
    </w:p>
    <w:p w:rsidR="000B622C" w:rsidRDefault="000B622C" w:rsidP="000B622C">
      <w:pPr>
        <w:pStyle w:val="TextoNormal"/>
      </w:pPr>
      <w:r>
        <w:t xml:space="preserve">f) El fundamento de la prohibición del ne bis in idem se encuentra en la necesidad de evitar el doble castigo de unos mismos hechos y la posibilidad de pronunciamientos contradictorios atribuidos a distintas autoridades. Como hemos visto, la aplicación del precepto legal cuestionado conduce a una doble incriminación y sanción de unos mismos hechos y también puede conducir a resoluciones contradictorias. </w:t>
      </w:r>
    </w:p>
    <w:p w:rsidR="000B622C" w:rsidRDefault="000B622C" w:rsidP="000B622C">
      <w:pPr>
        <w:pStyle w:val="TextoNormal"/>
      </w:pPr>
      <w:r>
        <w:t xml:space="preserve">En este sentido el órgano proponente manifiesta su discrepancia con el criterio mantenido en un supuesto idéntico por la Sala de lo Contencioso- Administrativo del Tribunal Superior de Justicia del País Vasco en su Sentencia de 3 de febrero de 1995, al entender que la primera resolución sancionadora impide una segunda resolución sobre la misma pretensión punitiva, salvo en lo relativo a la imposición de la sanción de suspensión del permiso de conducir. Tesis que considera inadmisible por contradecir la doctrina del Tribunal Constitucional sobre el principio ne bis in idem, de conformidad con la cual los elementos determinantes de la aplicación del mismo son el sujeto, el hecho y el fundamento y no, además de éstos, la identidad de sanción, como se viene a sostener en aquella Sentencia, de modo que, concurriendo la triple identidad de sujeto, hecho y fundamento, la primera resolución impide no sólo la nueva valoración de los hechos denunciados, sino su sanción. En caso contrario, de no ser aplicable el principio ne bis in idem, el segundo expediente tendría por objeto la totalidad de los elementos constitutivos de la pretensión punitiva ejercitada contra el ya responsable. </w:t>
      </w:r>
    </w:p>
    <w:p w:rsidR="000B622C" w:rsidRDefault="000B622C" w:rsidP="000B622C">
      <w:pPr>
        <w:pStyle w:val="TextoNormal"/>
      </w:pPr>
      <w:r>
        <w:t xml:space="preserve">En la mencionada Sentencia se rechaza que puedan producirse resoluciones contradictorias, al entender que la primera resolución vincula al órgano sancionador que dicta la segunda en cuanto a los hechos. Sin embargo tal razonamiento le parece al órgano judicial proponente contrario al derecho a la presunción de inocencia, que rige también en los procedimientos administrativos sancionadores (art. 137.1 LRJAPPAC). Impuesta la sanción de multa por los órganos competentes de la Generalidad de Cataluña, se puede iniciar un segundo procedimiento sancionador por los órganos de la Administración del Estado, en el que debe de respetarse la presunción de inocencia del acusado, quien ha de ser tenido por inocente hasta tanto se acredite con una prueba de cargo suficiente la conducta que se le reprocha. </w:t>
      </w:r>
    </w:p>
    <w:p w:rsidR="000B622C" w:rsidRDefault="000B622C" w:rsidP="000B622C">
      <w:pPr>
        <w:pStyle w:val="TextoNormal"/>
      </w:pPr>
      <w:r>
        <w:t xml:space="preserve">Consecuencia de lo anterior es la inexistencia en el derecho sancionador de la cosa juzgada positiva (STS, Sala Segunda, de 29 de abril de 1993), de modo que en el segundo o </w:t>
      </w:r>
      <w:r>
        <w:lastRenderedPageBreak/>
        <w:t xml:space="preserve">ulterior procedimiento podrá valorarse la resolución sancionadora dictada en el anterior para decidir sobre la prueba de los hechos imputados, lo que no impedirá que en este segundo expediente, por la autoridad sancionadora, o en el recurso contencioso-administrativo que se formule contra la segunda resolución, por la autoridad judicial, pueda considerarse no destruida la presunción de inocencia o entenderse probados otros hechos no constitutivos de infracción, pronunciándose, en consecuencia, de forma contradictoria a la primera resolución. Por último, tampoco puede olvidarse que la segunda resolución pueda declarar prescrita la acción para sancionar la infracción y, en tal caso, también se producirían dos resoluciones esencialmente contradictorias. </w:t>
      </w:r>
    </w:p>
    <w:p w:rsidR="000B622C" w:rsidRDefault="000B622C" w:rsidP="000B622C">
      <w:pPr>
        <w:pStyle w:val="TextoNormal"/>
      </w:pPr>
      <w:r>
        <w:t xml:space="preserve">g) En definitiva, la interpretación y aplicación del precepto legal cuestionado realizada por el Servicio Catalán de Tráfico y por los órganos competentes en materia de tráfico de la Administración General del Estado conduce a que la misma vulnera el derecho fundamental a la legalidad penal y sancionadora, en su vertiente de derecho a no ser doblemente sancionado por unos mismos hechos (art. 25.1 CE). </w:t>
      </w:r>
    </w:p>
    <w:p w:rsidR="000B622C" w:rsidRDefault="000B622C" w:rsidP="000B622C">
      <w:pPr>
        <w:pStyle w:val="TextoNormal"/>
      </w:pPr>
      <w:r>
        <w:t xml:space="preserve">Atendiendo al espíritu y finalidad de la Ley Orgánica 6/1997, de 15 de septiembre, así como a la previsión recogida en relación con el País Vasco en el Real Decreto 3256/1982, de 15 de diciembre, el órgano judicial entiende que la propuesta por las Administraciones demandadas es, a tenor de su literalidad, la interpretación procedente del precepto legal cuestionado, abandonando, por ello, la interpretación que sostuvo en su Sentencia de 30 de septiembre de 2000, de acuerdo con la cual, cuando la mencionada Ley Orgánica reserva al Estado la competencia para suspender los permisos y licencias para conducir vehículos de motor y ciclomotores como consecuencia de expedientes de sanción o en vía cautelar, le está reservando la potestad para sancionar todas las infracciones que puedan llevar aparejada esta sanción. </w:t>
      </w:r>
    </w:p>
    <w:p w:rsidR="000B622C" w:rsidRDefault="000B622C" w:rsidP="000B622C">
      <w:pPr>
        <w:pStyle w:val="TextoNormal"/>
      </w:pPr>
      <w:r>
        <w:t>h) Se refiere, por último, a los presupuestos procesales para el planteamiento de la cuestión de inconstitucionalidad, razonando al respecto que la parte actora alegó, como motivo del recurso, la falta de potestad de la Generalidad de Cataluña para imponer la sanción que es objeto del mismo, solicitando su nulidad. Así pues, la competencia del órgano sancionador en materia de tráfico de la Generalidad de Cataluña depende de la constitucionalidad del precepto legal cuestionado, en cuanto transfiere a esta Comunidad Autónoma la potestad sancionadora, reservando al Estado la facultad de suspender los permisos y licencias para conducir vehículos a motor y ciclomotores como consecuencia de expedientes de sanción o en vía cautelar.</w:t>
      </w:r>
    </w:p>
    <w:p w:rsidR="000B622C" w:rsidRDefault="000B622C" w:rsidP="000B622C">
      <w:pPr>
        <w:pStyle w:val="TextoNormal"/>
      </w:pPr>
    </w:p>
    <w:p w:rsidR="000B622C" w:rsidRDefault="000B622C" w:rsidP="000B622C">
      <w:pPr>
        <w:pStyle w:val="TextoNormal"/>
      </w:pPr>
      <w:r w:rsidRPr="000B622C">
        <w:rPr>
          <w:rStyle w:val="NumeroAFNegritaCaracter"/>
        </w:rPr>
        <w:t>4</w:t>
      </w:r>
      <w:r>
        <w:t>. La Sección Tercera del Tribunal Constitucional, por providencia de 15 de enero de 2002, acordó oír al Fiscal General del Estado para que, en el plazo de diez días y a los efectos que determina el art. 37.1 LOTC, formulase alegaciones acerca de la admisibilidad de la presente cuestión de inconstitucionalidad por posible carencia del juicio de relevancia y el carácter notoriamente infundado de la duda de constitucionalidad suscitada.</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Fiscal General del Estado evacuó el trámite de alegaciones conferido mediante escrito registrado en fecha 30 de enero de 2002, en el que interesó la inadmisión de la cuestión de inconstitucionalidad planteada por carecer del necesario juicio de relevancia y de manifiesto fundamento la duda suscitada, con base en la argumentación que, a continuación, sucintamente se extracta: </w:t>
      </w:r>
    </w:p>
    <w:p w:rsidR="000B622C" w:rsidRDefault="000B622C" w:rsidP="000B622C">
      <w:pPr>
        <w:pStyle w:val="TextoNormal"/>
      </w:pPr>
      <w:r>
        <w:t>a) En relación con la posible carencia del necesario juicio de relevancia, el Fiscal General del Estado sostiene que el Auto de planteamiento de la cuestión de inconstitucionalidad no aporta razonamiento alguno sobre el que apoyar la relevancia constitucional de la vali</w:t>
      </w:r>
      <w:r>
        <w:lastRenderedPageBreak/>
        <w:t xml:space="preserve">dez de la norma legal cuestionada y su relación con el sentido del fallo que ha de dictarse en el recurso contencioso-administrativo, teniendo en cuenta el precepto constitucional contra el que se afirma que colisiona y el principio que se contiene en el mismo. </w:t>
      </w:r>
    </w:p>
    <w:p w:rsidR="000B622C" w:rsidRDefault="000B622C" w:rsidP="000B622C">
      <w:pPr>
        <w:pStyle w:val="TextoNormal"/>
      </w:pPr>
      <w:r>
        <w:t xml:space="preserve">El precepto legal cuestionado, con observancia de lo dispuesto en el art. 150.2 CE y en el marco de una Ley Orgánica, autoriza la transferencia de casi todas las funciones de ejecución y aplicación de la normativa legal del Estado sobre circulación y tráfico de vehículos a la Comunidad Autónoma de Cataluña. Se trata, pues, de una norma que establece un régimen de transferencias de determinadas atribuciones sobre una materia de inicial competencia estatal a la Comunidad Autónoma, y no un régimen sancionatorio, en el que, además, toda la competencia, salvo algunas excepciones residuales que se especifican en la Ley, pasa a ser ostentada por la Generalidad de Cataluña. </w:t>
      </w:r>
    </w:p>
    <w:p w:rsidR="000B622C" w:rsidRDefault="000B622C" w:rsidP="000B622C">
      <w:pPr>
        <w:pStyle w:val="TextoNormal"/>
      </w:pPr>
      <w:r>
        <w:t xml:space="preserve">Si la pretensión de la parte actora en el proceso a quo, deducida en el acto de la vista como cuestión nueva, se localiza en la alegada falta de competencia objetiva de la Generalidad de Cataluña para imponer la sanción, el órgano judicial plantea la eventual cuestión de inconstitucionalidad apoyándola en una problemática que no ha sido realmente suscitada por el recurrente, pues en ningún momento la parte actora invocó en el recurso contencioso-administrativo la vulneración del principio non bis in idem, entre otras razones, porque aún no se había acordado la apertura de un supuesto segundo expediente por parte de la Administración del Estado para imponerle la sanción de suspensión del permiso de conducción y, por ello, dicho problema no se había originado todavía. El órgano judicial se anticipa, pues, a esta hipótesis ciertamente probable, pero aún no producida en la realidad, y suscita, por tanto, el planteamiento in abstracto de una cuestión de inconstitucionalidad sustentada sobre una problemática que no le ha sido puesta de manifiesto y, además, que aún no se ha originado. </w:t>
      </w:r>
    </w:p>
    <w:p w:rsidR="000B622C" w:rsidRDefault="000B622C" w:rsidP="000B622C">
      <w:pPr>
        <w:pStyle w:val="TextoNormal"/>
      </w:pPr>
      <w:r>
        <w:t xml:space="preserve">La pretensión del recurrente era la de instar la anulación de una sanción que reputaba contraria a derecho por haber sido dictada por una Administración incompetente. El Juzgado al dictar Sentencia disponía de dos posibilidades: o bien reputaba como competente a la Administración autonómica, para lo cual, con apoyo en el precepto legal cuestionado, bastaba la desestimación del recurso; o, por el contrario, afirmaba la competencia de la Administración del Estado, en cuyo caso sería suficiente con que, al igual que en recursos procedentes, hubiere anulado la sanción impuesta. En ningún caso podía entrar a resolver sobre una cuestión no planteada ni por las partes, ni tampoco por la realidad, como era la de la dualidad de dos expedientes sancionadores sobre unos mismos hechos, ya que tal circunstancia, en el momento de dictarse la Sentencia, todavía no se había producido. </w:t>
      </w:r>
    </w:p>
    <w:p w:rsidR="000B622C" w:rsidRDefault="000B622C" w:rsidP="000B622C">
      <w:pPr>
        <w:pStyle w:val="TextoNormal"/>
      </w:pPr>
      <w:r>
        <w:t xml:space="preserve">En definitiva, ni concurre en este caso el necesario juicio de relevancia, ni tampoco en el Auto que plantea la cuestión de inconstitucionalidad se justifica debidamente su concurrencia, por lo que, a falta de ese necesario requisito procesal, la cuestión debe ser inadmitida. </w:t>
      </w:r>
    </w:p>
    <w:p w:rsidR="000B622C" w:rsidRDefault="000B622C" w:rsidP="000B622C">
      <w:pPr>
        <w:pStyle w:val="TextoNormal"/>
      </w:pPr>
      <w:r>
        <w:t xml:space="preserve">b) En cuanto al tema de fondo suscitado, el Fiscal General del Estado, tras referirse a la normativa que regula el régimen jurídico de las infracciones y sanciones a la circulación y tráfico de los vehículos y, en concreto, a la que se relaciona con las conductas que contravienen los índices de alcoholemia normativamente establecidos [arts. 65.5.2 a) y 67.1 del Real Decreto Legislativo 339/1990, de 2 de marzo, en la reforma llevada a cabo por la Ley 5/1997, de 24 de marzo; Disposición adicional cuarta de la Ley 6/1997, de 14 de abril] y reproducir el contenido del precepto legal cuestionado, entiende que aquél estriba en determinar, en primer lugar, si la Ley Orgánica ha atribuido o no al órgano de gobierno de la Comunidad Autónoma de Cataluña las facultades correspondientes para la denuncia, iniciación, sustanciación y resolución de los expedientes sobre las infracciones a la Ley de </w:t>
      </w:r>
      <w:r>
        <w:lastRenderedPageBreak/>
        <w:t xml:space="preserve">Seguridad Vial en el territorio de dicha Comunidad Autónoma y, en segundo lugar, en caso de que así fuese, qué consecuencias se derivan para la coordinación que ha de existir entre las dos Administraciones en los supuestos de faltas muy graves o graves, teniendo en cuenta que el Estado conserva aún el ejercicio directo de determinadas funciones, como acontece, precisamente, con la del control de los permisos y licencia de conducción. </w:t>
      </w:r>
    </w:p>
    <w:p w:rsidR="000B622C" w:rsidRDefault="000B622C" w:rsidP="000B622C">
      <w:pPr>
        <w:pStyle w:val="TextoNormal"/>
      </w:pPr>
      <w:r>
        <w:t xml:space="preserve">En relación con el primero de los interrogantes apuntados, el Fiscal General del Estado clarifica aún más la cuestión planteada, al preguntarse a qué Administración o Administraciones, en su caso, compete el régimen sancionador establecido. Es evidente, afirma, que si correspondiese a ambas Administraciones concurrentes que, en el ejercicio independiente de sus competencias, pudieran imponer las sanciones por separado en función de la normativa de coordinación ya señalada, y, por tanto, a la Administración autonómica le correspondiera la fijación de una sanción de multa, previa apreciación de la infracción, y a la del Estado la suspensión del permiso o licencia de conducción, después de constatar la comisión de una infracción grave o muy grave, habría que concluir, de acuerdo con el órgano judicial proponente, que la norma colisiona frontalmente con el principio non bis in idem, al producirse dos enjuiciamientos sobre una misma conducta, un mismo sujeto -el conductor del vehículo- y con idéntico fundamento -la infracción de la normativa de seguridad vial-. </w:t>
      </w:r>
    </w:p>
    <w:p w:rsidR="000B622C" w:rsidRDefault="000B622C" w:rsidP="000B622C">
      <w:pPr>
        <w:pStyle w:val="TextoNormal"/>
      </w:pPr>
      <w:r>
        <w:t xml:space="preserve">Sin embargo no es esta la interpretación que cabe deducir del precepto cuestionado, ni de los que le proporcionan cobertura reglamentaria, ni, en fin, de la norma legal autonómica de coordinación, pues de todos ellos se deduce con nitidez la conclusión de que la competencia para la apreciación de las infracciones de seguridad vial corresponde a la Generalidad de Cataluña, que es la que ha de formular las denuncias, sustanciar los expedientes sancionadores e imponer las sanciones. Del término derivada que se emplea en el precepto legal cuestionado al enumerar las facultades que no se delegan a la Comunidad Autónoma pueden extraerse dos interpretaciones posibles. Puede entenderse que con el mismo se alude simplemente a la idea de procedencia de tales sanciones, en el sentido de que las medidas de anulación, intervención, revocación o suspensión de los permisos y licencia de conducción sean acordadas en virtud de los expedientes sancionadores previamente instruidos y resueltos, en cuyo caso la norma de transferencia nada aclararía sobre la cuestión planteada, pues es evidente que todo expediente sancionador en esta materia, si se trata de infracciones muy graves, acarrea la sanción de suspensión cuando es apreciada la infracción, e igual sucede si se adapta como medida cautelar. Por el contrario, acudiendo a una interpretación sistemática de todos los términos que configuran el precepto, puede entenderse también que corresponde por excepción al Estado la competencia para llevar a efecto la ejecución de la suspensión o anulación de un permiso o licencia de conducir como consecuencia de un expediente sancionador o una medida cautelar ya resuelto o concluido, lo que significaría que no es la Administración del Estado, sino la de la Comunidad Autónoma, la que ha llevado a término la apreciación de la infracción y la conclusión del expediente sancionador, derivando exclusivamente a la del Estado la ejecución automática de una consecuencia que trae causa de la apreciación de dicha infracción, como es en este caso acordar la suspensión del permiso de conducir, por imperativo del art. 67.1 de la Ley de Seguridad Vial. </w:t>
      </w:r>
    </w:p>
    <w:p w:rsidR="000B622C" w:rsidRDefault="000B622C" w:rsidP="000B622C">
      <w:pPr>
        <w:pStyle w:val="TextoNormal"/>
      </w:pPr>
      <w:r>
        <w:t>El Fiscal General del Estado considera que de las dos interpretaciones posibles el legislador estatal ha optado por la segunda, pues a dicha voluntad responde el Anexo B.1.b) del Real Decreto 391/1998, de 13 de marzo, que, en ejecución y desarrollo del mandato legislativo expuesto, atribuye la facultad de "instruir el expediente, así como la de dictar la re</w:t>
      </w:r>
      <w:r>
        <w:lastRenderedPageBreak/>
        <w:t xml:space="preserve">solución que le ponga término y hacerla ejecutar, percibiendo, en su caso, el importe de las multas" a la Administración de la Comunidad Autónoma de Cataluña. </w:t>
      </w:r>
    </w:p>
    <w:p w:rsidR="000B622C" w:rsidRDefault="000B622C" w:rsidP="000B622C">
      <w:pPr>
        <w:pStyle w:val="TextoNormal"/>
      </w:pPr>
      <w:r>
        <w:t xml:space="preserve">Es evidente que, por la norma legal de transferencia de las competencias ejecutivas y de las reglamentarias que la desarrollan, la única habilitada para determinar si en el ámbito territorial de Cataluña una conducta es merecedora o no de infracción a la seguridad vial y, por consiguiente, para su enjuiciamiento administrativo y ulterior imposición de una sanción, es la Administración catalana. De ahí que el Estado carezca en este caso de competencia alguna para enjuiciar nuevamente unos hechos sobre los que ya ha recaído una resolución apreciando la existencia de una infracción muy grave. Al Estado únicamente le corresponde completar con la ejecución de la suspensión del permiso la sanción legalmente prevista, sin que pueda entrar a valorar si la conducta del conductor ha sido o no merecedora de una calificación de falta grave o muy grave a la normativa de seguridad vial, pues esta competencia no le asiste en el territorio catalán. De modo que cuando el órgano administrativo competente de la Generalidad de Cataluña aprecia que una conducta es merecedora de una infracción grave o muy grave a la Ley de Seguridad Vial, es el único que tiene potestad para sustanciar el expediente sancionador, imponer la sanción en la resolución que le ponga término y llevar a cabo incluso la exacción de la multa que haya impuesto. En ejecución de este acuerdo precedentemente adoptado, y una vez firme el mismo, deberá remitir testimonio del expediente a la Administración del Estado para que ésta, sin facultades de decisión sobre la procedencia de la infracción y de la sanción a aplicar, ejecute el complemento de la sanción que la infracción muy grave conlleva consigo, esto es, la suspensión del permiso o licencia de conducción, toda vez que únicamente al Estado le queda reservado el control meramente administrativo de los permisos y licencias de conducción. </w:t>
      </w:r>
    </w:p>
    <w:p w:rsidR="000B622C" w:rsidRDefault="000B622C" w:rsidP="000B622C">
      <w:pPr>
        <w:pStyle w:val="TextoNormal"/>
      </w:pPr>
      <w:r>
        <w:t xml:space="preserve">Así pues, la tesis sostenida por el órgano judicial carece de modo manifiesto de todo fundamento, ya que el precepto legal cuestionado no contraviene la vigencia del principio non bis in idem. No puede hablarse, propiamente, de dos expedientes sancionadores en los que concurra, identidad de objeto, sujeto y fundamento, por la sencilla razón de que, para que así ocurriera sería preciso reconocerle a la Administración del Estado unas competencias de las que carece al haberlas transferido a la Comunidad Autónoma de Cataluña. Del análisis de la normativa de transferencia se desprende con toda nitidez que el Estado en este punto no tiene potestad para llevar a efecto un nuevo enjuiciamiento de la conducta declarada infractora por el precedente expediente sancionador resuelto por la Generalidad Catalana, sino que ha de limitarse, dando cumplimiento al mandato legislativo del art. 67.1 de la Ley de Seguridad Vial, a completar la sanción prevista para una falta muy grave, previamente apreciada en resolución firme. En definitiva, su actuación se reduce a ejecutar lo anteriormente resuelto, por lo que carece de todo sustento legal la afirmación efectuada en el Auto de planteamiento sobre la dualidad de enjuiciamientos referidos a la misma conducta. </w:t>
      </w:r>
    </w:p>
    <w:p w:rsidR="000B622C" w:rsidRDefault="000B622C" w:rsidP="000B622C">
      <w:pPr>
        <w:pStyle w:val="TextoNormal"/>
      </w:pPr>
      <w:r>
        <w:t xml:space="preserve">En puridad no puede hablarse, por tanto, de dos expedientes sancionadores, cuando, como se destaca en la norma reglamentaria de desarrollo legal a la cuestionada, la competencia para incoar, sustanciar y resolver el expediente sancionador le ha sido atribuida en exclusiva a la Generalidad de Cataluña. El expediente sancionador habrá concluido cuando resulte firme la sanción impuesta por el órgano administrativo catalán competente, pues es el único que habrá efectuado el enjuiciamiento de la conducta del infractor, y, por ende, impuesto la sanción. La labor del Estado en este caso se limita a ejecutar lo previamente resuelto, que no es otra cosa que, a una infracción calificada previamente como muy grave, agregarle, además de la sanción de la multa, la de suspensión del permiso o licencia de </w:t>
      </w:r>
      <w:r>
        <w:lastRenderedPageBreak/>
        <w:t xml:space="preserve">conducción, cuya ejecución no puede llevarla a la práctica la Comunidad Autónoma, por haberse reservado esta específica función el Estado. Sólo en esta faceta de ejecución interviene la Administración del Estado. </w:t>
      </w:r>
    </w:p>
    <w:p w:rsidR="000B622C" w:rsidRDefault="000B622C" w:rsidP="000B622C">
      <w:pPr>
        <w:pStyle w:val="TextoNormal"/>
      </w:pPr>
      <w:r>
        <w:t>En conclusión, no pude hablarse de dos expedientes sancionadores por unos mismos hechos, sino de un único expediente resuelto por la Administración catalana, si bien compartiendo las funciones de ejecución de lo ya resuelto, sin facultad alguna de decisión, los órganos de dos Administraciones: la autonómica y la estatal. En definitiva, la duda de constitucionalidad planteada, en opinión del Fiscal General del Estado, carece de modo manifiesto, por las razones expuestas, de todo fundamento constitucional.</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Juzgado de lo Contencioso-Administrativo núm. 2 de Girona plantea cuestión de inconstitucionalidad en relación con el art. 1 a) de la Ley Orgánica 6/1997, de 15 de septiembre, de transferencia de competencias ejecutivas en materia de tráfico y circulación de vehículos a motor a la Comunidad Autónoma de Cataluña. El precepto legal cuestionado resulta del siguiente tenor: "Art. 1. Se transfieren a la Comunidad Autónoma de Cataluña las facultades de ejecución de la legislación del Estado en materia de tráfico, circulación de vehículos y seguridad vial, a excepción de las siguientes: a) La facultad de expedir, revisar y canjear los permisos y licencias para conducir vehículos a motor y ciclomotores, así como la anulación, intervención, revocación y, en su caso, suspensión derivada de expedientes de sanción o en vía cautelar. (...)".</w:t>
      </w:r>
    </w:p>
    <w:p w:rsidR="000B622C" w:rsidRDefault="000B622C" w:rsidP="000B622C">
      <w:pPr>
        <w:pStyle w:val="TextoNormal"/>
      </w:pPr>
      <w:r>
        <w:t xml:space="preserve">El órgano judicial proponente sostiene en el Auto de planteamiento de la cuestión de inconstitucionalidad que, en aplicación del precepto legal trascrito, el Servicio Catalán de Tráfico es quien instruye y resuelve en el ámbito territorial de la Comunidad Autónoma los expedientes sancionadores incoados por infracciones cometidas en materia de tráfico, imponiendo, en su caso, la sanción de multa correspondiente, y que, una vez firme esta resolución, da cuenta de la sanción a la Jefatura Provincial de Tráfico, para que, tras los trámites oportunos, imponga, si resulta procedente, la sanción de suspensión del permiso de conducir. En su opinión, con tal proceder se producen dos resoluciones sancionadoras, dictadas por las autoridades competentes de la Generalidad de Cataluña y la Administración General del Estado en esta Comunidad Autónoma, respecto de unos mismos hechos constitutivos de idéntica infracción administrativa y contra una misma persona, de modo que la imposición en su día de la sanción de suspensión del permiso de conducir vulneraría el principio la prohibición del bis in idem (art. 25.1 CE), por recaer respecto de una misma persona e infracción. En esta línea de razonamiento descarta la existencia en nuestro Ordenamiento de un procedimiento complejo para la imposición de sanciones, pues el procedimiento administrativo sancionador se rige por el principio de legalidad (art. 134.1 Ley 20/1992, de 26 de noviembre), que concluye con una sola resolución, que debe pronunciarse sobre la acusación incorporada a la propuesta de resolución y, por consiguiente, sobre todos los elementos constitutivos de la pretensión punitiva ejercitada, pronunciándose sobre la existencia de los hechos y la culpabilidad del hasta ese momento presunto responsable, así como sobre las sanciones que legalmente merezca (art. 87.1 Ley 20/1992, de 26 de noviembre).  Esto es, la primera resolución sancionadora pone fin al procedimiento y, por consiguiente, la segunda acusación ya no se formula contra un presunto responsable, sino contra el responsable de una infracción administrativa, al que en una segunda resolución se le impone otra sanción, poniendo término a otro procedimiento, toda vez que </w:t>
      </w:r>
      <w:r>
        <w:lastRenderedPageBreak/>
        <w:t>el primero por mandato legal concluyó con la anterior sanción. En este sentido el órgano judicial proponente recuerda que la prohibición del ne bis in idem se encuentra en la necesidad de evitar el doble castigo por unos mismos hechos y la posibilidad de pronunciamientos contradictorios atribuidos a distintas autoridades, en tanto que el precepto legal cuestionado conduce a una doble incriminación y sanción por unos mismos hechos, y también puede conducir a resoluciones contradictorias.</w:t>
      </w:r>
    </w:p>
    <w:p w:rsidR="000B622C" w:rsidRDefault="000B622C" w:rsidP="000B622C">
      <w:pPr>
        <w:pStyle w:val="TextoNormal"/>
      </w:pPr>
    </w:p>
    <w:p w:rsidR="000B622C" w:rsidRDefault="000B622C" w:rsidP="000B622C">
      <w:pPr>
        <w:pStyle w:val="TextoNormal"/>
      </w:pPr>
      <w:r w:rsidRPr="000B622C">
        <w:rPr>
          <w:rStyle w:val="NumeroAFNegritaCaracter"/>
        </w:rPr>
        <w:t>2</w:t>
      </w:r>
      <w:r>
        <w:t>. En relación con la primera de las causas de inadmisibilidad puesta de manifiesto al Fiscal General del Estado en nuestra providencia de 15 de enero de 2002, y cuya apreciación éste comparte, consistente en la posible carencia del juicio de relevancia (art. 37.1 LOTC), es oportuno recordar que, a los efectos del correcto planteamiento de la cuestión de inconstitucionalidad, y, por tanto, de su admisión a trámite, la mera aplicabilidad en el proceso a quo de la norma legal cuestionada no es equivalente a la exigida relevancia constitucional del juicio que ha de expresar el órgano judicial. Un juicio que, de acuerdo con una reiterada doctrina constitucional que reproduce el ATC 163/1999, de 15 de junio, amén de demandar del proponente de la cuestión una argumentación razonable (ATC 946/1985, de 19 de diciembre), suficiente (ATC 493/1986, de 5 de junio) y coherente con el tipo de proceso en que se suscite la cuestión (STC 166/1986, de 19 de diciembre, FJ 6) acerca de la aludida relevancia, estriba en la relación de dependencia que debe existir entre el pronunciamiento sobre la validez de la Ley y el que ha de dictar el órgano judicial, de suerte que esta relación (correlación, conexión o nexo causal, por traer a colación otras expresiones de la jurisprudencia constitucional), de carácter lógico y directo, ha de venir referida, más que a la satisfacción o rechazo de la pretensión hecha valer en el correspondiente pleito, a la propia resolución judicial que ha de dictarse en aquél y cuyo pronunciamiento ha quedado en suspenso por razón de la promoción de la oportuna cuestión. Esto es, se trata de que el Juzgador ponga de manifiesto de qué manera, a la vista del objeto del proceso en curso, la alternativa que encierra la duda de constitucionalidad lo es también, idealmente pero no de modo necesario, para resolver aquél en uno u otro sentido, descartado ya cualquier otro parámetro distinto a la disposición de ley cuestionada para llegar a dicha resolución (ATC 493/1986, de 5 de junio). O, más precisamente aún, el juicio de relevancia que ha de emitir el órgano jurisdiccional ha de concretar justamente la interrelación entre pretensión procesal, objeto del proceso y resolución judicial (STC 80/1994, de 14 de marzo, FJ 2, por todas). En dicha línea jurisprudencial este Tribunal ha declarado en el mencionado ATC 163/1999, de 15 de junio, que el propio ámbito acotado por el órgano judicial como objeto de la duda de constitucional suscitada es lo decisivo a los efectos de la viabilidad de la cuestión, esto es, a los efectos de la relevancia del juicio en que se basa la promoción de la cuestión de inconstitucionalidad.</w:t>
      </w:r>
    </w:p>
    <w:p w:rsidR="000B622C" w:rsidRDefault="000B622C" w:rsidP="000B622C">
      <w:pPr>
        <w:pStyle w:val="TextoNormal"/>
      </w:pPr>
      <w:r>
        <w:t>Pues bien, en el presente caso ha de admitirse la directa aplicación en el proceso a quo del precepto legal cuestionado, en tanto que norma atributiva de competencia a favor de la Generalidad de Cataluña para la instrucción de los expedientes sancionadores en materia de tráfico y para imposición de las sanciones de multa, así como que la validez o no de aquel precepto legal, abstractamente considerada, resulta determinante de la decisión a adoptar en el proceso a quo en el supuesto de declararse inconstitucional en su totalidad, pues tal pronunciamiento implicaría la nulidad de la resolución administrativa sancionadora impugnada en el mismo. Ahora bien, y de acuerdo con la doctrina constitucional antes reseñada, no se puede dejar de resaltar que lo impugnado en el proceso a quo es únicamente la resolución administrativa de la Delegación de Gobierno de la Generalidad en Girona, confirmada por resolución del Servicio Catalán de Tráfico, por la que se le impuso al de</w:t>
      </w:r>
      <w:r>
        <w:lastRenderedPageBreak/>
        <w:t>mandante una sanción de multa por la comisión de una infracción muy grave, consistente en conducir un vehículo a motor con una tasa de alcohol en aire espirado superior a 0,4 miligramos por litro (art. 20.1 Real Decreto 13/1992, de 17 de enero), y que, si se ponen en conexión la pretensión procesal, el objeto del proceso y la resolución judicial a dictar con el ámbito de la duda de constitucionalidad acotada por el propio órgano judicial, esto es, la supuesta infracción por el precepto legal cuestionado del principio non bis in idem (art. 25.1 CE), la validez del precepto legal cuestionado es indiferente o, mejor dicho, no guarda una conexión estrecha y directa con el fallo a dictar en el proceso a quo, pues la supuesta lesión del principio constitucional non bis in idem (art. 25.1 CE) se producirá con ocasión de la imposición de la -denominada por el órgano judicial proponente- segunda sanción, esto es, con la imposición por la Administración del Estado de la sanción de suspensión del permiso de conducir, siendo entonces el momento en el que podría producirse la vulneración denunciada en el Auto de planteamiento de la cuestión de inconstitucional; por lo que, en su caso, debería ser el órgano judicial que conociese de la de la impugnación de esta segunda resolución administrativa sancionadora - utilizando los términos del órgano judicial proponente- quien debería suscitar en el seno del respectivo procedimiento la cuestión de inconstitucionalidad.</w:t>
      </w:r>
    </w:p>
    <w:p w:rsidR="000B622C" w:rsidRDefault="000B622C" w:rsidP="000B622C">
      <w:pPr>
        <w:pStyle w:val="TextoNormal"/>
      </w:pPr>
      <w:r>
        <w:t>En definitiva, no guardan una estrecha y directa relación con el asunto pendiente de resolución en el proceso a quo la argumentación jurídica del Auto de planteamiento, el precepto constitucional en él citado y los motivos que han llevado al órgano judicial a dudar de la inconstitucionalidad del precepto legal cuestionado, por lo que cabe observar que la duda de constitucionalidad ha sido planteada en términos abstractos y alejados de las exigencias de la resolución jurisdiccional de un caso concreto, lo que resulta incompatible con el carácter, proclamado en numerosas resoluciones de este Tribunal, de instrumento de control concreto de inconstitucionalidad propio de este proceso de constitucionalidad</w:t>
      </w:r>
    </w:p>
    <w:p w:rsidR="000B622C" w:rsidRDefault="000B622C" w:rsidP="000B622C">
      <w:pPr>
        <w:pStyle w:val="TextoNormal"/>
      </w:pPr>
    </w:p>
    <w:p w:rsidR="000B622C" w:rsidRDefault="000B622C" w:rsidP="000B622C">
      <w:pPr>
        <w:pStyle w:val="TextoNormal"/>
      </w:pPr>
      <w:r w:rsidRPr="000B622C">
        <w:rPr>
          <w:rStyle w:val="NumeroAFNegritaCaracter"/>
        </w:rPr>
        <w:t>3</w:t>
      </w:r>
      <w:r>
        <w:t>. En cuanto al tema de fondo suscitado, esto es, a la posible vulneración por el precepto legal cuestionado del principio constitucional non bis in idem, la cuestión de inconstitucionalidad resulta notoriamente infundada (art. 37.1 LOTC), en el sentido en el que este Tribunal viene utilizando esta expresión.</w:t>
      </w:r>
    </w:p>
    <w:p w:rsidR="000B622C" w:rsidRDefault="000B622C" w:rsidP="000B622C">
      <w:pPr>
        <w:pStyle w:val="TextoNormal"/>
      </w:pPr>
      <w:r>
        <w:t>En efecto, es reiterada doctrina constitucional que el art. 37.1 LOTC, en su segundo inciso, permite que las cuestiones de inconstitucionalidad sean rechazadas a limine mediante Auto, previa audiencia del Fiscal General del Estado, "cuando faltaren las condiciones procesales o fuere notoriamente infundada la cuestión suscitada". Este último precepto permite al Tribunal un margen de apreciación en el momento de controlar la solidez de la fundamentación de las cuestiones de inconstitucionalidad e inadmitir aquellas cuyo examen preliminar permita apreciar su falta de viabilidad, sin que ello signifique, necesariamente, una carencia total y absoluta de fundamentación o que ésta resulte arbitraria, pues puede resultar conveniente resolverlas en la primera fase procesal, a fin de despejar la duda de constitucionalidad, evitando así eventuales efectos no deseables sobre otros procesos (AATC 389/1990, de 29 de octubre; 287/1991, de 1 de octubre; 334/1991, de 29 de octubre; 134/1995, de 9 de mayo; 380/1996, de 17 de diciembre; 57/1998, de 3 de marzo; 229/1999, de 28 de septiembre).</w:t>
      </w:r>
    </w:p>
    <w:p w:rsidR="000B622C" w:rsidRDefault="000B622C" w:rsidP="000B622C">
      <w:pPr>
        <w:pStyle w:val="TextoNormal"/>
      </w:pPr>
    </w:p>
    <w:p w:rsidR="000B622C" w:rsidRDefault="000B622C" w:rsidP="000B622C">
      <w:pPr>
        <w:pStyle w:val="TextoNormal"/>
      </w:pPr>
      <w:r w:rsidRPr="000B622C">
        <w:rPr>
          <w:rStyle w:val="NumeroAFNegritaCaracter"/>
        </w:rPr>
        <w:t>4</w:t>
      </w:r>
      <w:r>
        <w:t>. El precepto legal cuestionado, según resulta de su propio tenor literal, se limita a transferir a la Comunidad Autónoma de Cataluña las facultades de ejecución de la legislación del Estado en materia de tráfico, circulación de vehículos y seguridad vial con la ex</w:t>
      </w:r>
      <w:r>
        <w:lastRenderedPageBreak/>
        <w:t>cepción, en lo que ahora interesa, de la facultad de suspender los permisos o licencias para conducir vehículos a motor, derivada de expedientes de sanción o en vía cautelar.</w:t>
      </w:r>
    </w:p>
    <w:p w:rsidR="000B622C" w:rsidRDefault="000B622C" w:rsidP="000B622C">
      <w:pPr>
        <w:pStyle w:val="TextoNormal"/>
      </w:pPr>
      <w:r>
        <w:t>En virtud del citado precepto legal, y así aparece reflejado en el Real Decreto 391/1998, de 13 de marzo, de traspaso y funciones de servicios de la Administración del Estado a la Comunidad Autónoma de Cataluña en materia de tráfico y circulación de vehículos a motor, cuyo valor interpretativo para determinar el alcance de la competencia ha reconocido reiteradamente este Tribunal (STC 153/1989, de 7 de noviembre, FJ 7), le corresponde a la Generalidad de Cataluña en relación con las sanciones en materia de tráfico, vehículos a motor y seguridad vial la facultad de instruir el expediente, así como la de dictar la resolución que le ponga término y hacerla ejecutar [Apartado B).1 b) Anexo Real Decreto 391/1998], en tanto que la Administración del Estado es competente, en aquellos casos en que esté prevista, para la imposición de la sanción consistente en la suspensión del permiso o licencia de conducir, si bien se traspasan también a la Generalidad de Cataluña la realización material de las funciones policiales derivadas de las medidas de intervención que respecto de los procesos de nulidad, anulabilidad, suspensión y pérdida de vigencia de permisos y licencias adopten las autoridades competentes [Apartado B).1 g) del Anexo del Real Decreto 391/1998].</w:t>
      </w:r>
    </w:p>
    <w:p w:rsidR="000B622C" w:rsidRDefault="000B622C" w:rsidP="000B622C">
      <w:pPr>
        <w:pStyle w:val="TextoNormal"/>
      </w:pPr>
      <w:r>
        <w:t>Así pues, de conformidad con el cuadro de infracciones y sanciones previsto en el Real Decreto Legislativo 339/1990, de 2 de marzo, por el que se aprueba el Texto Articulado de la Ley sobre Tráfico, Circulación de Vehículos a Motor y Seguridad Vial (arts.  65 y 67), a la Generalidad de Cataluña le corresponde la sanción de las infracciones leves, para las que está prevista únicamente la sanción de multa; en relación con las infracciones graves, sancionadas con multa, pudiéndose imponer además la sanción de suspensión del permiso o licencia de conducción hasta tres meses, a la Generalidad de Cataluña le corresponde la imposición de la sanción de multa y a la Administración del Estado la imposición, en su caso, de la sanción de suspensión del permiso o licencia de conducción; y, por último, por lo que respecta a las infracciones muy graves, sancionadas con multa y con la suspensión del permiso o licencia de conducción hasta tres meses, a la Generalidad de Cataluña le corresponde imponer la sanción de multa y a la Administración del Estado la de suspensión del permiso o licencia de conducción.</w:t>
      </w:r>
    </w:p>
    <w:p w:rsidR="000B622C" w:rsidRDefault="000B622C" w:rsidP="000B622C">
      <w:pPr>
        <w:pStyle w:val="TextoNormal"/>
      </w:pPr>
    </w:p>
    <w:p w:rsidR="000B622C" w:rsidRDefault="000B622C" w:rsidP="000B622C">
      <w:pPr>
        <w:pStyle w:val="TextoNormal"/>
      </w:pPr>
      <w:r w:rsidRPr="000B622C">
        <w:rPr>
          <w:rStyle w:val="NumeroAFNegritaCaracter"/>
        </w:rPr>
        <w:t>5</w:t>
      </w:r>
      <w:r>
        <w:t>. El órgano judicial proponente entiende, en síntesis, que el aludido reparto competencial entre la Generalidad de Cataluña y la Administración del Estado en materia de sanciones de tráfico, circulación de vehículos a motor y seguridad vial vulnera el principio constitucional non bis in idem (art. 25.1 CE), ya que supone, de un lado, la existencia de dos resoluciones sancionadoras respecto de unos mismos hechos constitutivos de idéntica infracción administrativa y contra una misma persona, a la que se la sanciona doblemente, y, de otro, la instrucción de dos expedientes administrativos sancionadores por autoridades distintas y con la posibilidad de pronunciamientos contradictorios, siendo tal dualidad de procedimientos contraria, además, a las previsiones de la Ley 30/1992, de 26 de noviembre, que excluye la existencia en nuestro Ordenamiento de un procedimiento complejo para la imposición de sanciones administrativas.</w:t>
      </w:r>
    </w:p>
    <w:p w:rsidR="000B622C" w:rsidRDefault="000B622C" w:rsidP="000B622C">
      <w:pPr>
        <w:pStyle w:val="TextoNormal"/>
      </w:pPr>
      <w:r>
        <w:t xml:space="preserve">Como se recuerda en la STC 177/1999, de 11 de octubre, es reiterada doctrina constitucional, desde la STC 2/1981, de 30 de enero, de que el principio non bis in idem forma parte integrante del derecho fundamental al principio de legalidad en materia penal y sancionadora (art. 25.1 CE), y que aquel principio, supone, en una de sus más conocidas manifestaciones, "que no recaiga duplicidad de sanciones - administrativa y penal- en los casos en que se aprecie la identidad del sujeto, hecho y fundamento sin la existencia de </w:t>
      </w:r>
      <w:r>
        <w:lastRenderedPageBreak/>
        <w:t>una relación de supremacía especial de la Administración -relación de funcionario, servicio público, concesionario, etc.- que justificase el ejercicio del ius puniendi por los Tribunales y a su vez de la potestad sancionadora de la Administración. Más concretamente, en lo que aquí ahora interesa, que es la consideración del mencionado principio constitucional en relación con autoridades de un mismo orden sancionador, este Tribunal Constitucional tiene declarado, en el sentido ya indicado, que el principio non bis in idem impide que por autoridades del mismo orden y a través de procedimientos distintos se sancione repetidamente la misma conducta, pues semejante posibilidad entrañaría una inadmisible reiteración en el ejercicio del ius puniendi del Estado e, inseparablemente, una abierta contradicción con el mismo derecho a la presunción de inocencia, porque la existencia de dos procedimientos sancionadores para un determinado ilícito deja abierta la posibilidad contraria a aquel derecho de que unos mismos hechos, sucesiva o simultáneamente, existan y dejen de existir para órganos del Estado (SSTC 159/1985, de 27 de noviembre FJ 3; 94/1986, de 8 de julio, FJ 4; 107/1989, de 8 de junio, FJ 4; 150/1991, de 4 de julio, FJ 9; 221/1997, de 4 de diciembre, FJ 3; 222/1997, de 4 de diciembre, FJ 3)".</w:t>
      </w:r>
    </w:p>
    <w:p w:rsidR="000B622C" w:rsidRDefault="000B622C" w:rsidP="000B622C">
      <w:pPr>
        <w:pStyle w:val="TextoNormal"/>
      </w:pPr>
      <w:r>
        <w:t>En fin, en relación con la perspectiva sustancial y procedimental del mencionado principio constitucional, se declaró en la mencionada STC 177/1999, de 11 de octubre, que desde la perspectiva sustancial el principio non bis in idem se configura como un derecho fundamental del ciudadano frente a la decisión de un poder público de castigarlo por unos hechos que ya fueron objeto de sanción, como consecuencia del anterior ejercicio del ius puniendi del Estado (FJ 3), y que, por su parte, su vertiente o articulación procedimental se orienta, esencialmente, no tan sólo a impedir el proscrito resultado de la doble incriminación y castigo por unos mismos hechos, sino también a evitar que recaigan eventuales pronunciamientos de signo contradictorio, en caso de permitir la prosecución paralela o simultánea de dos procedimientos (FJ 4).</w:t>
      </w:r>
    </w:p>
    <w:p w:rsidR="000B622C" w:rsidRDefault="000B622C" w:rsidP="000B622C">
      <w:pPr>
        <w:pStyle w:val="TextoNormal"/>
      </w:pPr>
    </w:p>
    <w:p w:rsidR="000B622C" w:rsidRDefault="000B622C" w:rsidP="000B622C">
      <w:pPr>
        <w:pStyle w:val="TextoNormal"/>
      </w:pPr>
      <w:r w:rsidRPr="000B622C">
        <w:rPr>
          <w:rStyle w:val="NumeroAFNegritaCaracter"/>
        </w:rPr>
        <w:t>6</w:t>
      </w:r>
      <w:r>
        <w:t>. Examinado a la luz de la doctrina constitucional expuesta el precepto legal cuestionado ha de concluirse que el mismo no es contrario, como se mantiene en el Auto de planteamiento de la cuestión de inconstitucionalidad, al principio constitucional non bis in idem.</w:t>
      </w:r>
    </w:p>
    <w:p w:rsidR="000B622C" w:rsidRDefault="000B622C" w:rsidP="000B622C">
      <w:pPr>
        <w:pStyle w:val="TextoNormal"/>
      </w:pPr>
      <w:r>
        <w:t>En relación con la vertiente o perspectiva material de este principio constitucional, el tipo único sancionador, si bien de carácter complejo, que opera en los supuestos de falta graves -de imponerse la sanción de suspensión del permiso o licencia de conducción- y muy graves no es sino consecuencia de la imposición de las sanciones legalmente establecidas para las infracciones graves y muy graves en materia de tráfico, vehículos a motor y seguridad vial, pero en ningún caso supone que se sancione repetidamente unos mismos hechos o conductas infractoras o que se sancione de nuevo unos hechos ya anteriormente sancionados; esto es, aquel tipo único sancionador en ningún caso supone, como consecuencia del reparto competencial que establece el precepto legal cuestionado, una dualidad de reproches o el doble resultado aflictivo por unos mismos hechos proscritos por el principio non bis in idem (STC 177/1999, de 11 de octubre, por todas).</w:t>
      </w:r>
    </w:p>
    <w:p w:rsidR="000B622C" w:rsidRDefault="000B622C" w:rsidP="000B622C">
      <w:pPr>
        <w:pStyle w:val="TextoNormal"/>
      </w:pPr>
      <w:r>
        <w:t>Respecto a la vertiente o perspectiva procedimental del principio non bis in idem ha de resaltarse, ante todo, que el precepto legal cuestionado, en sí mismo considerado, no contempla una concreta y determinada articulación procedimental del ejercicio de la potestad sancionadora por parte de la Generalidad de Cataluña y por parte de la Administración del Estado, sino que únicamente se limita a operar respecto a ambas Administraciones Públicas un determinado reparto de competencias en la materia, de modo que en ningún caso sería directamente imputable al citado precepto legal la forma concreta en que ambas Ad</w:t>
      </w:r>
      <w:r>
        <w:lastRenderedPageBreak/>
        <w:t>ministraciones articulen el ejercicio de la potestad sancionadora, por lo que la inconstitucionalidad que se denuncia no cabría predicarla directamente de dicho precepto legal.</w:t>
      </w:r>
    </w:p>
    <w:p w:rsidR="000B622C" w:rsidRDefault="000B622C" w:rsidP="000B622C">
      <w:pPr>
        <w:pStyle w:val="TextoNormal"/>
      </w:pPr>
      <w:r>
        <w:t>En todo caso, el modo en que opera en la práctica tal articulación, que no es sino el mismo que el seguido en relación con el País Vasco, previsto en el Real Decreto 3256/1982, de 15 de octubre, sobre traspasos de servicios del Estado a la Comunidad Autónoma del País Vasco en materia de ejecución de la legislación del Estado sobre tráfico y circulación de vehículos, aun si se aceptase la interpretación de la que parte el Auto de planteamiento de la cuestión de inconstitucionalidad, no supone la incoación de un doble procedimiento administrativo sancionador por unos mismos hechos. Es a la Comunidad Autónoma, en este caso, a la Generalidad de Cataluña, a la que le corresponde la incoación y resolución del procedimiento administrativo sancionador y, una vez impuesta la sanción de multa y si pudiera proceder, en su caso, la suspensión del permiso o licencia de conducción, remite el expediente administrativo a la Administración del Estado únicamente a los efectos de que pueda acordar dicha suspensión, sin que la Administración del Estado pueda entrar a revisar los hechos declarados probados en el expediente administrativo sancionador, ni la calificación jurídica de la infracción, que compete a la Generalidad de Cataluña. De modo que, ni se produce, en rigor, la incoación de dos procedimientos administrativos sancionadores, sino la remisión del expediente incoado a la Administración del Estado a los solos efectos de decidir, en su caso, sobre la suspensión del permiso o licencia de conducción, ni pueden, en consecuencia, recaer pronunciamientos de signo contradictorios de una y otra Administración sobre los hechos ni sobre su calificación jurídica.</w:t>
      </w:r>
    </w:p>
    <w:p w:rsidR="000B622C" w:rsidRDefault="000B622C" w:rsidP="000B622C">
      <w:pPr>
        <w:pStyle w:val="TextoNormal"/>
      </w:pPr>
      <w:r>
        <w:t>Aduce al respecto el órgano judicial que plantea la cuestión de inconstitucionalidad que tal configuración del procedimiento administrativo sancionador, que denomina como procedimiento complejo, es contraria a las previsiones de la Ley 30/1992, de 26 de noviembre.  Pero aun en la hipótesis de que procediera o se admitiera tal calificación, lo cierto es que la contradicción en modo alguno podría determinar la inconstitucionalidad del precepto legal cuestionado, sino únicamente una supuesta contradicción entre diversos preceptos legales.</w:t>
      </w:r>
    </w:p>
    <w:p w:rsidR="000B622C" w:rsidRDefault="000B622C" w:rsidP="000B622C">
      <w:pPr>
        <w:pStyle w:val="TextoNormal"/>
      </w:pPr>
    </w:p>
    <w:p w:rsidR="000B622C" w:rsidRDefault="000B622C" w:rsidP="000B622C">
      <w:pPr>
        <w:pStyle w:val="TextoNormal"/>
      </w:pPr>
      <w:r>
        <w:t>En virtud de lo expuesto, el Pleno</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a trámite de la presente cuestión de inconstitucionalidad.</w:t>
      </w:r>
    </w:p>
    <w:p w:rsidR="000B622C" w:rsidRDefault="000B622C" w:rsidP="000B622C">
      <w:pPr>
        <w:pStyle w:val="TextoNormal"/>
      </w:pPr>
    </w:p>
    <w:p w:rsidR="000B622C" w:rsidRDefault="000B622C" w:rsidP="000B622C">
      <w:pPr>
        <w:pStyle w:val="TextoNormal"/>
      </w:pPr>
      <w:r>
        <w:t>Madrid, a veintiséis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28" w:name="AUTO_2002_27"/>
      <w:r>
        <w:lastRenderedPageBreak/>
        <w:t>AUTO 27/2002, de 26 de febrero de 2002</w:t>
      </w:r>
    </w:p>
    <w:bookmarkEnd w:id="128"/>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ECLI:ES:TC:2002:27A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Inadmite a trámite la cuestión de inconstitucionalidad 819-2001, planteada por el Juzgado de lo Contencioso Administrativo núm. 2 de Girona.</w:t>
      </w:r>
    </w:p>
    <w:p w:rsidR="000B622C" w:rsidRDefault="000B622C" w:rsidP="000B622C">
      <w:pPr>
        <w:pStyle w:val="SntesisDescriptiva"/>
      </w:pPr>
    </w:p>
    <w:p w:rsidR="000B622C" w:rsidRDefault="000B622C" w:rsidP="000B622C">
      <w:pPr>
        <w:pStyle w:val="SntesisAnaltica"/>
      </w:pPr>
      <w:r>
        <w:t>Cuestión de inconstitucionalidad: juicio de relevancia insuficiente; notoriamente infundada [ATC 26/2002]</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día 15 de febrero de 2001 tuvo entrada en el Registro General del Tribunal Constitucional un escrito de la Magistrada-Juez titularContencioso- Administrativo núm. 2 de Girona al que se acompaña, junto al testimonio del correspondiente procedimiento, el Auto de 29 de diciembre de 2000, por el que se acuerda plantear cuestión de inconstitucionalidad en relación con el art. 1 a) de la Ley Orgánica 6/1997, de 15 de septiembre, de transferencia de competencias ejecutivas en materia de tráfico y circulación de vehículos a motor a la Comunidad Autónoma de Cataluña por su posible contradicción con el art. 25.1 CE.</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 cuestión trae causa del procedimiento abreviado núm. 167/00 promovido por don Pedro Forest Puig contra la Resolución de la Delegación de Gobierno de la Generalidad en Girona, de 3 de mayo de 1999, confirmada en alzada por Resolución del Servicio Catalán de Tráfico, de 14 de marzo de 2000, por la que se impuso al actor una sanción de multa de 50.000 pesetas por la comisión de una infracción grave prevista en el art. 50.1 del Real Decreto 13/1992, de 17 de enero, por el que se aprueba el Reglamento General de Circulación, consistente en circular por una vía urbana o travesía a una velocidad de 103 km/h, cuando la velocidad estaba limitada a 50 km/h. </w:t>
      </w:r>
    </w:p>
    <w:p w:rsidR="000B622C" w:rsidRDefault="000B622C" w:rsidP="000B622C">
      <w:pPr>
        <w:pStyle w:val="TextoNormal"/>
      </w:pPr>
      <w:r>
        <w:t xml:space="preserve">Concluso el procedimiento, con suspensión del término para dictar Sentencia, el Juzgado de lo Contencioso-Administrativo núm. 2 de Girona, por Auto de 1 de diciembre de 2000, acordó oír a las partes personadas y al Ministerio Fiscal, por un plazo común e improrrogable de diez días, para que pudieran formular alegaciones sobre la pertinencia de plantear cuestión de inconstitucionalidad en relación con el art. 1 a) y la disposición transitoria única de la Ley Orgánica 6/1997, de 15 de diciembre, de transferencia de competencias ejecutivas en materia de tráfico y circulación de vehículos a motor a la Comunidad </w:t>
      </w:r>
      <w:r>
        <w:lastRenderedPageBreak/>
        <w:t xml:space="preserve">Autónoma de Cataluña, por poder vulnerar "el derecho fundamental a un procedimiento con todas las garantías, previsto por el artículo 24.2 de la Constitución Española, por infracción del principio ne bis in idem, por, en su caso, ordenar la posibilidad de que unos mismos hechos, constitutivos de idéntica infracción, puedan ser sancionados en dos resoluciones distintas y por dos autoridades administrativas también distintas...". </w:t>
      </w:r>
    </w:p>
    <w:p w:rsidR="000B622C" w:rsidRDefault="000B622C" w:rsidP="000B622C">
      <w:pPr>
        <w:pStyle w:val="TextoNormal"/>
      </w:pPr>
      <w:r>
        <w:t>Evacuado el trámite de alegaciones conferido, se opusieron al planteamiento de la cuestión de inconstitucionalidad el Ministerio Fiscal y el Letrado de la Generalidad de Cataluña, en tanto que lo estimaron pertinente la representación letrada de la parte demandante en el proceso a quo y el Abogado del Estado.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el Auto de planteamiento de la cuestión de inconstitucionalidad el órgano judicial proponente realiza, en síntesis, las siguientes consideraciones: </w:t>
      </w:r>
    </w:p>
    <w:p w:rsidR="000B622C" w:rsidRDefault="000B622C" w:rsidP="000B622C">
      <w:pPr>
        <w:pStyle w:val="TextoNormal"/>
      </w:pPr>
      <w:r>
        <w:t xml:space="preserve">a) En virtud de lo dispuesto en el art. 1 a) de la Ley Orgánica 6/1997, de 15 de septiembre, se transfieren a la Comunidad Autónoma de Cataluña las facultades de ejecución de la legislación del Estado en materia de tráfico, circulación de vehículos y seguridad vial, salvo, entre otras, la facultad de suspender los permisos y licencias para conducir vehículos a motor como consecuencia de expedientes de sanción o en vía cautelar. </w:t>
      </w:r>
    </w:p>
    <w:p w:rsidR="000B622C" w:rsidRDefault="000B622C" w:rsidP="000B622C">
      <w:pPr>
        <w:pStyle w:val="TextoNormal"/>
      </w:pPr>
      <w:r>
        <w:t xml:space="preserve">En aplicación de la referida previsión legal, el Servicio Catalán de Tráfico, creado por Ley 14/1997, de 24 de diciembre, instruye y resuelve los expedientes sancionadores incoados por infracciones cometidas en materia de tráfico [art. 4 a)], imponiendo, en su caso, la sanción de multa correspondiente. Y, firme esta resolución, porque haya sido consentida o porque se hayan desestimado los recursos formulados en su contra tanto en vía administrativa como judicial, da cuenta de la sanción a la correspondiente Jefatura Provincial de Tráfico para que, tras los trámites oportunos, se imponga, de estimarse procedente, la sanción de suspensión de permiso de conducir por la Delegación del Gobierno en Cataluña. </w:t>
      </w:r>
    </w:p>
    <w:p w:rsidR="000B622C" w:rsidRDefault="000B622C" w:rsidP="000B622C">
      <w:pPr>
        <w:pStyle w:val="TextoNormal"/>
      </w:pPr>
      <w:r>
        <w:t xml:space="preserve">Así pues, se producen dos resoluciones sancionadoras, dictadas por las autoridades competentes de la Generalidad de Cataluña y de la Administración General del Estado en esta Comunidad Autónoma, respecto de unos mismos hechos constitutivos de idéntica infracción administrativa y contra una misma persona. De modo que la controversia estriba en determinar si la primera resolución sancionadora que se dicta cierra el expediente a una segunda o ulterior resolución sancionadora, que, de producirse, lo haría en contra del principio non bis in idem. </w:t>
      </w:r>
    </w:p>
    <w:p w:rsidR="000B622C" w:rsidRDefault="000B622C" w:rsidP="000B622C">
      <w:pPr>
        <w:pStyle w:val="TextoNormal"/>
      </w:pPr>
      <w:r>
        <w:t xml:space="preserve">b) En el supuesto objeto del proceso a quo se formuló denuncia contra el demandante don Pedro Forest Puig por circular a una velocidad de 103 km./h. cuando la velocidad estaba limitada a 50 km./h. constitutiva de una infracción tipificada como muy grave por el art. 65.4.3 de la Ley de Tráfico. Con esta denuncia se inició un expediente sancionador, instruido por los Servicios Territoriales en Girona del Servicio Catalán de Tráfico, en el que se dictó resolución sancionadora por el Delegado Territorial en Girona del Gobierno de la Generalidad, imponiéndole como autor de esa infracción una multa de 50.000 pesetas </w:t>
      </w:r>
    </w:p>
    <w:p w:rsidR="000B622C" w:rsidRDefault="000B622C" w:rsidP="000B622C">
      <w:pPr>
        <w:pStyle w:val="TextoNormal"/>
      </w:pPr>
      <w:r>
        <w:t xml:space="preserve">Por aplicación de lo antes expuesto cabe esperar que, una vez firme la Sentencia que recaiga en el presente recurso contencioso-administrativo y en el caso de que se declare ajustada a Derecho la sanción impuesta, el Servicio Catalán de Tráfico dé cuenta de la misma a la Jefatura Provincial de Tráfico de esta Provincia para que formule la correspondiente acusación contra la misma persona y por el mismo hecho, solicitando la imposición de una sanción de suspensión del permiso de conducir que, en su caso, será impuesta por la Delegada del Gobierno en Cataluña. </w:t>
      </w:r>
    </w:p>
    <w:p w:rsidR="000B622C" w:rsidRDefault="000B622C" w:rsidP="000B622C">
      <w:pPr>
        <w:pStyle w:val="TextoNormal"/>
      </w:pPr>
      <w:r>
        <w:lastRenderedPageBreak/>
        <w:t xml:space="preserve">c) Se alude, a continuación, en el Auto de planteamiento a la doctrina del Tribunal Constitucional sobre el principio ne bis in idem, respecto de la que se reproduce la declaración recogida en la STC 177/1999, de 11 de octubre, de que "irrogada una sanción, sea ésta de índole penal o administrativa, no cabe, sin vulnerar el mencionado derecho fundamental, superponer o adicionar otra distinta, siempre que concurran las tan repetidas identidades de sujeto, hecho y fundamento. Es éste el núcleo esencial el que ha de ser respetado en el ámbito de la potestad punitiva genéricamente considerada, para evitar que una única conducta infractora reciba un doble reproche aflictivo" (FJ 4). </w:t>
      </w:r>
    </w:p>
    <w:p w:rsidR="000B622C" w:rsidRDefault="000B622C" w:rsidP="000B622C">
      <w:pPr>
        <w:pStyle w:val="TextoNormal"/>
      </w:pPr>
      <w:r>
        <w:t xml:space="preserve">La aplicación de la mencionada doctrina al caso examinado ha de conducir, en opinión del órgano judicial proponente, a que la sanción de suspensión del permiso de conducir que en su día pudiera ser impuesta incumplirá la prohibición bis in idem por producirse respecto de una misma persona e infracción. En este sentido, rechazando las alegaciones que hicieran en el trámite de audiencia a las partes personadas el Ministerio Fiscal y el Abogado del Estado, entiende que la titularidad de la potestad sancionadora por parte de la Generalidad de Cataluña y de la Administración Central no impide que pueda vulnerarse el derecho fundamental a no ser doblemente castigado. </w:t>
      </w:r>
    </w:p>
    <w:p w:rsidR="000B622C" w:rsidRDefault="000B622C" w:rsidP="000B622C">
      <w:pPr>
        <w:pStyle w:val="TextoNormal"/>
      </w:pPr>
      <w:r>
        <w:t xml:space="preserve">d) Descarta también, en respuesta a las alegaciones que en el mismo trámite hiciera el Letrado de la Generalidad de Cataluña, la existencia en nuestro Ordenamiento de un procedimiento complejo para la imposición de sanciones. Al respecto aduce que el procedimiento sancionador se rige por el principio de legalidad (art. 134.1 de la Ley 30/1992, de 26 de noviembre, de Régimen Jurídico de las Administraciones Públicas y del Procedimiento Administrativo Común -LRJAPPAC-) y que de acuerdo con los arts. 87.1 y 89.1 LRJAPPAC el procedimiento administrativo sancionador concluye con una sola resolución que debe pronunciarse sobre la acusación incorporada a la propuesta de resolución y, por consiguiente, sobre todos los elementos constitutivos de la pretensión punitiva en ella ejercitada, pronunciándose sobre la existencia de los hechos y la culpabilidad del hasta ese momento presunto responsable, así como sobre las sanciones que legalmente merezca. </w:t>
      </w:r>
    </w:p>
    <w:p w:rsidR="000B622C" w:rsidRDefault="000B622C" w:rsidP="000B622C">
      <w:pPr>
        <w:pStyle w:val="TextoNormal"/>
      </w:pPr>
      <w:r>
        <w:t xml:space="preserve">Por su parte, el art. 79 del Real Decreto Legislativo 339/1990, de 2 de marzo, por el que se aprueba el Texto Articulado de la Ley sobre Tráfico, Circulación de Vehículos a Motor y Seguridad Vial no se aparta de este esquema, previendo tan sólo una acusación y una resolución que pone fin al procedimiento. </w:t>
      </w:r>
    </w:p>
    <w:p w:rsidR="000B622C" w:rsidRDefault="000B622C" w:rsidP="000B622C">
      <w:pPr>
        <w:pStyle w:val="TextoNormal"/>
      </w:pPr>
      <w:r>
        <w:t xml:space="preserve">Así pues, la resolución sancionadora pone fin al procedimiento y, por consiguiente, la segunda acusación no se formula ya contra un presunto responsable, sino contra el responsable de una infracción administrativa, al que, en una segunda resolución, se le impone otra sanción, poniendo término a otro procedimiento, toda vez que el primero, por mandato legal, concluyó con la anterior resolución. Dicho con otras palabras, dictada la resolución sancionadora se pone fin al procedimiento y, en consecuencia, la segunda sanción se produce con vulneración de lo dispuesto en el art. 133 LRJAPPAC, a cuyo tenor "no podrán sancionarse los hechos que hayan sido sancionados penal o administrativamente, en los casos en los que se aprecie identidad de sujeto, hecho y fundamento", recogiéndose en este precepto el principio ne bis in idem. </w:t>
      </w:r>
    </w:p>
    <w:p w:rsidR="000B622C" w:rsidRDefault="000B622C" w:rsidP="000B622C">
      <w:pPr>
        <w:pStyle w:val="TextoNormal"/>
      </w:pPr>
      <w:r>
        <w:t xml:space="preserve">e) En virtud del principio de legalidad en materia sancionadora no puede imponerse más sanción que la legalmente prevista, pero ésta debe imponerse siempre que se acredite la comisión por el acusado de la infracción que haya sido objeto de la acusación. </w:t>
      </w:r>
    </w:p>
    <w:p w:rsidR="000B622C" w:rsidRDefault="000B622C" w:rsidP="000B622C">
      <w:pPr>
        <w:pStyle w:val="TextoNormal"/>
      </w:pPr>
      <w:r>
        <w:t xml:space="preserve">En consecuencia, formulada la acusación, el órgano sancionador debe imponer todas las sanciones que procedan con arreglo a la Ley, sin más limitaciones que las impuestas por el principio acusatorio. </w:t>
      </w:r>
    </w:p>
    <w:p w:rsidR="000B622C" w:rsidRDefault="000B622C" w:rsidP="000B622C">
      <w:pPr>
        <w:pStyle w:val="TextoNormal"/>
      </w:pPr>
      <w:r>
        <w:lastRenderedPageBreak/>
        <w:t xml:space="preserve">Proyectada la doctrina constitucional en relación con el principio acusatorio sobre el procedimiento administrativo sancionador, resulta que el órgano sancionador queda desvinculado de la solicitud formulada por el órgano instructor en la propuesta de resolución o en el acuerdo de iniciación del expediente al que se le confiera el valor de aquélla, siempre y cuando respete los hechos declarados en ellas y se dirija a remediar la omisión de alguna de las sanciones forzosamente aparejadas a la infracción sancionada o se produzca dentro de los márgenes de la sanción correspondiente a la infracción que ha sido objeto de acusación y debate. Por ello legalmente no puede considerarse que el responsable de una infracción merezca más sanción que la que le fue impuesta en la resolución del procedimiento sancionador y cualquier otra sanción que se le imponga con posterioridad, se encuentre o no prevista en la Ley, supondrá la sanción reiterada de unos mismos hechos. </w:t>
      </w:r>
    </w:p>
    <w:p w:rsidR="000B622C" w:rsidRDefault="000B622C" w:rsidP="000B622C">
      <w:pPr>
        <w:pStyle w:val="TextoNormal"/>
      </w:pPr>
      <w:r>
        <w:t xml:space="preserve">f) El fundamento de la prohibición del ne bis in idem se encuentra en la necesidad de evitar el doble castigo de unos mismos hechos y la posibilidad de pronunciamientos contradictorios atribuidos a distintas autoridades. Como hemos visto, la aplicación del precepto legal cuestionado conduce a una doble incriminación y sanción de unos mismos hechos y también puede conducir a resoluciones contradictorias. </w:t>
      </w:r>
    </w:p>
    <w:p w:rsidR="000B622C" w:rsidRDefault="000B622C" w:rsidP="000B622C">
      <w:pPr>
        <w:pStyle w:val="TextoNormal"/>
      </w:pPr>
      <w:r>
        <w:t xml:space="preserve">En este sentido el órgano proponente manifiesta su discrepancia con el criterio mantenido en un supuesto idéntico por la Sala de lo Contencioso- Administrativo del Tribunal Superior de Justicia del País Vasco en su Sentencia de 3 de febrero de 1995, al entender que la primera resolución sancionadora impide una segunda resolución sobre la misma pretensión punitiva, salvo en lo relativo a la imposición de la sanción de suspensión del permiso de conducir. Tesis que considera inadmisible por contradecir la doctrina del Tribunal Constitucional sobre el principio ne bis in idem, de conformidad con la cual los elementos determinantes de la aplicación del mismo son el sujeto, el hecho y el fundamento y no, además de éstos, la identidad de sanción, como se viene a sostener en aquella Sentencia, de modo que, concurriendo la triple identidad de sujeto, hecho y fundamento, la primera resolución impide no sólo la nueva valoración de los hechos denunciados, sino su sanción. En caso contrario, de no ser aplicable el principio ne bis in idem, el segundo expediente tendría por objeto la totalidad de los elementos constitutivos de la pretensión punitiva ejercitada contra el ya responsable. </w:t>
      </w:r>
    </w:p>
    <w:p w:rsidR="000B622C" w:rsidRDefault="000B622C" w:rsidP="000B622C">
      <w:pPr>
        <w:pStyle w:val="TextoNormal"/>
      </w:pPr>
      <w:r>
        <w:t xml:space="preserve">En la mencionada Sentencia se rechaza que puedan producirse resoluciones contradictorias, al entender que la primera resolución vincula al órgano sancionador que dicta la segunda en cuanto a los hechos. Sin embargo tal razonamiento le parece al órgano judicial proponente contrario al derecho a la presunción de inocencia, que rige también en los procedimientos administrativos sancionadores (art. 137.1 LRJAPPAC). Impuesta la sanción de multa por los órganos competentes de la Generalidad de Cataluña, se puede iniciar un segundo procedimiento sancionador por los órganos de la Administración del Estado, en el que debe de respetarse la presunción de inocencia del acusado, quien ha de ser tenido por inocente hasta tanto se acredite con una prueba de cargo suficiente la conducta que se le reprocha. </w:t>
      </w:r>
    </w:p>
    <w:p w:rsidR="000B622C" w:rsidRDefault="000B622C" w:rsidP="000B622C">
      <w:pPr>
        <w:pStyle w:val="TextoNormal"/>
      </w:pPr>
      <w:r>
        <w:t>Consecuencia de lo anterior es la inexistencia en el derecho sancionador de la cosa juzgada positiva (STS, Sala Segunda, de 29 de abril de 1993), de modo que en el segundo o ulterior procedimiento podrá valorarse la resolución sancionadora dictada en el anterior para decidir sobre la prueba de los hechos imputados, lo que no impedirá que en este segundo expediente, por la autoridad sancionadora, o en el recurso contencioso- administrativo que se formule contra la segunda resolución, por la autoridad judicial, pueda considerarse no destruida la presunción de inocencia o entenderse probados otros hechos no constitutivos de infracción, pronunciándose, en consecuencia, de forma contradictoria a la pri</w:t>
      </w:r>
      <w:r>
        <w:lastRenderedPageBreak/>
        <w:t xml:space="preserve">mera resolución. Por último, tampoco puede olvidarse que la segunda resolución pueda declarar prescrita la acción para sancionar la infracción y, en tal caso, también se producirían dos resoluciones esencialmente contradictorias. </w:t>
      </w:r>
    </w:p>
    <w:p w:rsidR="000B622C" w:rsidRDefault="000B622C" w:rsidP="000B622C">
      <w:pPr>
        <w:pStyle w:val="TextoNormal"/>
      </w:pPr>
      <w:r>
        <w:t xml:space="preserve">g) En definitiva, la interpretación y aplicación del precepto legal cuestionado realizada por el Servicio Catalán de Tráfico y por los órganos competentes en materia de tráfico de la Administración General del Estado conduce a que la misma vulnera el derecho fundamental a la legalidad penal y sancionadora, en su vertiente de derecho a no ser doblemente sancionado por unos mismos hechos (art. 25.1 CE). </w:t>
      </w:r>
    </w:p>
    <w:p w:rsidR="000B622C" w:rsidRDefault="000B622C" w:rsidP="000B622C">
      <w:pPr>
        <w:pStyle w:val="TextoNormal"/>
      </w:pPr>
      <w:r>
        <w:t xml:space="preserve">Atendiendo al espíritu y finalidad de la Ley Orgánica 6/1997, de 15 de septiembre, así como a la previsión recogida en relación con el País Vasco en el Real Decreto 3256/1982, de 15 de diciembre, el órgano judicial entiende que la propuesta por las Administraciones demandadas es, a tenor de su literalidad, la interpretación procedente del precepto legal cuestionado, abandonando, por ello, la interpretación que sostuvo en su Sentencia de 30 de septiembre de 2000, de acuerdo con la cual, cuando la mencionada Ley Orgánica reserva al Estado la competencia para suspender los permisos y licencias para conducir vehículos de motor y ciclomotores como consecuencia de expedientes de sanción o en vía cautelar, le está reservando la potestad para sancionar todas las infracciones que puedan llevar aparejada esta sanción. </w:t>
      </w:r>
    </w:p>
    <w:p w:rsidR="000B622C" w:rsidRDefault="000B622C" w:rsidP="000B622C">
      <w:pPr>
        <w:pStyle w:val="TextoNormal"/>
      </w:pPr>
      <w:r>
        <w:t>h) Se refiere, por último, a los presupuestos procesales para el planteamiento de la cuestión de inconstitucionalidad, razonando al respecto que la parte actora alegó, como motivo del recurso, la falta de potestad de la Generalidad de Cataluña para imponer la sanción que es objeto del mismo, solicitando su nulidad. Así pues, la competencia del órgano sancionador en materia de tráfico de la Generalidad de Cataluña depende de la constitucionalidad del precepto legal cuestionado, en cuanto transfiere a esta Comunidad Autónoma la potestad sancionadora, reservando al Estado la facultad de suspender los permisos y licencias para conducir vehículos a motor y ciclomotores como consecuencia de expedientes de sanción o en vía cautelar.</w:t>
      </w:r>
    </w:p>
    <w:p w:rsidR="000B622C" w:rsidRDefault="000B622C" w:rsidP="000B622C">
      <w:pPr>
        <w:pStyle w:val="TextoNormal"/>
      </w:pPr>
    </w:p>
    <w:p w:rsidR="000B622C" w:rsidRDefault="000B622C" w:rsidP="000B622C">
      <w:pPr>
        <w:pStyle w:val="TextoNormal"/>
      </w:pPr>
      <w:r w:rsidRPr="000B622C">
        <w:rPr>
          <w:rStyle w:val="NumeroAFNegritaCaracter"/>
        </w:rPr>
        <w:t>4</w:t>
      </w:r>
      <w:r>
        <w:t>. La Sección Tercera del Tribunal Constitucional, por providencia de 15 de enero de 2002, acordó oír al Fiscal General del Estado para que, en el plazo de diez días y a los efectos que determina el art. 37.1 LOTC, formulase alegaciones acerca de la admisibilidad de la presente cuestión de inconstitucionalidad por posible carencia del juicio de relevancia y el carácter notoriamente infundado de la duda de constitucionalidad suscitada.</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Fiscal General del Estado evacuó el trámite de alegaciones conferido mediante escrito registrado en fecha 30 de enero de 2002, en el que interesó la inadmisión de la cuestión de inconstitucionalidad planteada por carecer del necesario juicio de relevancia y de manifiesto fundamento la duda suscitada, con base en la argumentación que, a continuación, sucintamente se extracta: </w:t>
      </w:r>
    </w:p>
    <w:p w:rsidR="000B622C" w:rsidRDefault="000B622C" w:rsidP="000B622C">
      <w:pPr>
        <w:pStyle w:val="TextoNormal"/>
      </w:pPr>
      <w:r>
        <w:t xml:space="preserve">a) En relación con la posible carencia del necesario juicio de relevancia, el Fiscal General del Estado sostiene que el Auto de planteamiento de la cuestión de inconstitucionalidad no aporta razonamiento alguno sobre el que apoyar la relevancia constitucional de la validez de la norma legal cuestionada y su relación con el sentido del fallo que ha de dictarse en el recurso contencioso-administrativo, teniendo en cuenta el precepto constitucional contra el que se afirma que colisiona y el principio que se contiene en el mismo. </w:t>
      </w:r>
    </w:p>
    <w:p w:rsidR="000B622C" w:rsidRDefault="000B622C" w:rsidP="000B622C">
      <w:pPr>
        <w:pStyle w:val="TextoNormal"/>
      </w:pPr>
      <w:r>
        <w:t>El precepto legal cuestionado, con observancia de lo dispuesto en el art. 150.2 CE y en el marco de una Ley Orgánica, autoriza la transferencia de casi todas las funciones de ejecución y aplicación de la normativa legal del Estado sobre circulación y tráfico de vehícu</w:t>
      </w:r>
      <w:r>
        <w:lastRenderedPageBreak/>
        <w:t xml:space="preserve">los a la Comunidad Autónoma de Cataluña. Se trata, pues, de una norma que establece un régimen de transferencias de determinadas atribuciones sobre una materia de inicial competencia estatal a la Comunidad Autónoma, y no un régimen sancionatorio, en el que, además, toda la competencia, salvo algunas excepciones residuales que se especifican en la Ley, pasa a ser ostentada por la Generalidad de Cataluña. </w:t>
      </w:r>
    </w:p>
    <w:p w:rsidR="000B622C" w:rsidRDefault="000B622C" w:rsidP="000B622C">
      <w:pPr>
        <w:pStyle w:val="TextoNormal"/>
      </w:pPr>
      <w:r>
        <w:t xml:space="preserve">Si la pretensión de la parte actora en el proceso a quo, deducida en el acto de la vista como cuestión nueva, se localiza en la alegada falta de competencia objetiva de la Generalidad de Cataluña para imponer la sanción, el órgano judicial plantea la eventual cuestión de inconstitucionalidad apoyándola en una problemática que no ha sido realmente suscitada por el recurrente, pues en ningún momento la parte actora invocó en el recurso contencioso-administrativo la vulneración del principio non bis in idem, entre otras razones, porque aún no se había acordado la apertura de un supuesto segundo expediente por parte de la Administración del Estado para imponerle la sanción de suspensión del permiso de conducción y, por ello, dicho problema no se había originado todavía. El órgano judicial se anticipa, pues, a esta hipótesis ciertamente probable, pero aún no producida en la realidad, y suscita, por tanto, el planteamiento in abstracto de una cuestión de inconstitucionalidad sustentada sobre una problemática que no le ha sido puesta de manifiesto y, además, que aún no se ha originado. </w:t>
      </w:r>
    </w:p>
    <w:p w:rsidR="000B622C" w:rsidRDefault="000B622C" w:rsidP="000B622C">
      <w:pPr>
        <w:pStyle w:val="TextoNormal"/>
      </w:pPr>
      <w:r>
        <w:t xml:space="preserve">La pretensión del recurrente era la de instar la anulación de una sanción que reputaba contraria a derecho por haber sido dictada por una Administración incompetente. El Juzgado al dictar Sentencia disponía de dos posibilidades: o bien reputaba como competente a la Administración autonómica, para lo cual, con apoyo en el precepto legal cuestionado, bastaba la desestimación del recurso; o, por el contrario, afirmaba la competencia de la Administración del Estado, en cuyo caso sería suficiente con que, al igual que en recursos procedentes, hubiere anulado la sanción impuesta. En ningún caso podía entrar a resolver sobre una cuestión no planteada ni por las partes, ni tampoco por la realidad, como era la de la dualidad de dos expedientes sancionadores sobre unos mismos hechos, ya que tal circunstancia, en el momento de dictarse la Sentencia, todavía no se había producido. </w:t>
      </w:r>
    </w:p>
    <w:p w:rsidR="000B622C" w:rsidRDefault="000B622C" w:rsidP="000B622C">
      <w:pPr>
        <w:pStyle w:val="TextoNormal"/>
      </w:pPr>
      <w:r>
        <w:t xml:space="preserve">En definitiva, ni concurre en este caso el necesario juicio de relevancia, ni tampoco en el Auto que plantea la cuestión de inconstitucionalidad se justifica debidamente su concurrencia, por lo que, a falta de ese necesario requisito procesal, la cuestión debe ser inadmitida. </w:t>
      </w:r>
    </w:p>
    <w:p w:rsidR="000B622C" w:rsidRDefault="000B622C" w:rsidP="000B622C">
      <w:pPr>
        <w:pStyle w:val="TextoNormal"/>
      </w:pPr>
      <w:r>
        <w:t xml:space="preserve">b) En cuanto al tema de fondo suscitado, el Fiscal General del Estado, tras referirse a la normativa que regula el régimen jurídico de las infracciones y sanciones a la circulación y tráfico de los vehículos y, en concreto, a la consideración como infracción muy grave de la conducción por las vías públicas de vehículos a velocidad superior a la reglamentariamente establecida [arts. 65) y 67.1 del Real Decreto Legislativo 339/1990, de 2 de marzo, en la reforma llevada a cabo por la Ley 5/1997, de 24 de marzo; Disposición adicional cuarta de la Ley 6/1997, de 14 de abril] y reproducir el contenido del precepto legal cuestionado, entiende que aquél estriba en determinar, en primer lugar, si la Ley Orgánica ha atribuido o no al órgano de gobierno de la Comunidad Autónoma de Cataluña las facultades correspondientes para la denuncia, iniciación, sustanciación y resolución de los expedientes sobre las infracciones a la Ley de Seguridad Vial en el territorio de dicha Comunidad Autónoma y, en segundo lugar, en caso de que así fuese, qué consecuencias se derivan para la coordinación que ha de existir entre las dos Administraciones en los supuestos de faltas muy graves o graves, teniendo en cuenta que el Estado conserva aún el ejercicio directo de determinadas funciones, como acontece, precisamente, con la del control de los permisos y licencia de conducción. </w:t>
      </w:r>
    </w:p>
    <w:p w:rsidR="000B622C" w:rsidRDefault="000B622C" w:rsidP="000B622C">
      <w:pPr>
        <w:pStyle w:val="TextoNormal"/>
      </w:pPr>
      <w:r>
        <w:lastRenderedPageBreak/>
        <w:t xml:space="preserve">En relación con el primero de los interrogantes apuntados, el Fiscal General del Estado clarifica aún más la cuestión planteada, al preguntarse a qué Administración o Administraciones, en su caso, compete el régimen sancionador establecido. Es evidente, afirma, que si correspondiese a ambas Administraciones concurrentes que, en el ejercicio independiente de sus competencias, pudieran imponer las sanciones por separado en función de la normativa de coordinación ya señalada, y, por tanto, a la Administración autonómica le correspondiera la fijación de una sanción de multa, previa apreciación de la infracción, y a la del Estado la suspensión del permiso o licencia de conducción, después de constatar la comisión de una infracción grave o muy grave, habría que concluir, de acuerdo con el órgano judicial proponente, que la norma colisiona frontalmente con el principio non bis in idem, al producirse dos enjuiciamientos sobre una misma conducta, un mismo sujeto -el conductor del vehículo- y con idéntico fundamento -la infracción de la normativa de seguridad vial-. </w:t>
      </w:r>
    </w:p>
    <w:p w:rsidR="000B622C" w:rsidRDefault="000B622C" w:rsidP="000B622C">
      <w:pPr>
        <w:pStyle w:val="TextoNormal"/>
      </w:pPr>
      <w:r>
        <w:t xml:space="preserve">Sin embargo no es esta la interpretación que cabe deducir del precepto cuestionado, ni de los que le proporcionan cobertura reglamentaria, ni, en fin, de la norma legal autonómica de coordinación, pues de todos ellos se deduce con nitidez la conclusión de que la competencia para la apreciación de las infracciones de seguridad vial corresponde a la Generalidad de Cataluña, que es la que ha de formular las denuncias, sustanciar los expedientes sancionadores e imponer las sanciones. Del término derivada que se emplea en el precepto legal cuestionado al enumerar las facultades que no se delegan a la Comunidad Autónoma pueden extraerse dos interpretaciones posibles. Puede entenderse que con el mismo se alude simplemente a la idea de procedencia de tales sanciones, en el sentido de que las medidas de anulación, intervención, revocación o suspensión de los permisos y licencia de conducción sean acordadas en virtud de los expedientes sancionadores previamente instruidos y resueltos, en cuyo caso la norma de transferencia nada aclararía sobre la cuestión planteada, pues es evidente que todo expediente sancionador en esta materia, si se trata de infracciones muy graves, acarrea la sanción de suspensión cuando es apreciada la infracción, e igual sucede si se adapta como medida cautelar. Por el contrario, acudiendo a una interpretación sistemática de todos los términos que configuran el precepto, puede entenderse también que corresponde por excepción al Estado la competencia para llevar a efecto la ejecución de la suspensión o anulación de un permiso o licencia de conducir como consecuencia de un expediente sancionador o una medida cautelar ya resuelto o concluido, lo que significaría que no es la Administración del Estado, sino la de la Comunidad Autónoma, la que ha llevado a término la apreciación de la infracción y la conclusión del expediente sancionador, derivando exclusivamente a la del Estado la ejecución automática de una consecuencia que trae causa de la apreciación de dicha infracción, como es en este caso acordar la suspensión del permiso de conducir, por imperativo del art. 67.1 de la Ley de Seguridad Vial. </w:t>
      </w:r>
    </w:p>
    <w:p w:rsidR="000B622C" w:rsidRDefault="000B622C" w:rsidP="000B622C">
      <w:pPr>
        <w:pStyle w:val="TextoNormal"/>
      </w:pPr>
      <w:r>
        <w:t xml:space="preserve">El Fiscal General del Estado considera que de las dos interpretaciones posibles el legislador estatal ha optado por la segunda, pues a dicha voluntad responde el Anexo B.1 b) del Real Decreto 391/1998, de 13 de marzo, que, en ejecución y desarrollo del mandato legislativo expuesto, atribuye la facultad de "instruir el expediente, así como la de dictar la resolución que le ponga término y hacerla ejecutar, percibiendo, en su caso, el importe de las multas" a la Administración de la Comunidad Autónoma de Cataluña. </w:t>
      </w:r>
    </w:p>
    <w:p w:rsidR="000B622C" w:rsidRDefault="000B622C" w:rsidP="000B622C">
      <w:pPr>
        <w:pStyle w:val="TextoNormal"/>
      </w:pPr>
      <w:r>
        <w:t>Es evidente que, por la norma legal de transferencia de las competencias ejecutivas y de las reglamentarias que la desarrollan, la única habilitada para determinar si en el ámbito territorial de Cataluña una conducta es merecedora o no de infracción a la seguridad vial y, por consiguiente, para su enjuiciamiento administrativo y ulterior imposición de una san</w:t>
      </w:r>
      <w:r>
        <w:lastRenderedPageBreak/>
        <w:t xml:space="preserve">ción, es la Administración catalana. De ahí que el Estado carezca en este caso de competencia alguna para enjuiciar nuevamente unos hechos sobre los que ya ha recaído una resolución apreciando la existencia de una infracción muy grave. Al Estado únicamente le corresponde completar con la ejecución de la suspensión del permiso la sanción legalmente prevista, sin que pueda entrar a valorar si la conducta del conductor ha sido o no merecedora de una calificación de falta grave o muy grave a la normativa de seguridad vial, pues esta competencia no le asiste en el territorio catalán. De modo que cuando el órgano administrativo competente de la Generalidad de Cataluña aprecia que una conducta es merecedora de una infracción grave o muy grave a la Ley de Seguridad Vial, es el único que tiene potestad para sustanciar el expediente sancionador, imponer la sanción en la resolución que le ponga término y llevar a cabo incluso la exacción de la multa que haya impuesto. En ejecución de este acuerdo precedentemente adoptado, y una vez firme el mismo, deberá remitir testimonio del expediente a la Administración del Estado para que ésta, sin facultades de decisión sobre la procedencia de la infracción y de la sanción a aplicar, ejecute el complemento de la sanción que la infracción muy grave conlleva consigo, esto es, la suspensión del permiso o licencia de conducción, toda vez que únicamente al Estado le queda reservado el control meramente administrativo de los permisos y licencias de conducción. </w:t>
      </w:r>
    </w:p>
    <w:p w:rsidR="000B622C" w:rsidRDefault="000B622C" w:rsidP="000B622C">
      <w:pPr>
        <w:pStyle w:val="TextoNormal"/>
      </w:pPr>
      <w:r>
        <w:t xml:space="preserve">Así pues, la tesis sostenida por el órgano judicial carece de modo manifiesto de todo fundamento, ya que el precepto legal cuestionado no contraviene la vigencia del principio non bis in idem. No puede hablarse, propiamente, de dos expedientes sancionadores en los que concurra, identidad de objeto, sujeto y fundamento, por la sencilla razón de que, para que así ocurriera sería preciso reconocerle a la Administración del Estado unas competencias de las que carece al haberlas transferido a la Comunidad Autónoma de Cataluña. Del análisis de la normativa de transferencia se desprende con toda nitidez que el Estado en este punto no tiene potestad para llevar a efecto un nuevo enjuiciamiento de la conducta declarada infractora por el precedente expediente sancionador resuelto por la Generalidad Catalana, sino que ha de limitarse, dando cumplimiento al mandato legislativo del art. 67.1 de la Ley de Seguridad Vial, a completar la sanción prevista para una falta muy grave, previamente apreciada en resolución firme. En definitiva, su actuación se reduce a ejecutar lo anteriormente resuelto, por lo que carece de todo sustento legal la afirmación efectuada en el Auto de planteamiento sobre la dualidad de enjuiciamientos referidos a la misma conducta. </w:t>
      </w:r>
    </w:p>
    <w:p w:rsidR="000B622C" w:rsidRDefault="000B622C" w:rsidP="000B622C">
      <w:pPr>
        <w:pStyle w:val="TextoNormal"/>
      </w:pPr>
      <w:r>
        <w:t xml:space="preserve">En puridad no puede hablarse, por tanto, de dos expedientes sancionadores, cuando, como se destaca en la norma reglamentaria de desarrollo legal a la cuestionada, la competencia para incoar, sustanciar y resolver el expediente sancionador le ha sido atribuida en exclusiva a la Generalidad de Cataluña. El expediente sancionador habrá concluido cuando resulte firme la sanción impuesta por el órgano administrativo catalán competente, pues es el único que habrá efectuado el enjuiciamiento de la conducta del infractor, y, por ende, impuesto la sanción. La labor del Estado en este caso se limita a ejecutar lo previamente resuelto, que no es otra cosa que, a una infracción calificada previamente como muy grave, agregarle, además de la sanción de la multa, la de suspensión del permiso o licencia de conducción, cuya ejecución no puede llevarla a la práctica la Comunidad Autónoma, por haberse reservado esta específica función el Estado. Sólo en esta faceta de ejecución interviene la Administración del Estado. </w:t>
      </w:r>
    </w:p>
    <w:p w:rsidR="000B622C" w:rsidRDefault="000B622C" w:rsidP="000B622C">
      <w:pPr>
        <w:pStyle w:val="TextoNormal"/>
      </w:pPr>
      <w:r>
        <w:t xml:space="preserve">En conclusión, no pude hablarse de dos expedientes sancionadores por unos mismos hechos, sino de un único expediente resuelto por la Administración catalana, si bien compartiendo las funciones de ejecución de lo ya resuelto, sin facultad alguna de decisión, los </w:t>
      </w:r>
      <w:r>
        <w:lastRenderedPageBreak/>
        <w:t>órganos de dos Administraciones: la autonómica y la estatal. En definitiva, la duda de constitucionalidad planteada, en opinión del Fiscal General del Estado, carece de modo manifiesto, por las razones expuestas, de todo fundamento constitucional.</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Juzgado de lo Contencioso-Administrativo núm. 2 de Girona plantea cuestión de inconstitucionalidad en relación con el art. 1 a) de la Ley Orgánica 6/1997, de 15 de septiembre, de transferencia de competencias ejecutivas en materia de tráfico y circulación de vehículos a motor a la Comunidad Autónoma de Cataluña. El precepto legal cuestionado resulta del siguiente tenor: "Art. 1. Se transfieren a la Comunidad Autónoma de Cataluña las facultades de ejecución de la legislación del Estado en materia de tráfico, circulación de vehículos y seguridad vial, a excepción de las siguientes: a) La facultad de expedir, revisar y canjear los permisos y licencias para conducir vehículos a motor y ciclomotores, así como la anulación, intervención, revocación y, en su caso, suspensión derivada de expedientes de sanción o en vía cautelar. (...)".</w:t>
      </w:r>
    </w:p>
    <w:p w:rsidR="000B622C" w:rsidRDefault="000B622C" w:rsidP="000B622C">
      <w:pPr>
        <w:pStyle w:val="TextoNormal"/>
      </w:pPr>
      <w:r>
        <w:t>El órgano judicial proponente sostiene en el Auto de planteamiento de la cuestión de inconstitucionalidad que, en aplicación del precepto legal transcrito, el Servicio Catalán de Tráfico es quien instruye y resuelve en el ámbito territorial de la Comunidad Autónoma los expedientes sancionadores incoados por infracciones cometidas en materia de tráfico, imponiendo, en su caso, la sanción de multa correspondiente, y que, una vez firme esta resolución, da cuenta de la sanción a la Jefatura Provincial de Tráfico, para que, tras los trámites oportunos, imponga, si resulta procedente, la sanción de suspensión del permiso de conducir. En su opinión, con tal proceder se producen dos resoluciones sancionadoras, dictadas por las autoridades competentes de la Generalidad de Cataluña y la Administración General del Estado en esta Comunidad Autónoma, respecto de unos mismos hechos constitutivos de idéntica infracción administrativa y contra una misma persona, de modo que la imposición en su día de la sanción de suspensión del permiso de conducir vulneraría el principio la prohibición del bis in idem (art.  25.1 CE), por recaer respecto de una misma persona e infracción. En esta línea de razonamiento descarta la existencia en nuestro Ordenamiento de un procedimiento complejo para la imposición de sanciones, pues el procedimiento administrativo sancionador se rige por el principio de legalidad (art. 134.1 Ley 20/1992, de 26 de noviembre), que concluye con una sola resolución, que debe pronunciarse sobre la acusación incorporada a la propuesta de resolución y, por consiguiente, sobre todos los elementos constitutivos de la pretensión punitiva ejercitada, pronunciándose sobre la existencia de los hechos y la culpabilidad del hasta ese momento presunto responsable, así como sobre las sanciones que legalmente merezca (art. 87.1 Ley 20/1992, de 26 de noviembre).  Esto es, la primera resolución sancionadora pone fin al procedimiento y, por consiguiente, la segunda acusación ya no se formula contra un presunto responsable, sino contra el responsable de una infracción administrativa, al que en una segunda resolución se le impone otra sanción, poniendo término a otro procedimiento, toda vez que el primero por mandato legal concluyó con la anterior sanción. En este sentido el órgano judicial proponente recuerda que la prohibición del ne bis in idem se encuentra en la necesidad de evitar el doble castigo por unos mismos hechos y la posibilidad de pronunciamientos contradictorios atribuidos a distintas autoridades, en tanto que el precepto legal cuestionado conduce a una doble incriminación y sanción por unos mismos hechos, y también puede conducir a resoluciones contradictorias.</w:t>
      </w:r>
    </w:p>
    <w:p w:rsidR="000B622C" w:rsidRDefault="000B622C" w:rsidP="000B622C">
      <w:pPr>
        <w:pStyle w:val="TextoNormal"/>
      </w:pPr>
    </w:p>
    <w:p w:rsidR="000B622C" w:rsidRDefault="000B622C" w:rsidP="000B622C">
      <w:pPr>
        <w:pStyle w:val="TextoNormal"/>
      </w:pPr>
      <w:r w:rsidRPr="000B622C">
        <w:rPr>
          <w:rStyle w:val="NumeroAFNegritaCaracter"/>
        </w:rPr>
        <w:t>2</w:t>
      </w:r>
      <w:r>
        <w:t>. En relación con la primera de las causas de inadmisibilidad puesta de manifiesto al Fiscal General del Estado en nuestra providencia de 15 de enero de 2002, y cuya apreciación éste comparte, consistente en la posible carencia del juicio de relevancia (art. 37.1 LOTC), es oportuno recordar que, a los efectos del correcto planteamiento de la cuestión de inconstitucionalidad, y, por tanto, de su admisión a trámite, la mera aplicabilidad en el proceso a quo de la norma legal cuestionada no es equivalente a la exigida relevancia constitucional del juicio que ha de expresar el órgano judicial. Un juicio que, de acuerdo con una reiterada doctrina constitucional que reproduce el ATC 163/1999, de 15 de junio, amén de demandar del proponente de la cuestión una argumentación razonable (ATC 946/1985, de 19 de diciembre), suficiente (ATC 493/1986, de 5 de junio) y coherente con el tipo de proceso en que se suscite la cuestión (STC 166/1986, de 19 de diciembre, FJ 6) acerca de la aludida relevancia, estriba en la relación de dependencia que debe existir entre el pronunciamiento sobre la validez de la Ley y el que ha de dictar el órgano judicial, de suerte que esta relación (correlación, conexión o nexo causal, por traer a colación otras expresiones de la jurisprudencia constitucional), de carácter lógico y directo, ha de venir referida, más que a la satisfacción o rechazo de la pretensión hecha valer en el correspondiente pleito, a la propia resolución judicial que ha de dictarse en aquél y cuyo pronunciamiento ha quedado en suspenso por razón de la promoción de la oportuna cuestión. Esto es, se trata de que el Juzgador ponga de manifiesto de qué manera, a la vista del objeto del proceso en curso, la alternativa que encierra la duda de constitucionalidad lo es también, idealmente pero no de modo necesario, para resolver aquél en uno u otro sentido, descartado ya cualquier otro parámetro distinto a la disposición de ley cuestionada para llegar a dicha resolución (ATC 493/1986, de 5 de junio). O, más precisamente aún, el juicio de relevancia que ha de emitir el órgano jurisdiccional ha de concretar justamente la interrelación entre pretensión procesal, objeto del proceso y resolución judicial (STC 80/1994, de 14 de marzo, FJ 2, por todas). En dicha línea jurisprudencial este Tribunal ha declarado en el mencionado ATC 163/1999, de 15 de junio, que el propio ámbito acotado por el órgano judicial como objeto de la duda de constitucional suscitada es lo decisivo a los efectos de la viabilidad de la cuestión, esto es, a los efectos de la relevancia del juicio en que se basa la promoción de la cuestión de inconstitucionalidad.</w:t>
      </w:r>
    </w:p>
    <w:p w:rsidR="000B622C" w:rsidRDefault="000B622C" w:rsidP="000B622C">
      <w:pPr>
        <w:pStyle w:val="TextoNormal"/>
      </w:pPr>
      <w:r>
        <w:t xml:space="preserve">Pues bien, en el presente caso ha de admitirse la directa aplicación en el proceso a quo del precepto legal cuestionado, en tanto que norma atributiva de competencia a favor de la Generalidad de Cataluña para la instrucción de los expedientes sancionadores en materia de tráfico y para imposición de las sanciones de multa, así como que la validez o no de aquel precepto legal, abstractamente considerada, resulta determinante de la decisión a adoptar en el proceso a quo en el supuesto de declararse inconstitucional en su totalidad, pues tal pronunciamiento implicaría la nulidad de la resolución administrativa sancionadora impugnada en el mismo. Ahora bien, y de acuerdo con la doctrina constitucional antes reseñada, no se puede dejar de resaltar que lo impugnado en el proceso a quo es únicamente la resolución administrativa de la Delegación de Gobierno de la Generalidad en Girona, confirmada por resolución del Servicio Catalán de Tráfico, por la que se le impuso al demandante una sanción de multa por la comisión de una infracción grave, consistente en rebasar la velocidad máxima establecida para circular con un vehículo a motor en vías urbanas y travesías (art. 50 Real Decreto 13/1992, de 17 de enero), y que, si se ponen en conexión la pretensión procesal, el objeto del proceso y la resolución judicial a dictar con el ámbito de la duda de constitucionalidad acotada por el propio órgano judicial, esto es, la supuesta infracción por el precepto legal cuestionado del principio non bis in idem (art. </w:t>
      </w:r>
      <w:r>
        <w:lastRenderedPageBreak/>
        <w:t>25.1 CE), la validez del precepto legal cuestionado es indiferente o, mejor dicho, no guarda una conexión estrecha y directa con el fallo a dictar en el proceso a quo, pues la supuesta lesión del principio constitucional non bis in idem (art. 25.1 CE) se producirá con ocasión de la imposición de la -denominada por el órgano judicial proponente- segunda sanción, esto es, con la imposición por la Administración del Estado de la sanción de suspensión del permiso de conducir, siendo entonces el momento en el que podría producirse la vulneración denunciada en el Auto de planteamiento de la cuestión de inconstitucional; por lo que, en su caso, debería ser el órgano judicial que conociese de la de la impugnación de esta segunda resolución administrativa sancionadora - utilizando los términos del órgano judicial proponente- quien debería suscitar en el seno del respectivo procedimiento la cuestión de inconstitucionalidad.</w:t>
      </w:r>
    </w:p>
    <w:p w:rsidR="000B622C" w:rsidRDefault="000B622C" w:rsidP="000B622C">
      <w:pPr>
        <w:pStyle w:val="TextoNormal"/>
      </w:pPr>
      <w:r>
        <w:t>En definitiva, no guardan una estrecha y directa relación con el asunto pendiente de resolución en el proceso a quo la argumentación jurídica del Auto de planteamiento, el precepto constitucional en él citado y los motivos que han llevado al órgano judicial a dudar de la inconstitucionalidad del precepto legal cuestionado, por lo que cabe observar que la duda de constitucionalidad ha sido planteada en términos abstractos y alejados de las exigencias de la resolución jurisdiccional de un caso concreto, lo que resulta incompatible con el carácter, proclamado en numerosas resoluciones de este Tribunal, de instrumento de control concreto de inconstitucionalidad propio de este proceso de constitucionalidad</w:t>
      </w:r>
    </w:p>
    <w:p w:rsidR="000B622C" w:rsidRDefault="000B622C" w:rsidP="000B622C">
      <w:pPr>
        <w:pStyle w:val="TextoNormal"/>
      </w:pPr>
    </w:p>
    <w:p w:rsidR="000B622C" w:rsidRDefault="000B622C" w:rsidP="000B622C">
      <w:pPr>
        <w:pStyle w:val="TextoNormal"/>
      </w:pPr>
      <w:r w:rsidRPr="000B622C">
        <w:rPr>
          <w:rStyle w:val="NumeroAFNegritaCaracter"/>
        </w:rPr>
        <w:t>3</w:t>
      </w:r>
      <w:r>
        <w:t>. En cuanto al tema de fondo suscitado, esto es, a la posible vulneración por el precepto legal cuestionado del principio constitucional non bis in idem, la cuestión de inconstitucionalidad resulta notoriamente infundada (art. 37.1 LOTC), en el sentido en el que este Tribunal viene utilizando esta expresión.</w:t>
      </w:r>
    </w:p>
    <w:p w:rsidR="000B622C" w:rsidRDefault="000B622C" w:rsidP="000B622C">
      <w:pPr>
        <w:pStyle w:val="TextoNormal"/>
      </w:pPr>
      <w:r>
        <w:t>En efecto, es reiterada doctrina constitucional que el art. 37.1 LOTC, en su segundo inciso, permite que las cuestiones de inconstitucionalidad sean rechazadas a limine mediante Auto, previa audiencia del Fiscal General del Estado, "cuando faltaren las condiciones procesales o fuere notoriamente infundada la cuestión suscitada". Este último precepto permite al Tribunal un margen de apreciación en el momento de controlar la solidez de la fundamentación de las cuestiones de inconstitucionalidad e inadmitir aquellas cuyo examen preliminar permita apreciar su falta de viabilidad, sin que ello signifique, necesariamente, una carencia total y absoluta de fundamentación o que ésta resulte arbitraria, pues puede resultar conveniente resolverlas en la primera fase procesal, a fin de despejar la duda de constitucionalidad, evitando así eventuales efectos no deseables sobre otros procesos (AATC 389/1990, de 29 de octubre; 287/1991, de 1 de octubre; 334/1991, de 29 de octubre; 134/1995, de 9 de mayo; 380/1996, de 17 de diciembre; 57/1998, de 3 de marzo; 229/1999, de 28 de septiembre).</w:t>
      </w:r>
    </w:p>
    <w:p w:rsidR="000B622C" w:rsidRDefault="000B622C" w:rsidP="000B622C">
      <w:pPr>
        <w:pStyle w:val="TextoNormal"/>
      </w:pPr>
    </w:p>
    <w:p w:rsidR="000B622C" w:rsidRDefault="000B622C" w:rsidP="000B622C">
      <w:pPr>
        <w:pStyle w:val="TextoNormal"/>
      </w:pPr>
      <w:r w:rsidRPr="000B622C">
        <w:rPr>
          <w:rStyle w:val="NumeroAFNegritaCaracter"/>
        </w:rPr>
        <w:t>4</w:t>
      </w:r>
      <w:r>
        <w:t>. El precepto legal cuestionado, según resulta de su propio tenor literal, se limita a transferir a la Comunidad Autónoma de Cataluña las facultades de ejecución de la legislación del Estado en materia de tráfico, circulación de vehículos y seguridad vial con la excepción, en lo que ahora interesa, de la facultad de suspender los permisos o licencias para conducir vehículos a motor, derivada de expedientes de sanción o en vía cautelar.</w:t>
      </w:r>
    </w:p>
    <w:p w:rsidR="000B622C" w:rsidRDefault="000B622C" w:rsidP="000B622C">
      <w:pPr>
        <w:pStyle w:val="TextoNormal"/>
      </w:pPr>
      <w:r>
        <w:t xml:space="preserve">En virtud del citado precepto legal, y así aparece reflejado en el Real Decreto 391/1998, de 13 de marzo, de traspaso y funciones de servicios de la Administración del Estado a la Comunidad Autónoma de Cataluña en materia de tráfico y circulación de vehículos a motor, cuyo valor interpretativo para determinar el alcance de la competencia ha reconocido reiteradamente este Tribunal (STC 153/1989, de 7 de noviembre, FJ 7), le </w:t>
      </w:r>
      <w:r>
        <w:lastRenderedPageBreak/>
        <w:t>corresponde a la Generalidad de Cataluña en relación con las sanciones en materia de tráfico, vehículos a motor y seguridad vial la facultad de instruir el expediente, así como la de dictar la resolución que le ponga término y hacerla ejecutar [Apartado B).1 b) Anexo Real Decreto 391/1998], en tanto que la Administración del Estado es competente, en aquellos casos en que esté prevista, para la imposición de la sanción consistente en la suspensión del permiso o licencia de conducir, si bien se traspasan también a la Generalidad de Cataluña la realización material de las funciones policiales derivadas de las medidas de intervención que respecto de los procesos de nulidad, anulabilidad, suspensión y pérdida de vigencia de permisos y licencias adopten las autoridades competentes [Apartado B).1 g) del Anexo del Real Decreto 391/1998].</w:t>
      </w:r>
    </w:p>
    <w:p w:rsidR="000B622C" w:rsidRDefault="000B622C" w:rsidP="000B622C">
      <w:pPr>
        <w:pStyle w:val="TextoNormal"/>
      </w:pPr>
      <w:r>
        <w:t>Así pues, de conformidad con el cuadro de infracciones y sanciones previsto en el Real Decreto Legislativo 339/1990, de 2 de marzo, por el que se aprueba el Texto Articulado de la Ley sobre Tráfico, Circulación de Vehículos a Motor y Seguridad Vial (arts. 65 y 67), a la Generalidad de Cataluña le corresponde la sanción de las infracciones leves, para las que está prevista únicamente la sanción de multa; en relación con las infracciones graves, sancionadas con multa, pudiéndose imponer además la sanción de suspensión del permiso o licencia de conducción hasta tres meses, a la Generalidad de Cataluña le corresponde la imposición de la sanción de multa y a la Administración del Estado la imposición, en su caso, de la sanción de suspensión del permiso o licencia de conducción; y, por último, por lo que respecta a las infracciones muy graves, sancionadas con multa y con la suspensión del permiso o licencia de conducción hasta tres meses, a la Generalidad de Cataluña le corresponde imponer la sanción de multa y a la Administración del Estado la de suspensión del permiso o licencia de conducción.</w:t>
      </w:r>
    </w:p>
    <w:p w:rsidR="000B622C" w:rsidRDefault="000B622C" w:rsidP="000B622C">
      <w:pPr>
        <w:pStyle w:val="TextoNormal"/>
      </w:pPr>
    </w:p>
    <w:p w:rsidR="000B622C" w:rsidRDefault="000B622C" w:rsidP="000B622C">
      <w:pPr>
        <w:pStyle w:val="TextoNormal"/>
      </w:pPr>
      <w:r w:rsidRPr="000B622C">
        <w:rPr>
          <w:rStyle w:val="NumeroAFNegritaCaracter"/>
        </w:rPr>
        <w:t>5</w:t>
      </w:r>
      <w:r>
        <w:t>. El órgano judicial proponente entiende, en síntesis, que el aludido reparto competencial entre la Generalidad de Cataluña y la Administración del Estado en materia de sanciones de tráfico, circulación de vehículos a motor y seguridad vial vulnera el principio constitucional non bis in idem (art. 25.1 CE), ya que supone, de un lado, la existencia de dos resoluciones sancionadoras respecto de unos mismos hechos constitutivos de idéntica infracción administrativa y contra una misma persona, a la que se la sanciona doblemente, y, de otro, la instrucción de dos expedientes administrativos sancionadores por autoridades distintas y con la posibilidad de pronunciamientos contradictorios, siendo tal dualidad de procedimientos contraria, además, a las previsiones de la Ley 30/1992, de 26 de noviembre, que excluye la existencia en nuestro Ordenamiento de un procedimiento complejo para la imposición de sanciones administrativas.</w:t>
      </w:r>
    </w:p>
    <w:p w:rsidR="000B622C" w:rsidRDefault="000B622C" w:rsidP="000B622C">
      <w:pPr>
        <w:pStyle w:val="TextoNormal"/>
      </w:pPr>
      <w:r>
        <w:t xml:space="preserve">Como se recuerda en la STC 177/1999, de 11 de octubre, es reiterada doctrina constitucional, desde la STC 2/1981, de 30 de enero, de que el principio non bis in idem forma parte integrante del derecho fundamental al principio de legalidad en materia penal y sancionadora (art. 25.1 CE), y que aquel principio, supone, en una de sus más conocidas manifestaciones, "que no recaiga duplicidad de sanciones - administrativa y penal- en los casos en que se aprecie la identidad del sujeto, hecho y fundamento sin la existencia de una relación de supremacía especial de la Administración -relación de funcionario, servicio público, concesionario, etc.- que justificase el ejercicio del ius puniendi por los Tribunales y a su vez de la potestad sancionadora de la Administración. Más concretamente, en lo que aquí ahora interesa, que es la consideración del mencionado principio constitucional en relación con autoridades de un mismo orden sancionador, este Tribunal Constitucional tiene declarado, en el sentido ya indicado, que el principio non bis in idem impide que por autoridades del mismo orden y a través de procedimientos distintos se sancione </w:t>
      </w:r>
      <w:r>
        <w:lastRenderedPageBreak/>
        <w:t>repetidamente la misma conducta, pues semejante posibilidad entrañaría una inadmisible reiteración en el ejercicio del ius puniendi del Estado e, inseparablemente, una abierta contradicción con el mismo derecho a la presunción de inocencia, porque la existencia de dos procedimientos sancionadores para un determinado ilícito deja abierta la posibilidad contraria a aquel derecho de que unos mismos hechos, sucesiva o simultáneamente, existan y dejen de existir para órganos del Estado (SSTC 159/1985, de 27 de noviembre FJ 3; 94/1986, de 8 de julio, FJ 4; 107/1989, de 8 de junio, FJ 4; 150/1991, de 4 de julio, FJ 9; 221/1997, de 4 de diciembre, FJ 3; 222/1997, de 4 de diciembre, FJ 3)".</w:t>
      </w:r>
    </w:p>
    <w:p w:rsidR="000B622C" w:rsidRDefault="000B622C" w:rsidP="000B622C">
      <w:pPr>
        <w:pStyle w:val="TextoNormal"/>
      </w:pPr>
      <w:r>
        <w:t>En fin, en relación con la perspectiva sustancial y procedimental del mencionado principio constitucional, se declaró en la mencionada STC 177/1999, de 11 de octubre, que desde la perspectiva sustancial el principio non bis in idem se configura como un derecho fundamental del ciudadano frente a la decisión de un poder público de castigarlo por unos hechos que ya fueron objeto de sanción, como consecuencia del anterior ejercicio del ius puniendi del Estado (FJ 3), y que, por su parte, su vertiente o articulación procedimental se orienta, esencialmente, no tan sólo a impedir el proscrito resultado de la doble incriminación y castigo por unos mismos hechos, sino también a evitar que recaigan eventuales pronunciamientos de signo contradictorio, en caso de permitir la prosecución paralela o simultánea de dos procedimientos (FJ 4).</w:t>
      </w:r>
    </w:p>
    <w:p w:rsidR="000B622C" w:rsidRDefault="000B622C" w:rsidP="000B622C">
      <w:pPr>
        <w:pStyle w:val="TextoNormal"/>
      </w:pPr>
    </w:p>
    <w:p w:rsidR="000B622C" w:rsidRDefault="000B622C" w:rsidP="000B622C">
      <w:pPr>
        <w:pStyle w:val="TextoNormal"/>
      </w:pPr>
      <w:r w:rsidRPr="000B622C">
        <w:rPr>
          <w:rStyle w:val="NumeroAFNegritaCaracter"/>
        </w:rPr>
        <w:t>6</w:t>
      </w:r>
      <w:r>
        <w:t>. Examinado a la luz de la doctrina constitucional expuesta el precepto legal cuestionado ha de concluirse que el mismo no es contrario, como se mantiene en el Auto de planteamiento de la cuestión de inconstitucionalidad, al principio constitucional non bis in idem.</w:t>
      </w:r>
    </w:p>
    <w:p w:rsidR="000B622C" w:rsidRDefault="000B622C" w:rsidP="000B622C">
      <w:pPr>
        <w:pStyle w:val="TextoNormal"/>
      </w:pPr>
      <w:r>
        <w:t>En relación con la vertiente o perspectiva material de este principio constitucional, el tipo único sancionador, si bien de carácter complejo, que opera en los supuestos de falta graves - de imponerse la sanción de suspensión del permiso o licencia de conducción- y muy graves no es sino consecuencia de la imposición de las sanciones legalmente establecidas para las infracciones graves y muy graves en materia de tráfico, vehículos a motor y seguridad vial, pero en ningún caso supone que se sancione repetidamente unos mismos hechos o conductas infractoras o que se sancione de nuevo unos hechos ya anteriormente sancionados; esto es, aquel tipo único sancionador en ningún caso supone, como consecuencia del reparto competencial que establece el precepto legal cuestionado, una dualidad de reproches o el doble resultado aflictivo por unos mismos hechos proscritos por el principio non bis in idem (STC 177/1999, de 11 de octubre, por todas).</w:t>
      </w:r>
    </w:p>
    <w:p w:rsidR="000B622C" w:rsidRDefault="000B622C" w:rsidP="000B622C">
      <w:pPr>
        <w:pStyle w:val="TextoNormal"/>
      </w:pPr>
      <w:r>
        <w:t>Respecto a la vertiente o perspectiva procedimental del principio non bis in idem ha de resaltarse, ante todo, que el precepto legal cuestionado, en sí mismo considerado no contempla una concreta y determinada articulación procedimental del ejercicio de la potestad sancionadora por parte de la Generalidad de Cataluña y por parte de la Administración del Estado, sino que únicamente se limita a operar respecto a ambas Administraciones Públicas un determinado reparto de competencias en la materia, de modo que en ningún caso sería directamente imputable al citado precepto legal la forma concreta en que ambas Administraciones articulen el ejercicio de su respectiva potestad sancionadora, por lo que la inconstitucionalidad que se denuncia no cabría predicarla directamente de dicho precepto legal.</w:t>
      </w:r>
    </w:p>
    <w:p w:rsidR="000B622C" w:rsidRDefault="000B622C" w:rsidP="000B622C">
      <w:pPr>
        <w:pStyle w:val="TextoNormal"/>
      </w:pPr>
      <w:r>
        <w:t xml:space="preserve">En todo caso, el modo en que opera en la práctica tal articulación, que no es sino el mismo que el seguido en relación con el País Vasco, previsto en el Real Decreto 3256/1982, de 15 de octubre, sobre traspasos de servicios del Estado a la Comunidad Autónoma del País Vasco en materia de ejecución de la legislación del Estado sobre tráfico y </w:t>
      </w:r>
      <w:r>
        <w:lastRenderedPageBreak/>
        <w:t>circulación de vehículos, no supone, frente a lo que se sostiene en el Auto de planteamiento de la cuestión de inconstitucionalidad, la incoación de un doble procedimiento administrativo sancionador por unos mismos hechos. Como señala el Fiscal General del Estado en su escrito de alegaciones, es a la Comunidad Autónoma, en este caso, a la Generalidad de Cataluña, a la que le corresponde la incoación y resolución del procedimiento administrativo sancionador y, una vez impuesta la sanción de multa y si pudiera proceder, en su caso, la imposición también de la sanción de suspensión del permiso o licencia de conducción, remite el expediente administrativo a la Administración del Estado únicamente a los efectos de la imposición de esta sanción, sin que la Administración del Estado pueda entrar a revisar los hechos declarados probados en el expediente administrativo sancionador, ni la calificación jurídica de la infracción, que compete a la Generalidad de Cataluña. De modo que, ni se produce, en rigor, la incoación de dos procedimientos administrativos sancionadores, sino la remisión del expediente incoado a la Administración del Estado a los solos efectos de decidir, en su caso, sobre la suspensión del permiso o licencia de conducción, ni pueden, en consecuencia, recaer pronunciamientos de signo contradictorios de una y otra Administración sobre los hechos ni sobre su calificación jurídica.</w:t>
      </w:r>
    </w:p>
    <w:p w:rsidR="000B622C" w:rsidRDefault="000B622C" w:rsidP="000B622C">
      <w:pPr>
        <w:pStyle w:val="TextoNormal"/>
      </w:pPr>
      <w:r>
        <w:t>Aduce al respecto el órgano judicial que plantea la cuestión de inconstitucionalidad que tal configuración del procedimiento administrativo sancionador, que denomina como procedimiento complejo, es contraria a las previsiones de la Ley 30/1992, de 26 de noviembre.  Pero aún en la hipótesis de que procediera o se admitiera tal calificación, lo cierto es que la contradicción en modo alguno podría determinar la inconstitucionalidad del precepto legal cuestionado, sino únicamente una supuesta contradicción entre diversos preceptos legales.</w:t>
      </w:r>
    </w:p>
    <w:p w:rsidR="000B622C" w:rsidRDefault="000B622C" w:rsidP="000B622C">
      <w:pPr>
        <w:pStyle w:val="TextoNormal"/>
      </w:pPr>
    </w:p>
    <w:p w:rsidR="000B622C" w:rsidRDefault="000B622C" w:rsidP="000B622C">
      <w:pPr>
        <w:pStyle w:val="TextoNormal"/>
      </w:pPr>
      <w:r>
        <w:t>En virtud de lo expuesto, el Pleno del Tribunal</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a trámite de la presente cuestión de inconstitucionalidad.</w:t>
      </w:r>
    </w:p>
    <w:p w:rsidR="000B622C" w:rsidRDefault="000B622C" w:rsidP="000B622C">
      <w:pPr>
        <w:pStyle w:val="TextoNormal"/>
      </w:pPr>
    </w:p>
    <w:p w:rsidR="000B622C" w:rsidRDefault="000B622C" w:rsidP="000B622C">
      <w:pPr>
        <w:pStyle w:val="TextoNormal"/>
      </w:pPr>
      <w:r>
        <w:t>Madrid, a veintiséis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29" w:name="AUTO_2002_28"/>
      <w:r>
        <w:lastRenderedPageBreak/>
        <w:t>AUTO 28/2002, de 26 de febrero de 2002</w:t>
      </w:r>
    </w:p>
    <w:bookmarkEnd w:id="129"/>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ECLI:ES:TC:2002:28A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Inadmite a trámite la cuestión de inconstitucionalidad 842-2001, planteada por el Juzgado de lo Contencioso Administrativo núm. 2 de Girona</w:t>
      </w:r>
    </w:p>
    <w:p w:rsidR="000B622C" w:rsidRDefault="000B622C" w:rsidP="000B622C">
      <w:pPr>
        <w:pStyle w:val="SntesisDescriptiva"/>
      </w:pPr>
    </w:p>
    <w:p w:rsidR="000B622C" w:rsidRDefault="000B622C" w:rsidP="000B622C">
      <w:pPr>
        <w:pStyle w:val="SntesisAnaltica"/>
      </w:pPr>
      <w:r>
        <w:t>Cuestión de inconstitucionalidad: juicio de relevancia insuficiente; notoriamente infundada [ATC 26/2002]</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día 16 de febrero de 2001 tuvo entrada en el Registro General del Tribunal Constitucional un escrito de la Magistrada-Juez titularContencioso- Administrativo núm. 2 de Girona al que se acompaña, junto al testimonio del correspondiente procedimiento, el Auto de 29 de diciembre de 2000, por el que se acuerda plantear cuestión de inconstitucionalidad en relación con el art. 1 a) de la Ley Orgánica 6/1997, de 15 de septiembre, de transferencia de competencias ejecutivas en materia de tráfico y circulación de vehículos a motor a la Comunidad Autónoma de Cataluña por su posible contradicción con el art. 25.1 CE.</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 cuestión trae causa del procedimiento abreviado núm. 186/00 promovido por don Miguel Arpa Vilallonga contra la Resolución de la Delegación de Gobierno de la Generalidad en Girona, de 31 de mayo de 1999, confirmada en alzada por Resolución del Servicio Catalán de Tráfico, de 21 de marzo de 2000, por la que se impuso al actor una sanción de multa de 50.000 pesetas por la comisión de una infracción grave prevista en el art. 50.1 del Real Decreto 13/1992, de 17 de enero, por el que se aprueba el Reglamento General de Circulación, consistente en circular por una vía urbana o travesía a una velocidad de 100 km/h, cuando la velocidad estaba limitada a 50 km/h. </w:t>
      </w:r>
    </w:p>
    <w:p w:rsidR="000B622C" w:rsidRDefault="000B622C" w:rsidP="000B622C">
      <w:pPr>
        <w:pStyle w:val="TextoNormal"/>
      </w:pPr>
      <w:r>
        <w:t xml:space="preserve">Concluso el procedimiento, con suspensión del término para dictar Sentencia, el Juzgado de lo Contencioso-Administrativo núm. 2 de Girona, por Auto de 1 de diciembre de 2000, acordó oír a las partes personadas y al Ministerio Fiscal, por un plazo común e improrrogable de diez días, para que pudieran formular alegaciones sobre la pertinencia de plantear cuestión de inconstitucionalidad en relación con el art. 1 a) y la disposición transitoria única de la Ley Orgánica 6/1997, de 15 de diciembre, de transferencia de competencias ejecutivas en materia de tráfico y circulación de vehículos a motor a la Comunidad </w:t>
      </w:r>
      <w:r>
        <w:lastRenderedPageBreak/>
        <w:t xml:space="preserve">Autónoma de Cataluña, por poder vulnerar "el derecho fundamental a un procedimiento con todas las garantías, previsto por el artículo 24.2 de la Constitución Española, por infracción del principio ne bis in idem, por, en su caso, ordenar la posibilidad de que unos mismos hechos, constitutivos de idéntica infracción, puedan ser sancionados en dos resoluciones distintas y por dos autoridades administrativas también distintas...". </w:t>
      </w:r>
    </w:p>
    <w:p w:rsidR="000B622C" w:rsidRDefault="000B622C" w:rsidP="000B622C">
      <w:pPr>
        <w:pStyle w:val="TextoNormal"/>
      </w:pPr>
      <w:r>
        <w:t>Evacuado el trámite de alegaciones conferido, se opusieron al planteamiento de la cuestión de inconstitucionalidad el Ministerio Fiscal y el Letrado de la Generalidad de Cataluña, en tanto que lo estimaron pertinente la representación letrada de la parte demandante en el proceso a quo y el Abogado del Estado.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el Auto de planteamiento de la cuestión de inconstitucionalidad, el órgano judicial proponente realiza, en síntesis, las siguientes consideraciones: </w:t>
      </w:r>
    </w:p>
    <w:p w:rsidR="000B622C" w:rsidRDefault="000B622C" w:rsidP="000B622C">
      <w:pPr>
        <w:pStyle w:val="TextoNormal"/>
      </w:pPr>
      <w:r>
        <w:t xml:space="preserve">a) En virtud de lo dispuesto en el art. 1 a) de la Ley Orgánica 6/1997, de 15 de septiembre, se transfieren a la Comunidad Autónoma de Cataluña las facultades de ejecución de la legislación del Estado en materia de tráfico, circulación de vehículos y seguridad vial, salvo, entre otras, la facultad de suspender los permisos y licencias para conducir vehículos a motor como consecuencia de expedientes de sanción o en vía cautelar. </w:t>
      </w:r>
    </w:p>
    <w:p w:rsidR="000B622C" w:rsidRDefault="000B622C" w:rsidP="000B622C">
      <w:pPr>
        <w:pStyle w:val="TextoNormal"/>
      </w:pPr>
      <w:r>
        <w:t xml:space="preserve">En aplicación de la referida previsión legal, el Servicio Catalán de Tráfico, creado por Ley 14/1997, de 24 de diciembre, instruye y resuelve los expedientes sancionadores incoados por infracciones cometidas en materia de tráfico [art. 4 a)], imponiendo, en su caso, la sanción de multa correspondiente. Y, firme esta resolución, porque haya sido consentida o porque se hayan desestimado los recursos formulados en su contra tanto en vía administrativa como judicial, da cuenta de la sanción a la correspondiente Jefatura Provincial de Tráfico para que, tras los trámites oportunos, se imponga, de estimarse procedente, la sanción de suspensión de permiso de conducir por la Delegación del Gobierno en Cataluña. </w:t>
      </w:r>
    </w:p>
    <w:p w:rsidR="000B622C" w:rsidRDefault="000B622C" w:rsidP="000B622C">
      <w:pPr>
        <w:pStyle w:val="TextoNormal"/>
      </w:pPr>
      <w:r>
        <w:t xml:space="preserve">Así pues, se producen dos resoluciones sancionadoras, dictadas por las autoridades competentes de la Generalidad de Cataluña y de la Administración General del Estado en esta Comunidad Autónoma, respecto de unos mismos hechos constitutivos de idéntica infracción administrativa y contra una misma persona. De modo que la controversia estriba en determinar si la primera resolución sancionadora que se dicta cierra el expediente a una segunda o ulterior resolución sancionadora, que, de producirse, lo haría en contra del principio non bis in idem. </w:t>
      </w:r>
    </w:p>
    <w:p w:rsidR="000B622C" w:rsidRDefault="000B622C" w:rsidP="000B622C">
      <w:pPr>
        <w:pStyle w:val="TextoNormal"/>
      </w:pPr>
      <w:r>
        <w:t xml:space="preserve">b) En el supuesto objeto del proceso a quo se formuló denuncia contra el demandante don Miguel Arpa Villalonga por circular a una velocidad de 100 km./h. cuando la velocidad estaba limitada a 50 km./h., constitutiva de una infracción tipificada como muy grave por el art. 65.4.3 de la Ley de Tráfico. Con esta denuncia se inició un expediente sancionador, instruido por los Servicios Territoriales en Girona del Servicio Catalán de Tráfico, en el que se dictó resolución sancionadora por el Delegado Territorial en Girona del Gobierno de la Generalidad, imponiéndole como autor de esa infracción una multa de 50.000 pesetas </w:t>
      </w:r>
    </w:p>
    <w:p w:rsidR="000B622C" w:rsidRDefault="000B622C" w:rsidP="000B622C">
      <w:pPr>
        <w:pStyle w:val="TextoNormal"/>
      </w:pPr>
      <w:r>
        <w:t xml:space="preserve">Por aplicación de lo antes expuesto cabe esperar que, una vez firme la Sentencia que recaiga en el presente recurso contencioso-administrativo y en el caso de que se declare ajustada a Derecho la sanción impuesta, el Servicio Catalán de Tráfico dé cuenta de la misma a la Jefatura Provincial de Tráfico de esta Provincia para que formule la correspondiente acusación contra la misma persona y por el mismo hecho, solicitando la imposición de una sanción de suspensión del permiso de conducir que, en su caso, será impuesta por la Delegada del Gobierno en Cataluña. </w:t>
      </w:r>
    </w:p>
    <w:p w:rsidR="000B622C" w:rsidRDefault="000B622C" w:rsidP="000B622C">
      <w:pPr>
        <w:pStyle w:val="TextoNormal"/>
      </w:pPr>
      <w:r>
        <w:lastRenderedPageBreak/>
        <w:t xml:space="preserve">c) Se alude, a continuación, en el Auto de planteamiento a la doctrina del Tribunal Constitucional sobre el principio ne bis in idem, respecto de la que se reproduce la declaración recogida en la STC 177/1999, de 11 de octubre, de que "irrogada una sanción, sea ésta de índole penal o administrativa, no cabe, sin vulnerar el mencionado derecho fundamental, superponer o adicionar otra distinta, siempre que concurran las tan repetidas identidades de sujeto, hecho y fundamento. Es éste el núcleo esencial el que ha de ser respetado en el ámbito de la potestad punitiva genéricamente considerada, para evitar que una única conducta infractora reciba un doble reproche aflictivo" (FJ 4). </w:t>
      </w:r>
    </w:p>
    <w:p w:rsidR="000B622C" w:rsidRDefault="000B622C" w:rsidP="000B622C">
      <w:pPr>
        <w:pStyle w:val="TextoNormal"/>
      </w:pPr>
      <w:r>
        <w:t xml:space="preserve">La aplicación de la mencionada doctrina al caso examinado ha de conducir, en opinión del órgano judicial proponente, a que la sanción de suspensión del permiso de conducir que en su día pudiera ser impuesta incumplirá la prohibición bis in idem por producirse respecto de una misma persona e infracción. En este sentido, rechazando las alegaciones que hicieran en el trámite de audiencia a las partes personadas el Ministerio Fiscal y el Abogado del Estado, entiende que la titularidad de la potestad sancionadora por parte de la Generalidad de Cataluña y de la Administración Central no impide que pueda vulnerarse el derecho fundamental a no ser doblemente castigado. </w:t>
      </w:r>
    </w:p>
    <w:p w:rsidR="000B622C" w:rsidRDefault="000B622C" w:rsidP="000B622C">
      <w:pPr>
        <w:pStyle w:val="TextoNormal"/>
      </w:pPr>
      <w:r>
        <w:t xml:space="preserve">d) Descarta también, en respuesta a las alegaciones que en el mismo trámite hiciera el Letrado de la Generalidad de Cataluña, la existencia en nuestro Ordenamiento de un procedimiento complejo para la imposición de sanciones. Al respecto aduce que el procedimiento sancionador se rige por el principio de legalidad (art. 134.1 de la Ley 30/1992, de 26 de noviembre, de Régimen Jurídico de las Administraciones Públicas y del Procedimiento Administrativo Común -LRJAPPAC-) y que de acuerdo con los arts. 87.1 y 89.1 LRJAPPAC el procedimiento administrativo sancionador concluye con una sola resolución que debe pronunciarse sobre la acusación incorporada a la propuesta de resolución y, por consiguiente, sobre todos los elementos constitutivos de la pretensión punitiva en ella ejercitada, pronunciándose sobre la existencia de los hechos y la culpabilidad del hasta ese momento presunto responsable, así como sobre las sanciones que legalmente merezca. </w:t>
      </w:r>
    </w:p>
    <w:p w:rsidR="000B622C" w:rsidRDefault="000B622C" w:rsidP="000B622C">
      <w:pPr>
        <w:pStyle w:val="TextoNormal"/>
      </w:pPr>
      <w:r>
        <w:t xml:space="preserve">Por su parte, el art. 79 del Real Decreto Legislativo 339/1990, de 2 de marzo, por el que se aprueba el Texto Articulado de la Ley sobre Tráfico, Circulación de Vehículos a Motor y Seguridad Vial no se aparta de este esquema, previendo tan sólo una acusación y una resolución que pone fin al procedimiento. </w:t>
      </w:r>
    </w:p>
    <w:p w:rsidR="000B622C" w:rsidRDefault="000B622C" w:rsidP="000B622C">
      <w:pPr>
        <w:pStyle w:val="TextoNormal"/>
      </w:pPr>
      <w:r>
        <w:t xml:space="preserve">Así pues, la resolución sancionadora pone fin al procedimiento y, por consiguiente, la segunda acusación no se formula ya contra un presunto responsable, sino contra el responsable de una infracción administrativa, al que, en una segunda resolución, se le impone otra sanción, poniendo término a otro procedimiento, toda vez que el primero, por mandato legal, concluyó con la anterior resolución. Dicho con otras palabras, dictada la resolución sancionadora se pone fin al procedimiento y, en consecuencia, la segunda sanción se produce con vulneración de lo dispuesto en el art. 133 LRJAPPAC, a cuyo tenor "no podrán sancionarse los hechos que hayan sido sancionados penal o administrativamente, en los casos en los que se aprecie identidad de sujeto, hecho y fundamento", recogiéndose en este precepto el principio ne bis in idem. </w:t>
      </w:r>
    </w:p>
    <w:p w:rsidR="000B622C" w:rsidRDefault="000B622C" w:rsidP="000B622C">
      <w:pPr>
        <w:pStyle w:val="TextoNormal"/>
      </w:pPr>
      <w:r>
        <w:t xml:space="preserve">e) En virtud del principio de legalidad en materia sancionadora no puede imponerse más sanción que la legalmente prevista, pero ésta debe imponerse siempre que se acredite la comisión por el acusado de la infracción que haya sido objeto de la acusación. </w:t>
      </w:r>
    </w:p>
    <w:p w:rsidR="000B622C" w:rsidRDefault="000B622C" w:rsidP="000B622C">
      <w:pPr>
        <w:pStyle w:val="TextoNormal"/>
      </w:pPr>
      <w:r>
        <w:t xml:space="preserve">En consecuencia, formulada la acusación, el órgano sancionador debe imponer todas las sanciones que procedan con arreglo a la Ley, sin más limitaciones que las impuestas por el principio acusatorio. </w:t>
      </w:r>
    </w:p>
    <w:p w:rsidR="000B622C" w:rsidRDefault="000B622C" w:rsidP="000B622C">
      <w:pPr>
        <w:pStyle w:val="TextoNormal"/>
      </w:pPr>
      <w:r>
        <w:lastRenderedPageBreak/>
        <w:t xml:space="preserve">Proyectada la doctrina constitucional en relación con el principio acusatorio sobre el procedimiento administrativo sancionador, resulta que el órgano sancionador queda desvinculado de la solicitud formulada por el órgano instructor en la propuesta de resolución o en el acuerdo de iniciación del expediente al que se le confiera el valor de aquélla, siempre y cuando respete los hechos declarados en ellas y se dirija a remediar la omisión de alguna de las sanciones forzosamente aparejadas a la infracción sancionada o se produzca dentro de los márgenes de la sanción correspondiente a la infracción que ha sido objeto de acusación y debate. Por ello legalmente no puede considerarse que el responsable de una infracción merezca más sanción que la que le fue impuesta en la resolución del procedimiento sancionador y cualquier otra sanción que se le imponga con posterioridad, se encuentre o no prevista en la Ley, supondrá la sanción reiterada de unos mismos hechos. </w:t>
      </w:r>
    </w:p>
    <w:p w:rsidR="000B622C" w:rsidRDefault="000B622C" w:rsidP="000B622C">
      <w:pPr>
        <w:pStyle w:val="TextoNormal"/>
      </w:pPr>
      <w:r>
        <w:t xml:space="preserve">f) El fundamento de la prohibición del ne bis in idem se encuentra en la necesidad de evitar el doble castigo de unos mismos hechos y la posibilidad de pronunciamientos contradictorios atribuidos a distintas autoridades. Como hemos visto, la aplicación del precepto legal cuestionado conduce a una doble incriminación y sanción de unos mismos hechos y también puede conducir a resoluciones contradictorias. </w:t>
      </w:r>
    </w:p>
    <w:p w:rsidR="000B622C" w:rsidRDefault="000B622C" w:rsidP="000B622C">
      <w:pPr>
        <w:pStyle w:val="TextoNormal"/>
      </w:pPr>
      <w:r>
        <w:t xml:space="preserve">En este sentido el órgano proponente manifiesta su discrepancia con el criterio mantenido en un supuesto idéntico por la Sala de lo Contencioso- Administrativo del Tribunal Superior de Justicia del País Vasco en su Sentencia de 3 de febrero de 1995, al entender que la primera resolución sancionadora impide una segunda resolución sobre la misma pretensión punitiva, salvo en lo relativo a la imposición de la sanción de suspensión del permiso de conducir. Tesis que considera inadmisible por contradecir la doctrina del Tribunal Constitucional sobre el principio ne bis in idem, de conformidad con la cual los elementos determinantes de la aplicación del mismo son el sujeto, el hecho y el fundamento y no, además de éstos, la identidad de sanción, como se viene a sostener en aquella Sentencia, de modo que concurriendo la triple identidad de sujeto, hecho y fundamento, la primera resolución impide no sólo la nueva valoración de los hechos denunciados, sino su sanción. En caso contrario, de no ser aplicable el principio ne bis in idem, el segundo expediente tendría por objeto la totalidad de los elementos constitutivos de la pretensión punitiva ejercitada contra el ya responsable. </w:t>
      </w:r>
    </w:p>
    <w:p w:rsidR="000B622C" w:rsidRDefault="000B622C" w:rsidP="000B622C">
      <w:pPr>
        <w:pStyle w:val="TextoNormal"/>
      </w:pPr>
      <w:r>
        <w:t xml:space="preserve">En la mencionada Sentencia se rechaza que puedan producirse resoluciones contradictorias, al entender que la primera resolución vincula al órgano sancionador que dicta la segunda en cuanto a los hechos. Sin embargo tal razonamiento le parece al órgano judicial proponente contrario al derecho a la presunción de inocencia, que rige también en los procedimientos administrativos sancionadores (art. 137.1 LRJAPPAC). Impuesta la sanción de multa por los órganos competentes de la Generalidad de Cataluña, se puede iniciar un segundo procedimiento sancionador por los órganos de la Administración del Estado, en el que debe de respetarse la presunción de inocencia del acusado, quien ha de ser tenido por inocente hasta tanto se acredite con una prueba de cargo suficiente la conducta que se le reprocha. </w:t>
      </w:r>
    </w:p>
    <w:p w:rsidR="000B622C" w:rsidRDefault="000B622C" w:rsidP="000B622C">
      <w:pPr>
        <w:pStyle w:val="TextoNormal"/>
      </w:pPr>
      <w:r>
        <w:t>Consecuencia de lo anterior es la inexistencia en el derecho sancionador de la cosa juzgada positiva (STS, Sala Segunda, de 29 de abril de 1993), de modo que en el segundo o ulterior procedimiento podrá valorarse la resolución sancionadora dictada en el anterior para decidir sobre la prueba de los hechos imputados, lo que no impedirá que en este segundo expediente, por la autoridad sancionadora, o en el recurso contencioso-administrativo que se formule contra la segunda resolución, por la autoridad judicial, pueda considerarse no destruida la presunción de inocencia o entenderse probados otros hechos no constitutivos de infracción, pronunciándose, en consecuencia, de forma contradic</w:t>
      </w:r>
      <w:r>
        <w:lastRenderedPageBreak/>
        <w:t xml:space="preserve">toria a la primera resolución. Por último, tampoco puede olvidarse que la segunda resolución pueda declarar prescrita la acción para sancionar la infracción y, en tal caso, también se producirían dos resoluciones esencialmente contradictorias. </w:t>
      </w:r>
    </w:p>
    <w:p w:rsidR="000B622C" w:rsidRDefault="000B622C" w:rsidP="000B622C">
      <w:pPr>
        <w:pStyle w:val="TextoNormal"/>
      </w:pPr>
      <w:r>
        <w:t xml:space="preserve">g) En definitiva, la interpretación y aplicación del precepto legal cuestionado realizada por el Servicio Catalán de Tráfico y por los órganos competentes en materia de tráfico de la Administración General del Estado conduce a que la misma vulnera el derecho fundamental a la legalidad penal y sancionadora, en su vertiente de derecho a no ser doblemente sancionado por unos mismos hechos (art. 25.1 CE). </w:t>
      </w:r>
    </w:p>
    <w:p w:rsidR="000B622C" w:rsidRDefault="000B622C" w:rsidP="000B622C">
      <w:pPr>
        <w:pStyle w:val="TextoNormal"/>
      </w:pPr>
      <w:r>
        <w:t xml:space="preserve">Atendiendo al espíritu y finalidad de la Ley Orgánica 6/1997, de 15 de septiembre, así como a la previsión recogida en relación con el País Vasco en el Real Decreto 3256/1982, de 15 de diciembre, el órgano judicial entiende que la propuesta por las Administraciones demandadas es, a tenor de su literalidad, la interpretación procedente del precepto legal cuestionado, abandonando, por ello, la interpretación que sostuvo en su Sentencia de 30 de septiembre de 2000, de acuerdo con la cual, cuando la mencionada Ley Orgánica reserva al Estado la competencia para suspender los permisos y licencias para conducir vehículos de motor y ciclomotores como consecuencia de expedientes de sanción o en vía cautelar, le está reservando la potestad para sancionar todas las infracciones que puedan llevar aparejada esta sanción. </w:t>
      </w:r>
    </w:p>
    <w:p w:rsidR="000B622C" w:rsidRDefault="000B622C" w:rsidP="000B622C">
      <w:pPr>
        <w:pStyle w:val="TextoNormal"/>
      </w:pPr>
      <w:r>
        <w:t>h) Se refiere, por último, a los presupuestos procesales para el planteamiento de la cuestión de inconstitucionalidad, razonando al respecto que la parte actora alegó, como motivo del recurso, la falta de potestad de la Generalidad de Cataluña para imponer la sanción que es objeto del mismo, solicitando su nulidad. Así pues, la competencia del órgano sancionador en materia de tráfico de la Generalidad de Cataluña depende de la constitucionalidad del precepto legal cuestionado, en cuanto transfiere a esta Comunidad Autónoma la potestad sancionadora, reservando al Estado la facultad de suspender los permisos y licencias para conducir vehículos a motor y ciclomotores como consecuencia de expedientes de sanción o en vía cautelar.</w:t>
      </w:r>
    </w:p>
    <w:p w:rsidR="000B622C" w:rsidRDefault="000B622C" w:rsidP="000B622C">
      <w:pPr>
        <w:pStyle w:val="TextoNormal"/>
      </w:pPr>
    </w:p>
    <w:p w:rsidR="000B622C" w:rsidRDefault="000B622C" w:rsidP="000B622C">
      <w:pPr>
        <w:pStyle w:val="TextoNormal"/>
      </w:pPr>
      <w:r w:rsidRPr="000B622C">
        <w:rPr>
          <w:rStyle w:val="NumeroAFNegritaCaracter"/>
        </w:rPr>
        <w:t>4</w:t>
      </w:r>
      <w:r>
        <w:t>. La Sección Tercera del Tribunal Constitucional, por providencia de 15 de enero de 2002, acordó oír al Fiscal General del Estado para que, en el plazo de diez días y a los efectos que determina el art. 37.1 LOTC, formulase alegaciones acerca de la admisibilidad de la presente cuestión de inconstitucionalidad por posible carencia del juicio de relevancia y el carácter notoriamente infundado de la duda de constitucionalidad suscitada.</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Fiscal General del Estado evacuó el trámite de alegaciones conferido mediante escrito registrado en fecha 30 de enero de 2002, en el que interesó la inadmisión de la cuestión de inconstitucionalidad planteada por carecer del necesario juicio de relevancia y de manifiesto fundamento la duda suscitada, con base en la argumentación que, a continuación, sucintamente se extracta: </w:t>
      </w:r>
    </w:p>
    <w:p w:rsidR="000B622C" w:rsidRDefault="000B622C" w:rsidP="000B622C">
      <w:pPr>
        <w:pStyle w:val="TextoNormal"/>
      </w:pPr>
      <w:r>
        <w:t xml:space="preserve">a) En relación con la posible carencia del necesario juicio de relevancia, el Fiscal General del Estado sostiene que el Auto de planteamiento de la cuestión de inconstitucionalidad no aporta razonamiento alguno sobre el que apoyar la relevancia constitucional de la validez de la norma legal cuestionada y su relación con el sentido del fallo que ha de dictarse en el recurso contencioso-administrativo, teniendo en cuenta el precepto constitucional contra el que se afirma que colisiona y el principio que se contiene en el mismo. </w:t>
      </w:r>
    </w:p>
    <w:p w:rsidR="000B622C" w:rsidRDefault="000B622C" w:rsidP="000B622C">
      <w:pPr>
        <w:pStyle w:val="TextoNormal"/>
      </w:pPr>
      <w:r>
        <w:t>El precepto legal cuestionado, con observancia de lo dispuesto en el art. 150.2 CE y en el marco de una Ley Orgánica, autoriza la transferencia de casi todas las funciones de ejecución y aplicación de la normativa legal del Estado sobre circulación y tráfico de vehícu</w:t>
      </w:r>
      <w:r>
        <w:lastRenderedPageBreak/>
        <w:t xml:space="preserve">los a la Comunidad Autónoma de Cataluña. Se trata, pues, de una norma que establece un régimen de transferencias de determinadas atribuciones sobre una materia de inicial competencia estatal a la Comunidad Autónoma, y no un régimen sancionatorio, en el que, además, toda la competencia, salvo algunas excepciones residuales que se especifican en la Ley, pasa a ser ostentada por la Generalidad de Cataluña. </w:t>
      </w:r>
    </w:p>
    <w:p w:rsidR="000B622C" w:rsidRDefault="000B622C" w:rsidP="000B622C">
      <w:pPr>
        <w:pStyle w:val="TextoNormal"/>
      </w:pPr>
      <w:r>
        <w:t xml:space="preserve">Si la pretensión de la parte actora en el proceso a quo, deducida en el acto de la vista como cuestión nueva, se localiza en la alegada falta de competencia objetiva de la Generalidad de Cataluña para imponer la sanción, el órgano judicial plantea la eventual cuestión de inconstitucionalidad apoyándola en una problemática que no ha sido realmente suscitada por el recurrente, pues en ningún momento la parte actora invocó en el recurso contencioso-administrativo la vulneración del principio non bis in idem, entre otras razones, porque aún no se había acordado la apertura de un supuesto segundo expediente por parte de la Administración del Estado para imponerle la sanción de suspensión del permiso de conducción y, por ello, dicho problema no se había originado todavía. El órgano judicial se anticipa, pues, a esta hipótesis ciertamente probable, pero aún no producida en la realidad, y suscita, por tanto, el planteamiento in abstracto de una cuestión de inconstitucionalidad sustentada sobre una problemática que no le ha sido puesta de manifiesto y, además, que aún no se ha originado. </w:t>
      </w:r>
    </w:p>
    <w:p w:rsidR="000B622C" w:rsidRDefault="000B622C" w:rsidP="000B622C">
      <w:pPr>
        <w:pStyle w:val="TextoNormal"/>
      </w:pPr>
      <w:r>
        <w:t xml:space="preserve">La pretensión del recurrente era la de instar la anulación de una sanción que reputaba contraria a derecho por haber sido dictada por una Administración incompetente. El Juzgado al dictar Sentencia disponía de dos posibilidades: o bien reputaba como competente a la Administración autonómica, para lo cual, con apoyo en el precepto legal cuestionado, bastaba la desestimación del recurso; o, por el contrario, afirmaba la competencia de la Administración del Estado, en cuyo caso sería suficiente con que, al igual que en recursos procedentes, hubiere anulado la sanción impuesta. En ningún caso podía entrar a resolver sobre una cuestión no planteada ni por las partes, ni tampoco por la realidad, como era la de la dualidad de dos expedientes sancionadores sobre unos mismos hechos, ya que tal circunstancia, en el momento de dictarse la Sentencia, todavía no se había producido. </w:t>
      </w:r>
    </w:p>
    <w:p w:rsidR="000B622C" w:rsidRDefault="000B622C" w:rsidP="000B622C">
      <w:pPr>
        <w:pStyle w:val="TextoNormal"/>
      </w:pPr>
      <w:r>
        <w:t xml:space="preserve">En definitiva, ni concurre en este caso el necesario juicio de relevancia, ni tampoco en el Auto que plantea la cuestión de inconstitucionalidad se justifica debidamente su concurrencia, por lo que, a falta de ese necesario requisito procesal, la cuestión debe ser inadmitida. </w:t>
      </w:r>
    </w:p>
    <w:p w:rsidR="000B622C" w:rsidRDefault="000B622C" w:rsidP="000B622C">
      <w:pPr>
        <w:pStyle w:val="TextoNormal"/>
      </w:pPr>
      <w:r>
        <w:t xml:space="preserve">b) En cuanto al tema de fondo suscitado, el Fiscal General del Estado, tras referirse a la normativa que regula el régimen jurídico de las infracciones y sanciones a la circulación y tráfico de los vehículos y, en concreto, a la consideración como infracción muy grave de la conducción por las vías públicas de vehículos a velocidad superior a la reglamentariamente establecida [arts. 65) y 67.1 del Real Decreto Legislativo 339/1990, de 2 de marzo, en la reforma llevada a cabo por la Ley 5/1997, de 24 de marzo; Disposición adicional cuarta de la Ley 6/1997, de 14 de abril] y reproducir el contenido del precepto legal cuestionado, entiende que aquél estriba en determinar, en primer lugar, si la Ley Orgánica ha atribuido o no al órgano de gobierno de la Comunidad Autónoma de Cataluña las facultades correspondientes para la denuncia, iniciación, sustanciación y resolución de los expedientes sobre las infracciones a la Ley de Seguridad Vial en el territorio de dicha Comunidad Autónoma y, en segundo lugar, en caso de que así fuese, qué consecuencias se derivan para la coordinación que ha de existir entre las dos Administraciones en los supuestos de faltas muy graves o graves, teniendo en cuenta que el Estado conserva aún el ejercicio directo de determinadas funciones, como acontece, precisamente, con la del control de los permisos y licencia de conducción. </w:t>
      </w:r>
    </w:p>
    <w:p w:rsidR="000B622C" w:rsidRDefault="000B622C" w:rsidP="000B622C">
      <w:pPr>
        <w:pStyle w:val="TextoNormal"/>
      </w:pPr>
      <w:r>
        <w:lastRenderedPageBreak/>
        <w:t xml:space="preserve">En relación con el primero de los interrogantes apuntados, el Fiscal General del Estado clarifica aún más la cuestión planteada, al preguntarse a qué Administración o Administraciones, en su caso, compete el régimen sancionador establecido. Es evidente, afirma, que si correspondiese a ambas Administraciones concurrentes que, en el ejercicio independiente de sus competencias, pudieran imponer las sanciones por separado en función de la normativa de coordinación ya señalada, y, por tanto, a la Administración autonómica le correspondiera la fijación de una sanción de multa, previa apreciación de la infracción, y a la del Estado la suspensión del permiso o licencia de conducción, después de constatar la comisión de una infracción grave o muy grave, habría que concluir, de acuerdo con el órgano judicial proponente, que la norma colisiona frontalmente con el principio non bis in idem, al producirse dos enjuiciamientos sobre una misma conducta, un mismo sujeto -el conductor del vehículo- y con idéntico fundamento -la infracción de la normativa de seguridad vial-. </w:t>
      </w:r>
    </w:p>
    <w:p w:rsidR="000B622C" w:rsidRDefault="000B622C" w:rsidP="000B622C">
      <w:pPr>
        <w:pStyle w:val="TextoNormal"/>
      </w:pPr>
      <w:r>
        <w:t xml:space="preserve">Sin embargo no es esta la interpretación que cabe deducir del precepto cuestionado, ni de los que le proporcionan cobertura reglamentaria, ni, en fin, de la norma legal autonómica de coordinación, pues de todos ellos se deduce con nitidez la conclusión de que la competencia para la apreciación de las infracciones de seguridad vial corresponde a la Generalidad de Cataluña, que es la que ha de formular las denuncias, sustanciar los expedientes sancionadores e imponer las sanciones. Del término derivada que se emplea en el precepto legal cuestionado al enumerar las facultades que no se delegan a la Comunidad Autónoma pueden extraerse dos interpretaciones posibles. Puede entenderse que con el mismo se alude simplemente a la idea de procedencia de tales sanciones, en el sentido de que las medidas de anulación, intervención, revocación o suspensión de los permisos y licencia de conducción sean acordadas en virtud de los expedientes sancionadores previamente instruidos y resueltos, en cuyo caso la norma de transferencia nada aclararía sobre la cuestión planteada, pues es evidente que todo expediente sancionador en esta materia, si se trata de infracciones muy graves, acarrea la sanción de suspensión cuando es apreciada la infracción, e igual sucede si se adapta como medida cautelar. Por el contrario, acudiendo a una interpretación sistemática de todos los términos que configuran el precepto, puede entenderse también que corresponde por excepción al Estado la competencia para llevar a efecto la ejecución de la suspensión o anulación de un permiso o licencia de conducir como consecuencia de un expediente sancionador o una medida cautelar ya resuelto o concluido, lo que significaría que no es la Administración del Estado, sino la de la Comunidad Autónoma, la que ha llevado a término la apreciación de la infracción y la conclusión del expediente sancionador, derivando exclusivamente a la del Estado la ejecución automática de una consecuencia que trae causa de la apreciación de dicha infracción, como es en este caso acordar la suspensión del permiso de conducir, por imperativo del art. 67.1 de la Ley de Seguridad Vial. </w:t>
      </w:r>
    </w:p>
    <w:p w:rsidR="000B622C" w:rsidRDefault="000B622C" w:rsidP="000B622C">
      <w:pPr>
        <w:pStyle w:val="TextoNormal"/>
      </w:pPr>
      <w:r>
        <w:t xml:space="preserve">El Fiscal General del Estado considera que de las dos interpretaciones posibles el legislador estatal ha optado por la segunda, pues a dicha voluntad responde el Anexo B.1 b) del Real Decreto 391/1998, de 13 de marzo, que, en ejecución y desarrollo del mandato legislativo expuesto, atribuye la facultad de "instruir el expediente, así como la de dictar la resolución que le ponga término y hacerla ejecutar, percibiendo, en su caso, el importe de las multas" a la Administración de la Comunidad Autónoma de Cataluña. </w:t>
      </w:r>
    </w:p>
    <w:p w:rsidR="000B622C" w:rsidRDefault="000B622C" w:rsidP="000B622C">
      <w:pPr>
        <w:pStyle w:val="TextoNormal"/>
      </w:pPr>
      <w:r>
        <w:t>Es evidente que, por la norma legal de transferencia de las competencias ejecutivas y de las reglamentarias que la desarrollan, la única habilitada para determinar si en el ámbito territorial de Cataluña una conducta es merecedora o no de infracción a la seguridad vial y, por consiguiente, para su enjuiciamiento administrativo y ulterior imposición de una san</w:t>
      </w:r>
      <w:r>
        <w:lastRenderedPageBreak/>
        <w:t xml:space="preserve">ción, es la Administración catalana. De ahí que el Estado carezca en este caso de competencia alguna para enjuiciar nuevamente unos hechos sobre los que ya ha recaído una resolución apreciando la existencia de una infracción muy grave. Al Estado únicamente le corresponde completar con la ejecución de la suspensión del permiso la sanción legalmente prevista, sin que pueda entrar a valorar si la conducta del conductor ha sido o no merecedora de una calificación de falta grave o muy grave a la normativa de seguridad vial, pues esta competencia no le asiste en el territorio catalán. De modo que cuando el órgano administrativo competente de la Generalidad de Cataluña aprecia que una conducta es merecedora de una infracción grave o muy grave a la Ley de Seguridad Vial, es el único que tiene potestad para sustanciar el expediente sancionador, imponer la sanción en la resolución que le ponga término y llevar a cabo incluso la exacción de la multa que haya impuesto. En ejecución de este acuerdo precedentemente adoptado, y una vez firme el mismo, deberá remitir testimonio del expediente a la Administración del Estado para que ésta, sin facultades de decisión sobre la procedencia de la infracción y de la sanción a aplicar, ejecute el complemento de la sanción que la infracción muy grave conlleva consigo, esto es, la suspensión del permiso o licencia de conducción, toda vez que únicamente al Estado le queda reservado el control meramente administrativo de los permisos y licencias de conducción. </w:t>
      </w:r>
    </w:p>
    <w:p w:rsidR="000B622C" w:rsidRDefault="000B622C" w:rsidP="000B622C">
      <w:pPr>
        <w:pStyle w:val="TextoNormal"/>
      </w:pPr>
      <w:r>
        <w:t xml:space="preserve">Así pues, la tesis sostenida por el órgano judicial carece de modo manifiesto de todo fundamento, ya que el precepto legal cuestionado no contraviene la vigencia del principio non bis in idem. No puede hablarse, propiamente, de dos expedientes sancionadores en los que concurra identidad de objeto, sujeto y fundamento, por la sencilla razón, de que para que así ocurriera sería preciso reconocerle a la Administración del Estado unas competencias de las que carece al haberlas transferido a la Comunidad Autónoma de Cataluña. Del análisis de la normativa de transferencia se desprende con toda nitidez que el Estado en este punto no tiene potestad para llevar a efecto un nuevo enjuiciamiento de la conducta declarada infractora por el precedente expediente sancionador resuelto por la Generalidad Catalana, sino que ha de limitarse, dando cumplimiento al mandato legislativo del art. 67.1 de la Ley de Seguridad Vial, a completar la sanción prevista para una falta muy grave, previamente apreciada en resolución firme. En definitiva, su actuación se reduce a ejecutar lo anteriormente resuelto, por lo que carece de todo sustento legal la afirmación efectuada en el Auto de planteamiento sobre la dualidad de enjuiciamientos referidos a la misma conducta. </w:t>
      </w:r>
    </w:p>
    <w:p w:rsidR="000B622C" w:rsidRDefault="000B622C" w:rsidP="000B622C">
      <w:pPr>
        <w:pStyle w:val="TextoNormal"/>
      </w:pPr>
      <w:r>
        <w:t xml:space="preserve">En puridad no puede hablarse, por tanto, de dos expedientes sancionadores, cuando, como se destaca en la norma reglamentaria de desarrollo legal a la cuestionada, la competencia para incoar, sustanciar y resolver el expediente sancionador le ha sido atribuida en exclusiva a la Generalidad de Cataluña. El expediente sancionador habrá concluido cuando resulte firme la sanción impuesta por el órgano administrativo catalán competente, pues es el único que habrá efectuado el enjuiciamiento de la conducta del infractor, y, por ende, impuesto la sanción. La labor del Estado en este caso se limita a ejecutar lo previamente resuelto, que no es otra cosa que, a una infracción calificada previamente como muy grave, agregarle, además de la sanción de la multa, la de suspensión del permiso o licencia de conducción, cuya ejecución no puede llevarla a la práctica la Comunidad Autónoma, por haberse reservado esta específica función el Estado. Sólo en esta faceta de ejecución interviene la Administración del Estado. </w:t>
      </w:r>
    </w:p>
    <w:p w:rsidR="000B622C" w:rsidRDefault="000B622C" w:rsidP="000B622C">
      <w:pPr>
        <w:pStyle w:val="TextoNormal"/>
      </w:pPr>
      <w:r>
        <w:t xml:space="preserve">En conclusión, no pude hablarse de dos expedientes sancionadores por unos mismos hechos, sino de un único expediente resuelto por la Administración catalana, si bien compartiendo las funciones de ejecución de lo ya resuelto, sin facultad alguna de decisión, los </w:t>
      </w:r>
      <w:r>
        <w:lastRenderedPageBreak/>
        <w:t>órganos de dos Administraciones: la autonómica y la estatal. En definitiva, la duda de constitucionalidad planteada, en opinión del Fiscal General del Estado, carece de modo manifiesto, por las razones expuestas, de todo fundamento constitucional.</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Juzgado de lo Contencioso-Administrativo núm. 2 de Girona plantea cuestión de inconstitucionalidad en relación con el art. 1 a) de la Ley Orgánica 6/1997, de 15 de septiembre, de transferencia de competencias ejecutivas en materia de tráfico y circulación de vehículos a motor a la Comunidad Autónoma de Cataluña. El precepto legal cuestionado resulta del siguiente tenor: "Art. 1. Se transfieren a la Comunidad Autónoma de Cataluña las facultades de ejecución de la legislación del Estado en materia de tráfico, circulación de vehículos y seguridad vial, a excepción de las siguientes: a) La facultad de expedir, revisar y canjear los permisos y licencias para conducir vehículos a motor y ciclomotores, así como la anulación, intervención, revocación y, en su caso, suspensión derivada de expedientes de sanción o en vía cautelar. (...)".</w:t>
      </w:r>
    </w:p>
    <w:p w:rsidR="000B622C" w:rsidRDefault="000B622C" w:rsidP="000B622C">
      <w:pPr>
        <w:pStyle w:val="TextoNormal"/>
      </w:pPr>
      <w:r>
        <w:t>El órgano judicial proponente sostiene en el Auto de planteamiento de la cuestión de inconstitucionalidad que, en aplicación del precepto legal trascrito, el Servicio Catalán de Tráfico es quien instruye y resuelve en el ámbito territorial de la Comunidad Autónoma los expedientes sancionadores incoados por infracciones cometidas en materia de tráfico, imponiendo, en su caso, la sanción de multa correspondiente, y que, una vez firme esta resolución, da cuenta de la sanción a la Jefatura Provincial de Tráfico, para que, tras los trámites oportunos, imponga, si resulta procedente, la sanción de suspensión del permiso de conducir. En su opinión, con tal proceder se producen dos resoluciones sancionadoras, dictadas por las autoridades competentes de la Generalidad de Cataluña y la Administración General del Estado en esta Comunidad Autónoma, respecto de unos mismos hechos constitutivos de idéntica infracción administrativa y contra una misma persona, de modo que la imposición en su día de la sanción de suspensión del permiso de conducir vulneraría el principio la prohibición del bis in idem (art. 25.1 CE), por recaer respecto de una misma persona e infracción. En esta línea de razonamiento descarta la existencia en nuestro Ordenamiento de un procedimiento complejo para la imposición de sanciones, pues el procedimiento administrativo sancionador se rige por el principio de legalidad (art. 134.1 Ley 20/1992, de 26 de noviembre), que concluye con una sola resolución, que debe pronunciarse sobre la acusación incorporada a la propuesta de resolución y, por consiguiente, sobre todos los elementos constitutivos de la pretensión punitiva ejercitada, pronunciándose sobre la existencia de los hechos y la culpabilidad del hasta ese momento presunto responsable, así como sobre las sanciones que legalmente merezca (art. 87.1 Ley 20/1992, de 26 de noviembre).  Esto es, la primera resolución sancionadora pone fin al procedimiento y, por consiguiente, la segunda acusación ya no se formula contra un presunto responsable, sino contra el responsable de una infracción administrativa, al que en una segunda resolución se le impone otra sanción, poniendo término a otro procedimiento, toda vez que el primero por mandato legal concluyó con la anterior sanción. En este sentido el órgano judicial proponente recuerda que la prohibición del ne bis in idem se encuentra en la necesidad de evitar el doble castigo por unos mismos hechos y la posibilidad de pronunciamientos contradictorios atribuidos a distintas autoridades, en tanto que el precepto legal cuestionado conduce a una doble incriminación y sanción por unos mismos hechos, y también puede conducir a resoluciones contradictorias.</w:t>
      </w:r>
    </w:p>
    <w:p w:rsidR="000B622C" w:rsidRDefault="000B622C" w:rsidP="000B622C">
      <w:pPr>
        <w:pStyle w:val="TextoNormal"/>
      </w:pPr>
    </w:p>
    <w:p w:rsidR="000B622C" w:rsidRDefault="000B622C" w:rsidP="000B622C">
      <w:pPr>
        <w:pStyle w:val="TextoNormal"/>
      </w:pPr>
      <w:r w:rsidRPr="000B622C">
        <w:rPr>
          <w:rStyle w:val="NumeroAFNegritaCaracter"/>
        </w:rPr>
        <w:t>2</w:t>
      </w:r>
      <w:r>
        <w:t>. En relación con la primera de las causas de inadmisibilidad puesta de manifiesto al Fiscal General del Estado en nuestra providencia de 15 de enero de 2002, y cuya apreciación éste comparte, consistente en la posible carencia del juicio de relevancia (art. 37.1 LOTC), es oportuno recordar que, a los efectos del correcto planteamiento de la cuestión de inconstitucionalidad, y, por tanto, de su admisión a trámite, la mera aplicabilidad en el proceso a quo de la norma legal cuestionada no es equivalente a la exigida relevancia constitucional del juicio que ha de expresar el órgano judicial. Un juicio que, de acuerdo con una reiterada doctrina constitucional que reproduce el ATC 163/1999, de 15 de junio, amén de demandar del proponente de la cuestión una argumentación razonable (ATC 946/1985, de 19 de diciembre), suficiente (ATC 493/1986, de 5 de junio) y coherente con el tipo de proceso en que se suscite la cuestión (STC 166/1986, de 19 de diciembre, FJ 6) acerca de la aludida relevancia, estriba en la relación de dependencia que debe existir entre el pronunciamiento sobre la validez de la Ley y el que ha de dictar el órgano judicial, de suerte que esta relación (correlación, conexión o nexo causal, por traer a colación otras expresiones de la jurisprudencia constitucional), de carácter lógico y directo, ha de venir referida, más que a la satisfacción o rechazo de la pretensión hecha valer en el correspondiente pleito, a la propia resolución judicial que ha de dictarse en aquél y cuyo pronunciamiento ha quedado en suspenso por razón de la promoción de la oportuna cuestión. Esto es, se trata de que el Juzgador ponga de manifiesto de qué manera, a la vista del objeto del proceso en curso, la alternativa que encierra la duda de constitucionalidad lo es también, idealmente pero no de modo necesario, para resolver aquél en uno u otro sentido, descartado ya cualquier otro parámetro distinto a la disposición de ley cuestionada para llegar a dicha resolución (ATC 493/1986, de 5 de junio). O, más precisamente aún, el juicio de relevancia que ha de emitir el órgano jurisdiccional ha de concretar justamente la interrelación entre pretensión procesal, objeto del proceso y resolución judicial (STC 80/1994, de 14 de marzo, FJ 2, por todas). En dicha línea jurisprudencial este Tribunal ha declarado en el mencionado ATC 163/1999, de 15 de junio, que el propio ámbito acotado por el órgano judicial como objeto de la duda de constitucional suscitada es lo decisivo a los efectos de la viabilidad de la cuestión, esto es, a los efectos de la relevancia del juicio en que se basa la promoción de la cuestión de inconstitucionalidad.</w:t>
      </w:r>
    </w:p>
    <w:p w:rsidR="000B622C" w:rsidRDefault="000B622C" w:rsidP="000B622C">
      <w:pPr>
        <w:pStyle w:val="TextoNormal"/>
      </w:pPr>
      <w:r>
        <w:t xml:space="preserve">Pues bien, en el presente caso ha de admitirse la directa aplicación en el proceso a quo del precepto legal cuestionado, en tanto que norma atributiva de competencia a favor de la Generalidad de Cataluña para la instrucción de los expedientes sancionadores en materia de tráfico y para imposición de las sanciones de multa, así como que la validez o no de aquel precepto legal, abstractamente considerada, resulta determinante de la decisión a adoptar en el proceso a quo en el supuesto de declararse inconstitucional en su totalidad, pues tal pronunciamiento implicaría la nulidad de la resolución administrativa sancionadora impugnada en el mismo. Ahora bien, y de acuerdo con la doctrina constitucional antes reseñada, no se puede dejar de resaltar que lo impugnado en el proceso a quo es únicamente la resolución administrativa de la Delegación de Gobierno de la Generalidad en Girona, confirmada por resolución del Servicio Catalán de Tráfico, por la que se le impuso al demandante una sanción de multa por la comisión de una infracción muy grave, consistente en conducir un vehículo a motor con una tasa de alcohol en aire espirado superior a 0,4 miligramos por litro (art. 20.1 Real Decreto 13/1992, de 17 de enero), y que, si se ponen en conexión la pretensión procesal, el objeto del proceso y la resolución judicial a dictar con el ámbito de la duda de constitucionalidad acotada por el propio órgano judicial, esto es, la supuesta infracción por el precepto legal cuestionado del principio non bis in idem </w:t>
      </w:r>
      <w:r>
        <w:lastRenderedPageBreak/>
        <w:t>(art. 25.1 CE), la validez del precepto legal cuestionado es indiferente o, mejor dicho, no guarda una conexión estrecha y directa con el fallo a dictar en el proceso a quo, pues la supuesta lesión del principio constitucional non bis in idem (art. 25.1 CE) se producirá con ocasión de la imposición de la -denominada por el órgano judicial proponente- segunda sanción, esto es, con la imposición por la Administración del Estado de la sanción de suspensión del permiso de conducir, siendo entonces el momento en el que podría producirse la vulneración denunciada en el Auto de planteamiento de la cuestión de inconstitucional; por lo que, en su caso, debería ser el órgano judicial que conociese de la de la impugnación de esta segunda resolución administrativa sancionadora - utilizando los términos del órgano judicial proponente- quien debería suscitar en el seno del respectivo procedimiento la cuestión de inconstitucionalidad.</w:t>
      </w:r>
    </w:p>
    <w:p w:rsidR="000B622C" w:rsidRDefault="000B622C" w:rsidP="000B622C">
      <w:pPr>
        <w:pStyle w:val="TextoNormal"/>
      </w:pPr>
      <w:r>
        <w:t>En definitiva, no guardan una estrecha y directa relación con el asunto pendiente de resolución en el proceso a quo la argumentación jurídica del Auto de planteamiento, el precepto constitucional en él citado y los motivos que han llevado al órgano judicial a dudar de la inconstitucionalidad del precepto legal cuestionado, por lo que cabe observar que la duda de constitucionalidad ha sido planteada en términos abstractos y alejados de las exigencias de la resolución jurisdiccional de un caso concreto, lo que resulta incompatible con el carácter, proclamado en numerosas resoluciones de este Tribunal, de instrumento de control concreto de inconstitucionalidad propio de este proceso de constitucionalidad</w:t>
      </w:r>
    </w:p>
    <w:p w:rsidR="000B622C" w:rsidRDefault="000B622C" w:rsidP="000B622C">
      <w:pPr>
        <w:pStyle w:val="TextoNormal"/>
      </w:pPr>
    </w:p>
    <w:p w:rsidR="000B622C" w:rsidRDefault="000B622C" w:rsidP="000B622C">
      <w:pPr>
        <w:pStyle w:val="TextoNormal"/>
      </w:pPr>
      <w:r w:rsidRPr="000B622C">
        <w:rPr>
          <w:rStyle w:val="NumeroAFNegritaCaracter"/>
        </w:rPr>
        <w:t>3</w:t>
      </w:r>
      <w:r>
        <w:t>. En cuanto al tema de fondo suscitado, esto es, a la posible vulneración por el precepto legal cuestionado del principio constitucional non bis in idem, la cuestión de inconstitucionalidad resulta notoriamente infundada (art. 37.1 LOTC), en el sentido en el que este Tribunal viene utilizando esta expresión.</w:t>
      </w:r>
    </w:p>
    <w:p w:rsidR="000B622C" w:rsidRDefault="000B622C" w:rsidP="000B622C">
      <w:pPr>
        <w:pStyle w:val="TextoNormal"/>
      </w:pPr>
      <w:r>
        <w:t>En efecto, es reiterada doctrina constitucional que el art. 37.1 LOTC, en su segundo inciso, permite que las cuestiones de inconstitucionalidad sean rechazadas a limine mediante Auto, previa audiencia del Fiscal General del Estado, "cuando faltaren las condiciones procesales o fuere notoriamente infundada la cuestión suscitada". Este último precepto permite al Tribunal un margen de apreciación en el momento de controlar la solidez de la fundamentación de las cuestiones de inconstitucionalidad e inadmitir aquellas cuyo examen preliminar permita apreciar su falta de viabilidad, sin que ello signifique, necesariamente, una carencia total y absoluta de fundamentación o que ésta resulte arbitraria, pues puede resultar conveniente resolverlas en la primera fase procesal, a fin de despejar la duda de constitucionalidad, evitando así eventuales efectos no deseables sobre otros procesos (AATC 389/1990, de 29 de octubre; 287/1991, de 1 de octubre; 334/1991, de 29 de octubre; 134/1995, de 9 de mayo; 380/1996, de 17 de diciembre; 57/1998, de 3 de marzo; 229/1999, de 28 de septiembre).</w:t>
      </w:r>
    </w:p>
    <w:p w:rsidR="000B622C" w:rsidRDefault="000B622C" w:rsidP="000B622C">
      <w:pPr>
        <w:pStyle w:val="TextoNormal"/>
      </w:pPr>
    </w:p>
    <w:p w:rsidR="000B622C" w:rsidRDefault="000B622C" w:rsidP="000B622C">
      <w:pPr>
        <w:pStyle w:val="TextoNormal"/>
      </w:pPr>
      <w:r w:rsidRPr="000B622C">
        <w:rPr>
          <w:rStyle w:val="NumeroAFNegritaCaracter"/>
        </w:rPr>
        <w:t>4</w:t>
      </w:r>
      <w:r>
        <w:t>. El precepto legal cuestionado, según resulta de su propio tenor literal, se limita a transferir a la Comunidad Autónoma de Cataluña las facultades de ejecución de la legislación del Estado en materia de tráfico, circulación de vehículos y seguridad vial con la excepción, en lo que ahora interesa, de la facultad de suspender los permisos o licencias para conducir vehículos a motor, derivada de expedientes de sanción o en vía cautelar.</w:t>
      </w:r>
    </w:p>
    <w:p w:rsidR="000B622C" w:rsidRDefault="000B622C" w:rsidP="000B622C">
      <w:pPr>
        <w:pStyle w:val="TextoNormal"/>
      </w:pPr>
      <w:r>
        <w:t xml:space="preserve">En virtud del citado precepto legal, y así aparece reflejado en el Real Decreto 391/1998, de 13 de marzo, de traspaso y funciones de servicios de la Administración del Estado a la Comunidad Autónoma de Cataluña en materia de tráfico y circulación de vehículos a motor, cuyo valor interpretativo para determinar el alcance de la competencia ha reconocido reiteradamente este Tribunal (STC 153/1989, de 7 de noviembre, FJ 7), le </w:t>
      </w:r>
      <w:r>
        <w:lastRenderedPageBreak/>
        <w:t>corresponde a la Generalidad de Cataluña en relación con las sanciones en materia de tráfico, vehículos a motor y seguridad vial la facultad de instruir el expediente, así como la de dictar la resolución que le ponga término y hacerla ejecutar [Apartado B).1.b) Anexo Real Decreto 391/1998], en tanto que la Administración del Estado es competente, en aquellos casos en que esté prevista, para la imposición de la sanción consistente en la suspensión del permiso o licencia de conducir, si bien se traspasan también a la Generalidad de Cataluña la realización material de las funciones policiales derivadas de las medidas de intervención que respecto de los procesos de nulidad, anulabilidad, suspensión y pérdida de vigencia de permisos y licencias adopten las autoridades competentes [Apartado B).1 g) del Anexo del Real Decreto 391/1998].</w:t>
      </w:r>
    </w:p>
    <w:p w:rsidR="000B622C" w:rsidRDefault="000B622C" w:rsidP="000B622C">
      <w:pPr>
        <w:pStyle w:val="TextoNormal"/>
      </w:pPr>
      <w:r>
        <w:t>Así pues, de conformidad con el cuadro de infracciones y sanciones previsto en el Real Decreto Legislativo 339/1990, de 2 de marzo, por el que se aprueba el Texto Articulado de la Ley sobre Tráfico, Circulación de Vehículos a Motor y Seguridad Vial (arts.  65 y 67), a la Generalidad de Cataluña le corresponde la sanción de las infracciones leves, para las que está prevista únicamente la sanción de multa; en relación con las infracciones graves, sancionadas con multa, pudiéndose imponer además la sanción de suspensión del permiso o licencia de conducción hasta tres meses, a la Generalidad de Cataluña le corresponde la imposición de la sanción de multa y a la Administración del Estado la imposición, en su caso, de la sanción de suspensión del permiso o licencia de conducción; y, por último, por lo que respecta a las infracciones muy graves, sancionadas con multa y con la suspensión del permiso o licencia de conducción hasta tres meses, a la Generalidad de Cataluña le corresponde imponer la sanción de multa y a la Administración del Estado la de suspensión del permiso o licencia de conducción.</w:t>
      </w:r>
    </w:p>
    <w:p w:rsidR="000B622C" w:rsidRDefault="000B622C" w:rsidP="000B622C">
      <w:pPr>
        <w:pStyle w:val="TextoNormal"/>
      </w:pPr>
    </w:p>
    <w:p w:rsidR="000B622C" w:rsidRDefault="000B622C" w:rsidP="000B622C">
      <w:pPr>
        <w:pStyle w:val="TextoNormal"/>
      </w:pPr>
      <w:r w:rsidRPr="000B622C">
        <w:rPr>
          <w:rStyle w:val="NumeroAFNegritaCaracter"/>
        </w:rPr>
        <w:t>5</w:t>
      </w:r>
      <w:r>
        <w:t>. El órgano judicial proponente entiende, en síntesis, que el aludido reparto competencial entre la Generalidad de Cataluña y la Administración del Estado en materia de sanciones de tráfico, circulación de vehículos a motor y seguridad vial vulnera el principio constitucional non bis in idem (art. 25.1 CE), ya que supone, de un lado, la existencia de dos resoluciones sancionadoras respecto de unos mismos hechos constitutivos de idéntica infracción administrativa y contra una misma persona, a la que se la sanciona doblemente, y, de otro, la instrucción de dos expedientes administrativos sancionadores por autoridades distintas y con la posibilidad de pronunciamientos contradictorios, siendo tal dualidad de procedimientos contraria, además, a las previsiones de la Ley 30/1992, de 26 de noviembre, que excluye la existencia en nuestro Ordenamiento de un procedimiento complejo para la imposición de sanciones administrativas.</w:t>
      </w:r>
    </w:p>
    <w:p w:rsidR="000B622C" w:rsidRDefault="000B622C" w:rsidP="000B622C">
      <w:pPr>
        <w:pStyle w:val="TextoNormal"/>
      </w:pPr>
      <w:r>
        <w:t xml:space="preserve">Como se recuerda en la STC 177/1999, de 11 de octubre, es reiterada doctrina constitucional, desde la STC 2/1981, de 30 de enero, de que el principio non bis in idem forma parte integrante del derecho fundamental al principio de legalidad en materia penal y sancionadora (art. 25.1 CE), y que aquel principio, supone, en una de sus más conocidas manifestaciones, "que no recaiga duplicidad de sanciones - administrativa y penal- en los casos en que se aprecie la identidad del sujeto, hecho y fundamento sin la existencia de una relación de supremacía especial de la Administración -relación de funcionario, servicio público, concesionario, etc.- que justificase el ejercicio del ius puniendi por los Tribunales y a su vez de la potestad sancionadora de la Administración. Más concretamente, en lo que aquí ahora interesa, que es la consideración del mencionado principio constitucional en relación con autoridades de un mismo orden sancionador, este Tribunal Constitucional tiene declarado, en el sentido ya indicado, que el principio non bis in idem impide que por autoridades del mismo orden y a través de procedimientos distintos se sancione </w:t>
      </w:r>
      <w:r>
        <w:lastRenderedPageBreak/>
        <w:t>repetidamente la misma conducta, pues semejante posibilidad entrañaría una inadmisible reiteración en el ejercicio del ius puniendi del Estado e, inseparablemente, una abierta contradicción con el mismo derecho a la presunción de inocencia, porque la existencia de dos procedimientos sancionadores para un determinado ilícito deja abierta la posibilidad contraria a aquel derecho de que unos mismos hechos, sucesiva o simultáneamente, existan y dejen de existir para órganos del Estado (SSTC 159/1985, de 27 de noviembre FJ 3; 94/1986, de 8 de julio, FJ 4; 107/1989, de 8 de junio, FJ 4; 150/1991, de 4 de julio, FJ 9; 221/1997, de 4 de diciembre, FJ 3; 222/1997, de 4 de diciembre, FJ 3)".</w:t>
      </w:r>
    </w:p>
    <w:p w:rsidR="000B622C" w:rsidRDefault="000B622C" w:rsidP="000B622C">
      <w:pPr>
        <w:pStyle w:val="TextoNormal"/>
      </w:pPr>
      <w:r>
        <w:t>En fin, en relación con la perspectiva sustancial y procedimental del mencionado principio constitucional, se declaró en la mencionada STC 177/1999, de 11 de octubre, que desde la perspectiva sustancial el principio non bis in idem se configura como un derecho fundamental del ciudadano frente a la decisión de un poder público de castigarlo por unos hechos que ya fueron objeto de sanción, como consecuencia del anterior ejercicio del ius puniendi del Estado (FJ 3), y que, por su parte, su vertiente o articulación procedimental se orienta, esencialmente, no tan sólo a impedir el proscrito resultado de la doble incriminación y castigo por unos mismos hechos, sino también a evitar que recaigan eventuales pronunciamientos de signo contradictorio, en caso de permitir la prosecución paralela o simultánea de dos procedimientos (FJ 4).</w:t>
      </w:r>
    </w:p>
    <w:p w:rsidR="000B622C" w:rsidRDefault="000B622C" w:rsidP="000B622C">
      <w:pPr>
        <w:pStyle w:val="TextoNormal"/>
      </w:pPr>
    </w:p>
    <w:p w:rsidR="000B622C" w:rsidRDefault="000B622C" w:rsidP="000B622C">
      <w:pPr>
        <w:pStyle w:val="TextoNormal"/>
      </w:pPr>
      <w:r w:rsidRPr="000B622C">
        <w:rPr>
          <w:rStyle w:val="NumeroAFNegritaCaracter"/>
        </w:rPr>
        <w:t>6</w:t>
      </w:r>
      <w:r>
        <w:t>. Examinado a la luz de la doctrina constitucional expuesta el precepto legal cuestionado ha de concluirse que el mismo no es contrario, como se mantiene en el Auto de planteamiento de la cuestión de inconstitucionalidad, al principio constitucional non bis in idem.</w:t>
      </w:r>
    </w:p>
    <w:p w:rsidR="000B622C" w:rsidRDefault="000B622C" w:rsidP="000B622C">
      <w:pPr>
        <w:pStyle w:val="TextoNormal"/>
      </w:pPr>
      <w:r>
        <w:t>En relación con la vertiente o perspectiva material de este principio constitucional, el tipo único sancionador, si bien de carácter complejo, que opera en los supuestos de falta graves -de imponerse la sanción de suspensión del permiso o licencia de conducción- y muy graves no es sino consecuencia de la imposición de las sanciones legalmente establecidas para las infracciones graves y muy graves en materia de tráfico, vehículos a motor y seguridad vial, pero en ningún caso supone que se sancione repetidamente unos mismos hechos o conductas infractoras o que se sancione de nuevo unos hechos ya anteriormente sancionados; esto es, aquel tipo único sancionador en ningún caso supone, como consecuencia del reparto competencial que establece el precepto legal cuestionado, una dualidad de reproches o el doble resultado aflictivo por unos mismos hechos proscritos por el principio non bis in idem (STC 177/1999, de 11 de octubre, por todas).</w:t>
      </w:r>
    </w:p>
    <w:p w:rsidR="000B622C" w:rsidRDefault="000B622C" w:rsidP="000B622C">
      <w:pPr>
        <w:pStyle w:val="TextoNormal"/>
      </w:pPr>
      <w:r>
        <w:t>Respecto a la vertiente o perspectiva procedimental del principio non bis in idem ha de resaltarse, ante todo, que el precepto legal cuestionado, en sí mismo considerado, no contempla una concreta y determinada articulación procedimental del ejercicio de la potestad sancionadora por parte de la Generalidad de Cataluña y por parte de la Administración del Estado, sino que únicamente se limita a operar respecto a ambas Administraciones Públicas un determinado reparto de competencias en la materia, de modo que en ningún caso sería directamente imputable al citado precepto legal la forma concreta en que ambas Administraciones articulen el ejercicio de la potestad sancionadora, por lo que la inconstitucionalidad que se denuncia no cabría predicarla directamente de dicho precepto legal.</w:t>
      </w:r>
    </w:p>
    <w:p w:rsidR="000B622C" w:rsidRDefault="000B622C" w:rsidP="000B622C">
      <w:pPr>
        <w:pStyle w:val="TextoNormal"/>
      </w:pPr>
      <w:r>
        <w:t xml:space="preserve">En todo caso, el modo en que opera en la práctica tal articulación, que no es sino el mismo que el seguido en relación con el País Vasco, previsto en el Real Decreto 3256/1982, de 15 de octubre, sobre traspasos de servicios del Estado a la Comunidad Autónoma del País Vasco en materia de ejecución de la legislación del Estado sobre tráfico y circulación de vehículos, aun si se aceptase la interpretación de la que parte el Auto de </w:t>
      </w:r>
      <w:r>
        <w:lastRenderedPageBreak/>
        <w:t>planteamiento de la cuestión de inconstitucionalidad, no supone la incoación de un doble procedimiento administrativo sancionador por unos mismos hechos. Es a la Comunidad Autónoma, en este caso, a la Generalidad de Cataluña, a la que le corresponde la incoación y resolución del procedimiento administrativo sancionador y, una vez impuesta la sanción de multa y si pudiera proceder, en su caso, la suspensión del permiso o licencia de conducción, remite el expediente administrativo a la Administración del Estado únicamente a los efectos de que pueda acordar dicha suspensión, sin que la Administración del Estado pueda entrar a revisar los hechos declarados probados en el expediente administrativo sancionador, ni la calificación jurídica de la infracción, que compete a la Generalidad de Cataluña. De modo que, ni se produce, en rigor, la incoación de dos procedimientos administrativos sancionadores, sino la remisión del expediente incoado a la Administración del Estado a los solos efectos de decidir, en su caso, sobre la suspensión del permiso o licencia de conducción, ni pueden, en consecuencia, recaer pronunciamientos de signo contradictorios de una y otra Administración sobre los hechos ni sobre su calificación jurídica.</w:t>
      </w:r>
    </w:p>
    <w:p w:rsidR="000B622C" w:rsidRDefault="000B622C" w:rsidP="000B622C">
      <w:pPr>
        <w:pStyle w:val="TextoNormal"/>
      </w:pPr>
      <w:r>
        <w:t>Aduce al respecto el órgano judicial que plantea la cuestión de inconstitucionalidad que tal configuración del procedimiento administrativo sancionador, que denomina como procedimiento complejo, es contraria a las previsiones de la Ley 30/1992, de 26 de noviembre.  Pero aun en la hipótesis de que procediera o se admitiera tal calificación, lo cierto es que la contradicción en modo alguno podría determinar la inconstitucionalidad del precepto legal cuestionado, sino únicamente una supuesta contradicción entre diversos preceptos legales.</w:t>
      </w:r>
    </w:p>
    <w:p w:rsidR="000B622C" w:rsidRDefault="000B622C" w:rsidP="000B622C">
      <w:pPr>
        <w:pStyle w:val="TextoNormal"/>
      </w:pPr>
    </w:p>
    <w:p w:rsidR="000B622C" w:rsidRDefault="000B622C" w:rsidP="000B622C">
      <w:pPr>
        <w:pStyle w:val="TextoNormal"/>
      </w:pPr>
      <w:r>
        <w:t>En virtud de lo expuesto, el Pleno</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a trámite de la presente cuestión de inconstitucionalidad.</w:t>
      </w:r>
    </w:p>
    <w:p w:rsidR="000B622C" w:rsidRDefault="000B622C" w:rsidP="000B622C">
      <w:pPr>
        <w:pStyle w:val="TextoNormal"/>
      </w:pPr>
    </w:p>
    <w:p w:rsidR="000B622C" w:rsidRDefault="000B622C" w:rsidP="000B622C">
      <w:pPr>
        <w:pStyle w:val="TextoNormal"/>
      </w:pPr>
      <w:r>
        <w:t>Madrid, a veintiséis de febrero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30" w:name="AUTO_2002_29"/>
      <w:r>
        <w:lastRenderedPageBreak/>
        <w:t>AUTO 29/2002, de 27 de febrero de 2002</w:t>
      </w:r>
    </w:p>
    <w:bookmarkEnd w:id="130"/>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ECLI:ES:TC:2002:29A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el desistimiento en el recurso de amparo 5068-2001, promovido en causa penal.</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31" w:name="AUTO_2002_30"/>
      <w:r>
        <w:lastRenderedPageBreak/>
        <w:t>AUTO 30/2002, de 7 de marzo de 2002</w:t>
      </w:r>
    </w:p>
    <w:bookmarkEnd w:id="131"/>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ECLI:ES:TC:2002:30A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el desistimiento en el recurso de amparo 6133-2001, promovido en proceso de vigilancia penitenciaria.</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32" w:name="AUTO_2002_31"/>
      <w:r>
        <w:lastRenderedPageBreak/>
        <w:t>AUTO 31/2002, de 11 de marzo de 2002</w:t>
      </w:r>
    </w:p>
    <w:bookmarkEnd w:id="132"/>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ECLI:ES:TC:2002:31A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Declara concluido por falta de objeto el recurso de amparo 3926/99, interpuesto por don Antonio Bermejo Ramas</w:t>
      </w:r>
    </w:p>
    <w:p w:rsidR="000B622C" w:rsidRDefault="000B622C" w:rsidP="000B622C">
      <w:pPr>
        <w:pStyle w:val="SntesisDescriptiva"/>
      </w:pPr>
    </w:p>
    <w:p w:rsidR="000B622C" w:rsidRDefault="000B622C" w:rsidP="000B622C">
      <w:pPr>
        <w:pStyle w:val="SntesisAnaltica"/>
      </w:pPr>
      <w:r>
        <w:t>Recurso de amparo: pérdida de su objeto por satisfacción en vía judicial. Sentencias del TC: efectos de la STC 115/2001</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ante este Tribunal el día 24 de septiembre de 1999, la Procuradora de los Tribunales doña Raquel Gómez Sánchez, en nombre y representación de don José Antonio Bermejo Ramas, interpuso demanda de amparo constitucional contra el Auto de 30 de julio de 1999, dictado por la Sala de Justicia del Tribunal Militar Central, que desestimó el recurso de apelación promovido contra Auto del Juez Togado Militar Central núm. 2 de fecha 25 de enero de 1999, por el que se acuerda el archivo de las diligencias previas núm. 2/30/98.</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El recurso de amparo trae causa de los hechos que siguen: </w:t>
      </w:r>
    </w:p>
    <w:p w:rsidR="000B622C" w:rsidRDefault="000B622C" w:rsidP="000B622C">
      <w:pPr>
        <w:pStyle w:val="TextoNormal"/>
      </w:pPr>
      <w:r>
        <w:t xml:space="preserve">a) El 18 de septiembre de 1997, el demandante de amparo, Cabo de la Guardia Civil, denunció ante el Juzgado de Instrucción núm. 33 de Madrid, en funciones de guardia, a un Teniente de su misma Unidad, por vejaciones e insultos. El día 25 de septiembre siguiente interpuso nueva denuncia, no sólo contra el mismo Teniente, sino también contra el Capitán y el Comandante de la Unidad. Dichas denuncias dieron lugar a las diligencias previas núm. 5497/97 del Juzgado de Instrucción núm. 18 de Madrid. Mediante escritos de 3 y 15 de octubre de 1997, el denunciante, en su calidad de perjudicado, interesó que se le tuviese por personado en la causa como acusación particular, a lo que accedió el Juzgado mediante proveído de 6 de noviembre de 1997. </w:t>
      </w:r>
    </w:p>
    <w:p w:rsidR="000B622C" w:rsidRDefault="000B622C" w:rsidP="000B622C">
      <w:pPr>
        <w:pStyle w:val="TextoNormal"/>
      </w:pPr>
      <w:r>
        <w:t>b) El referido Juzgado dictó Auto el 1 de diciembre de 1997 de inhibición a favor del Juzgado Togado Militar, por considerar que los hechos denunciados pudieran ser constitutivos de uno o varios delitos descritos en el Código de Justicia Militar. Por Auto de 14 de enero de 1998, el Juzgado Togado Militar Territorial núm. 13 aceptó el conocimiento de las diligencias previas núm. 5497/97 que le eran remitidas y acordó su acumulación con las diligencias previas núm. 13/117/97, que se tramitaban ante este Juzgado en virtud de solicitud de incoación realizada por el Fiscal Jurídico Militar del Tribunal Militar Territo</w:t>
      </w:r>
      <w:r>
        <w:lastRenderedPageBreak/>
        <w:t xml:space="preserve">rial Primero, a la vista de los hechos investigados en el expediente disciplinario núm.552/97 que se seguía contra el demandante de amparo. </w:t>
      </w:r>
    </w:p>
    <w:p w:rsidR="000B622C" w:rsidRDefault="000B622C" w:rsidP="000B622C">
      <w:pPr>
        <w:pStyle w:val="TextoNormal"/>
      </w:pPr>
      <w:r>
        <w:t xml:space="preserve">c) Mediante Auto de 30 de enero de 1998, el Juez Togado Militar modificó, de oficio, su resolución anterior, acordando "a la vista de que las actuaciones recibidas en inhibición presentan una mayor complejidad que la inicialmente apreciada y con unas circunstancias de tiempo, lugar y personas, distintas de aquellas por las que se siguen las presentes diligencias previas 13/117/97" (Fundamento de Derecho primero), su continuación independiente, como diligencias previas núm. 13/11/98. En ese mismo Auto se declaró que la personación del Sr. Bermejo Ramas sólo se admitía para las diligencias previas núm. 13/117/97 en las que aparece como inculpado, rechazando su personación en las diligencias previas núm. 13/11/98 por considerar que entre el denunciante y los denunciados, al ser militares, existe relación jerárquica de subordinación, lo cual, de conformidad con lo dispuesto en el art. 127 de la Ley Procesal Militar y 108 de la Ley Orgánica de la Competencia y Organización de la Jurisdicción Militar, impide al ofendido mostrarse parte en el procedimiento como acusador particular o como actor civil. </w:t>
      </w:r>
    </w:p>
    <w:p w:rsidR="000B622C" w:rsidRDefault="000B622C" w:rsidP="000B622C">
      <w:pPr>
        <w:pStyle w:val="TextoNormal"/>
      </w:pPr>
      <w:r>
        <w:t xml:space="preserve">d) El referido Auto fue recurrido en queja ante el Tribunal Militar Territorial Primero que, por Auto de 27 de noviembre de 1998, desestimó el recurso, confirmando el Auto impugnado, referido, según se indica en el mismo, exclusivamente a las diligencias previas núm. 13/11/98 del Juzgado Togado Militar Territorial núm. 13, comprensivas de la primera denuncia formulada el 18 de septiembre de 1997 por el demandante de amparo contra el Teniente, por vejaciones e insultos. </w:t>
      </w:r>
    </w:p>
    <w:p w:rsidR="000B622C" w:rsidRDefault="000B622C" w:rsidP="000B622C">
      <w:pPr>
        <w:pStyle w:val="TextoNormal"/>
      </w:pPr>
      <w:r>
        <w:t xml:space="preserve">e) Los Autos de 30 de enero y 27 de noviembre de 1998 fueron objeto del recurso de amparo núm. 1786/98, que fue estimado por STC 115/2001, de 10 de mayo, por la que se reconoce el derecho del recurrente a la igualdad en la ley (art. 14 CE) y a la tutela judicial efectiva sin indefensión (art. 24.1 CE), anulando los Autos impugnados y ordenando la retroacción de actuaciones al momento procesal oportuno, a fin de que la solicitud del recurrente de mostrarse parte en la causa como acusador particular sea resuelta de conformidad con los derechos fundamentales reconocidos. Asimismo se acuerda plantear ante el Pleno del Tribunal cuestión de inconstitucionalidad respecto de los artículos 108, párrafo 2, de la Ley Orgánica 4/1987, de la Competencia y Organización de la Jurisdicción Militar, y 127, párrafo 1, de la Ley Orgánica 2/1989, de 13 de abril, Procesal Militar, por su contradicción con los arts. 14 y 24.1 CE, en relación con el inciso final del art. 117.5 CE. </w:t>
      </w:r>
    </w:p>
    <w:p w:rsidR="000B622C" w:rsidRDefault="000B622C" w:rsidP="000B622C">
      <w:pPr>
        <w:pStyle w:val="TextoNormal"/>
      </w:pPr>
      <w:r>
        <w:t xml:space="preserve">f) Mientras se desarrollaba el proceso de amparo, el Juzgado Togado Militar Territorial núm. 13 formó diligencias previas núm. 2/30/98 para el conocimiento de la segunda denuncia formulada por el demandante de amparo el 25 de septiembre de 1997 contra el Teniente, el Capitán y el Comandante de su Unidad, inhibiéndose finalmente a favor del Juez Togado Militar Central núm. 2 que aceptó su competencia con fecha 26 de octubre de 1998 y que, concluida su tramitación, dictó Auto el 25 de enero de 1999 acordando su terminación y archivo al no aparecer los hechos denunciados como constitutivos de delito. </w:t>
      </w:r>
    </w:p>
    <w:p w:rsidR="000B622C" w:rsidRDefault="000B622C" w:rsidP="000B622C">
      <w:pPr>
        <w:pStyle w:val="TextoNormal"/>
      </w:pPr>
      <w:r>
        <w:t xml:space="preserve">g) Contra este Auto interpuso el demandante de amparo recurso de apelación, alegando lesión del derecho a la tutela judicial efectiva sin indefensión por no habérsele permitido personarse en el procedimiento como acusación particular por mor de lo dispuesto en el art. 127 de la Ley Procesal Militar y art. 108 de la Ley Orgánica de la Competencia y Organización de la Jurisdicción Militar, preceptos que estima inconstitucionales, y como consecuencia de lo anterior, por no haber podido solicitar la práctica de pruebas que, de haberse realizado, habrían llevado a la conclusión de que los hechos sí son constitutivos de delito. </w:t>
      </w:r>
    </w:p>
    <w:p w:rsidR="000B622C" w:rsidRDefault="000B622C" w:rsidP="000B622C">
      <w:pPr>
        <w:pStyle w:val="TextoNormal"/>
      </w:pPr>
      <w:r>
        <w:lastRenderedPageBreak/>
        <w:t>h) El recurso de apelación fue desestimado por Auto de 30 de julio de 1999 de la Sala de Justicia del Tribunal Militar Central.</w:t>
      </w:r>
    </w:p>
    <w:p w:rsidR="000B622C" w:rsidRDefault="000B622C" w:rsidP="000B622C">
      <w:pPr>
        <w:pStyle w:val="TextoNormal"/>
      </w:pPr>
    </w:p>
    <w:p w:rsidR="000B622C" w:rsidRDefault="000B622C" w:rsidP="000B622C">
      <w:pPr>
        <w:pStyle w:val="TextoNormal"/>
      </w:pPr>
      <w:r w:rsidRPr="000B622C">
        <w:rPr>
          <w:rStyle w:val="NumeroAFNegritaCaracter"/>
        </w:rPr>
        <w:t>3</w:t>
      </w:r>
      <w:r>
        <w:t>. Con fecha 24 de septiembre de 1999 tuvo entrada en este Tribunal el recurso de amparo promovido por el Sr. Bermejo Ramas contra el Auto el 25 de enero de 1999 del Juez Togado Militar Central núm. 2 por el que se acuerda el archivo de las diligencias previas núm. 2/30/98 y contra el Auto de 30 de julio de 1999, dictado por la Sala de Justicia del Tribunal Militar Central, que desestimó el recurso de apelación promovido contra aquel Auto. En su demanda alega el recurrente que estas resoluciones judiciales, al aplicar los arts. 127 de la Ley Procesal Militar y 108 de la Ley Orgánica de la Competencia y Organización de la Jurisdicción Militar, han lesionado sus derechos a la igualdad en la ley (art. 14 CE) y a la tutela judicial efectiva sin indefensión (art. 24.1 CE).</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Mediante providencia de la Sección Primera, de 17 de septiembre de 2001, se admitió a trámite la demanda y, a tenor de lo dispuesto en el art. 51 LOTC, se requirió de la Sala de Justicia del Tribunal Militar Central y del Juzgado Militar Central núm. </w:t>
      </w:r>
    </w:p>
    <w:p w:rsidR="000B622C" w:rsidRDefault="000B622C" w:rsidP="000B622C">
      <w:pPr>
        <w:pStyle w:val="TextoNormal"/>
      </w:pPr>
      <w:r>
        <w:t>2 que remitiesen copia adverada de las actuaciones, previo emplazamiento de quienes hubiesen sido parte en el procedimiento para que pudiesen comparecer en el plazo de diez días en este proceso constitucional.</w:t>
      </w:r>
    </w:p>
    <w:p w:rsidR="000B622C" w:rsidRDefault="000B622C" w:rsidP="000B622C">
      <w:pPr>
        <w:pStyle w:val="TextoNormal"/>
      </w:pPr>
    </w:p>
    <w:p w:rsidR="000B622C" w:rsidRDefault="000B622C" w:rsidP="000B622C">
      <w:pPr>
        <w:pStyle w:val="TextoNormal"/>
      </w:pPr>
      <w:r w:rsidRPr="000B622C">
        <w:rPr>
          <w:rStyle w:val="NumeroAFNegritaCaracter"/>
        </w:rPr>
        <w:t>5</w:t>
      </w:r>
      <w:r>
        <w:t>. Mediante providencia de 30 de octubre de 2001, la Sección Primera acordó tener por recibidas las actuaciones y, a tenor de lo dispuesto en el art. 52 LOTC, dar vista de las mismas al demandante de amparo y al Ministerio Fiscal para que, dentro del plazo común de veinte días, formulasen las alegaciones que estimasen pertinentes.</w:t>
      </w:r>
    </w:p>
    <w:p w:rsidR="000B622C" w:rsidRDefault="000B622C" w:rsidP="000B622C">
      <w:pPr>
        <w:pStyle w:val="TextoNormal"/>
      </w:pPr>
    </w:p>
    <w:p w:rsidR="000B622C" w:rsidRDefault="000B622C" w:rsidP="000B622C">
      <w:pPr>
        <w:pStyle w:val="TextoNormal"/>
      </w:pPr>
      <w:r w:rsidRPr="000B622C">
        <w:rPr>
          <w:rStyle w:val="NumeroAFNegritaCaracter"/>
        </w:rPr>
        <w:t>6</w:t>
      </w:r>
      <w:r>
        <w:t>. El Abogado del Estado presentó su escrito de alegaciones el 22 de noviembre de 2001, interesando la denegación del amparo solicitado. Después de rechazar la existencia de las lesiones de derechos fundamentales aducidas por el recurrente, pone de manifiesto el Abogado del Estado que, conforme consta en las actuaciones remitidas, tras dictarse la STC 115/2001, de 10 de mayo, por la que se estima el recurso de amparo núm. 1786/98 (interpuesto por el demandante contra los Autos de 30 de enero y 27 de noviembre de 1998 del Juzgado Togado Militar Territorial núm. 13 y del Tribunal Militar Territorial Primero, respectivamente), el Juez Togado Militar Central núm. 2 ha dictado Auto de 12 de julio de 2001 por el que, a la vista de esa sentencia, acuerda desarchivar las diligencias previas núm. 2/30/98 y ordena su continuación, admitiendo la personación en las mismas del recurrente como acusación particular. En consecuencia, concluye el Abogado del Estado, con este Auto queda el demandante de amparo plenamente restablecido en los derechos fundamentales que alega como vulnerados.</w:t>
      </w:r>
    </w:p>
    <w:p w:rsidR="000B622C" w:rsidRDefault="000B622C" w:rsidP="000B622C">
      <w:pPr>
        <w:pStyle w:val="TextoNormal"/>
      </w:pPr>
    </w:p>
    <w:p w:rsidR="000B622C" w:rsidRDefault="000B622C" w:rsidP="000B622C">
      <w:pPr>
        <w:pStyle w:val="TextoNormal"/>
      </w:pPr>
      <w:r w:rsidRPr="000B622C">
        <w:rPr>
          <w:rStyle w:val="NumeroAFNegritaCaracter"/>
        </w:rPr>
        <w:t>7</w:t>
      </w:r>
      <w:r>
        <w:t>. El día 27 de noviembre de 2001 el demandante presentó su alegato, ratificando su argumentación anterior, y recogiendo la doctrina de las SSTC 115/2001 y 157/2001, dictadas con posterioridad a la interposición del recurso de amparo y que a su criterio corroboran la vulneración de su derecho a la igualdad y a la tutela judicial efectiva y la inconstitucionalidad de los preceptos legales que le impiden ejercer la acusación particular en el ámbito de la jurisdicción castrense. Por todo ello concluye solicitando que se otorgue el amparo solicitado.</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8</w:t>
      </w:r>
      <w:r>
        <w:t>. El Ministerio Fiscal presentó su escrito de alegaciones el día 7 de diciembre de 2001. Tras una sucinta exposición de los hechos, advierte que con posterioridad a la interposición de la demanda de amparo han recaído sendas resoluciones de decisiva relevancia para el caso. De un lado, se ha dictado la STC 115/2001, de 10 de mayo, por la que se estima el recurso de amparo núm. 1786/98, referido a las diligencias previas núm. 13/11/98 del Juzgado Togado Militar Territorial núm. 13, recurso que es sustancialmente idéntico al presente en lo que se refiere a las lesión de los derechos fundamentales alegados. De otro que, a la vista de dicha sentencia, el Juzgado Togado Militar Central núm. 2 ha dictado Auto de 12 de julio de 2001 por el que acuerda desarchivar las diligencias previas núm. 2/30/98 y ordena su continuación, admitiendo la personación en las mismas del recurrente como acusación particular. A juicio del Ministerio Fiscal, este Auto deja sin objeto el presente recurso de amparo, por cuanto al satisfacer la pretensión del recurrente de revocar el archivo de las diligencias previas y admitir su personación en las mismas, queda el demandante de amparo plenamente restablecido en los derechos fundamentales que alega como vulnerados. Por tanto, procede declarar concluso el proceso por carencia sobrevenida de objeto o, en su caso, resolver la demanda de amparo en los términos y con los fundamentos expuestos en la STC 115/2001.</w:t>
      </w:r>
    </w:p>
    <w:p w:rsidR="000B622C" w:rsidRDefault="000B622C" w:rsidP="000B622C">
      <w:pPr>
        <w:pStyle w:val="TextoNormal"/>
      </w:pPr>
    </w:p>
    <w:p w:rsidR="000B622C" w:rsidRDefault="000B622C" w:rsidP="000B622C">
      <w:pPr>
        <w:pStyle w:val="TextoNormal"/>
      </w:pPr>
      <w:r w:rsidRPr="000B622C">
        <w:rPr>
          <w:rStyle w:val="NumeroAFNegritaCaracter"/>
        </w:rPr>
        <w:t>9</w:t>
      </w:r>
      <w:r>
        <w:t>. Por providencia de la Sala Primera de este Tribunal de 14 de enero de 2002 se acordó dar traslado a la representación procesal del demandante de amparo y al Abogado del Estado para que, por plazo común de diez días, formulasen alegaciones en relación con la carencia sobrevenida de objeto del presente recurso de amparo alegada por el Ministerio Fiscal.</w:t>
      </w:r>
    </w:p>
    <w:p w:rsidR="000B622C" w:rsidRDefault="000B622C" w:rsidP="000B622C">
      <w:pPr>
        <w:pStyle w:val="TextoNormal"/>
      </w:pPr>
    </w:p>
    <w:p w:rsidR="000B622C" w:rsidRDefault="000B622C" w:rsidP="000B622C">
      <w:pPr>
        <w:pStyle w:val="TextoNormal"/>
      </w:pPr>
      <w:r w:rsidRPr="000B622C">
        <w:rPr>
          <w:rStyle w:val="NumeroAFNegritaCaracter"/>
        </w:rPr>
        <w:t>10</w:t>
      </w:r>
      <w:r>
        <w:t>. El Abogado del Estado presentó su escrito de alegaciones el 30 de enero de 2002, señalando que, por los mismos argumentos que el Ministerio Fiscal, no se opone a que se declare sobrevenidamente desaparecido el objeto del presente recurso de amparo.</w:t>
      </w:r>
    </w:p>
    <w:p w:rsidR="000B622C" w:rsidRDefault="000B622C" w:rsidP="000B622C">
      <w:pPr>
        <w:pStyle w:val="TextoNormal"/>
      </w:pPr>
    </w:p>
    <w:p w:rsidR="000B622C" w:rsidRDefault="000B622C" w:rsidP="000B622C">
      <w:pPr>
        <w:pStyle w:val="TextoNormal"/>
      </w:pPr>
      <w:r w:rsidRPr="000B622C">
        <w:rPr>
          <w:rStyle w:val="NumeroAFNegritaCaracter"/>
        </w:rPr>
        <w:t>11</w:t>
      </w:r>
      <w:r>
        <w:t>. El demandante de amparo presentó sus alegaciones con fecha 31 de enero de 2002, oponiéndose a que se declare terminado el proceso de amparo por carencia sobrevenida de objeto. Alega que, pese a la estrecha conexión del presente recurso con el núm. 1786/98, resuelto por la STC 115/2001, no puede establecerse una identidad plena, a lo que ha de añadirse que el recurrente solicitó mediante otrosí en la demanda de amparo su acumulación al recurso núm. 1786/98 conforme a lo previsto en el art. 83 LOTC, acumulación que no se produjo. En consecuencia, procede que se dicte Sentencia otorgando el amparo solicitado.</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La desaparición sobrevenida del objeto del proceso, aunque no contemplada expresamente en el art. 86.1 LOTC, ha sido admitida por este Tribunal como forma de terminación de los distintos procesos constitucionales (AATC 14/1991, 146/1991, 3/1995, 42/1995, 189/1997 y 139/1998, entre otros muchos). Como se sabe, con carácter general, dicha pérdida queda referida a los casos en los que, o bien los propios órganos judiciales han reparado directamente la lesión alegada ante este Tribunal, o bien ha desaparecido el acto o la causa origen del proceso de amparo (así, SSTC 40/1982, de 30 de junio, 32/1982, </w:t>
      </w:r>
      <w:r>
        <w:lastRenderedPageBreak/>
        <w:t>de 7 de junio, 151/1990, de 4 de octubre, 139/1992, de 13 de octubre, 57/1993, de 15 de febrero, 87/1996, de 21 de mayo, 167/2000, de 26 de junio y 257/2000, de 30 de octubre, y AATC 56/1983, de 16 de febrero, 287/1984, de 16 de mayo, 43/1985, de 23 de enero, y 258/1992, de 14 de septiembre). En esas situaciones carecería de sentido un pronunciamiento estimatorio, pues ya no existiría la lesión del derecho fundamental, con excepción de aquellos casos en donde, como también ha afirmado reiteradamente nuestra jurisprudencia, a pesar de haber desaparecido formalmente el acto lesivo debieran tenerse en cuenta otros elementos de juicio que siguieran haciendo precisa nuestra respuesta (por todas, SSTC 248/1988, de 20 de diciembre, 39/1995, de 13 de febrero, 87/1996, de 21 de mayo y 10/2001, de 20 de enero).</w:t>
      </w:r>
    </w:p>
    <w:p w:rsidR="000B622C" w:rsidRDefault="000B622C" w:rsidP="000B622C">
      <w:pPr>
        <w:pStyle w:val="TextoNormal"/>
      </w:pPr>
    </w:p>
    <w:p w:rsidR="000B622C" w:rsidRDefault="000B622C" w:rsidP="000B622C">
      <w:pPr>
        <w:pStyle w:val="TextoNormal"/>
      </w:pPr>
      <w:r w:rsidRPr="000B622C">
        <w:rPr>
          <w:rStyle w:val="NumeroAFNegritaCaracter"/>
        </w:rPr>
        <w:t>2</w:t>
      </w:r>
      <w:r>
        <w:t>. Pues bien, en el presente caso, como se ha puesto de relieve por el Ministerio Fiscal, de las actuaciones remitidas resulta que, a la vista de nuestra STC 115/2001, de 10 de mayo, por la que se estima el recurso de amparo núm. 1786/98 (interpuesto por el demandante contra los Autos de 30 de enero y 27 de noviembre de 1998 del Juzgado Togado Militar Territorial núm. 13 y del Tribunal Militar Territorial Primero, respectivamente), el Juez Togado Militar Central núm. 2 ha dictado el Auto de 12 de julio de 2001 por el que acuerda desarchivar las diligencias previas núm.  2/30/98 y ordenar su continuación, admitiendo la personación en las mismas del recurrente como acusación particular.</w:t>
      </w:r>
    </w:p>
    <w:p w:rsidR="000B622C" w:rsidRDefault="000B622C" w:rsidP="000B622C">
      <w:pPr>
        <w:pStyle w:val="TextoNormal"/>
      </w:pPr>
      <w:r>
        <w:t>Por tanto, es claro que el objeto del presente proceso constitucional ha desaparecido por iniciativa del Juzgado Togado Militar Central núm. 2, que al dictar el referido Auto de 12 de julio de 2001 deja sin eficacia las resoluciones judiciales impugnadas y procede a reparar, al admitir la personación del recurrente como acusación particular en las diligencias previas núm. 2/30/98, las concretas lesiones de derechos fundamentales que el recurrente alega en su demanda de amparo.</w:t>
      </w:r>
    </w:p>
    <w:p w:rsidR="000B622C" w:rsidRDefault="000B622C" w:rsidP="000B622C">
      <w:pPr>
        <w:pStyle w:val="TextoNormal"/>
      </w:pPr>
      <w:r>
        <w:t>En consecuencia, siendo indiferente a estos efectos que no se acordase en su día la acumulación del presente recurso al recurso de amparo núm. 1786/98, y no concurriendo tampoco circunstancia alguna de interés general que aconseje la prosecución del proceso hasta su finalización por sentencia, procede declarar que el presente recurso de amparo ha perdido su objeto por la circunstancia sobrevenida de haberse satisfecho en la jurisdicción militar.</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Declarar concluido por falta de objeto el recurso de amparo núm.  3926/99.</w:t>
      </w:r>
    </w:p>
    <w:p w:rsidR="000B622C" w:rsidRDefault="000B622C" w:rsidP="000B622C">
      <w:pPr>
        <w:pStyle w:val="TextoNormal"/>
      </w:pPr>
    </w:p>
    <w:p w:rsidR="000B622C" w:rsidRDefault="000B622C" w:rsidP="000B622C">
      <w:pPr>
        <w:pStyle w:val="TextoNormal"/>
      </w:pPr>
      <w:r>
        <w:t>Madrid, a once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33" w:name="AUTO_2002_32"/>
      <w:r>
        <w:lastRenderedPageBreak/>
        <w:t>AUTO 32/2002, de 11 de marzo de 2002</w:t>
      </w:r>
    </w:p>
    <w:bookmarkEnd w:id="133"/>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ECLI:ES:TC:2002:32A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Acumula dos recursos de amparo, promovidos por don Jean Louis Martial Herrera</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34" w:name="AUTO_2002_33"/>
      <w:r>
        <w:lastRenderedPageBreak/>
        <w:t>AUTO 33/2002, de 11 de marzo de 2002</w:t>
      </w:r>
    </w:p>
    <w:bookmarkEnd w:id="134"/>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ECLI:ES:TC:2002:33A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Acuerda el desistimiento en el recurso de amparo 444-2001.</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35" w:name="AUTO_2002_34"/>
      <w:r>
        <w:lastRenderedPageBreak/>
        <w:t>AUTO 34/2002, de 11 de marzo de 2002</w:t>
      </w:r>
    </w:p>
    <w:bookmarkEnd w:id="135"/>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ECLI:ES:TC:2002:34A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la suspensión en el recurso de amparo 1790-2001, interpuesto por don Andrea Castrignano</w:t>
      </w:r>
    </w:p>
    <w:p w:rsidR="000B622C" w:rsidRDefault="000B622C" w:rsidP="000B622C">
      <w:pPr>
        <w:pStyle w:val="SntesisDescriptiva"/>
      </w:pPr>
    </w:p>
    <w:p w:rsidR="000B622C" w:rsidRDefault="000B622C" w:rsidP="000B622C">
      <w:pPr>
        <w:pStyle w:val="SntesisAnaltica"/>
      </w:pPr>
      <w:r>
        <w:t>Suspensión cautelar de resoluciones administrativas: sanción penitenciaria, suspende; beneficios penitenciarios.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La procuradora doña Mercedes Caro Bonilla, bajo la dirección del letrado don Manuel Valero Yañez, formuló en representación de don Andrea Castrignano, recurso de amparo contra el Auto de 13 de febrero de 2001 del Juzgado de Vigilancia Penitenciaria número 2 de Ocaña, que confirmó el dictado el 11 de enero del mismo año, el cual resolvió un recurso de queja contra Acuerdo de la Comisión Disciplinaria del Centro Penitenciario de Ocaña de 29 de noviembre de 2000 por el que se le impuso una sanción de diez días de privación de paseos y actos recreativos.</w:t>
      </w:r>
    </w:p>
    <w:p w:rsidR="000B622C" w:rsidRDefault="000B622C" w:rsidP="000B622C">
      <w:pPr>
        <w:pStyle w:val="TextoNormal"/>
      </w:pPr>
    </w:p>
    <w:p w:rsidR="000B622C" w:rsidRDefault="000B622C" w:rsidP="000B622C">
      <w:pPr>
        <w:pStyle w:val="TextoNormal"/>
      </w:pPr>
      <w:r w:rsidRPr="000B622C">
        <w:rPr>
          <w:rStyle w:val="NumeroAFNegritaCaracter"/>
        </w:rPr>
        <w:t>2</w:t>
      </w:r>
      <w:r>
        <w:t>. El recurrente considera vulnerado su derecho a la presunción de inocencia al haber sido sancionado con base en una prueba de indicios que vulnera la doctrina de este Tribunal.</w:t>
      </w:r>
    </w:p>
    <w:p w:rsidR="000B622C" w:rsidRDefault="000B622C" w:rsidP="000B622C">
      <w:pPr>
        <w:pStyle w:val="TextoNormal"/>
      </w:pPr>
    </w:p>
    <w:p w:rsidR="000B622C" w:rsidRDefault="000B622C" w:rsidP="000B622C">
      <w:pPr>
        <w:pStyle w:val="TextoNormal"/>
      </w:pPr>
      <w:r w:rsidRPr="000B622C">
        <w:rPr>
          <w:rStyle w:val="NumeroAFNegritaCaracter"/>
        </w:rPr>
        <w:t>3</w:t>
      </w:r>
      <w:r>
        <w:t>. Por providencia de 18 de febrero de 2002, la Sección Primera acordó la admisión a trámite la demanda de amparo y en la misma fecha se acordó formar la pieza separada de suspensión con el testimonio de la providencia de admisión y del recurso de amparo y, de conformidad con lo prevenido en el artículo 56 LOTC, conceder al Ministerio Fiscal, al Abogado del Estado y al solicitante del amparo el plazo común de tres días para que alegasen lo que estimaren oportuno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Por escrito de 21 de febrero de 2002, el Abogado del Estado se opuso a la suspensión de la sanción. Considera el Abogado del Estado que la suspensión de una sanción disciplinaria, presupone una actividad ponderativa de los perjuicios que podrían causarse al interesado por la ejecución, o de los que podrían ocasionarse al interés jurídico por aquélla. Y así, aunque cabría razonar en términos abstractos que la suspensión de una sanción disciplinaria, si su ejecución se encuentra distante del momento de cumplimiento de la condena, puede interesar legítimamente al sancionado (aun cuando se haya ejecutado) </w:t>
      </w:r>
      <w:r>
        <w:lastRenderedPageBreak/>
        <w:t>por los efectos indirectos posteriores que esta pudiera tener, si la sanción está próxima en el tiempo a la finalización de la condena, puede haber daño al interés público porque podría constituirse en simple instrumento dilatorio en previsión de que la condena se extinga antes de que se resuelva el recurso de amparo. Por ello, y como el demandante no parece haberla interesado, ni alegado ningún dato que permita formar criterio sobre ello, se ve en la necesidad de oponerse a la misma por el carácter excepcional de la medida.</w:t>
      </w:r>
    </w:p>
    <w:p w:rsidR="000B622C" w:rsidRDefault="000B622C" w:rsidP="000B622C">
      <w:pPr>
        <w:pStyle w:val="TextoNormal"/>
      </w:pPr>
    </w:p>
    <w:p w:rsidR="000B622C" w:rsidRDefault="000B622C" w:rsidP="000B622C">
      <w:pPr>
        <w:pStyle w:val="TextoNormal"/>
      </w:pPr>
      <w:r w:rsidRPr="000B622C">
        <w:rPr>
          <w:rStyle w:val="NumeroAFNegritaCaracter"/>
        </w:rPr>
        <w:t>5</w:t>
      </w:r>
      <w:r>
        <w:t>. El 27 de febrero de 2002, la Procuradora doña Mercedes Caro Bonilla presentó escrito con sus alegaciones. El demandante de amparo alega que está de acuerdo con la suspensión.</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Por escrito registrado el 27 de febrero de 2002 el Ministerio Fiscal interesó la suspensión de la sanción. El Fiscal sostiene que el criterio general de este Tribunal es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limitación de ciertos derechos. </w:t>
      </w:r>
    </w:p>
    <w:p w:rsidR="000B622C" w:rsidRDefault="000B622C" w:rsidP="000B622C">
      <w:pPr>
        <w:pStyle w:val="TextoNormal"/>
      </w:pPr>
      <w:r>
        <w:t>La aplicación de dicha doctrina al caso obliga a considerar, según el Fiscal, si se compara la duración de la sanción impuesta con el tiempo que requiere la tramitación de un proceso como el presente, que no suspender la ejecución supondría un perjuicio irreparable, que dejaría en entredicho la eficacia de un eventual fallo estimatorio. Finalmente, el Ministerio Fiscal considera que no se aprecia que acceder a la suspensión solicitada ocasione una lesión específica y grave del interés general, más allá que aquélla que de por sí produce la no ejecución de un fallo judicial.</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artículo 56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así como que se podrá denegar la suspensión cuando de ésta pueda seguirse perturbación grave de los intereses generales, o de los derechos fundamentales y libertades públicas de un tercero.</w:t>
      </w:r>
    </w:p>
    <w:p w:rsidR="000B622C" w:rsidRDefault="000B622C" w:rsidP="000B622C">
      <w:pPr>
        <w:pStyle w:val="TextoNormal"/>
      </w:pPr>
    </w:p>
    <w:p w:rsidR="000B622C" w:rsidRDefault="000B622C" w:rsidP="000B622C">
      <w:pPr>
        <w:pStyle w:val="TextoNormal"/>
      </w:pPr>
      <w:r w:rsidRPr="000B622C">
        <w:rPr>
          <w:rStyle w:val="NumeroAFNegritaCaracter"/>
        </w:rPr>
        <w:t>2</w:t>
      </w:r>
      <w:r>
        <w:t>. Tal como parece sostener el Abogado del Estado, la sanción puede haber sido cumplida.  Si atendiéramos exclusivamente a los efectos propios de la sanción, ésta no solamente habría sido cumplida, sino que incluso ha podido ser cancelada de conformidad con lo dispuesto en el artículo 260 del Reglamento Penitenciario (RD 190/1996, de 9 de febrero).</w:t>
      </w:r>
    </w:p>
    <w:p w:rsidR="000B622C" w:rsidRDefault="000B622C" w:rsidP="000B622C">
      <w:pPr>
        <w:pStyle w:val="TextoNormal"/>
      </w:pPr>
      <w:r>
        <w:t>Sin embargo, a pesar de que la sanción haya sido cumplida e, incluso, haya podido quedar cancelada en los términos y con los efectos previstos en los artículos 260 y 262 del Reglamento Penitenciario, es preciso determinar si la no suspensión de la resolución puede generar otros efectos de forma que "de un lado la suspensión, en cuanto medida caute</w:t>
      </w:r>
      <w:r>
        <w:lastRenderedPageBreak/>
        <w:t>lar, mantenga su sentido y, de otro, su concesión no sea contraria al interés general o los derechos fundamentales y libertades públicas de un tercero" (ATC 186/2001, y, en el mismo sentido, AATC 24/1985, 192/1995 58/1996 y 188/1999)</w:t>
      </w:r>
    </w:p>
    <w:p w:rsidR="000B622C" w:rsidRDefault="000B622C" w:rsidP="000B622C">
      <w:pPr>
        <w:pStyle w:val="TextoNormal"/>
      </w:pPr>
      <w:r>
        <w:t>Pues bien, tal como se resolvió por esta misma Sala en el ATC 186/2001, antes mencionado, en la medida en que a pesar del cumplimiento efectivo de la sanción, ésta puede tener efectos negativos en la concesión de beneficios penitenciarios al recurrente (arts. 202, 204, 205 y 206 RP de 1996) y dado que, como sostuvimos en el ATC 58/1996, se trata de efectos que por su naturaleza pueden favorecer al reo sin que, en principio, pueda colegirse un inmediato perjuicio del interés general o de los derechos fundamentales o libertades públicas de terceros, resulta pertinente la suspensión solicitada, si bien limitando la suspensión a los efectos que pudieran derivarse de ella.</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Suspender los efectos que pudieran derivarse de la sanción disciplinaria de diez días de privación de paseos y actos recreativos impuesta al recurrente don Andrea Castrignano por Acuerdo de la Comisión Disciplinaria del Centro Penitenciario de Ocaña de</w:t>
      </w:r>
    </w:p>
    <w:p w:rsidR="000B622C" w:rsidRDefault="000B622C" w:rsidP="000B622C">
      <w:pPr>
        <w:pStyle w:val="TextoNormal"/>
      </w:pPr>
      <w:r>
        <w:t>29 de noviembre de 2000 confirmado por Autos de 11 de enero de 2001 y 13 de febrero del mismo año del Juzgado de Vigilancia Penitenciaria número 2 de Ocaña, en el expediente 294/00.</w:t>
      </w:r>
    </w:p>
    <w:p w:rsidR="000B622C" w:rsidRDefault="000B622C" w:rsidP="000B622C">
      <w:pPr>
        <w:pStyle w:val="TextoNormal"/>
      </w:pPr>
    </w:p>
    <w:p w:rsidR="000B622C" w:rsidRDefault="000B622C" w:rsidP="000B622C">
      <w:pPr>
        <w:pStyle w:val="TextoNormal"/>
      </w:pPr>
      <w:r>
        <w:t>Madrid, a once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36" w:name="AUTO_2002_35"/>
      <w:r>
        <w:lastRenderedPageBreak/>
        <w:t>AUTO 35/2002, de 11 de marzo de 2002</w:t>
      </w:r>
    </w:p>
    <w:bookmarkEnd w:id="136"/>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ECLI:ES:TC:2002:35A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Deniega la suspensión en el recurso de amparo 3192-2001, interpuesto por don Juan Bautista Ríos Polo</w:t>
      </w:r>
    </w:p>
    <w:p w:rsidR="000B622C" w:rsidRDefault="000B622C" w:rsidP="000B622C">
      <w:pPr>
        <w:pStyle w:val="SntesisDescriptiva"/>
      </w:pPr>
    </w:p>
    <w:p w:rsidR="000B622C" w:rsidRDefault="000B622C" w:rsidP="000B622C">
      <w:pPr>
        <w:pStyle w:val="SntesisAnaltica"/>
      </w:pPr>
      <w:r>
        <w:t>Suspensión cautelar de sentencias penales: multa, responsabilidad personal subsidiaria, no suspende. Contenido patrimonial</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con fecha 6 de junio de 2001, doña María del Carmen González González, Letrada del Ilustre Colegio de Abogados de Granada, que había ostentado la defensa de don Juan Bautista Ríos Polo en el juicio de faltas núm. 58/2000 del Juzgado de Instrucción núm. 1 de Granada, comunicó el propósito de su defendido de plantear recurso de amparo contra la Sentencia de 2 de mayo del 2001 de la Sección Segunda de la Audiencia Provincial de Granada, que desestimó el recurso de apelación interpuesto contra la Sentencia de 9 de noviembre del 2000 dictada en el juicio de faltas antes referenciado, que condenó al Sr. Ríos Polo como autor de una falta de amenazas a la pena de multa de veinte días con cuota diaria de mil pesetas. Al propio tiempo solicitaba la designación de Procurador del turno de oficio para que asumiese la representación del Sr. Ríos Polo, ya que la defensa de éste la asumía la propia Letrada Sra. González. Efectuada la designación de Procurador de oficio, la Sección Segunda del Tribunal Constitucional acordó, mediante diligencia de ordenación de su Secretario de Justicia de 12 de julio del 2001, conceder a la Procuradora designada, doña Mª Gracia Martos Martínez, un plazo de veinte días para que, bajo la dirección de la Abogada que venía defendiendo al Sr. Ríos Polo, formalizara la demanda de amparo, lo que tuvo lugar mediante escrito presentado ante este Tribunal con fecha 3 de septiembre de 2001.</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en que se fundamenta la demanda de amparo son, sucintamente expuestos, los siguientes: </w:t>
      </w:r>
    </w:p>
    <w:p w:rsidR="000B622C" w:rsidRDefault="000B622C" w:rsidP="000B622C">
      <w:pPr>
        <w:pStyle w:val="TextoNormal"/>
      </w:pPr>
      <w:r>
        <w:t xml:space="preserve">a) El demandante fue condenado por Sentencia del Juzgado de Instrucción núm. 1 de Granada de 9 de noviembre de 2000, como autor de una falta de amenazas, a la pena de veinte días de multa, a razón de una cuota de mil pesetas diarias, con arresto sustitutorio para el caso de impago de la multa de un día de privación de libertad por cada dos cuotas diarias impagadas, y al pago de la mitad de las costas causadas. </w:t>
      </w:r>
    </w:p>
    <w:p w:rsidR="000B622C" w:rsidRDefault="000B622C" w:rsidP="000B622C">
      <w:pPr>
        <w:pStyle w:val="TextoNormal"/>
      </w:pPr>
      <w:r>
        <w:lastRenderedPageBreak/>
        <w:t xml:space="preserve">b) A fin de apelar dicha Sentencia, el demandante de amparo solicitó el nombramiento de Abogado de oficio, que le fue designado por el Colegio de Abogados de Granada en la persona de doña María del Carmen González González, siendo dicha Letrada quien interpuso el recurso de apelación, sin que le fuese conferida por el recurrente la representación por ninguno de los medios admitidos en Derecho. </w:t>
      </w:r>
    </w:p>
    <w:p w:rsidR="000B622C" w:rsidRDefault="000B622C" w:rsidP="000B622C">
      <w:pPr>
        <w:pStyle w:val="TextoNormal"/>
      </w:pPr>
      <w:r>
        <w:t>c) La Sección Segunda de la Audiencia Provincial de Granada, en Sentencia de 2 de mayo de 2001, desestimó el recurso de apelación del demandante de amparo, sin entrar en el examen de fondo del mismo, con el argumento de que la Letrada que formuló el recurso en nombre del recurrente carece de poder de representación otorgado por éste.</w:t>
      </w:r>
    </w:p>
    <w:p w:rsidR="000B622C" w:rsidRDefault="000B622C" w:rsidP="000B622C">
      <w:pPr>
        <w:pStyle w:val="TextoNormal"/>
      </w:pPr>
    </w:p>
    <w:p w:rsidR="000B622C" w:rsidRDefault="000B622C" w:rsidP="000B622C">
      <w:pPr>
        <w:pStyle w:val="TextoNormal"/>
      </w:pPr>
      <w:r w:rsidRPr="000B622C">
        <w:rPr>
          <w:rStyle w:val="NumeroAFNegritaCaracter"/>
        </w:rPr>
        <w:t>3</w:t>
      </w:r>
      <w:r>
        <w:t>. En la demanda de amparo se alega, en síntesis, que la Sentencia recurrida ha lesionado el derecho del recurrente a la tutela judicial efectiva sin indefensión (art. 24.1 CE), porque, aun siendo cierto que no otorgó su representación a la Abogada firmante del recurso ni personalmente expresó su voluntad de recurrir, tal defecto formal era perfectamente subsanable, pese a lo cual la Audiencia ha desestimado su recurso de apelación sin entrar en el fondo del mismo apreciando el referido defecto procesal sin otorgar a la parte plazo de subsanación. Mediante otrosí, y de conformidad con el art. 56.1 LOTC, se solicitó que se acordase la suspensión de la ejecución de la Sentencia recurrida, toda vez que la ejecución de dicha resolución judicial produciría al recurrente un perjuicio irreparable que haría perder al amparo su finalidad.</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Por providencia de 14 de enero de 2002, la Sección Segunda de este Tribunal acordó la admisión a trámite del recurso de amparo y recabar de los órganos judiciales la remisión de testimonio de las respectivas actuaciones así como que por parte del Juzgado de Instrucción núm. 1 de Granada se efectuase el emplazamiento de quienes fueron parte en el procedimiento, con excepción del demandante de amparo. </w:t>
      </w:r>
    </w:p>
    <w:p w:rsidR="000B622C" w:rsidRDefault="000B622C" w:rsidP="000B622C">
      <w:pPr>
        <w:pStyle w:val="TextoNormal"/>
      </w:pPr>
      <w:r>
        <w:t>Mediante otro proveído de la misma fecha, la Sección Segunda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El Ministerio Fiscal evacuó el trámite de alegaciones conferido mediante escrito presentado el 8 de febrero de 2002. El Fiscal estima que, de conformidad con la reiterada doctrina de este Tribunal, no resulta procedente la suspensión de la pena de multa impuesta, al revestir un carácter meramente económico y sin que el recurrente haya justificado que su ejecución comporte perjuicios irreparables que hagan perder su finalidad al recurso de amparo.</w:t>
      </w:r>
    </w:p>
    <w:p w:rsidR="000B622C" w:rsidRDefault="000B622C" w:rsidP="000B622C">
      <w:pPr>
        <w:pStyle w:val="TextoNormal"/>
      </w:pPr>
    </w:p>
    <w:p w:rsidR="000B622C" w:rsidRDefault="000B622C" w:rsidP="000B622C">
      <w:pPr>
        <w:pStyle w:val="TextoNormal"/>
      </w:pPr>
      <w:r w:rsidRPr="000B622C">
        <w:rPr>
          <w:rStyle w:val="NumeroAFNegritaCaracter"/>
        </w:rPr>
        <w:t>6</w:t>
      </w:r>
      <w:r>
        <w:t>. El recurrente en amparo no formuló alegaciones.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w:t>
      </w:r>
      <w:r>
        <w:lastRenderedPageBreak/>
        <w:t>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0B622C" w:rsidRDefault="000B622C" w:rsidP="000B622C">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0B622C" w:rsidRDefault="000B622C" w:rsidP="000B622C">
      <w:pPr>
        <w:pStyle w:val="TextoNormal"/>
      </w:pPr>
    </w:p>
    <w:p w:rsidR="000B622C" w:rsidRDefault="000B622C" w:rsidP="000B622C">
      <w:pPr>
        <w:pStyle w:val="TextoNormal"/>
      </w:pPr>
      <w:r w:rsidRPr="000B622C">
        <w:rPr>
          <w:rStyle w:val="NumeroAFNegritaCaracter"/>
        </w:rPr>
        <w:t>2</w:t>
      </w:r>
      <w:r>
        <w:t>.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0B622C" w:rsidRDefault="000B622C" w:rsidP="000B622C">
      <w:pPr>
        <w:pStyle w:val="TextoNormal"/>
      </w:pPr>
      <w:r>
        <w:t>Más en concreto, en cuanto a la ejecución de las Sentencias penales que condenan al pago de una multa, nuestra doctrina viene señalando, como se recuerda en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000B622C" w:rsidRDefault="000B622C" w:rsidP="000B622C">
      <w:pPr>
        <w:pStyle w:val="TextoNormal"/>
      </w:pPr>
      <w:r>
        <w:t>Esta doctrina resulta asimismo aplicable a la condena en costas procesales pues, al entrañar un pago en dinero, su ejecución no provoca ningún perjuicio que pueda hacer inútil el recurso de amparo (AATC 116/2000, de 5 de mayo, 44/2001, de 26 de febrero y 161/2001, de 18 de junio, entre otros muchos).</w:t>
      </w:r>
    </w:p>
    <w:p w:rsidR="000B622C" w:rsidRDefault="000B622C" w:rsidP="000B622C">
      <w:pPr>
        <w:pStyle w:val="TextoNormal"/>
      </w:pPr>
    </w:p>
    <w:p w:rsidR="000B622C" w:rsidRDefault="000B622C" w:rsidP="000B622C">
      <w:pPr>
        <w:pStyle w:val="TextoNormal"/>
      </w:pPr>
      <w:r w:rsidRPr="000B622C">
        <w:rPr>
          <w:rStyle w:val="NumeroAFNegritaCaracter"/>
        </w:rPr>
        <w:t>3</w:t>
      </w:r>
      <w:r>
        <w:t>. La aplicación al presente caso de la doctrina reseñada conduce a denegar la suspensión de la Sentencia recurrida, que deja firme la condena impuesta por el Juzgado de Ins</w:t>
      </w:r>
      <w:r>
        <w:lastRenderedPageBreak/>
        <w:t>trucción - multa de veinte días a razón de una cuota diaria de mil pesetas y costas -, pues al tratarse de pena de contenido económico y cuantía reducida, los perjuicios anejos a su ejecución son perfectamente reparables en caso de otorgarse el amparo, sin olvidar, por lo demás, que el recurrente no ha levantado la carga que sobre él pesa de acreditar en qué modo el cumplimiento de estos concretos pronunciamientos ocasionaría un perjuicio que hiciera perder al amparo su finalidad. Y en cuanto a la responsabilidad personal subsidiaria o arresto sustitutorio, que podría llegar a recaer sobre el recurrente en caso de que no satisficiere la multa impuesta -un día de privación de libertad por cada dos cuotas diarias impagadas-, se trata de una eventualidad incierta, pues depende de que efectivamente la multa no llegue a ser pagada, voluntariamente o por vía de apremio; y, en cualquier caso, es una eventualidad futura, que en caso de sobrevenir podría dar lugar a la modificación de la decisión que ahora se adopta, en virtud del art. 57 LOTC (ATC 107/1998, de 4 de mayo, FJ 2). Por todas estas razones, no procede tampoco decretar la suspensión del fallo en este punto, sin perjuicio de lo que pueda acontecer en el futuro.</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solicitada.</w:t>
      </w:r>
    </w:p>
    <w:p w:rsidR="000B622C" w:rsidRDefault="000B622C" w:rsidP="000B622C">
      <w:pPr>
        <w:pStyle w:val="TextoNormal"/>
      </w:pPr>
    </w:p>
    <w:p w:rsidR="000B622C" w:rsidRDefault="000B622C" w:rsidP="000B622C">
      <w:pPr>
        <w:pStyle w:val="TextoNormal"/>
      </w:pPr>
      <w:r>
        <w:t>Madrid, a once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37" w:name="AUTO_2002_36"/>
      <w:r>
        <w:lastRenderedPageBreak/>
        <w:t>AUTO 36/2002, de 11 de marzo de 2002</w:t>
      </w:r>
    </w:p>
    <w:bookmarkEnd w:id="137"/>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ECLI:ES:TC:2002:36A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Acuerda el desistimiento en el recurso de amparo 5622-2001.</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38" w:name="AUTO_2002_37"/>
      <w:r>
        <w:lastRenderedPageBreak/>
        <w:t>AUTO 37/2002, de 12 de marzo de 2002</w:t>
      </w:r>
    </w:p>
    <w:bookmarkEnd w:id="138"/>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ECLI:ES:TC:2002:37A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Deniega la suspensión en el recurso de amparo 1852-2001, interpuesto por don Francisco Javier Mínguez Villar del Amo</w:t>
      </w:r>
    </w:p>
    <w:p w:rsidR="000B622C" w:rsidRDefault="000B622C" w:rsidP="000B622C">
      <w:pPr>
        <w:pStyle w:val="SntesisDescriptiva"/>
      </w:pPr>
    </w:p>
    <w:p w:rsidR="000B622C" w:rsidRDefault="000B622C" w:rsidP="000B622C">
      <w:pPr>
        <w:pStyle w:val="SntesisAnaltica"/>
      </w:pPr>
      <w:r>
        <w:t>Suspensión cautelar de sentencias penales: prisión de doce años, no suspende. Penas privativas de libertad</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Por escrito presentado en el Juzgado de guardia de Madrid el día 29 de marzo de 2001, el Procurador don Carlos Gómez-Villaboa y Mandri, en representación de don Francisco Javier Minguez Villar del Amo, dedujo demanda de amparo constitucional contra la Sentencia de la Sala Segunda Tribunal Supremo, desestimatoria del recurso de casación interpuesto contra la dictada por la Audiencia Nacional en causa seguida en el Juzgado Central de Instrucción núm. 1 por delito contra la salud pública en virtud de la cual se condenaba, entre otros, al demandante de amparo a la pena de doce años de prisión mayor y multa de 175 millones de pesetas. </w:t>
      </w:r>
    </w:p>
    <w:p w:rsidR="000B622C" w:rsidRDefault="000B622C" w:rsidP="000B622C">
      <w:pPr>
        <w:pStyle w:val="TextoNormal"/>
      </w:pPr>
      <w:r>
        <w:t>El hecho por el que se condenó al demandante consistió en la importación de 145,709 kilogramos de heroína ocultos en el interior de una de dos grandes piedras de mármol importadas desde Chile a través de Bolivia y Marsella.</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El demandante aduce que el recurso de casación no es un recurso que permita la revisión plena de la condena impuesta en la primera instancia, lo que vulnera, de una parte, el art. 14.5 del Pacto Internacional de Derechos Civiles y Políticos (aludiendo al reciente Dictamen del Comité de Derechos Humanos de 20 de julio de 2000), y, de otra, el principio de igualdad, pues los condenados por delitos menos graves, que son competencia del Juzgado de lo Penal, sí disponen de una segunda instancia en sentido pleno. </w:t>
      </w:r>
    </w:p>
    <w:p w:rsidR="000B622C" w:rsidRDefault="000B622C" w:rsidP="000B622C">
      <w:pPr>
        <w:pStyle w:val="TextoNormal"/>
      </w:pPr>
      <w:r>
        <w:t>En segundo término aduce vulneración del derecho a la presunción de inocencia, pues la condena se basó en las declaraciones sumariales de un coprocesado que no declaró en el juicio oral debido a una sobrevenida enfermedad mental, en las de otro coprocesado que se retractó en el juicio oral de sus manifestaciones sumariales, las cuales no fueron leídas en dicho acto, y, finalmente, en las del propio acusado vertidas en el plenario.</w:t>
      </w:r>
    </w:p>
    <w:p w:rsidR="000B622C" w:rsidRDefault="000B622C" w:rsidP="000B622C">
      <w:pPr>
        <w:pStyle w:val="TextoNormal"/>
      </w:pPr>
    </w:p>
    <w:p w:rsidR="000B622C" w:rsidRDefault="000B622C" w:rsidP="000B622C">
      <w:pPr>
        <w:pStyle w:val="TextoNormal"/>
      </w:pPr>
      <w:r w:rsidRPr="000B622C">
        <w:rPr>
          <w:rStyle w:val="NumeroAFNegritaCaracter"/>
        </w:rPr>
        <w:t>3</w:t>
      </w:r>
      <w:r>
        <w:t>. La Sala Segunda de este Tribunal acordó, mediante providencia de 24 de enero de 2002, admitir a trámite el presente recurso de amparo, formar pieza separada para la trami</w:t>
      </w:r>
      <w:r>
        <w:lastRenderedPageBreak/>
        <w:t>tación del incidente de suspensión de las resoluciones judiciales impugnadas y conceder un plazo común de tres días a la parte recurrente y al Ministerio Fiscal para que alegasen lo que estimasen conveniente en relación con la suspensión solicitada.</w:t>
      </w:r>
    </w:p>
    <w:p w:rsidR="000B622C" w:rsidRDefault="000B622C" w:rsidP="000B622C">
      <w:pPr>
        <w:pStyle w:val="TextoNormal"/>
      </w:pPr>
    </w:p>
    <w:p w:rsidR="000B622C" w:rsidRDefault="000B622C" w:rsidP="000B622C">
      <w:pPr>
        <w:pStyle w:val="TextoNormal"/>
      </w:pPr>
      <w:r w:rsidRPr="000B622C">
        <w:rPr>
          <w:rStyle w:val="NumeroAFNegritaCaracter"/>
        </w:rPr>
        <w:t>4</w:t>
      </w:r>
      <w:r>
        <w:t>. El demandante de amparo formuló alegaciones mediante escrito registrado el día 1 de febrero de 2002. En ellas insiste en lo fundado de las dos quejas aducidas, relativas a la vulneración del derecho a la presunción de inocencia y al incumplimiento por España de la resolución del Comité de Derechos Humanos de 20 de julio de 2000, lo que, a su juicio, aconseja la adopción de la medida cautelar de suspensión de la ejecución de las Sentencias recurridas en amparo. Termina argumentando que el cumplimiento de la pena impuesta en la Sentencia ocasionaría al demandante de amparo un perjuicio irreparable, atendida su edad de 56 años y la irremisible pérdida de opciones laborales y de todo tipo si se llegara a producir su absolución, de lo que existen grandes posibilidades. De otra parte es un hecho, afirma, que ha cumplido escrupulosamente sus obligaciones judiciales y que nunca ha intentado sustraerse a la acción de la justicia, sin que, finalmente, la demora de unos años en el inicio del cumplimiento de la pena, si es que la demanda de amparo se desestimase, fuera a causar ningún perjuicio a los intereses generales.</w:t>
      </w:r>
    </w:p>
    <w:p w:rsidR="000B622C" w:rsidRDefault="000B622C" w:rsidP="000B622C">
      <w:pPr>
        <w:pStyle w:val="TextoNormal"/>
      </w:pPr>
    </w:p>
    <w:p w:rsidR="000B622C" w:rsidRDefault="000B622C" w:rsidP="000B622C">
      <w:pPr>
        <w:pStyle w:val="TextoNormal"/>
      </w:pPr>
      <w:r w:rsidRPr="000B622C">
        <w:rPr>
          <w:rStyle w:val="NumeroAFNegritaCaracter"/>
        </w:rPr>
        <w:t>5</w:t>
      </w:r>
      <w:r>
        <w:t>. El Ministerio Fiscal presentó escrito el día 1 de febrero de 2002 solicitando la denegación de la suspensión solicitada por el demandante. Tras recoger la doctrina de este Tribunal en relación a la suspención de las condenas privativas de libertad, mediante la cita del ATC de 24 de julio de 2001, entiende que la aplicación de dicha doctrina al supuesto sometido a nuestra consideración revela la existencia de un notable interés general en la ejecución de las resoluciones recurridas atendida la extraordinaria gravedad de los hechos (la comisión de un delito contra la salud pública por la importación, en cantidad de notoria importancia, de droga que causa grave daño a la salud, realizado mediante una organización), el bien jurídico protegido (la salud), la enorme trascendencia social de los hechos, y, finalmente, la extensa duración de la pena impuesta (doce años), cuyo cumplimiento resta íntegro.</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Al amparo de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La admisión del amparo no conlleva, pues, la suspensión de la ejecución de los actos recurridos, dado que la suspensión se condiciona a la no producción de perturbación grave de los intereses generales o de los derechos fundamentales o de las libertades públicas de un tercero.</w:t>
      </w:r>
    </w:p>
    <w:p w:rsidR="000B622C" w:rsidRDefault="000B622C" w:rsidP="000B622C">
      <w:pPr>
        <w:pStyle w:val="TextoNormal"/>
      </w:pPr>
      <w:r>
        <w:t>En el presente caso el recurrente formula la solicitud de que se suspenda la ejecución de la Sentencia de la Sala Segunda Tribunal Supremo desestimatoria del recurso de casación interpuesto contra la dictada por la Audiencia Nacional por la que se condenaba al demandante de amparo, por delito contra la salud pública, a la pena de doce años de prisión mayor y multa de 175 millones de pesetas.</w:t>
      </w:r>
    </w:p>
    <w:p w:rsidR="000B622C" w:rsidRDefault="000B622C" w:rsidP="000B622C">
      <w:pPr>
        <w:pStyle w:val="TextoNormal"/>
      </w:pPr>
    </w:p>
    <w:p w:rsidR="000B622C" w:rsidRDefault="000B622C" w:rsidP="000B622C">
      <w:pPr>
        <w:pStyle w:val="TextoNormal"/>
      </w:pPr>
      <w:r w:rsidRPr="000B622C">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0B622C" w:rsidRDefault="000B622C" w:rsidP="000B622C">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la decisión final a adoptar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y 289/2001).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y 273/1998).</w:t>
      </w:r>
    </w:p>
    <w:p w:rsidR="000B622C" w:rsidRDefault="000B622C" w:rsidP="000B622C">
      <w:pPr>
        <w:pStyle w:val="TextoNormal"/>
      </w:pPr>
      <w:r>
        <w:t>4. Aplicada la doctrina expuesta al presente caso ha de denegarse la suspensión solicitada. Dada la larga duración de la pena privativa de libertad impuesta (doce años de prisión mayor y multa de 175 millones de pesetas) no procede suspender su ejecución.  Como ya se ha afirmado, aun cuando la regla general de este Tribunal en el caso de penas privativas de libertad debe ser la suspensión, ya que su cumplimiento conlleva en sí mismo una pérdida, al menos parcial, de la finalidad del amparo, también se ha indicado que esta regla general no está exenta de excepciones, y una de ellas es, precisamente, la duración de la pena, ya que, en el supuesto de que la pena sea de larga duración, "el interés general reclama con especial intensidad su ejecución" (ATC 214/1997). Tal conclusión se impone, no sólo por el necesario mantenimiento de la confianza en la justicia penal y en los efectos disuasorios que se derivan de la finalidad de prevención general de los delitos (AATC 310/1996, 419/1997, 265/1998), sino también porque la duración de la pena cuantifica "el desvalor del comportamiento enjuiciado y el daño social producido, según la apreciación del Tribunal sentenciador, que nosotros no podemos revisar en este trámite" (AATC 265/1998, 62/2001 y 289/2001).</w:t>
      </w:r>
    </w:p>
    <w:p w:rsidR="000B622C" w:rsidRDefault="000B622C" w:rsidP="000B622C">
      <w:pPr>
        <w:pStyle w:val="TextoNormal"/>
      </w:pPr>
    </w:p>
    <w:p w:rsidR="000B622C" w:rsidRDefault="000B622C" w:rsidP="000B622C">
      <w:pPr>
        <w:pStyle w:val="TextoNormal"/>
      </w:pPr>
      <w:r>
        <w:t>En virtud de todo ello,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solicitada</w:t>
      </w:r>
    </w:p>
    <w:p w:rsidR="000B622C" w:rsidRDefault="000B622C" w:rsidP="000B622C">
      <w:pPr>
        <w:pStyle w:val="TextoNormal"/>
      </w:pPr>
    </w:p>
    <w:p w:rsidR="000B622C" w:rsidRDefault="000B622C" w:rsidP="000B622C">
      <w:pPr>
        <w:pStyle w:val="TextoNormal"/>
      </w:pPr>
      <w:r>
        <w:t>Notifíquese a la parte recurrente y al Ministerio Fiscal.</w:t>
      </w:r>
    </w:p>
    <w:p w:rsidR="000B622C" w:rsidRDefault="000B622C" w:rsidP="000B622C">
      <w:pPr>
        <w:pStyle w:val="TextoNormal"/>
      </w:pPr>
      <w:r>
        <w:t>Madrid, a doce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39" w:name="AUTO_2002_38"/>
      <w:r>
        <w:lastRenderedPageBreak/>
        <w:t>AUTO 38/2002, de 12 de marzo de 2002</w:t>
      </w:r>
    </w:p>
    <w:bookmarkEnd w:id="139"/>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ECLI:ES:TC:2002:38A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Inadmite a trámite la cuestión de inconstitucionalidad 4551-2001, planteada por la Sala de lo Contencioso-Administrativo del Tribunal Superior de Justicia del País Vasco respecto a la disposición transitoria primera, apartado 4, de la Ley 42/1995, de 22 de diciembre, de telecomunicaciones por cable</w:t>
      </w:r>
    </w:p>
    <w:p w:rsidR="000B622C" w:rsidRDefault="000B622C" w:rsidP="000B622C">
      <w:pPr>
        <w:pStyle w:val="SntesisDescriptiva"/>
      </w:pPr>
    </w:p>
    <w:p w:rsidR="000B622C" w:rsidRDefault="000B622C" w:rsidP="000B622C">
      <w:pPr>
        <w:pStyle w:val="SntesisAnaltica"/>
      </w:pPr>
      <w:r>
        <w:t>Cuestión de inconstitucionalidad: juicio de relevancia insuficiente. Telecomunicaciones: concesiones provisionales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El 9 de agosto de 2001 fue registrado en este Tribunal escrito dirigido por la Sección Tercera de la Sala de lo Contencioso-Administrativo del Tribunal Superior de Justicia del País Vasco, al que se acompaña testimonio del Auto de 16 de mayo de 2001 por el que se acuerda plantear cuestión de inconstitucionalidad en relación con la Disposición transitoria primera, apartado 4, de la Ley 42/1995, de 22 de diciembre, de Telecomunicaciones por Cable. Dice así esta disposición: </w:t>
      </w:r>
    </w:p>
    <w:p w:rsidR="000B622C" w:rsidRDefault="000B622C" w:rsidP="000B622C">
      <w:pPr>
        <w:pStyle w:val="TextoNormal"/>
      </w:pPr>
      <w:r>
        <w:t>4. El incumplimiento del plazo señalado para solicitar la concesión provisional, la no constitución del Municipio afectado en demarcación en el plazo de seis meses tras la entrada en vigor de la Ley o la resolución del concurso sin que aquélla se transforme en definitiva, dará lugar a la apertura de un período transitorio que finalizará a los tres años contados desde la entrada en vigor de esta Ley, transcurrido el cual se extinguirá el título provisional otorgado, quedando inhabilitada la red en ese momento para la prestación del servicio. Durante este período el operador de la red de cable no podrá realizar inversiones en la misma.</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 cuestión trae causa de un proceso contencioso- administrativo (recurso núm 1107/97- 3) en el que la empresa "Cable Spot, S.L" pretendía la anulación parcial de la resolución dictada por el Director General de Telecomunicaciones, de 15 de enero de 1997, en la que se concedía a la recurrente una concesión provisional para la emisión de televisión por cable en el término municipal de Ermua; aquella concesión provisional se extinguiría - conforme a su cláusula primera- una vez que se otorgase a la misma empresa una concesión definitiva. Pero también en la misma resolución se contenía la previsión </w:t>
      </w:r>
      <w:r>
        <w:lastRenderedPageBreak/>
        <w:t>(cláusula tercera), de que si en el plazo de seis meses no se formalizaba la demarcación territorial del Municipio de Ermua (a los efectos de las emisiones por cable), la empresa emisora entraría en un plazo transitorio de tres años desde la entrada en vigor de la Ley, al final del cual ya no estaría facultada para la emisión de televisión por cable.</w:t>
      </w:r>
    </w:p>
    <w:p w:rsidR="000B622C" w:rsidRDefault="000B622C" w:rsidP="000B622C">
      <w:pPr>
        <w:pStyle w:val="TextoNormal"/>
      </w:pPr>
    </w:p>
    <w:p w:rsidR="000B622C" w:rsidRDefault="000B622C" w:rsidP="000B622C">
      <w:pPr>
        <w:pStyle w:val="TextoNormal"/>
      </w:pPr>
      <w:r w:rsidRPr="000B622C">
        <w:rPr>
          <w:rStyle w:val="NumeroAFNegritaCaracter"/>
        </w:rPr>
        <w:t>3</w:t>
      </w:r>
      <w:r>
        <w:t>. Tramitado el recurso contencioso, la Sección Tercera de la Sala de lo Contencioso- Administrativo del Tribunal Superior de Justicia del País Vasco, acordó por providencia de 26 de octubre de 2000, oír a la partes personadas y al Ministerio Fiscal para que, en el plazo común e improrrogable de diez días, pudieran formular alegaciones sobre la pertinencia de elevar cuestión de inconstitucionalidad sobre el precepto más arriba detallado y por posible vulneración del los arts. 9.3; 20; 38 y 53.1 CE. La empresa "Cable Spot, S.L." presentó sus alegaciones el 29 de noviembre de 2000, y en ellas pidió el planteamiento de la cuestión de inconstitucionalidad; también el Ministerio Fiscal consideró pertinente el planteamiento de la cuestión, según figura en el escrito de alegaciones registrado el 20 de febrero de 2000. El Abogado del Estado no formulo alegaciones.</w:t>
      </w:r>
    </w:p>
    <w:p w:rsidR="000B622C" w:rsidRDefault="000B622C" w:rsidP="000B622C">
      <w:pPr>
        <w:pStyle w:val="TextoNormal"/>
      </w:pPr>
    </w:p>
    <w:p w:rsidR="000B622C" w:rsidRDefault="000B622C" w:rsidP="000B622C">
      <w:pPr>
        <w:pStyle w:val="TextoNormal"/>
      </w:pPr>
      <w:r w:rsidRPr="000B622C">
        <w:rPr>
          <w:rStyle w:val="NumeroAFNegritaCaracter"/>
        </w:rPr>
        <w:t>4</w:t>
      </w:r>
      <w:r>
        <w:t>. En el Auto de remisión el órgano proponente expone los siguientes fundamentos que justifican el planteamiento de la cuestión de inconstitucionalidad: Comienza el Auto de 16 de mayo de 2001 describiendo la situación jurídica de la sociedad emitente ("Cable Spot, S.L"), en la que se destaca que venía prestando servicio de actividad por cable desde 1993. Se da cuenta, también, de que el 24 de junio de 1996 el Municipio de Ermua no se había constituido en demarcación territorial (a los efectos de la emisión de televisión por cable), razón por la cual se abrió un plazo transitorio de tres años (conforme a la Disposición transitoria primera, apartado 4, de la Ley 42/1995) al fin del cual la empresa debía cesar en sus emisiones; además durante ese período transitorio la empresa no podía realizar inversiones en la red de cable. La situación transitoria de referencia había quedado reflejada en la concesión provisional otorgada por el Director General de Telecomunicaciones con fecha de 15 de enero de 1997.</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A juicio del órgano judicial, la pérdida del derecho a emitir al término de tres años (contados desde la entrada en vigor de la Ley 42/1995, de 22 de diciembre), que afectaba a la empresa recurrente, traía causa directa de la Disposición transitoria primera, apartado 4 de la misma Ley 42/1995. En consecuencia, esta Disposición era relevante para la resolución del litigio. Para llegar a esta conclusión el órgano judicial rechaza la aplicabilidad al caso de otros dos preceptos: </w:t>
      </w:r>
    </w:p>
    <w:p w:rsidR="000B622C" w:rsidRDefault="000B622C" w:rsidP="000B622C">
      <w:pPr>
        <w:pStyle w:val="TextoNormal"/>
      </w:pPr>
      <w:r>
        <w:t xml:space="preserve">a) La Disposición adicional cuadragesimocuarta de la Ley 50/1998, de 30 de diciembre, de Medidas Fiscales, Administrativas y de Orden Social, que autorizaba a las empresas identificadas en la Disposición transitoria primera, apartado 4, de la Ley 42/1995 a seguir emitiendo hasta el otorgamiento de las concesiones definitivas. La falta de toda relevancia de este precepto en el proceso contencioso deriva, a juicio del órgano judicial, de que en el momento de su entrada en vigor (el 1 de enero de 1999) ya había finado ex lege el plazo de tres años de que disfrutaba la empresa recurrente; y dado que aquella situación ya se había extinguido, no podía aplicarse la prórroga indefinida de la nueva Ley 50/1998. </w:t>
      </w:r>
    </w:p>
    <w:p w:rsidR="000B622C" w:rsidRDefault="000B622C" w:rsidP="000B622C">
      <w:pPr>
        <w:pStyle w:val="TextoNormal"/>
      </w:pPr>
      <w:r>
        <w:t>b) La Disposición transitoria primera del Real Decreto-Ley 6/1996, de 7 de junio, de Liberalización de las Telecomunicaciones. Esta disposición preveía el otorgamiento de concesiones especiales (por diez años no renovables) a aquellas empresas que venían prestando servicios de televisión por cable y que no hubieran resultado finalmente adjudicata</w:t>
      </w:r>
      <w:r>
        <w:lastRenderedPageBreak/>
        <w:t>rias de concesiones definitivas; la inaplicación de este precepto reside en que era preciso la presentación de una solicitud antes del 9 de agosto de 1996, fecha ésta anterior a la de otorgamiento de la concesión provisional a la empresa recurrente (que es de 15 de enero de 1997).</w:t>
      </w:r>
    </w:p>
    <w:p w:rsidR="000B622C" w:rsidRDefault="000B622C" w:rsidP="000B622C">
      <w:pPr>
        <w:pStyle w:val="TextoNormal"/>
      </w:pPr>
    </w:p>
    <w:p w:rsidR="000B622C" w:rsidRDefault="000B622C" w:rsidP="000B622C">
      <w:pPr>
        <w:pStyle w:val="TextoNormal"/>
      </w:pPr>
      <w:r w:rsidRPr="000B622C">
        <w:rPr>
          <w:rStyle w:val="NumeroAFNegritaCaracter"/>
        </w:rPr>
        <w:t>6</w:t>
      </w:r>
      <w:r>
        <w:t>. Para fundar la posible inconstitucionalidad del precepto cuestionado ex art. 20.1 a) y d) CE se hace referencia en el Auto de planteamiento a las SSTC 31/1994; 47/1994; 98/1994; 240/1994; 281/1994; 307/1994; 12/1995; y 47/1996. A juicio del órgano judicial en esas Sentencias quedaría dicho que: a) Es constitucionalmente legítima la configuración de la televisión (en cualquier soporte técnico) como un servicio público sometido a previa concesión; b) El sacrificio que para otros derechos (así, los de libre expresión y comunicación) supone el régimen de Derecho Público del servicio de televisión no es ilimitada y se encuentra a la vez sometida a las disposiciones, principios y valores constitucionales; y c) A falta de regulación legal no pueden impedirse, por oponerse al art. 20.1 a) y d) CE, las emisiones televisivas locales. A la vista de esta doctrina considera el órgano judicial que podría ser inconstitucional ex art. 20.1 a) y d) una regulación legal sobre concesiones de televisión local por cable que hiciera depender la concesión de requisitos ajenos a la capacidad jurídica y de obrar del sujeto emisor; o que fijara condiciones materiales de prestación del servicio ajenas a las características tecnológicas del medio o por razones de concurrencia con otros emisores.</w:t>
      </w:r>
    </w:p>
    <w:p w:rsidR="000B622C" w:rsidRDefault="000B622C" w:rsidP="000B622C">
      <w:pPr>
        <w:pStyle w:val="TextoNormal"/>
      </w:pPr>
    </w:p>
    <w:p w:rsidR="000B622C" w:rsidRDefault="000B622C" w:rsidP="000B622C">
      <w:pPr>
        <w:pStyle w:val="TextoNormal"/>
      </w:pPr>
      <w:r w:rsidRPr="000B622C">
        <w:rPr>
          <w:rStyle w:val="NumeroAFNegritaCaracter"/>
        </w:rPr>
        <w:t>7</w:t>
      </w:r>
      <w:r>
        <w:t xml:space="preserve">. A juicio del órgano judicial, la Disposición transitoria cuestionada contiene dos tipos de condicionantes que pudieran no ser conformes con el art. 20.1 a) y d) CE: </w:t>
      </w:r>
    </w:p>
    <w:p w:rsidR="000B622C" w:rsidRDefault="000B622C" w:rsidP="000B622C">
      <w:pPr>
        <w:pStyle w:val="TextoNormal"/>
      </w:pPr>
      <w:r>
        <w:t xml:space="preserve">a) En primer lugar, se condiciona la obtención de una concesión de televisión local con carácter definitivo a la concurrencia de dos requisitos ajenos a la capacidad jurídica y de obra de los sujetos emisores: se exige, de un lado, que en el plazo de seis meses se fije la demarcación municipal donde ha de ejercerse la actividad; y se exige, también, que en el plazo de tres años la Administración del Estado convoque y resuelva el concurso para la adjudicación de concesiones definitivas. En ambos casos el otorgamiento de la concesión definitiva dependería de la libérrima voluntad de la Administración. </w:t>
      </w:r>
    </w:p>
    <w:p w:rsidR="000B622C" w:rsidRDefault="000B622C" w:rsidP="000B622C">
      <w:pPr>
        <w:pStyle w:val="TextoNormal"/>
      </w:pPr>
      <w:r>
        <w:t>b) De otro lado, el impedimento de toda inversión en el período de actividad provisional de tres años (también prevista en la misma Disposición transitoria cuestionada) no guardaría ninguna relación con necesidades tecnológicas del servicio ni derivadas de la escasez del medio. El resultado de esas exigencias sería la verosímil obsolescencia de los equipos, lo que sin duda habría de repercutir en la calidad del servicio de televisión.</w:t>
      </w:r>
    </w:p>
    <w:p w:rsidR="000B622C" w:rsidRDefault="000B622C" w:rsidP="000B622C">
      <w:pPr>
        <w:pStyle w:val="TextoNormal"/>
      </w:pPr>
    </w:p>
    <w:p w:rsidR="000B622C" w:rsidRDefault="000B622C" w:rsidP="000B622C">
      <w:pPr>
        <w:pStyle w:val="TextoNormal"/>
      </w:pPr>
      <w:r w:rsidRPr="000B622C">
        <w:rPr>
          <w:rStyle w:val="NumeroAFNegritaCaracter"/>
        </w:rPr>
        <w:t>8</w:t>
      </w:r>
      <w:r>
        <w:t>. La Sección Segunda, por providencia de 27 de noviembre de 2001 acordó, de conformidad con lo dispuesto en el art. 37.1 LOTC, dar audiencia al Fiscal General del Estado, por plazo de diez días, en relación con dos posibles incumplimientos del art. 35.2 LOTC: deficiente indentificación, en la providencia de 26 de octubre de 2000, tanto de la norma cuestionada como de los preceptos en que el órgano judicial basaba su duda de constitucionalidad; y falta justificación de la relevancia que para la resolución del litigio presenta la Disposición transitoria cuestionada.</w:t>
      </w:r>
    </w:p>
    <w:p w:rsidR="000B622C" w:rsidRDefault="000B622C" w:rsidP="000B622C">
      <w:pPr>
        <w:pStyle w:val="TextoNormal"/>
      </w:pPr>
    </w:p>
    <w:p w:rsidR="000B622C" w:rsidRDefault="000B622C" w:rsidP="000B622C">
      <w:pPr>
        <w:pStyle w:val="TextoNormal"/>
      </w:pPr>
      <w:r w:rsidRPr="000B622C">
        <w:rPr>
          <w:rStyle w:val="NumeroAFNegritaCaracter"/>
        </w:rPr>
        <w:t>9</w:t>
      </w:r>
      <w:r>
        <w:t xml:space="preserve">. El escrito de alegaciones del Fiscal General del Estado tuvo entrada en este Tribunal el 17 de diciembre de 2001. En él se concluye, en primer lugar, que la providencia que inició el incidente de inconstitucionalidad no precisaba ni el apartado de la Disposición </w:t>
      </w:r>
      <w:r>
        <w:lastRenderedPageBreak/>
        <w:t>transitoria primera sobre el que se proyectaban las dudas de constitucionalidad, ni las concretas normas constitucionales -de entre las contenidas en el art. 20 CE- en las que se basaban aquellas dudas. De ahí concluye el Fiscal General del Estado que el órgano judicial incurrió en una infracción del art. 35.2 LOTC conducente a la inadmisión de la presente cuestión de inconstitucionalidad. También alega el Fiscal General del Estado que el Auto de planteamiento de la cuestión no ha justificado la relevancia que para la resolución del litigio habría de tener la Disposición transitoria primera, apartado 4, de la Ley 42/1995. A juicio del Fiscal General del Estado el régimen transitorio dispuesto por aquella Disposición de la Ley 42/1995 habría sido suprimido por la Disposición adicional cuadragesimocuarta de la Ley 50/1998, pues de no entenderse que esta Disposición adicional resultaba aplicable a las licencias provisionales (como la que daba lugar al litigio) habría que llegar a la conclusión de que dicha Disposición adicional era "totalmente inaplicable", ya que a la fecha de entrada en vigor de la Ley 50/1998 ya se habrían extinguido -por llegada del término final de tres años- todas las licencias provisionales cuya eficacia en el tiempo pretendía extender la mencionada Disposición adicional cuadragesimocuarta de la Ley 50/1998. En conclusión, a la vista de la aplicabilidad al caso de los dispuesto en la mencionada Disposición adicional, concluye el Fiscal General del Estado que el Auto de planteamiento de la cuestión de inconstitucional carece del necesario juicio de relevancia en relación con la Disposición transitoria primera, apartado 4, de la Ley 42/1995, lo que debía conducir a resolución de inadmisión a trámite.</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En nuestra providencia de 27 de noviembre de 2001 se acordó oír al Fiscal General del Estado en relación con el cumplimiento de los requisitos establecidos en el art. 35.2 LOTC.  Oído el Fiscal General del Estado, y conforme a lo por él solicitado, debemos acordar la inadmisión de la presente cuestión de inconstitucionalidad. Sin perjuicio de los defectos observados en la providencia que inició el incidente de inconstitucionalidad -que a juicio del Fiscal General del Estado bastarían ya para acordar la inadmisión de la presente cuestión- debemos prestar especial atención a la relevancia que para la resolución del proceso contencioso-administrativo presenta la norma cuestionada. También en relación con este juicio de relevancia el Fiscal General del Estado ha pedido la inadmisión de la presente cuestión de inconstitucionalidad.</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En el Auto de planteamiento de la cuestión se justifica la relevancia de la norma cuestionada afirmándose que, frente a lo alegado por el Abogado del Estado en el proceso contencioso-administrativo, otro precepto (la Disposición adicional cuadragesimocuarta de la Ley 50/1998, de 30 de diciembre) carece de toda eficacia en relación con la concesión provisional otorgada a la empresa "Cable Spot, S.L.". Esto es, el juicio de relevancia en relación con el precepto cuestionado se vincula por el propio órgano judicial a la irrelevancia de la Disposición adicional mencionada. Esta Disposición adicional de la Ley 50/1998 establece lo siguiente: "Las empresas operadoras de televisión por cable a las que se refiere el apartado 4 de la disposición transitoria primera de la Ley 42/1995, de 22 de diciembre, reguladora de las Telecomunicaciones por Cable, que se encontrasen en explotación comercial en una determinada localidad, podrán continuar realizando esa actividad hasta que una entidad que hubiese obtenido la oportuna concesión para la prestación del servicio, comience a ofrecerlo en aquélla y así se acredite mediante acta levantada por la </w:t>
      </w:r>
      <w:r>
        <w:lastRenderedPageBreak/>
        <w:t>Inspección de Telecomunicaciones del Ministerio de Fomento".  No discute el órgano judicial que la Disposición adicional cuadragesimocuarta de la Ley 50/1998 elimina el plazo de transitoriedad de tres años a que se refería la Disposición hoy cuestionada. Pero el mismo órgano judicial afirma seguidamente que esa eliminación del plazo transitorio de tres años no era aplicable a la empresa "Cable Spot, S.L.", toda vez que a la fecha de entrada en vigor de la Ley 50/1998 ya se había extinguido ex lege el plazo de tres años concedido por la Disposición transitoria primera de la Ley 42/1995. En consecuencia, habiéndose extinguido ya la concesión provisional de la empresa recurrente, no sería aplicable la prórroga que establece la Ley 50/1998. Nos corresponde ahora, en trámite de admisión de la presente cuestión, profundizar en el juicio de relevancia formulado por la Sala de lo Contencioso-Administrativo del Tribunal Superior de Justicia del País Vasco.</w:t>
      </w:r>
    </w:p>
    <w:p w:rsidR="000B622C" w:rsidRDefault="000B622C" w:rsidP="000B622C">
      <w:pPr>
        <w:pStyle w:val="TextoNormal"/>
      </w:pPr>
    </w:p>
    <w:p w:rsidR="000B622C" w:rsidRDefault="000B622C" w:rsidP="000B622C">
      <w:pPr>
        <w:pStyle w:val="TextoNormal"/>
      </w:pPr>
      <w:r w:rsidRPr="000B622C">
        <w:rPr>
          <w:rStyle w:val="NumeroAFNegritaCaracter"/>
        </w:rPr>
        <w:t>3</w:t>
      </w:r>
      <w:r>
        <w:t>. Ninguna duda hay, en primer lugar, de que a la entrada en vigor de la Ley 50/1998 ya había transcurrido el lapso de tres años previsto en la norma hoy cuestionada. En efecto, el plazo de transitoriedad de tres años se inició el 24 de diciembre de 1995, pues la Disposición final tercera de la misma Ley 42/1995 dispuso la entrada en vigor de la Ley al día siguiente de su publicación en el Boletín Oficial del Estado (lo que tuvo lugar el 23 de diciembre). Así que tres años después, el 24 de diciembre de 1998, finalizaba el plazo de vigencia de la concesión provisional otorgada a la empresa.  Tampoco hay duda alguna sobre cuándo entró en vigor la Disposición adicional cuadragesimocuarta de la Ley 50/1999: el 1 de enero de 1998, conforme a la Disposición final sexta de aquella Ley. Ahora bien, si no hay duda alguna respecto de las fechas arriba descritas de ahí no resulta indefectiblemente, como se pretende en el Auto de planteamiento de la cuestión, que la Disposición adicional cuadragesimocuarta de la Ley 50/1998 carezca de toda relevancia en el proceso contencioso- administrativo, pues el órgano judicial parte de una premisa que, además de no figurar expresamente en el enunciado de la Disposición adicional cuadragesimocuarta de la Ley 50/1998, conduce directamente a su inaplicación.</w:t>
      </w:r>
    </w:p>
    <w:p w:rsidR="000B622C" w:rsidRDefault="000B622C" w:rsidP="000B622C">
      <w:pPr>
        <w:pStyle w:val="TextoNormal"/>
      </w:pPr>
      <w:r>
        <w:t xml:space="preserve">En efecto, la Sala de lo Contencioso-Administrativo considera que, una vez extinguida la concesión provisional -por expiración del plazo de tres años-, la empresa concesionaria ya no se encuentra en el supuesto de hecho de la Disposición adicional cuadragesimocuarta y, por tanto, no se beneficia de la nueva autorización legal contenida en la Ley 50/1998. Pero si se repasa el enunciado de la Disposición adicional cuadragesimocuarta fácilmente se llega a la conclusión de que la Ley 50/1998 en forma alguna -ni explícita ni implícita- excluye a las empresas que ya se hubieran beneficiado durante tres años de la situación provisional definida en la Disposición transitoria primera, apartado 4, de la Ley 42/1995.  En efecto, la Disposición adicional cuadragesimocuarta enuncia dos elementos identificativos de las empresas que se benefician de la nueva autorización legal: a) que sean "empresas operadoras de televisión por cable a las que se refiere el apartado 4 de la disposición transitoria primera de la Ley 42/1995", lo cual hace referencia directa a empresas que -por diversas causas- se habían visto beneficiadas por una concesión legal durante tres años; y b) "que se encontrasen en explotación comercial en una determinada localidad". No figura en la Disposición adicional cuadragesimocuarta la exigencia de que la situación concesional provisional (por tres años) no hubiera expirado en el momento de entrada en vigor de la Ley 50/1998.  Antes bien, esa exigencia llevaría, -tal como ha destacado el Fiscal General del Estado- a la ineficacia absoluta de la Disposición adicional cuadragesimocuarta de la Ley 50/1998; dado que todas las situaciones transitorias creadas por la Disposición transitoria primera, apartado 4, finalizaron antes de la entrada en vigor de la Ley 50/1998, la Disposición adicional cuadragesimocuarta del mencionado texto legal no </w:t>
      </w:r>
      <w:r>
        <w:lastRenderedPageBreak/>
        <w:t>tendría ningún posible destinatario. Una interpretación como la descrita, en la medida en que priva de toda eficacia a la mencionada Disposición adicional cuadragesimocuarta, no puede considerarse adecuada para fundamentar la cuestión de inconstitucionalidad planteada por el Auto de 16 de mayo de 2001.</w:t>
      </w:r>
    </w:p>
    <w:p w:rsidR="000B622C" w:rsidRDefault="000B622C" w:rsidP="000B622C">
      <w:pPr>
        <w:pStyle w:val="TextoNormal"/>
      </w:pPr>
      <w:r>
        <w:t>Otro tanto sucede, como señala el Fiscal, con el segundo de los argumentos esgrimidos en el Auto para fundamentar el juicio de relevancia, cual es el de establecer una prohibición de realizar inversiones de ampliación, mejora o desarrollo de la red de explotación a estas Entidades que venían desarrollando esta actividad de modo provisional y por el tiempo de los tres años de vigencia del período transitorio. Los mismos razonamientos que se acaban de exponer sirven también para rechazar este segundo argumento.</w:t>
      </w:r>
    </w:p>
    <w:p w:rsidR="000B622C" w:rsidRDefault="000B622C" w:rsidP="000B622C">
      <w:pPr>
        <w:pStyle w:val="TextoNormal"/>
      </w:pPr>
    </w:p>
    <w:p w:rsidR="000B622C" w:rsidRDefault="000B622C" w:rsidP="000B622C">
      <w:pPr>
        <w:pStyle w:val="TextoNormal"/>
      </w:pPr>
      <w:r>
        <w:t>Por lo expuesto, el Pleno</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Inadmitir a trámite la presente cuestión de inconstitucionalidad</w:t>
      </w:r>
    </w:p>
    <w:p w:rsidR="000B622C" w:rsidRDefault="000B622C" w:rsidP="000B622C">
      <w:pPr>
        <w:pStyle w:val="TextoNormal"/>
      </w:pPr>
    </w:p>
    <w:p w:rsidR="000B622C" w:rsidRDefault="000B622C" w:rsidP="000B622C">
      <w:pPr>
        <w:pStyle w:val="TextoNormal"/>
      </w:pPr>
      <w:r>
        <w:t>Madrid, a doce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0" w:name="AUTO_2002_39"/>
      <w:r>
        <w:lastRenderedPageBreak/>
        <w:t>AUTO 39/2002, de 12 de marzo de 2002</w:t>
      </w:r>
    </w:p>
    <w:bookmarkEnd w:id="140"/>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ECLI:ES:TC:2002:39A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Deniega la extensión y suspensión en el recurso de inconstitucionalidad 5061-2001, planteado por el Presidente del Gobierno respecto a la disposición adicional quinta de la Ley del Parlamento de Baleares 20/2001, de 21 de diciembre, de medidas tributarias, administrativas y de función pública</w:t>
      </w:r>
    </w:p>
    <w:p w:rsidR="000B622C" w:rsidRDefault="000B622C" w:rsidP="000B622C">
      <w:pPr>
        <w:pStyle w:val="SntesisDescriptiva"/>
      </w:pPr>
    </w:p>
    <w:p w:rsidR="000B622C" w:rsidRDefault="000B622C" w:rsidP="000B622C">
      <w:pPr>
        <w:pStyle w:val="SntesisAnaltica"/>
      </w:pPr>
      <w:r>
        <w:t>Recurso de inconstitucionalidad; Suspensión de disposiciones de las Comunidades Autónomas: ampliación del objeto de la demanda improcedente. Declaración de inconstitucionalidad: cauce procesal</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Registro de este Tribunal el día 27 de septiembre de 2001, el Abogado del Estado, en nombre del Presidente del Gobierno, presentó escrito de interposición de recurso de inconstitucionalidad contra los arts. 4.2; 14.1; 18; 20; 21.1 b); 22.1, inciso final; 27.a); 28; 35.2 y 54.1 de la Ley 11/2001, de 15 de junio, de ordenación de la actividad comercial en les Illes Balears. El Abogado del Estado invocó el art. 161.2 CE, a fin de que se acordara la suspensión de los artículos recurridos.</w:t>
      </w:r>
    </w:p>
    <w:p w:rsidR="000B622C" w:rsidRDefault="000B622C" w:rsidP="000B622C">
      <w:pPr>
        <w:pStyle w:val="TextoNormal"/>
      </w:pPr>
    </w:p>
    <w:p w:rsidR="000B622C" w:rsidRDefault="000B622C" w:rsidP="000B622C">
      <w:pPr>
        <w:pStyle w:val="TextoNormal"/>
      </w:pPr>
      <w:r w:rsidRPr="000B622C">
        <w:rPr>
          <w:rStyle w:val="NumeroAFNegritaCaracter"/>
        </w:rPr>
        <w:t>2</w:t>
      </w:r>
      <w:r>
        <w:t>. Por providencia de 16 de octubre de 2001, la Sección Cuarta admitió a trámite el recurso de inconstitucionalidad promovido por el Abogado del Estado contra los artículos antes citados de la Ley del Parlamento de las Illes Balears 11/2001 y acordó dar traslado de la demanda y documentos presentados, de acuerdo con el art. 34 LOTC, al Congreso de los Diputados y al Senado, así como al Parlamento y al Gobierno de las Illes Balears, al objeto de que puedan personarse en el proceso y formular alegaciones. Asimismo, acordó tener por invocado por el Presidente del Gobierno el art. 161.2 CE, lo que produce la suspensión de la vigencia y aplicación de los preceptos impugnados, y publicar la incoación del recurso y la suspensión efectuada en el Boletín Oficial del Estado y en el de la Comunidad Autónoma.</w:t>
      </w:r>
    </w:p>
    <w:p w:rsidR="000B622C" w:rsidRDefault="000B622C" w:rsidP="000B622C">
      <w:pPr>
        <w:pStyle w:val="TextoNormal"/>
      </w:pPr>
    </w:p>
    <w:p w:rsidR="000B622C" w:rsidRDefault="000B622C" w:rsidP="000B622C">
      <w:pPr>
        <w:pStyle w:val="TextoNormal"/>
      </w:pPr>
      <w:r w:rsidRPr="000B622C">
        <w:rPr>
          <w:rStyle w:val="NumeroAFNegritaCaracter"/>
        </w:rPr>
        <w:t>3</w:t>
      </w:r>
      <w:r>
        <w:t>. Mediante escrito registrado el día 2 de noviembre de 2001, la Presidenta del Congreso de los Diputados comunica al Tribunal que la Cámara no se personará en el procedimiento ni formulará alegaciones.</w:t>
      </w:r>
    </w:p>
    <w:p w:rsidR="000B622C" w:rsidRDefault="000B622C" w:rsidP="000B622C">
      <w:pPr>
        <w:pStyle w:val="TextoNormal"/>
      </w:pPr>
    </w:p>
    <w:p w:rsidR="000B622C" w:rsidRDefault="000B622C" w:rsidP="000B622C">
      <w:pPr>
        <w:pStyle w:val="TextoNormal"/>
      </w:pPr>
      <w:r w:rsidRPr="000B622C">
        <w:rPr>
          <w:rStyle w:val="NumeroAFNegritaCaracter"/>
        </w:rPr>
        <w:t>4</w:t>
      </w:r>
      <w:r>
        <w:t>. En escrito registrado el día 7 de noviembre de 2001, el Jefe del Departamento Jurídico de la Comunidad Autónoma de las Illes Balears, en representación de su Gobierno, solicita del Tribunal que se le tenga por personado en el procedimiento y se le conceda una prórroga de ocho días para presentar sus alegaciones.</w:t>
      </w:r>
    </w:p>
    <w:p w:rsidR="000B622C" w:rsidRDefault="000B622C" w:rsidP="000B622C">
      <w:pPr>
        <w:pStyle w:val="TextoNormal"/>
      </w:pPr>
    </w:p>
    <w:p w:rsidR="000B622C" w:rsidRDefault="000B622C" w:rsidP="000B622C">
      <w:pPr>
        <w:pStyle w:val="TextoNormal"/>
      </w:pPr>
      <w:r w:rsidRPr="000B622C">
        <w:rPr>
          <w:rStyle w:val="NumeroAFNegritaCaracter"/>
        </w:rPr>
        <w:t>5</w:t>
      </w:r>
      <w:r>
        <w:t>. La Sección Tercera, por providencia de 14 de noviembre de 2001, acuerda tener por personado al Letrado Jefe del Departamento Jurídico de las Illes Balears y le concede la prórroga de ocho días que le fue solicitada.</w:t>
      </w:r>
    </w:p>
    <w:p w:rsidR="000B622C" w:rsidRDefault="000B622C" w:rsidP="000B622C">
      <w:pPr>
        <w:pStyle w:val="TextoNormal"/>
      </w:pPr>
    </w:p>
    <w:p w:rsidR="000B622C" w:rsidRDefault="000B622C" w:rsidP="000B622C">
      <w:pPr>
        <w:pStyle w:val="TextoNormal"/>
      </w:pPr>
      <w:r w:rsidRPr="000B622C">
        <w:rPr>
          <w:rStyle w:val="NumeroAFNegritaCaracter"/>
        </w:rPr>
        <w:t>6</w:t>
      </w:r>
      <w:r>
        <w:t>. Mediante escrito registrado el día 15 de noviembre de 2001, el Presidente del Parlamento de las Illes Balears comparece, en la representación que ostenta, y formula alegaciones, solicitando del Tribunal que en su día dicte Sentencia rechazando el recurso de inconstitucionalidad y declarando la constitucionalidad de la Ley impugnada, solicitando también, mediante otrosí, que antes de expirar el plazo de cinco meses establecido en el art. 161.2 CE se le de traslado para efectuar las alegaciones oportunas en orden a obtener el alzamiento de la suspensión de dicha Ley.</w:t>
      </w:r>
    </w:p>
    <w:p w:rsidR="000B622C" w:rsidRDefault="000B622C" w:rsidP="000B622C">
      <w:pPr>
        <w:pStyle w:val="TextoNormal"/>
      </w:pPr>
    </w:p>
    <w:p w:rsidR="000B622C" w:rsidRDefault="000B622C" w:rsidP="000B622C">
      <w:pPr>
        <w:pStyle w:val="TextoNormal"/>
      </w:pPr>
      <w:r w:rsidRPr="000B622C">
        <w:rPr>
          <w:rStyle w:val="NumeroAFNegritaCaracter"/>
        </w:rPr>
        <w:t>7</w:t>
      </w:r>
      <w:r>
        <w:t>. La Presidenta del Senado, en escrito registrado el día 16 de noviembre de 2001, comunica al Tribunal que da por personada a la Cámara en el recurso de inconstitucionalidad y ofrece su colaboración.</w:t>
      </w:r>
    </w:p>
    <w:p w:rsidR="000B622C" w:rsidRDefault="000B622C" w:rsidP="000B622C">
      <w:pPr>
        <w:pStyle w:val="TextoNormal"/>
      </w:pPr>
    </w:p>
    <w:p w:rsidR="000B622C" w:rsidRDefault="000B622C" w:rsidP="000B622C">
      <w:pPr>
        <w:pStyle w:val="TextoNormal"/>
      </w:pPr>
      <w:r w:rsidRPr="000B622C">
        <w:rPr>
          <w:rStyle w:val="NumeroAFNegritaCaracter"/>
        </w:rPr>
        <w:t>8</w:t>
      </w:r>
      <w:r>
        <w:t>. El día 27 de noviembre de 2001 se registra en el Tribunal el escrito de alegaciones presentado por el Letrado Jefe del Departamento Jurídico de la Comunidad Autónoma de las Illes Balears, en el que solicita que el Tribunal desestime el recurso de inconstitucionalidad. También solicita que, estando suspendida la aplicación de la Ley recurrida, se proceda a acordar el levantamiento inmediato de la suspensión de la Ley impugnada, sin esperar al transcurso del plazo de cinco meses desde que dicha suspensión fue acordada.</w:t>
      </w:r>
    </w:p>
    <w:p w:rsidR="000B622C" w:rsidRDefault="000B622C" w:rsidP="000B622C">
      <w:pPr>
        <w:pStyle w:val="TextoNormal"/>
      </w:pPr>
    </w:p>
    <w:p w:rsidR="000B622C" w:rsidRDefault="000B622C" w:rsidP="000B622C">
      <w:pPr>
        <w:pStyle w:val="TextoNormal"/>
      </w:pPr>
      <w:r w:rsidRPr="000B622C">
        <w:rPr>
          <w:rStyle w:val="NumeroAFNegritaCaracter"/>
        </w:rPr>
        <w:t>9</w:t>
      </w:r>
      <w:r>
        <w:t>. Por providencia de 11 de diciembre de 2001, la Sección Tercera acuerda incorporar a los autos los escritos de alegaciones recibidos del Parlamento y del Gobierno de las Illes Balears y oír al Abogado del Estado y a la representación procesal del Parlamento Balear para que aleguen sobre la petición formulada por la representación procesal del Gobierno de la Comunidad Autónoma de levantamiento de la suspensión de los preceptos recurridos.</w:t>
      </w:r>
    </w:p>
    <w:p w:rsidR="000B622C" w:rsidRDefault="000B622C" w:rsidP="000B622C">
      <w:pPr>
        <w:pStyle w:val="TextoNormal"/>
      </w:pPr>
    </w:p>
    <w:p w:rsidR="000B622C" w:rsidRDefault="000B622C" w:rsidP="000B622C">
      <w:pPr>
        <w:pStyle w:val="TextoNormal"/>
      </w:pPr>
      <w:r w:rsidRPr="000B622C">
        <w:rPr>
          <w:rStyle w:val="NumeroAFNegritaCaracter"/>
        </w:rPr>
        <w:t>10</w:t>
      </w:r>
      <w:r>
        <w:t>. El Abogado del Estado presenta, con fecha 21 de diciembre de 2001, sus alegaciones acerca del mantenimiento o levantamiento de la suspensión de los artículos recurridos de la Ley 1/2001, solicitando su mantenimiento.</w:t>
      </w:r>
    </w:p>
    <w:p w:rsidR="000B622C" w:rsidRDefault="000B622C" w:rsidP="000B622C">
      <w:pPr>
        <w:pStyle w:val="TextoNormal"/>
      </w:pPr>
    </w:p>
    <w:p w:rsidR="000B622C" w:rsidRDefault="000B622C" w:rsidP="000B622C">
      <w:pPr>
        <w:pStyle w:val="TextoNormal"/>
      </w:pPr>
      <w:r w:rsidRPr="000B622C">
        <w:rPr>
          <w:rStyle w:val="NumeroAFNegritaCaracter"/>
        </w:rPr>
        <w:t>11</w:t>
      </w:r>
      <w:r>
        <w:t xml:space="preserve">. El Abogado del Estado presenta en el Registro del Tribual, con fecha 25 de enero de 2002, un escrito en el que solicita que el recurso de inconstitucionalidad interpuesto por el Presidente del Gobierno de la Nación frente a diversos artículos de la Ley 11/2001 se extienda a la Disposición adicional quinta de la Ley 20/2001, de 21 de diciembre, de Medidas Tributarias, Administrativas y de Función Pública, que incorpora una nueva Disposición transitoria sexta a la citada Ley 11/2001. </w:t>
      </w:r>
    </w:p>
    <w:p w:rsidR="000B622C" w:rsidRDefault="000B622C" w:rsidP="000B622C">
      <w:pPr>
        <w:pStyle w:val="TextoNormal"/>
      </w:pPr>
      <w:r>
        <w:lastRenderedPageBreak/>
        <w:t xml:space="preserve">La extensión solicitada la justifica el Abogado del Estado en que la redacción de la referenciada Disposición transitoria sexta, incorporada por la Ley 20/2001 es prácticamente idéntica y tiene la misma finalidad que el art. 14.1 de la Ley 11/2001, objeto de este recurso de inconstitucionalidad. La LOTC prevé en su art. 39.1 la extensión del recurso de inconstitucionalidad a otros preceptos en cuanto a la declaración de inconstitucionalidad. En este caso, la conexión o consecuencia es evidente puesto que se trata de un nuevo precepto que tiene la misma redacción y finalidad que el precepto recurrido y se incorpora a la Ley recurrida. </w:t>
      </w:r>
    </w:p>
    <w:p w:rsidR="000B622C" w:rsidRDefault="000B622C" w:rsidP="000B622C">
      <w:pPr>
        <w:pStyle w:val="TextoNormal"/>
      </w:pPr>
      <w:r>
        <w:t>El Abogado del Estado también solicita que se extienda a la nueva Disposición transitoria sexta el efecto suspensivo que opera sobre el art. 14.1 de la Ley 11/2001 ex art. 161.2 CE. Con ello se evita que se defraude el pronunciamiento del Tribunal contenido en su resolución de 16 de octubre de 2001. Por otro lado, continua argumentando el Abogado del Estado, la identidad y finalidad de los dos preceptos justifica la no interposición de un nuevo recurso de inconstitucionalidad que hubiera supuesto una innecesaria carga de trabajo como consecuencia de la tramitación ante el Tribunal. En definitiva, se sostiene que el enjuiciamiento "debe alcanzar tanto al enjuiciamiento constitucional, especialmente en el caso de la declaración de inconstitucionalidad, como a la suspensión de la vigencia del precepto".</w:t>
      </w:r>
    </w:p>
    <w:p w:rsidR="000B622C" w:rsidRDefault="000B622C" w:rsidP="000B622C">
      <w:pPr>
        <w:pStyle w:val="TextoNormal"/>
      </w:pPr>
    </w:p>
    <w:p w:rsidR="000B622C" w:rsidRDefault="000B622C" w:rsidP="000B622C">
      <w:pPr>
        <w:pStyle w:val="TextoNormal"/>
      </w:pPr>
      <w:r w:rsidRPr="000B622C">
        <w:rPr>
          <w:rStyle w:val="NumeroAFNegritaCaracter"/>
        </w:rPr>
        <w:t>12</w:t>
      </w:r>
      <w:r>
        <w:t>. Por providencia de 29 de enero de 2002, el Tribunal acuerda dar traslado del escrito del Abogado del Estado de 25 de enero de 2002 al Gobierno y al Parlamento de las Illes Balears para que en el plazo de cinco días expongan lo que consideren conveniente acerca de lo solicitado por el Abogado del Estado.</w:t>
      </w:r>
    </w:p>
    <w:p w:rsidR="000B622C" w:rsidRDefault="000B622C" w:rsidP="000B622C">
      <w:pPr>
        <w:pStyle w:val="TextoNormal"/>
      </w:pPr>
    </w:p>
    <w:p w:rsidR="000B622C" w:rsidRDefault="000B622C" w:rsidP="000B622C">
      <w:pPr>
        <w:pStyle w:val="TextoNormal"/>
      </w:pPr>
      <w:r w:rsidRPr="000B622C">
        <w:rPr>
          <w:rStyle w:val="NumeroAFNegritaCaracter"/>
        </w:rPr>
        <w:t>13</w:t>
      </w:r>
      <w:r>
        <w:t xml:space="preserve">. El día 6 de febrero de 2002 se registra de entra en el Tribunal un escrito del Presidente del Parlamento de las Illes Balears mediante el cual se cumplimenta lo instado por la providencia del Tribunal de 29 de enero de 2002. Las alegaciones indican, sintéticamente, lo siguiente: </w:t>
      </w:r>
    </w:p>
    <w:p w:rsidR="000B622C" w:rsidRDefault="000B622C" w:rsidP="000B622C">
      <w:pPr>
        <w:pStyle w:val="TextoNormal"/>
      </w:pPr>
      <w:r>
        <w:t xml:space="preserve">El contraste entre la nueva Disposición transitoria sexta de la Ley 11/2001, incorporada a la misma por la Ley 20/2001, y el art. 14.1 de aquella Ley pone de relieve que no existe coincidencia entre ambos preceptos ni desde el punto de vista del contenido ni de la finalidad. </w:t>
      </w:r>
    </w:p>
    <w:p w:rsidR="000B622C" w:rsidRDefault="000B622C" w:rsidP="000B622C">
      <w:pPr>
        <w:pStyle w:val="TextoNormal"/>
      </w:pPr>
      <w:r>
        <w:t xml:space="preserve">Así, en cuanto al contenido, mientras el art. 14.1 regula, a propósito de la concesión de licencias de instalación o construcción de establecimientos comerciales, los requisitos máximos de extensión de superficie útil de venta en atención a la población del municipio, la Disposición transitoria sexta presenta un contenido múltiple: condiciona el otorgamiento de las licencias autonómicas hasta la aprobación definitiva de los planes directores insulares de equipamientos comerciales, suspende de vigencia la aplicación del art. 14.1 y faculta al Gobierno para la modificación de los plazos previstos en el mismo precepto. </w:t>
      </w:r>
    </w:p>
    <w:p w:rsidR="000B622C" w:rsidRDefault="000B622C" w:rsidP="000B622C">
      <w:pPr>
        <w:pStyle w:val="TextoNormal"/>
      </w:pPr>
      <w:r>
        <w:t xml:space="preserve">En cuanto a la finalidad, el art. 14.1 pretende acotar la superficie útil de venta de los establecimientos comerciales, mientras que la Disposición transitoria sexta pretende suspender la vigencia de los arts. 13.2, 14.1 y 15 hasta la aprobación definitiva de los Planes Directores insulares. </w:t>
      </w:r>
    </w:p>
    <w:p w:rsidR="000B622C" w:rsidRDefault="000B622C" w:rsidP="000B622C">
      <w:pPr>
        <w:pStyle w:val="TextoNormal"/>
      </w:pPr>
      <w:r>
        <w:t xml:space="preserve">Desde otra perspectiva, la representación del Parlamento autonómico señala que el art. 39.1 LOTC permite la extensión del recurso a preceptos no impugnados de la misma norma recurrida, pero no permite hacer dicha extensión en los supuestos de dos normas distintas, como es el caso. </w:t>
      </w:r>
    </w:p>
    <w:p w:rsidR="000B622C" w:rsidRDefault="000B622C" w:rsidP="000B622C">
      <w:pPr>
        <w:pStyle w:val="TextoNormal"/>
      </w:pPr>
      <w:r>
        <w:lastRenderedPageBreak/>
        <w:t xml:space="preserve">Una vez que se ha descartado la extensión de la declaración de inconstitucionalidad, con mayor motivo debe inadmitirse la extensión en cuanto al efecto suspensivo. </w:t>
      </w:r>
    </w:p>
    <w:p w:rsidR="000B622C" w:rsidRDefault="000B622C" w:rsidP="000B622C">
      <w:pPr>
        <w:pStyle w:val="TextoNormal"/>
      </w:pPr>
      <w:r>
        <w:t xml:space="preserve">Por último, el Presidente del Parlamento de Baleares también aduce que el documento presentado por el Abogado del Estado parece encubrir un recurso de inconstitucionalidad contra la Disposición adicional quinta de la Ley 20/2001 a través de la extensión solicitada, no acreditándose la legitimación del Presidente del Gobierno para su interposición, lo que resultaría necesario para examinar la pretendida inconstitucionalidad de aquella norma. Es decir, se podría concluir que se está ante un nuevo recurso de inconstitucionalidad sin las preceptivas exigencias formales para su interposición. </w:t>
      </w:r>
    </w:p>
    <w:p w:rsidR="000B622C" w:rsidRDefault="000B622C" w:rsidP="000B622C">
      <w:pPr>
        <w:pStyle w:val="TextoNormal"/>
      </w:pPr>
      <w:r>
        <w:t>Por todo ello, solicita que se rechace la extensión del recurso de inconstitucionalidad pretendida por el Abogado del Estado.</w:t>
      </w:r>
    </w:p>
    <w:p w:rsidR="000B622C" w:rsidRDefault="000B622C" w:rsidP="000B622C">
      <w:pPr>
        <w:pStyle w:val="TextoNormal"/>
      </w:pPr>
    </w:p>
    <w:p w:rsidR="000B622C" w:rsidRDefault="000B622C" w:rsidP="000B622C">
      <w:pPr>
        <w:pStyle w:val="TextoNormal"/>
      </w:pPr>
      <w:r w:rsidRPr="000B622C">
        <w:rPr>
          <w:rStyle w:val="NumeroAFNegritaCaracter"/>
        </w:rPr>
        <w:t>14</w:t>
      </w:r>
      <w:r>
        <w:t xml:space="preserve">. El día 8 de febrero de 2002, el Abogado-Jefe del Departamento Jurídico de la Comunidad Autónoma de las Illes Balears comparece y formaliza su oposición a la solicitud de extensión del recurso de inconstitucionalidad presentado contra la Ley 11/2001 a la Disposición adicional quinta de la Ley 20/2001 y a la petición de que se acuerde la suspensión de dicha Disposición adicional por traslado a la misma de los efectos de la providencia de 16 de octubre de 2001. </w:t>
      </w:r>
    </w:p>
    <w:p w:rsidR="000B622C" w:rsidRDefault="000B622C" w:rsidP="000B622C">
      <w:pPr>
        <w:pStyle w:val="TextoNormal"/>
      </w:pPr>
      <w:r>
        <w:t xml:space="preserve">Las alegaciones presentadas son, resumidamente, las siguientes. </w:t>
      </w:r>
    </w:p>
    <w:p w:rsidR="000B622C" w:rsidRDefault="000B622C" w:rsidP="000B622C">
      <w:pPr>
        <w:pStyle w:val="TextoNormal"/>
      </w:pPr>
      <w:r>
        <w:t xml:space="preserve">A) El Abogado del Estado ha solicitado la extensión del recurso de inconstitucionalidad núm. 5061-2001 a la Disposición adicional referenciada sin aportar ni acreditar la existencia de la necesaria y expresa resolución de órgano constitucionalmente legitimado para interponer un recurso de inconstitucionalidad ni para invocar lo dispuesto en el art. 161.2 CE. La justificación a dicha solicitud se encuentra en que se produce una hipotética coincidencia de redacción y finalidad entre el art. 14.1 de la Ley 22/2001 y la Disposición adicional quinta de la Ley 20/2001, que introduce una nueva Disposición transitoria sexta en la primera de las Leyes citadas. </w:t>
      </w:r>
    </w:p>
    <w:p w:rsidR="000B622C" w:rsidRDefault="000B622C" w:rsidP="000B622C">
      <w:pPr>
        <w:pStyle w:val="TextoNormal"/>
      </w:pPr>
      <w:r>
        <w:t xml:space="preserve">Frente a ello, cabe oponer que el recurso de inconstitucionalidad planteado frente a la Ley 11/2001 no incluye a la nueva Disposición transitoria sexta, pues ésta se incorporó al texto legal con posterioridad a la formalización de aquél. </w:t>
      </w:r>
    </w:p>
    <w:p w:rsidR="000B622C" w:rsidRDefault="000B622C" w:rsidP="000B622C">
      <w:pPr>
        <w:pStyle w:val="TextoNormal"/>
      </w:pPr>
      <w:r>
        <w:t xml:space="preserve">Por tanto, la referida Disposición adicional quinta de la Ley 20/2001 constituye un texto legal distinto de la Ley 11/2001, aunque incorpore a ésta una nueva Disposición transitoria. La jurisprudencia del Tribunal Constitucional se ha pronunciado reiteradamente en el sentido de que el objeto del proceso es el texto legal y no el mandato que la norma expresa (SSTC 11/1981, FJ 4, y 61/1997, FJ 4), siendo sustancial para rechazar lo solicitado de adverso el hecho de que la solicitud de extensión se proyecte sobre una ley distinta de la que en su momento fue recurrida. </w:t>
      </w:r>
    </w:p>
    <w:p w:rsidR="000B622C" w:rsidRDefault="000B622C" w:rsidP="000B622C">
      <w:pPr>
        <w:pStyle w:val="TextoNormal"/>
      </w:pPr>
      <w:r>
        <w:t xml:space="preserve">Pues bien, sólo los órganos constitucionalmente legitimados pueden interponer el recurso de inconstitucionalidad e invocar la suspensión automática que deriva del art. 161.2 CE, sin que tal decisión pueda delegarse en modo alguno en las respectivas representaciones procesales. La doctrina del Tribunal Constitucional es clara al respecto (SSTC 42/1985, FJ 2 y 61/1997, FJ 4). </w:t>
      </w:r>
    </w:p>
    <w:p w:rsidR="000B622C" w:rsidRDefault="000B622C" w:rsidP="000B622C">
      <w:pPr>
        <w:pStyle w:val="TextoNormal"/>
      </w:pPr>
      <w:r>
        <w:t xml:space="preserve">En plena coherencia con ello, el art. 5 del Real Decreto 1425/1980, de 11 de julio, establece que "el Abogado del Estado no ejercerá acciones ante el Tribunal Constitucional sin que exista resolución del órgano legitimado para ello". La conclusión sólo puede ser que el Abogado del Estado carece de legitimación para solicitar la extensión del recurso de inconstitucionalidad, extensión que, además, tiene como límite que se trate de preceptos de la misma Ley. </w:t>
      </w:r>
    </w:p>
    <w:p w:rsidR="000B622C" w:rsidRDefault="000B622C" w:rsidP="000B622C">
      <w:pPr>
        <w:pStyle w:val="TextoNormal"/>
      </w:pPr>
      <w:r>
        <w:lastRenderedPageBreak/>
        <w:t xml:space="preserve">Esa falta de legitimación también determina que no quepa incluir a la nueva Disposición transitoria sexta de la Ley 11/2001 en el efecto suspensivo conectado al art. 161.2 CE. </w:t>
      </w:r>
    </w:p>
    <w:p w:rsidR="000B622C" w:rsidRDefault="000B622C" w:rsidP="000B622C">
      <w:pPr>
        <w:pStyle w:val="TextoNormal"/>
      </w:pPr>
      <w:r>
        <w:t xml:space="preserve">B) Desde el punto de vista sustantivo, el representante procesal del Gobierno autonómico aduce que la interpretación sistemática de la Disposición transitoria sexta permite sostener su distinta naturaleza y alcance respecto del art. 14.1 de la Ley 11/2001. </w:t>
      </w:r>
    </w:p>
    <w:p w:rsidR="000B622C" w:rsidRDefault="000B622C" w:rsidP="000B622C">
      <w:pPr>
        <w:pStyle w:val="TextoNormal"/>
      </w:pPr>
      <w:r>
        <w:t xml:space="preserve">Este último precepto estableció unos requisitos para la obtención de autorizaciones para la realización de obras de instalación o ampliación y apertura de establecimientos comerciales en función de la superficie útil y del número de habitantes del municipio, que operaban de modo general y definitivo. En cambio, la Disposición adicional quinta de la Ley 20/2001 incorpora una norma de alcance transitorio y cautelar que impide con carácter general la nueva construcción e instalación de grandes establecimientos comerciales para evitar que puedan desvirtuarse las previsiones que han de tener en cuenta los planes directores sectoriales. </w:t>
      </w:r>
    </w:p>
    <w:p w:rsidR="000B622C" w:rsidRDefault="000B622C" w:rsidP="000B622C">
      <w:pPr>
        <w:pStyle w:val="TextoNormal"/>
      </w:pPr>
      <w:r>
        <w:t xml:space="preserve">En definitiva, es fórmula constitucionalmente legítima la de utilizar la competencia legislativa en materia de ordenación del territorio y urbanismo, en la que se incardina dicha Disposición adicional, para asegurar al menos, aunque sea de modo transitorio, las finalidades que deben alcanzarse con los planes directores sectoriales de equiparamiento comerciales, a cuyo efecto resulta lógico y razonable que la protección cautelar se extienda a todos los grandes establecimientos comerciales y a aquéllos que no cumplen los requisitos que la Ley ha impuesto. </w:t>
      </w:r>
    </w:p>
    <w:p w:rsidR="000B622C" w:rsidRDefault="000B622C" w:rsidP="000B622C">
      <w:pPr>
        <w:pStyle w:val="TextoNormal"/>
      </w:pPr>
      <w:r>
        <w:t>En conclusión, el art. 14.1 y la Disposición adicional que se contrastan abordan desde perspectivas complementarias pero de naturaleza diferente, propias de las materias comercio interior y de adecuación del territorio y urbanismo, respectivamente, la inserción de los establecimientos comerciales en el territorio.</w:t>
      </w:r>
    </w:p>
    <w:p w:rsidR="000B622C" w:rsidRDefault="000B622C" w:rsidP="000B622C">
      <w:pPr>
        <w:pStyle w:val="TextoNormal"/>
      </w:pPr>
    </w:p>
    <w:p w:rsidR="000B622C" w:rsidRDefault="000B622C" w:rsidP="000B622C">
      <w:pPr>
        <w:pStyle w:val="TextoNormal"/>
      </w:pPr>
      <w:r w:rsidRPr="000B622C">
        <w:rPr>
          <w:rStyle w:val="NumeroAFNegritaCaracter"/>
        </w:rPr>
        <w:t>15</w:t>
      </w:r>
      <w:r>
        <w:t>. Mediante ATC 20/2002, de 12 de febrero, el Pleno del Tribunal acordó levantar la suspensión de los arts. 4.2; 14.1; 18; 20; 21.1 b); 22.1, inciso final y 54.1¸y mantener la de los arts. 27 a), 28 y 35.2 de la Ley 11/2001, de 15 de junio, de ordenación de la actividad comercial en las Illes Balears.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objeto de esta resolución es dar respuesta a una doble petición del Abogado del Estado.  De un lado, se trata de determinar si el recurso de inconstitucionalidad planteado por el Presidente del Gobierno frente a diversos artículos de la Ley 11/22001, de 15 de junio, de ordenación de la actividad comercial en las Illes Balears puede extenderse, en aplicación del art. 39.1 LOTC, a la Disposición adicional quinta de la Ley 20/2001, de 21 de diciembre, de medidas tributarias, administrativas y de función pública, la cual ha introducido en la Ley 11/2001 una nueva Disposición transitoria sexta.  De otro, debemos dilucidar si, con el mismo fundamento, cabe extender la suspensión automática que se produjo en su día de los artículos recurridos de la Ley 11/2001 como consecuencia de la previsión contenida en el art. 161.2 CE, a la antes referenciada Disposición adicional quinta de la Ley 20/2001.</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El Abogado del Estado sostiene que puesto que el art. 10.4 de la Ley 11/2001 y la Disposición transitoria sexta, introducida en esta Ley por la Disposición adicional quinta </w:t>
      </w:r>
      <w:r>
        <w:lastRenderedPageBreak/>
        <w:t>de la Ley 20/2001, coinciden en su redacción y finalidad, se cumplen las exigencias previstas en el art. 39.1 LOTC para que proceda la extensión, la cual, en su criterio, "debe alcanzar tanto al enjuiciamiento constitucional, especialmente en el caso de la declaración de inconstitucionalidad, como a la suspensión de la vigencia del precepto". Y todo ello sin necesidad de interponer un nuevo recurso de inconstitucionalidad frente a la Disposición adicional quinta de la Ley 20/2001.</w:t>
      </w:r>
    </w:p>
    <w:p w:rsidR="000B622C" w:rsidRDefault="000B622C" w:rsidP="000B622C">
      <w:pPr>
        <w:pStyle w:val="TextoNormal"/>
      </w:pPr>
      <w:r>
        <w:t>El Presidente del Parlamento de las Illes Balears y el Letrado del Gobierno de esta Comunidad Autónoma discrepan abiertamente de este planteamiento del Abogado del Estado.  En su opinión, no existe identidad de redacción y finalidad entre el art. 10.4 de la Ley 11/2001 y la Disposición transitoria sexta que ha incluido en esta Ley la Disposición adicional quinta de la Ley 20/2001. Además, no resulta posible la extensión solicitada por cuanto la misma, según el art. 39.1 LOTC, sólo cabe que se produzca en el seno de la Ley recurrida, pero no en este caso, puesto que se trata de preceptos de leyes diferentes y no ha sido recurrida la segunda de ellas. En suma, el Abogado del Estado carece de legitimación para plantear recurso de inconstitucionalidad y no se ha acreditado que se haya adoptado tal decisión por los sujetos que la tienen atribuida.</w:t>
      </w:r>
    </w:p>
    <w:p w:rsidR="000B622C" w:rsidRDefault="000B622C" w:rsidP="000B622C">
      <w:pPr>
        <w:pStyle w:val="TextoNormal"/>
      </w:pPr>
    </w:p>
    <w:p w:rsidR="000B622C" w:rsidRDefault="000B622C" w:rsidP="000B622C">
      <w:pPr>
        <w:pStyle w:val="TextoNormal"/>
      </w:pPr>
      <w:r w:rsidRPr="000B622C">
        <w:rPr>
          <w:rStyle w:val="NumeroAFNegritaCaracter"/>
        </w:rPr>
        <w:t>3</w:t>
      </w:r>
      <w:r>
        <w:t>. Para la resolución de este incidente debemos partir de dos precisiones. De un lado, que el propio Abogado del Estado admite que lo solicitado se sustenta autonómamente en el art.  39.1 LOTC, es decir, en el alcance propio de este precepto, de modo que no se ha formalizado, por resultar innecesario, el recurso de inconstitucionalidad frente a la Disposición adicional quinta de la Ley 20/2001. De otro lado puesto que en el suplico del escrito presentado por el Abogado del Estado se solicita que se adopte el acuerdo de suspensión de dicha Disposición adicional quinta, se reclama una decisión inmediata de este Tribunal, al menos en cuanto a este extremo, siendo más ambigua la petición en cuanto al momento de extensión del enjuiciamiento, al aludir a que se resuelva "en su día". Sin embargo, en la medida en que en el escrito del Abogado del Estado la solicitud de extensión del recurso en cuanto al enjuiciamiento se configura como pretensión principal, de la que se hace depender la petición de extensión de la suspensión, se hace necesario que nos pronunciemos ahora sobre la viabilidad de todo lo solicitado.</w:t>
      </w:r>
    </w:p>
    <w:p w:rsidR="000B622C" w:rsidRDefault="000B622C" w:rsidP="000B622C">
      <w:pPr>
        <w:pStyle w:val="TextoNormal"/>
      </w:pPr>
    </w:p>
    <w:p w:rsidR="000B622C" w:rsidRDefault="000B622C" w:rsidP="000B622C">
      <w:pPr>
        <w:pStyle w:val="TextoNormal"/>
      </w:pPr>
      <w:r w:rsidRPr="000B622C">
        <w:rPr>
          <w:rStyle w:val="NumeroAFNegritaCaracter"/>
        </w:rPr>
        <w:t>4</w:t>
      </w:r>
      <w:r>
        <w:t>. En cuanto a que el art. 39.1 LOTC permita extender el recurso de inconstitucionalidad promovido por el Presidente del Gobierno frente a diversos artículos de la Ley 11/2001 a la Disposición adicional quinta de la Ley 20/2001, hay que tener en cuenta lo que dicho precepto prescribe y nuestra doctrina al respecto.</w:t>
      </w:r>
    </w:p>
    <w:p w:rsidR="000B622C" w:rsidRDefault="000B622C" w:rsidP="000B622C">
      <w:pPr>
        <w:pStyle w:val="TextoNormal"/>
      </w:pPr>
      <w:r>
        <w:t>El art. 39.1 LOTC dispone que "cuando la Sentencia declare la inconstitucionalidad, declarará igualmente la nulidad de los preceptos impugnados, así como, en su caso, la de aquellos otros de la misma Ley, disposición o acto con fuerza de Ley a los que deba extenderse por conexión y consecuencia".</w:t>
      </w:r>
    </w:p>
    <w:p w:rsidR="000B622C" w:rsidRDefault="000B622C" w:rsidP="000B622C">
      <w:pPr>
        <w:pStyle w:val="TextoNormal"/>
      </w:pPr>
      <w:r>
        <w:t xml:space="preserve">Pues bien, hemos declarado que la aplicación del art. 39.1 LOTC "requiere la concurrencia de tres requisitos: 1º) que la Sentencia sea declaratoria de la inconstitucionalidad de los preceptos impugnados o de algunos de ellos. 2º) que exista una relación de conexión o consecuencia entre los preceptos declarados inconstitucionales y aquellos otros a los que la inconstitucionalidad se extiende o se propaga, y 3º) que estos últimos pertenezcan o queden comprendidos en la misma Ley, disposición o acto con fuerza de Ley" (STC 11/1981, de 8 de abril, FJ 27). Esta doctrina ha sido reiterada con posterioridad (SSTC 196/1997, de 13 de diciembre, FJ 4, y 194/2000, de 19 de julio, FJ 4), si bien en estas dos resoluciones hemos permitido que la declaración de inconstitucionalidad se extienda a </w:t>
      </w:r>
      <w:r>
        <w:lastRenderedPageBreak/>
        <w:t>preceptos no comprendidos en la misma Ley sólo en supuestos de textos refundidos, toda vez que "aunque, ciertamente,...  los artículos a los que, por extensión, puede alcanzar nuestra declaración de inconstitucionalidad han de ser de la misma Ley, el hecho de su reproducción en el texto refundido permite, dada la naturaleza y contenido propios de la refundición, que este Tribunal puede apreciar en su Sentencia que la argumentación impugnatoria, por ser igualmente atinente a los preceptos reproducidos, se proyecte sobre éstos en caso de que conduzcan a una decisión de inconstitucionalidad" (STC 196/1997, FJ 4).</w:t>
      </w:r>
    </w:p>
    <w:p w:rsidR="000B622C" w:rsidRDefault="000B622C" w:rsidP="000B622C">
      <w:pPr>
        <w:pStyle w:val="TextoNormal"/>
      </w:pPr>
      <w:r>
        <w:t>Teniendo en consideración esta doctrina, se aprecia claramente que la solicitud de extensión realizada por el Abogado del Estado se sitúa a extramuros de la misma, pues, aparte de que dicha solicitud sólo podría ser atendida en el momento de dictar Sentencia y, aún ello, exclusivamente en la hipótesis de que fuera declarado inconstitucional el art. 10.4 de la Ley 11/2001 y apreciáramos la conexión o consecuencia necesarios entre este precepto y la Disposición adicional qinta de la Ley 20/2001, también se observa que esta última es un texto legal diferente y, por ello, independiente de la Ley 11/2001, aunque incluya la Disposición transitoria que contiene en la Ley recurrida, pues "si se admite la distinción entre norma como mandato y texto legal como signo sensible mediante el cual el mandato se manifiesta o el medio de comunicación que se emplea para darlo a conocer, la conclusión a la que hay que llegar es que el objeto del proceso constitucional es básicamente el último y no el primero" (STC 11/1981, de 8 de abril, FJ 4). A mayor abundamiento, tampoco es un texto refundido y basta un simple cotejo entre el art. 10.4 de la Ley 11/2001 y la Disposición adicional quinta de la Ley 20/2001 para concluir que la Disposición transitoria que ésta incorpora no es reproducción literal de aquel precepto.</w:t>
      </w:r>
    </w:p>
    <w:p w:rsidR="000B622C" w:rsidRDefault="000B622C" w:rsidP="000B622C">
      <w:pPr>
        <w:pStyle w:val="TextoNormal"/>
      </w:pPr>
      <w:r>
        <w:t>Por tanto, no se dan en este caso los requisitos necesarios para que pueda operar el art. 39.1 LOTC en cuanto a la primera de las peticiones del Abogado del Estado, esto es, la de enjuiciamiento por extensión de la Disposición adicional quinta de la Ley 20/2001.</w:t>
      </w:r>
    </w:p>
    <w:p w:rsidR="000B622C" w:rsidRDefault="000B622C" w:rsidP="000B622C">
      <w:pPr>
        <w:pStyle w:val="TextoNormal"/>
      </w:pPr>
    </w:p>
    <w:p w:rsidR="000B622C" w:rsidRDefault="000B622C" w:rsidP="000B622C">
      <w:pPr>
        <w:pStyle w:val="TextoNormal"/>
      </w:pPr>
      <w:r w:rsidRPr="000B622C">
        <w:rPr>
          <w:rStyle w:val="NumeroAFNegritaCaracter"/>
        </w:rPr>
        <w:t>5</w:t>
      </w:r>
      <w:r>
        <w:t>. En cuanto a la segunda de las peticiones, la de acordar la suspensión de la Disposición adicional quinta de la ley 20/2001, tampoco puede ser acogida.</w:t>
      </w:r>
    </w:p>
    <w:p w:rsidR="000B622C" w:rsidRDefault="000B622C" w:rsidP="000B622C">
      <w:pPr>
        <w:pStyle w:val="TextoNormal"/>
      </w:pPr>
      <w:r>
        <w:t>En efecto, hemos sostenido con reiteración que "la suspensión de la vigencia y aplicación de los preceptos impugnados de una ley, disposición o acto con fuerza de ley de las Comunidades Autónomas" constituye "un efecto inmediato del recurso de inconstitucionalidad cuando es el Gobierno de la Nación el que interpone el recurso e invoca el art. 161.2 CE" (AATC 259/1982, de 23 de julio, FJ 1 y 708/1985, de 16 de octubre, FJ 1).  De otro lado, la legitimación para la acción de inconstitucionalidad es "una potestad atribuida directamente por la Constitución a determinados órganos o miembros de órganos representativos y no una facultad que derive del derecho de que se es titular,... que no puede ser delegada ni trasmitida" (STC 42/1985, de 15 de marzo, FJ 2), por lo que para que este Tribunal accediera a lo solicitado, sería necesario que se hubiera planteado recurso de inconstitucionalidad frente al Disposición adicional quinta de la Ley 20/2001 y no una mera invocación por parte del Abogado del Estado del art. 39.1 LOTC, que ninguna relación puede tener, por lo ya dicho, con la suspensión de una ley autonómica que goza de presunción de legitimidad.</w:t>
      </w:r>
    </w:p>
    <w:p w:rsidR="000B622C" w:rsidRDefault="000B622C" w:rsidP="000B622C">
      <w:pPr>
        <w:pStyle w:val="TextoNormal"/>
      </w:pPr>
      <w:r>
        <w:t xml:space="preserve">En suma, habiendo confirmado el Abogado del Estado que no se ha promovido el recurso de inconstitucionalidad, debemos insistir en que "el art. 30 LOTC vincula la suspensión de la vigencia a la admisión del recurso de inconstitucionalidad,... Esta conexión necesaria que establece el art. 30 LOTC entre admisión a trámite del recurso de inconstitucionalidad y la suspensión de la vigencia de la disposición autonómica recurrida, cuando </w:t>
      </w:r>
      <w:r>
        <w:lastRenderedPageBreak/>
        <w:t>se invoque por el Gobierno el art. 161.2 CE, no es sino consecuencia del principio contenido en este precepto constitucional: la impugnación producirá la suspensión de la disposición o resolución recurrida. Por tanto, sin impugnación no hay suspensión" (ATC 92/1999, de 13 de abril, FJ 4).</w:t>
      </w:r>
    </w:p>
    <w:p w:rsidR="000B622C" w:rsidRDefault="000B622C" w:rsidP="000B622C">
      <w:pPr>
        <w:pStyle w:val="TextoNormal"/>
      </w:pPr>
      <w:r>
        <w:t>En conclusión, tampoco puede accederse a la petición de suspensión realizada.</w:t>
      </w:r>
    </w:p>
    <w:p w:rsidR="000B622C" w:rsidRDefault="000B622C" w:rsidP="000B622C">
      <w:pPr>
        <w:pStyle w:val="TextoNormal"/>
      </w:pPr>
    </w:p>
    <w:p w:rsidR="000B622C" w:rsidRDefault="000B622C" w:rsidP="000B622C">
      <w:pPr>
        <w:pStyle w:val="TextoNormal"/>
      </w:pPr>
      <w:r>
        <w:t>Por todo lo expuesto, el Pleno del Tribunal</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extensión del recurso de inconstitucionalidad núm.  5061/2001 al enjuiciamiento y suspensión de la Disposición adicional quinta de la Ley del Parlamento de Baleares 20/2001, de 21 de diciembre, de medidas tributarias, administrativas y de</w:t>
      </w:r>
    </w:p>
    <w:p w:rsidR="000B622C" w:rsidRDefault="000B622C" w:rsidP="000B622C">
      <w:pPr>
        <w:pStyle w:val="TextoNormal"/>
      </w:pPr>
      <w:r>
        <w:t>función pública.</w:t>
      </w:r>
    </w:p>
    <w:p w:rsidR="000B622C" w:rsidRDefault="000B622C" w:rsidP="000B622C">
      <w:pPr>
        <w:pStyle w:val="TextoNormal"/>
      </w:pPr>
    </w:p>
    <w:p w:rsidR="000B622C" w:rsidRDefault="000B622C" w:rsidP="000B622C">
      <w:pPr>
        <w:pStyle w:val="TextoNormal"/>
      </w:pPr>
      <w:r>
        <w:t>Madrid, a doce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1" w:name="AUTO_2002_40"/>
      <w:r>
        <w:lastRenderedPageBreak/>
        <w:t>AUTO 40/2002, de 13 de marzo de 2002</w:t>
      </w:r>
    </w:p>
    <w:bookmarkEnd w:id="141"/>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ECLI:ES:TC:2002:40A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Recurso de amparo promovido por don  Miguel Navarro Sánchez</w:t>
      </w:r>
    </w:p>
    <w:p w:rsidR="000B622C" w:rsidRDefault="000B622C" w:rsidP="000B622C">
      <w:pPr>
        <w:pStyle w:val="SntesisDescriptiva"/>
      </w:pPr>
    </w:p>
    <w:p w:rsidR="000B622C" w:rsidRDefault="000B622C" w:rsidP="000B622C">
      <w:pPr>
        <w:pStyle w:val="SntesisAnaltica"/>
      </w:pPr>
      <w:r>
        <w:t>Suspensión cautelar de resoluciones administrativas: sanción penitenciaria, suspende; beneficios penitenciarios.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30 de mayo de 2.001, el Procurador don Jorge Andrés Pajares Moral, bajo la dirección del letrado don Carlos Aguirre de Cárcer, formuló en representación de don Miguel Navarro Sánchez, recurso de amparo contra el Auto de 26 de febrero del mismo año del Juzgado de Vigilancia Penitenciaria número 1 de Valencia que confirmó el dictado el 24 de noviembre de 2000. Este último resolvió un recurso de queja contra Acuerdo de la Comisión Disciplinaria del Centro Penitenciario de Valencia II de 17 de octubre de 2000 por el que se le impuso una sanción de un fin de semana de aislamiento en celda.</w:t>
      </w:r>
    </w:p>
    <w:p w:rsidR="000B622C" w:rsidRDefault="000B622C" w:rsidP="000B622C">
      <w:pPr>
        <w:pStyle w:val="TextoNormal"/>
      </w:pPr>
    </w:p>
    <w:p w:rsidR="000B622C" w:rsidRDefault="000B622C" w:rsidP="000B622C">
      <w:pPr>
        <w:pStyle w:val="TextoNormal"/>
      </w:pPr>
      <w:r w:rsidRPr="000B622C">
        <w:rPr>
          <w:rStyle w:val="NumeroAFNegritaCaracter"/>
        </w:rPr>
        <w:t>2</w:t>
      </w:r>
      <w:r>
        <w:t>. El recurrente considera vulnerado su derecho a la libertad personal y la vulneración del principio de legalidad en la medida en que se ha producido una indebida extensión del tipo penal y se le ha impuesto una sanción de aislamiento en celda reservada solamente para las infracciones más graves. Por medio de otrosí en la demanda de amparo, el recurrente solicitó la suspensión del acuerdo sancionador por entender que, de no acordarse, quedaría sin efecto la pretensión de amparo.</w:t>
      </w:r>
    </w:p>
    <w:p w:rsidR="000B622C" w:rsidRDefault="000B622C" w:rsidP="000B622C">
      <w:pPr>
        <w:pStyle w:val="TextoNormal"/>
      </w:pPr>
    </w:p>
    <w:p w:rsidR="000B622C" w:rsidRDefault="000B622C" w:rsidP="000B622C">
      <w:pPr>
        <w:pStyle w:val="TextoNormal"/>
      </w:pPr>
      <w:r w:rsidRPr="000B622C">
        <w:rPr>
          <w:rStyle w:val="NumeroAFNegritaCaracter"/>
        </w:rPr>
        <w:t>3</w:t>
      </w:r>
      <w:r>
        <w:t>. Por providencia de 20 de diciembre de 2001, la Sección Primera acordó la admisión a trámite la demanda de amparo y, al constar ya el testimonio de las actuaciones judiciales, decidió dar traslado al Abogado del Estado como representante de la Administración Penitenciaria, sirviendo dicha notificación de emplazamiento en forma para que en plazo de diez días compareciera ante la Sala.</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20 de diciembre de 2.001, se acordó formar la pieza separada de suspensión con el testimonio de la providencia de admisión y del recurso de amparo y, de conformidad con lo prevenido en el artículo 56 LOTC, conceder al Ministerio Fiscal, al Abogado del Estado y al solicitante del amparo el plazo común de tres días para que alegasen lo que estimaren oportuno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Por escrito de 26 de diciembre de 2001, el Abogado del Estado se opuso a la suspensión. Considera el Abogado del Estado que dadas las fechas en que se impuso la sanción, ésta debe estar ya cumplida e incluso es verosímil que se haya cancelado la anotación en el expediente del recurrente, todo ello sin perjuicio de que la hipotética estimación del amparo pudiera tener el efecto previsto en el artículo 257 del Reglamento Penitenciario.</w:t>
      </w:r>
    </w:p>
    <w:p w:rsidR="000B622C" w:rsidRDefault="000B622C" w:rsidP="000B622C">
      <w:pPr>
        <w:pStyle w:val="TextoNormal"/>
      </w:pPr>
    </w:p>
    <w:p w:rsidR="000B622C" w:rsidRDefault="000B622C" w:rsidP="000B622C">
      <w:pPr>
        <w:pStyle w:val="TextoNormal"/>
      </w:pPr>
      <w:r w:rsidRPr="000B622C">
        <w:rPr>
          <w:rStyle w:val="NumeroAFNegritaCaracter"/>
        </w:rPr>
        <w:t>6</w:t>
      </w:r>
      <w:r>
        <w:t>. Por escrito registrado el 4 de enero de 2002 el Ministerio Fiscal interesó la suspensión de la sanción. Con cita de nuestros AATC 192/1995, 58/1996 y 188/1999, sostiene el Fiscal que aunque la sanción haya sido ejecutada puede producir otros efectos negativos en la concesión de beneficios penitenciarios para el recurrente, por lo que, al no generarse un inmediato perjuicio del interés general o de los derechos fundamentales y libertades públicas de terceros, procede la suspensión.</w:t>
      </w:r>
    </w:p>
    <w:p w:rsidR="000B622C" w:rsidRDefault="000B622C" w:rsidP="000B622C">
      <w:pPr>
        <w:pStyle w:val="TextoNormal"/>
      </w:pPr>
    </w:p>
    <w:p w:rsidR="000B622C" w:rsidRDefault="000B622C" w:rsidP="000B622C">
      <w:pPr>
        <w:pStyle w:val="TextoNormal"/>
      </w:pPr>
      <w:r w:rsidRPr="000B622C">
        <w:rPr>
          <w:rStyle w:val="NumeroAFNegritaCaracter"/>
        </w:rPr>
        <w:t>7</w:t>
      </w:r>
      <w:r>
        <w:t>. Por diligencia de 9 de enero de 2.002, se hizo constar que la representación del demandante de amparo no había presentado escrito de alegaciones.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artículo 56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así como que se podrá denegar la suspensión cuando de ésta pueda seguirse perturbación grave de los intereses generales, o de los derechos fundamentales y libertades públicas de un tercero.</w:t>
      </w:r>
    </w:p>
    <w:p w:rsidR="000B622C" w:rsidRDefault="000B622C" w:rsidP="000B622C">
      <w:pPr>
        <w:pStyle w:val="TextoNormal"/>
      </w:pPr>
    </w:p>
    <w:p w:rsidR="000B622C" w:rsidRDefault="000B622C" w:rsidP="000B622C">
      <w:pPr>
        <w:pStyle w:val="TextoNormal"/>
      </w:pPr>
      <w:r w:rsidRPr="000B622C">
        <w:rPr>
          <w:rStyle w:val="NumeroAFNegritaCaracter"/>
        </w:rPr>
        <w:t>2</w:t>
      </w:r>
      <w:r>
        <w:t>. Tal como defiende el Abogado del Estado, la sanción puede haber sido cumplida. Si atendiéramos exclusivamente a los efectos propios de la sanción de aislamiento, ésta no solamente habría sido cumplida, sino que incluso ha podido ser cancelada, de conformidad con lo dispuesto en el artículo 260 del Reglamento Penitenciario (RD 190/1996, de 9 de febrero).</w:t>
      </w:r>
    </w:p>
    <w:p w:rsidR="000B622C" w:rsidRDefault="000B622C" w:rsidP="000B622C">
      <w:pPr>
        <w:pStyle w:val="TextoNormal"/>
      </w:pPr>
      <w:r>
        <w:t>Sin embargo, a pesar de que la sanción haya sido cumplida e, incluso, haya podido quedar cancelada en los términos y con los efectos previstos en los artículos 260 y 262 del Reglamento Penitenciario, es preciso determinar si la no suspensión de la resolución puede generar otros efectos de forma que "de un lado la suspensión, en cuanto medida cautelar, mantenga su sentido y, de otro, su concesión no sea contraria al interés general o los derechos fundamentales y libertades públicas de un tercero" (ATC 186/2001, y, en el mismo sentido, AATC 24/1985, 192/1995 58/1996 y 188/1999)</w:t>
      </w:r>
    </w:p>
    <w:p w:rsidR="000B622C" w:rsidRDefault="000B622C" w:rsidP="000B622C">
      <w:pPr>
        <w:pStyle w:val="TextoNormal"/>
      </w:pPr>
      <w:r>
        <w:t xml:space="preserve">Pues bien, tal como se resolvió por esta misma Sala en el ATC 186/2001, antes mencionado, en la medida en que a pesar del cumplimiento efectivo de la sanción, ésta puede tener efectos negativos en la concesión de beneficios penitenciarios al recurrente (arts. 202, 204, 205 y 206 RP de 1996) y dado que, como sostuvimos en el ATC 58/1996, se trata de efectos que por su naturaleza pueden favorecer al reo sin que, en principio, sea previsible un inmediato perjuicio del interés general o de los derechos fundamentales o </w:t>
      </w:r>
      <w:r>
        <w:lastRenderedPageBreak/>
        <w:t>libertades públicas de terceros, resulta pertinente la suspensión solicitada, si bien limitándola a los efectos que pudieran derivarse de ella.</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Suspender los efectos que pudieran derivarse de la sanción disciplinaria de un fin de semana de aislamiento en celda, que le fue impuesta al recurrente don Miguel Navarro Sánchez.</w:t>
      </w:r>
    </w:p>
    <w:p w:rsidR="000B622C" w:rsidRDefault="000B622C" w:rsidP="000B622C">
      <w:pPr>
        <w:pStyle w:val="TextoNormal"/>
      </w:pPr>
    </w:p>
    <w:p w:rsidR="000B622C" w:rsidRDefault="000B622C" w:rsidP="000B622C">
      <w:pPr>
        <w:pStyle w:val="TextoNormal"/>
      </w:pPr>
      <w:r>
        <w:t>Madrid, a trece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2" w:name="AUTO_2002_41"/>
      <w:r>
        <w:lastRenderedPageBreak/>
        <w:t>AUTO 41/2002, de 13 de marzo de 2002</w:t>
      </w:r>
    </w:p>
    <w:bookmarkEnd w:id="142"/>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ECLI:ES:TC:2002:41A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la suspensión parcial en el recurso de amparo 2175-2001, interpuesto por don Ignacio y don Alvaro Torres García</w:t>
      </w:r>
    </w:p>
    <w:p w:rsidR="000B622C" w:rsidRDefault="000B622C" w:rsidP="000B622C">
      <w:pPr>
        <w:pStyle w:val="SntesisDescriptiva"/>
      </w:pPr>
    </w:p>
    <w:p w:rsidR="000B622C" w:rsidRDefault="000B622C" w:rsidP="000B622C">
      <w:pPr>
        <w:pStyle w:val="SntesisAnaltica"/>
      </w:pPr>
      <w:r>
        <w:t>Suspensión cautelar de sentencias penales: prisión de más de un año, suspende; multa, responsabilidad personal subsidiaria, indemnización, costas procesales, no suspende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día 18 de abril de 2001, don Eduardo Codes Feijoo, Procurador de los Tribunales y de don Ignacio y don Alvaro Torres García, interpuso recurso de amparo contra la Sentencia de 14 de marzo de 2001 y el Auto de aclaración de 22 de marzo de 2001, de la Audiencia Provincial de Guipúzcoa, Sección Segunda, que resuelve recurso de apelación contra la dictada por el Juzgado de lo Penal núm. 5 de San Sebastián en causa núm. 127/00, seguida por delito de atentado, lesiones y daños.</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Sucintamente expuestos, los hechos en que se basa la pretensión de amparo son los siguientes: </w:t>
      </w:r>
    </w:p>
    <w:p w:rsidR="000B622C" w:rsidRDefault="000B622C" w:rsidP="000B622C">
      <w:pPr>
        <w:pStyle w:val="TextoNormal"/>
      </w:pPr>
      <w:r>
        <w:t xml:space="preserve">a) Los recurrentes fueron inicialmente absueltos del delito de atentado y de las faltas de lesiones y daños de las que eran acusados, por Sentencia del Juzgado núm. 5 de los de San Sebastián, de fecha 13 de noviembre de 2000, por entender que no resultaba probado el elemento esencial del delito: el acometimiento al agente de la autoridad. </w:t>
      </w:r>
    </w:p>
    <w:p w:rsidR="000B622C" w:rsidRDefault="000B622C" w:rsidP="000B622C">
      <w:pPr>
        <w:pStyle w:val="TextoNormal"/>
      </w:pPr>
      <w:r>
        <w:t xml:space="preserve">b) Por Sentencia de 14 de marzo de 2001, la Sección Segunda de la Audiencia Provincial de Guipúzcoa, al resolver el recurso de apelación, modifica los hechos probados de la Sentencia de instancia (que los acusados insultaron al agente y le agredieron, haciéndole caer al suelo junto con uno de ellos) y la revoca, condenando a cada uno de los recurrentes como autores de un delito de atentado sin circunstancias a la pena de un año y tres meses de prisión; como autores de una falta de lesiones a la pena de un mes de multa con cuota de 200 pesetas diarias, y como autores de una falta de daños a la pena de un mes de multa con cuota de 200 pesetas diarias, así como a indemnizar al agente en 11.500 pesetas y al Ayuntamiento de San Sebastián en 2.830 pesetas. Igualmente se les condena al pago de las costas. </w:t>
      </w:r>
    </w:p>
    <w:p w:rsidR="000B622C" w:rsidRDefault="000B622C" w:rsidP="000B622C">
      <w:pPr>
        <w:pStyle w:val="TextoNormal"/>
      </w:pPr>
      <w:r>
        <w:t>c) En fecha 22 de marzo de 2001, la Audiencia de Guipúzcoa dicta Auto de aclaración de la anterior Sentencia, que subsana un error mecanográfico en la citada resolución.</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la demanda de amparo se solicita se declare que las resoluciones judiciales citadas han vulnerado el derecho de los recurrentes a la tutela judicial efectiva (art. 24.1 CE), a un proceso con todas las garantías (art. 24.2 CE) y a la presunción de inocencia (art. 24.2 CE). </w:t>
      </w:r>
    </w:p>
    <w:p w:rsidR="000B622C" w:rsidRDefault="000B622C" w:rsidP="000B622C">
      <w:pPr>
        <w:pStyle w:val="TextoNormal"/>
      </w:pPr>
      <w:r>
        <w:t>Por otrosí, en la misma demanda, de acuerdo con lo previsto en el artículo 56.1 LOTC, se solicita que se deje en suspenso la ejecución de la Sentencia, alegando que su ejecución podría ocasionar a los recurrentes un perjuicio que haría perder al amparo su finalidad.</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Por providencia de 20 de diciembre de 2001, la Sección Primera de este Tribunal acordó la admisión a trámite de la demanda así como, a tenor de lo establecido en el artículo 51 LOTC, requerir atentamente al Juzgado de lo Penal núm. 5 de Donostia-San Sebastián y a la Audiencia Provincial de Guipúzcoa, para que en plazo de diez días remitieran testimonio del procedimiento y, de conformidad con lo preceptuado en el art. 52 LOTC, dar vista de todas las actuaciones al Ministerio Fiscal y al Procurador de los recurrentes, para que, en el plazo común de veinte días, puedan presentar las alegaciones que a su derecho convenga. </w:t>
      </w:r>
    </w:p>
    <w:p w:rsidR="000B622C" w:rsidRDefault="000B622C" w:rsidP="000B622C">
      <w:pPr>
        <w:pStyle w:val="TextoNormal"/>
      </w:pPr>
      <w:r>
        <w:t>En la misma providencia se decidió formar la correspondiente pieza separada de suspensión y, mediante otra providencia de la misma fecha, se acordó, de conformidad con lo previsto en el artículo 56 LOTC, conceder un plazo común de tres días al Ministerio Fiscal y a los recurrentes en amparo para que alegaran lo que estimaran pertinente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El 26 de diciembre de 2001 se registró en este Tribunal el escrito de alegaciones de los solicitantes de amparo, en el que se expone que con fecha 14 de mayo de 2001 se dictó un Auto por el Juzgado de lo Penal núm. 4 de San Sebastián (en ejecutoria 727/01), en el que se declaraba firme la Sentencia y se acordaba, para su ejecución, librar nota al Registro Central de Penados y Rebeldes, a fin de que se procediera a la anotación de la condena o a la suspensión en su caso. Asimismo, se requería a los condenados que hicieran efectivo el pago de la multa impuesta (de 12.000 pesetas cada uno) y que abonaran la indemnización fijada en la Sentencia. Interpuesto recurso de reforma contra dicho Auto, en el que se solicita la suspensión de la ejecución, alegando que se encuentra interpuesto recurso de amparo y que la ejecución podría hacer perder al amparo su finalidad, amen de provocar graves perjuicios a los condenados, el mismo es desestimado por Auto de 19 de junio de 2001, procediendo a la mencionada ejecución. A la vista de todo lo cual, se solicita de la anulación de las diligencias de ejecución y que se acuerde la suspensión de la condena, en tanto en cuanto este Tribunal no resuelva el recurso de amparo.</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El 4 de enero de 2002 tuvo entrada en este Tribunal el escrito de alegaciones del Ministerio Fiscal. En dicho escrito, tras un breve relato de los antecedentes procesales, el Ministerio Público sostiene la conveniencia de acceder a la suspensión interesada con respecto al cumplimiento de las penas privativas de libertad. Entiende el Fiscal, sobre la base de la doctrina constitucional y desde la perspectiva de la irreparabilidad del perjuicio, que la ejecución de la pena privativa de libertad de un año y tres meses de duración, que puede incrementarse en veinticinco días si los penados no abonan las multas, determinaría que, por poco tiempo que transcurriese hasta la resolución de la pretensión de amparo, caso de otorgarse el mismo carecería de finalidad, pues la pena ya estaría cumplida. Por lo cual no </w:t>
      </w:r>
      <w:r>
        <w:lastRenderedPageBreak/>
        <w:t>se opone a la suspensión de estas penas. Sin embargo, en lo tocante a la suspensión de las de contenido económico, entiende el Ministerio Fiscal que no procede en el momento actual la suspensión, pues sus perjuicios son perfectamente reparables en caso de concederse el amparo.</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0B622C" w:rsidRDefault="000B622C" w:rsidP="000B622C">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000B622C" w:rsidRDefault="000B622C" w:rsidP="000B622C">
      <w:pPr>
        <w:pStyle w:val="TextoNormal"/>
      </w:pPr>
      <w:r>
        <w:t>Más concretamente, este Tribunal ha establecido, como criterio general, la improcedencia de la suspensión de la ejecución de aquellos fallos judiciales que admiten la restitución íntegra de lo ejecutado (como habitualmente sucede en las condenas de contenido patrimonial), a diferencia de aquellos otros en los que, por afectar a bienes o derechos del recurrente en amparo de imposible o muy difícil restitución a su estado anterior, procede acordarla, lo cual ocurre,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otro lado, atendidas las demás circunstancias concurrentes en el caso, no se aprecia </w:t>
      </w:r>
      <w:r>
        <w:lastRenderedPageBreak/>
        <w:t>que acceder a la suspensión solicitada ocasione una lesión específica y grave del interés general, más allá de aquélla que de por sí produce la no ejecución de un fallo judicial.</w:t>
      </w:r>
    </w:p>
    <w:p w:rsidR="000B622C" w:rsidRDefault="000B622C" w:rsidP="000B622C">
      <w:pPr>
        <w:pStyle w:val="TextoNormal"/>
      </w:pPr>
    </w:p>
    <w:p w:rsidR="000B622C" w:rsidRDefault="000B622C" w:rsidP="000B622C">
      <w:pPr>
        <w:pStyle w:val="TextoNormal"/>
      </w:pPr>
      <w:r w:rsidRPr="000B622C">
        <w:rPr>
          <w:rStyle w:val="NumeroAFNegritaCaracter"/>
        </w:rPr>
        <w:t>3</w:t>
      </w:r>
      <w:r>
        <w:t>. No procede, sin embargo, la suspensión de la condena en lo que se refiere a los pronunciamientos de contenido patrimonial -multa, costas procesales e indemnización- de conformidad con el criterio de este Tribunal, según el cual, por tratarse de condenas de contenido económico, los perjuicios anejos a su ejecución son perfectamente reparables, incluso aunque se otorgase el amparo (AATC 152/1996, 371/1996, 91/1997, 181/1998, 182/1998, 273/1998, 189/2000, 193/2000 y 204/2000). Este criterio se ve confirmado porque el recurrente no acredita de qué modo el cumplimiento de lo resuelto causaría un perjuicio que hiciera perder al amparo su finalidad. Tampoco procede, en el momento actual, la suspensión de la responsabilidad personal subsidiaria para el caso de impago de la pena de multa -veinticinco días de arresto sustitutorio-,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artículo 57 LOTC (AATC 107/1998, 136/1999, 227/1999, 245/1999 y 61/2000).</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1º. Suspender la ejecución de la Sentencia dictada por la Sección Segunda de la Audiencia Provincial de Guipúzcoa, de 14 de marzo de 2001, exclusivamente en lo referente a la pena privativa de libertad de un año y tres meses de prisión.</w:t>
      </w:r>
    </w:p>
    <w:p w:rsidR="000B622C" w:rsidRDefault="000B622C" w:rsidP="000B622C">
      <w:pPr>
        <w:pStyle w:val="TextoNormal"/>
      </w:pPr>
      <w:r>
        <w:t>2º. Denegar la suspensión solicitada en cuanto a los demás pronunciamientos condenatorios.</w:t>
      </w:r>
    </w:p>
    <w:p w:rsidR="000B622C" w:rsidRDefault="000B622C" w:rsidP="000B622C">
      <w:pPr>
        <w:pStyle w:val="TextoNormal"/>
      </w:pPr>
    </w:p>
    <w:p w:rsidR="000B622C" w:rsidRDefault="000B622C" w:rsidP="000B622C">
      <w:pPr>
        <w:pStyle w:val="TextoNormal"/>
      </w:pPr>
      <w:r>
        <w:t>Madrid, a trece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3" w:name="AUTO_2002_42"/>
      <w:r>
        <w:lastRenderedPageBreak/>
        <w:t>AUTO 42/2002, de 14 de marzo de 2002</w:t>
      </w:r>
    </w:p>
    <w:bookmarkEnd w:id="143"/>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ECLI:ES:TC:2002:42A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Inadmite a trámite el recurso de amparo 4114/98, interpuesto por don Alfredo Crespo Sánchez</w:t>
      </w:r>
    </w:p>
    <w:p w:rsidR="000B622C" w:rsidRDefault="000B622C" w:rsidP="000B622C">
      <w:pPr>
        <w:pStyle w:val="SntesisDescriptiva"/>
      </w:pPr>
    </w:p>
    <w:p w:rsidR="000B622C" w:rsidRDefault="000B622C" w:rsidP="000B622C">
      <w:pPr>
        <w:pStyle w:val="SntesisAnaltica"/>
      </w:pPr>
      <w:r>
        <w:t>Resolución civil. Tutela judicial efectivaE, derecho  a la; Jura de cuentas: inadecuación de procedimiento, respetado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1 de octubre de 1998, elTribunales don Alfonso Blanco Fernández, en nombre y representación de don Alfredo Crespo Sánchez, interpuso recurso de amparo contra el Auto dictado por la Sección Tercera de la Audiencia Provincial de Las Palmas de Gran Canaria, de 10 de septiembre de 1998, que resolvía el recurso de súplica contra el Auto dictado por la misma Sala, de 14 de julio de 1998, en el rollo núm. 233/94.</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en que se fundamenta la demanda, sucintamente expuestos, son los siguientes: </w:t>
      </w:r>
    </w:p>
    <w:p w:rsidR="000B622C" w:rsidRDefault="000B622C" w:rsidP="000B622C">
      <w:pPr>
        <w:pStyle w:val="TextoNormal"/>
      </w:pPr>
      <w:r>
        <w:t xml:space="preserve">a) Mediante escrito formulado el 15 de septiembre de 1997, el hoy demandante de amparo, Procurador de los Tribunales, instó ante la Sección Tercera de la Audiencia Provincial de Las Palmas expediente de jura de cuentas contra sus poderdantes, doña Isabel Ramírez Santana y doña Pino Mayor Ramírez, en reclamación de los honorarios devengados por el Letrado Sr. Monsalve Córdoba, que había asumido la defensa de aquéllas en el juicio declarativo ordinario de menor cuantía núm. 165/93, y en el que había recaído Sentencia desestimatoria del recurso de apelación interpuesto por la parte contraria, siendo condenada esta última al pago de las costas procesales. </w:t>
      </w:r>
    </w:p>
    <w:p w:rsidR="000B622C" w:rsidRDefault="000B622C" w:rsidP="000B622C">
      <w:pPr>
        <w:pStyle w:val="TextoNormal"/>
      </w:pPr>
      <w:r>
        <w:t xml:space="preserve">b) La Sección Tercera de la Audiencia Provincial requirió de pago a los poderdantes bajo apercibimiento de apremio, en fecha de 21 de octubre de 1997, quienes presentaron escrito de fecha 24 de octubre de 1997, impugnando la minuta por excesiva e indebida. </w:t>
      </w:r>
    </w:p>
    <w:p w:rsidR="000B622C" w:rsidRDefault="000B622C" w:rsidP="000B622C">
      <w:pPr>
        <w:pStyle w:val="TextoNormal"/>
      </w:pPr>
      <w:r>
        <w:t>c) Por Auto de 14 de julio de 1998, la Sala desestimó el incidente de jura de cuentas en el que se exponen las siguientes consideraciones: "... sin entrar a valorar si la minuta es o no excesiva -el concepto de indebida no es preciable en una jura de cuentas (art. 10 LEC)-, debe rechazarse la pretensión del Sr. Letrado instante, pues es el condenado en costas el primer obligado al pago de las mismas, y lo procedente es solicitar la tasación y accionar contra él, de conformidad con el art. 421 LEC, siendo de cargo del instante las costas cau</w:t>
      </w:r>
      <w:r>
        <w:lastRenderedPageBreak/>
        <w:t xml:space="preserve">sadas en este incidente, por su temeridad al pretender cobrar de los que fueron sus propios clientes lo que, según Sentencia, es obligación de la parte contraria". </w:t>
      </w:r>
    </w:p>
    <w:p w:rsidR="000B622C" w:rsidRDefault="000B622C" w:rsidP="000B622C">
      <w:pPr>
        <w:pStyle w:val="TextoNormal"/>
      </w:pPr>
      <w:r>
        <w:t xml:space="preserve">d) Contra la anterior resolución se formuló recurso de súplica, que fue desestimado por Auto de 10 de septiembre de 1998. </w:t>
      </w:r>
    </w:p>
    <w:p w:rsidR="000B622C" w:rsidRDefault="000B622C" w:rsidP="000B622C">
      <w:pPr>
        <w:pStyle w:val="TextoNormal"/>
      </w:pPr>
      <w:r>
        <w:t>La Sala declara: ..."tal y como razona la propia parte, por el procedimiento de jura de cuentas se reclama, mediante la vía de apremio al deudor, el importe de sus honorarios profesionales. Pues bien, habiendo recaído Sentencia en la que se condena en costas a uno de los litigantes, es éste el que viene obligado al pago, en aplicación de los arts. 523 y 421 y siguientes LEC, por lo que, pese a que insista tanto en ello el Letrado accionante, solo podría actuar en contra de los que fueron sus clientes si no abonara las costas el primeramente obligado al pago".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la demanda se denuncia vulneración del art. 24.1 CE. </w:t>
      </w:r>
    </w:p>
    <w:p w:rsidR="000B622C" w:rsidRDefault="000B622C" w:rsidP="000B622C">
      <w:pPr>
        <w:pStyle w:val="TextoNormal"/>
      </w:pPr>
      <w:r>
        <w:t>Se aduce que la Audiencia rechaza la pretensión del recurrente mediante una resolución inmotivada e irrazonable, puesto que, en contra de lo que afirma, el procedimiento de jura de cuentas no puede dirigirse contra el condenado en costas como primer obligado al pago de los mismos, pues el Letrado defensor y el Procurador carecen de cualquier vínculo obligacional con la parte adversa, la obligación recae única y exclusivamente sobre el cliente. Por lo que tal motivación vulnera el art. 24.1 CE al impedirle obtener la satisfacción de sus pretensiones a través del procedimiento legalmente previsto.</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3 de junio de 1999,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Mediante escrito registrado el 22 de junio de 1999, la representación de la demandante formula sus alegaciones en las que reitera la solicitud de amparo. En síntesis, se insiste en la flagrante vulneración del derecho a la tutela judicial efectiva porque, se aduce, la decisión de la Audiencia de no tramitar el incidente de jura de cuentas se sustenta en una interpretación de la legalidad ordinaria contraria a la lógica jurídica, y que le impide el acceso al procedimiento regulado en el art.8 LEC.</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El Fiscal, por escrito registrado el 23 de junio de 1999, tras exponer los hechos que considera de interés para el asunto, recogiendo el contenido de los Autos impugnados, interesa la inadmisión del recurso. </w:t>
      </w:r>
    </w:p>
    <w:p w:rsidR="000B622C" w:rsidRDefault="000B622C" w:rsidP="000B622C">
      <w:pPr>
        <w:pStyle w:val="TextoNormal"/>
      </w:pPr>
      <w:r>
        <w:t>Alega que la Audiencia Provincial ha efectuado una selección de la normativa aplicable a la pretensión deducida, interpretando de manera razonada y motivada dicha normativa y la alegada por el demandante, y señala a éste el camino procesal a seguir(el art.421 y ss. LEC), sin que se aprecie en tal interpretación incongruencia o arbitrariedad alguna. Afirma el Fiscal que, la discrepancia con la respuesta del órgano judicial a la pretensión, es, en este caso, el único sustento de la queja y carece de dimensión constitucional, pues el contenido del derecho fundamental consagrado en el art. 24.1 CE, no comprende el acierto de las resoluciones judiciales.</w:t>
      </w:r>
    </w:p>
    <w:p w:rsidR="000B622C" w:rsidRDefault="000B622C" w:rsidP="000B622C">
      <w:pPr>
        <w:pStyle w:val="TextoNormal"/>
      </w:pPr>
    </w:p>
    <w:p w:rsidR="000B622C" w:rsidRDefault="000B622C" w:rsidP="000B622C">
      <w:pPr>
        <w:pStyle w:val="TextoNormalNegritaCentrado"/>
        <w:keepNext/>
      </w:pPr>
      <w:r>
        <w:lastRenderedPageBreak/>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examen de las alegaciones formuladas por la recurrente y por el Ministerio Fiscal, la Sección se ratifica en la apreciación inicial puesta de manifiesto en la providencia de 3 de junio de 1999, de que la demanda carece manifiestamente de contenido que justifique una decisión sobre el fondo en forma de Sentencia por parte de este Tribunal, lo que constituye la causa de inadmisión prevista en el art. 50.1 c) LOTC.</w:t>
      </w:r>
    </w:p>
    <w:p w:rsidR="000B622C" w:rsidRDefault="000B622C" w:rsidP="000B622C">
      <w:pPr>
        <w:pStyle w:val="TextoNormal"/>
      </w:pPr>
      <w:r>
        <w:t>El presente recurso de amparo se dirige contra el Auto dictado por la Sección Tercera de la Audiencia Provincial de Las Palmas de Gran Canaria, de 10 de septiembre de 1998, que resolvía el recurso de súplica contra el Auto dictado por la misma Sala, de 14 de julio de 1998, que rechaza la tramitación del incidente de jura de cuentas planteado en el procedimiento de menor cuantía 165/93.</w:t>
      </w:r>
    </w:p>
    <w:p w:rsidR="000B622C" w:rsidRDefault="000B622C" w:rsidP="000B622C">
      <w:pPr>
        <w:pStyle w:val="TextoNormal"/>
      </w:pPr>
      <w:r>
        <w:t>A juicio del Procurador demandante, estas resoluciones vulneran el derecho a la tutela judicial efectiva que le reconoce el art. 24.1 CE ya que, si bien es cierto que la decisión judicial impugnada desestima su pretensión, no lo es menos que dicha desestimación se basa en el rechazo de la tramitación del procedimiento de jura de cuentas, procedimiento de ejecución por vía de apremio, que era la vía procesal de la que disponía legalmente para reclamar los honorarios profesionales, devengados por el Letrado director del pleito principal, a sus clientes.  Este rechazo se produjo mediante una resolución que considera que no está fundada en Derecho y que resulta irrazonable, pues lo que pretendía no era sino la adopción de las medidas previstas en el art.  8, en relación con el art.12 LEC, por haber contravenido su poderdante deudor su obligación de pago, con independencia de que el litigante vencido deba satisfacer las costas a aquél, pues, se alega, los Letrados de las partes carecen de cualquier vínculo obligacional con la parte adversa, y precisamente por ello éste no tiene la obligación de satisfacerle sus honorarios.</w:t>
      </w:r>
    </w:p>
    <w:p w:rsidR="000B622C" w:rsidRDefault="000B622C" w:rsidP="000B622C">
      <w:pPr>
        <w:pStyle w:val="TextoNormal"/>
      </w:pPr>
    </w:p>
    <w:p w:rsidR="000B622C" w:rsidRDefault="000B622C" w:rsidP="000B622C">
      <w:pPr>
        <w:pStyle w:val="TextoNormal"/>
      </w:pPr>
      <w:r w:rsidRPr="000B622C">
        <w:rPr>
          <w:rStyle w:val="NumeroAFNegritaCaracter"/>
        </w:rPr>
        <w:t>2</w:t>
      </w:r>
      <w:r>
        <w:t>. Este Tribunal ha declarado reiteradamente que el derecho a la tutela judicial efectiva se satisface, en esencia, con una respuesta jurídicamente fundada, motivada y razonable de los órganos jurisdiccionales a las pretensiones de quien acude ante ellos para la defensa de sus intereses. Cabe, en consecuencia, constatar la vulneración de este derecho fundamental cuando se priva a su titular del acceso a la jurisdicción; cuando, personado ante ella, no obtiene respuesta; cuando, obteniendo respuesta, ésta carece de fundamento jurídico o dicho fundamento resulta arbitrario; o cuando, obteniendo respuesta jurídicamente fundamentada, el fallo judicial no se cumple (por todas, SSTC 324/1994, FJ 2; 24/1999, 8 de marzo, FJ 3, entre otras). En estos supuestos lo relevante no es que las pretensiones de la parte se hayan desestimado, pues en multitud de ocasiones ha dicho este Tribunal que el derecho fundamental a la tutela judicial efectiva no garantiza un pronunciamiento acorde con las pretensiones de la parte, sino una resolución fundada en Derecho (STC 55/1993, de 15 de febrero, ATC 148/1999, de 14 de junio). Lo decisivo es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de 15 de enero, 217/1998, de 16 de noviembre, 183/1999, de 11 de octubre; 10/2000, de 17 de enero, FJ 3).</w:t>
      </w:r>
    </w:p>
    <w:p w:rsidR="000B622C" w:rsidRDefault="000B622C" w:rsidP="000B622C">
      <w:pPr>
        <w:pStyle w:val="TextoNormal"/>
      </w:pPr>
      <w:r>
        <w:t>Igualmente, venimos sosteniendo que, con carácter general, la decisión sobre la admisión o no de una demanda, así como la verificación de la concurrencia de los presupuestos y requisitos materiales y procesales de la misma, son cuestiones de estricta legalidad ordi</w:t>
      </w:r>
      <w:r>
        <w:lastRenderedPageBreak/>
        <w:t>naria, cuya resolución corresponde exclusivamente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y 158/2000, de 12 de junio, FJ 5 ).</w:t>
      </w:r>
    </w:p>
    <w:p w:rsidR="000B622C" w:rsidRDefault="000B622C" w:rsidP="000B622C">
      <w:pPr>
        <w:pStyle w:val="TextoNormal"/>
      </w:pPr>
    </w:p>
    <w:p w:rsidR="000B622C" w:rsidRDefault="000B622C" w:rsidP="000B622C">
      <w:pPr>
        <w:pStyle w:val="TextoNormal"/>
      </w:pPr>
      <w:r w:rsidRPr="000B622C">
        <w:rPr>
          <w:rStyle w:val="NumeroAFNegritaCaracter"/>
        </w:rPr>
        <w:t>3</w:t>
      </w:r>
      <w:r>
        <w:t>. En el presente caso, la Sección Tercera de la Audiencia Provincial de Las Palmas rechazó la pretensión del Procurador demandante, de reclamación de honorarios del Letrado, con fundamento en el art. 421 y siguientes de la LEC, entendiendo que era ésta la vía procesal idónea para reclamar los referidos honorarios, al declarar que el obligado al pago de los mismos era el litigante condenado en costas, y se afirma en el Auto dictado en súplica que sólo podría actuar contra sus clientes si no abonare las costas el primeramente obligado al pago.</w:t>
      </w:r>
    </w:p>
    <w:p w:rsidR="000B622C" w:rsidRDefault="000B622C" w:rsidP="000B622C">
      <w:pPr>
        <w:pStyle w:val="TextoNormal"/>
      </w:pPr>
      <w:r>
        <w:t>Esta decisión podrá o no compartirse, pero pone de manifiesto que el fundamento en que los Autos impugnados, con apoyo en el art. 421 y siguientes de la LEC, dieron respuesta a la pretensión formulada por la recurrente al justificar la razón por la cual no procedía efectuar la reclamación por el procedimiento de jura de cuentas, y dicha respuesta resulta razonable y razonada por el órgano judicial, lo que excluye la vulneración del derecho a la tutela judicial efectiva del art. 24.1 CE que se denuncia en la demanda de amparo.</w:t>
      </w:r>
    </w:p>
    <w:p w:rsidR="000B622C" w:rsidRDefault="000B622C" w:rsidP="000B622C">
      <w:pPr>
        <w:pStyle w:val="TextoNormal"/>
      </w:pPr>
    </w:p>
    <w:p w:rsidR="000B622C" w:rsidRDefault="000B622C" w:rsidP="000B622C">
      <w:pPr>
        <w:pStyle w:val="TextoNormal"/>
      </w:pPr>
      <w:r>
        <w:t>Por todo lo expuesto, y conforme a lo establecido en el art. 50. 1 c) LOTC,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catorce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4" w:name="AUTO_2002_43"/>
      <w:r>
        <w:lastRenderedPageBreak/>
        <w:t>AUTO 43/2002, de 14 de marzo de 2002</w:t>
      </w:r>
    </w:p>
    <w:bookmarkEnd w:id="144"/>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ECLI:ES:TC:2002:43A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Inadmite a trámite el recurso de amparo 1500/99, interpuesto por don Javier Galparsoro García y el Ilustre Colegio de Abogados del Señorío de Vizcaya</w:t>
      </w:r>
    </w:p>
    <w:p w:rsidR="000B622C" w:rsidRDefault="000B622C" w:rsidP="000B622C">
      <w:pPr>
        <w:pStyle w:val="SntesisDescriptiva"/>
      </w:pPr>
    </w:p>
    <w:p w:rsidR="000B622C" w:rsidRDefault="000B622C" w:rsidP="000B622C">
      <w:pPr>
        <w:pStyle w:val="SntesisAnaltica"/>
      </w:pPr>
      <w:r>
        <w:t>Resolución gubernativa judicial. Derecho a la libre expresión: defensa letrada, respetado. Abogado y Procurador: correcciones disciplinarias procesales.</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9 de abril de 1999, el Procurador de los Tribunales don Luis Pozas Osset, en nombre y representación de don Javier Galparsoro García y del Ilustre Colegio de Abogados del Señorío de Vizcaya, formuló demanda de amparo contra el Acuerdo del Juzgado de Instrucción núm. 8 de Bilbao, de 10 de octubre de 1998, y el Acuerdo de la Sala de Gobierno del Tribunal Superior de Justicia del País Vasco en el expediente gubernativo 14/98.</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en los que se sustenta la demanda son los siguientes: </w:t>
      </w:r>
    </w:p>
    <w:p w:rsidR="000B622C" w:rsidRDefault="000B622C" w:rsidP="000B622C">
      <w:pPr>
        <w:pStyle w:val="TextoNormal"/>
      </w:pPr>
      <w:r>
        <w:t xml:space="preserve">a) El Juzgado de Instrucción núm. 8 de Bilbao, mediante Acuerdo de fecha 10 de diciembre de 1998, adoptado en pieza separada de responsabilidad disciplinaria dimanante del expediente de internamiento de una ciudadana extranjera, tramitado con número de registro de diligencias previas 2694/98, impuso al hoy recurrente en amparo, en su condición de Abogado, la corrección disciplinaria de 300.000 pesetas de multa, conforme a lo previsto en los arts. 449.1 y 450 LOPJ, a consecuencia de un escrito, interponiendo recurso de reforma y subsidiario de apelación y presentado por aquél ante dicho Juzgado con fecha de 14 de octubre de 1998. </w:t>
      </w:r>
    </w:p>
    <w:p w:rsidR="000B622C" w:rsidRDefault="000B622C" w:rsidP="000B622C">
      <w:pPr>
        <w:pStyle w:val="TextoNormal"/>
      </w:pPr>
      <w:r>
        <w:t xml:space="preserve">b) En dicho escrito de recurso contra la providencia de 1 de octubre de 1998 del Juez instructor, que inadmitió su personación en el referido expediente como acusación popular en nombre de la Asociación CEAR-EUSKADI, manifestó el Abogado firmante que algunas de las conductas que motivaron el internamiento de la persona contra la que se siguió el expediente de internamiento resultan de extraordinaria gravedad, indicando "como relación puramente ad exemplum de delitos cometidos a resultas de estas actuaciones y que motivarán en su caso el inicio de la querella pertinente", ... por parte (de entre otras personas) del Juez: prevaricación por imprudencia del art. 447 CP; delitos contra derechos individuales del art. 537 CP. </w:t>
      </w:r>
    </w:p>
    <w:p w:rsidR="000B622C" w:rsidRDefault="000B622C" w:rsidP="000B622C">
      <w:pPr>
        <w:pStyle w:val="TextoNormal"/>
      </w:pPr>
      <w:r>
        <w:t xml:space="preserve">c) Contra la resolución del Juzgado se formuló recurso de alzada ante la Sala de Gobierno del Tribunal Superior de Justicia del País Vasco, que fue resuelto por el Acuerdo </w:t>
      </w:r>
      <w:r>
        <w:lastRenderedPageBreak/>
        <w:t xml:space="preserve">adoptado por la Comisión de la Sala aprobando la propuesta del ponente Ilmo Sr. Don Juan Pablo González González, en la sesión celebrada el 5 de marzo de 1999, en sentido parcialmente estimatorio, rebajando la cuantía de la multa a 100.000 pesetas. </w:t>
      </w:r>
    </w:p>
    <w:p w:rsidR="000B622C" w:rsidRDefault="000B622C" w:rsidP="000B622C">
      <w:pPr>
        <w:pStyle w:val="TextoNormal"/>
      </w:pPr>
      <w:r>
        <w:t xml:space="preserve">La Sala de Gobierno considera que el escrito del recurrente, que dio lugar al expediente sancionador, no puede justificarse como ejercicio del derecho legítimo de defensa ni como manifestación de la libertad de expresión, por cuanto las expresiones objeto de análisis suponían la imputación al Juez de dos concretas conductas delictivas, lo que resultaba ofensivo objetivamente para su dignidad y resultaban además innecesarias para el fin de la defensa, pues nada añadían a la argumentación jurídica que sostiene el recurso sobre una discutible interpretación de la acción popular, y considera la Sala que únicamente pueden obedecer a un intento de torcer la voluntad del Juez mediante la coerción encubierta que implica el anuncio e interposición de querella, que se dice se formulará en su caso, esto es, si el Juez no accede a la pretensión del Letrado, por lo que puede estimarse como una evidente falta de respeto y menosprecio a la imparcialidad del juzgador. </w:t>
      </w:r>
    </w:p>
    <w:p w:rsidR="000B622C" w:rsidRDefault="000B622C" w:rsidP="000B622C">
      <w:pPr>
        <w:pStyle w:val="TextoNormal"/>
      </w:pPr>
      <w:r>
        <w:t xml:space="preserve">Se declara inadmisible que en el curso de un proceso se anuncie o se sugiera la interposición de una querella y que se condicione su interposición al contenido de las decisiones que haya de adoptar el Juez, y dicha mención hace que, en el "indispensable juicio de ponderación de los intereses en conflicto", el derecho de defensa no pueda prevalecer, lo que justifica la adopción de una medida disciplinaria. </w:t>
      </w:r>
    </w:p>
    <w:p w:rsidR="000B622C" w:rsidRDefault="000B622C" w:rsidP="000B622C">
      <w:pPr>
        <w:pStyle w:val="TextoNormal"/>
      </w:pPr>
      <w:r>
        <w:t xml:space="preserve">Rechaza, por último, que el Juez haya actuado maliciosamente o por represalias, por haber formulado el recurrente una queja ante el Consejo General del Poder Judicial, pues el Juez no podía tener conocimiento de dicha queja en el momento de incoación del expediente disciplinario. </w:t>
      </w:r>
    </w:p>
    <w:p w:rsidR="000B622C" w:rsidRDefault="000B622C" w:rsidP="000B622C">
      <w:pPr>
        <w:pStyle w:val="TextoNormal"/>
      </w:pPr>
      <w:r>
        <w:t>La moderación de la cuantía de la multa se produce, no obstante, al considerar la Sala que el letrado pudiere haber obrado por un exceso de celo en la defensa de su patrocinada, ante su difícil situación de pérdida de libertad.</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la demanda se denuncia la vulneración de los derechos protegidos en los arts. 20 y 24.2 CE, derecho a la libertad de expresión en relación con el ejercicio del derecho de defensa y de asistencia de Letrado. </w:t>
      </w:r>
    </w:p>
    <w:p w:rsidR="000B622C" w:rsidRDefault="000B622C" w:rsidP="000B622C">
      <w:pPr>
        <w:pStyle w:val="TextoNormal"/>
      </w:pPr>
      <w:r>
        <w:t xml:space="preserve">Se aduce que las resoluciones impugnadas efectúan una ponderación de los intereses en conflicto, de un lado el derecho de defensa y de otro el respeto debido al Juez, no acorde con la doctrina de este Tribunal, toda vez que el ejercicio del derecho de la libertad de expresión del Abogado en el ejercicio de su función de defensa resulta una libertad de expresión reforzada, que no puede ser objeto de restricciones indebidas o carentes de justificación y, como ejercicio que es de un derecho fundamental, no puede ser objeto de sanción. Se alega que el contexto en el que se produjo el escrito que motivó la sanción, a su entender, en un procedimiento penal, en el que se adoptó una medida privativa de libertad, como lo es un internamiento, exigía un especial esfuerzo por quienes intervienen en el proceso a la hora de velar por el escrupuloso respeto de los derechos fundamentales del sujeto pasivo de la medida, por lo cual la actuación del Abogado defensor exige normalmente una singular contundencia de argumentos, que posiblemente no se dan en ningún otro tipo de proceso. </w:t>
      </w:r>
    </w:p>
    <w:p w:rsidR="000B622C" w:rsidRDefault="000B622C" w:rsidP="000B622C">
      <w:pPr>
        <w:pStyle w:val="TextoNormal"/>
      </w:pPr>
      <w:r>
        <w:t>Solicita, en definitiva, que este Tribunal revise la ponderación efectuada en las resoluciones judiciales impugnadas de los derechos en conflicto, para determinar si está justificada la sanción impuesta al recurrente.</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4</w:t>
      </w:r>
      <w:r>
        <w:t>. Por providencia de 7 de diciembre de 1999, se tuvo por formulada la demanda de amparo en nombre y representación de Don Javier Galpasoro García y del Colegio de Abogados de Vizcaya y, previo a decidir sobre su admisión, se acordó requerir atentamente a la Sala de Gobierno del Tribunal Superior de Justicia del País Vasco y a los Juzgados de Instrucción núms. 7 y 8 de Bilbao, para que, en el plazo de diez días remitieren los testimonios del expediente gubernativo núm. 14/98 y de las diligencias previas 2564/98 y 2694/98. A tenor de lo dispuesto en el art. 50.3 LOTC, por providencia de 17 de octubre de 2000, la Sección Segunda acordó conceder un plazo común de diez días al Ministerio Fiscal y al solicitante del amparo, para que dentro de dicho término alegasen lo que estimaran pertinente en relación con la posible existencia del siguiente motivo de inadmisión: carecer la demanda manifiestamente de contenido que justifique una decisión sobre el fondo de la misma por parte de este Tribunal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escrito de alegaciones de la representación procesal del demandante de amparo se registró en este Tribunal el 28 de octubre de 2000. </w:t>
      </w:r>
    </w:p>
    <w:p w:rsidR="000B622C" w:rsidRDefault="000B622C" w:rsidP="000B622C">
      <w:pPr>
        <w:pStyle w:val="TextoNormal"/>
      </w:pPr>
      <w:r>
        <w:t xml:space="preserve">En dicho escrito se afirma que don Javier Galpasoro ejercitó su legítimo derecho de defensa dentro del proceso y sin difusión exterior de los argumentos utilizados, referidos a hechos objeto del propio proceso, jurídicamente razonados y con claro animus defendendi, ejercicio por lo demás, proporcionado al fin perseguido, sin efectuar imputaciones falsas, sino poniendo de manifiesto presuntas irregularidades. </w:t>
      </w:r>
    </w:p>
    <w:p w:rsidR="000B622C" w:rsidRDefault="000B622C" w:rsidP="000B622C">
      <w:pPr>
        <w:pStyle w:val="TextoNormal"/>
      </w:pPr>
      <w:r>
        <w:t xml:space="preserve">El contexto en que se producen los hechos es, a su entender, el siguiente: la conculcación de los derechos constitucionales, entre ellos el derecho a la libertad personal, defensa y asistencia letrada de una ciudadana extranjera en el curso de un proceso penal (el expediente de expulsión), que exigían una especial contundencia de argumentos para su defensa por parte del letrado. </w:t>
      </w:r>
    </w:p>
    <w:p w:rsidR="000B622C" w:rsidRDefault="000B622C" w:rsidP="000B622C">
      <w:pPr>
        <w:pStyle w:val="TextoNormal"/>
      </w:pPr>
      <w:r>
        <w:t>En conclusión, ni el Juez ni la Sala de Gobierno al imponer y confirmar la sanción al Abogado demandante de amparo tuvieron en cuenta aquellos extremos ni la posición reforzada de su libertad de expresión por su conexión con el ejercicio de su función de defensa ex art. 24.2 CE. La ponderación efectuada en las resoluciones judiciales impugnadas de los bienes en conflicto resulta contraria a la doctrina de este Tribunal, por lo que afirma que la demanda no carece de contenido constitucional e interesa que se dicte Sentencia otorgando el amparo solicitado.</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Con fecha 6 de noviembre de 2000, el Ministerio Fiscal presentó su escrito de alegaciones donde interesa la inadmisión de la demanda de amparo. </w:t>
      </w:r>
    </w:p>
    <w:p w:rsidR="000B622C" w:rsidRDefault="000B622C" w:rsidP="000B622C">
      <w:pPr>
        <w:pStyle w:val="TextoNormal"/>
      </w:pPr>
      <w:r>
        <w:t xml:space="preserve">Pone de manifiesto que la denunciada vulneración del derecho a la libertad de expresión en el ejercicio del derecho de defensa no se ha producido, por cuanto las afirmaciones contenidas en el escrito de recurso del letrado recurrente eran superfluas a los fines procesales de impugnación perseguidos con tal recurso. A su entender, lejos de denunciar las presuntas irregularidades producidas en el expediente de internamiento sirviéndose de la libertad de expresión, el Abogado se extendió en la consideración de que los hechos podrían ser constitutivos de determinados delitos, imputables al Juez que tramitó el expediente. Aduce que si aquél consideraba que el Juez había incurrido en tales ilícitos debió formalizar la oportuna denuncia o querella ante un órgano judicial distinto. De ahí extrae la inutilidad de imputaciones a los fines de defensa, pues en nada podría contribuir el Juez, presunto autor de los hechos ilícitos, a iniciar la investigación y persecución de los mismos. </w:t>
      </w:r>
    </w:p>
    <w:p w:rsidR="000B622C" w:rsidRDefault="000B622C" w:rsidP="000B622C">
      <w:pPr>
        <w:pStyle w:val="TextoNormal"/>
      </w:pPr>
      <w:r>
        <w:lastRenderedPageBreak/>
        <w:t xml:space="preserve">Estima el Fiscal que, desde la perspectiva constitucional, no puede considerarse arbitrario o irracional el juicio de ponderación efectuado tanto por el Juzgado de Instrucción como por la Sala de Gobierno del Tribunal Superior de Justicia de los intereses en conflicto: de un lado, el respeto a la libertad del Abogado en la defensa de la ciudadana internada y, de otro, la observancia de las mas elementales normas de conducta y decoro con que se deben conducir las partes y los Abogados que intervengan en un proceso. </w:t>
      </w:r>
    </w:p>
    <w:p w:rsidR="000B622C" w:rsidRDefault="000B622C" w:rsidP="000B622C">
      <w:pPr>
        <w:pStyle w:val="TextoNormal"/>
      </w:pPr>
      <w:r>
        <w:t xml:space="preserve">Para el Fiscal, las resoluciones que aquí se impugnan no sólo contienen una fundada motivación de las circunstancias concurrentes -objeto de la reclamación y la utilidad de las expresiones para reforzar las pretensiones de tal reclamación-, sino también otras circunstancias particulares del caso, como la actitud sosegada y reflexiva del Letrado al redactar el escrito y no la que pueda derivarse de una acalorada contienda efectuada en un debate oral, así como la intencionalidad de las expresiones -torcer la voluntad del Juez mediante la coerción encubierta que implica el anuncio de la interposición de una querella-. </w:t>
      </w:r>
    </w:p>
    <w:p w:rsidR="000B622C" w:rsidRDefault="000B622C" w:rsidP="000B622C">
      <w:pPr>
        <w:pStyle w:val="TextoNormal"/>
      </w:pPr>
      <w:r>
        <w:t>En consecuencia, el Fiscal considera que la carencia de fundamentación de la demanda de amparo es manifiesta e interesa se dicte Auto inadmitiéndola.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 alega en la demanda que la sanción impuesta al Letrado don Javier Galpasoro García por Acuerdo del Juzgado de Instrucción núm. 8 de Bilbao de 10 de diciembre de 1998, y confirmado parcialmente en alzada por el Acuerdo de la Sala de Gobierno del Tribunal Superior de Justicia del País Vasco, de 5 de marzo de 1999, vulneró sus derechos a la libertad de expresión (art. 20 CE), en relación con el ejercicio de defensa y asistencia letrada previstos en el art. 24.2 CE.</w:t>
      </w:r>
    </w:p>
    <w:p w:rsidR="000B622C" w:rsidRDefault="000B622C" w:rsidP="000B622C">
      <w:pPr>
        <w:pStyle w:val="TextoNormal"/>
      </w:pPr>
      <w:r>
        <w:t>Sin embargo, examinadas las alegaciones efectuadas por el recurrente y por el Ministerio Fiscal, hemos de confirmar nuestra apreciación inicial expuesta en la providencia de 17 de octubre de 2000, acerca de la carencia de contenido de la demanda que justifique una decisión sobre su fondo, en forma de Sentencia, por parte de este Tribunal [art.50.1 c) LOTC].</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Recordábamos en la STC 113/2000 (FJ 4), citando doctrina anterior, en concreto la expuesta en la STC 157/1996, de 6 de noviembre, FJ 5,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y que la relevancia constitucional de esta peculiar libertad de expresión se relaciona, en virtud de una conexión instrumental, con el derecho fundamental de las partes en el proceso a la defensa y asistencia letrada, que vienen reconocidas en el art.  24.1 CE, de modo que bien puede decirse que el derecho de los ciudadanos a la defensa y asistencia de Letrado implica un derecho a una defensa libremente expresada. También se dijo allí que la libertad de expresión, por tanto, del Abogado en el ejercicio de su función de defensa debe ser concebida como un supuesto particularmente cualificado de esta libertad fundamental, resultando una libertad de expresión reforzada por su inmediata conexión a la efectividad de otro derecho fundamental, el derecho a la defensa ex art. 24.2 CE. Es éste, en definitiva, el espíritu que late en el art.  437.1 LOPJ, cuando dispone que, en su actuación ante los Juzgados y Tribunales, los Abogados son libres e independientes, se sujetarán al principio de buena fe, </w:t>
      </w:r>
      <w:r>
        <w:lastRenderedPageBreak/>
        <w:t>gozarán de los derechos inherentes a la dignidad de la función y serán amparados por aquéllos en su libertad de expresión y defensa.</w:t>
      </w:r>
    </w:p>
    <w:p w:rsidR="000B622C" w:rsidRDefault="000B622C" w:rsidP="000B622C">
      <w:pPr>
        <w:pStyle w:val="TextoNormal"/>
      </w:pPr>
      <w:r>
        <w:t>Dijimos también en la STC 113/2000 que lo establecido en los arts. 448 y ss.  LOPJ sobre la corrección disciplinaria de los Abogados que intervengan en los pleitos, no sólo regula la potestad disciplinaria atribuida a los Jueces o a las Salas sobre dichos profesionales, sino que también constituye un reforzamiento de la función de defensa que les está encomendada (STC 113/2000, FJ 5). Si bien, aquella especial cualidad de la libertad ejercitada se ha de valorar atendiendo a su funcionalidad para el logro de las finalidades que justifican su privilegiado régimen, sin que ampare el desconocimiento del mínimo respeto debido a las demás partes presentes en el procedimiento, y a la autoridad e imparcialidad del Poder Judicial, que el art.  10.2 CEDH erige en límite explícito a la libertad de expresión (STEDH de 22 de diciembre de 1989, caso Barford) (SSTC 205/1994, FJ 6; 113/2000, FJ 5).</w:t>
      </w:r>
    </w:p>
    <w:p w:rsidR="000B622C" w:rsidRDefault="000B622C" w:rsidP="000B622C">
      <w:pPr>
        <w:pStyle w:val="TextoNormal"/>
      </w:pPr>
    </w:p>
    <w:p w:rsidR="000B622C" w:rsidRDefault="000B622C" w:rsidP="000B622C">
      <w:pPr>
        <w:pStyle w:val="TextoNormal"/>
      </w:pPr>
      <w:r w:rsidRPr="000B622C">
        <w:rPr>
          <w:rStyle w:val="NumeroAFNegritaCaracter"/>
        </w:rPr>
        <w:t>3</w:t>
      </w:r>
      <w:r>
        <w:t>. Por último, hemos dicho, en supuestos similares, que no corresponde a este Tribunal en sede de amparo efectuar un nuevo enjuiciamiento de la conducta del Letrado recurrente, sino que nuestra función ha de limitarse a comprobar si los órganos judiciales, al usar de la facultad de corrección disciplinaria sancionando tal conducta, han desconocido el derecho a la libertad de expresión en la actividad de defensa, por deberse entender justificada dicha defensa en aras de su ejercicio (STC 205/1994, FJ 6).</w:t>
      </w:r>
    </w:p>
    <w:p w:rsidR="000B622C" w:rsidRDefault="000B622C" w:rsidP="000B622C">
      <w:pPr>
        <w:pStyle w:val="TextoNormal"/>
      </w:pPr>
      <w:r>
        <w:t>Al efecto tenemos establecido que la existencia de tales derechos fundamentales y bienes constitucionales en conflicto ha de obligar al órgano jurisdiccional, cuando la sanción impuesta sea impugnada, a realizar un juicio ponderativo de tales intereses y derechos constitucionales, con el fin de determinar si la conducta del Abogado está justificada por encontrarse comprendida dentro de la libertad de expresión necesaria para el eficaz ejercicio del derecho de defensa o si, por el contrario, con clara infracción de las obligaciones procesales de actuación en el proceso con corrección, buena fe y no provocación de dilaciones indebidas, se pretende atentar a la imparcialidad del Tribunal o alterar el orden público en la celebración del juicio oral, de suerte que, si tal ponderación falta o resulta manifiestamente carente de fundamento, se habría de entender vulnerado el derecho a la libertad de expresión, con el consiguiente menoscabo de los derechos y bienes a cuya salvaguardia se orienta la libertad de expresión del Abogado (STC 205/1994, FJ 6).</w:t>
      </w:r>
    </w:p>
    <w:p w:rsidR="000B622C" w:rsidRDefault="000B622C" w:rsidP="000B622C">
      <w:pPr>
        <w:pStyle w:val="TextoNormal"/>
      </w:pPr>
    </w:p>
    <w:p w:rsidR="000B622C" w:rsidRDefault="000B622C" w:rsidP="000B622C">
      <w:pPr>
        <w:pStyle w:val="TextoNormal"/>
      </w:pPr>
      <w:r w:rsidRPr="000B622C">
        <w:rPr>
          <w:rStyle w:val="NumeroAFNegritaCaracter"/>
        </w:rPr>
        <w:t>4</w:t>
      </w:r>
      <w:r>
        <w:t>. En el presente caso, las resoluciones aquí impugnadas, contienen una motivación suficiente, razonada y en modo alguno arbitraria, en la que se ha efectuado el necesario juicio de ponderación entre los derechos e intereses constitucionales en conflicto: de un lado, la libertad de expresión y el ejercicio de la función de defensa del Abogado y, de otro, la dignidad e imparcialidad del Juzgador, para justificar la necesidad de la adopción de la sanción. Las expresiones vertidas por el demandante en su escrito, en cuanto imputaban al juez la comisión de determinados delitos ,resultaban innecesarias a los efectos de defensa pretendidos. Se tuvo en cuenta así mismo que las expresiones fueron vertidas en un escrito "sin el calor inmediato que pude producirse en un debate oral" (ATC 261/1995). Por último hay que indicar que la sanción impuesta al demandante no puede estimarse desproporcionada, aunque la conducta pudiera haber obedecido a un exceso de celo en la defensa de su patrocinado, lo que ya se tuvo en cuenta por la Sala de Gobierno al reducir la cuantía de la multa.</w:t>
      </w:r>
    </w:p>
    <w:p w:rsidR="000B622C" w:rsidRDefault="000B622C" w:rsidP="000B622C">
      <w:pPr>
        <w:pStyle w:val="TextoNormal"/>
      </w:pPr>
    </w:p>
    <w:p w:rsidR="000B622C" w:rsidRDefault="000B622C" w:rsidP="000B622C">
      <w:pPr>
        <w:pStyle w:val="TextoNormal"/>
      </w:pPr>
      <w:r>
        <w:t>Por lo expuesto, y conforme a lo establecido en el art. 50.1 c) LOTC,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catorce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5" w:name="AUTO_2002_44"/>
      <w:r>
        <w:lastRenderedPageBreak/>
        <w:t>AUTO 44/2002, de 14 de marzo de 2002</w:t>
      </w:r>
    </w:p>
    <w:bookmarkEnd w:id="145"/>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ECLI:ES:TC:2002:44A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Inadmite a trámite el recurso de amparo 2798-2001, interpuesto por don Benigno Valdés Bermejo</w:t>
      </w:r>
    </w:p>
    <w:p w:rsidR="000B622C" w:rsidRDefault="000B622C" w:rsidP="000B622C">
      <w:pPr>
        <w:pStyle w:val="SntesisDescriptiva"/>
      </w:pPr>
    </w:p>
    <w:p w:rsidR="000B622C" w:rsidRDefault="000B622C" w:rsidP="000B622C">
      <w:pPr>
        <w:pStyle w:val="SntesisAnaltica"/>
      </w:pPr>
      <w:r>
        <w:t>Sentencia penal. Derecho a la presunción de inocencia; Prueba indiciaria: declaración incriminatoria de coimputado, respetado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el Juzgado de guardia el día 17 de mayo de 2001 y en este Tribunal el 21 de mayo siguiente, la Procuradora de los Tribunales doña Marta de la Paz Martínez Vega, en nombre y representación de don Benigno Andrés Valdés Bermejo, interpuso demanda de amparo contra la Sentencia de la Audiencia Provincial de Asturias, Sección Séptima, de 20 de marzo de 2001, que confirma en apelación la del Juzgado de lo Penal núm. 1 de los de Gijón, de fecha 15 de diciembre de 2000.</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El recurso tiene su origen en los antecedentes de hecho que se exponen sintéticamente: </w:t>
      </w:r>
    </w:p>
    <w:p w:rsidR="000B622C" w:rsidRDefault="000B622C" w:rsidP="000B622C">
      <w:pPr>
        <w:pStyle w:val="TextoNormal"/>
      </w:pPr>
      <w:r>
        <w:t xml:space="preserve">a) El recurrente fue condenado en primera instancia por Sentencia del Juzgado de lo Penal núm. 1 de los de Gijón, de 15 de diciembre de 2000, como autor de un delito de robo con fuerza en las cosas sin circunstancias, a la pena de un año de prisión, accesoria legal y al pago de la mitad de las costas. b) c) El Juez de instancia considera probado que el recurrente y el otro condenado, actuando de mutuo acuerdo, tras forzar la cerradura de un vehículo, se apoderaron de un maletín que había en su interior, que contenía diversos objetos, entre otros unas tarjetas de crédito, recuperados en el momento de la detención en poder del otro condenado. d) e) La prueba de cargo utilizada en la sentencia de instancia para enervar la presunción de inocencia es la testifical de los agentes de la policía que intervienen en la detención (quienes relatan que reciben una llamada anónima en que se les comunicaba que un individuo provisto de unas tarjetas bancarias intentaba manipular un cajero automático y otro, provisto de un maletín, trataba de abrir un vehículo, e igualmente que el maletín lo habían dejado en una ventana de un comercio próximo), el hallazgo de todas las tarjetas sustraídas en poder del otro acusado poco tiempo después de la sustracción y las declaraciones de los propios acusados, que ofrecen una explicación insatisfactoria de la manera en que las tarjetas habían llegado a su poder (que las habían hallado en un contenedor). f) g) Recurrida dicha Sentencia en apelación, la Sección Séptima de la Audiencia Provincial de Asturias, con fecha 20 de marzo de 2001, desestima el recurso. En </w:t>
      </w:r>
      <w:r>
        <w:lastRenderedPageBreak/>
        <w:t xml:space="preserve">esta última Sentencia, pese a afirmarse la carencia de eficacia probatoria de la descripción del contenido que de la llamada telefónica anónima se hizo por los Policías comparecientes en el acto del juicio oral, se afirma la existencia de "otros indicios suficientes y acreditados sobre los que sustentar, de acuerdo con la lógica, la conclusión incriminatoria a que llega la resolución recurrida". El más importante de los cuales es el hallazgo de los objetos sustraídos en poder de los condenados, al que se añade el escaso margen de tiempo transcurrido entre la detención en el lugar de los hechos y el momento en que el perjudicado dejó estacionado su vehículo, y la inverosimilitud de las declaraciones de los encausados sobre cómo llegaron a su poder las tarjetas, o incluso la falta de toda explicación al respecto. Y, a partir de tales indicios, se afirma la racionalidad de la inferencia realizada por el Juzgador "a quo". h) 3. El recurrente fundamenta su demanda de amparo en la lesión del derecho fundamental a la presunción de inocencia (art. 24.2 CE). Alega que no existió prueba de cargo alguna contra él, ni siquiera indiciaria, suficiente para desvirtuar tal presunción, pues él no tenía en su poder material robado alguno, sino que todos los objetos fueron hallados en poder del otro condenado, por lo que ni siquiera el hecho indiciario fundamental consta plenamente acreditado. Y, al margen del citado hecho, todos los demás son meras conjeturas del Juzgador, sin valor probatorio alguno. </w:t>
      </w:r>
    </w:p>
    <w:p w:rsidR="000B622C" w:rsidRDefault="000B622C" w:rsidP="000B622C">
      <w:pPr>
        <w:pStyle w:val="TextoNormal"/>
      </w:pPr>
      <w:r>
        <w:t xml:space="preserve">Por ello, solicita que se declare la nulidad de las sentencias impugnadas, se restablezca al demandante en su derecho y se retrotraigan las actuaciones al momento inmediatamente anterior a dictar Sentencia. Igualmente se solicita la suspensión de la ejecución de la Sentencia y el nombramiento de Procurador de los del turno de oficio. </w:t>
      </w:r>
    </w:p>
    <w:p w:rsidR="000B622C" w:rsidRDefault="000B622C" w:rsidP="000B622C">
      <w:pPr>
        <w:pStyle w:val="TextoNormal"/>
      </w:pPr>
      <w:r>
        <w:t xml:space="preserve">4. Por Providencia de 21de enero de 2002, la Sección Primera de este Tribunal acordó conceder al demandante de amparo y al Ministerio Fiscal, en virtud del art. 50.3 LOTC, un plazo de diez días para presentar alegaciones, en relación con la causa de inadmisión prevista en el art. 50.1 c) LOTC, esto es, la carencia manifiesta de contenido de la demanda, que justifique una decisión sobre el fondo de la misma. </w:t>
      </w:r>
    </w:p>
    <w:p w:rsidR="000B622C" w:rsidRDefault="000B622C" w:rsidP="000B622C">
      <w:pPr>
        <w:pStyle w:val="TextoNormal"/>
      </w:pPr>
      <w:r>
        <w:t xml:space="preserve">5. Mediante escrito presentado en el Juzgado de guardia el día 4 de enero de 2002 y que tuvo su entrada en este Tribunal el 6 de febrero siguiente, la representación procesal del recurrente formuló alegaciones, reiterando resumidamente los motivos y argumentos ya deducidos en el escrito de interposición del recurso y solicitando finalmente que se admitiese a trámite la demanda y se resolviese sobre el fondo de la misma. </w:t>
      </w:r>
    </w:p>
    <w:p w:rsidR="000B622C" w:rsidRDefault="000B622C" w:rsidP="000B622C">
      <w:pPr>
        <w:pStyle w:val="TextoNormal"/>
      </w:pPr>
      <w:r>
        <w:t>6. El 6 de febrero de 2002 tuvieron entrada en el registro de este Tribunal las alegaciones del Ministerio Fiscal, en las que solicita la inadmisión del recurso, por carecer manifiestamente de contenido constitucional. Sostiene el Fiscal que, aunque el recurrente limita su pretensión a la inexistencia de prueba de cargo, por no habérsele intervenido a él ninguno de los objetos sustraídos, olvida que su condena se fundamenta en haber actuado de mutuo acuerdo con el otro condenado, en cuyo poder sí se intervinieron parte de los objetos sustraídos, por lo que el juicio de constitucionalidad ha de versar, no sobre la inexistencia de prueba de cargo, sino sobre la idoneidad de la prueba indiciaria practicada para fundamentar la condena. Y, en este punto, sostiene el Fiscal que están plenamente acreditados por prueba directa los hechos constitutivos de indicios (la detención del recurrente y su acompañante en el lugar de los hechos poco tiempo después de la sustracción, la intervención en poder de uno de ellos de parte de los efectos sustraídos, y el hallazgo del maletín robado en el lugar en que fue visto por el comunicante anónimo), que existe un nexo lógico y suficiente entre los indicios y la participación del demandante de amparo en la sustracción, y que las Sentencias recurridas expresan ampliamente el razonamiento seguido para llegar a la inferencia que fundamenta la condena.</w:t>
      </w:r>
    </w:p>
    <w:p w:rsidR="000B622C" w:rsidRDefault="000B622C" w:rsidP="000B622C">
      <w:pPr>
        <w:pStyle w:val="TextoNormal"/>
      </w:pPr>
    </w:p>
    <w:p w:rsidR="000B622C" w:rsidRDefault="000B622C" w:rsidP="000B622C">
      <w:pPr>
        <w:pStyle w:val="TextoNormalNegritaCentrado"/>
        <w:keepNext/>
      </w:pPr>
      <w:r>
        <w:lastRenderedPageBreak/>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La cuestión planteada por el presente recurso es, esencialmente, la suficiencia o idoneidad de la prueba indiciaria practicada para fundamentar la condena del recurrente, algo que según éste no se produce y que habría determinado la vulneración de su derecho a la presunción de inocencia.</w:t>
      </w:r>
    </w:p>
    <w:p w:rsidR="000B622C" w:rsidRDefault="000B622C" w:rsidP="000B622C">
      <w:pPr>
        <w:pStyle w:val="TextoNormal"/>
      </w:pPr>
    </w:p>
    <w:p w:rsidR="000B622C" w:rsidRDefault="000B622C" w:rsidP="000B622C">
      <w:pPr>
        <w:pStyle w:val="TextoNormal"/>
      </w:pPr>
      <w:r w:rsidRPr="000B622C">
        <w:rPr>
          <w:rStyle w:val="NumeroAFNegritaCaracter"/>
        </w:rPr>
        <w:t>2</w:t>
      </w:r>
      <w:r>
        <w:t>. Según reiteradísima doctrina de este Tribunal, desde STC 31/1981, de 28 de julio, el derecho a la presunción de inocencia exige que el fallo condenatorio se fundamente en prueba de cargo válida. Esta prueba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 y 175/1985, ambas de 17 de diciembre; 24/1997, de 11 de febrero; 189/1998, de 28 de septiembre; 220/1998, de 16 de noviembre; 44/2000, de 14 de febrero; 124/2001, de 4 de junio).  Constituye también constante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w:t>
      </w:r>
    </w:p>
    <w:p w:rsidR="000B622C" w:rsidRDefault="000B622C" w:rsidP="000B622C">
      <w:pPr>
        <w:pStyle w:val="TextoNormal"/>
      </w:pPr>
      <w:r>
        <w:t>En relación con la prueba indiciaria, dicho control de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este último caso, este Tribunal afirma que ha de ser especialmente cauteloso,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220/1998, de 16 de noviembre; 120/1999, de 28 de junio; 44/2000, de 14 de febrero).</w:t>
      </w:r>
    </w:p>
    <w:p w:rsidR="000B622C" w:rsidRDefault="000B622C" w:rsidP="000B622C">
      <w:pPr>
        <w:pStyle w:val="TextoNormal"/>
      </w:pPr>
    </w:p>
    <w:p w:rsidR="000B622C" w:rsidRDefault="000B622C" w:rsidP="000B622C">
      <w:pPr>
        <w:pStyle w:val="TextoNormal"/>
      </w:pPr>
      <w:r w:rsidRPr="000B622C">
        <w:rPr>
          <w:rStyle w:val="NumeroAFNegritaCaracter"/>
        </w:rPr>
        <w:t>3</w:t>
      </w:r>
      <w:r>
        <w:t>. Aplicando estas líneas jurisprudenciales al caso que nos ocupa, cabe afirmar -como sostiene el Ministerio Fiscal-, en primer lugar, que sí existen indicios que tanto la Sentencia de instancia como la de apelación exponen detalladamente (fundamentalmente, que el recurrente fue detenido con su acompañante en el lugar de los hechos poco después de la sustracción; que se hallaron en poder de uno de ellos las tarjetas de crédito sustraídas y que otro de los efectos sustraídos -el maletín- se halló en el lugar en que fue visto por el comunicante anónimo); en segundo lugar, que los mismos pueden considerarse plenamente probados y, por último, que a partir de ellos las Sentencias realizan una serie de inferen</w:t>
      </w:r>
      <w:r>
        <w:lastRenderedPageBreak/>
        <w:t>cias razonables, desde el punto de vista de su lógica o coherencia, que le llevan a afirmar la participación del recurrente en el robo que se le imputa, y que dicha inferencia no resulta indeterminada, ni excesivamente abierta, sino que puede considerarse concluyente, especialmente si se tienen en cuenta los datos de la proximidad espacial y temporal a la sustracción y que ni el recurrente ni la otra persona ofrecen una explicación satisfactoria acerca de por qué se hallaban en su poder los objetos sustraídos. A la vista de lo cual, no puede entenderse vulnerado el derecho a la presunción de inocencia.</w:t>
      </w:r>
    </w:p>
    <w:p w:rsidR="000B622C" w:rsidRDefault="000B622C" w:rsidP="000B622C">
      <w:pPr>
        <w:pStyle w:val="TextoNormal"/>
      </w:pPr>
    </w:p>
    <w:p w:rsidR="000B622C" w:rsidRDefault="000B622C" w:rsidP="000B622C">
      <w:pPr>
        <w:pStyle w:val="TextoNormal"/>
      </w:pPr>
      <w:r>
        <w:t>En virtud de todo lo expuesto, y conforme a lo establecido en el art.  50.1 c) LOTC,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Inadmitir el presente recurso de amparo.</w:t>
      </w:r>
    </w:p>
    <w:p w:rsidR="000B622C" w:rsidRDefault="000B622C" w:rsidP="000B622C">
      <w:pPr>
        <w:pStyle w:val="TextoNormal"/>
      </w:pPr>
    </w:p>
    <w:p w:rsidR="000B622C" w:rsidRDefault="000B622C" w:rsidP="000B622C">
      <w:pPr>
        <w:pStyle w:val="TextoNormal"/>
      </w:pPr>
      <w:r>
        <w:t>Madrid, a catorce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6" w:name="AUTO_2002_45"/>
      <w:r>
        <w:lastRenderedPageBreak/>
        <w:t>AUTO 45/2002, de 20 de marzo de 2002</w:t>
      </w:r>
    </w:p>
    <w:bookmarkEnd w:id="146"/>
    <w:p w:rsidR="000B622C" w:rsidRDefault="000B622C" w:rsidP="000B622C">
      <w:pPr>
        <w:pStyle w:val="TtuloResolucin"/>
      </w:pPr>
      <w:r>
        <w:t>Sección Segunda</w:t>
      </w:r>
    </w:p>
    <w:p w:rsidR="000B622C" w:rsidRDefault="000B622C" w:rsidP="000B622C">
      <w:pPr>
        <w:pStyle w:val="TtuloResolucin"/>
      </w:pPr>
    </w:p>
    <w:p w:rsidR="000B622C" w:rsidRDefault="000B622C" w:rsidP="000B622C">
      <w:pPr>
        <w:pStyle w:val="SntesisDescriptiva"/>
      </w:pPr>
      <w:r>
        <w:t>ECLI:ES:TC:2002:45A</w:t>
      </w:r>
    </w:p>
    <w:p w:rsidR="000B622C" w:rsidRDefault="000B622C" w:rsidP="000B622C">
      <w:pPr>
        <w:pStyle w:val="SntesisDescriptiva"/>
      </w:pPr>
    </w:p>
    <w:p w:rsidR="000B622C" w:rsidRDefault="000B622C" w:rsidP="000B622C">
      <w:pPr>
        <w:pStyle w:val="SntesisDescriptiva"/>
      </w:pPr>
      <w:r>
        <w:t>Excms. Srs. don Pablo García Manzano, don Fernando Garrido Falla y doña María Emilia Casas Baamonde.</w:t>
      </w:r>
    </w:p>
    <w:p w:rsidR="000B622C" w:rsidRDefault="000B622C" w:rsidP="000B622C">
      <w:pPr>
        <w:pStyle w:val="SntesisDescriptiva"/>
      </w:pPr>
    </w:p>
    <w:p w:rsidR="000B622C" w:rsidRDefault="000B622C" w:rsidP="000B622C">
      <w:pPr>
        <w:pStyle w:val="SntesisDescriptiva"/>
      </w:pPr>
      <w:r>
        <w:t>Acuerda el desistimiento en el recurso de amparo 4631-2001, promovido en causa penal.</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47" w:name="AUTO_2002_46"/>
      <w:r>
        <w:lastRenderedPageBreak/>
        <w:t>AUTO 46/2002, de 21 de marzo de 2002</w:t>
      </w:r>
    </w:p>
    <w:bookmarkEnd w:id="147"/>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ECLI:ES:TC:2002:46A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Deniega la suspensión en el recurso de amparo 4965/99, interpuesto por doña Ligia-Magaly Aracena Cordero</w:t>
      </w:r>
    </w:p>
    <w:p w:rsidR="000B622C" w:rsidRDefault="000B622C" w:rsidP="000B622C">
      <w:pPr>
        <w:pStyle w:val="SntesisDescriptiva"/>
      </w:pPr>
    </w:p>
    <w:p w:rsidR="000B622C" w:rsidRDefault="000B622C" w:rsidP="000B622C">
      <w:pPr>
        <w:pStyle w:val="SntesisAnaltica"/>
      </w:pPr>
      <w:r>
        <w:t>Suspensión cautelar de resolución administrativa: homologación de título universitario, no suspende. Procesos constitucionales: señalamiento preferente de recurso de amparo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Juzgado de guardia el 23 de noviembre de 1999 y registrado en este Tribunal el siguiente día 25, don Fernando-Julio Herrera González, Procurador de los Tribunales y de doña Ligia-Magaly Aracena Cordero, quien actúa con la asistencia del Letrado don Eduardo Raúl Viera del Manso, interpuso recurso de amparo contra las resoluciones judiciales de las que se hace mérito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Sucintamente expuestos, los hechos en que se basa la pretensión de amparo son los siguientes: </w:t>
      </w:r>
    </w:p>
    <w:p w:rsidR="000B622C" w:rsidRDefault="000B622C" w:rsidP="000B622C">
      <w:pPr>
        <w:pStyle w:val="TextoNormal"/>
      </w:pPr>
      <w:r>
        <w:t xml:space="preserve">a) El 11 de octubre de 1989 la ahora recurrente solicitó del Ministerio de Educación y Ciencia la homologación de su título de Doctora en Odontología, expedido por la Universidad Autónoma de Santo Domingo. Esta solicitud fue respondida favorablemente por Orden Ministerial de 1 de febrero de 1990. </w:t>
      </w:r>
    </w:p>
    <w:p w:rsidR="000B622C" w:rsidRDefault="000B622C" w:rsidP="000B622C">
      <w:pPr>
        <w:pStyle w:val="TextoNormal"/>
      </w:pPr>
      <w:r>
        <w:t xml:space="preserve">b) La citada resolución administrativa fue impugnada por el Consejo General de los Colegios Oficiales de Odontólogos y Estomatólogos de España ante la Sala de lo Contencioso- Administrativo de la Audiencia Nacional. La Sección Quinta de esta Sala estimó parcialmente el recurso por Sentencia de 9 de febrero de 1995, cuya parte dispositiva condicionaba la homologación del título "a la superación de una prueba de conjunto sobre los conocimientos básicos que proporciona la forc) Contra esta Sentencia el Abogado del Estado preparó recurso de casación, luego declarado desierto por Auto de la Sala de lo Contencioso-Administrativo (Sección Tercera) del Tribunal Supremo de 8 de junio de 1995. Mediante diligencia de ordenación de 26 de julio de 1995 se declaró firme la Sentencia antes citada. </w:t>
      </w:r>
    </w:p>
    <w:p w:rsidR="000B622C" w:rsidRDefault="000B622C" w:rsidP="000B622C">
      <w:pPr>
        <w:pStyle w:val="TextoNormal"/>
      </w:pPr>
      <w:r>
        <w:t xml:space="preserve">d) El 29 de abril de 1997 la ahora solicitante de amparo se personó en el recurso, interesando se le diera traslado de las actuaciones. El posterior 24 de mayo solicitó la revisión de la diligencia de 26 de julio de 1995, la notificación de la sentencia de 9 de febrero </w:t>
      </w:r>
      <w:r>
        <w:lastRenderedPageBreak/>
        <w:t xml:space="preserve">de 1995, la reclamación del expediente administrativo y que se tuviera por preparado recurso de casación. </w:t>
      </w:r>
    </w:p>
    <w:p w:rsidR="000B622C" w:rsidRDefault="000B622C" w:rsidP="000B622C">
      <w:pPr>
        <w:pStyle w:val="TextoNormal"/>
      </w:pPr>
      <w:r>
        <w:t>e) Todas estas peticiones fueron rechazadas por Auto de 2 de junio de 1997, confirmado en grado de queja por Auto de la Sala de lo Contencioso- Administrativo (Sección Primera) del Tribunal Supremo de 18 de octubre de 1999.</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el escrito rector de este proceso se solicita la suspensión de todos los actos procesales posteriores a la contestación a la demanda por el Abogado del Estado en el proceso contencioso-administrativo del que este recurso de amparo trae causa, así como que se reconozca el derecho constitucional de la recurrente a la tutela judicial efectiva y a no sufrir indefensión, mediante el ejercicio pleno de su derecho de defensa en el referido proceso contencioso- administrativo. </w:t>
      </w:r>
    </w:p>
    <w:p w:rsidR="000B622C" w:rsidRDefault="000B622C" w:rsidP="000B622C">
      <w:pPr>
        <w:pStyle w:val="TextoNormal"/>
      </w:pPr>
      <w:r>
        <w:t>Por otrosí, y de acuerdo con lo dispuesto en el art. 56 LOTC, la recurrente solicitaba igualmente la suspensión de la ejecución de la Sentencia, puesto que se le impide el pacífico ejercicio profesional de la odontología que viene realizando desde 1991, privándole con ello de su medio de vida, siendo así que del otorgamiento de la suspensión no ha de seguirse perturbación grave de los intereses generales o de los derechos o libertades públicas de terceros.</w:t>
      </w:r>
    </w:p>
    <w:p w:rsidR="000B622C" w:rsidRDefault="000B622C" w:rsidP="000B622C">
      <w:pPr>
        <w:pStyle w:val="TextoNormal"/>
      </w:pPr>
    </w:p>
    <w:p w:rsidR="000B622C" w:rsidRDefault="000B622C" w:rsidP="000B622C">
      <w:pPr>
        <w:pStyle w:val="TextoNormal"/>
      </w:pPr>
      <w:r w:rsidRPr="000B622C">
        <w:rPr>
          <w:rStyle w:val="NumeroAFNegritaCaracter"/>
        </w:rPr>
        <w:t>4</w:t>
      </w:r>
      <w:r>
        <w:t>. Por diligencia de ordenación y conforme determina el art. 50.5 LOTC, se confirió a la recurrente un plazo de diez días para que aportase copia del escrito de contestación a la demanda presentado por su representación procesal en el recurso núm. 942/91, seguido ante la Sección Quinta de la Sala de lo Contencioso-Administrativo de la Audiencia Nacional.</w:t>
      </w:r>
    </w:p>
    <w:p w:rsidR="000B622C" w:rsidRDefault="000B622C" w:rsidP="000B622C">
      <w:pPr>
        <w:pStyle w:val="TextoNormal"/>
      </w:pPr>
    </w:p>
    <w:p w:rsidR="000B622C" w:rsidRDefault="000B622C" w:rsidP="000B622C">
      <w:pPr>
        <w:pStyle w:val="TextoNormal"/>
      </w:pPr>
      <w:r w:rsidRPr="000B622C">
        <w:rPr>
          <w:rStyle w:val="NumeroAFNegritaCaracter"/>
        </w:rPr>
        <w:t>5</w:t>
      </w:r>
      <w:r>
        <w:t>. Mediante escrito registrado el 14 de junio de 2000 la demandante puso en conocimiento de este Tribunal que, al no haber tenido conocimiento de la existencia del proceso contencioso-administrativo de referencia, no le había sido posible formular escrito de contestación a la demanda ni, por consiguiente, aportar copia del mismo en este proceso constitucional. Además, hacía hincapié en la identidad del presente caso con el resuelto por STC 126/1999, de 28 de junio.</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Por diligencia de ordenación de 20 de junio de 2000 se acordó, antes de entrar a resolver sobre la admisibilidad del recurso, dirigir atenta comunicación a la Sala de lo Contencioso-Administrativo (Sección Quinta) de la Audiencia Nacional para que, a la mayor brevedad posible, remitiera certificación o copia adverada de las actuaciones correspondientes al recurso núm. 942/91. </w:t>
      </w:r>
    </w:p>
    <w:p w:rsidR="000B622C" w:rsidRDefault="000B622C" w:rsidP="000B622C">
      <w:pPr>
        <w:pStyle w:val="TextoNormal"/>
      </w:pPr>
      <w:r>
        <w:t>Por nueva diligencia de ordenación de 13 de octubre de 2000 se acordó, con carácter previo a la decisión sobre la admisión, dirigir atenta comunicación a la Subdirección General del Ministerio de Educación y Ciencia para que, a la mayor brevedad posible, remitiera certificación o copia adverada del expediente administrativo tramitado a solicitud de la recurrente sobre homologación del título de odontólogo, que finalizó por resolución de 1 de febrero de 1990.</w:t>
      </w:r>
    </w:p>
    <w:p w:rsidR="000B622C" w:rsidRDefault="000B622C" w:rsidP="000B622C">
      <w:pPr>
        <w:pStyle w:val="TextoNormal"/>
      </w:pPr>
    </w:p>
    <w:p w:rsidR="000B622C" w:rsidRDefault="000B622C" w:rsidP="000B622C">
      <w:pPr>
        <w:pStyle w:val="TextoNormal"/>
      </w:pPr>
      <w:r w:rsidRPr="000B622C">
        <w:rPr>
          <w:rStyle w:val="NumeroAFNegritaCaracter"/>
        </w:rPr>
        <w:t>7</w:t>
      </w:r>
      <w:r>
        <w:t xml:space="preserve">. Por providencia de 26 de febrero de 2001 la Sección Tercera de este Tribunal acordó, de conformidad con lo dispuesto en el art. 50.3 LOTC, conceder al demandante de amparo y al Ministerio Fiscal, con vista de las actuaciones recibidas, un plazo de diez días </w:t>
      </w:r>
      <w:r>
        <w:lastRenderedPageBreak/>
        <w:t>para que formulasen, con las aportaciones documentales procedentes, las alegaciones que estimasen pertinentes en relación con la posible inadmisión de la demanda por carecer manifiestamente de contenido constitucional [art. 50.1 c) LOTC].</w:t>
      </w:r>
    </w:p>
    <w:p w:rsidR="000B622C" w:rsidRDefault="000B622C" w:rsidP="000B622C">
      <w:pPr>
        <w:pStyle w:val="TextoNormal"/>
      </w:pPr>
    </w:p>
    <w:p w:rsidR="000B622C" w:rsidRDefault="000B622C" w:rsidP="000B622C">
      <w:pPr>
        <w:pStyle w:val="TextoNormal"/>
      </w:pPr>
      <w:r w:rsidRPr="000B622C">
        <w:rPr>
          <w:rStyle w:val="NumeroAFNegritaCaracter"/>
        </w:rPr>
        <w:t>8</w:t>
      </w:r>
      <w:r>
        <w:t>. Tanto la recurrente, que evacuó el trámite conferido mediante escrito presentado el 20 de marzo de 2001, como el Ministerio Fiscal, quien formuló sus alegaciones el siguiente día 23, interesaron la admisión del recurso de amparo.</w:t>
      </w:r>
    </w:p>
    <w:p w:rsidR="000B622C" w:rsidRDefault="000B622C" w:rsidP="000B622C">
      <w:pPr>
        <w:pStyle w:val="TextoNormal"/>
      </w:pPr>
    </w:p>
    <w:p w:rsidR="000B622C" w:rsidRDefault="000B622C" w:rsidP="000B622C">
      <w:pPr>
        <w:pStyle w:val="TextoNormal"/>
      </w:pPr>
      <w:r w:rsidRPr="000B622C">
        <w:rPr>
          <w:rStyle w:val="NumeroAFNegritaCaracter"/>
        </w:rPr>
        <w:t>9</w:t>
      </w:r>
      <w:r>
        <w:t xml:space="preserve">. Por providencia de 10 de mayo de 2001 la Sala, de conformidad con lo dispuesto en el art. 11.2 LOTC, admitió a trámite de la demanda de amparo, y acordó dirigir atentas comunicaciones a la Sección Primera de la Sala de lo Contencioso- Administrativo del Tribunal Supremo para que, en el plazo de diez días, remitiera certificación o fotocopia adverada de las actuaciones correspondientes al recurso de queja núm. 6173/97 y a la Sección Quinta de la Sala de lo Contencioso-Administrativo de la Audiencia Nacional para que se emplazase a quienes hubieran sido parte en el proceso, excepto la recurrente en amparo, para que en el plazo de diez días pudieran comparecer, si lo deseaban, en el presente recurso de amparo. </w:t>
      </w:r>
    </w:p>
    <w:p w:rsidR="000B622C" w:rsidRDefault="000B622C" w:rsidP="000B622C">
      <w:pPr>
        <w:pStyle w:val="TextoNormal"/>
      </w:pPr>
      <w:r>
        <w:t>Por nuevo proveído de la misma fecha la Sala acordó la formación de la presente pieza separada para la tramitación del incidente sobre suspensión y, conforme determina el art. 56 LOTC, concedió un plazo común de tres días a la parte recurrente, al Abogado del Estado y al Ministerio Fiscal para que alegaran lo que estimaran pertinente sobre dicha suspensión.</w:t>
      </w:r>
    </w:p>
    <w:p w:rsidR="000B622C" w:rsidRDefault="000B622C" w:rsidP="000B622C">
      <w:pPr>
        <w:pStyle w:val="TextoNormal"/>
      </w:pPr>
    </w:p>
    <w:p w:rsidR="000B622C" w:rsidRDefault="000B622C" w:rsidP="000B622C">
      <w:pPr>
        <w:pStyle w:val="TextoNormal"/>
      </w:pPr>
      <w:r w:rsidRPr="000B622C">
        <w:rPr>
          <w:rStyle w:val="NumeroAFNegritaCaracter"/>
        </w:rPr>
        <w:t>10</w:t>
      </w:r>
      <w:r>
        <w:t>. El 21 de mayo de 2001 se presentó en este Tribunal el escrito de alegaciones del Abogado del Estado, quien tras destacar que la recurrente no ha acreditado -ni siquiera alegado- la existencia de perjuicios que hicieran perder al amparo su finalidad, recuerda que esta Sala, en fecha 4 de diciembre de 1997, y en un caso similar al ahora examinado, ha denegado la suspensión por razón del interés público que existe en la debida ejecución de las resoluciones judiciales. Por ello interesa la denegación de la suspensión solicitada.</w:t>
      </w:r>
    </w:p>
    <w:p w:rsidR="000B622C" w:rsidRDefault="000B622C" w:rsidP="000B622C">
      <w:pPr>
        <w:pStyle w:val="TextoNormal"/>
      </w:pPr>
    </w:p>
    <w:p w:rsidR="000B622C" w:rsidRDefault="000B622C" w:rsidP="000B622C">
      <w:pPr>
        <w:pStyle w:val="TextoNormal"/>
      </w:pPr>
      <w:r w:rsidRPr="000B622C">
        <w:rPr>
          <w:rStyle w:val="NumeroAFNegritaCaracter"/>
        </w:rPr>
        <w:t>11</w:t>
      </w:r>
      <w:r>
        <w:t xml:space="preserve">. El escrito de alegaciones de la recurrente se registró el 22 de mayo de 2001. En él insiste la demandante en que la ejecución de la Sentencia de la Sala de lo Contencioso- Administrativo (Sección Quinta) de la Audiencia Nacional de 9 de febrero de 1995 le causa un perjuicio real y efectivo al impedirle continuar en el ejercicio profesional de la odontología, actividad a la que viene dedicándose desde 1991. También subraya que la anulación de la homologación le priva de su medio de vida, con el perjuicio que ello ocasiona no sólo para la solicitante de amparo sino también para sus pacientes. En este mismo orden de consideraciones reitera que de la suspensión no habrían de seguirse perturbación grave de los intereses generales, o de los derechos o libertades de terceros, como lo demuestra el hecho de que no haya tenido durante casi diez años de ejercicio profesional ninguna queja o reclamación ante el Colegio Oficial de Odontólogos y Estomatólogos de España. </w:t>
      </w:r>
    </w:p>
    <w:p w:rsidR="000B622C" w:rsidRDefault="000B622C" w:rsidP="000B622C">
      <w:pPr>
        <w:pStyle w:val="TextoNormal"/>
      </w:pPr>
      <w:r>
        <w:t>Por otro lado reitera la identidad de este caso con el resuelto por STC 126/1999, de 28 de junio. El otorgamiento del amparo en aquella ocasión invita a pensar que el recurso actual habrá de correr idéntica suerte, lo que refuerza aún más su petición de suspensión.</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12</w:t>
      </w:r>
      <w:r>
        <w:t>. El Ministerio Fiscal presentó su escrito de alegaciones el 24 de mayo de 2001. Tras recordar el marco general de la suspensión prevista en el art. 56 LOTC, expone las razones por las que no procede acceder a la suspensión. Así, en primer lugar, destaca que las resoluciones judiciales concernidas revisten un contenido eminentemente negativo, "al impedir a la recurrente acceder a un proceso concluso mediante sentencia firme, de este modo una eventual suspensión determinaría una acción del órgano judicial y, por otra parte, al coincidir con el petitum de la demanda de amparo supondría no tanto una medida cautelar cuanto la anticipación de un fallo eventualmente estimatorio". De otro lado pone de manifiesto que, como señaló el ATC 119/1994, de 11 de abril para un supuesto similar, debe regir la regla de la no suspensión, máxime cuando, como aquí ha sucedido, no se ha acreditado la irreparabilidad de los perjuicios que dicha ejecución pudiera irrogar a la recurrente.</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Ahora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0B622C" w:rsidRDefault="000B622C" w:rsidP="000B622C">
      <w:pPr>
        <w:pStyle w:val="TextoNormal"/>
      </w:pPr>
      <w:r>
        <w:t>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64/2001, de 26 de marzo, y 103/2001, de 3 de mayo).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310/2001, de 18 de diciembre).</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En el presente caso se solicita principalmente la suspensión de la Sentencia de la Sala de lo Contencioso-Administrativo (Sección Quinta) de la Audiencia Nacional, de 9 de febrero de 1995, parcialmente estimatoria del recurso interpuesto por el Consejo General de los Colegios Oficiales de Odontólogos y Estomatólogos de España contra la homologación del titulo universitario poseído por la solicitante de amparo. La recurrente fundamenta su petición de suspensión en el daño que la ejecución de la citada Sentencia le causaría al impedirle ejercer profesionalmente la odontología, que es su medio de vida desde 1991, </w:t>
      </w:r>
      <w:r>
        <w:lastRenderedPageBreak/>
        <w:t>aludiendo también a los perjuicios que ello ocasionaría a sus pacientes. A fines de prueba se aporta copia simple del Documento de Identidad de la recurrente que acreditaría su pertenencia al Colegio Oficial de Odontólogos y Estomatólogos de Cataluña.</w:t>
      </w:r>
    </w:p>
    <w:p w:rsidR="000B622C" w:rsidRDefault="000B622C" w:rsidP="000B622C">
      <w:pPr>
        <w:pStyle w:val="TextoNormal"/>
      </w:pPr>
    </w:p>
    <w:p w:rsidR="000B622C" w:rsidRDefault="000B622C" w:rsidP="000B622C">
      <w:pPr>
        <w:pStyle w:val="TextoNormal"/>
      </w:pPr>
      <w:r w:rsidRPr="000B622C">
        <w:rPr>
          <w:rStyle w:val="NumeroAFNegritaCaracter"/>
        </w:rPr>
        <w:t>3</w:t>
      </w:r>
      <w:r>
        <w:t>. La presente solicitud de suspensión presenta notables similitudes con la resuelta por el ATC 66/1999, 22 de marzo, cuya doctrina resulta pertinente seguir ahora. Como en aquella ocasión se dijo, "con independencia de que la prueba aportada no es concluyente sobre los extremos a que alude la demandante de amparo, lo fundamental y decisivo, a los efectos de resolver acerca de la suspensión solicitada, es confrontar los intereses en conflicto. En el presente caso, la suspensión afecta al desempeño de una actividad profesionalmente reglada para garantizar un interés general, como es el de la salud pública. Pues bien, la ponderación entre el interés particular y el interés público o general, concretado en la ejecución de una resolución judicial (Sentencia de la Sala de lo Contencioso-Administrativo de la Audiencia Nacional) atinente a la homologación del título de Licenciado en Odontología, pone de manifiesto, como dice el Ministerio Fiscal, una superior entidad y prevalencia de dicho interés general".</w:t>
      </w:r>
    </w:p>
    <w:p w:rsidR="000B622C" w:rsidRDefault="000B622C" w:rsidP="000B622C">
      <w:pPr>
        <w:pStyle w:val="TextoNormal"/>
      </w:pPr>
      <w:r>
        <w:t>Procede, en consecuencia, denegar la suspensión solicitada, si bien, en atención a los intereses en juego, deberá resolverse el presente recurso de amparo en el plazo más breve posible, anteponiéndolo incluso en el orden de señalamientos, una vez concluida su tramitación (AATC 144/1990, de 29 de marzo; 169/1995, de 5 de junio; 246/1996, de 16 de septiembre; 272/2001, de 29 de octubre, por todos).</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solicitada.</w:t>
      </w:r>
    </w:p>
    <w:p w:rsidR="000B622C" w:rsidRDefault="000B622C" w:rsidP="000B622C">
      <w:pPr>
        <w:pStyle w:val="TextoNormal"/>
      </w:pPr>
    </w:p>
    <w:p w:rsidR="000B622C" w:rsidRDefault="000B622C" w:rsidP="000B622C">
      <w:pPr>
        <w:pStyle w:val="TextoNormal"/>
      </w:pPr>
      <w:r>
        <w:t>Madrid, a veintiuno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8" w:name="AUTO_2002_47"/>
      <w:r>
        <w:lastRenderedPageBreak/>
        <w:t>AUTO 47/2002, de 21 de marzo de 2002</w:t>
      </w:r>
    </w:p>
    <w:bookmarkEnd w:id="148"/>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ECLI:ES:TC:2002:47A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Levanta parcialmente la suspensión de la Ley Foral 17/2001, de 12 de julio, reguladora del comercio en Navarra, en el recurso de inconstitucionalidad 5343-2001,  promovido por el Presidente del Gobierno</w:t>
      </w:r>
    </w:p>
    <w:p w:rsidR="000B622C" w:rsidRDefault="000B622C" w:rsidP="000B622C">
      <w:pPr>
        <w:pStyle w:val="SntesisDescriptiva"/>
      </w:pPr>
    </w:p>
    <w:p w:rsidR="000B622C" w:rsidRDefault="000B622C" w:rsidP="000B622C">
      <w:pPr>
        <w:pStyle w:val="SntesisAnaltica"/>
      </w:pPr>
      <w:r>
        <w:t>Suspensión de disposiciones de las Comunidades Autónomas: levanta la suspensión parcialmente. Defensa de la competencia; establecimientos comerciales; modalidades de venta; sanciones administrativas; supletoriedad de la ley estatal. Navarra: ordenación del comercio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Mediante escrito presentado en el Registro de este Tribunal el día 16 de octubre de 2001, el Abogado del Estado, en nombre del Presidente del Gobierno, presentó escrito de interposición de recurso de inconstitucionalidad contra los arts. 23.3, párrafo 3º; 24.1; 40.2 c); 46.1; 50.2; 72.1; y Disposición final segunda de la Ley Foral 17/2001, de 12 de julio, reguladora del comercio en Navarra. </w:t>
      </w:r>
    </w:p>
    <w:p w:rsidR="000B622C" w:rsidRDefault="000B622C" w:rsidP="000B622C">
      <w:pPr>
        <w:pStyle w:val="TextoNormal"/>
      </w:pPr>
      <w:r>
        <w:t>El Abogado del Estado invocó el art. 161.2 CE, a fin de que se acuerde la suspensión de la disposición recurrida.</w:t>
      </w:r>
    </w:p>
    <w:p w:rsidR="000B622C" w:rsidRDefault="000B622C" w:rsidP="000B622C">
      <w:pPr>
        <w:pStyle w:val="TextoNormal"/>
      </w:pPr>
    </w:p>
    <w:p w:rsidR="000B622C" w:rsidRDefault="000B622C" w:rsidP="000B622C">
      <w:pPr>
        <w:pStyle w:val="TextoNormal"/>
      </w:pPr>
      <w:r w:rsidRPr="000B622C">
        <w:rPr>
          <w:rStyle w:val="NumeroAFNegritaCaracter"/>
        </w:rPr>
        <w:t>2</w:t>
      </w:r>
      <w:r>
        <w:t>. La Sección Cuarta, por providencia de 30 de octubre de 2001, acordó admitir a trámite el recurso de inconstitucionalidad, dar traslado de la demanda y documentos presentados, conforme al art. 34 LOTC, al Congreso de los Diputados y al Senado, así como al Gobierno y al Parlamento de Navarra, al objeto de que pudieran personarse en el proceso y formular alegaciones. Asimismo resolvió tener por invocado por el Presidente del Gobierno el art. 161.2 CE, lo que produce la suspensión de la vigencia y aplicación de los preceptos impugnados, y publicar la incoación del recurso en el Boletín Oficial del Estado y en el de Navarra.</w:t>
      </w:r>
    </w:p>
    <w:p w:rsidR="000B622C" w:rsidRDefault="000B622C" w:rsidP="000B622C">
      <w:pPr>
        <w:pStyle w:val="TextoNormal"/>
      </w:pPr>
    </w:p>
    <w:p w:rsidR="000B622C" w:rsidRDefault="000B622C" w:rsidP="000B622C">
      <w:pPr>
        <w:pStyle w:val="TextoNormal"/>
      </w:pPr>
      <w:r w:rsidRPr="000B622C">
        <w:rPr>
          <w:rStyle w:val="NumeroAFNegritaCaracter"/>
        </w:rPr>
        <w:t>3</w:t>
      </w:r>
      <w:r>
        <w:t>. El día 16 de noviembre de 2001 la Presidenta del Congreso de los Diputados comunicó al Tribunal que no se personaría en el procedimiento ni formularía alegaciones.</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4</w:t>
      </w:r>
      <w:r>
        <w:t>. El día 22 de noviembre de 2001 se registró en el Tribunal un escrito del Consejero de Presidencia, Justicia e Interior al que acompañaba el Acuerdo de 12 de noviembre de 2001 del Gobierno de Navarra, en el que se hacía constar que éste se daba por notificado de la interposición del recurso de inconstitucionalidad promovido contra a Ley 17/2001, de 12 de julio, reguladora del comercio en Navarra, así como que dicho Gobierno consideraba suficiente y bastante la personación del Parlamento de Navarra para la defensa de aquella Ley Foral.</w:t>
      </w:r>
    </w:p>
    <w:p w:rsidR="000B622C" w:rsidRDefault="000B622C" w:rsidP="000B622C">
      <w:pPr>
        <w:pStyle w:val="TextoNormal"/>
      </w:pPr>
    </w:p>
    <w:p w:rsidR="000B622C" w:rsidRDefault="000B622C" w:rsidP="000B622C">
      <w:pPr>
        <w:pStyle w:val="TextoNormal"/>
      </w:pPr>
      <w:r w:rsidRPr="000B622C">
        <w:rPr>
          <w:rStyle w:val="NumeroAFNegritaCaracter"/>
        </w:rPr>
        <w:t>5</w:t>
      </w:r>
      <w:r>
        <w:t>. El Letrado del Parlamento de Navarra presentó sus alegaciones en el Tribunal el día 23 de noviembre de 2001, solicitando que se declare la constitucionalidad de los artículos recurridos de la Ley Foral 17/2001.</w:t>
      </w:r>
    </w:p>
    <w:p w:rsidR="000B622C" w:rsidRDefault="000B622C" w:rsidP="000B622C">
      <w:pPr>
        <w:pStyle w:val="TextoNormal"/>
      </w:pPr>
    </w:p>
    <w:p w:rsidR="000B622C" w:rsidRDefault="000B622C" w:rsidP="000B622C">
      <w:pPr>
        <w:pStyle w:val="TextoNormal"/>
      </w:pPr>
      <w:r w:rsidRPr="000B622C">
        <w:rPr>
          <w:rStyle w:val="NumeroAFNegritaCaracter"/>
        </w:rPr>
        <w:t>6</w:t>
      </w:r>
      <w:r>
        <w:t>. Con fecha 27 de noviembre de 2001 la Presidenta del Senado dirigió un escrito al Tribunal en el que daba por personada a la Cámara y ofrecía su colaboración.</w:t>
      </w:r>
    </w:p>
    <w:p w:rsidR="000B622C" w:rsidRDefault="000B622C" w:rsidP="000B622C">
      <w:pPr>
        <w:pStyle w:val="TextoNormal"/>
      </w:pPr>
    </w:p>
    <w:p w:rsidR="000B622C" w:rsidRDefault="000B622C" w:rsidP="000B622C">
      <w:pPr>
        <w:pStyle w:val="TextoNormal"/>
      </w:pPr>
      <w:r w:rsidRPr="000B622C">
        <w:rPr>
          <w:rStyle w:val="NumeroAFNegritaCaracter"/>
        </w:rPr>
        <w:t>7</w:t>
      </w:r>
      <w:r>
        <w:t>. Mediante providencia de 12 de febrero de 2002, la Sección Cuarta acordó que, próximo a finalizar el plazo de cinco meses que señala el art. 161.2 CE desde que se produjo la suspensión de los preceptos impugnados, se oyera a las partes para que, en el plazo de cinco días, pudieran exponer lo que considerasen conveniente acerca del mantenimiento o levantamiento de dicha suspensión.</w:t>
      </w:r>
    </w:p>
    <w:p w:rsidR="000B622C" w:rsidRDefault="000B622C" w:rsidP="000B622C">
      <w:pPr>
        <w:pStyle w:val="TextoNormal"/>
      </w:pPr>
    </w:p>
    <w:p w:rsidR="000B622C" w:rsidRDefault="000B622C" w:rsidP="000B622C">
      <w:pPr>
        <w:pStyle w:val="TextoNormal"/>
      </w:pPr>
      <w:r w:rsidRPr="000B622C">
        <w:rPr>
          <w:rStyle w:val="NumeroAFNegritaCaracter"/>
        </w:rPr>
        <w:t>8</w:t>
      </w:r>
      <w:r>
        <w:t xml:space="preserve">. El Abogado del Estado presentó sus alegaciones sobre el incidente de suspensión el día 25 de febrero de 2002. </w:t>
      </w:r>
    </w:p>
    <w:p w:rsidR="000B622C" w:rsidRDefault="000B622C" w:rsidP="000B622C">
      <w:pPr>
        <w:pStyle w:val="TextoNormal"/>
      </w:pPr>
      <w:r>
        <w:t xml:space="preserve">En ellas comienza haciendo referencia a numerosas resoluciones de este Tribunal sobre este tipo de incidentes, señalando que, según la doctrina extraída de las mismas, adopte deberá tener en cuenta, partiendo de la presunción de legitimidad de las normas autonómicas, las consecuencias que para los intereses públicos y, en su caso, para los particulares afectados podrían derivarse de una u otra alternativa, estimando como criterio relevante al respecto la irreparabilidad o dificultad de reparación de las situaciones que podrían generarse según fuere el sentido de la decisión. </w:t>
      </w:r>
    </w:p>
    <w:p w:rsidR="000B622C" w:rsidRDefault="000B622C" w:rsidP="000B622C">
      <w:pPr>
        <w:pStyle w:val="TextoNormal"/>
      </w:pPr>
      <w:r>
        <w:t xml:space="preserve">Partiendo de ello examina los artículos recurridos, cuyo estudio efectúa del modo siguiente: </w:t>
      </w:r>
    </w:p>
    <w:p w:rsidR="000B622C" w:rsidRDefault="000B622C" w:rsidP="000B622C">
      <w:pPr>
        <w:pStyle w:val="TextoNormal"/>
      </w:pPr>
      <w:r>
        <w:t xml:space="preserve">A) En cuanto al art. 24.1, aduce que no contempla la ponderación de la existencia de "equipamiento comercial" como criterio a tener en cuenta para conceder la licencia de apertura de grandes establecimientos comerciales, a pesar de estar recogido este criterio en la legislación básica estatal. Ello supone un menor rigor en la legislación autonómica, que puede dar lugar a que no exista equipamiento adecuado y, aun así, se conceda la licencia, o a que exista dicho equipamiento y se deniegue aquélla. En el primer caso se producirían perjuicios evidentes para los comerciantes de la zona, en especial para el pequeño comercio. En el segundo se ocasionarían perjuicios a los comerciantes a quienes se denegara la licencia, pero aún más graves serían los perjuicios que sufrirían los consumidores quienes se verían privados de los beneficiosos efectos de la mayor oferta comercial. En cualquiera de los casos, por añadidura, se resentiría el funcionamiento de la economía en el ámbito autonómico, produciéndose perjuicios difícilmente cuantificables pero no menos reales. Por el contrario no se producirían perjuicios si se mantuviera la suspensión, ya que ello supondría la directa aplicación de un criterio establecido como básico en la normativa estatal. </w:t>
      </w:r>
    </w:p>
    <w:p w:rsidR="000B622C" w:rsidRDefault="000B622C" w:rsidP="000B622C">
      <w:pPr>
        <w:pStyle w:val="TextoNormal"/>
      </w:pPr>
      <w:r>
        <w:lastRenderedPageBreak/>
        <w:t xml:space="preserve">B) Respecto de los arts. 40.2 c) y 46.1, observa que el primero sujeta las promociones de ventas a límites temporales incompatibles con las normas del Estado al respecto y el segundo establece un concepto de venta en rebajas que incluye las que la legislación estatal considera ventas en promoción, con lo cual en la práctica se someten estas operaciones a requisitos temporales no establecidos en la normativa estatal. </w:t>
      </w:r>
    </w:p>
    <w:p w:rsidR="000B622C" w:rsidRDefault="000B622C" w:rsidP="000B622C">
      <w:pPr>
        <w:pStyle w:val="TextoNormal"/>
      </w:pPr>
      <w:r>
        <w:t xml:space="preserve">En ambos casos el levantamiento de la suspensión ocasionaría perjuicios a los comerciantes más emprendedores, perjuicios que se extenderían a los fabricantes de los productos susceptibles de ser promocionados, disminuyendo sus ventas de modo sensible. Ello afectaría también a los consumidores, quienes no podrían beneficiarse de promociones similares a las que se ofrecen a nivel nacional, y al conjunto de la economía autonómica. </w:t>
      </w:r>
    </w:p>
    <w:p w:rsidR="000B622C" w:rsidRDefault="000B622C" w:rsidP="000B622C">
      <w:pPr>
        <w:pStyle w:val="TextoNormal"/>
      </w:pPr>
      <w:r>
        <w:t xml:space="preserve">En todo caso el Auto de 12 de febrero de 2002, que ha mantenido la suspensión de unos preceptos similares de la Ley 11/2001, de ordenación de la actividad económica en las Illes Balears, contiene una doctrina que es de aplicación también aquí. </w:t>
      </w:r>
    </w:p>
    <w:p w:rsidR="000B622C" w:rsidRDefault="000B622C" w:rsidP="000B622C">
      <w:pPr>
        <w:pStyle w:val="TextoNormal"/>
      </w:pPr>
      <w:r>
        <w:t xml:space="preserve">C) Finalmente se refiere a los perjuicios derivados del levantamiento de la suspensión de los arts. 23.3, párrafo 3º, 50.2, 72.1 y Disposición final segunda. El levantamiento de la suspensión de todos ellos produciría perjuicios para el interés general. </w:t>
      </w:r>
    </w:p>
    <w:p w:rsidR="000B622C" w:rsidRDefault="000B622C" w:rsidP="000B622C">
      <w:pPr>
        <w:pStyle w:val="TextoNormal"/>
      </w:pPr>
      <w:r>
        <w:t xml:space="preserve">En el caso del art. 23.3, párrafo 3º, se vería afectada la actuación coordinada de los órganos administrativos, en cuanto que este precepto impone una determinada forma de actuación a un órgano estatal, el Tribunal de Defensa de la Competencia. Lo normal sería que este Tribunal ignorara la norma autonómica que le exige formas concretas de actuación, con lo cual la Comunidad Autónoma debería optar entre inaplicar su propia norma o no dar por válidos los informes del Tribunal, con los consiguientes perjuicios para los solicitantes de las licencias. </w:t>
      </w:r>
    </w:p>
    <w:p w:rsidR="000B622C" w:rsidRDefault="000B622C" w:rsidP="000B622C">
      <w:pPr>
        <w:pStyle w:val="TextoNormal"/>
      </w:pPr>
      <w:r>
        <w:t xml:space="preserve">El levantamiento de la suspensión del art. 50.2 y la Disposición final segunda, dada la notoria contradicción existente entre ambos y la Disposición final única de la Ley estatal 7/1996, ocasionaría una inmediata inseguridad jurídica y haría surgir conflictos y recursos de todo tipo pues la aplicación simultánea de estas normas perjudica al interés general por la confusión que genera, si bien no cabe desconocer que el ATC 144/1999 argumenta que la diferente regulación estatal y autonómica no es argumentación válida para este tipo de incidentes. </w:t>
      </w:r>
    </w:p>
    <w:p w:rsidR="000B622C" w:rsidRDefault="000B622C" w:rsidP="000B622C">
      <w:pPr>
        <w:pStyle w:val="TextoNormal"/>
      </w:pPr>
      <w:r>
        <w:t xml:space="preserve">Por último advierte que la aplicación del art. 72.1, impugnado por no recoger la reincidencia como elemento de graduación de las sanciones, produciría un indudable perjuicio al interés general, que en este caso consiste en la igualdad sustancial de los españoles en el ámbito de Derecho sancionador, pues los arts. 67 y 69.1 de la Ley 7/1996 se dictan al amparo del art. 149.1.1ª CE, según su Disposición final única, si bien no puede ignorarse que el citado ATC de 12 de febrero de 2002 levantó la suspensión de un precepto similar. </w:t>
      </w:r>
    </w:p>
    <w:p w:rsidR="000B622C" w:rsidRDefault="000B622C" w:rsidP="000B622C">
      <w:pPr>
        <w:pStyle w:val="TextoNormal"/>
      </w:pPr>
      <w:r>
        <w:t>El Abogado del Estado solicita, de acuerdo con lo expuesto, que se mantenga la suspensión de todos los artículos recurridos.</w:t>
      </w:r>
    </w:p>
    <w:p w:rsidR="000B622C" w:rsidRDefault="000B622C" w:rsidP="000B622C">
      <w:pPr>
        <w:pStyle w:val="TextoNormal"/>
      </w:pPr>
    </w:p>
    <w:p w:rsidR="000B622C" w:rsidRDefault="000B622C" w:rsidP="000B622C">
      <w:pPr>
        <w:pStyle w:val="TextoNormal"/>
      </w:pPr>
      <w:r w:rsidRPr="000B622C">
        <w:rPr>
          <w:rStyle w:val="NumeroAFNegritaCaracter"/>
        </w:rPr>
        <w:t>9</w:t>
      </w:r>
      <w:r>
        <w:t xml:space="preserve">. El Letrado del Parlamento de Navarra presenta su escrito de alegaciones sobre el incidente de mantenimiento o levantamiento de la suspensión el día 28 de febrero de 2002. </w:t>
      </w:r>
    </w:p>
    <w:p w:rsidR="000B622C" w:rsidRDefault="000B622C" w:rsidP="000B622C">
      <w:pPr>
        <w:pStyle w:val="TextoNormal"/>
      </w:pPr>
      <w:r>
        <w:t xml:space="preserve">Comienza su alegato reproduciendo la doctrina sobre este tipo de incidentes contenida en el ATC 288/1999, que incluye la cita de otros. De ella deduce que los parámetros o criterios que el Tribunal Constitucional tiene presentes para refrendar o levantar la medida de suspensión son, por un lado, el interés general que representa el normal despliegue de las leyes y, por otro, los eventuales perjuicios que la prórroga o el alzamiento de la suspensión puede ocasionar, así como la irreparabilidad de las situaciones creadas. </w:t>
      </w:r>
    </w:p>
    <w:p w:rsidR="000B622C" w:rsidRDefault="000B622C" w:rsidP="000B622C">
      <w:pPr>
        <w:pStyle w:val="TextoNormal"/>
      </w:pPr>
      <w:r>
        <w:lastRenderedPageBreak/>
        <w:t xml:space="preserve">Elementales razones de seguridad jurídica, y la presunción de validez de que gozan las leyes, incluidas las de las Comunidades Autónomas, determinan que la regla general debe ser el levantamiento de la suspensión y que sólo de modo excepcional ha de procederse a su mantenimiento en el caso de que el Gobierno justifique la existencia real de perjuicios irreparables o de difícil reparación. </w:t>
      </w:r>
    </w:p>
    <w:p w:rsidR="000B622C" w:rsidRDefault="000B622C" w:rsidP="000B622C">
      <w:pPr>
        <w:pStyle w:val="TextoNormal"/>
      </w:pPr>
      <w:r>
        <w:t xml:space="preserve">El recurso de inconstitucionalidad se ha fundamentado en la vulneración de la legislación estatal en virtud de títulos competenciales diversos. Sin embargo del examen del recurso no se deducen ni aparecen concretados perjuicios relevantes para el interés general, resultando al efecto ilustrativa la doctrina contenida en el ATC 12/1992, en el cual se indica que los hipotéticos daños a la seguridad jurídica, entendidos como certeza normativa, son una consecuencia inherente a toda situación de pendencia determinada por la existencia de un recurso de inconstitucionalidad y a la coexistencia del ordenamiento estatal con los ordenamientos autonómicos, de manera que, de acuerdo con dicho enfoque, la suspensión de las normas autonómicas por motivos competenciales sería siempre necesaria. Por ello en este trámite de lo que se trata es de alegar y acreditar los perjuicios irreparables o de difícil reparación que se producirían si se levantara la suspensión de los preceptos. </w:t>
      </w:r>
    </w:p>
    <w:p w:rsidR="000B622C" w:rsidRDefault="000B622C" w:rsidP="000B622C">
      <w:pPr>
        <w:pStyle w:val="TextoNormal"/>
      </w:pPr>
      <w:r>
        <w:t xml:space="preserve">Tras lo expuesto la representación del Parlamento foral comienza el análisis de los artículos recurridos y suspendidos en su aplicación. </w:t>
      </w:r>
    </w:p>
    <w:p w:rsidR="000B622C" w:rsidRDefault="000B622C" w:rsidP="000B622C">
      <w:pPr>
        <w:pStyle w:val="TextoNormal"/>
      </w:pPr>
      <w:r>
        <w:t xml:space="preserve">A) En cuanto al art. 23.3, párrafo tercero, manifiesta que la discrepancia jurídica sobre el contenido del informe que debe emitir el Tribunal de Defensa de la Competencia es más nominalista que real, de modo que de su examen no parece que puedan deducirse perjuicios relevantes para el interés público si se levantara la suspensión, pues no quedan afectadas ni la esencia ni las funciones del órgano estatal. </w:t>
      </w:r>
    </w:p>
    <w:p w:rsidR="000B622C" w:rsidRDefault="000B622C" w:rsidP="000B622C">
      <w:pPr>
        <w:pStyle w:val="TextoNormal"/>
      </w:pPr>
      <w:r>
        <w:t xml:space="preserve">B) Respecto al art. 24.1, estima que el mantenimiento de la suspensión provocaría graves perjuicios, derivados de la imposibilidad de puesta en marcha de todo el sistema diseñado por la Ley Foral para el otorgamiento de licencias a los grandes establecimientos comerciales. La impugnación del precepto se ha basado en que la Ley foral no contiene la directriz básica de la ponderación de la existencia o no de un "equipamiento comercial adecuado" dentro del procedimiento de autorización de estos grandes establecimientos. </w:t>
      </w:r>
    </w:p>
    <w:p w:rsidR="000B622C" w:rsidRDefault="000B622C" w:rsidP="000B622C">
      <w:pPr>
        <w:pStyle w:val="TextoNormal"/>
      </w:pPr>
      <w:r>
        <w:t xml:space="preserve">Este planteamiento no viene acompañado de la referencia a los factores que integran el concepto de "equipamiento comercial adecuado" a fin de permitir la ponderación de lo omitido. Tampoco se ha realizado una argumentación similar en sentido negativo; es decir, señalando las determinaciones de la Ley Foral que enervarían dicho concepto. Por ello no resulta posible realizar un juicio de relevancia sobre los intereses en presencia y los perjuicios que se derivarían del mantenimiento o del levantamiento de la suspensión. </w:t>
      </w:r>
    </w:p>
    <w:p w:rsidR="000B622C" w:rsidRDefault="000B622C" w:rsidP="000B622C">
      <w:pPr>
        <w:pStyle w:val="TextoNormal"/>
      </w:pPr>
      <w:r>
        <w:t xml:space="preserve">C) Los arts. 50.2, 72.1 y la Disposición final segunda se refieren, en su opinión, a cuestiones atinentes a la técnica jurídica empleada en la ley, sin que se observe impedimento fundado para no mantener su vigencia hasta que el Tribunal se pronuncie sobre el fondo del asunto. </w:t>
      </w:r>
    </w:p>
    <w:p w:rsidR="000B622C" w:rsidRDefault="000B622C" w:rsidP="000B622C">
      <w:pPr>
        <w:pStyle w:val="TextoNormal"/>
      </w:pPr>
      <w:r>
        <w:t xml:space="preserve">D) En lo relativo a los arts. 40.2 c) y 46.1 el Letrado del Parlamento foral cita los AATC 428/1987 y 206/1989, en los cuales este Tribunal mantuvo la suspensión de preceptos autonómicos relativos a diversas modalidades de venta por considerar que los perjuicios derivados de su aplicación tenían mayor entidad e irreparabilidad que los perjuicios a los consumidores conectados al mantenimiento de la suspensión. </w:t>
      </w:r>
    </w:p>
    <w:p w:rsidR="000B622C" w:rsidRDefault="000B622C" w:rsidP="000B622C">
      <w:pPr>
        <w:pStyle w:val="TextoNormal"/>
      </w:pPr>
      <w:r>
        <w:t xml:space="preserve">En este caso, sin embargo, y respecto al art. 40.2 c), la representación del Parlamento foral considera que dicho precepto se limita a acotar con un mínimo y un máximo la venta en promoción, pudiendo reiterarse la promoción cuantas veces se estime oportuno. Esta </w:t>
      </w:r>
      <w:r>
        <w:lastRenderedPageBreak/>
        <w:t xml:space="preserve">regulación no supone, por ello, un perjuicio para el comerciante y beneficia, a la vez, al consumidor. </w:t>
      </w:r>
    </w:p>
    <w:p w:rsidR="000B622C" w:rsidRDefault="000B622C" w:rsidP="000B622C">
      <w:pPr>
        <w:pStyle w:val="TextoNormal"/>
      </w:pPr>
      <w:r>
        <w:t xml:space="preserve">La ausencia de perjuicios se predica igualmente del art. 46.1, pues la controversia jurídica que suscita se constriñe al concepto de venta en rebajas. </w:t>
      </w:r>
    </w:p>
    <w:p w:rsidR="000B622C" w:rsidRDefault="000B622C" w:rsidP="000B622C">
      <w:pPr>
        <w:pStyle w:val="TextoNormal"/>
      </w:pPr>
      <w:r>
        <w:t>Por todo lo razonado el Letrado del Parlamento de Navarra solicita del Tribunal que se levante la suspensión de los artículos recurridos.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objeto de esta resolución es determinar, de acuerdo con el art. 161.2 CE, si procede mantener o levantar la suspensión de la vigencia que afecta a diversos artículos de la Ley Foral 17/2001, de 12 de julio, reguladora del comercio en Navarra.</w:t>
      </w:r>
    </w:p>
    <w:p w:rsidR="000B622C" w:rsidRDefault="000B622C" w:rsidP="000B622C">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del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000B622C" w:rsidRDefault="000B622C" w:rsidP="000B622C">
      <w:pPr>
        <w:pStyle w:val="TextoNormal"/>
      </w:pPr>
      <w:r>
        <w:t>El Abogado del Estado expone los perjuicios concretos que se derivarían del levantamiento de la suspensión de los preceptos recurridos, por lo que cumple ahora verificar su alcance.</w:t>
      </w:r>
    </w:p>
    <w:p w:rsidR="000B622C" w:rsidRDefault="000B622C" w:rsidP="000B622C">
      <w:pPr>
        <w:pStyle w:val="TextoNormal"/>
      </w:pPr>
    </w:p>
    <w:p w:rsidR="000B622C" w:rsidRDefault="000B622C" w:rsidP="000B622C">
      <w:pPr>
        <w:pStyle w:val="TextoNormal"/>
      </w:pPr>
      <w:r w:rsidRPr="000B622C">
        <w:rPr>
          <w:rStyle w:val="NumeroAFNegritaCaracter"/>
        </w:rPr>
        <w:t>2</w:t>
      </w:r>
      <w:r>
        <w:t>. El art. 23.3, párrafo 3º, de la Ley Foral 17/2001 regula la solicitud de un informe del Tribunal de Defensa de la Competencia y la emisión del mismo, informe que debe figurar en el expediente de autorización de los grandes establecimientos comerciales.</w:t>
      </w:r>
    </w:p>
    <w:p w:rsidR="000B622C" w:rsidRDefault="000B622C" w:rsidP="000B622C">
      <w:pPr>
        <w:pStyle w:val="TextoNormal"/>
      </w:pPr>
      <w:r>
        <w:t>El Abogado del Estado considera que, dados los términos en que se regula la emisión del informe, resulta afectada negativamente la actuación coordinada de los órganos administrativos, en cuanto que se impone a un órgano estatal una determinada forma de actuación. Las consecuencias de dicha regulación serían que, o bien el Tribunal de Defensa habrá de ignorar la norma autonómica, o bien la Comunidad no considerará válidos los informes emitidos, con los consiguientes perjuicios para los solicitantes de licencias. Por ello solicita el mantenimiento de la suspensión.</w:t>
      </w:r>
    </w:p>
    <w:p w:rsidR="000B622C" w:rsidRDefault="000B622C" w:rsidP="000B622C">
      <w:pPr>
        <w:pStyle w:val="TextoNormal"/>
      </w:pPr>
      <w:r>
        <w:t>Para el Letrado del Parlamento foral, por el contrario, no se derivan de la literalidad del precepto perjuicios relevantes que justifiquen mantener su suspensión</w:t>
      </w:r>
    </w:p>
    <w:p w:rsidR="000B622C" w:rsidRDefault="000B622C" w:rsidP="000B622C">
      <w:pPr>
        <w:pStyle w:val="TextoNormal"/>
      </w:pPr>
      <w:r>
        <w:t>Con independencia del juicio de constitucionalidad que hayamos de formular acerca de la regulación en una ley autonómica de la emisión por un órgano estatal de un informe, para lo que deberán en su momento examinarse los términos en que el precepto se manifiesta, lo cierto es que el Abogado del Estado se limita a señalar, como único perjuicio en caso de que llegara a aplicarse, que quedaría afectada la coordinación administrativa, sin anudar efectos concretos a esa falta de coordinación, salvo orientaciones tan dispares como la inaplicación por la Comunidad Foral de su propia norma o la ignorancia de la misma por el Tribunal de Defensa de la Competencia.</w:t>
      </w:r>
    </w:p>
    <w:p w:rsidR="000B622C" w:rsidRDefault="000B622C" w:rsidP="000B622C">
      <w:pPr>
        <w:pStyle w:val="TextoNormal"/>
      </w:pPr>
      <w:r>
        <w:lastRenderedPageBreak/>
        <w:t>Nos encontramos, pues, con una indeterminación de los efectos perjudiciales concretos que habrían de seguirse en caso de que se levantara la suspensión del artículo contemplado, lo que no encuentra acomodo en nuestra doctrina sobre las consistencia de los perjuicios que han de ser alegados en este tipo de incidentes, pues hemos declarado que no basta con su mera invocación sino que se ha de "razonar consistentemente su procedencia y la imposible o difícil reparación de los mismos" (ATC 147/2001, de 5 de junio, FJ 2, con cita de otros muchos) y que dichos perjuicios no pueden ser meramente hipotéticos, sino reales y efectivos (ATC 147/2001, FJ 3). Si a ello se une que la propia norma estatal declarada básica (art. 6.2 de la Ley 7/1996, de 15 de enero, de Ordenación del Comercio Minorista) establece que el informe que nos ocupa será preceptivo, pero no vinculante, alcanzamos la conclusión de que los perjuicios aducidos por el Abogado del Estado, dada su indeterminación, no pueden prevalecer sobre el principio de presunción de legitimidad de las leyes de las Comunidades Autónomas.</w:t>
      </w:r>
    </w:p>
    <w:p w:rsidR="000B622C" w:rsidRDefault="000B622C" w:rsidP="000B622C">
      <w:pPr>
        <w:pStyle w:val="TextoNormal"/>
      </w:pPr>
    </w:p>
    <w:p w:rsidR="000B622C" w:rsidRDefault="000B622C" w:rsidP="000B622C">
      <w:pPr>
        <w:pStyle w:val="TextoNormal"/>
      </w:pPr>
      <w:r w:rsidRPr="000B622C">
        <w:rPr>
          <w:rStyle w:val="NumeroAFNegritaCaracter"/>
        </w:rPr>
        <w:t>3</w:t>
      </w:r>
      <w:r>
        <w:t>. Examinando el art. 24.1 de la Ley Foral 17/2001, que regula los criterios que han de ser tenidos en cuenta para el otorgamiento de la licencia comercial específica de los grandes establecimientos comerciales, el Abogado del Estado solicita que se mantenga la suspensión, toda vez que, entre dichos requisitos, el precepto no recoge el relativo a la existencia de un "equipamiento comercial adecuado" en la zona afectada por la implantación del establecimiento, criterio recogido en el art. 6.2 de la Ley 7/1996, el cual tiene carácter básico, ex art.149.1.13ª CE, según la Disposición final única de la propia Ley 7/1996. A esta carencia se le anudan considerables perjuicios para los comerciantes y los consumidores, e incluso para la economía autonómica, perjuicios que se producirían tanto si se otorgase la licencia en ausencia del precitado "equipamiento comercial adecuado" como si no se otorgara cuando el mismo existiese efectivamente, según se detalla en el antecedente octavo, A).</w:t>
      </w:r>
    </w:p>
    <w:p w:rsidR="000B622C" w:rsidRDefault="000B622C" w:rsidP="000B622C">
      <w:pPr>
        <w:pStyle w:val="TextoNormal"/>
      </w:pPr>
      <w:r>
        <w:t>Para la representación del Parlamento Foral el Abogado del Estado no precisa el alcance de la expresión "equipamiento comercial adecuado", lo que impide su contraste con la norma foral para valorar lo omitido. Desde el punto de vista negativo nada aduce tampoco el Abogado del Estado, según el Letrado del Parlamento Foral, sobre las prescripciones del art. 24.1 que pudieran enervar aquella determinación básica. De todo lo cual deduce que si se mantuviera la suspensión del precepto se producirían graves perjuicios como consecuencia de la imposibilidad de aplicar el sistema de otorgamiento de licencias para estos establecimientos.</w:t>
      </w:r>
    </w:p>
    <w:p w:rsidR="000B622C" w:rsidRDefault="000B622C" w:rsidP="000B622C">
      <w:pPr>
        <w:pStyle w:val="TextoNormal"/>
      </w:pPr>
      <w:r>
        <w:t>Considerando ambos planteamientos se aprecia que el expuesto por el Abogado del Estado no puede prosperar. Como señala la representación foral no se concreta en él el alcance de lo que ha de entenderse por "equipamiento comercial adecuado", de modo que no resulta posible evaluar con certeza los perjuicios de la omisión aducida. Esa falta de precisión se manifiesta en que tampoco el Abogado del Estado fija una orientación definida de los efectos de la aplicación del precepto, pues señala que dicha omisión puede conducir a dos situaciones completamente divergentes: otorgar la licencia sin que exista tal equipamiento, o no otorgarla aun existiendo éste.  Es decir, se carece en absoluto de certeza sobre la situación que haya de producirse, lo que aboca a que no puedan señalarse perjuicios ciertos y, menos aún, evaluarlos para su necesario contraste.  Si se tiene en cuenta la doctrina reproducida en el fundamento jurídico precedente en relación con los perjuicios que habrían de producirse si se levantara la suspensión, es claro que lo expuesto por el Abogado del Estado no puede prevalecer sobre la presunción de legitimidad de la Ley autonómica en relación con los intereses públicos y privados conectados al funcionamiento del sis</w:t>
      </w:r>
      <w:r>
        <w:lastRenderedPageBreak/>
        <w:t>tema de otorgamiento de licencias. Este criterio queda reforzado en este caso por el hecho de que lo que se impugna es una omisión y que no se discute la regulación sustantiva del art. 24.1, por lo que la suspensión solicitada, de concederse, se extendería a prescripciones que el Abogado del Estado considera legítimas desde la perspectiva constitucional y que determinan todo el marco legal de concesión de estas licencias.</w:t>
      </w:r>
    </w:p>
    <w:p w:rsidR="000B622C" w:rsidRDefault="000B622C" w:rsidP="000B622C">
      <w:pPr>
        <w:pStyle w:val="TextoNormal"/>
      </w:pPr>
      <w:r>
        <w:t>En atención a todo lo expuesto ha de concluirse que procede levantar la suspensión del art.  24.1.</w:t>
      </w:r>
    </w:p>
    <w:p w:rsidR="000B622C" w:rsidRDefault="000B622C" w:rsidP="000B622C">
      <w:pPr>
        <w:pStyle w:val="TextoNormal"/>
      </w:pPr>
    </w:p>
    <w:p w:rsidR="000B622C" w:rsidRDefault="000B622C" w:rsidP="000B622C">
      <w:pPr>
        <w:pStyle w:val="TextoNormal"/>
      </w:pPr>
      <w:r w:rsidRPr="000B622C">
        <w:rPr>
          <w:rStyle w:val="NumeroAFNegritaCaracter"/>
        </w:rPr>
        <w:t>4</w:t>
      </w:r>
      <w:r>
        <w:t>. Los arts. 40.2 c) y 46.1 de la Ley Foral 17/2001 regulan, respectivamente, las "ventas en promoción" y las "ventas en rebajas". El primero de estos preceptos limita las ventas en promoción a un período mínimo de dos días y a otro máximo de treinta días. El segundo conceptúa las ventas en rebajas como las que ofertan artículos a un precio inferior al fijado antes de su venta "o en condiciones especiales que supongan una minoración en relación con el precio practicado habitualmente".</w:t>
      </w:r>
    </w:p>
    <w:p w:rsidR="000B622C" w:rsidRDefault="000B622C" w:rsidP="000B622C">
      <w:pPr>
        <w:pStyle w:val="TextoNormal"/>
      </w:pPr>
      <w:r>
        <w:t>Para el Abogado del Estado ambos preceptos restringen lo regulado en la normativa estatal.  En cuanto a las ventas en promoción, porque la norma foral las somete a un período máximo y mínimo, siendo así que la legislación estatal no ha impuesto a estas ventas un período de duración. Respecto al concepto de venta en rebajas, porque la norma foral amplía el consagrado en el art. 24.1 de la Ley 7/1996, incluyendo de hecho, junto a las ventas en rebajas en sentido estricto a las ventas en promoción, con lo que en la práctica se somete a éstas a límites temporales. Dichas restricciones acarrean perjuicios a comerciantes y consumidores, por lo que se reclama el mantenimiento de la suspensión.</w:t>
      </w:r>
    </w:p>
    <w:p w:rsidR="000B622C" w:rsidRDefault="000B622C" w:rsidP="000B622C">
      <w:pPr>
        <w:pStyle w:val="TextoNormal"/>
      </w:pPr>
      <w:r>
        <w:t>El Letrado del Parlamento foral considera que no cabe deducir ningún perjuicio como consecuencia de la aplicación de ambos preceptos, puesto que en relación con las ventas en promoción la norma permite que puedan reiterarse por el período previsto cuantas veces se considere necesario, y en relación con las ventas en rebajas tan sólo se produce una divergencia en su conceptualización respecto de la normativa estatal.</w:t>
      </w:r>
    </w:p>
    <w:p w:rsidR="000B622C" w:rsidRDefault="000B622C" w:rsidP="000B622C">
      <w:pPr>
        <w:pStyle w:val="TextoNormal"/>
      </w:pPr>
      <w:r>
        <w:t>En cuanto al art. 40.2 c), su propio tenor literal confirma que las "ventas en promoción" podrán realizarse durante períodos comprendidos entre dos y treinta días, limitación que no figura en la normativa estatal (art. 27 de la Ley 7/1996). Aunque, como señala la representación foral, estos períodos puedan reiterarse, lo cierto es que la limitación del propio periodo no figura en la normativa estatal, lo que en principio restringe las posibilidades de las ventas de esta naturaleza, afectando a comerciantes y consumidores. Por esta razón, y siguiendo la doctrina según la cual "las restricciones que se establecen a las modalidades de venta en los citados preceptos pueden suponer perjuicios indudables a los comerciantes, que serían de imposible o muy difícil reparación de no procederse al mantenimiento de la suspensión solicitada" (ATC 206/1989, de 18 de abril, FJ 2)" (ATC 20/2002, de 12 de febrero, FJ 5) debemos confirmar el mantenimiento de la suspensión del art.  40.2 c).</w:t>
      </w:r>
    </w:p>
    <w:p w:rsidR="000B622C" w:rsidRDefault="000B622C" w:rsidP="000B622C">
      <w:pPr>
        <w:pStyle w:val="TextoNormal"/>
      </w:pPr>
      <w:r>
        <w:t>Igual criterio debe mantenerse con respecto al art. 46.1, pues la ampliación del concepto de "venta en rebajas" sobre lo regulado en la norma estatal puede suponer perjuicios para comerciantes y consumidores en la medida en que introduce un margen de ambigüedad sobre el alcance de este tipo de ventas.</w:t>
      </w:r>
    </w:p>
    <w:p w:rsidR="000B622C" w:rsidRDefault="000B622C" w:rsidP="000B622C">
      <w:pPr>
        <w:pStyle w:val="TextoNormal"/>
      </w:pPr>
    </w:p>
    <w:p w:rsidR="000B622C" w:rsidRDefault="000B622C" w:rsidP="000B622C">
      <w:pPr>
        <w:pStyle w:val="TextoNormal"/>
      </w:pPr>
      <w:r w:rsidRPr="000B622C">
        <w:rPr>
          <w:rStyle w:val="NumeroAFNegritaCaracter"/>
        </w:rPr>
        <w:t>5</w:t>
      </w:r>
      <w:r>
        <w:t>. El art. 72.1 de la Ley foral 17/2001 se impugna por no recoger la reincidencia como elemento de graduación de las sanciones. Para el Abogado del Estado con tal omisión se produce un considerable perjuicio al interés general, ya que queda afectada la igualdad sustancial de los españoles (art.  149.1.1ª CE) en el ámbito del Derecho sancionador.</w:t>
      </w:r>
    </w:p>
    <w:p w:rsidR="000B622C" w:rsidRDefault="000B622C" w:rsidP="000B622C">
      <w:pPr>
        <w:pStyle w:val="TextoNormal"/>
      </w:pPr>
      <w:r>
        <w:lastRenderedPageBreak/>
        <w:t>El Letrado del Parlamento foral, contrariamente, no aprecia que este precepto genere ningún tipo de perjuicios, porque en la impugnación sólo están en entredicho cuestiones de técnica jurídica.</w:t>
      </w:r>
    </w:p>
    <w:p w:rsidR="000B622C" w:rsidRDefault="000B622C" w:rsidP="000B622C">
      <w:pPr>
        <w:pStyle w:val="TextoNormal"/>
      </w:pPr>
      <w:r>
        <w:t>En nuestro reciente ATC 20/2002, de 12 de febrero, FJ 6, ya nos hemos pronunciado sobre similar cuestión, señalando que: "se impugna una omisión, que, al margen de no ser susceptible de ser suspendida, no justificaría la decisión de mantenimiento de la suspensión del precepto al que se atribuye la omisión, pues incluye diversas causas de graduación de las sanciones que no han merecido reproche de constitucionalidad" lo que en aquella ocasión condujo a que se levantara la suspensión del precepto implicado, criterio que ahora se reitera respecto del art. 72.1 de la Ley Foral 17/2001.</w:t>
      </w:r>
    </w:p>
    <w:p w:rsidR="000B622C" w:rsidRDefault="000B622C" w:rsidP="000B622C">
      <w:pPr>
        <w:pStyle w:val="TextoNormal"/>
      </w:pPr>
    </w:p>
    <w:p w:rsidR="000B622C" w:rsidRDefault="000B622C" w:rsidP="000B622C">
      <w:pPr>
        <w:pStyle w:val="TextoNormal"/>
      </w:pPr>
      <w:r w:rsidRPr="000B622C">
        <w:rPr>
          <w:rStyle w:val="NumeroAFNegritaCaracter"/>
        </w:rPr>
        <w:t>6</w:t>
      </w:r>
      <w:r>
        <w:t>. Restan por examinar el art. 50.2 y la Disposición final segunda de la Ley Foral 17/2001, que disponen la supletoriedad de la Ley estatal 7/1996 respecto de lo no regulado en la Ley foral recurrida.</w:t>
      </w:r>
    </w:p>
    <w:p w:rsidR="000B622C" w:rsidRDefault="000B622C" w:rsidP="000B622C">
      <w:pPr>
        <w:pStyle w:val="TextoNormal"/>
      </w:pPr>
      <w:r>
        <w:t>Para el Abogado del Estado estas prescripciones normativas conllevarían considerables perjuicios como consecuencia de la inseguridad jurídica que habrá de producirse ante la dificultad de determinar la normativa que deba resultar aplicable.</w:t>
      </w:r>
    </w:p>
    <w:p w:rsidR="000B622C" w:rsidRDefault="000B622C" w:rsidP="000B622C">
      <w:pPr>
        <w:pStyle w:val="TextoNormal"/>
      </w:pPr>
      <w:r>
        <w:t>Para realizar el juicio acerca de los expresados perjuicios hay que tener necesariamente en cuenta que las declaraciones acerca de la supletoriedad de la Ley estatal que se contienen en los preceptos forales ahora examinados son coincidentes en este extremo con lo previsto en la Ley estatal 7/1996, cuya Disposición final única dispone que "la presente Ley será de aplicación supletoria en defecto de las normas dictadas por las Comunidades Autónomas en ejercicio de sus competencias en estas materias".  Este criterio se matiza en los párrafos siguientes de la misma Disposición final, que, no obstante la declaración anterior, establece la necesaria aplicación en todo el territorio nacional de diversos preceptos de aquella Ley que se incardinan en competencias estatales recogidas en el art. 149.1 CE.</w:t>
      </w:r>
    </w:p>
    <w:p w:rsidR="000B622C" w:rsidRDefault="000B622C" w:rsidP="000B622C">
      <w:pPr>
        <w:pStyle w:val="TextoNormal"/>
      </w:pPr>
      <w:r>
        <w:t>Debemos, pues, ponderar si los preceptos forales que estamos examinando impiden o menoscaban, con la declaración controvertida, la aplicación de los artículos de la Ley 7/1996 que ésta prevé que no puedan ser desplazados por la normativa autonómica, pues es claro que un desplazamiento de una relación tan amplia de preceptos como a la que nos estamos refiriendo produciría indudables e irreparables perjuicios.</w:t>
      </w:r>
    </w:p>
    <w:p w:rsidR="000B622C" w:rsidRDefault="000B622C" w:rsidP="000B622C">
      <w:pPr>
        <w:pStyle w:val="TextoNormal"/>
      </w:pPr>
      <w:r>
        <w:t>Pues bien, para alcanzar una conclusión sobre este punto hemos de partir de la presunción de que el Presidente del Gobierno, lógicamente, habrá incluido en el ámbito del recurso de inconstitucionalidad que ha promovido los preceptos de la Ley foral que vulneran lo previsto en los preceptos de la Ley 7/1996 que ésta declara plenamente aplicables.  Es decir, los posibles perjuicios se conectarían exclusivamente con el desplazamiento de la Ley estatal por los preceptos recurridos de la Ley Foral, puesto que hemos de entender que el resto del articulado de esta última ha sido considerado por el recurrente conforme con la Constitución.  Centrado así el problema, los posibles perjuicios concretos que se derivarían de que los preceptos hasta hoy suspendidos cobrasen vigor desplazando a la normativa estatal ya han sido valorados en los fundamentos jurídicos precedentes, lo que permite obviar la cuestión que ahora estamos examinando en relación con el art. 50.2 y la Disposición final segunda de la Ley Foral.</w:t>
      </w:r>
    </w:p>
    <w:p w:rsidR="000B622C" w:rsidRDefault="000B622C" w:rsidP="000B622C">
      <w:pPr>
        <w:pStyle w:val="TextoNormal"/>
      </w:pPr>
      <w:r>
        <w:t>En conclusión, teniendo en cuenta las precisiones realizadas, procede levantar también la suspensión de estos dos preceptos de la Ley Foral 17/2001.</w:t>
      </w:r>
    </w:p>
    <w:p w:rsidR="000B622C" w:rsidRDefault="000B622C" w:rsidP="000B622C">
      <w:pPr>
        <w:pStyle w:val="TextoNormal"/>
      </w:pPr>
    </w:p>
    <w:p w:rsidR="000B622C" w:rsidRDefault="000B622C" w:rsidP="000B622C">
      <w:pPr>
        <w:pStyle w:val="TextoNormal"/>
      </w:pPr>
      <w:r>
        <w:t>Por todo lo expuesto, la Sala</w:t>
      </w:r>
    </w:p>
    <w:p w:rsidR="000B622C" w:rsidRDefault="000B622C" w:rsidP="000B622C">
      <w:pPr>
        <w:pStyle w:val="TextoNormal"/>
      </w:pPr>
    </w:p>
    <w:p w:rsidR="000B622C" w:rsidRDefault="000B622C" w:rsidP="000B622C">
      <w:pPr>
        <w:pStyle w:val="TextoNormalCentrado"/>
      </w:pPr>
      <w:r>
        <w:lastRenderedPageBreak/>
        <w:t>ACUERDA</w:t>
      </w:r>
    </w:p>
    <w:p w:rsidR="000B622C" w:rsidRDefault="000B622C" w:rsidP="000B622C">
      <w:pPr>
        <w:pStyle w:val="TextoNormalCentrado"/>
      </w:pPr>
    </w:p>
    <w:p w:rsidR="000B622C" w:rsidRDefault="000B622C" w:rsidP="000B622C">
      <w:pPr>
        <w:pStyle w:val="TextoNormal"/>
      </w:pPr>
      <w:r>
        <w:t>Levantar la suspensión de los arts. 23.3, párrafo 3º, 24.1, 50.2 y 72.1 así como de la Disposición final segunda de la Ley Foral 17/2001, de 12 de julio, reguladora del comercio en Navarra, y mantener la de los arts. 40.2 c) y 46.1 de esta misma Ley.</w:t>
      </w:r>
    </w:p>
    <w:p w:rsidR="000B622C" w:rsidRDefault="000B622C" w:rsidP="000B622C">
      <w:pPr>
        <w:pStyle w:val="TextoNormal"/>
      </w:pPr>
    </w:p>
    <w:p w:rsidR="000B622C" w:rsidRDefault="000B622C" w:rsidP="000B622C">
      <w:pPr>
        <w:pStyle w:val="TextoNormal"/>
      </w:pPr>
      <w:r>
        <w:t>Madrid, a veintiuno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49" w:name="AUTO_2002_48"/>
      <w:r>
        <w:lastRenderedPageBreak/>
        <w:t>AUTO 48/2002, de 21 de marzo de 2002</w:t>
      </w:r>
    </w:p>
    <w:bookmarkEnd w:id="149"/>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ECLI:ES:TC:2002:48A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el desistimiento en el recurso de amparo 5939-2001, promovido en proceso contencioso-administrativo.</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50" w:name="AUTO_2002_49"/>
      <w:r>
        <w:lastRenderedPageBreak/>
        <w:t>AUTO 49/2002, de 22 de marzo de 2002</w:t>
      </w:r>
    </w:p>
    <w:bookmarkEnd w:id="150"/>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ECLI:ES:TC:2002:49A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la suspensión en el recurso de amparo 3874-2001, interpuesto por don Joaquín, Pedro, Vicente y José Torregrosa Espinosa</w:t>
      </w:r>
    </w:p>
    <w:p w:rsidR="000B622C" w:rsidRDefault="000B622C" w:rsidP="000B622C">
      <w:pPr>
        <w:pStyle w:val="SntesisDescriptiva"/>
      </w:pPr>
    </w:p>
    <w:p w:rsidR="000B622C" w:rsidRDefault="000B622C" w:rsidP="000B622C">
      <w:pPr>
        <w:pStyle w:val="SntesisAnaltica"/>
      </w:pPr>
      <w:r>
        <w:t>Suspensión cautelar de resoluciones civiles: subasta de bienes, suspende. Perjuicio inexistente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Registro de este Tribunal el 6 de julio de 2001, el Procurador de los Tribunales don José Granados Weil, en nombre y representación de don Joaquín, don Pedro, don Vicente y don José Torregrosa Espinosa, interpuso recurso de amparo contra el Auto del Juzgado de lo Social núm. 6 de Alicante de fecha de 4 de junio de 2001, desestimatorio del recurso de reposición interpuesto contra el Auto de 15 de diciembre de 2000, sobre subasta de fincas en ejecución de Sentencia, por considerar que vulneraba su derecho a obtener la tutela judicial efectiva de los Jueces y Tribunales, reconocido en el artículo 24.1 CE.</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que han dado lugar a la demanda de amparo, sucintamente expuestos, son los siguientes: a) Con fecha de 26 de junio de 1991, los recurrentes en amparo compraron a don José Navarro Guillén -empresario- y a doña Consuelo Grau Vaillo, siete fincas, entre ellas, las que llevan el número 9481 y 9640. No obstante, demandado el Sr. Guillén ante el Juzgado de lo Social núm. 6 de Alicante por varios de sus trabajadores, por Sentencia de 5 de abril de 1993 se le condenó al abono de determinadas indemnizaciones y, en trámite de ejecución y ante el impago de las mismas, se procedió, mediante proveído de 6 de julio de 1993 al embargo de una serie de fincas y, entre ellas, las que llevan los núms. 9481 y 9640. </w:t>
      </w:r>
    </w:p>
    <w:p w:rsidR="000B622C" w:rsidRDefault="000B622C" w:rsidP="000B622C">
      <w:pPr>
        <w:pStyle w:val="TextoNormal"/>
      </w:pPr>
      <w:r>
        <w:t xml:space="preserve">b) Con fecha de 1 de diciembre de 1993, los recurrentes en amparo presentaron escrito ante el Juzgado citado instando al levantamiento de los embargos efectuados sobre las fincas adquiridas y de las que eran titulares desde 1991, que, tramitado como un incidente de tercería, fue trasladado tanto a la parte ejecutante (trabajadores) como a la ejecutada (transmitentes de las fincas), quienes prestaron su conformidad sobre la inoportunidad de la traba de los bienes reclamados e instaron la continuación del procedimiento ejecutivo en relación con las restantes fincas no pertenecientes a los recurrentes en amparo. </w:t>
      </w:r>
    </w:p>
    <w:p w:rsidR="000B622C" w:rsidRDefault="000B622C" w:rsidP="000B622C">
      <w:pPr>
        <w:pStyle w:val="TextoNormal"/>
      </w:pPr>
      <w:r>
        <w:lastRenderedPageBreak/>
        <w:t xml:space="preserve">c) No obstante lo anterior, las fincas litigiosas -junto con las restantes embargadas- fueron objeto de tasación por Perito Judicial, acordándose, mediante proveído de 8 de noviembre de 1996, sacarlas a pública subasta para, mediante Auto de 2 de mayo de 1997, adjudicárselas al Fondo de Garantía Salarial, por la suma de 8.855.625 de pesetas. d) El 9 de marzo de 1999 los recurrentes en amparo comparecieron ante el Juzgado de lo Social núm. 6 solicitando testimonio de determinadas actuaciones, y con fecha de 17 de marzo de 1999 comparecieron ante el Fondo de Garantía Salarial (en lo sucesivo, FOGASA) instándole a solicitar ante el Juzgado la nulidad de actuaciones y, en su efecto, de la subasta de las fincas en cuestión, a lo que este último se opuso sobre la base del art. 65 de la Ley de Patrimonio del Estado. </w:t>
      </w:r>
    </w:p>
    <w:p w:rsidR="000B622C" w:rsidRDefault="000B622C" w:rsidP="000B622C">
      <w:pPr>
        <w:pStyle w:val="TextoNormal"/>
      </w:pPr>
      <w:r>
        <w:t>e) El 28 de julio de 2000 los hoy actores presentaron escrito ante el Juzgado de lo Social núm. 6, solicitando se diese trámite a su escrito de mayo de 1994 en la ejecutoria 154/93, en orden a declarar la nulidad de la adjudicación de los bienes al FOGASA, lo que fue denegado por Auto de 15 de diciembre de 2000 y ratificado posteriormente por Auto de 4 de junio de 2001.</w:t>
      </w:r>
    </w:p>
    <w:p w:rsidR="000B622C" w:rsidRDefault="000B622C" w:rsidP="000B622C">
      <w:pPr>
        <w:pStyle w:val="TextoNormal"/>
      </w:pPr>
    </w:p>
    <w:p w:rsidR="000B622C" w:rsidRDefault="000B622C" w:rsidP="000B622C">
      <w:pPr>
        <w:pStyle w:val="TextoNormal"/>
      </w:pPr>
      <w:r w:rsidRPr="000B622C">
        <w:rPr>
          <w:rStyle w:val="NumeroAFNegritaCaracter"/>
        </w:rPr>
        <w:t>3</w:t>
      </w:r>
      <w:r>
        <w:t>. La demanda de amparo denuncia la vulneración del derecho a la tutela judicial efectiva (art. 24.1 CE), al haber incurrido -a su juicio- en un error judicial, pues, a pesar de la solicitud del levantamiento del embargo de los bienes y del reconocimiento por las partes de su pertenencia a los recurrentes en amparo, el Juzgado dejó incontestada su pretensión procediendo a subastar los bienes reclamados.</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la Sala Primera de 27 de febrero de 2002 se acordó la admisión a trámite del recurso, y en aplicación de lo previsto en el art. 51 LOTC, se dirigió comunicación al Juzgado de lo Social núm. 6 de Alicante a fin de que en el plazo de diez días remitiesen certificación o copia adverada de las actuaciones correspondientes al procedimiento núm. 89/93 (ejec. 154/93), con emplazamiento de quienes hubieran sido parte en el procedimiento, excepto la parte recurrente en amparo, a fin de que en el plazo de diez días pudiesen comparecer ante este Tribunal Constitucional, si así lo deseasen.</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En su escrito de demanda de amparo de 27 de julio de 2001, y por medio de otrosí, la parte actora interesó la suspensión de la ejecución de la resolución judicial objeto del presente recurso, por cuanto su ejecución ocasionaría un perjuicio que haría perder al amparo su finalidad, por tratarse del embargo y adjudicación al FOGASA de tres fincas que tiene interés en subastar, y podrían adjudicarse a un tercero registral de buena fe. Por providencia de la misma Sala de fecha de 27 de febrero de 2002, se ordenó formar la presente pieza separada de suspensión, concediendo a las partes personadas y al Ministerio Fiscal (ex art. 56 LOTC) el plazo común de tres días para que formulasen alegaciones al respecto.6. En cumplimiento del trámite conferido, la parte recurrente presentó el 5 de marzo de 2002 su escrito de alegaciones insistiendo una vez más en las consecuencias que la ejecución acarrearía, pues en el caso de producirse la subasta de las fincas por el FOGASA y adjudicarse a terceros registrales de buena fe, el amparo perdería su finalidad. Además, de un lado, la suspensión no le causa perjuicio alguno al FOGASA, toda vez que mantiene sus garantías sobre las finca, y de otra parte, nunca se opuso a ella, pues el Juzgado de lo Social núm. 6 de Alicante suspendió con fecha de 27 de julio de 2000 el procedimiento de subasta pública de las fincas controvertidas y el propio FOGASA -ante el escrito de los </w:t>
      </w:r>
      <w:r>
        <w:lastRenderedPageBreak/>
        <w:t xml:space="preserve">actores de fecha de 21 de noviembre de 2001- suspendió la subasta señalada para el día 18 de diciembre de 2001, al conocer la existencia del recurso de amparo. </w:t>
      </w:r>
    </w:p>
    <w:p w:rsidR="000B622C" w:rsidRDefault="000B622C" w:rsidP="000B622C">
      <w:pPr>
        <w:pStyle w:val="TextoNormal"/>
      </w:pPr>
      <w:r>
        <w:t>7. El Ministerio Fiscal evacuó el trámite de alegaciones por escrito registrado el día 8 de marzo de 2002, interesando se declarase haber lugar a la suspensión solicitada en aplicación de la doctrina de este Tribunal, según la cual, en principio, la ejecución de resoluciones judiciales que puedan entrañar la enajenación forzosa de los bienes embargados o la transmisión a un tercero de la propiedad de un determinado bien, del que éste podría disponer haciendo así que fuera irrecuperable (AATC 565/1986, 52/1989, 222/1992, 183/1996, 309/1996, 5/1997, 203/1999 y 174/2000, entre otros), les causaría un perjuicio irreparable, pues de llevarse a efecto lo acordado en la Sentencia de remate, los demandantes de amparo se verían privados de la posesión de las fincas sobre las que invocan su propiedad. Además, la suspensión no perturba gravemente ni los intereses generales ni los derechos fundamentales o libertades públicas de terceros.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000B622C" w:rsidRDefault="000B622C" w:rsidP="000B622C">
      <w:pPr>
        <w:pStyle w:val="TextoNormal"/>
      </w:pPr>
      <w: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 Por el contrario, si  la resolución judicial versa sobre el embargo de una finca, hemos dicho que, de seguirse la ejecución, ello podría producir situaciones irreversibles o de difícil reparación cuando como </w:t>
      </w:r>
      <w:r>
        <w:lastRenderedPageBreak/>
        <w:t>consecuencia de la continuación de la ejecución se procediera a la subasta de la finca embargada y su posterior transmisión a terceros adquirentes. En tales casos, este Tribunal considera procedente la suspensión de los actos de ejecución, supeditándola, en ocasiones, a la previa prestación de una fianza que asegure al ejecutante la indemnización de los daños que pudiera ocasionarle la suspensión de la ejecución (AATC 565/1986, de 2 de julio, FJ Único; 181/1990, de 23 de abril, FJ Único; 59/1996, de 11 de marzo, FJ 3; 129/1997, de 5 de mayo, FJ 2; 207/2000, de 18 de septiembre, FJ 3; y 45/2001, de 26 de febrero, FJ 1, por todas).</w:t>
      </w:r>
    </w:p>
    <w:p w:rsidR="000B622C" w:rsidRDefault="000B622C" w:rsidP="000B622C">
      <w:pPr>
        <w:pStyle w:val="TextoNormal"/>
      </w:pPr>
    </w:p>
    <w:p w:rsidR="000B622C" w:rsidRDefault="000B622C" w:rsidP="000B622C">
      <w:pPr>
        <w:pStyle w:val="TextoNormal"/>
      </w:pPr>
      <w:r w:rsidRPr="000B622C">
        <w:rPr>
          <w:rStyle w:val="NumeroAFNegritaCaracter"/>
        </w:rPr>
        <w:t>2</w:t>
      </w:r>
      <w:r>
        <w:t>. La proyección de los anteriores criterios jurisprudenciales al presente recurso conduce a la concesión de la suspensión solicitada. En efecto, los demandantes de amparo justifican su petición de suspensión en la existencia de circunstancias que, vinculadas al cumplimiento y ejecución de las resoluciones judiciales impugnadas, pueden generar "un perjuicio que haría perder al amparo su finalidad" (art. 56.1 LOTC). Y ello porque de adjudicarse en pública subasta a terceros de buena fe las fincas cuya propiedad reclaman, los perjuicios que se les ocasionarían serían irreversibles y, en consecuencia, no serían susceptibles de ser reparados en la hipótesis de que la pretensión de amparo llegase a prosperar, por lo que debe prevalecer en este supuesto el interés de la parte a la suspensión, sobre el general que se halla en el cumplimiento de las resoluciones judiciales.</w:t>
      </w:r>
    </w:p>
    <w:p w:rsidR="000B622C" w:rsidRDefault="000B622C" w:rsidP="000B622C">
      <w:pPr>
        <w:pStyle w:val="TextoNormal"/>
      </w:pPr>
      <w:r>
        <w:t>Procede, en suma, adoptar la medida cautelar prevista en el art. 56 LOTC, sin necesidad de prestar fianza, pues conforme a lo alegado tanto por la parte actora como por el Ministerio Público, el hecho de paralizar la subasta de los bienes cuya propiedad se discute no degenera en perjuicio alguno para el FOGASA -adjudicatario de los bienes litigiosos-, pues éste sigue conservando los bienes como garantía de sus derechos.</w:t>
      </w:r>
    </w:p>
    <w:p w:rsidR="000B622C" w:rsidRDefault="000B622C" w:rsidP="000B622C">
      <w:pPr>
        <w:pStyle w:val="TextoNormal"/>
      </w:pPr>
    </w:p>
    <w:p w:rsidR="000B622C" w:rsidRDefault="000B622C" w:rsidP="000B622C">
      <w:pPr>
        <w:pStyle w:val="TextoNormal"/>
      </w:pPr>
      <w:r>
        <w:t>Por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Suspender la ejecución de los Autos recurridos en amparo, de 4 de junio de 2001 y de 15 de diciembre de 2000.</w:t>
      </w:r>
    </w:p>
    <w:p w:rsidR="000B622C" w:rsidRDefault="000B622C" w:rsidP="000B622C">
      <w:pPr>
        <w:pStyle w:val="TextoNormal"/>
      </w:pPr>
    </w:p>
    <w:p w:rsidR="000B622C" w:rsidRDefault="000B622C" w:rsidP="000B622C">
      <w:pPr>
        <w:pStyle w:val="TextoNormal"/>
      </w:pPr>
      <w:r>
        <w:t>Madrid, a veintidos de marzo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51" w:name="AUTO_2002_50"/>
      <w:r>
        <w:lastRenderedPageBreak/>
        <w:t>AUTO 50/2002, de 2 de abril de 2002</w:t>
      </w:r>
    </w:p>
    <w:bookmarkEnd w:id="151"/>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ECLI:ES:TC:2002:50A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5098/99, interpuesto por don Reinaldo Gómez Guijarro</w:t>
      </w:r>
    </w:p>
    <w:p w:rsidR="000B622C" w:rsidRDefault="000B622C" w:rsidP="000B622C">
      <w:pPr>
        <w:pStyle w:val="SntesisDescriptiva"/>
      </w:pPr>
    </w:p>
    <w:p w:rsidR="000B622C" w:rsidRDefault="000B622C" w:rsidP="000B622C">
      <w:pPr>
        <w:pStyle w:val="SntesisAnaltica"/>
      </w:pPr>
      <w:r>
        <w:t>Resolución administrativa. Derecho a la asistencia de letrado; derecho a la presunción de inocencia: procedimiento disciplinario penitenciario.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día 2 de diciembre de 1999 tuvo entrada en el Registro General de este Tribunal un escrito de don Reinaldo Gómez Guijarro, entonces inPenitenciario de Valladolid. En él se solicita la designación de Abogado y Procurador del turno de oficio para interponer recurso de amparo contra los Autos de los que se hace mérito en el encabezamiento y las resoluciones administrativas dictadas en el expediente disciplinario 12/99, instruido en el Centro Penitenciario de Nanclares de la Oca (Alava), del que aquéllos traen causa.</w:t>
      </w:r>
    </w:p>
    <w:p w:rsidR="000B622C" w:rsidRDefault="000B622C" w:rsidP="000B622C">
      <w:pPr>
        <w:pStyle w:val="TextoNormal"/>
      </w:pPr>
    </w:p>
    <w:p w:rsidR="000B622C" w:rsidRDefault="000B622C" w:rsidP="000B622C">
      <w:pPr>
        <w:pStyle w:val="TextoNormal"/>
      </w:pPr>
      <w:r w:rsidRPr="000B622C">
        <w:rPr>
          <w:rStyle w:val="NumeroAFNegritaCaracter"/>
        </w:rPr>
        <w:t>2</w:t>
      </w:r>
      <w:r>
        <w:t>. Por diligencia de ordenación de 16 de diciembre de 1999 se otorgó al recurrente un plazo de diez días para que aportase copia del Auto de 9 de noviembre de 1999 y de las resoluciones administrativas. La documentación requerida se aportó el 14 de enero de 2000.</w:t>
      </w:r>
    </w:p>
    <w:p w:rsidR="000B622C" w:rsidRDefault="000B622C" w:rsidP="000B622C">
      <w:pPr>
        <w:pStyle w:val="TextoNormal"/>
      </w:pPr>
    </w:p>
    <w:p w:rsidR="000B622C" w:rsidRDefault="000B622C" w:rsidP="000B622C">
      <w:pPr>
        <w:pStyle w:val="TextoNormal"/>
      </w:pPr>
      <w:r w:rsidRPr="000B622C">
        <w:rPr>
          <w:rStyle w:val="NumeroAFNegritaCaracter"/>
        </w:rPr>
        <w:t>3</w:t>
      </w:r>
      <w:r>
        <w:t>. Mediante nueva diligencia de ordenación de 20 de enero de 2000 se remitió comunicación al Colegio de Abogados de Madrid, con copia de los escritos presentados, a fin de que, en aplicación de lo dispuesto en la Ley 1/1996, de Asistencia Jurídica Gratuita y del Acuerdo del Pleno de este Tribunal de 18 de junio de 1996, se designasen al recurrente, si procedía, Abogado y Procurador de los que por turno correspondiera.</w:t>
      </w:r>
    </w:p>
    <w:p w:rsidR="000B622C" w:rsidRDefault="000B622C" w:rsidP="000B622C">
      <w:pPr>
        <w:pStyle w:val="TextoNormal"/>
      </w:pPr>
    </w:p>
    <w:p w:rsidR="000B622C" w:rsidRDefault="000B622C" w:rsidP="000B622C">
      <w:pPr>
        <w:pStyle w:val="TextoNormal"/>
      </w:pPr>
      <w:r w:rsidRPr="000B622C">
        <w:rPr>
          <w:rStyle w:val="NumeroAFNegritaCaracter"/>
        </w:rPr>
        <w:t>4</w:t>
      </w:r>
      <w:r>
        <w:t>. Por diligencia de ordenación de 21 de febrero de 2000 se tuvo por designados por el turno de oficio como Procuradora a doña Begoña López Cerezo y como Abogado a don Eugenio Rubio Linares. Igualmente se dispuso la comunicación de dichas designaciones a los afectados y al recurrente en amparo, así como la entrega de copia de los escritos presentados en el presente recurso a la indicada Procuradora para que los pasase a estudio del citado Abogado a fin de que se formalizara la demanda de amparo en el plazo de veinte días con sujeción a lo previsto en el art. 49 LOTC, indicándose que, en caso de estimar insostenible el recurso o la falta de documentación, el Letrado debía atenerse a lo dispues</w:t>
      </w:r>
      <w:r>
        <w:lastRenderedPageBreak/>
        <w:t>to en los arts. 32 y 33 de la Ley 1/1996, de 12 de enero, de Asistencia Jurídica Gratuita, poniéndolo en conocimiento de este Tribunal.</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Mediante escrito presentado en el Juzgado de guardia el 20 de marzo de 2000 y registrado en este Tribunal el día 22 siguiente el recurrente procedió a la formalización de la demanda fundada en tres motivos de amparo. </w:t>
      </w:r>
    </w:p>
    <w:p w:rsidR="000B622C" w:rsidRDefault="000B622C" w:rsidP="000B622C">
      <w:pPr>
        <w:pStyle w:val="TextoNormal"/>
      </w:pPr>
      <w:r>
        <w:t xml:space="preserve">El primero de ellos hace referencia a la vulneración del derecho a la defensa y asistencia letrada (art. 24.2 CE). Según se indica en el escrito de demanda, el ahora recurrente de amparo, ejercitando el derecho que expresamente le reconoce el art. 242 i) del Reglamento Penitenciario, solicitó la designación de Abogado para que le asistiera en la defensa de sus intereses en el expediente sancionador, sin que esta solicitud fuera atendida. Al tramitarse todo el expediente sin que el interesado pudiera disponer de asistencia letrada se le ocasionó una situación de indefensión y se vulneró el principio de igualdad de armas. </w:t>
      </w:r>
    </w:p>
    <w:p w:rsidR="000B622C" w:rsidRDefault="000B622C" w:rsidP="000B622C">
      <w:pPr>
        <w:pStyle w:val="TextoNormal"/>
      </w:pPr>
      <w:r>
        <w:t xml:space="preserve">El segundo motivo se refiere a la conculcación del derecho a un proceso con todas las garantías (art. 24.2 CE). En el pliego de cargos se relatan unos hechos cuyo fundamento probatorio no se explicita, operándose así un auténtico desplazamiento de la carga de la prueba porque es el interno quien ha de probar lo contrario de unos hechos y no de unas pruebas. Como quiera que no tuvo acceso al expediente sancionador nada más que a través del pliego de cargos y no se le hicieron explícitas las pruebas existentes en su contra, entiende el recurrente que se ha vulnerado su derecho a un proceso con todas las garantías. </w:t>
      </w:r>
    </w:p>
    <w:p w:rsidR="000B622C" w:rsidRDefault="000B622C" w:rsidP="000B622C">
      <w:pPr>
        <w:pStyle w:val="TextoNormal"/>
      </w:pPr>
      <w:r>
        <w:t>Finalmente, también entiende vulnerado el derecho a la presunción de inocencia (art. 24.2 CE) porque analizado el contenido del expediente administrativo se llega a la conclusión de que sólo el pliego de cargos imputa al ahora solicitante de amparo la comisión de unos hechos incardinables en las normas sancionadoras, sin que en ningún momento se pruebe su existencia. El recurrente admite haber reconocido en su escrito de descargo la comisión de determinados actos, que pudieran incardinarse en las normas sancionadoras aplicadas, pero no puede olvidarse que careció en todo momento de asistencia letrada y que tenía derecho a no confesarse culpable.</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Por diligencia de ordenación de 6 de abril de 2000 se concedió a la Procuradora un plazo de seis días para que manifestase si la no presentación de la demanda de amparo era debida a la inactividad de dicha Procuradora o si tal desatención se debe al Abogado que le asiste, otorgándoles un nuevo plazo de diez días para que formalizasen la demanda de amparo. </w:t>
      </w:r>
    </w:p>
    <w:p w:rsidR="000B622C" w:rsidRDefault="000B622C" w:rsidP="000B622C">
      <w:pPr>
        <w:pStyle w:val="TextoNormal"/>
      </w:pPr>
      <w:r>
        <w:t>No obstante, con fecha 12 de abril de 2000 la Secretaria de la Sala expidió nueva diligencia para hacer constar que el escrito registrado el día 22 de marzo anterior, y cuyo contenido se ha resumido en el antecedente quinto, no era un nuevo recurso sino que mediante el mismo la representación procesal de don Reinaldo Gómez Guijarro había procedido a la formalización de la demanda en el presente proceso.</w:t>
      </w:r>
    </w:p>
    <w:p w:rsidR="000B622C" w:rsidRDefault="000B622C" w:rsidP="000B622C">
      <w:pPr>
        <w:pStyle w:val="TextoNormal"/>
      </w:pPr>
    </w:p>
    <w:p w:rsidR="000B622C" w:rsidRDefault="000B622C" w:rsidP="000B622C">
      <w:pPr>
        <w:pStyle w:val="TextoNormal"/>
      </w:pPr>
      <w:r w:rsidRPr="000B622C">
        <w:rPr>
          <w:rStyle w:val="NumeroAFNegritaCaracter"/>
        </w:rPr>
        <w:t>7</w:t>
      </w:r>
      <w:r>
        <w:t>. Mediante nueva diligencia de ordenación de 16 de mayo de 2000 se dirigió atenta comunicación al Juzgado de Vigilancia Penitenciaria de Bilbao para que, a la mayor brevedad posible, remitiese a esta Sala certificación o copia adverada de las actuaciones correspondientes al expediente núm. 2987/99 del recurrente en amparo.</w:t>
      </w:r>
    </w:p>
    <w:p w:rsidR="000B622C" w:rsidRDefault="000B622C" w:rsidP="000B622C">
      <w:pPr>
        <w:pStyle w:val="TextoNormal"/>
      </w:pPr>
    </w:p>
    <w:p w:rsidR="000B622C" w:rsidRDefault="000B622C" w:rsidP="000B622C">
      <w:pPr>
        <w:pStyle w:val="TextoNormal"/>
      </w:pPr>
      <w:r w:rsidRPr="000B622C">
        <w:rPr>
          <w:rStyle w:val="NumeroAFNegritaCaracter"/>
        </w:rPr>
        <w:t>8</w:t>
      </w:r>
      <w:r>
        <w:t xml:space="preserve">. Por providencia de 15 de noviembre de 2000 esta Sección acordó, de conformidad con lo dispuesto en el art. 50.3 LOTC, conceder al demandante de amparo y al Ministerio </w:t>
      </w:r>
      <w:r>
        <w:lastRenderedPageBreak/>
        <w:t>Fiscal un plazo común de diez días para que formulasen, con las aportaciones documentales procedentes, las alegaciones que estimaran pertinentes en relación con la carencia manifiesta de contenido constitucional de la demanda [art. 50.1 c) LOTC], dándoles vista al efecto de las actuaciones recibidas.</w:t>
      </w:r>
    </w:p>
    <w:p w:rsidR="000B622C" w:rsidRDefault="000B622C" w:rsidP="000B622C">
      <w:pPr>
        <w:pStyle w:val="TextoNormal"/>
      </w:pPr>
    </w:p>
    <w:p w:rsidR="000B622C" w:rsidRDefault="000B622C" w:rsidP="000B622C">
      <w:pPr>
        <w:pStyle w:val="TextoNormal"/>
      </w:pPr>
      <w:r w:rsidRPr="000B622C">
        <w:rPr>
          <w:rStyle w:val="NumeroAFNegritaCaracter"/>
        </w:rPr>
        <w:t>9</w:t>
      </w:r>
      <w:r>
        <w:t xml:space="preserve">. El escrito de alegaciones del Ministerio Fiscal se presentó el día 12 de diciembre de 2000. En dicho escrito se exponen las razones por las que, en opinión del Ministerio público, procede la inadmisión a trámite del presente recurso de amparo. </w:t>
      </w:r>
    </w:p>
    <w:p w:rsidR="000B622C" w:rsidRDefault="000B622C" w:rsidP="000B622C">
      <w:pPr>
        <w:pStyle w:val="TextoNormal"/>
      </w:pPr>
      <w:r>
        <w:t xml:space="preserve">Respecto de la vulneración del derecho de defensa y asistencia letrada, se señala que, en cumplimiento de las previsiones normativas aplicables, al notificársele al ahora demandante de amparo el pliego de cargos se le informó específicamente de que podía ejercitar su derecho de defensa o asesoramiento por letrado, funcionario, o por cualquier persona que aquél designara. Frente a ello, el interno trató de disfrutar de asistencia jurídica gratuita, solicitándola del Colegio de Abogados de Palencia y no de la Administración penitenciaria, a la que únicamente informó de su propósito en el pliego de descargo, pero sin aducirlo en el curso del expediente dándole alguna virtualidad. Por otro lado, tampoco lo solicitó al Juzgado de Vigilancia Penitenciaria. </w:t>
      </w:r>
    </w:p>
    <w:p w:rsidR="000B622C" w:rsidRDefault="000B622C" w:rsidP="000B622C">
      <w:pPr>
        <w:pStyle w:val="TextoNormal"/>
      </w:pPr>
      <w:r>
        <w:t xml:space="preserve">En relación con el derecho a un proceso con todas las garantías, apunta el Ministerio Fiscal que el examen del expediente sancionador pone de relieve cómo el pliego de cargos notificado al ahora solicitante de amparo contiene en su encabezamiento la indicación de que los hechos imputados habían sido denunciados por determinados funcionarios, que se especifican, e informados también por un concreto jefe de servicio. A su vez, en la propuesta de resolución se mencionan todas y cada una de las actuaciones realizadas en el expediente. A mayor abundamiento, los escritos dirigidos por el interno a la Administración penitenciaria durante la tramitación del expediente se referían a las pruebas practicadas y a negarles, en apoyo de su pretensión, toda validez. Consecuentemente, debe afirmarse que el recurrente formula una genérica invocación de indefensión sin aducir, apuntar ni especificar qué concreto óbice y obstáculo se ha puesto a su pretensión, ni cuál ha sido la actividad defensiva que se le ha impedido desplegar. </w:t>
      </w:r>
    </w:p>
    <w:p w:rsidR="000B622C" w:rsidRDefault="000B622C" w:rsidP="000B622C">
      <w:pPr>
        <w:pStyle w:val="TextoNormal"/>
      </w:pPr>
      <w:r>
        <w:t>Finalmente, la alegada vulneración del derecho a la presunción de inocencia carece manifiestamente de contenido constitucional puesto que, además del parte de los funcionarios, está el reconocimiento de los hechos por el propio recurrente tanto en el pliego de descargo como en los ulteriores recursos de alzada y reforma. De donde cabe concluir que hubo verdadera prueba, constituida por el testimonio de los funcionarios y el reconocimiento del propio interno.</w:t>
      </w:r>
    </w:p>
    <w:p w:rsidR="000B622C" w:rsidRDefault="000B622C" w:rsidP="000B622C">
      <w:pPr>
        <w:pStyle w:val="TextoNormal"/>
      </w:pPr>
    </w:p>
    <w:p w:rsidR="000B622C" w:rsidRDefault="000B622C" w:rsidP="000B622C">
      <w:pPr>
        <w:pStyle w:val="TextoNormal"/>
      </w:pPr>
      <w:r w:rsidRPr="000B622C">
        <w:rPr>
          <w:rStyle w:val="NumeroAFNegritaCaracter"/>
        </w:rPr>
        <w:t>10</w:t>
      </w:r>
      <w:r>
        <w:t>. Con fecha 20 de diciembre de 2000 se levantó diligencia para hacer constar que no se ha recibido escrito alguno de la Procuradora Sra. López Cerezo en la representación que ostenta, evacuando el trámite conferido por providencia de 15 de noviembre anterior.</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Los orígenes de este recurso de amparo se remontan a los incidentes acaecidos en el Centro Penitenciario de Nanclares de la Oca (Alava) el 12 de enero de 1999, a resultas de los cuales la Comisión Disciplinaria del Establecimiento acordó la apertura de expediente disciplinario al ahora solicitante de amparo.  Este expediente concluyó mediante resolución de 20 de abril de 1999 por la que se impusieron al interno sendas sanciones de cator</w:t>
      </w:r>
      <w:r>
        <w:lastRenderedPageBreak/>
        <w:t>ce días de aislamiento en celda al estimarlo responsable de la comisión de dos faltas muy graves tipificadas en el art. 108 d) y f) del Reglamento Penitenciario.</w:t>
      </w:r>
    </w:p>
    <w:p w:rsidR="000B622C" w:rsidRDefault="000B622C" w:rsidP="000B622C">
      <w:pPr>
        <w:pStyle w:val="TextoNormal"/>
      </w:pPr>
      <w:r>
        <w:t>Este decisión fue parcialmente revocada en grado de alzada por Auto del Juzgado de Vigilancia Penitenciaria de Bilbao de 24 de septiembre de 1999 en el que si bien se entiende acreditada la comisión de las infracciones, se reducen las sanciones a seis y ocho días de aislamiento en celda, respectivamente. El posterior recurso de reforma interpuesto contra esta resolución judicial fue desestimado mediante nuevo Auto de 9 de noviembre de 1999.</w:t>
      </w:r>
    </w:p>
    <w:p w:rsidR="000B622C" w:rsidRDefault="000B622C" w:rsidP="000B622C">
      <w:pPr>
        <w:pStyle w:val="TextoNormal"/>
      </w:pPr>
      <w:r>
        <w:t>El recurrente en amparo denuncia que en estas actuaciones se habrían vulnerado sus derechos fundamentales a la defensa y asistencia letrada, a un proceso con todas las garantías y a la presunción de inocencia (art. 24.2 CE). Sin embargo, el Ministerio Fiscal considera que las quejas formuladas por el demandante carecen manifiestamente de contenido que justifique un pronunciamiento sobre el fondo por parte de este Tribunal.</w:t>
      </w:r>
    </w:p>
    <w:p w:rsidR="000B622C" w:rsidRDefault="000B622C" w:rsidP="000B622C">
      <w:pPr>
        <w:pStyle w:val="TextoNormal"/>
      </w:pPr>
      <w:r>
        <w:t>Una atenta lectura de las actuaciones nos lleva a compartir la opinión expresada por el Ministerio Fiscal en su escrito de alegaciones y, consiguientemente, a inadmitir a trámite la presente demanda de amparo, por las razones que a continuación se exponen.</w:t>
      </w:r>
    </w:p>
    <w:p w:rsidR="000B622C" w:rsidRDefault="000B622C" w:rsidP="000B622C">
      <w:pPr>
        <w:pStyle w:val="TextoNormal"/>
      </w:pPr>
    </w:p>
    <w:p w:rsidR="000B622C" w:rsidRDefault="000B622C" w:rsidP="000B622C">
      <w:pPr>
        <w:pStyle w:val="TextoNormal"/>
      </w:pPr>
      <w:r w:rsidRPr="000B622C">
        <w:rPr>
          <w:rStyle w:val="NumeroAFNegritaCaracter"/>
        </w:rPr>
        <w:t>2</w:t>
      </w:r>
      <w:r>
        <w:t>. En relación con el primer motivo del recurso, atinente a la infracción del derecho a la defensa y asistencia letrada, es preciso comenzar recordando que según tiene dicho este Tribunal, en el ámbito del procedimiento penitenciario sancionador "el derecho a la defensa y asistencia letrada puede ejercitarse no sólo mediante la asistencia de Abogado del interno sino también con el auxilio de funcionarios del propio Centro Penitenciario y, muy especialmente, del Jurista Criminólogo" (SSTC 181/1999, de 11 de octubre, FJ 4, y 27/2001, de 29 de enero, FJ 10). Teniendo en todo momento presente esta doctrina, cumple dejar constancia, en primer lugar, de que en el pliego de cargos formulado por el instructor del expediente sancionador y notificado al ahora recurrente en amparo el 27 de enero de 1999 se le comunicaba a éste que "en el presente procedimiento sancionador y para la redacción del pliego de descargos, puede ser asesorado por letrado, funcionario o por cualquier persona que Ud.  designe".  Habiéndosele ofrecido esta posibilidad, el interno dejó constancia en el pliego de descargo, datado el 21 de febrero de 1999, de que el día anterior había solicitado del Colegio de Abogados la designación de letrado de oficio, limitándose a interesar del instructor que se le facilitara su intervención en toda la tramitación del expediente con asistencia de letrado del turno de oficio. Pues bien, según puede fácilmente colegirse de la lectura de estos escritos, ningún reproche cabe hacer a la Administración penitenciaria en relación con el derecho a la defensa y asistencia letrada (art.  24.2 CE) toda vez que no fue a ella a quien se solicitó la designación de Letrado del turno de oficio. A mayor abundamiento, en el escrito formalizando el recurso de alzada que elevó al Juzgado de Vigilancia Penitenciaria lo que reprocha el ahora solicitante de amparo a la tramitación del expediente es el hecho de que no se le permitiera el asesoramiento de su abogado, lo que parece apuntar más bien una queja por no haberse suspendido la tramitación del expediente. Sin embargo, tampoco esta queja reviste relevancia constitucional porque el interno no solicitó expresamente en ningún momento la suspensión del expediente, ni la comunicación de aquél con el Colegio de Abogados se configura en nuestro Ordenamiento como causa de suspensión.</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Los otros dos motivos, vulneración de los derechos a un proceso con todas las garantías y a la presunción de inocencia (art. 24.2 CE), merecen una respuesta conjunta por cuanto ambos son cobertura de una idéntica queja relativa a la falta de actividad probatoria </w:t>
      </w:r>
      <w:r>
        <w:lastRenderedPageBreak/>
        <w:t>en el expediente. Sin embargo, como acertadamente ha puesto de relieve el Ministerio Fiscal, esta denuncia no se compadece ni con el contenido del pliego de cargos y propuesta de resolución, escritos en los que se relacionan los medios probatorios empleados por la Administración penitenciaria, ni con las alegaciones del recurso de alzada, donde el interno solicita, entre otros extremos, la reproducción de las pruebas practicadas y no la práctica de prueba alguna que le hubiera sido denegada.</w:t>
      </w:r>
    </w:p>
    <w:p w:rsidR="000B622C" w:rsidRDefault="000B622C" w:rsidP="000B622C">
      <w:pPr>
        <w:pStyle w:val="TextoNormal"/>
      </w:pPr>
      <w:r>
        <w:t>Por consiguiente, es de apreciar no sólo que se practicó prueba de cargo en la tramitación del expediente disciplinario instruido contra el ahora solicitante de amparo, sino también que la queja que ahora debemos rechazar por su manifiesta falta de contenido constitucional no fue planteada ante el Juzgado de Vigilancia Penitenciaria de Bilbao, al que no se le brindó la oportunidad de reparar una lesión que per saltum trata de hacerse valer inapropiadamente ante este Tribunal.</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dos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52" w:name="AUTO_2002_51"/>
      <w:r>
        <w:lastRenderedPageBreak/>
        <w:t>AUTO 51/2002, de 2 de abril de 2002</w:t>
      </w:r>
    </w:p>
    <w:bookmarkEnd w:id="152"/>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ECLI:ES:TC:2002:51A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3069-2000, interpuesto por don José Fernández Cabado</w:t>
      </w:r>
    </w:p>
    <w:p w:rsidR="000B622C" w:rsidRDefault="000B622C" w:rsidP="000B622C">
      <w:pPr>
        <w:pStyle w:val="SntesisDescriptiva"/>
      </w:pPr>
    </w:p>
    <w:p w:rsidR="000B622C" w:rsidRDefault="000B622C" w:rsidP="000B622C">
      <w:pPr>
        <w:pStyle w:val="SntesisAnaltica"/>
      </w:pPr>
      <w:r>
        <w:t>Resolución penal. Derecho a la libertad personal: prisión provisional motivada, respetado. Agotamiento de los recursos en la vía judicial: recurso de súplica contra Auto de prisión provisional. Recurso de amparo: lesión efectiva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27 de mayo de 2000, don José Fernández Cabado, actuando en su propio nombre y representación, interpuso recurso de amparo contra la resolución judicial de la que se hace mérito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Son relevantes para resolver acerca de la admisión los siguientes hechos: </w:t>
      </w:r>
    </w:p>
    <w:p w:rsidR="000B622C" w:rsidRDefault="000B622C" w:rsidP="000B622C">
      <w:pPr>
        <w:pStyle w:val="TextoNormal"/>
      </w:pPr>
      <w:r>
        <w:t xml:space="preserve">a) En el Procedimiento abreviado dimanante de las diligencias previas núm. 1993/95, tramitadas por el Juzgado de Instrucción núm. 26 de Barcelona y cuyo enjuiciamiento correspondía a la Sección Sexta de la Audiencia Provincial de Barcelona, ésta señaló el día 4 de mayo de 2000 para la celebración del juicio oral. </w:t>
      </w:r>
    </w:p>
    <w:p w:rsidR="000B622C" w:rsidRDefault="000B622C" w:rsidP="000B622C">
      <w:pPr>
        <w:pStyle w:val="TextoNormal"/>
      </w:pPr>
      <w:r>
        <w:t xml:space="preserve">b) Con fecha 28 de abril de 2000 el coencausado don Jordi Estrada Pinazo comunicó al órgano judicial su imposibilidad de comparecer a la vista por causa médica. Sin embargo su reconocimiento por el médico forense no fue posible porque no pudo ser localizado en su domicilio los días 2 y 3 de mayo de 2000. Consecuentemente el órgano judicial acordó mantener la fecha de señalamiento. </w:t>
      </w:r>
    </w:p>
    <w:p w:rsidR="000B622C" w:rsidRDefault="000B622C" w:rsidP="000B622C">
      <w:pPr>
        <w:pStyle w:val="TextoNormal"/>
      </w:pPr>
      <w:r>
        <w:t>c) En la mañana del mismo día 4 de mayo de 2000 el ahora solicitante de amparo comunicó a la Sección Sexta de la Audiencia Provincial de Barcelona que n por haber sufrido un fuerte ataque de migraña. d) Mediante Auto de 4 de mayo de 2000 el órgano judicial, al estimar que la conducta del acusado era elusiva de la acción de la justicia, acordó, conforme a lo dispuesto en los arts. 539 y 504 bis 2 LECrim., su busca y captura e ingreso en prisión, y señaló el plazo de tres días, a contar desde el momento en que se hiciera efectiva la detención, para la celebración de la vista con objeto de decidir sobre la situación personal del coencausado.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El solicitante de amparo denuncia una multitud de vulneraciones constitucionales. Concretamente, se formulan hasta cinco quejas susceptibles de reconducción al contexto de los derechos fundamentales. Así, en primer lugar, de acuerdo con los arts. 15, 17, 18 y </w:t>
      </w:r>
      <w:r>
        <w:lastRenderedPageBreak/>
        <w:t xml:space="preserve">24 CE y concordantes y 489 LECrim., se sostiene que, en particular tras la STC 47/2000, de 17 de febrero, no es conforme a Derecho que el Auto de 4 de mayo de 2000 decrete la prisión provisional comunicada y sin fianza del recurrente, ordenando su búsqueda y captura e inmediato ingreso en prisión. En segundo lugar, e invocando el art. 24 CE y concordantes, se queja el demandante de que el órgano judicial acordara su ingreso en prisión sin brindarle la oportunidad de estar presente y defenderse; bajo este mismo motivo se cuestiona la tramitación del recurso de reforma y subsidiario de apelación que en su día interpusiera contra la admisión de la querella origen del proceso judicial del que trae causa este amparo. </w:t>
      </w:r>
    </w:p>
    <w:p w:rsidR="000B622C" w:rsidRDefault="000B622C" w:rsidP="000B622C">
      <w:pPr>
        <w:pStyle w:val="TextoNormal"/>
      </w:pPr>
      <w:r>
        <w:t xml:space="preserve">En tercer lugar se denuncia la infracción del derecho a un proceso con todas las garantías y a la imparcialidad del juez. Aquí se cuestiona tanto la actuación del Tribunal Superior de Justicia de Cataluña -por comparación con el de Madrid- en cuanto al nombramiento de Juez instructor para la tramitación de querella contra un Magistrado, como el hecho de que sea la propia Sala ante la que ha de celebrarse el juicio la que acuerde el ingreso en prisión provisional del recurrente. También denuncia el recurrente haber sido sometido a un trato inhumano, degradante o incorrecto, en conexión con el quebrantamiento de la proscripción de indefensión. </w:t>
      </w:r>
    </w:p>
    <w:p w:rsidR="000B622C" w:rsidRDefault="000B622C" w:rsidP="000B622C">
      <w:pPr>
        <w:pStyle w:val="TextoNormal"/>
      </w:pPr>
      <w:r>
        <w:t xml:space="preserve">Por último se denuncia la existencia de un vicio de incongruencia omisiva, siendo así que se cumplen los requisitos exigidos por la Sala de lo Penal del Tribunal Supremo para que proceda el recurso o incidente de nulidad de actuaciones. </w:t>
      </w:r>
    </w:p>
    <w:p w:rsidR="000B622C" w:rsidRDefault="000B622C" w:rsidP="000B622C">
      <w:pPr>
        <w:pStyle w:val="TextoNormal"/>
      </w:pPr>
      <w:r>
        <w:t>Consecuentemente el interesado solicita la anulación de las actuaciones y resoluciones judiciales recurridas. Por medio de otrosí -el tercero de ellos- interesa la suspensión del Auto dictado por la Audiencia Provincial (Sección Sexta) de Barcelona de 4 de mayo de 2000.</w:t>
      </w:r>
    </w:p>
    <w:p w:rsidR="000B622C" w:rsidRDefault="000B622C" w:rsidP="000B622C">
      <w:pPr>
        <w:pStyle w:val="TextoNormal"/>
      </w:pPr>
    </w:p>
    <w:p w:rsidR="000B622C" w:rsidRDefault="000B622C" w:rsidP="000B622C">
      <w:pPr>
        <w:pStyle w:val="TextoNormal"/>
      </w:pPr>
      <w:r w:rsidRPr="000B622C">
        <w:rPr>
          <w:rStyle w:val="NumeroAFNegritaCaracter"/>
        </w:rPr>
        <w:t>4</w:t>
      </w:r>
      <w:r>
        <w:t>. Mediante providencia de 31 de enero de 2001 esta Sección acordó, de conformidad con lo dispuesto en el art. 50.3 LOTC, conceder al demandante de amparo y al Ministerio Fiscal el plazo común de diez días para que formulasen, con las aportaciones documentales procedentes, las alegaciones que estimaran pertinentes en relación con la posible concurrencia de la causa de inadmisión recogida en el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Ministerio Fiscal presentó su escrito de alegaciones el 23 de febrero de 2001. Tras resumir los antecedentes fácticos pone de manifiesto las dificultades de comprensión que plantea una demanda en relación con la cual "sólo mediante una ardua labor selectiva, y la identificación en el encabezamiento del escrito del auto de 4 de mayo de 2000, puede colegirse que en realidad las concretas vulneraciones que el actor denuncia, se centran en una supuesta infracción del derecho a la libertad del artículo 17.1 CE, así como del derecho a la tutela judicial efectiva del artículo 24.1 CE, en base a una supuesta falta de motivación o motivación irrazonable de la resolución impugnada". </w:t>
      </w:r>
    </w:p>
    <w:p w:rsidR="000B622C" w:rsidRDefault="000B622C" w:rsidP="000B622C">
      <w:pPr>
        <w:pStyle w:val="TextoNormal"/>
      </w:pPr>
      <w:r>
        <w:t xml:space="preserve">Sentado esto se advierte acerca de la concurrencia de la causa de inadmisión prevista en el art. 44.1 a) LOTC, puesto que el Auto aquí impugnado era susceptible de recurso de súplica ante el mismo órgano judicial que lo dictó. Al no haberse acudido a esta vía y traerse per saltum la cuestión ante este Tribunal ha de concluirse que no se agotó la vía judicial, óbice procesal cuya concurrencia impide todo ulterior pronunciamiento por parte de este Tribunal. </w:t>
      </w:r>
    </w:p>
    <w:p w:rsidR="000B622C" w:rsidRDefault="000B622C" w:rsidP="000B622C">
      <w:pPr>
        <w:pStyle w:val="TextoNormal"/>
      </w:pPr>
      <w:r>
        <w:t xml:space="preserve">Alternativamente expone el Ministerio Fiscal las razones por las que la demanda carece manifiestamente de contenido que justifique un pronunciamiento sobre el fondo. A este respecto destaca que en el Auto de 4 de mayo de 2000 se satisfacen adecuadamente las </w:t>
      </w:r>
      <w:r>
        <w:lastRenderedPageBreak/>
        <w:t xml:space="preserve">exigencias de la doctrina constitucional cuando del establecimiento o prolongación de la prisión provisional se trata: persigue un fin constitucionalmente legítimo (garantizar la administración de la justicia que la ausencia del recurrente a la vista oral había puesto en grave riesgo) y valora las circunstancias concretas (de donde infiere la renuencia del actor a someterse a la acción de la justicia). </w:t>
      </w:r>
    </w:p>
    <w:p w:rsidR="000B622C" w:rsidRDefault="000B622C" w:rsidP="000B622C">
      <w:pPr>
        <w:pStyle w:val="TextoNormal"/>
      </w:pPr>
      <w:r>
        <w:t xml:space="preserve">Por lo que hace a la pretendida vulneración del derecho a un proceso con todas las garantías, aquí por haberse dictado la resolución inaudita parte, indica el Ministerio Fiscal que el actor olvida que en el primero de los fundamentos jurídicos de la resolución impugnada se advierte que, dado que el acusado ejercita su propia defensa, no es posible proceder en los términos del art. 504 bis 2 LECrim., por lo que se hace uso de lo dispuesto en el art. 539 del mismo texto legal, posponiendo la celebración de la vista sobre la situación personal al momento en el que efectivamente el inculpado se halle a disposición del órgano judicial. La alegación del demandante es así tanto más absurda cuanto que pretende que se tome una decisión en presencia de Letrado cuya ausencia determina justamente la decisión. En cuanto a las quejas formuladas en relación con una querella interpuesta en su día contra los Magistrados integrantes de la Sala, se reseña que contra su inadmisión se promovió en su día otro recurso de amparo que no guarda ninguna relación con éste. </w:t>
      </w:r>
    </w:p>
    <w:p w:rsidR="000B622C" w:rsidRDefault="000B622C" w:rsidP="000B622C">
      <w:pPr>
        <w:pStyle w:val="TextoNormal"/>
      </w:pPr>
      <w:r>
        <w:t>Sobre la alegada indefensión y la existencia de tratos inhumanos o degradantes apunta el Ministerio Fiscal que el recurrente ignora la doctrina constitucional al respecto. Tampoco puede prosperar el motivo atinente a la incongruencia omisiva, siquiera sea únicamente porque el recurrente no hizo uso del remedio habilitado por el art. 240.3 LOPJ. Por todas estas razones el Ministerio Fiscal considera que en la presente demanda de amparo debiera apreciarse la concurrencia de la causa de inadmisión del art. 50.1 a), en relación con el art. 44.1 a) LOTC y, alternativamente, que aquélla carece manifiestamente de contenido constitucional en los términos del art. 50.1 c) LOTC.</w:t>
      </w:r>
    </w:p>
    <w:p w:rsidR="000B622C" w:rsidRDefault="000B622C" w:rsidP="000B622C">
      <w:pPr>
        <w:pStyle w:val="TextoNormal"/>
      </w:pPr>
    </w:p>
    <w:p w:rsidR="000B622C" w:rsidRDefault="000B622C" w:rsidP="000B622C">
      <w:pPr>
        <w:pStyle w:val="TextoNormal"/>
      </w:pPr>
      <w:r w:rsidRPr="000B622C">
        <w:rPr>
          <w:rStyle w:val="NumeroAFNegritaCaracter"/>
        </w:rPr>
        <w:t>6</w:t>
      </w:r>
      <w:r>
        <w:t>. El 3 de abril de 2001 presentó su escrito de alegaciones el recurrente, quien reitera prolijamente las razones por las que solicita el amparo. En primer lugar apunta la desproporcionalidad de la medida, habida cuenta de que nuestro ordenamiento procesal prevé la celebración del juicio en ausencia del acusado. Además entiende que no se ha respetado el principio acusatorio, puesto que el Ministerio Fiscal no solicitó la prisión provisional y el Auto de 4 de mayo de 2000 fue dictado inaudita parte. De todo ello se inferiría la arbitrariedad de la actuación del órgano judicial, quien situó al recurrente en una posición de indefensión prohibida por el art. 24.1 CE. A continuación, y tras un excurso donde reseña la posible incidencia de la nueva Ley de Enjuiciamiento Civil en la efectividad del principio de igualdad en la aplicación de la ley afirmado en el art. 14 CE, deja constancia de la quiebra del principio de legalidad en materia sancionadora, por referencia a las SSTC 188/1996 y 4/1997. Dicho lo cual el recurrente denuncia que la decisión judicial impugnada carece de cobertura y motivación legal y postula la anulación del Auto de 4 de mayo de 2000 por infracción de diversos preceptos de la LECrim. Igualmente insiste en la caracterización de la prisión provisional acordada como una pena degradante, en la inconstitucionalidad de los arts. 503 y 504 LECrim. y en la ausencia de un remedio procesal adecuado contra resoluciones como la aquí discutida.</w:t>
      </w:r>
    </w:p>
    <w:p w:rsidR="000B622C" w:rsidRDefault="000B622C" w:rsidP="000B622C">
      <w:pPr>
        <w:pStyle w:val="TextoNormal"/>
      </w:pPr>
    </w:p>
    <w:p w:rsidR="000B622C" w:rsidRDefault="000B622C" w:rsidP="000B622C">
      <w:pPr>
        <w:pStyle w:val="TextoNormalNegritaCentrado"/>
        <w:keepNext/>
      </w:pPr>
      <w:r>
        <w:lastRenderedPageBreak/>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Antes de exponer las razones por las que resulta procedente la inadmisión del presente recurso de amparo parece pertinente tratar de identificar con precisión su objeto, tarea que en principio ha de corresponder a quien acude ante este Tribunal en defensa de sus derechos fundamentales, pero que en esta ocasión no puede entenderse satisfactoriamente cumplida. Al respecto debemos advertir que el recurso de amparo no tiene como finalidad desagraviar a los ciudadanos respecto de cualesquiera situaciones que puedan reputar injustas en sus relaciones con los órganos jurisdiccionales sino únicamente la reparación -o, en su caso, prevención- de lesiones concretas y efectivas de sus derechos fundamentales producidas por actos concretos y específicos (STC 83/2000, de 27 de marzo, FJ 3 y ATC 80/2001, de 3 de abril, FJ 5). Sentado esto, y como quiera que la acotación del objeto del recurso ha de resultar de la lectura conjunta del encabezamiento y suplico del escrito de demanda (STC 23/1999, de 8 de marzo, FJ 1), hemos de convenir con el Ministerio Fiscal en que la única resolución judicial que puede entenderse impugnada es el Auto de la Audiencia Provincial (Sección Sexta) de Barcelona de 4 de mayo de 2000, por el que se acuerda el ingreso del ahora solicitante de amparo en prisión comunicada y sin fianza.  Consecuentemente, al mismo ceñiremos nuestro análisis.</w:t>
      </w:r>
    </w:p>
    <w:p w:rsidR="000B622C" w:rsidRDefault="000B622C" w:rsidP="000B622C">
      <w:pPr>
        <w:pStyle w:val="TextoNormal"/>
      </w:pPr>
    </w:p>
    <w:p w:rsidR="000B622C" w:rsidRDefault="000B622C" w:rsidP="000B622C">
      <w:pPr>
        <w:pStyle w:val="TextoNormal"/>
      </w:pPr>
      <w:r w:rsidRPr="000B622C">
        <w:rPr>
          <w:rStyle w:val="NumeroAFNegritaCaracter"/>
        </w:rPr>
        <w:t>2</w:t>
      </w:r>
      <w:r>
        <w:t>. Identificado como objeto exclusivo del presente recurso de amparo el referido Auto de 4 de mayo de 2000, debemos convenir con el Ministerio Fiscal en la falta de cumplimiento de los requisitos procesales establecidos en la LOTC para acudir ante este Tribunal.</w:t>
      </w:r>
    </w:p>
    <w:p w:rsidR="000B622C" w:rsidRDefault="000B622C" w:rsidP="000B622C">
      <w:pPr>
        <w:pStyle w:val="TextoNormal"/>
      </w:pPr>
      <w:r>
        <w:t>Concretamente interesa poner de relieve que contra el meritado Auto cabía interponer, de acuerdo con lo dispuesto en el art. 236 LECrim., recurso de súplica. Sin embargo el solicitante de amparo no ha acreditado que hiciera uso de este remedio impugnatorio, por lo que no pueden entenderse agotados todos los recursos utilizables en la vía judicial [art. 44.1 a) LOTC], óbice procesal determinante de la inadmisión ex art. 50.1 a) LOTC.</w:t>
      </w:r>
    </w:p>
    <w:p w:rsidR="000B622C" w:rsidRDefault="000B622C" w:rsidP="000B622C">
      <w:pPr>
        <w:pStyle w:val="TextoNormal"/>
      </w:pPr>
      <w:r>
        <w:t>La inadmisión por incumplimiento de los requisitos de procedibilidad a los que remite el art.  50.1 a) LOTC no se ve afectada por el hecho de que entre la documentación que acompaña al escrito de demanda figure el texto de un recurso al que expresamente se denomina "de reforma y subsidiario de apelación", dirigido "a la Sección Sexta de la Ilma.  Audiencia de Barcelona. Para ante el Tribunal Superior de Justicia de Cataluña o el Tribunal Supremo de España", que tendría por objeto justamente el Auto de 4 de mayo de 2000, objeto de impugnación en este proceso constitucional. En efecto, aun aceptando que el error en la calificación del recurso no hubiera sido obstáculo para su tramitación, debemos advertir que el solicitante de amparo no ha acreditado que haya esperado a la resolución del mismo para la formalización del recurso de amparo.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A mayor abundamiento, como igualmente apunta el Ministerio Fiscal en su escrito de alegaciones, tampoco se aprecia, en una aproximación a las cuestiones de fondo planteadas, que éstas revistan relevancia suficiente para merecer un pronunciamiento en forma de Sentencia por parte de este Tribunal.  El Auto de 4 de mayo de 2000 satisface adecuadamente las exigencias de la doctrina constitucional (sistematizadas, entre otras, en las SSTC 61/2000, de 26 de febrero, FJ 3, y 23/2002, de 28 de enero, FJ 3) para la adopción de la medida cautelar de prisión provisional: en particular, se toma mediante una resolución judicial motivada, que considera las circunstancias concurrentes en el caso y persigue </w:t>
      </w:r>
      <w:r>
        <w:lastRenderedPageBreak/>
        <w:t>un fin constitucionalmente legítimo, cual es el de garantizar la correcta administración de la justicia. Asimismo, por lo que a las quejas de indefensión se refiere, amén de que la resolución judicial ofrece -en su razonamiento jurídico primero- una cabal y ponderada explicación de las razones por las que no fue posible la comparecencia del ahora solicitante de amparo, no debe olvidarse que fue justamente la falta de asistencia del entonces coencausado y ahora recurrente en amparo lo que determinó la adopción de la decisión judicial cuya anulación postula.  Finalmente, sobre la alegada indefensión y la existencia de tratos inhumanos o degradantes es lo cierto, como apunta el Ministerio Fiscal, que el recurrente desconoce en sus alegaciones la doctrina constitucional al respecto. Tampoco puede prosperar el motivo atinente a la incongruencia omisiva, pues la supuesta infracción que se dice cometida por el Auto recurrido pudo y debió hacerse valer mediante la vía del incidente de nulidad de actuaciones ante el propio órgano judicial, según lo previsto en el art. 240.3 LOPJ (ATC 254/2001, de 20 de septiembre, FJ 2, y las resoluciones allí mencionadas).</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dos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53" w:name="AUTO_2002_52"/>
      <w:r>
        <w:lastRenderedPageBreak/>
        <w:t>AUTO 52/2002, de 2 de abril de 2002</w:t>
      </w:r>
    </w:p>
    <w:bookmarkEnd w:id="153"/>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ECLI:ES:TC:2002:52A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5560-2000, interpuesto por doña Guadalupe Oliveros León</w:t>
      </w:r>
    </w:p>
    <w:p w:rsidR="000B622C" w:rsidRDefault="000B622C" w:rsidP="000B622C">
      <w:pPr>
        <w:pStyle w:val="SntesisDescriptiva"/>
      </w:pPr>
    </w:p>
    <w:p w:rsidR="000B622C" w:rsidRDefault="000B622C" w:rsidP="000B622C">
      <w:pPr>
        <w:pStyle w:val="SntesisAnaltica"/>
      </w:pPr>
      <w:r>
        <w:t>Sentencia penal. Derecho a la presunción de inocencia: condena en grado de apelación. Recurso de apelación penal: novum iudicium. Derecho a utilizar los medios de prueba pertinentes: denegación de prueba intempestiva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23 de octubre de 2000, doña Rosa María Nuñez Arana, Procuradora de los Tribunales, actuando en nombre y representación de doña Guadalupe Oliveros León, quien se halla asistida por el Letrado don José Ramón García García, interpuso recurso de amparo contra la resolución judicial de la que se hace mérito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Son relevantes para resolver acerca de la admisión los siguientes hechos: </w:t>
      </w:r>
    </w:p>
    <w:p w:rsidR="000B622C" w:rsidRDefault="000B622C" w:rsidP="000B622C">
      <w:pPr>
        <w:pStyle w:val="TextoNormal"/>
      </w:pPr>
      <w:r>
        <w:t xml:space="preserve">a) Por el Juzgado de Instrucción núm. 22 de Madrid se tramitaron las diligencias previas núm. 1467/99 contra la ahora solicitante de amparo por la posible comisión de un delito de estafa. Estas actuaciones dieron lugar al juicio oral núm. 412/99 de procedimiento abreviado, sustanciado ante el Juzgado de lo Penal núm. 19 de dicha localidad. </w:t>
      </w:r>
    </w:p>
    <w:p w:rsidR="000B622C" w:rsidRDefault="000B622C" w:rsidP="000B622C">
      <w:pPr>
        <w:pStyle w:val="TextoNormal"/>
      </w:pPr>
      <w:r>
        <w:t>b) Con fecha 15 de marzo de 2000, el último de los órganos judiciales mencionados dictó Sentencia declarando la libre absolución de la acusada al no apreciarse la concurrencia del propósito inicial de defraudar en su conducta. c) Contra la anterior resolución se alzó en apelación el Ministerio Fiscal, cuyo recurso (rollo núm. 142/00) fue estimado por Sentencia de la Audiencia PQuinta) de Madrid de 11 de septiembre de 2000. Esta Sentencia condena a la ahora demandante de amparo, en calidad de autora de un delito de estafa, a la pena de un año y seis meses de prisión, con la accesoria de inhabilitación especial para el derecho de sufragio pasivo durante el tiempo de la condena, e igualmente le impone le obligación de abonar a Banca Barcelonesa de Financiación, S.A., la cantidad de 2.145.540 pesetas, en concepto de responsabilidad civil.</w:t>
      </w:r>
    </w:p>
    <w:p w:rsidR="000B622C" w:rsidRDefault="000B622C" w:rsidP="000B622C">
      <w:pPr>
        <w:pStyle w:val="TextoNormal"/>
      </w:pPr>
    </w:p>
    <w:p w:rsidR="000B622C" w:rsidRDefault="000B622C" w:rsidP="000B622C">
      <w:pPr>
        <w:pStyle w:val="TextoNormal"/>
      </w:pPr>
      <w:r w:rsidRPr="000B622C">
        <w:rPr>
          <w:rStyle w:val="NumeroAFNegritaCaracter"/>
        </w:rPr>
        <w:t>3</w:t>
      </w:r>
      <w:r>
        <w:t>. La recurrente denuncia que esta última resolución judicial habría vulnerado sus derechos fundamentales a la tutela judicial efectiva (art. 24.1 CE) y a la presunción de inocencia (art. 24.2 CE). Por lo que se refiere a la vulneración del derecho a la presunción de inocencia, insiste, con apoyo en la primera de las resoluciones judiciales antes mencio</w:t>
      </w:r>
      <w:r>
        <w:lastRenderedPageBreak/>
        <w:t xml:space="preserve">nadas, en que no le impulsó originariamente la voluntad de no devolver el préstamo concedido para la adquisición de un vehículo automóvil, y que si no llegó a materializar este propósito fue porque su marido, quien le facilitó la nómina falsa con la que pudo acreditar documentalmente la suficiencia de ingresos para satisfacer el pago de las cuotas del préstamo, había ingresado en prisión. La Sentencia de la Audiencia Provincial de Madrid, siempre en el parecer de la recurrente, habría infringido su derecho a la presunción de inocencia (art. 24.2 CE) porque, sin poseer la necesaria inmediación sobre la prueba, no podía valorarla de nuevo e inferir una determinada intención en la recurrente cuando no ha mediado irracionalidad en la argumentación de la Sentencia de instancia. </w:t>
      </w:r>
    </w:p>
    <w:p w:rsidR="000B622C" w:rsidRDefault="000B622C" w:rsidP="000B622C">
      <w:pPr>
        <w:pStyle w:val="TextoNormal"/>
      </w:pPr>
      <w:r>
        <w:t xml:space="preserve">Respecto de la denuncia atinente a la infracción del art. 24.1 CE señala que, tanto al comienzo del juicio oral como en el trámite de impugnación del recurso de apelación formulado por el Ministerio público, solicitó que se practicase prueba testifical de su esposo. Con esta prueba se pretendía demostrar que había sido el ingreso en prisión del declarante lo que había determinado el impago del préstamo, pues el dinero tuvo que ser empleado en la alimentación de los hijos. A este respecto considera que no es de recibo entender que no se ha demostrado un hecho -aquí, el ingreso en prisión- que era el que se pretendía acreditar con la prueba denegada. </w:t>
      </w:r>
    </w:p>
    <w:p w:rsidR="000B622C" w:rsidRDefault="000B622C" w:rsidP="000B622C">
      <w:pPr>
        <w:pStyle w:val="TextoNormal"/>
      </w:pPr>
      <w:r>
        <w:t>De acuerdo con lo expuesto la solicitante de amparo interesa la anulación de la Sentencia dictada por la Audiencia Provincial (Sección Quinta) de Madrid de 11 de septiembre de 2000, así como la declaración de firmeza de la Sentencia del Juzgado de lo Penal núm. 19 de Madrid de 15 de marzo de 2000.</w:t>
      </w:r>
    </w:p>
    <w:p w:rsidR="000B622C" w:rsidRDefault="000B622C" w:rsidP="000B622C">
      <w:pPr>
        <w:pStyle w:val="TextoNormal"/>
      </w:pPr>
    </w:p>
    <w:p w:rsidR="000B622C" w:rsidRDefault="000B622C" w:rsidP="000B622C">
      <w:pPr>
        <w:pStyle w:val="TextoNormal"/>
      </w:pPr>
      <w:r w:rsidRPr="000B622C">
        <w:rPr>
          <w:rStyle w:val="NumeroAFNegritaCaracter"/>
        </w:rPr>
        <w:t>4</w:t>
      </w:r>
      <w:r>
        <w:t>. Mediante providencia de 26 de marzo de 2001 esta Sección, de conformidad con lo dispuesto en el art. 50.3 LOTC, acordó conceder a la demandante de amparo y al Ministerio Fiscal el plazo común de diez días para que formulasen, con las aportaciones documentales procedentes, las alegaciones que estimaran pertinentes en relación con la concurrencia de la causa de inadmisión indicada en el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escrito de alegaciones de la demandante se presentó en el Registro General de este Tribunal el 18 de abril de 2001. En él se exponen, en los términos que ahora resumimos, las razones por las que postula la admisión a trámite del recurso. </w:t>
      </w:r>
    </w:p>
    <w:p w:rsidR="000B622C" w:rsidRDefault="000B622C" w:rsidP="000B622C">
      <w:pPr>
        <w:pStyle w:val="TextoNormal"/>
      </w:pPr>
      <w:r>
        <w:t xml:space="preserve">En relación con la invocada infracción del derecho a la presunción de inocencia (art. 24.2 CE), recuerda que la absolución en la instancia se fundó en la existencia de una duda razonable, mientras que la condena en segunda instancia se alcanzó con un solo elemento de juicio, el acta del juicio oral, que no reúne las características de inmediatez y oralidad que son presupuestos del procedimiento penal. En opinión de la recurrente la sustitución de la decisión de instancia sólo podía justificarse si hubiera adolecido de una argumentación deficiente o se desprendiera de ella la concurrencia de un error en la apreciación de la prueba, circunstancias que no se dieron en la resolución dictada por el Juzgado de lo Penal núm. 16 de Madrid. </w:t>
      </w:r>
    </w:p>
    <w:p w:rsidR="000B622C" w:rsidRDefault="000B622C" w:rsidP="000B622C">
      <w:pPr>
        <w:pStyle w:val="TextoNormal"/>
      </w:pPr>
      <w:r>
        <w:t xml:space="preserve">Por lo que hace a la conculcación del derecho fundamental proclamado en el art. 24.1 CE sostiene la recurrente que es consecuencia de la negativa del Tribunal ad quem de practicar la prueba testifical propuesta por doña Guadalupe Oliveros León. Aunque reconoce que se equivocó al no interesar la citación de su marido para el acto del juicio, entiende que este error era perfectamente subsanable en la forma como lo hizo (al inicio del juicio oral y en el escrito de impugnación del recurso de apelación interpuesto por el Ministerio Fiscal). 6. El Ministerio Fiscal presentó su escrito de alegaciones el 27 de abril de 2001. Tras un sucinto resumen de los antecedentes fácticos y de la tesis defendida por la </w:t>
      </w:r>
      <w:r>
        <w:lastRenderedPageBreak/>
        <w:t xml:space="preserve">demandante expone los motivos por los que procede la inadmisión del presente recurso de amparo. a) Señala en primer lugar que la pretendida vulneración del derecho fundamental a la presunción de inocencia (art. 24.2 CE) carece manifiestamente de contenido constitucional en los términos del art. 50.1 c) LOTC. Al respecto evoca el carácter ordinario que en nuestro ordenamiento procesal reviste el recurso de apelación que, como ha reiterado la doctrina de este Tribunal (por todas, STC 196/1998), constituye un novum iudicium omnímodo, lo que confiere al órgano judicial de segunda instancia la facultad de valorar el acervo probatorio con la misma libertad de criterio que en la fase anterior, si bien circunscrita al contenido de las pretensiones deducidas por las partes en sus correspondientes escritos de interposición e impugnación del recurso. </w:t>
      </w:r>
    </w:p>
    <w:p w:rsidR="000B622C" w:rsidRDefault="000B622C" w:rsidP="000B622C">
      <w:pPr>
        <w:pStyle w:val="TextoNormal"/>
      </w:pPr>
      <w:r>
        <w:t xml:space="preserve">Analizando el caso a la vista de esta doctrina se llega, según el Ministerio Fiscal, a la conclusión de que la discrepancia entre las dos Sentencias recaídas en el proceso judicial previo no se localiza en el ámbito de los hechos, pues nadie pone en cuestión que la ahora recurrente presentó una nómina falsa que contribuyó a generar la apariencia de solvencia económica de la que carecía, sino de su valoración. La apreciación por la Sección Quinta de la Audiencia Provincial de Madrid de que medió el ánimo subjetivo de engañar no puede tenerse por arbitraria o irracional desde el punto y hora en que se apoya en hechos reconocidos por la acusada ahora demandante de amparo. El propio reconocimiento de los hechos -aquí, la presentación de la mencionada nómina falsa- efectuado en el trámite de instrucción y en presencia de Letrado, la testifical practicada en la persona del representante legal de la financiera y la documental aportada en autos constituyen, en opinión del Ministerio público, prueba de cargo suficiente para enervar la presunción de inocencia, lo que debe determinar la inadmisión de este primer motivo del recurso. </w:t>
      </w:r>
    </w:p>
    <w:p w:rsidR="000B622C" w:rsidRDefault="000B622C" w:rsidP="000B622C">
      <w:pPr>
        <w:pStyle w:val="TextoNormal"/>
      </w:pPr>
      <w:r>
        <w:t xml:space="preserve">b) Idéntica suerte ha de correr la invocada infracción del art. 24.1 CE. Para empezar se indica la incorrecta ubicación sistemática de este motivo en el texto constitucional, pues lo que la recurrente efectivamente plantea es una vulneración del derecho a la prueba (art. 24.2 CE). </w:t>
      </w:r>
    </w:p>
    <w:p w:rsidR="000B622C" w:rsidRDefault="000B622C" w:rsidP="000B622C">
      <w:pPr>
        <w:pStyle w:val="TextoNormal"/>
      </w:pPr>
      <w:r>
        <w:t xml:space="preserve">Situado el problema en sus precisos términos constitucionales pone de manifiesto el Ministerio Fiscal el paradójico olvido en el que la entonces acusada y ahora recurrente incurrió al no solicitar la citación de su esposo como testigo. Este olvido le parece difícilmente comprensible por tratarse de un testimonio tan relevante para los intereses de la acusada. Además, deja constancia de que la solicitud de la declaración del marido no se presentó directamente en el Juzgado de lo Penal, sino en el Juzgado Decano. por lo que, dado el escasísimo margen de tiempo transcurrido entre la presentación del escrito y la fecha de celebración del juicio (apenas un día) difícilmente podía aquél cumplimentar la citación propuesta. Todo ello sirve para constatar la negligente actuación procesal de la parte. El legislador ha previsto cuando del Procedimiento Abreviado se trata hasta tres momentos procesales (arts. 790.5, 791.1 y 2 LECrim.) para que el acusado pueda solicitar la práctica de medios de prueba. Además el art. 795.3 LECrim. autoriza la reiteración de la solicitud cuando, propuestos en tiempo y forma, no hayan sido admitidos. Pues bien, según se ha expuesto con anterioridad, la frustración de la prueba origen de la presente demanda de amparo sólo puede achacarse a la falta de la mínima diligencia procesal exigible a quien tanto arriesgaba en el proceso penal. A mayor abundamiento la prueba propuesta y no practicada no puede considerarse relevante para modificar la convicción del Tribunal de apelación acerca de la existencia de engaño inicial de la acusada. En efecto, esta convicción se formó a partir de la maniobra fraudulenta que la ahora demandante de amparo efectuó para inducir a error al empleado de la financiera que le otorgó el préstamo solicitado, maniobra consistente en presentarle, junto con la solicitud, la fotocopia de una falsa </w:t>
      </w:r>
      <w:r>
        <w:lastRenderedPageBreak/>
        <w:t>nómina supuestamente librada en favor de la actora, como si ésta hubiera trabajado por cuenta ajena. Consecuentemente las hipotéticas declaraciones del esposo de la acusada en nada hubieran podido modificar esta convicción judicial.</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A la vista de las alegaciones formuladas debemos confirmar ahora que concurre en la presente demanda de amparo constitucional el defecto insubsanable de admisibilidad sobre el que alertábamos en nuestra providencia de 26 de marzo de 2001. Es decir, que carecen manifiestamente de contenido constitucional, en los términos del art. 50.1 c) LOTC, las quejas relativas a la vulneración de derechos fundamentales en el proceso judicial previo formuladas por la recurrente.</w:t>
      </w:r>
    </w:p>
    <w:p w:rsidR="000B622C" w:rsidRDefault="000B622C" w:rsidP="000B622C">
      <w:pPr>
        <w:pStyle w:val="TextoNormal"/>
      </w:pPr>
    </w:p>
    <w:p w:rsidR="000B622C" w:rsidRDefault="000B622C" w:rsidP="000B622C">
      <w:pPr>
        <w:pStyle w:val="TextoNormal"/>
      </w:pPr>
      <w:r w:rsidRPr="000B622C">
        <w:rPr>
          <w:rStyle w:val="NumeroAFNegritaCaracter"/>
        </w:rPr>
        <w:t>2</w:t>
      </w:r>
      <w:r>
        <w:t>. Para analizar el motivo atinente a la conculcación del derecho a la presunción de inocencia (art. 24.2 CE) debemos partir de la doctrina constitucional relativa a la concepción de este derecho fundamental como regla de juicio, vertiente que se hallaría aquí en juego. En la síntesis que de la misma se ofrece en la reciente STC 17/2002, de 28 de enero, se subraya que dicha regla comporta el derecho a no ser condenado sin pruebas de cargo válidas, lo que implica que toda Sentencia condenatoria debe expresar las pruebas en las que se sustenta la declaración de responsabilidad penal, precisándose igualmente que tal sustento ha de venir dado por verdaderos actos de prueba conformes a la Ley y a la Constitución; que éstos han de ser practicados normalmente en el acto del juicio oral, salvo las excepciones constitucionalmente admisibles; que las pruebas han de ser valoradas por los Tribunales con sometimiento a las reglas de la lógica y la experiencia, y que la Sentencia debe encontrarse debidamente motivada. También se hace hincapié en que este Tribunal ha declarado constantemente que la prueba de cargo ha de estar referida a los elementos esenciales del delito objeto de condena, tanto de naturaleza objetiva como subjetiva (loc. cit.  FJ 2 y las resoluciones allí citadas). Es asimismo doctrina constante de este Tribunal la de que no resulta vulnerado el indicado derecho fundamental cuando el órgano judicial de apelación procede a una nueva valoración de la prueba, sustitutiva de la realizada por el Juez a quo, porque "el recurso de apelación, como novum iuditium que es,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(STC 139/2000, de 29 de mayo, FJ 3; en el mismo sentido, entre otras, SSTC 102/1994, de 11 de abril, FJ 3; 157/1995, de 6 de noviembre, FJ 4, y 172/1997, de 14 de octubre, FJ 4).  Consecuentemente, si con los mismos medios de prueba que llevan a un órgano judicial a dictar un determinado fallo el Tribunal de apelación llega a un resultado contrario, no cabe sólo por ello concluir que se ha quebrantado ninguno de los derechos proclamados en el art. 24.2 CE, puesto que, en puridad, se trata de una discrepancia en la apreciación de la prueba llevada a cabo por dos órganos judiciales con plena competencia para ello (art. 117.3 CE) y resulta inconcuso que, habida cuenta de la naturaleza y finalidad del recurso, entre ambas valoraciones ha de prevalecer la efectuada por el Tribunal de apelación (por todas, STC 152/1998, de 13 de julio, FJ 2).</w:t>
      </w:r>
    </w:p>
    <w:p w:rsidR="000B622C" w:rsidRDefault="000B622C" w:rsidP="000B622C">
      <w:pPr>
        <w:pStyle w:val="TextoNormal"/>
      </w:pPr>
      <w:r>
        <w:t xml:space="preserve">Pues bien, como acertadamente ha puesto de manifiesto el Ministerio Fiscal en su escrito de alegaciones, resulta manifiesto que lo acaecido en el supuesto ahora examinado se incardina en el ejercicio normal de las facultades conferidas por el ordenamiento procesal </w:t>
      </w:r>
      <w:r>
        <w:lastRenderedPageBreak/>
        <w:t>al órgano de apelación. Este efectuó una nueva valoración del material probatorio aportado a la causa y llegó a una conclusión distinta de la alcanzada por el órgano judicial a quo, lo que no representa en modo alguno quebrantamiento del derecho fundamental a la presunción de inocencia de la demandante de amparo. Tanto menos cuanto que la Sentencia dictada por la Sección Quinta de la Audiencia Provincial de Madrid expresa razonadamente su nueva valoración de la prueba y la fundamentación jurídica por la que revoca la resolución de instancia de manera acorde con las exigencias constitucionales.</w:t>
      </w:r>
    </w:p>
    <w:p w:rsidR="000B622C" w:rsidRDefault="000B622C" w:rsidP="000B622C">
      <w:pPr>
        <w:pStyle w:val="TextoNormal"/>
      </w:pPr>
    </w:p>
    <w:p w:rsidR="000B622C" w:rsidRDefault="000B622C" w:rsidP="000B622C">
      <w:pPr>
        <w:pStyle w:val="TextoNormal"/>
      </w:pPr>
      <w:r w:rsidRPr="000B622C">
        <w:rPr>
          <w:rStyle w:val="NumeroAFNegritaCaracter"/>
        </w:rPr>
        <w:t>3</w:t>
      </w:r>
      <w:r>
        <w:t>. En cuanto al alegato relativo a la denegación de la prueba testifical propuesta debemos comenzarse señalando que, si bien es cierto que, como sostiene el Ministerio Fiscal, su ubicación sistemática más adecuada en el texto constitucional pudiera ser el derecho a la utilización de los medios de prueba pertinentes para la defensa (art. 24.2 CE), este solo hecho no habría de conducir a la inadmisión del recurso si el motivo en cuestión revistiera una relevancia constitucional de la que manifiestamente carece. Es doctrina reiterada de este Tribunal, elaborada a partir de la constatación de las íntimas relaciones que el derecho a la prueba mantiene con otros derechos y garantías recogidos en el art. 24 CE, en particular con el derecho a la tutela judicial efectiva (art. 24.1 CE), en cuyo seno sitúa la recurrente el problema ahora examinado, la de que el contenido esencial del derecho a la prueba se integra por el poder jurídico reconocido a quien interviene como litigante en un proceso de provocar la actividad necesaria para lograr la convicción del órgano judicial sobre la existencia o inexistencia de los hechos relevantes para la decisión del conflicto (por todas, SSTC 37/2000, de 14 de febrero, FJ 3, y 19/2001, de 29 de enero, FJ 4). Pero lo que este derecho constitucional no comprende es la facultad de exigir la admisión de cuantas pruebas puedan proponer las partes, sino que atribuye únicamente el derecho a la recepción y práctica de aquéllas que resulten pertinentes, y hayan sido tempestivamente solicitadas (al respecto, STC 156/2001, de 16 de julio, FJ 2).</w:t>
      </w:r>
    </w:p>
    <w:p w:rsidR="000B622C" w:rsidRDefault="000B622C" w:rsidP="000B622C">
      <w:pPr>
        <w:pStyle w:val="TextoNormal"/>
      </w:pPr>
      <w:r>
        <w:t>La aplicación de esta doctrina al presente caso conduce inexorablemente a la inadmisión de este segundo motivo del recurso, puesto que la denunciada lesión constitucional, caso de haberse producido, no es imputable de modo directo e inmediato al órgano judicial, como exige el art. 44.1 b) LOTC, sino más bien a la falta de diligencia procesal de la parte. La prueba testifical fue propuesta fuera del momento que la Ley establece para tal fin (arts. 790.5 y 6 LECrim.); además, la pretendida subsanación de esta deficiencia no fue tal, ya que no se solicitó su práctica con la antelación suficiente a la que, por obvias razones, hace referencia el párrafo tercero del art. 791.1 LECrim., dado que no puede tenerse por tal la presentación del escrito al Juzgado Decano de Madrid el día anterior a la celebración de la vista oral, durante cuyo transcurso el órgano judicial denegó la suspensión para la realización de la prueba por estimar intempestiva la petición formulada por la representación procesal de doña Guadalupe Oliveros León. A mayor abundamiento tampoco puede reputarse idónea para sanar estas deficiencias la reiteración de la solicitud en el escrito de impugnación del recurso de apelación formulado por el Ministerio Fiscal, habida cuenta de que esta nueva solicitud se formuló al amparo del art. 795.3 LECrim., siendo así que este precepto únicamente contempla esta posibilidad para el recurrente y es lo cierto que la ahora demandante de amparo se aquietó a la Sentencia de instancia, amén de que tampoco concurrían los presupuestos de orden material a que dicho precepto condiciona la posibilidad del otorgamiento de la práctica de la prueba.</w:t>
      </w:r>
    </w:p>
    <w:p w:rsidR="000B622C" w:rsidRDefault="000B622C" w:rsidP="000B622C">
      <w:pPr>
        <w:pStyle w:val="TextoNormal"/>
      </w:pPr>
      <w:r>
        <w:t>Por consiguiente, tratándose de un derecho de configuración legal, cuyo ejercicio ha de acomodarse a las determinaciones establecidas en las normas reguladoras de cada concreto orden jurisdiccional (STC 19/2001, de 29 de enero, FJ 4), debe apreciarse la falta de rele</w:t>
      </w:r>
      <w:r>
        <w:lastRenderedPageBreak/>
        <w:t>vancia constitucional del recurso también en lo que hace a este segundo motivo. Lo que determina la inadmisión del presente recurso de amparo.</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dos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54" w:name="AUTO_2002_53"/>
      <w:r>
        <w:lastRenderedPageBreak/>
        <w:t>AUTO 53/2002, de 8 de abril de 2002</w:t>
      </w:r>
    </w:p>
    <w:bookmarkEnd w:id="154"/>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ECLI:ES:TC:2002:53A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No aclara la STC 50/2002, dictada en el recurso de amparo 880/99, promovido por don Eugenio Ortiz de las Heras en causa por delito de imprudencia profesional</w:t>
      </w:r>
    </w:p>
    <w:p w:rsidR="000B622C" w:rsidRDefault="000B622C" w:rsidP="000B622C">
      <w:pPr>
        <w:pStyle w:val="SntesisDescriptiva"/>
      </w:pPr>
    </w:p>
    <w:p w:rsidR="000B622C" w:rsidRDefault="000B622C" w:rsidP="000B622C">
      <w:pPr>
        <w:pStyle w:val="SntesisAnaltica"/>
      </w:pPr>
      <w:r>
        <w:t>Aclaración de resoluciones del Tribunal Constitucional: improcedencia. Sentencias del Tribunal Constitucional: aclaración de la STC 50/2002 denegada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1C09AE">
        <w:rPr>
          <w:rStyle w:val="NumeroAFNegritaCaracter"/>
        </w:rPr>
        <w:t>Único.</w:t>
      </w:r>
      <w:r>
        <w:t xml:space="preserve"> Mediante escrito presentado en el Registro General de este Tribunal Constitucional el día 9 de marzo de 2002, don Antonio Ramón Rueda López, Procurador de los Tribunales, en nombre y representación de don Eugenio Ortiz de las Heras, solicitó, de conformidad con lo dispuesto en los arts. 93.1 LOTC y 267.3 LOPJ, la aclaración de la Sentencia dictada por la Sala Segunda, de fecha 25 de febrero de 2002, que dede amparo promovido contra la Sentencia de la Sala Segunda del Tribunal Supremo, de 22 de enero de 1999, que condenó al recurrente como autor responsable de un delito de imprudencia profesional con resultado de lesiones a la pena de un año de prisión con inhabilitación especial para el ejercicio de la profesión médica por período de un año, al pago de las costas procesales y a indemnizar a los perjudicados en la suma de treinta millones de pesetas. </w:t>
      </w:r>
    </w:p>
    <w:p w:rsidR="000B622C" w:rsidRDefault="000B622C" w:rsidP="000B622C">
      <w:pPr>
        <w:pStyle w:val="TextoNormal"/>
      </w:pPr>
      <w:r>
        <w:t>En el referido escrito se manifiesta que el demandante de amparo, frente a la Sentencia absolutoria de la Audiencia Provincial de Alicante, fue condenado por el Tribunal Supremo como consecuencia de la estimación de sendos recursos de casación por infracción de Ley. Sabido es que una condena de lesiones por imprudencia requiere que se declaren probados la acción u omisión culpable, el daño y la relación de causalidad entre una y otro. Tanto en el incidente de nulidad de actuaciones ante el Tribunal Supremo como en el recurso de amparo promovido ante el Tribunal Constitucional se ha solicitado que por los Tribunales de Justicia, partiendo del relato de hechos probados de la Sentencia absolutoria de la Audiencia Provincial de Alicante, que resultaba inmodificable dado el cauce procesal elegido por los recurrentes en casación, se aclarase cuáles eran la acción u omisión culpable del médico y dónde se declaraba como hecho probado en la Sentencia de la Audiencia Provincial que las lesiones del niño (microcefalia) eran resultado de la actuación u omisión del médico. Por medio del presente escrito nuevamente se solicita que se aclare y especifique en dónde se declara como hecho probado en dicha Sentencia la relación de causalidad entre el daño y la acción u omisión culpable, presupuesto de la condena.</w:t>
      </w:r>
    </w:p>
    <w:p w:rsidR="000B622C" w:rsidRDefault="000B622C" w:rsidP="000B622C">
      <w:pPr>
        <w:pStyle w:val="TextoNormal"/>
      </w:pPr>
    </w:p>
    <w:p w:rsidR="000B622C" w:rsidRDefault="000B622C" w:rsidP="000B622C">
      <w:pPr>
        <w:pStyle w:val="TextoNormalNegritaCentrado"/>
        <w:keepNext/>
      </w:pPr>
      <w:r>
        <w:lastRenderedPageBreak/>
        <w:t>II. Fundamentos jurídicos</w:t>
      </w:r>
    </w:p>
    <w:p w:rsidR="000B622C" w:rsidRDefault="000B622C" w:rsidP="000B622C">
      <w:pPr>
        <w:pStyle w:val="TextoNormalNegritaCentrado"/>
        <w:keepNext/>
      </w:pPr>
    </w:p>
    <w:p w:rsidR="000B622C" w:rsidRDefault="000B622C" w:rsidP="000B622C">
      <w:pPr>
        <w:pStyle w:val="TextoNormal"/>
      </w:pPr>
      <w:r w:rsidRPr="001C09AE">
        <w:rPr>
          <w:rStyle w:val="NumeroAFNegritaCaracter"/>
        </w:rPr>
        <w:t>Único.</w:t>
      </w:r>
      <w:r w:rsidRPr="000B622C">
        <w:rPr>
          <w:rStyle w:val="TextoNormalNegritaCaracter"/>
        </w:rPr>
        <w:t xml:space="preserve"> </w:t>
      </w:r>
      <w:r>
        <w:t>El art. 93.1 LOTC establece que "contra las Sentencias del Tribunal Constitucional no cabe recurso alguno, pero en el plazo de dos días, a contar desde su notificación, las partes podrán solicitar la aclaración de las mismas".  Como es sabido, el llamado recurso de aclaración no constituye un auténtico medio de impugnación encaminado a la sustitución o revisión de la decisión adoptada. Antes al contrario, su objeto ha de limitarse tan sólo, según se pone de manifiesto en textos legales que sirven de referencia al efecto (arts. 267 LOPJ, 363 LEC de 1881 y 214 LEC de 2000), a la corrección de errores materiales manifiestos o errores aritméticos, la aclaración de algún concepto oscuro, suplir cualquier omisión o la rectificación de alguna contradicción manifiesta que se evidencie del propio texto de la Sentencia, sin necesidad de nuevas deducciones o interpretaciones (AATC 71/1995, de 23 de febrero; 295/2001, de 27 de noviembre, por todos).</w:t>
      </w:r>
    </w:p>
    <w:p w:rsidR="000B622C" w:rsidRDefault="000B622C" w:rsidP="000B622C">
      <w:pPr>
        <w:pStyle w:val="TextoNormal"/>
      </w:pPr>
      <w:r>
        <w:t>En el presente caso, lo que se pretende en realidad es que por este Tribunal se examinen de nuevo las alegaciones ya formuladas, lo cual excede manifiestamente del ámbito propio de la denominada aclaración de las resoluciones judiciales.</w:t>
      </w:r>
    </w:p>
    <w:p w:rsidR="000B622C" w:rsidRDefault="000B622C" w:rsidP="000B622C">
      <w:pPr>
        <w:pStyle w:val="TextoNormal"/>
      </w:pPr>
    </w:p>
    <w:p w:rsidR="000B622C" w:rsidRDefault="000B622C" w:rsidP="000B622C">
      <w:pPr>
        <w:pStyle w:val="TextoNormal"/>
      </w:pPr>
      <w:r>
        <w:t>Por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Desestimar la aclaración solicitada por el Procurador de los Tribunales don Antonio Ramón Rueda López, en la representación en que actúa.</w:t>
      </w:r>
    </w:p>
    <w:p w:rsidR="000B622C" w:rsidRDefault="000B622C" w:rsidP="000B622C">
      <w:pPr>
        <w:pStyle w:val="TextoNormal"/>
      </w:pPr>
    </w:p>
    <w:p w:rsidR="000B622C" w:rsidRDefault="000B622C" w:rsidP="000B622C">
      <w:pPr>
        <w:pStyle w:val="TextoNormal"/>
      </w:pPr>
      <w:r>
        <w:t>Madrid, 8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55" w:name="AUTO_2002_54"/>
      <w:r>
        <w:lastRenderedPageBreak/>
        <w:t>AUTO 54/2002, de 8 de abril de 2002</w:t>
      </w:r>
    </w:p>
    <w:bookmarkEnd w:id="155"/>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ECLI:ES:TC:2002:54A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2333-2000, interpuesto por Tol Moto S.L</w:t>
      </w:r>
    </w:p>
    <w:p w:rsidR="000B622C" w:rsidRDefault="000B622C" w:rsidP="000B622C">
      <w:pPr>
        <w:pStyle w:val="SntesisDescriptiva"/>
      </w:pPr>
    </w:p>
    <w:p w:rsidR="000B622C" w:rsidRDefault="000B622C" w:rsidP="000B622C">
      <w:pPr>
        <w:pStyle w:val="SntesisAnaltica"/>
      </w:pPr>
      <w:r>
        <w:t>Resolución civil. Tutela judicial sin indefensión, derecho a la: ejecución judicial de laudo arbitral, respetado; diligencia procesal. Indefensión: conocimiento extraprocesal del proceso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en este Tribunal el 19 de abril de 2000, don Fernando García de la Cruz Romeral, Procurador de los Tribunales y de la mercantil Tol-Moto, S.L., que actúa bajo la asistencia del Letrado don Florencio Ortíz Novillo, interpuso recurso de amparo contra la resolución judicial de la que se hace mérito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Sucintamente expuestos, la demanda de amparo trae causa de los siguientes hechos relevantes para resolver sobre su admisión: </w:t>
      </w:r>
    </w:p>
    <w:p w:rsidR="000B622C" w:rsidRDefault="000B622C" w:rsidP="000B622C">
      <w:pPr>
        <w:pStyle w:val="TextoNormal"/>
      </w:pPr>
      <w:r>
        <w:t xml:space="preserve">a) El 3 de agosto de 1998 la Junta Arbitral de Castilla-La Mancha dictó un laudo arbitral por el que se ordenaba a la mercantil ahora demandante de amparo la entrega a un tercero de una motocicleta nueva de la misma marca y modelo que la adquirida por éste con anterioridad, o su equivalente económico. Para el supuesto de incumplimiento se fijaba en dos mil pesetas diarias la indemnización que Tol Moto, S.L. debía satisfacer al perjudicado. </w:t>
      </w:r>
    </w:p>
    <w:p w:rsidR="000B622C" w:rsidRDefault="000B622C" w:rsidP="000B622C">
      <w:pPr>
        <w:pStyle w:val="TextoNormal"/>
      </w:pPr>
      <w:r>
        <w:t xml:space="preserve">b) El procedimiento arbitral se desarrolló sin la presencia de Tol Moto, S.L., que había sido debidamente citada al efecto. Tol Moto, S.L. interpuso recurso de anulación contra el laudo. Este recurso fue desestimado por Sentencia de la Audiencia Provincial (Sección Primera) de Ciudad Real de 12c) El beneficiado por el laudo arbitral instó su ejecución en el Juzgado de Primera Instancia e Instrucción núm. 1 de Alcázar de San Juan. Este órgano judicial dictó Auto de 22 de septiembre de 1999 despachando la ejecución y condenando a Tol Moto, S.L. a abonar una indemnización de 584.000 pesetas </w:t>
      </w:r>
    </w:p>
    <w:p w:rsidR="000B622C" w:rsidRDefault="000B622C" w:rsidP="000B622C">
      <w:pPr>
        <w:pStyle w:val="TextoNormal"/>
      </w:pPr>
      <w:r>
        <w:t>d) Formulado recurso de nulidad de actuaciones por vulneración de los arts. 240 LOPJ y 929 LEC, el Juzgado de Primera Instancia e Instrucción núm. 1 de Alcázar de San Juan confirmó su anterior resolución mediante Auto de 28 de marzo de 2000. En éste se rechazaba que se hubiera causado indefensión a Tol Moto, S.L., porque la ejecución únicamente requería la realización de una sencilla operación aritmética consistente en multiplicar la indemnización diaria establecida en el laudo por el número de días durante los cuales aquélla había incumplido su obligación.</w:t>
      </w:r>
    </w:p>
    <w:p w:rsidR="000B622C" w:rsidRDefault="000B622C" w:rsidP="000B622C">
      <w:pPr>
        <w:pStyle w:val="TextoNormal"/>
      </w:pPr>
    </w:p>
    <w:p w:rsidR="000B622C" w:rsidRDefault="000B622C" w:rsidP="000B622C">
      <w:pPr>
        <w:pStyle w:val="TextoNormal"/>
      </w:pPr>
      <w:r w:rsidRPr="000B622C">
        <w:rPr>
          <w:rStyle w:val="NumeroAFNegritaCaracter"/>
        </w:rPr>
        <w:t>3</w:t>
      </w:r>
      <w:r>
        <w:t>. La recurrente denuncia la vulneración de su derecho fundamental a la tutela judicial efectiva sin indefensión (art. 24.1 CE) causada por haber sido tramitada la solicitud de ejecución sin darle traslado de la relación de daños y perjuicios a la que hace referencia el art. 929 LEC y sin emplazarle para que pudiera contestar y oponerse a ella. A este respecto subraya que en el laudo no figura una cantidad líquida en concepto de indemnización, sino que sólo se expresan los criterios para su determinación. Por estas razones solicita la anulación de todas las resoluciones judiciales desde el Auto de 22 de septiembre de 1999, por el que se despachó la ejecución del laudo arbitral. Mediante otrosí interesa, de conformidad con lo previsto en el art. 56 LOTC, la suspensión de la ejecución.</w:t>
      </w:r>
    </w:p>
    <w:p w:rsidR="000B622C" w:rsidRDefault="000B622C" w:rsidP="000B622C">
      <w:pPr>
        <w:pStyle w:val="TextoNormal"/>
      </w:pPr>
    </w:p>
    <w:p w:rsidR="000B622C" w:rsidRDefault="000B622C" w:rsidP="000B622C">
      <w:pPr>
        <w:pStyle w:val="TextoNormal"/>
      </w:pPr>
      <w:r w:rsidRPr="000B622C">
        <w:rPr>
          <w:rStyle w:val="NumeroAFNegritaCaracter"/>
        </w:rPr>
        <w:t>4</w:t>
      </w:r>
      <w:r>
        <w:t>. Mediante providencia de 31 de enero de 2001 se concedió, de acuerdo con lo dispuesto en el art. 50.3 LOTC, un plazo de diez días a la demandante de amparo y al Ministerio Fiscal para que formularan, con las aportaciones documentales procedentes, las alegaciones que estimasen pertinentes en relación con la carencia manifiesta de contenido constitucional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escrito de alegaciones de la mercantil demandante de amparo se presentó en el Registro General de este Tribunal el 21 de febrero de 2001. En él se insiste en que las resoluciones judiciales impugnadas habrían incurrido en infracción del art. 24.1 CE porque a la parte condenada a indemnizar no se le brindó la oportunidad de ser oída e impugnar, si procedía, la solicitud del ejecutante. </w:t>
      </w:r>
    </w:p>
    <w:p w:rsidR="000B622C" w:rsidRDefault="000B622C" w:rsidP="000B622C">
      <w:pPr>
        <w:pStyle w:val="TextoNormal"/>
      </w:pPr>
      <w:r>
        <w:t>Este vicio de inconstitucionalidad aqueja al Auto de 22 de septiembre de 1999 despachando la ejecución, y no fue reparado por el Auto de 28 de marzo de 2000, puesto que denegó la nulidad de actuaciones interesada para restablecer a la entonces ejecutada y ahora solicitante de amparo en la efectividad de su derecho fundamental. Dicha denegación se basó en que la ejecución del laudo no requería más que de una operación puramente aritmética, olvidando así el órgano judicial que el laudo arbitral fue impugnado y que en ningún momento se había disipado la duda acerca de si el tiempo de tramitación del recurso de anulación había de computarse a efectos del cumplimiento del laudo. De este modo, lo que en el Auto de ejecución no se resolvió, porque nadie lo planteó, fue si el periodo al que había de aplicarse la indemnización de dos mil pesetas diarias debía comenzar a contarse desde la fecha en la que se dictó el laudo, como finalmente sucedió, o, en la tesis sostenida por la mercantil, desde que el laudo arbitral ganó firmeza.</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El Ministerio Fiscal presentó su escrito de alegaciones el 26 de febrero. Tras dar sucinta cuenta de los hechos de los que trae causa el presente recurso de amparo y de las pretensiones en él articuladas se exponen las razones por las que procede su inadmisión a trámite. </w:t>
      </w:r>
    </w:p>
    <w:p w:rsidR="000B622C" w:rsidRDefault="000B622C" w:rsidP="000B622C">
      <w:pPr>
        <w:pStyle w:val="TextoNormal"/>
      </w:pPr>
      <w:r>
        <w:t xml:space="preserve">En primer lugar se señala que, aun siendo indudable que la audiencia del ejecutado forma parte del contenido del derecho a la tutela judicial efectiva del art. 24.1 CE, no lo es menos que esta afirmación debe ser matizada porque la regulación de dicho proceso de ejecución depende sustancialmente de la naturaleza de la condena que se trata de ejecutar. De este modo, si la ejecución versa sobre cantidad líquida, no procede la intervención del ejecutado, como efectivamente reconoce el párrafo primero del art. 921 LEC, e, implícitamente, la STC 176/1985, de 17 de diciembre. </w:t>
      </w:r>
    </w:p>
    <w:p w:rsidR="000B622C" w:rsidRDefault="000B622C" w:rsidP="000B622C">
      <w:pPr>
        <w:pStyle w:val="TextoNormal"/>
      </w:pPr>
      <w:r>
        <w:lastRenderedPageBreak/>
        <w:t xml:space="preserve">A continuación afirma el Ministerio Fiscal que el problema planteado estriba en determinar si para la ejecución del laudo arbitral era necesario o no realizar alguna clase de liquidación, tal y como sostiene la demandante de amparo. Pues bien, a su juicio no cabe hablar de tal cosa desde el mismo momento en el que el laudo establecía una indemnización de dos mil pesetas diarias mientras durase el retraso en su ejecución, por lo que la fijación de su cuantía no puede calificarse propiamente de liquidación de una deuda, como reconoce el art. 921 LEC, en cuyo párrafo segundo se considera líquida la condena que contenga el pago de intereses siempre que se establezca el tipo al que deben computarse y el tiempo por el que deben abonarse, que es esencialmente lo que dispuso el laudo. </w:t>
      </w:r>
    </w:p>
    <w:p w:rsidR="000B622C" w:rsidRDefault="000B622C" w:rsidP="000B622C">
      <w:pPr>
        <w:pStyle w:val="TextoNormal"/>
      </w:pPr>
      <w:r>
        <w:t>Finalmente sostiene el Ministerio Fiscal que existió cierta desidia en la conducta de la recurrente, quien, conociendo desde el 15 de julio de 1999 que el interesado había solicitado la ejecución del laudo, no se personó en el proceso hasta después de dictado el Auto. De este modo, la indefensión que se dice haber padecido, de existir, no sería reprochable en exclusiva al órgano judicial, como exige el art. 44.1 LOTC.</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Conforme se ha expuesto con mayor detalle en los antecedentes de esta resolución, la mercantil recurrente en amparo solicita la anulación de las resoluciones recaídas en el proceso judicial previo a partir del Auto del Juzgado de Primera Instancia e Instrucción núm. 1 de Alcázar de San Juan de 22 de septiembre de 1999 por el que se despacha ejecución de un laudo arbitral anterior imponiendo a Tol Moto, S.L., la obligación de abonar una indemnización de 584.000 pesetas. La pretensión ahora ejercitada se funda en que el mencionado Auto quebrantó el art. 24.1 CE porque fue dictado inaudita parte; consecuentemente, al no concederse a la ejecutada la posibilidad de comparecer y actuar en defensa de sus intereses, se la situó en una posición de indefensión proscrita por el antes citado precepto constitucional. El Ministerio Fiscal disiente de la opinión expresada por la representación procesal de la recurrente y postula la inadmisión a trámite de la demanda de amparo.</w:t>
      </w:r>
    </w:p>
    <w:p w:rsidR="000B622C" w:rsidRDefault="000B622C" w:rsidP="000B622C">
      <w:pPr>
        <w:pStyle w:val="TextoNormal"/>
      </w:pPr>
      <w:r>
        <w:t>A la vista de las alegaciones formuladas en el incidente abierto mediante providencia de 31 de enero de 2001 hemos de convenir con el Ministerio Fiscal en la carencia de contenido constitucional de la demanda.</w:t>
      </w:r>
    </w:p>
    <w:p w:rsidR="000B622C" w:rsidRDefault="000B622C" w:rsidP="000B622C">
      <w:pPr>
        <w:pStyle w:val="TextoNormal"/>
      </w:pPr>
    </w:p>
    <w:p w:rsidR="000B622C" w:rsidRDefault="000B622C" w:rsidP="000B622C">
      <w:pPr>
        <w:pStyle w:val="TextoNormal"/>
      </w:pPr>
      <w:r w:rsidRPr="000B622C">
        <w:rPr>
          <w:rStyle w:val="NumeroAFNegritaCaracter"/>
        </w:rPr>
        <w:t>2</w:t>
      </w:r>
      <w:r>
        <w:t>. En relación con las resoluciones judiciales dictadas inaudita parte este Tribunal ha manifestado, con reiteración, que una incorrecta o defectuosa constitución de la relación jurídica procesal puede ser causa de indefensión lesiva del derecho a la tutela judicial efectiva garantizado por el art. 24.1 CE (por todas, STC 185/2001, de 17 de septiembre, FJ 3). Sólo si aquélla tiene lugar en los términos debidos es posible garantizar el derecho a la defensa de quienes son o pueden ser parte en el proceso y observar el principio de contradicción; pesa por ello sobre los órganos judiciales la responsabilidad de velar por la correcta constitución de aquella relación (al respecto, STC 294/2000, de 11 de diciembre, FJ 2).</w:t>
      </w:r>
    </w:p>
    <w:p w:rsidR="000B622C" w:rsidRDefault="000B622C" w:rsidP="000B622C">
      <w:pPr>
        <w:pStyle w:val="TextoNormal"/>
      </w:pPr>
      <w:r>
        <w:t xml:space="preserve">Ahora bien, este Tribunal también ha advertido en repetidas ocasiones que no toda deficiencia que afecte al establecimiento de dicha relación jurídica procesal reviste relevancia constitucional, que sólo poseen aquellas irregularidades que provoquen indefensión en quien las haya sufrido, lo que sucederá si la resolución judicial se dicta inaudita parte por causas que no sean imputables a la parte, bien por su pasividad o su negligencia, y sin que </w:t>
      </w:r>
      <w:r>
        <w:lastRenderedPageBreak/>
        <w:t>haya podido tener la oportunidad efectiva de alegar y probar lo alegado en un proceso con todas las garantías (SSTC 117/1983, de 12 de diciembre, 77/1997, 143/1998, 176/1998, 26/1999, de 8 de marzo, y 78/1999, de 26 de abril). En particular conviene no olvidar que la posible negligencia, descuido o impericia imputables a la parte, o el conocimiento extraprocesal de la causa judicial tramitada supuestamente sin conocimiento del interesado, vaciarán de contenido constitucional su queja siempre que se acredite su concurrencia (en este sentido, STC 294/2000, de 11 de diciembre, FJ 2).</w:t>
      </w:r>
    </w:p>
    <w:p w:rsidR="000B622C" w:rsidRDefault="000B622C" w:rsidP="000B622C">
      <w:pPr>
        <w:pStyle w:val="TextoNormal"/>
      </w:pPr>
      <w:r>
        <w:t>En el presente caso la recurrente en amparo niega haber tenido conocimiento de la petición de ejecución del laudo arbitral antes de que se le notificara el Auto de 22 de septiembre de 1999 por el que se accedía a la pretensión ejercitada por la contraparte y se le imponía la obligación de abonar la cantidad de 584.000 pesetas en concepto de indemnización por daños y perjuicios.  Sin embargo esta negación resulta contradicha por sendos escritos, aportados a este proceso constitucional por la propia recurrente, que le remitió el ejecutante y que llevan fecha de 15 y 30 de julio de 1999, respectivamente. En el primero de ellos informa a Tol Motor, S.L., de que ha solicitado "ante el Juzgado de Alcázar de San Juan la ejecución de la sentencia" y en el segundo da por cumplida y extinguida la obligación existente entre ambas partes, añadiéndose que queda en todo caso pendiente "lo que dicte el Juzgado de Alcázar de San Juan ante el que tengo solicitada la ejecución de sentencia respecto a la cantidad que me corresponde en concepto de indemnización por demora en la entrega de la moto".</w:t>
      </w:r>
    </w:p>
    <w:p w:rsidR="000B622C" w:rsidRDefault="000B622C" w:rsidP="000B622C">
      <w:pPr>
        <w:pStyle w:val="TextoNormal"/>
      </w:pPr>
      <w:r>
        <w:t>Por consiguiente la recurrente ha acreditado de manera fehaciente una conducta que sólo puede ser calificada de negligente en defensa de sus derechos, lo que impide admitir a trámite su demanda de amparo. La inadmisión acordada torna improcedente el pronunciamiento sobre la suspensión interesada.</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ocho de abril del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56" w:name="AUTO_2002_55"/>
      <w:r>
        <w:lastRenderedPageBreak/>
        <w:t>AUTO 55/2002, de 8 de abril de 2002</w:t>
      </w:r>
    </w:p>
    <w:bookmarkEnd w:id="156"/>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ECLI:ES:TC:2002:55A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5251-2000, interpuesto por don Luis María Gallardo Rodríguez</w:t>
      </w:r>
    </w:p>
    <w:p w:rsidR="000B622C" w:rsidRDefault="000B622C" w:rsidP="000B622C">
      <w:pPr>
        <w:pStyle w:val="SntesisDescriptiva"/>
      </w:pPr>
    </w:p>
    <w:p w:rsidR="000B622C" w:rsidRDefault="000B622C" w:rsidP="000B622C">
      <w:pPr>
        <w:pStyle w:val="SntesisAnaltica"/>
      </w:pPr>
      <w:r>
        <w:t>Resolución civil. Tutela judicial sin indefensión, derecho a la; Acceso al proceso: reconocimiento del derecho a justicia gratuita. Justicia gratuita: procedimiento.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Juzgado de guardia el 2 de octubre de 2000 y registrado en este Tribunal el siguiente día 4, doña María Teresa Pérez Acosta, Procuradora de los Tribunales y de don Luis María Gallardo Rodríguez, con asistencia del Letrado don Mario del Burgo Parra Santamaría, interpuso recurso de amparo contra la resolución judicial de la que se hace mérito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Sucintamente expuestos, la demanda de amparo trae causa de los siguientes hechos relevantes para resolver sobre su admisión: </w:t>
      </w:r>
    </w:p>
    <w:p w:rsidR="000B622C" w:rsidRDefault="000B622C" w:rsidP="000B622C">
      <w:pPr>
        <w:pStyle w:val="TextoNormal"/>
      </w:pPr>
      <w:r>
        <w:t xml:space="preserve">a) Doña María Teresa Marcos Montero, quien estuvo casada con el ahora recurrente en amparo, solicitó el reconocimiento del derecho de asistencia jurídica gratuita a fin de impugnar una escritura otorgada por ambos para liquidar la sociedad legal de gananciales. Esta solicitud fue denegada por la Comisión de Asistencia Jurídica Gratuita de Vizce que la peticionaria disponía de medios económicos suficientes. b) Por Auto del Juzgado de Primera Instancia núm. 4 de Bilbao de 28 de enero de 2000 se estimó la impugnación del acuerdo de la Comisión de Asistencia Jurídica Gratuita antes indicado. En la parte dispositiva de esta resolución judicial se reconocía el derecho solicitado, si bien condicionado a que por la peticionaria se pidieran litis expensas. </w:t>
      </w:r>
    </w:p>
    <w:p w:rsidR="000B622C" w:rsidRDefault="000B622C" w:rsidP="000B622C">
      <w:pPr>
        <w:pStyle w:val="TextoNormal"/>
      </w:pPr>
      <w:r>
        <w:t>c) Enterado de la estimación de la pretensión ejercitada por quien fuera su esposa, el ahora solicitante de amparo instó la nulidad de lo actuado alegando que, al no haber sido pertinentemente emplazado, no pudo acreditar que la beneficiaria no reunía los requisitos legalmente establecidos para poder disfrutar del derecho de asistencia jurídica gratuita al disponer de bienes suficientes para hacer frente a los gastos del proceso. Esta pretensión fue denegada por nuevo Auto del mismo órgano jurisdiccional de 4 de septiembre de 2000.</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El recurrente denuncia que se ha vulnerado su derecho fundamental a la tutela judicial efectiva (art. 24.1 CE) toda vez que, ostentando un evidente interés legítimo, no se le </w:t>
      </w:r>
      <w:r>
        <w:lastRenderedPageBreak/>
        <w:t>brindó la oportunidad de intervenir en el procedimiento de reconocimiento del derecho de asistencia jurídica gratuita a la peticionaria. Consecuentemente, solicita la anulación del Auto del Juzgado de Primera Instancia núm. 4 de Bilbao 4 de septiembre de 2000 y de todo lo actuado por dicho órgano judicial en el procedimiento de justicia gratuita 571/99 a partir de la providencia de 26 de octubre de 1999, por la que se ordena la formación de la correspondiente pieza separada, con llamamiento a las partes.</w:t>
      </w:r>
    </w:p>
    <w:p w:rsidR="000B622C" w:rsidRDefault="000B622C" w:rsidP="000B622C">
      <w:pPr>
        <w:pStyle w:val="TextoNormal"/>
      </w:pPr>
    </w:p>
    <w:p w:rsidR="000B622C" w:rsidRDefault="000B622C" w:rsidP="000B622C">
      <w:pPr>
        <w:pStyle w:val="TextoNormal"/>
      </w:pPr>
      <w:r w:rsidRPr="000B622C">
        <w:rPr>
          <w:rStyle w:val="NumeroAFNegritaCaracter"/>
        </w:rPr>
        <w:t>4</w:t>
      </w:r>
      <w:r>
        <w:t>. Mediante providencia de 15 de junio de 2001 se concedió, de acuerdo con lo dispuesto en el art. 50.3 LOTC, un plazo de diez días al demandante de amparo y al Ministerio Fiscal para que formularan, con las aportaciones documentales procedentes, las alegaciones que estimasen pertinentes en relación con la carencia manifiesta de contenido constitucional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El Ministerio Fiscal presentó su escrito de alegaciones el 5 de julio de 2001. Tras dar sucinta cuenta de los hechos de los que trae causa el presente recurso de amparo y de los motivos esgrimidos por el demandante en defensa de su pretensión anulatoria, se exponen las razones por las que procede su inadmisión a trámite. </w:t>
      </w:r>
    </w:p>
    <w:p w:rsidR="000B622C" w:rsidRDefault="000B622C" w:rsidP="000B622C">
      <w:pPr>
        <w:pStyle w:val="TextoNormal"/>
      </w:pPr>
      <w:r>
        <w:t xml:space="preserve">Para comenzar, el Ministerio Fiscal rechaza la premisa de la que parte todo el razonamiento del recurrente. Concretamente, sostiene que no puede pretender ostentar la condición de parte en el proceso de impugnación de la resolución dictada por la Comisión de Asistencia Jurídica Gratuita de Vizcaya quien careció de la misma en el expediente del que dicha impugnación trajo causa. De lo cual se deriva que el recurrente no puede fundar su legitimación en vía de amparo en el art. 46.1 b) LOTC pues el término "partes" del art. 20 de la Ley 1/1996, de 10 de enero, de Asistencia Jurídica Gratuita, se refiere única y exclusivamente a quienes hayan intervenido en el expediente resuelto por la correspondiente Comisión de Asistencia Jurídica Gratuita, condición de la que no goza el demandante, cuya participación en el expediente ni se produjo ni era preceptiva. </w:t>
      </w:r>
    </w:p>
    <w:p w:rsidR="000B622C" w:rsidRDefault="000B622C" w:rsidP="000B622C">
      <w:pPr>
        <w:pStyle w:val="TextoNormal"/>
      </w:pPr>
      <w:r>
        <w:t xml:space="preserve">De otro lado, como ha resaltado el ATC 310/2000, no basta con haber sido parte en el proceso seguido ante la jurisdicción ordinaria para gozar de legitimación a efectos del proceso constitucional. En efecto, según es doctrina constitucional reiterada, el art. 46.1 LOTC exige asimismo acreditar un interés propio y cualificado en el asunto ventilado ante esta jurisdicción. A este respecto señala el Ministerio Fiscal que aunque el propio recurrente reconoce que no le compete terciar en si la Sra. Marcos debe ser o no beneficiaria del derecho a la asistencia jurídica gratuita, no otra cosa es lo que efectivamente pretende con su demanda de amparo. Trata de poder demostrar que aquélla percibía rentas superiores al doble del salario mínimo y, en consecuencia, lograr que el reconocimiento de su derecho sea revocado porque, y esto lo reconoce paladinamente, su perjuicio ha consistido en que debido al reconocimiento del derecho en cuestión se ve sometido a un proceso en el que se postula la anulación de la liquidación de la sociedad legal de gananciales convencionalmente realizada y en el que, cautelarmente, se han adoptado medidas que le son perjudiciales al haber tenido acceso al Registro de la Propiedad mediante su anotación preventiva. </w:t>
      </w:r>
    </w:p>
    <w:p w:rsidR="000B622C" w:rsidRDefault="000B622C" w:rsidP="000B622C">
      <w:pPr>
        <w:pStyle w:val="TextoNormal"/>
      </w:pPr>
      <w:r>
        <w:t xml:space="preserve">En consecuencia, el perjuicio que invoca el recurrente para sostener su legitimación activa es el que le ha ocasionado la incoación de un proceso y las medidas cautelares en él acordadas. </w:t>
      </w:r>
    </w:p>
    <w:p w:rsidR="000B622C" w:rsidRDefault="000B622C" w:rsidP="000B622C">
      <w:pPr>
        <w:pStyle w:val="TextoNormal"/>
      </w:pPr>
      <w:r>
        <w:t xml:space="preserve">Planteada la cuestión en estos términos, lo que con la demanda de amparo se pretende realmente es evitar que la incoación de ese proceso se llegue a materializar, lo que, en opinión del Ministerio Fiscal, no puede merecer la consideración de interés legítimo a efectos </w:t>
      </w:r>
      <w:r>
        <w:lastRenderedPageBreak/>
        <w:t xml:space="preserve">de su protección por el art. 162.1 b) CE sino un interés espurio porque trata de impedir injustificadamente el acceso al proceso de un tercero. Lo que ha de llevar, siempre en la opinión del Ministerio Fiscal, a la inadmisión de la demanda de amparo conforme a lo previsto en los arts. 50.1 a) y 46.1 b) LOTC. </w:t>
      </w:r>
    </w:p>
    <w:p w:rsidR="000B622C" w:rsidRDefault="000B622C" w:rsidP="000B622C">
      <w:pPr>
        <w:pStyle w:val="TextoNormal"/>
      </w:pPr>
      <w:r>
        <w:t>Para el supuesto de que la Sección no compartiera las tesis ahora sintetizadas, el Ministerio Fiscal apunta asimismo la falta de contenido constitucional de la demanda por dos razones. La primera hace referencia al hecho de que si la intervención del ahora solicitante de amparo no es preceptiva en el procedimiento de reconocimiento del derecho de asistencia jurídica gratuita, mal puede haberse producido infracción del art. 24.1 CE por no emplazarle. La segunda tiene que ver con el fondo de la cuestión planteada, que no es otra que la apreciación de si su antigua esposa reúne o no los requisitos para poder actuar en el proceso ejercitando el derecho de asistencia jurídica gratuita, lo que escapa con toda evidencia al control de este Tribunal Constitucional.</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El escrito de alegaciones del demandante de amparo, presentado en el Juzgado de Guardia el 9 de julio de 2001, ingresó en el Registro General de este Tribunal el siguiente día 11 de julio. </w:t>
      </w:r>
    </w:p>
    <w:p w:rsidR="000B622C" w:rsidRDefault="000B622C" w:rsidP="000B622C">
      <w:pPr>
        <w:pStyle w:val="TextoNormal"/>
      </w:pPr>
      <w:r>
        <w:t>Tras reafirmarse en lo ya aducido en el escrito de demanda, el recurrente invoca una serie de resoluciones de este Tribunal (SSTC 80/1996, 224/1997, 65/2000, 221/2000 y 229/2000) cuya doctrina prestaría apoyo a su pretensión y que ilustrarían más que suficientemente sobre el contenido constitucional de la cuestión de fondo que plantea.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se ha expuesto con mayor detalle en los antecedentes, el recurrente solicita la anulación de lo actuado por el Juzgado de Primera Instancia núm. 4 de Bilbao en el procedimiento de justicia gratuita núm. 571/99 y que concluyó con el reconocimiento del derecho a favor de doña María Teresa Marcos Montero.  A juicio del demandante, la sustanciación del procedimiento sin haberle emplazado le ha ocasionado indefensión contraria al art. 24.1 CE.  Concretamente, se queja de no haber podido acreditar que la beneficiaria no reunía las condiciones establecidas por la legalidad vigente para disfrutar del derecho a la asistencia jurídica gratuita.</w:t>
      </w:r>
    </w:p>
    <w:p w:rsidR="000B622C" w:rsidRDefault="000B622C" w:rsidP="000B622C">
      <w:pPr>
        <w:pStyle w:val="TextoNormal"/>
      </w:pPr>
    </w:p>
    <w:p w:rsidR="000B622C" w:rsidRDefault="000B622C" w:rsidP="000B622C">
      <w:pPr>
        <w:pStyle w:val="TextoNormal"/>
      </w:pPr>
      <w:r>
        <w:t>A su vez, el Ministerio Fiscal discrepa abiertamente de la opinión expresada por el recurrente e interesa la inadmisión a trámite de la presente demanda de amparo. Sustenta esta pretensión en la doble carencia de legitimación activa del demandante y de contenido constitucional de la cuestión planteada suficiente para merecer una respuesta sobre el fondo en forma de Sentencia.</w:t>
      </w:r>
    </w:p>
    <w:p w:rsidR="000B622C" w:rsidRDefault="000B622C" w:rsidP="000B622C">
      <w:pPr>
        <w:pStyle w:val="TextoNormal"/>
      </w:pPr>
    </w:p>
    <w:p w:rsidR="000B622C" w:rsidRDefault="000B622C" w:rsidP="000B622C">
      <w:pPr>
        <w:pStyle w:val="TextoNormal"/>
      </w:pPr>
      <w:r>
        <w:t>Pues bien, a la vista de las alegaciones formuladas en este incidente debemos confirmar ahora que concurre en la presente demanda de amparo constitucional el defecto de admisibilidad sobre el que alertábamos en nuestra providencia de 15 de junio de 2001.</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Este Tribunal viene destacando constantemente la trascendental importancia que posee la correcta y escrupulosa constitución de la relación jurídica procesal para entablar y proseguir los procesos judiciales con plena observancia de los derechos constitucionales de defensa que el art. 24 CE garantiza a las partes. A este respecto, desde la STC 9/1981, </w:t>
      </w:r>
      <w:r>
        <w:lastRenderedPageBreak/>
        <w:t>de 31 de marzo, es doctrina constitucional reiterada que el art. 24.1 CE contiene un mandato implícito al legislador y al intérprete para promover la defensa procesal mediante la correspondiente contradicción. A partir de aquí, y siendo plenamente conscientes de que los actos procesales de comunicación son el soporte instrumental básico para la existencia de un juicio contradictorio, ya que sin su debido emplazamiento las partes no podrían comparecer en juicio ni defender sus posiciones (STC 1/2002, de 14 de enero, FJ 2, y las resoluciones allí citadas), hemos sostenido que los órganos judiciales tienen la obligación de velar por la correcta constitución de aquella relación procesal, de tal suerte que, en aquellos casos en los que de las actuaciones resulte con toda claridad la existencia de posibles interesados, o a partir de los datos que allí consten sea factible que el órgano judicial pueda efectuar el emplazamiento, recae sobre éste el deber de velar porque dichos actos se efectúen, garantizando así que la parte pueda ser oída en el proceso (STC 185/2001, de 17 de septiembre, FJ 3).</w:t>
      </w:r>
    </w:p>
    <w:p w:rsidR="000B622C" w:rsidRDefault="000B622C" w:rsidP="000B622C">
      <w:pPr>
        <w:pStyle w:val="TextoNormal"/>
      </w:pPr>
    </w:p>
    <w:p w:rsidR="000B622C" w:rsidRDefault="000B622C" w:rsidP="000B622C">
      <w:pPr>
        <w:pStyle w:val="TextoNormal"/>
      </w:pPr>
      <w:r w:rsidRPr="000B622C">
        <w:rPr>
          <w:rStyle w:val="NumeroAFNegritaCaracter"/>
        </w:rPr>
        <w:t>3</w:t>
      </w:r>
      <w:r>
        <w:t>. En el presente caso el demandante de amparo pretende que se habría conculcado su derecho fundamental a la tutela judicial efectiva porque el órgano jurisdiccional tramitó el procedimiento de justicia gratuita impugnado sin darle la oportunidad de comparecer e intervenir en él. Ahora bien, para que esta queja adquiriese relevancia constitucional sería preciso que el recurrente hubiera acreditado que efectivamente ostentaba la posición de parte en el meritado procedimiento de justicia gratuita y que, en consecuencia, su intervención en el mismo era preceptiva.</w:t>
      </w:r>
    </w:p>
    <w:p w:rsidR="000B622C" w:rsidRDefault="000B622C" w:rsidP="000B622C">
      <w:pPr>
        <w:pStyle w:val="TextoNormal"/>
      </w:pPr>
    </w:p>
    <w:p w:rsidR="000B622C" w:rsidRDefault="000B622C" w:rsidP="000B622C">
      <w:pPr>
        <w:pStyle w:val="TextoNormal"/>
      </w:pPr>
      <w:r>
        <w:t>Este extremo no puede darse por supuesto, como pretende el recurrente de amparo al soslayarlo, desde el mismo momento en que no intervino en el procedimiento seguido ante la Comisión de Asistencia Jurídica Gratuita de Vizcaya que dio origen al proceso judicial del que trae causa la presente demanda de amparo. De igual modo, su condición de parte tampoco puede inferirse de la relación procesal establecida a consecuencia de la impugnación de la liquidación de la sociedad de gananciales que el recurrente mantenía con su ex esposa, pues no era éste el objeto del procedimiento al que no fue emplazado, ni del hecho de haber interesado del órgano judicial la anulación de lo actuado pues el recurso al remedio procesal excepcional recogido en el art. 240.3 LOPJ no confiere por sí sólo la condición de parte a quien originariamente no la ostentara.</w:t>
      </w:r>
    </w:p>
    <w:p w:rsidR="000B622C" w:rsidRDefault="000B622C" w:rsidP="000B622C">
      <w:pPr>
        <w:pStyle w:val="TextoNormal"/>
      </w:pPr>
    </w:p>
    <w:p w:rsidR="000B622C" w:rsidRDefault="000B622C" w:rsidP="000B622C">
      <w:pPr>
        <w:pStyle w:val="TextoNormal"/>
      </w:pPr>
      <w:r>
        <w:t>Consecuentemente, al no haber acreditado cuál era la relación jurídica que mantenía con el objeto del procedimiento de justicia gratuita núm. 571/99 tramitado por el Juzgado de Primera Instancia núm. 4 de Bilbao y por razón de la cual pudiera ser, en su caso, preceptivo su llamamiento al proceso, no es posible apreciar que la omisión de su emplazamiento le haya ocasionado indefensión alguna. Lo que determina la inadmisión a trámite de este recurso de amparo.</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ocho de abril de dos mil dos.</w:t>
      </w:r>
    </w:p>
    <w:p w:rsidR="000B622C" w:rsidRDefault="000B622C">
      <w:pPr>
        <w:rPr>
          <w:rFonts w:ascii="Times New Roman" w:eastAsia="Times New Roman" w:hAnsi="Times New Roman" w:cs="Times New Roman"/>
          <w:sz w:val="24"/>
          <w:szCs w:val="24"/>
          <w:lang w:eastAsia="es-ES"/>
        </w:rPr>
      </w:pPr>
      <w:r>
        <w:lastRenderedPageBreak/>
        <w:br w:type="page"/>
      </w:r>
    </w:p>
    <w:p w:rsidR="000B622C" w:rsidRDefault="000B622C" w:rsidP="000B622C">
      <w:pPr>
        <w:pStyle w:val="TtuloResolucin"/>
      </w:pPr>
      <w:bookmarkStart w:id="157" w:name="AUTO_2002_56"/>
      <w:r>
        <w:lastRenderedPageBreak/>
        <w:t>AUTO 56/2002, de 8 de abril de 2002</w:t>
      </w:r>
    </w:p>
    <w:bookmarkEnd w:id="157"/>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ECLI:ES:TC:2002:56A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5679-2000, interpuesto por don Joaquín Varas Mateos</w:t>
      </w:r>
    </w:p>
    <w:p w:rsidR="000B622C" w:rsidRDefault="000B622C" w:rsidP="000B622C">
      <w:pPr>
        <w:pStyle w:val="SntesisDescriptiva"/>
      </w:pPr>
    </w:p>
    <w:p w:rsidR="000B622C" w:rsidRDefault="000B622C" w:rsidP="000B622C">
      <w:pPr>
        <w:pStyle w:val="SntesisAnaltica"/>
      </w:pPr>
      <w:r>
        <w:t>Sentencia penal. Derecho a la libre información: condena penal por críticas a un cargo público, respetado. Escritos anónimos. Libertad de información: opúsculo; identificación del autor. Igualdad en la aplicación de la ley: Sentencia que no contradice una línea jurisprudencial consolidada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Juzgado de guardia el 31 de octubre de 2000, registrado en este Tribunal el día 3 de noviembre siguiente, doña Concepción del Rey Estévez, Procuradora de los Tribunales y de don Joaquín Varas Mateos, quien se halla asistido del Letrado don F. Javier Plaza Veiga, interpuso recurso de amparo contra la resolución judicial de la que se hace mérito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Sucintamente expuestos, la demanda de amparo trae causa de los siguientes hechos relevantes para resolver sobre su admisión: </w:t>
      </w:r>
    </w:p>
    <w:p w:rsidR="000B622C" w:rsidRDefault="000B622C" w:rsidP="000B622C">
      <w:pPr>
        <w:pStyle w:val="TextoNormal"/>
      </w:pPr>
      <w:r>
        <w:t xml:space="preserve">a) El solicitante de amparo es residente y concejal del Ayuntamiento de la localidad de Cabrerizos (Salamanca). En enero de 1999 distribuyó por el pueblo un opúsculo titulado "Pobre Cabrerizos...", donde se criticaba la gestión del urbanismo municipal, imputando a quien había sido Alcalde entre 1987 y 1990 haber actuado al margen de la legalidad en defensa de sus propios intereses y no de los municipales. </w:t>
      </w:r>
    </w:p>
    <w:p w:rsidR="000B622C" w:rsidRDefault="000B622C" w:rsidP="000B622C">
      <w:pPr>
        <w:pStyle w:val="TextoNormal"/>
      </w:pPr>
      <w:r>
        <w:t xml:space="preserve">b) A resultas de este escrito se instruyeron, mediando querella del ofendido, las correspondientes diligencias previas, que dieron lugar a la causa núm. 73/00, Juzgado de lo Penal núm. 1 de Salamanca, que dictó Sentencia de 19 de mayo de 2000. En esta Sentencia se condenaba al entonces acusado y ahora recurrente en amparo, como autor penalmente responsable de un delito de calumnia con publicidad, a la pena de multa de doce meses a razón de cinco mil pesetas por día, al pago de las costas y al abono de una indemnización al perjudicado. </w:t>
      </w:r>
    </w:p>
    <w:p w:rsidR="000B622C" w:rsidRDefault="000B622C" w:rsidP="000B622C">
      <w:pPr>
        <w:pStyle w:val="TextoNormal"/>
      </w:pPr>
      <w:r>
        <w:t>c) Contra esta Sentencia se alzó en apelación el condenado. El recurso fue resuelto por Sentencia de la Audiencia Provincial de Salamanca de 15 de septiembre de 2000, por la que se revocaba la resolución de instancia en el sentido de fijar la pena de multa impuesta en seis meses a razón de cinco mil pesetas diarias.</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3</w:t>
      </w:r>
      <w:r>
        <w:t xml:space="preserve">. El recurrente en amparo denuncia vulneración de su derecho a comunicar libremente información veraz [art. 20.1 d) CE] y quebrantamiento de la igualdad en la aplicación de la ley (art. 14 CE). Respecto del primer motivo sostiene que la conducta por la que fue condenado tuvo lugar en el contexto de unas elecciones y que le animaba el propósito de hacer circular de forma anónima una serie de informaciones que habían de interesar al electorado y que, además, han de reputarse veraces, extremo éste destacado por la Sentencia de instancia y no refutado en la de apelación. Desde tal perspectiva las resoluciones judiciales impugnadas resultan arbitrarias porque niegan el reconocimiento del derecho fundamental para cuya protección se insta el amparo sin aportar argumentos que sirvan para justificar el rechazo de la veracidad de los hechos sobre los que versaba el escrito distribuido por cuenta del ahora recurrente. </w:t>
      </w:r>
    </w:p>
    <w:p w:rsidR="000B622C" w:rsidRDefault="000B622C" w:rsidP="000B622C">
      <w:pPr>
        <w:pStyle w:val="TextoNormal"/>
      </w:pPr>
      <w:r>
        <w:t>En cuanto al segundo motivo aduce el recurrente que la Sentencia de apelación representa un apartamiento irrazonado de los criterios que en la materia venía aplicando reiteradamente la Audiencia Provincial de Salamanca. Para acreditar esta denuncia aporta copia de la Sentencia de 12 de marzo de 1998 del referido órgano jurisdiccional.</w:t>
      </w:r>
    </w:p>
    <w:p w:rsidR="000B622C" w:rsidRDefault="000B622C" w:rsidP="000B622C">
      <w:pPr>
        <w:pStyle w:val="TextoNormal"/>
      </w:pPr>
    </w:p>
    <w:p w:rsidR="000B622C" w:rsidRDefault="000B622C" w:rsidP="000B622C">
      <w:pPr>
        <w:pStyle w:val="TextoNormal"/>
      </w:pPr>
      <w:r w:rsidRPr="000B622C">
        <w:rPr>
          <w:rStyle w:val="NumeroAFNegritaCaracter"/>
        </w:rPr>
        <w:t>4</w:t>
      </w:r>
      <w:r>
        <w:t>. Mediante providencia de 15 de junio de 2001 se concedió, de acuerdo con lo dispuesto en el art. 50.3 LOTC, un plazo de diez días al demandante de amparo y al Ministerio Fiscal para que formularan, con las aportaciones documentales procedentes, las alegaciones que estimasen pertinentes en relación con la carencia manifiesta de contenido constitucional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El escrito de alegaciones del recurrente, quien postula la admisión a trámite de la demanda, se presentó en este Tribunal el 9 de julio de 2001. En primer lugar se exponen las razones por las cuales el motivo atinente a la vulneración del art. 20.1 d) CE encierra contenido constitucional suficiente para justificar un pronunciamiento en forma de Sentencia, invocando al respecto la doctrina establecida en la STC 105/1990, de 6 de junio. Igualmente, y a los efectos de la modulación de la relevancia de los mensajes emitidos por cauces distintos de los normalmente empleados para la formación de la opinión pública (STC 165/1987, de 27 de octubre), alega las dificultades con las que ha de enfrentarse a la hora de acceder a los mismos, su carencia de cultura y la condición de personaje público que ostentan ambos sujetos de la polémica (él mismo, en su calidad de concejal del Ayuntamiento de Cabrerizos, y quien fuera su Alcalde en el período que abarca desde 1987 hasta 1990). La ponderación de todos estos elementos sólo puede efectuarse a través de Sentencia, en la que se dé prioridad a la crítica política que se manifiesta en el escrito sobre cualesquiera otras valoraciones que desde el prisma del honor quepa efectuar. También en relación con este primer motivo del recurso se denuncia que en ambas resoluciones judiciales se ha dado preferencia al derecho al honor del querellante en el análisis de unos hechos cuya atipicidad penal (en el momento en que se produjeron) se reconoce. Respecto de la denuncia de infracción del art. 14 CE admite el recurrente que la doctrina constitucional (entre otras, STC 102/2000) viene considerando que para efectuar el juicio de igualdad que dicho precepto contempla no basta con una única resolución judicial de contraste. Ahora bien, este hecho no empece para destacar el carácter generalizador de la Sentencia invocada y para subrayar que el acusado tenía derecho a confiar en que unos hechos similares serían apreciados de la misma forma, máxime cuando en la Sentencia de apelación no se apunta ni una sola particularidad que explique o justifique la aplicación de un distinto criterio.</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El 10 de julio de 2001 tuvo entrada en el Registro General de este Tribunal el escrito de alegaciones del Ministerio Fiscal interesando la inadmisión a trámite de la demanda de amparo. </w:t>
      </w:r>
    </w:p>
    <w:p w:rsidR="000B622C" w:rsidRDefault="000B622C" w:rsidP="000B622C">
      <w:pPr>
        <w:pStyle w:val="TextoNormal"/>
      </w:pPr>
      <w:r>
        <w:t xml:space="preserve">Tras exponer sucintamente los antecedentes de este proceso constitucional, examina el alcance del primero de los motivos aducidos, el atinente a la conculcación del art. 14 CE. Al respecto recuerda que, según es doctrina constante de este Tribunal (sintetizada en la STC 122/2001, de 4 de junio, FJ 2), para poder apreciar vulneración de la igualdad en la aplicación de la ley es preciso que un mismo órgano jurisdiccional, ante dos casos sucesivos e idénticos desde la perspectiva jurídica, se aparte de forma inmotivada o inadvertida de los criterios anteriormente empleados, pues lo que está constitucionalmente proscrito es el cambio arbitrario, esto es, que sea simple cobertura de una decisión ad casum o ad personam. El solicitante de amparo propone como único término de comparación la Sentencia de la Audiencia Provincial de Salamanca de 12 de marzo de 1998 (rollo de apelación núm. 23/98), por lo que no cabe hablar de una orientación jurisprudencial con rasgos de generalidad, continuidad y firmeza de la que la Sentencia impugnada se aparte motivadamente. Además los casos son distintos, por lo que el término de comparación no puede considerarse idóneo. En el supuesto objeto del presente recurso de amparo la conducta enjuiciada ha sido tipificada como delito de calumnias, y en el de la Sentencia de referencia como delito de injurias. Finalmente no es cierto que en la Sentencia de 12 de marzo de 1998 se diga que los hechos no son constitutivos de calumnias ni de injurias, como pone de manifiesto que el acusado en aquella causa fuera condenado como autor de un delito de injurias graves con publicidad a la pena de multa de seis meses (la misma que se ha impuesto al ahora solicitante de amparo) con una cuota diaria de dos mil pesetas. De donde concluye el Ministerio Fiscal que no se ha producido vulneración del art. 14 CE. </w:t>
      </w:r>
    </w:p>
    <w:p w:rsidR="000B622C" w:rsidRDefault="000B622C" w:rsidP="000B622C">
      <w:pPr>
        <w:pStyle w:val="TextoNormal"/>
      </w:pPr>
      <w:r>
        <w:t xml:space="preserve">En relación con el segundo de los motivos del recurso, infracción del derecho a comunicar libremente información veraz [art. 20.1 d) CE], sostiene el Ministerio Fiscal que este derecho fundamental no es compatible con la difusión anónima de información. </w:t>
      </w:r>
    </w:p>
    <w:p w:rsidR="000B622C" w:rsidRDefault="000B622C" w:rsidP="000B622C">
      <w:pPr>
        <w:pStyle w:val="TextoNormal"/>
      </w:pPr>
      <w:r>
        <w:t>La exigencia de responsabilidad consustancial al ejercicio de los derechos es radicalmente incompatible con el anonimato, pues ésta es la forma más paladina de elusión de responsabilidades. En el caso ahora planteado, además del carácter anónimo del escrito, se aprecia en su contenido la utilización de términos claramente ofensivos (comienza haciendo alusión a "los señores políticos aprovechados y corruptos que han pasado por este Ayuntamiento..."); se imputa a una determinada persona la realización de hechos que, de ser ciertos, serían constitutivos de delitos, y además esta imputación no es veraz, como así han estimado los dos órganos judiciales que han intervenido en el proceso. En consecuencia tampoco se puede apreciar vulneración del art. 20.1 d) CE, lo que determina que la demanda carece manifiestamente de contenido suficiente que justifique un pronunciamiento sobre el fondo en forma de Sentencia.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se ha expuesto con mayor detalle en los antecedentes, el demandante de amparo denuncia que la condena que le ha sido impuesta vulnera el principio de igualdad en la aplicación de la ley (art 14 CE) y conculca su derecho fundamental a la libre comunicación de informaciones veraces [art. 20.1 d) CE].  Esta opinión es rebatida por el Ministerio Fiscal, para el que ninguna de las quejas elevadas por el recurrente reviste entidad sufi</w:t>
      </w:r>
      <w:r>
        <w:lastRenderedPageBreak/>
        <w:t>ciente para merecer un pronunciamiento sobre el fondo en forma de Sentencia. A la vista de las alegaciones efectuadas en este incidente debemos coincidir con el análisis efectuado por el Ministerio Fiscal y confirmar ahora que concurre en la presente demanda de amparo constitucional el defecto de admisibilidad que indicábamos en nuestra providencia de 15 de junio de 2001.</w:t>
      </w:r>
    </w:p>
    <w:p w:rsidR="000B622C" w:rsidRDefault="000B622C" w:rsidP="000B622C">
      <w:pPr>
        <w:pStyle w:val="TextoNormal"/>
      </w:pPr>
    </w:p>
    <w:p w:rsidR="000B622C" w:rsidRDefault="000B622C" w:rsidP="000B622C">
      <w:pPr>
        <w:pStyle w:val="TextoNormal"/>
      </w:pPr>
      <w:r w:rsidRPr="000B622C">
        <w:rPr>
          <w:rStyle w:val="NumeroAFNegritaCaracter"/>
        </w:rPr>
        <w:t>2</w:t>
      </w:r>
      <w:r>
        <w:t>. En primer lugar, la alegada vulneración del derecho a comunicar libremente información veraz por cualquier medio [art. 20.1 d) CE] no puede ser acogida por este Tribunal. Al respecto interesa comenzar señalando que, en los supuestos en los que se solicita de este Tribunal un pronunciamiento acerca de un posible conflicto entre las libertades de expresión e información del art.  20.1 CE y el derecho al honor protegido por el art. 18.1 CE, la tarea que nos corresponde realizar no es la valoración de la ponderación de los derechos en colisión plasmada en las resoluciones judiciales concretamente impugnadas, sino el examen directo e inmediato de los hechos enjuiciados en esas mismas resoluciones (por todas, SSTC 200/1998, de 14 de octubre, FJ 4, y 136/1999, de 20 de julio, FJ 13).</w:t>
      </w:r>
    </w:p>
    <w:p w:rsidR="000B622C" w:rsidRDefault="000B622C" w:rsidP="000B622C">
      <w:pPr>
        <w:pStyle w:val="TextoNormal"/>
      </w:pPr>
      <w:r>
        <w:t>En el desempeño de esa función este Tribunal ha procurado deslindar cuidadosamente cada una de las dos libertades autónomas que reconoce el art.  20.1 CE. Así, en tanto se incardina en la esfera de la libertad de expresión la emisión de pensamientos, ideas u opiniones, sin pretensión de sentar hechos o afirmar datos objetivos [art. 20.1 a) CE], cuando el mensaje se limita a transmitir unos concretos hechos sin que su emisor entre a valorarlos ni exprese su parecer sobre los mismos, la cuestión habrá de reconducirse cabalmente a la libertad de información proclamada en el art. 20.1 d) CE [SSTC 3/1997, de 13 de enero, FJ 2 a), y 51/1997, de 11 de marzo, FJ 4], deslinde que no impide ser conscientes de que en muchas ocasiones no resulta fácil separar ambas acciones, puesto que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(por todas, SSTC 192/1999, de 25 de octubre, FJ 3, y 110/2000, de 5 de mayo, FJ 6). Precisando algo más la doctrina constitucional en la materia, en las SSTC 136/1994, de 9 de mayo, 11/2000, de 17 de enero, y 148/2001, de 27 de junio, este Tribunal ha establecido que cuando el mensaje consiste en la imputación a un tercero de la comisión de hechos delictivos lo ejercido es la libertad reconocida en el art.  20.1 a) CE, porque supone la emisión de un juicio de valor. De acuerdo con la lógica a la que responde este criterio hemos de concluir su extensión a las manifestaciones que supongan la atribución de conductas merecedoras de reproche social o jurídico en la medida en que incorporan una valoración de las mismas.</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el caso actual el solicitante de amparo denuncia haber sido condenado por una conducta que no es sino ejercicio del derecho fundamental a difundir libremente información veraz por cualquier medio [art. 20.1 d) CE]. Además en su escrito de alegaciones explica la singularidad del medio empleado por las dificultades con las que se enfrentaría a la hora de acceder a los "cauces normales de formación de la opinión pública por no pertenecer a grupos políticos influyentes y carecer de la cultura necesaria para expresarse en dichos medios", al tiempo que hace hincapié en la necesidad de situar el contenido del escrito en el contexto de una controversia política entre miembros de un Ayuntamiento.  Pues bien, no es preciso determinar si en el escrito examinado prima la exposición de hechos o la emisión de juicios de valor -con la diferente amplitud que en el ejercicio de las libertades de expresión o de información ofrecen los cánones manejados por la doctrina </w:t>
      </w:r>
      <w:r>
        <w:lastRenderedPageBreak/>
        <w:t>constitucional, en los términos expuestos en la STC 204/1997, de 25 de noviembre, FJ 2- para concluir que no procede la admisión a trámite de la demanda de amparo interpuesta por don Joaquín Varas Mateos. La autonomía de las libertades reconocidas en el art. 20.1 CE a la que nos hemos referido en el anterior fundamento no impide subrayar su reiterada reconducción a la unidad funcional en la doctrina constitucional (por ejemplo, SSTC 159/1986, de 16 de diciembre, FJ 6; 11/2000, de 17 de enero, FJ 7, y 21/2000, de 31 de enero, FJ 4).  Esa unidad resulta de su consideración común como garantías del mantenimiento de una comunicación pública libre, que es condición previa y necesaria para el ejercicio de otros derechos inherentes al funcionamiento de un sistema democrático y que representa uno de los pilares de una sociedad libre y democrática [SSTC 6/1981, de 16 de marzo, FJ 3, y, recientemente, 46/2002, de 25 de febrero, FJ 5 B), con cita de las SSTEDH caso Handyside, de 7 de diciembre de 1976 y caso Lingens, de 8 de julio de 1986].</w:t>
      </w:r>
    </w:p>
    <w:p w:rsidR="000B622C" w:rsidRDefault="000B622C" w:rsidP="000B622C">
      <w:pPr>
        <w:pStyle w:val="TextoNormal"/>
      </w:pPr>
      <w:r>
        <w:t>Sentado esto parece indiscutible que este Tribunal no puede amparar a quien, al difundir el escrito que nos ocupa, ocultó su identidad, ocultación que siguió luego manteniendo, para invocar después, cuando fue objeto de condena penal, el ejercicio del derecho fundamental proclamado en el art. 20.1 d) CE.  En efecto, nuestra jurisprudencia ha exigido como condición para amparar conductas susceptibles de reconducirse a las libertades del art. 20.1 CE que verdaderamente sirvan, en el caso concreto, de garantía de la opinión pública libre, excluyendo por tanto aquellos supuestos en los que se ejerciten de manera desmesurada y exorbitante del fin para cuya consecución la Constitución les otorga su protección (STC 11/2000, de 17 de enero, FJ 7). Pues bien, ninguna duda cabe de que uno de los elementos que deben concurrir para que pueda hablarse de un proceso de comunicación pública idóneo para conformar una opinión pública libre es el atinente a la identificación, mediata o inmediata, del autor del escrito. En efecto, abstracción hecha de la verdad o falsedad del contenido del mensaje, lo que desde la estricta perspectiva constitucional interesa es que se brinde al destinatario de éste la posibilidad de conocer al emisor, con lo que ello comporta de ejercicio responsable del derecho y de instrumento de valoración de la relevancia del mensaje emitido. Quien, al participar en la acción de comunicación pública, hurta este dato a los posibles receptores, no sólo les niega uno de los elementos que pueden servir para formarse un juicio sobre la confianza que deba merecerles la noticia o manifestaciones vertidas, sino que también les está negando su propia consideración como interlocutores, pues no es posible entablar el diálogo que las libertades del art.  20.1 CE protegen con quien se esconde tras las sombras del anonimato. Lo que el mencionado precepto constitucional trata de salvaguardar es la pervivencia de un debate abierto y a la luz pública, y no la divulgación de noticias o expresiones que puedan colisionar con los derechos fundamentales del art. 18.1 CE ocultándose en la anonimia.</w:t>
      </w:r>
    </w:p>
    <w:p w:rsidR="000B622C" w:rsidRDefault="000B622C" w:rsidP="000B622C">
      <w:pPr>
        <w:pStyle w:val="TextoNormal"/>
      </w:pPr>
      <w:r>
        <w:t xml:space="preserve">Estas conclusiones en modo alguno pueden verse afectadas por las razones expuestas por el recurrente en defensa de su proceder. Del hecho de que este Tribunal haya reconocido que los medios de información son un "vehículo institucionalizado de formación de la opinión pública" [SSTC 105/1990, de 6 de junio, FJ 4 c), y 199/1999, de 8 de noviembre, FJ 3] no puede derivarse que ellos sean los titulares de las libertades de expresión y comunicación, o que sólo por su intermediación quepa ejercer unos derechos fundamentales que corresponden a todos los ciudadanos (al respecto, SSTC 165/1987, de 27 de octubre, FJ 10, y 223/1992, de 14 de diciembre, FJ 2), como incorrectamente parece entender el demandante de amparo. Por otra parte lo que ahora impide considerar la conducta del recurrente como manifestación legítima del ejercicio de estas libertades no es el hecho de que no utilizase esos "vehículos institucionalizados", sino que hiciera pública unas valoraciones que afectaban al honor de un tercero ocultando su identidad, con lo que privaba a sus </w:t>
      </w:r>
      <w:r>
        <w:lastRenderedPageBreak/>
        <w:t>convecinos de la oportunidad de formar su opinión con entera libertad y disponiendo de todos los elementos de juicio que requiere la consideración de éstos como interlocutores en el proceso de comunicación pública.</w:t>
      </w:r>
    </w:p>
    <w:p w:rsidR="000B622C" w:rsidRDefault="000B622C" w:rsidP="000B622C">
      <w:pPr>
        <w:pStyle w:val="TextoNormal"/>
      </w:pPr>
      <w:r>
        <w:t>Por lo que hace a la conveniencia de situar el escrito en el contexto de una controversia política, tampoco puede ser compartida. No hay controversia allí donde no existe más de un participante, condición que no puede predicarse de quien no concurre a un verdadero diálogo entre ciudadanos que se reconocen iguales, sino que les oculta su identidad. 4. Tampoco puede admitirse el segundo de los motivos aducidos en el recurso, la pretendida vulneración de la igualdad en la aplicación de la ley (art. 14 CE).</w:t>
      </w:r>
    </w:p>
    <w:p w:rsidR="000B622C" w:rsidRDefault="000B622C" w:rsidP="000B622C">
      <w:pPr>
        <w:pStyle w:val="TextoNormal"/>
      </w:pPr>
      <w:r>
        <w:t>En opinión del demandante esta infracción constitucional resultaría del contraste entre la Sentencia impugnada y la dictada por el mismo órgano judicial el 12 de marzo de 1998, en el rollo de apelación núm. 23/98. Por el contrario el Ministerio Fiscal apunta que no es posible apreciar el apartamiento arbitrario de una doctrina consolidada, pues no cabe hablar de una orientación jurisprudencial con rasgos de generalidad, continuidad y firmeza cuando sólo existe una manifestación de la misma. A mayor abundamiento subraya que tampoco se observa la diferencia de criterios a la que alude el recurrente entre dos Sentencias condenatorias que han impuesto la misma pena por la comisión de sendos delitos de injurias graves y calumnias.</w:t>
      </w:r>
    </w:p>
    <w:p w:rsidR="000B622C" w:rsidRDefault="000B622C" w:rsidP="000B622C">
      <w:pPr>
        <w:pStyle w:val="TextoNormal"/>
      </w:pPr>
      <w:r>
        <w:t>Resulta preciso dar la razón al Ministerio Fiscal cuando advierte que no concurren los requisitos que este Tribunal viene exigiendo para poder formular el juicio de igualdad en la aplicación de la ley amparado por el art. 14 CE.  Es doctrina constitucional reiterada que la lesión de este precepto no se produce por la sola divergencia entre dos resoluciones judiciales (por todas, STC 204/2001, de 15 de octubre, FJ 2), siendo imprescindible acreditar que la Sentencia impugnada se aparta arbitrariamente de una línea jurisprudencial cierta y consolidada (STC 235/1992, de 14 de diciembre, FJ 2; 4/20001, de 17 de enero, FJ 4, y 122/2001, de 4 de junio, FJ 5), acreditación que no puede entenderse cumplida con la aportación de una sola resolución anterior del mismo órgano judicial, puesto que, con independencia de que existen poderosas razones para dudar tanto de la identidad de supuestos resueltos como de la diferencia de criterios empleados en uno y otro caso, lo que resulta de todo punto indubitado es que una única Sentencia no puede asentar por sí sola esa línea jurisprudencial cierta y consolidada que debe preexistir para sea factible formular el juicio de igualdad reclamado por el art. 14 CE.</w:t>
      </w:r>
    </w:p>
    <w:p w:rsidR="000B622C" w:rsidRDefault="000B622C" w:rsidP="000B622C">
      <w:pPr>
        <w:pStyle w:val="TextoNormal"/>
      </w:pPr>
    </w:p>
    <w:p w:rsidR="000B622C" w:rsidRDefault="000B622C" w:rsidP="000B622C">
      <w:pPr>
        <w:pStyle w:val="TextoNormal"/>
      </w:pPr>
      <w:r>
        <w:t>Por todo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a ocho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58" w:name="AUTO_2002_57"/>
      <w:r>
        <w:lastRenderedPageBreak/>
        <w:t>AUTO 57/2002, de 8 de abril de 2002</w:t>
      </w:r>
    </w:p>
    <w:bookmarkEnd w:id="158"/>
    <w:p w:rsidR="000B622C" w:rsidRDefault="000B622C" w:rsidP="000B622C">
      <w:pPr>
        <w:pStyle w:val="TtuloResolucin"/>
      </w:pPr>
      <w:r>
        <w:t>Sección Primera</w:t>
      </w:r>
    </w:p>
    <w:p w:rsidR="000B622C" w:rsidRDefault="000B622C" w:rsidP="000B622C">
      <w:pPr>
        <w:pStyle w:val="TtuloResolucin"/>
      </w:pPr>
    </w:p>
    <w:p w:rsidR="000B622C" w:rsidRDefault="000B622C" w:rsidP="000B622C">
      <w:pPr>
        <w:pStyle w:val="SntesisDescriptiva"/>
      </w:pPr>
      <w:r>
        <w:t>ECLI:ES:TC:2002:57A</w:t>
      </w:r>
    </w:p>
    <w:p w:rsidR="000B622C" w:rsidRDefault="000B622C" w:rsidP="000B622C">
      <w:pPr>
        <w:pStyle w:val="SntesisDescriptiva"/>
      </w:pPr>
    </w:p>
    <w:p w:rsidR="000B622C" w:rsidRDefault="000B622C" w:rsidP="000B622C">
      <w:pPr>
        <w:pStyle w:val="SntesisDescriptiva"/>
      </w:pPr>
      <w:r>
        <w:t>Excms. Srs. don Manuel Jiménez de Parga y Cabrera,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el desistimiento en el recurso de amparo 6198-2000, promovido por la entidad José Antonio Jiménez Gómez S.L.</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59" w:name="AUTO_2002_58"/>
      <w:r>
        <w:lastRenderedPageBreak/>
        <w:t>AUTO 58/2002, de 8 de abril de 2002</w:t>
      </w:r>
    </w:p>
    <w:bookmarkEnd w:id="159"/>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ECLI:ES:TC:2002:58A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la suspensión parcial en el recurso de amparo 2674-2001, interpuesto por don Miguel Arango Arias</w:t>
      </w:r>
    </w:p>
    <w:p w:rsidR="000B622C" w:rsidRDefault="000B622C" w:rsidP="000B622C">
      <w:pPr>
        <w:pStyle w:val="SntesisDescriptiva"/>
      </w:pPr>
    </w:p>
    <w:p w:rsidR="000B622C" w:rsidRDefault="000B622C" w:rsidP="000B622C">
      <w:pPr>
        <w:pStyle w:val="SntesisAnaltica"/>
      </w:pPr>
      <w:r>
        <w:t>Suspensión cautelar de sentencias penales: privación del permiso de conducir, suspende; multa, responsabilidad personal subsidiaria, costas procesales, no suspende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9 de mayo de 2001, el Procurador de los Tribunales don Victorio Venturini Medina interpuso, en nombre de don Miguel Arango Arias, recurso de amparo contra la Sentencia de la Audiencia Provincial de Oviedo de 11 de abril de 2001, que, revocando la Sentencia absolutoria del Juzgado de lo Penal núm. 2 de Oviedo de 25 de enero de 2001, condenó al recurrente como autor de un delito de conducción bajo el efecto de bebidas alcohólicas del art. 379 CP, a las penas de tres meses multa y un año de privación del carné de conducir, así como al pago de las costas procesales.</w:t>
      </w:r>
    </w:p>
    <w:p w:rsidR="000B622C" w:rsidRDefault="000B622C" w:rsidP="000B622C">
      <w:pPr>
        <w:pStyle w:val="TextoNormal"/>
      </w:pPr>
    </w:p>
    <w:p w:rsidR="000B622C" w:rsidRDefault="000B622C" w:rsidP="000B622C">
      <w:pPr>
        <w:pStyle w:val="TextoNormal"/>
      </w:pPr>
      <w:r w:rsidRPr="000B622C">
        <w:rPr>
          <w:rStyle w:val="NumeroAFNegritaCaracter"/>
        </w:rPr>
        <w:t>2</w:t>
      </w:r>
      <w:r>
        <w:t>. El demandante de amparo alega la vulneración del derecho a la presunción de inocencia (art. 24.2 CE) debido a la invalidez de las pruebas en las que se sustentó la condena; pues, de un lado, el etilómetro con el que se efectuó la prueba de ingestión de alcohol carecía de certificado, y, de otro, las declaraciones de los policías sobre los efectos de la ingestión del alcohol en la conducción no se ratificaron en presencia judicial durante la instrucción, ni en el juicio oral.</w:t>
      </w:r>
    </w:p>
    <w:p w:rsidR="000B622C" w:rsidRDefault="000B622C" w:rsidP="000B622C">
      <w:pPr>
        <w:pStyle w:val="TextoNormal"/>
      </w:pPr>
    </w:p>
    <w:p w:rsidR="000B622C" w:rsidRDefault="000B622C" w:rsidP="000B622C">
      <w:pPr>
        <w:pStyle w:val="TextoNormal"/>
      </w:pPr>
      <w:r w:rsidRPr="000B622C">
        <w:rPr>
          <w:rStyle w:val="NumeroAFNegritaCaracter"/>
        </w:rPr>
        <w:t>3</w:t>
      </w:r>
      <w:r>
        <w:t>. Por providencia 25 de febrero de 2002, la Sección Segunda acordó admitir a trámite la demanda de amparo. Por providencia de 27 de febrero de 2002, la Sección Segunda acordó formar la pieza de suspensión y, de conformidad con lo prevenido en el art. 56 LOTC, conceder un plazo común de tres días al Ministerio Fiscal y a la demandante de amparo para que, dentro de dicho término, alegasen lo que estimaren oportuno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En escrito registrado ante este Tribunal el 7 de marzo de 2002, la representación del demandante de amparo alegó los especiales perjuicios que le ocasionaría la ejecución de la pena de privación del permiso de conducir, dado que es médico de profesión, trabaja en el </w:t>
      </w:r>
      <w:r>
        <w:lastRenderedPageBreak/>
        <w:t>Hospital de Cangas del Narcea y vive en Oviedo, existiendo una distancia entre ambos de unos 100 Km., y comenzando su jornada laboral a diferentes horas según los días. Además de que tiene que desplazarse por la zona para atender los avisos. De otra parte, sostiene que la suspensión de la ejecución de la resolución no produciría perturbación de los intereses generales, así como que procede la suspensión cautelar cuando se advierte como en el caso una apariencia de buen Derecho -Auto del Tribunal Supremo de 20 de diciembre de 1990, Sentencia del Tribunal de Justicia de Luxemburgo de 19 de julio de 1990-.</w:t>
      </w:r>
    </w:p>
    <w:p w:rsidR="000B622C" w:rsidRDefault="000B622C" w:rsidP="000B622C">
      <w:pPr>
        <w:pStyle w:val="TextoNormal"/>
      </w:pPr>
    </w:p>
    <w:p w:rsidR="000B622C" w:rsidRDefault="000B622C" w:rsidP="000B622C">
      <w:pPr>
        <w:pStyle w:val="TextoNormal"/>
      </w:pPr>
      <w:r w:rsidRPr="000B622C">
        <w:rPr>
          <w:rStyle w:val="NumeroAFNegritaCaracter"/>
        </w:rPr>
        <w:t>5</w:t>
      </w:r>
      <w:r>
        <w:t>. En escrito registrado en este Tribunal el 8 de marzo de 2002, el Ministerio Fiscal, de conformidad con la doctrina constitucional aplicable se opuso a la suspensión solicitada. En lo relativo a los pronunciamientos de carácter patrimonial -pena de multa y condena en costas-, dado que serían fácilmente reparables, sin que su cuantía se considere excesiva. En cuanto a la pena de privación del permiso de conducir, entiende el Ministerio Fiscal que si bien el Tribunal Constitucional acordaba siempre la suspensión, desde el ATC 30/1999, se ha venido negando la suspensión si el actor no demuestra que en el caso concreto la no suspensión le ocasionaría perjuicios de especial consideración, por ejemplo, dada su condición de conductor profesional (ATC 53/1999), u otras circunstancias laborales que, más allá de su mera alegación, deben ser acreditadas por él (ATC 83/2001, de 23 de abril, FJ 3).</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w:t>
      </w:r>
      <w:r>
        <w:lastRenderedPageBreak/>
        <w:t>616/1989, de 19 de diciembre; 161/1999, de 14 de junio; 243/2000, de 16 de octubre; 251/2000, de 30 de octubre y 63/2001, de 26 de marzo)" (ATC 103/2001, de 3 de mayo, FJ 1).</w:t>
      </w:r>
    </w:p>
    <w:p w:rsidR="000B622C" w:rsidRDefault="000B622C" w:rsidP="000B622C">
      <w:pPr>
        <w:pStyle w:val="TextoNormal"/>
      </w:pPr>
    </w:p>
    <w:p w:rsidR="000B622C" w:rsidRDefault="000B622C" w:rsidP="000B622C">
      <w:pPr>
        <w:pStyle w:val="TextoNormal"/>
      </w:pPr>
      <w:r w:rsidRPr="000B622C">
        <w:rPr>
          <w:rStyle w:val="NumeroAFNegritaCaracter"/>
        </w:rPr>
        <w:t>2</w:t>
      </w:r>
      <w:r>
        <w:t>. En relación con dichos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2092/1992, 267/1995, 117/1999 entre otros muchos). Por consiguiente, en atención al carácter excepcional de la suspensión (art. 56 LOTC) ha de denegarse la suspensión de las resoluciones impugnadas en relación con la condena en responsabilidad civil y en costas procesales.</w:t>
      </w:r>
    </w:p>
    <w:p w:rsidR="000B622C" w:rsidRDefault="000B622C" w:rsidP="000B622C">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 y, de otra parte, ni la entidad de la multa, ni, por consiguiente, la de la responsabilidad subsidiaria avalan dicha suspensión (ATC 245/2001).</w:t>
      </w:r>
    </w:p>
    <w:p w:rsidR="000B622C" w:rsidRDefault="000B622C" w:rsidP="000B622C">
      <w:pPr>
        <w:pStyle w:val="TextoNormal"/>
      </w:pPr>
    </w:p>
    <w:p w:rsidR="000B622C" w:rsidRDefault="000B622C" w:rsidP="000B622C">
      <w:pPr>
        <w:pStyle w:val="TextoNormal"/>
      </w:pPr>
      <w:r w:rsidRPr="000B622C">
        <w:rPr>
          <w:rStyle w:val="NumeroAFNegritaCaracter"/>
        </w:rPr>
        <w:t>3</w:t>
      </w:r>
      <w:r>
        <w:t>. En cuanto a la privación del permiso de conducir vehículos de motor, este Tribunal, desde el ATC 30/1999 sólo ha acordado su suspensión en la medida en que el demandante de amparo haya alegado y acreditado perjuicios de especial consideración en el caso concreto, debido a la condición de conductor profesional (ATC 242/2000) o a la distancia entre la residencia y el lugar de trabajo y la inexistencia de transporte público para efectuar dicho desplazamiento (ATC 53/1999); negándose la suspensión ante la falta de alegación y acreditación de dichos perjuicios (AATC 30/1999, 83/2001, 182/2001).</w:t>
      </w:r>
    </w:p>
    <w:p w:rsidR="000B622C" w:rsidRDefault="000B622C" w:rsidP="000B622C">
      <w:pPr>
        <w:pStyle w:val="TextoNormal"/>
      </w:pPr>
    </w:p>
    <w:p w:rsidR="000B622C" w:rsidRDefault="000B622C" w:rsidP="000B622C">
      <w:pPr>
        <w:pStyle w:val="TextoNormal"/>
      </w:pPr>
      <w:r w:rsidRPr="000B622C">
        <w:rPr>
          <w:rStyle w:val="NumeroAFNegritaCaracter"/>
        </w:rPr>
        <w:t>4</w:t>
      </w:r>
      <w:r>
        <w:t>. En el caso, alega el recurrente no sólo la distancia que media entre su residencia y el lugar de trabajo (100 Km.), sino también dos circunstancias unidas a su condición profesional de médico: la asimetría del horario de inicio de su jornada laboral y la necesidad de efectuar continuos desplazamientos para atender a los avisos de los enfermos. Por consiguiente, alega los especiales perjuicios que se ocasionarían si la privación del permiso de conducir se ejecutara, siendo éstos distintos y más graves que los producidos a cualquier ciudadano. En atención a ello, se ha de acordar la suspensión solicitada exclusivamente en lo relativo a este extremo, pues, ciertamente, su denegación ocasionaría perjuicios de especial consideración, sin que paralelamente se observe perturbación de los intereses generales y derechos de terceros debidos a dicha suspensión.</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Suspender la ejecución de la Sentencia de la Audiencia Provincial de Oviedo de 11 de abril de 2001 exclusivamente en lo relativo a la condena al recurrente a la pena de privación del permiso de conducir durante un año.</w:t>
      </w:r>
    </w:p>
    <w:p w:rsidR="000B622C" w:rsidRDefault="000B622C" w:rsidP="000B622C">
      <w:pPr>
        <w:pStyle w:val="TextoNormal"/>
      </w:pPr>
    </w:p>
    <w:p w:rsidR="000B622C" w:rsidRDefault="000B622C" w:rsidP="000B622C">
      <w:pPr>
        <w:pStyle w:val="TextoNormal"/>
      </w:pPr>
      <w:r>
        <w:t>Madrid, a ocho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0" w:name="AUTO_2002_59"/>
      <w:r>
        <w:lastRenderedPageBreak/>
        <w:t>AUTO 59/2002, de 8 de abril de 2002</w:t>
      </w:r>
    </w:p>
    <w:bookmarkEnd w:id="160"/>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ECLI:ES:TC:2002:59A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Acuerda el desistimiento en el recurso de amparo 6140-2001, promovido en proceso contencioso-administrativo.</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61" w:name="AUTO_2002_60"/>
      <w:r>
        <w:lastRenderedPageBreak/>
        <w:t>AUTO 60/2002, de 8 de abril de 2002</w:t>
      </w:r>
    </w:p>
    <w:bookmarkEnd w:id="161"/>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ECLI:ES:TC:2002:60A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Acuerda el desistimiento en el recurso de amparo 6309-2001, promovido en pleito civil.</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62" w:name="AUTO_2002_61"/>
      <w:r>
        <w:lastRenderedPageBreak/>
        <w:t>AUTO 61/2002, de 11 de abril de 2002</w:t>
      </w:r>
    </w:p>
    <w:bookmarkEnd w:id="162"/>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ECLI:ES:TC:2002:61A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Deniega la suspensión en el recurso de inconstitucionalidad 1771-2001 planteado por el Presidente del Gobierno en relación con el Decreto de la Junta de Comunidades de Castilla-La Mancha 169/2001, de 24 de julio, para la aplicación de la Ley de las Cortes de Castilla-La Mancha 11/2000, de 26 de diciembre</w:t>
      </w:r>
    </w:p>
    <w:p w:rsidR="000B622C" w:rsidRDefault="000B622C" w:rsidP="000B622C">
      <w:pPr>
        <w:pStyle w:val="SntesisDescriptiva"/>
      </w:pPr>
    </w:p>
    <w:p w:rsidR="000B622C" w:rsidRDefault="000B622C" w:rsidP="000B622C">
      <w:pPr>
        <w:pStyle w:val="SntesisAnaltica"/>
      </w:pPr>
      <w:r>
        <w:t>Recurso de inconstitucionalidad; Suspensión de disposiciones de las Comunidades Autónomas: ampliación del objeto de la demanda improcedente. Incidente de ejecución de la suspensión cautelar</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presente proceso constitucional se inició con el escrito de marzo de 2001 y mediante el cual el Abogado del Estado, en la representación que legalmente ostenta, interpuso recurso de inconstitucionalidad contra los preceptos de la Ley autonómica de los que se hace mérito en el encabezamiento. En la demanda se invocó expresamente el art. 161.2 CE</w:t>
      </w:r>
    </w:p>
    <w:p w:rsidR="000B622C" w:rsidRDefault="000B622C" w:rsidP="000B622C">
      <w:pPr>
        <w:pStyle w:val="TextoNormal"/>
      </w:pPr>
    </w:p>
    <w:p w:rsidR="000B622C" w:rsidRDefault="000B622C" w:rsidP="000B622C">
      <w:pPr>
        <w:pStyle w:val="TextoNormal"/>
      </w:pPr>
      <w:r w:rsidRPr="000B622C">
        <w:rPr>
          <w:rStyle w:val="NumeroAFNegritaCaracter"/>
        </w:rPr>
        <w:t>2</w:t>
      </w:r>
      <w:r>
        <w:t>. El recurso de inconstitucionalidad fue admitido a trámite por providencia de la Sección Segunda de 24 de abril de 2001. En la misma resolución se acordó la suspensión de los preceptos legales impugnados, dar traslado de la demanda y documentos presentados al Congreso de los Diputados, Senado, Junta de Comunidades y Cortes de Castilla-La Mancha, así como la publicación de la incoación del recurso en el Boletín Oficial del Estado y en el Diario Oficial de Castilla-La Mancha.</w:t>
      </w:r>
    </w:p>
    <w:p w:rsidR="000B622C" w:rsidRDefault="000B622C" w:rsidP="000B622C">
      <w:pPr>
        <w:pStyle w:val="TextoNormal"/>
      </w:pPr>
    </w:p>
    <w:p w:rsidR="000B622C" w:rsidRDefault="000B622C" w:rsidP="000B622C">
      <w:pPr>
        <w:pStyle w:val="TextoNormal"/>
      </w:pPr>
      <w:r w:rsidRPr="000B622C">
        <w:rPr>
          <w:rStyle w:val="NumeroAFNegritaCaracter"/>
        </w:rPr>
        <w:t>3</w:t>
      </w:r>
      <w:r>
        <w:t>. La Junta de Comunidades y las Cortes de Castilla-La Mancha se personaron en este proceso constitucional los días 3 y 18 de mayo de 2001, respectivamente. Ambas instituciones autonómicas interesaron la desestimación del recurso en cuanto al fondo así como el levantamiento, en el plazo más breve posible, de la suspensión de la vigencia de los preceptos legales afectados.</w:t>
      </w:r>
    </w:p>
    <w:p w:rsidR="000B622C" w:rsidRDefault="000B622C" w:rsidP="000B622C">
      <w:pPr>
        <w:pStyle w:val="TextoNormal"/>
      </w:pPr>
    </w:p>
    <w:p w:rsidR="000B622C" w:rsidRDefault="000B622C" w:rsidP="000B622C">
      <w:pPr>
        <w:pStyle w:val="TextoNormal"/>
      </w:pPr>
      <w:r w:rsidRPr="000B622C">
        <w:rPr>
          <w:rStyle w:val="NumeroAFNegritaCaracter"/>
        </w:rPr>
        <w:t>4</w:t>
      </w:r>
      <w:r>
        <w:t>. Antes de expirar el plazo previsto en el art. 161.2 CE, por providencia de 17 de julio de 2001 se dio audiencia a las partes personadas para que, en el término común de cinco días, expusieran lo que considerasen conveniente acerca del levantamiento o manteni</w:t>
      </w:r>
      <w:r>
        <w:lastRenderedPageBreak/>
        <w:t>miento de la suspensión. El Abogado del Estado postuló el mantenimiento de la suspensión, en tanto que las representaciones procesales de las instancias autonómicas personadas se pronunciaron a favor de su levantamiento.</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Mediante el ATC 251/2001, de 18 de septiembre, este Tribunal acordó alzar la suspensión de los preceptos legales impugnados. 6. El siguiente día 19 de septiembre de 2001 tuvo entrada en el Registro General un escrito de la misma fecha por medio del cual el Abogado del Estado puso en conocimiento de este Tribunal que con fecha 27 de julio de 2001 se había publicado en el Diario Oficial de Castilla-La Mancha el Decreto 169/2001, de 24 de julio, para la aplicación de la Ley 11/2000, de 26 de diciembre. En opinión del Abogado del Estado esta norma reglamentaria supone el desarrollo y aplicación de los preceptos legales impugnados por lo que su aprobación representa un flagrante incumplimiento de lo acordado en la providencia de 24 de abril de 2001 en punto a la suspensión de la vigencia de la Ley territorial pues dicha suspensión conlleva la imposibilidad de desarrollar o aplicar la ley en la parte recurrida. Para el Abogado del Estado, la Junta de Comunidades de Castilla-La Mancha ha desatendido el cumplimiento de la resolución del Tribunal, no observando así el art. 87.1 LOTC. </w:t>
      </w:r>
    </w:p>
    <w:p w:rsidR="000B622C" w:rsidRDefault="000B622C" w:rsidP="000B622C">
      <w:pPr>
        <w:pStyle w:val="TextoNormal"/>
      </w:pPr>
      <w:r>
        <w:t xml:space="preserve">Al amparo del art. 92 LOTC, el Abogado del Estado considera que es preciso reponer la situación jurídica a lo acordado en la providencia de admisión de este recurso de inconstitucionalidad, por lo que solicita que se requiera, como incidente de ejecución, a la Junta de Comunidades de Castilla-La Mancha para que, dando real y efectivo cumplimiento al art. 161.2 CE, deje sin efecto el Decreto 169/2001, de 24 de julio, en la parte que suponga desarrollo y aplicación de los preceptos legales impugnados. </w:t>
      </w:r>
    </w:p>
    <w:p w:rsidR="000B622C" w:rsidRDefault="000B622C" w:rsidP="000B622C">
      <w:pPr>
        <w:pStyle w:val="TextoNormal"/>
      </w:pPr>
      <w:r>
        <w:t xml:space="preserve">7. Por providencia de 2 de octubre de 2001 la Sección Segunda acordó dar audiencia al Abogado del Estado y a los representantes procesales de las Cortes y de la Junta de Comunidades de Castilla-La Mancha para que, en el plazo de diez días, pudiesen alegar lo que estimaran conveniente en relación con el contenido y súplica del escrito del Abogado del Estado. </w:t>
      </w:r>
    </w:p>
    <w:p w:rsidR="000B622C" w:rsidRDefault="000B622C" w:rsidP="000B622C">
      <w:pPr>
        <w:pStyle w:val="TextoNormal"/>
      </w:pPr>
      <w:r>
        <w:t xml:space="preserve">8. El Abogado del Estado presentó su escrito de alegaciones el 9 de octubre de 2001. En él se insiste en que la aprobación y publicación del Decreto de la Junta de Comunidades de Castilla-La Mancha 169/2001, de 24 de julio, representa un incumplimiento y claro desprecio de las decisiones de este Tribunal y de las normas reguladoras del presente proceso constitucional. Para el Abogado del Estado es patente que el Gobierno autonómico ha incurrido en una conducta contraria a la buena fe procesal y ha ignorado deliberadamente la eficacia constitucional de la decisión de este Tribunal acerca de la suspensión de los preceptos legales recurridos. En consecuencia, la reparación de esta deslealtad constitucional exige el máximo rigor en la delimitación de sus consecuencias jurídicas. </w:t>
      </w:r>
    </w:p>
    <w:p w:rsidR="000B622C" w:rsidRDefault="000B622C" w:rsidP="000B622C">
      <w:pPr>
        <w:pStyle w:val="TextoNormal"/>
      </w:pPr>
      <w:r>
        <w:t xml:space="preserve">A este respecto se interesa, en primer lugar, la declaración de nulidad radical del Decreto 169/2001 por carecer de base legal, dado que no pudieron proporcionársela unos preceptos cuya vigencia se hallaba suspendida. El Abogado del Estado equipara este caso a la aprobación del reglamento de desarrollo de una ley inexistente. Aquí, la ausencia de norma legal habilitante conlleva además una infracción del art. 31 CE. Infracción que debe ser sancionada con la postulada declaración de nulidad radical, so pena de aceptar la virtualidad jurídica de una norma tributaria creada mediante un simple Decreto autonómico. </w:t>
      </w:r>
    </w:p>
    <w:p w:rsidR="000B622C" w:rsidRDefault="000B622C" w:rsidP="000B622C">
      <w:pPr>
        <w:pStyle w:val="TextoNormal"/>
      </w:pPr>
      <w:r>
        <w:t>Subsidiariamente solicita el Abogado del Estado la anulación del Decreto 169/2001 durante el periodo en el que la Ley 11/2000 estuvo en suspenso, nulidad que habría de alcanzar a todos los actos singulares de aplicación. De otro modo podrían quedar afectados los intereses de terceros en virtud de la ejecución de una Ley suspendida conforme a lo pre</w:t>
      </w:r>
      <w:r>
        <w:lastRenderedPageBreak/>
        <w:t xml:space="preserve">visto en el art. 161.2 CE. Por lo expuesto, el Abogado del Estado solicita al Tribunal que dicte una resolución por la que se declare la nulidad del Decreto 169/2001, de la Junta de Comunidades de Castilla-La Mancha o, subsidiariamente, que se declare su falta de vigencia durante el periodo que abarca desde el 28 de marzo de 2001, fecha de interposición del recurso de inconstitucionalidad, hasta el día de la notificación del ATC 251/2001, de 18 de septiembre, que levantó la suspensión de los preceptos legales impugnados. 9. El 15 de octubre de 2001 presentó su escrito de alegaciones el Letrado de las Cortes de Castilla-La Mancha, aduciendo que el levantamiento de la suspensión de los preceptos legales objeto de este proceso constitucional acordado en el Auto de 18 de septiembre de 2001 torna innecesario el examen del fondo de la cuestión suscitada por el Abogado del Estado puesto que la Ley 11/2000 es plenamente aplicable, no procediendo dejar sin efecto su reglamento de desarrollo y aplicación. </w:t>
      </w:r>
    </w:p>
    <w:p w:rsidR="000B622C" w:rsidRDefault="000B622C" w:rsidP="000B622C">
      <w:pPr>
        <w:pStyle w:val="TextoNormal"/>
      </w:pPr>
      <w:r>
        <w:t xml:space="preserve">10. El Letrado de la Junta de Comunidades de Castilla-La Mancha presentó su escrito de alegaciones el 19 de octubre de 2001. Dicho escrito comienza calificando la petición formulada por el Abogado del Estado de intempestiva e improcedente porque cuando se efectuó ya se había alzado la suspensión de los preceptos legales recurridos. </w:t>
      </w:r>
    </w:p>
    <w:p w:rsidR="000B622C" w:rsidRDefault="000B622C" w:rsidP="000B622C">
      <w:pPr>
        <w:pStyle w:val="TextoNormal"/>
      </w:pPr>
      <w:r>
        <w:t xml:space="preserve">Por otro lado, se indica que ninguno de los artículos del Decreto 169/2001 ha sido aplicado. Más concretamente, el primer acto aplicativo había de producirse en octubre de 2001, esto es, cuando ya se había levantado la suspensión de los preceptos de la Ley 11/2000 objeto de este proceso constitucional. Así resulta de lo previsto en el art. 7 del mencionado Decreto, que plasma el escrupuloso respeto de la Administración autonómica a la decisión adoptada por este Tribunal en su providencia de 24 de abril de 2001. Un precepto, además, cuya literalidad se correspondería con lo señalado por el dictamen del Consejo Consultivo de Castilla-La Mancha -del que se adjunta copia- de 4 de julio de 2001, recaído sobre el entonces proyecto de Decreto para la aplicación de la Ley de las Cortes de Castilla-La Mancha 11/2000, de 26 de diciembre, en donde se hacía hincapié en la situación de suspensión cautelar de algunos de los preceptos de esta ley territorial. </w:t>
      </w:r>
    </w:p>
    <w:p w:rsidR="000B622C" w:rsidRDefault="000B622C" w:rsidP="000B622C">
      <w:pPr>
        <w:pStyle w:val="TextoNormal"/>
      </w:pPr>
      <w:r>
        <w:t>A mayor abundamiento, se señala que la petición de dejar sin efecto los preceptos del reglamento no tiene encaje en la LOTC. Si lo que se pretende es que se suspenda la aplicación del Decreto 169/2001, debiera haberse recurrido el mismo conforme a lo dispuesto en el Título V LOTC pues de otro modo se infringiría lo acordado en el ATC 251/2001, de 18 de septiembre.</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se ha expuesto con mayor detalle en los antecedentes, el Abogado del Estado ha planteado, al amparo de lo dispuesto en el art. 92 LOTC, un incidente de ejecución en relación con la providencia de 24 de abril de 2001 por la que se admitió a trámite el presente recurso de inconstitucionalidad y se dispuso, entre otros extremos, la suspensión de los artículos 2.1 b) y c), 2.2, 4.2, 5.1 b) y c), 6 b) y c) y 7.4 de la Ley de las Cortes de Castilla-La Mancha 11/2000, de 26 de diciembre, del Impuesto sobre Determinadas Actividades que inciden sobre el Medio Ambiente. Para el Abogado del Estado, la suspensión entonces decretada de conformidad con lo dispuesto en los arts.  161.2 CE, invocado por aquél en el escrito rector de este proceso constitucional, y 30 LOTC habría sido ignorada por la Junta de Comunidades de Castilla-La Mancha al aprobar el Decreto 169/2001, de 24 de julio, para la aplicación de la mencionada Ley autonómica.</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2</w:t>
      </w:r>
      <w:r>
        <w:t>. A fin de preservar la efectividad de esa excepcional medida suspensiva (en la caracterización que de ella ha hecho este Tribunal, entre otros en el ATC 168/1998, de 14 de julio), el Abogado del Estado instó en su escrito de 19 de septiembre de 2001, origen de este incidente, que se requiriera a la Junta de Comunidades de Castilla-La Mancha para que dejase sin efecto el Decreto 169/2001, en la parte que suponga desarrollo y aplicación de los preceptos legales objeto del presente proceso constitucional. Posteriormente, en el escrito de alegaciones evacuado en el trámite conferido mediante proveido de 2 de octubre de 2001 modificó el suplico interesando, con carácter principal, la declaración de nulidad radical del reglamento por carecer de norma legal habilitante, al hallarse ésta suspendida y, subsidiariamente, su falta de vigencia durante el periodo comprendido desde la fecha de interposición del recurso de inconstitucionalidad (que tuvo lugar el 28 de marzo de 2001) y la notificación del ATC 251/2001, de 18 de septiembre, por el que se alzó la suspensión de los preceptos de la Ley de las Cortes de Castilla-La Mancha 11/2000 impugnados.</w:t>
      </w:r>
    </w:p>
    <w:p w:rsidR="000B622C" w:rsidRDefault="000B622C" w:rsidP="000B622C">
      <w:pPr>
        <w:pStyle w:val="TextoNormal"/>
      </w:pPr>
    </w:p>
    <w:p w:rsidR="000B622C" w:rsidRDefault="000B622C" w:rsidP="000B622C">
      <w:pPr>
        <w:pStyle w:val="TextoNormal"/>
      </w:pPr>
      <w:r>
        <w:t>Las instancias autonómicas personadas en este proceso constitucional se han opuesto de consuno a la pretensión inicialmente deducida por el Abogado del Estado. Así, el Letrado de las Cortes de Castilla-La Mancha ha sostenido que el levantamiento de la suspensión hace innecesario el examen del fondo de la cuestión al hallarse plenamente vigente la Ley 11/2000. A su vez, el Letrado de la Junta de Comunidades de Castilla-La Mancha ha aducido que ninguno de los preceptos del Decreto 169/2000, de 24 de julio, ha sido aplicado con anterioridad al levantamiento de la suspensión y que la petición de dejar sin efectos sus disposiciones no encuentra acomodo en la LOTC, pues para conseguir este propósito el Gobierno de la Nación debiera haber recurrido la norma reglamentaria conforme a lo dispuesto en el Título V de la Ley Orgánica de este Tribunal. A mayor abundamiento apunta que de accederse a la solicitud formulada por el Abogado del Estado se estaría desconociendo lo acordado en el ATC 251/2001, de 18 de septiembre.</w:t>
      </w:r>
    </w:p>
    <w:p w:rsidR="000B622C" w:rsidRDefault="000B622C" w:rsidP="000B622C">
      <w:pPr>
        <w:pStyle w:val="TextoNormal"/>
      </w:pPr>
    </w:p>
    <w:p w:rsidR="000B622C" w:rsidRDefault="000B622C" w:rsidP="000B622C">
      <w:pPr>
        <w:pStyle w:val="TextoNormal"/>
      </w:pPr>
      <w:r w:rsidRPr="000B622C">
        <w:rPr>
          <w:rStyle w:val="NumeroAFNegritaCaracter"/>
        </w:rPr>
        <w:t>3</w:t>
      </w:r>
      <w:r>
        <w:t>. Por las razones que seguidamente se exponen no es posible estimar ninguna de las peticiones elevadas por el Abogado del Estado en relación con la validez y vigencia del Decreto de la Junta de Comunidades de Castilla-La Mancha 169/2001, de 24 de julio, para la aplicación de la Ley 11/2000, de 26 de diciembre, del impuesto sobre determinadas actividades que inciden en el medio ambiente.</w:t>
      </w:r>
    </w:p>
    <w:p w:rsidR="000B622C" w:rsidRDefault="000B622C" w:rsidP="000B622C">
      <w:pPr>
        <w:pStyle w:val="TextoNormal"/>
      </w:pPr>
    </w:p>
    <w:p w:rsidR="000B622C" w:rsidRDefault="000B622C" w:rsidP="000B622C">
      <w:pPr>
        <w:pStyle w:val="TextoNormal"/>
      </w:pPr>
      <w:r>
        <w:t>En primer lugar, no cabe declarar la nulidad del mencionado reglamento autonómico porque el Decreto de la Junta de Comunidades de Castilla-La Mancha 169/2001, de 24 de julio, no constituye el objeto del recurso de inconstitucionalidad sustanciado en este proceso. Por otro lado, no resulta de suyo contrario a los arts. 161.2 CE y 30 LOTC la aprobación por la Administración autonómica de unas disposiciones reglamentarias que considere complemento imprescindible para la efectiva aplicación de la Ley impugnada, siempre que su aprobación no se haya traducido en actos concretos de ejecución y que dichas disposiciones reglamentarias no sean autoejecutivas, extremos que no ha acreditado el Abogado del Estado.</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Tampoco procede declarar la falta de vigencia del Decreto 169/2001 durante el tiempo que estuvieron suspendidos los preceptos de la Ley de las Cortes de Castilla-La Mancha 11/2000 sobre los que versa este recurso de inconstitucionalidad. Esta solicitud </w:t>
      </w:r>
      <w:r>
        <w:lastRenderedPageBreak/>
        <w:t xml:space="preserve">subsume la petición de que se requiriera a la Junta de Comunidades de Castilla-La Mancha para que así lo acordara, originariamente formulada por el Abogado del Estado.  </w:t>
      </w:r>
    </w:p>
    <w:p w:rsidR="000B622C" w:rsidRDefault="000B622C" w:rsidP="000B622C">
      <w:pPr>
        <w:pStyle w:val="TextoNormal"/>
      </w:pPr>
    </w:p>
    <w:p w:rsidR="000B622C" w:rsidRDefault="000B622C" w:rsidP="000B622C">
      <w:pPr>
        <w:pStyle w:val="TextoNormal"/>
      </w:pPr>
      <w:r>
        <w:t>Al respecto debemos señalar que la aprobación del mencionado Decreto en ningún caso pudo tener la virtualidad de dotar de eficacia retroactiva al ATC 251/2001, de 18 de septiembre, por el que se levantó la suspensión de los artículos de la Ley de las Cortes de Castilla-La Mancha 11/2000, de 26 de diciembre, impugnados en este proceso constitucional. Sentado lo cual, resulta inconcuso que cualquier acto de ejecución de la Ley -y, consecuentemente, de su Reglamento de desarrollo y aplicación- que pretenda extenderse temporalmente más allá de la efectividad del levantamiento de la suspensión habrá de someterse el enjuiciamiento en el correspondiente proceso por los órganos judiciales de la Jurisdicción ordinaria en el ejercicio de sus competencias.</w:t>
      </w:r>
    </w:p>
    <w:p w:rsidR="000B622C" w:rsidRDefault="000B622C" w:rsidP="000B622C">
      <w:pPr>
        <w:pStyle w:val="TextoNormal"/>
      </w:pPr>
    </w:p>
    <w:p w:rsidR="000B622C" w:rsidRDefault="000B622C" w:rsidP="000B622C">
      <w:pPr>
        <w:pStyle w:val="TextoNormal"/>
      </w:pPr>
      <w:r>
        <w:t>Por lo expuesto, el Pleno</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No haber lugar a las solicitudes formuladas por el Abogado del Estado en relación con el Decreto de la Junta de Comunidades de Castilla-La Mancha 169/2001, de 24 de julio, para la aplicación de la Ley de las Cortes de Castilla-La Mancha 11/2000, de 26 de</w:t>
      </w:r>
    </w:p>
    <w:p w:rsidR="000B622C" w:rsidRDefault="000B622C" w:rsidP="000B622C">
      <w:pPr>
        <w:pStyle w:val="TextoNormal"/>
      </w:pPr>
      <w:r>
        <w:t>diciembre.</w:t>
      </w:r>
    </w:p>
    <w:p w:rsidR="000B622C" w:rsidRDefault="000B622C" w:rsidP="000B622C">
      <w:pPr>
        <w:pStyle w:val="TextoNormal"/>
      </w:pPr>
    </w:p>
    <w:p w:rsidR="000B622C" w:rsidRDefault="000B622C" w:rsidP="000B622C">
      <w:pPr>
        <w:pStyle w:val="TextoNormal"/>
      </w:pPr>
      <w:r>
        <w:t>Madrid, a once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3" w:name="AUTO_2002_62"/>
      <w:r>
        <w:lastRenderedPageBreak/>
        <w:t>AUTO 62/2002, de 22 de abril de 2002</w:t>
      </w:r>
    </w:p>
    <w:bookmarkEnd w:id="163"/>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ECLI:ES:TC:2002:62A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Acuerda la suspensión parcial en el recurso de amparo 3782-2000, interpuesto por don José Antonio Mas Farre</w:t>
      </w:r>
    </w:p>
    <w:p w:rsidR="000B622C" w:rsidRDefault="000B622C" w:rsidP="000B622C">
      <w:pPr>
        <w:pStyle w:val="SntesisDescriptiva"/>
      </w:pPr>
    </w:p>
    <w:p w:rsidR="000B622C" w:rsidRDefault="000B622C" w:rsidP="000B622C">
      <w:pPr>
        <w:pStyle w:val="SntesisAnaltica"/>
      </w:pPr>
      <w:r>
        <w:t>Suspensión cautelar de sentencias penales: privación del permiso de conducir, suspende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el 29 de junio de 2000, la Procuradora de los Tribunales doña María Soledad San Mateo García, en nombre y representación de don José Antonio Mas Farre, interpone recurso de amparo contra la Sentencia dictada por la SecAudiencia Provincial de Alicante el 19 de mayo de 2000, en el rollo de apelación núm. 83/00, por la que se condenó al recurrente, como autor responsable de un delito contra la seguridad del tráfico, a las penas de 100.000 pesetas de multa con arresto sustitutorio de cuatro días en caso de impago y privación del permiso de conducir o del derecho a obtenerlo por tiempo de tres meses y un día.</w:t>
      </w:r>
    </w:p>
    <w:p w:rsidR="000B622C" w:rsidRDefault="000B622C" w:rsidP="000B622C">
      <w:pPr>
        <w:pStyle w:val="TextoNormal"/>
      </w:pPr>
    </w:p>
    <w:p w:rsidR="000B622C" w:rsidRDefault="000B622C" w:rsidP="000B622C">
      <w:pPr>
        <w:pStyle w:val="TextoNormal"/>
      </w:pPr>
      <w:r w:rsidRPr="000B622C">
        <w:rPr>
          <w:rStyle w:val="NumeroAFNegritaCaracter"/>
        </w:rPr>
        <w:t>2</w:t>
      </w:r>
      <w:r>
        <w:t>. La Sala Segunda de este Tribunal, por sendas providencias de 14 de febrero de 2002, acordó, respectivamente, la admisión a trámite de la demanda de amparo y la formación de pieza separada para la tramitación del incidente sobre la suspensión solicitada, concediendo al recurrente y al Ministerio Fiscal el plazo común de tres días para que alegasen lo que estimasen pertinente sobre dicha suspensión.</w:t>
      </w:r>
    </w:p>
    <w:p w:rsidR="000B622C" w:rsidRDefault="000B622C" w:rsidP="000B622C">
      <w:pPr>
        <w:pStyle w:val="TextoNormal"/>
      </w:pPr>
    </w:p>
    <w:p w:rsidR="000B622C" w:rsidRDefault="000B622C" w:rsidP="000B622C">
      <w:pPr>
        <w:pStyle w:val="TextoNormal"/>
      </w:pPr>
      <w:r w:rsidRPr="000B622C">
        <w:rPr>
          <w:rStyle w:val="NumeroAFNegritaCaracter"/>
        </w:rPr>
        <w:t>3</w:t>
      </w:r>
      <w:r>
        <w:t>. La Procuradora Sra. San Mateo efectúa sus alegaciones, mediante escrito registrado el 27 de febrero de 2002, insistiendo, como ya lo hizo en la demanda de amparo, en que la no suspensión de la pena de privación del permiso de conducir durante tres meses y un día ocasionaría un perjuicio irreparable al recurrente, haciendo perder al amparo su finalidad, sin que existan motivos de denegación por peligro de perturbación grave de los intereses generales o libertades públicas de un tercero. No se hace referencia alguna respecto de la pena de multa y del arresto sustitutorio, en su caso.</w:t>
      </w:r>
    </w:p>
    <w:p w:rsidR="000B622C" w:rsidRDefault="000B622C" w:rsidP="000B622C">
      <w:pPr>
        <w:pStyle w:val="TextoNormal"/>
      </w:pPr>
    </w:p>
    <w:p w:rsidR="000B622C" w:rsidRDefault="000B622C" w:rsidP="000B622C">
      <w:pPr>
        <w:pStyle w:val="TextoNormal"/>
      </w:pPr>
      <w:r w:rsidRPr="000B622C">
        <w:rPr>
          <w:rStyle w:val="NumeroAFNegritaCaracter"/>
        </w:rPr>
        <w:t>4</w:t>
      </w:r>
      <w:r>
        <w:t xml:space="preserve">. El Fiscal ante el Tribunal Constitucional evacúa el trámite conferido mediante escrito registrado el 4 de marzo de 2002. En él señala que, al tratarse de una pena privativa de derechos, el interés general de la efectividad del cumplimiento de la condena impuesta </w:t>
      </w:r>
      <w:r>
        <w:lastRenderedPageBreak/>
        <w:t>exige que se proceda a denegar la suspensión solicitada, pues, además, el actor no ha alegado la concurrencia de circunstancias personales o laborales que la justifiquen.</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0B622C" w:rsidRDefault="000B622C" w:rsidP="000B622C">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y 25/2002).</w:t>
      </w:r>
    </w:p>
    <w:p w:rsidR="000B622C" w:rsidRDefault="000B622C" w:rsidP="000B622C">
      <w:pPr>
        <w:pStyle w:val="TextoNormal"/>
      </w:pPr>
    </w:p>
    <w:p w:rsidR="000B622C" w:rsidRDefault="000B622C" w:rsidP="000B622C">
      <w:pPr>
        <w:pStyle w:val="TextoNormal"/>
      </w:pPr>
      <w:r w:rsidRPr="000B622C">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Dado que el recurrente nada solicita respecto a la multa impuesta y, en caso de impago, al arresto sustitutorio de cuatro días, aplicada la doctrina expuesta al presente caso, ha de accederse a la suspensión solicitada por el recurrente respecto de la pena de privación del permiso de conducir pues, analizando el supuesto de autos, puede advertirse que el delito contra la seguridad del tráfico previsto y penado en el derogado art. 340 bis a) del </w:t>
      </w:r>
      <w:r>
        <w:lastRenderedPageBreak/>
        <w:t>Código Penal, texto refundido de 1973 (en la actualidad contenido en el art.  379 del Código vigente) por el que ha sido condenado el ahora demandante de amparo, no reviste notoria gravedad y la corta duración de la pena de privación del permiso de conducir impuesta, haría perder al amparo su finalidad caso de no accederse a la suspensión interesada. Por ello procede acordar la suspensión de conformidad con la doctrina reiterada de este Tribunal (AATC 136/1996, de 27 de marzo, FJ 2 y 55/1998, de 2 de marzo, FJ 3, por todos).</w:t>
      </w:r>
    </w:p>
    <w:p w:rsidR="000B622C" w:rsidRDefault="000B622C" w:rsidP="000B622C">
      <w:pPr>
        <w:pStyle w:val="TextoNormal"/>
      </w:pPr>
    </w:p>
    <w:p w:rsidR="000B622C" w:rsidRDefault="000B622C" w:rsidP="000B622C">
      <w:pPr>
        <w:pStyle w:val="TextoNormal"/>
      </w:pPr>
      <w:r>
        <w:t>Por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Suspender la ejecución de la Sentencia de la Sección Primera de la Audiencia Provincial de Alicante de 19 de marzo de 2000, en el rollo de apelación núm.  83/00, tan solo respecto de la pena de privación del permiso de conducir.</w:t>
      </w:r>
    </w:p>
    <w:p w:rsidR="000B622C" w:rsidRDefault="000B622C" w:rsidP="000B622C">
      <w:pPr>
        <w:pStyle w:val="TextoNormal"/>
      </w:pPr>
    </w:p>
    <w:p w:rsidR="000B622C" w:rsidRDefault="000B622C" w:rsidP="000B622C">
      <w:pPr>
        <w:pStyle w:val="TextoNormal"/>
      </w:pPr>
      <w:r>
        <w:t>Madrid,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4" w:name="AUTO_2002_63"/>
      <w:r>
        <w:lastRenderedPageBreak/>
        <w:t>AUTO 63/2002, de 22 de abril de 2002</w:t>
      </w:r>
    </w:p>
    <w:bookmarkEnd w:id="164"/>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ECLI:ES:TC:2002:63A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Deniega la suspensión en el recurso de amparo 45-2001, interpuesto por don Enrique Martínez Santiago</w:t>
      </w:r>
    </w:p>
    <w:p w:rsidR="000B622C" w:rsidRDefault="000B622C" w:rsidP="000B622C">
      <w:pPr>
        <w:pStyle w:val="SntesisDescriptiva"/>
      </w:pPr>
    </w:p>
    <w:p w:rsidR="000B622C" w:rsidRDefault="000B622C" w:rsidP="000B622C">
      <w:pPr>
        <w:pStyle w:val="SntesisAnaltica"/>
      </w:pPr>
      <w:r>
        <w:t>Suspensión cautelar de sentencias penales: prisión de diecisiete años, inhabilitación absoluta accesoria, multa cuantiosa, no suspende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registrado en este Tribunal el 4 de enero de 2001, el Procurador de los Tribunales don Santiago Tesorero Díaz, en nombre y representación de don Enrique Martínez Santiago, interpuso recurso de amparo contra la Sentencia de la Sala de lo Penal del Tribunal Supremo de 30 de octubre de 2000 y contra la Sentencia de la Sección Tercera de la Sala de lo Penal de la Audiencia Nacional de 26 de octubre de 1999, que le condenó, como autor de un delito contra la salud pública de sustancia que causa grave daño a la salud (art. 344 CP) en cantidad de notoria importancia [art. 344 bis a) núm. 3] por persona perteneciente a organización [art. 344 bis a) núm. 6] y concurriendo extrema gravedad [art. 344 bis b) CP 1973], en concurso con un delito de contrabando en grado de tentativa, imponiéndosele las penas de diecisiete años, cuatro meses y un día de reclusión menor, multa de 225 millones de ptas. y accesoria de inhabilitación absoluta por el tiempo de la condena.</w:t>
      </w:r>
    </w:p>
    <w:p w:rsidR="000B622C" w:rsidRDefault="000B622C" w:rsidP="000B622C">
      <w:pPr>
        <w:pStyle w:val="TextoNormal"/>
      </w:pPr>
    </w:p>
    <w:p w:rsidR="000B622C" w:rsidRDefault="000B622C" w:rsidP="000B622C">
      <w:pPr>
        <w:pStyle w:val="TextoNormal"/>
      </w:pPr>
      <w:r w:rsidRPr="000B622C">
        <w:rPr>
          <w:rStyle w:val="NumeroAFNegritaCaracter"/>
        </w:rPr>
        <w:t>2</w:t>
      </w:r>
      <w:r>
        <w:t>. El demandante de amparo alega la vulneración de los derechos fundamentales al proceso con todas las garantías (art. 24.2 CE), a la defensa y a utilizar los medios de prueba pertinentes (art. 24.2 CE), a la presunción de inocencia (art. 24.2 CE), a la tutela judicial efectiva sin indefensión (art. 24.1 CE), al secreto de las comunicaciones (art. 18.3 CE) y a la legalidad penal (art. 25.1 CE).</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providencia de 20 de marzo de 2001, la Sección Primera de este Tribunal acordó admitir a trámite la demanda de amparo, y a tenor de lo dispuesto en el art. 51 LOTC, requerir a la Sala de lo Penal del Tribunal Supremo, para que en el plazo de diez días remitiera testimonio del recurso de casación núm. 1608/99, interesándose al propio tiempo que por la Sección Tercera de la Sala de lo Penal de la Audiencia Nacional se emplazare a quienes fueron parte en el sumario núm. 15/92, del Juzgado Central de Instrucción núm. 5 (rollo núm. 51/92), con excepción del recurrente de amparo, para que en el plazo de diez </w:t>
      </w:r>
      <w:r>
        <w:lastRenderedPageBreak/>
        <w:t>días puedan comparecer en este proceso constitucional, con traslado a dichos efectos de copia de la demanda presentada. Asimismo, acordó formar pieza separada de suspensión.</w:t>
      </w:r>
    </w:p>
    <w:p w:rsidR="000B622C" w:rsidRDefault="000B622C" w:rsidP="000B622C">
      <w:pPr>
        <w:pStyle w:val="TextoNormal"/>
      </w:pPr>
    </w:p>
    <w:p w:rsidR="000B622C" w:rsidRDefault="000B622C" w:rsidP="000B622C">
      <w:pPr>
        <w:pStyle w:val="TextoNormal"/>
      </w:pPr>
      <w:r w:rsidRPr="000B622C">
        <w:rPr>
          <w:rStyle w:val="NumeroAFNegritaCaracter"/>
        </w:rPr>
        <w:t>4</w:t>
      </w:r>
      <w:r>
        <w:t>. En providencia de la misma fecha, y al amparo de lo previsto en el art. 56 LOTC, la Sección Primera acordó conceder plazo común de tres días al Ministerio Fiscal y a los solicitantes de amparo para que, dentro de dicho término, alegasen lo que estimaren oportuno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En escrito registrado ante este Tribunal el 26 de marzo de 2002 la representación del recurrente, evacuando alegaciones, reitera la petición de suspensión y los fundamentos aducidos en la demanda de amparo. En complemento de los mismos alega que, de no acordarse la suspensión, el amparo, en caso de ser otorgado, perdería su objeto, irrogándosele perjuicios irreparables en la medida en que la privación de libertad efectiva se habría cumplido en su mayor parte en el momento en que se estimara el amparo, pues, de conformidad con la liquidación de condena efectuada por el Centro Penitenciario, habría cumplido las tres cuartas partes de la condena en el año 2006. De otra parte, argumenta que la suspensión no ocasionaría conflicto con los intereses generales ni con la eficacia de la Sentencia.</w:t>
      </w:r>
    </w:p>
    <w:p w:rsidR="000B622C" w:rsidRDefault="000B622C" w:rsidP="000B622C">
      <w:pPr>
        <w:pStyle w:val="TextoNormal"/>
      </w:pPr>
    </w:p>
    <w:p w:rsidR="000B622C" w:rsidRDefault="000B622C" w:rsidP="000B622C">
      <w:pPr>
        <w:pStyle w:val="TextoNormal"/>
      </w:pPr>
      <w:r w:rsidRPr="000B622C">
        <w:rPr>
          <w:rStyle w:val="NumeroAFNegritaCaracter"/>
        </w:rPr>
        <w:t>6</w:t>
      </w:r>
      <w:r>
        <w:t xml:space="preserve">. El Ministerio Fiscal, en escrito registrado el 27 de marzo de 2002, de conformidad con la consolidada doctrina constitucional aplicable y dadas las circunstancias del caso, interesa se deniegue la pretensión de suspensión de la ejecución de la Sentencia. En particular, sostiene que atendiendo a la duración de las penas impuestas - privativa de libertad y accesoria legal-, si se accediera a la solicitud se ocasionaría una lesión o menoscabo del interés general presente en la ejecución de la Sentencia firme. </w:t>
      </w:r>
    </w:p>
    <w:p w:rsidR="000B622C" w:rsidRDefault="000B622C" w:rsidP="000B622C">
      <w:pPr>
        <w:pStyle w:val="TextoNormal"/>
      </w:pPr>
      <w:r>
        <w:t>Madrid, a veintidós de abril de dos mil dos.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En el presente caso, el recurrente solicita que se suspenda la ejecución de la Sentencia, en virtud de la cual, y como consta en los antecedentes, resultó condenado a una pena privativa de libertad de reclusión menor de diecisiete años, cuatro meses y un día, a la accesoria legal de inhabilitación absoluta por el tiempo de la condena y al pago de una multa de doscientos veinticinco millones de pesetas.  A pesar de dicha genérica petición, el demandante sólo fundamenta su petición en lo que se refiere a la pena privativa de libertad impuesta.</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2</w:t>
      </w:r>
      <w:r>
        <w:t>.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000B622C" w:rsidRDefault="000B622C" w:rsidP="000B622C">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0B622C" w:rsidRDefault="000B622C" w:rsidP="000B622C">
      <w:pPr>
        <w:pStyle w:val="TextoNormal"/>
      </w:pPr>
    </w:p>
    <w:p w:rsidR="000B622C" w:rsidRDefault="000B622C" w:rsidP="000B622C">
      <w:pPr>
        <w:pStyle w:val="TextoNormal"/>
      </w:pPr>
      <w:r w:rsidRPr="000B622C">
        <w:rPr>
          <w:rStyle w:val="NumeroAFNegritaCaracter"/>
        </w:rPr>
        <w:t>3</w:t>
      </w:r>
      <w:r>
        <w:t>. Aplicada la doctrina expuesta al presente caso ha de denegarse la suspensión solicitada.  Dada la larga duración de la pena privativa de libertad impuesta (diecisiete años, cuatro meses y un día de reclusión menor) no procede suspender su ejecución.  Como ya se ha afirmado, aunque la regla general de este Tribunal en el caso de penas privativas de libertad debe ser la suspensión, ya que su cumplimiento conlleva en sí mismo una pérdida, al menos parcial, de la finalidad del amparo, también se ha indicado que esta regla general no está exenta de excepciones, y una de ellas es, precisamente, la duración de la pena, ya que en el supuesto de que la pena sea de larga duración "el interés general reclama con especial intensidad su ejecución" (ATC 214/1997). Tal conclusión se impone, no sólo por el necesario mantenimiento de la confianza en la justicia penal y en los efectos disuasorios que se derivan de la finalidad de prevención general de los delitos (AATC 310/1996, 419/1997 y 265/1998), sino también porque la duración de la pena cuantifica "el desvalor del comportamiento enjuiciado y el daño social producido, según la apreciación del Tribunal sentenciador, que nosotros no podemos revisar en este trámite" (AATC 265/1998, 62/2001 y 289/2001).</w:t>
      </w:r>
    </w:p>
    <w:p w:rsidR="000B622C" w:rsidRDefault="000B622C" w:rsidP="000B622C">
      <w:pPr>
        <w:pStyle w:val="TextoNormal"/>
      </w:pPr>
      <w:r>
        <w:t>El mismo pronunciamiento ha de efectuarse respecto de la pena accesoria de inhabilitación absoluta, pues, como este Tribunal tiene declarado, sigue la suerte de la principal.</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4</w:t>
      </w:r>
      <w:r>
        <w:t>. En cuanto a la pena de multa impuesta, de doscientos veinticinco millones de pesetas, a pesar de que según reiterada doctrina de este Tribunal los pronunciamientos de carácter económico no se suspenden en el entendimiento de que su no suspensión no ocasiona en principio un daño irreparable, sin embargo, dada su cuantía, excepcionalmente este Tribunal ha accedido a la suspensión, si bien ello se ha producido siempre que el perjuicio sea irreparable y se encuentre convenientemente acreditado (por todos AATC 418/1985, 61/2000, 9/2002). En la medida en que nada se fundamenta ni se acredita por el demandante de amparo sobre los eventuales perjuicios que la ejecución de la pena de multa le pudiera irrogar, se ha de denegar también la suspensión en lo que afecta a la misma.</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solicitud de suspensión.</w:t>
      </w:r>
    </w:p>
    <w:p w:rsidR="000B622C" w:rsidRDefault="000B622C" w:rsidP="000B622C">
      <w:pPr>
        <w:pStyle w:val="TextoNormal"/>
      </w:pPr>
    </w:p>
    <w:p w:rsidR="000B622C" w:rsidRDefault="000B622C" w:rsidP="000B622C">
      <w:pPr>
        <w:pStyle w:val="TextoNormal"/>
      </w:pPr>
      <w:r>
        <w:t>Madrid, a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5" w:name="AUTO_2002_64"/>
      <w:r>
        <w:lastRenderedPageBreak/>
        <w:t>AUTO 64/2002, de 22 de abril de 2002</w:t>
      </w:r>
    </w:p>
    <w:bookmarkEnd w:id="165"/>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ECLI:ES:TC:2002:64A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Deniega la suspensión en el recurso de amparo 240-2001, interpuesto por Imperial Park Country Club Properties Ltd.</w:t>
      </w:r>
    </w:p>
    <w:p w:rsidR="000B622C" w:rsidRDefault="000B622C" w:rsidP="000B622C">
      <w:pPr>
        <w:pStyle w:val="SntesisDescriptiva"/>
      </w:pPr>
    </w:p>
    <w:p w:rsidR="000B622C" w:rsidRDefault="000B622C" w:rsidP="000B622C">
      <w:pPr>
        <w:pStyle w:val="SntesisAnaltica"/>
      </w:pPr>
      <w:r>
        <w:t>Suspensión cautelar de sentencias civiles: pago de una cantidad, no suspende. Contenido patrimonial; extranjeros residentes fuera de España</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que tuvo entrada en el Registro General de este Tribunal el 15 de enero de 2001 la Procuradora de los Tribunales doña María Jesús Ferrer Pastor, en nombre y representación de la sociedad mercantil de nacionalidad inglesa "Imperial Park Country Club Properties Ltd", interpuso recurso de amparo contra las resoluciones de la Audiencia Provincial de Alicante citadas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que dan lugar a la demanda de amparo y que resultan relevantes en esta pieza separada de suspensión son, en síntesis, los siguientes: a) Por Sentencia de la Audiencia Provincial de Alicante de 16 de diciembre de 1998 se condenó a "Imperial Park Country Club Properties Ltd" - junto con otros- a la devolución (conjunta y solidariamente) a don Friedhelm Backs y doña Sieglinde Backs de 2.941.000 pesetas, con los intereses legales desde la interpelación judicial, y al pago de las costas causadas en la primera instancia. Esta Sentencia estimaba en parte el recurso de apelación que se había formulado contra la Sentencia dictada por el Juzgado de Primera Instancia núm. 2 de Denia, de 3 de septiembre de 1996, en el juicio declarativo de menor cuantía núm. 332/95, en el que la recurrente en amparo había sido parte codemandada. </w:t>
      </w:r>
    </w:p>
    <w:p w:rsidR="000B622C" w:rsidRDefault="000B622C" w:rsidP="000B622C">
      <w:pPr>
        <w:pStyle w:val="TextoNormal"/>
      </w:pPr>
      <w:r>
        <w:t xml:space="preserve">b) Durante la tramitación del proceso en primera instancia la citada sociedad mercantil inglesa había sido declarada en rebeldía, después de que intentara el Juzgado sin éxito un emplazamiento personal en Calpe y de practicar, posteriormente, el emplazamiento por edictos. </w:t>
      </w:r>
    </w:p>
    <w:p w:rsidR="000B622C" w:rsidRDefault="000B622C" w:rsidP="000B622C">
      <w:pPr>
        <w:pStyle w:val="TextoNormal"/>
      </w:pPr>
      <w:r>
        <w:t>c) Contra la citada Sentencia de la Audiencia Provincial de 16 de diciembre de 1998 formuló la demandante de amparo el recurso de audiencia al rebelde, que fue desestimado por Sentencia del mismo órgano judicial de 18 de octubre de 2000. Contra esta Sentencia se promovió por la sociedad mercantil inglesa el incidente de nulidad de actuaciones, que fue rechazado por Auto de la Audiencia Provincial de Alicante de 5 de diciembre de 2000.</w:t>
      </w:r>
    </w:p>
    <w:p w:rsidR="000B622C" w:rsidRDefault="000B622C" w:rsidP="000B622C">
      <w:pPr>
        <w:pStyle w:val="TextoNormal"/>
      </w:pPr>
    </w:p>
    <w:p w:rsidR="000B622C" w:rsidRDefault="000B622C" w:rsidP="000B622C">
      <w:pPr>
        <w:pStyle w:val="TextoNormal"/>
      </w:pPr>
      <w:r w:rsidRPr="000B622C">
        <w:rPr>
          <w:rStyle w:val="NumeroAFNegritaCaracter"/>
        </w:rPr>
        <w:lastRenderedPageBreak/>
        <w:t>3</w:t>
      </w:r>
      <w:r>
        <w:t>. En su demanda de amparo considera la recurrente que las mencionadas resoluciones de la Audiencia Provincial de Alicante vulneran su derecho a la tutela judicial efectiva (art. 24.1 CE), en concreto, porque la primera de las Sentencias dictadas por ese órgano judicial impuso la condena inaudita parte, sin que se hubieran agotado todos los medios posibles para el emplazamiento de la demandada antes de acudir al edictal; dicha Sentencia no fue publicada en el Boletín Oficial de la Provincia y, además, carece por completo de motivación que justifique su condena. La demanda termina con la solicitud de que se declare la nulidad de las resoluciones impugnadas de la Audiencia Provincial de Alicante y se retrotraigan las actuaciones al momento inmediatamente anterior al emplazamiento de los demandados. Por otrosí se solicita la suspensión de la ejecución de la Sentencia condenatoria, solicitud a favor de la cual se aduce la circunstancia de que está garantizado el cobro por parte de los demandantes de las cantidades objeto de la condena, porque se han consignado en la cuenta del Juzgado, y que los actores civiles son extranjeros sin residencia en España, lo que podría hacer al amparo perder su finalidad, puesto que, si este recurso se estimara, existiría una seria dificultad para recuperar tales cantidades.</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15 de octubre de 2001 la Sección Primera de este Tribunal acordó la admisión a trámite de la demanda de amparo. Con la misma fecha se dictó providencia por la citada Sección en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El Ministerio Fiscal presentó su escrito de alegaciones en esta pieza separada el 22 de octubre de 2001. Tras exponer los hechos, alega el Fiscal que es doctrina reiterada de este Tribunal que las resoluciones judiciales con efectos meramente patrimoniales o económicos no causan, en principio, perjuicios irreparables. En este caso, en concreto, no debe suponer ningún obstáculo a la reparabilidad de la eventual lesión, si se estimara el amparo, la circunstancia de que los demandantes en la instancia judicial sean extranjeros, porque, además de que este dato no se ha acreditado, la condición de extranjero no constituye causa que impida que los deudores puedan ser llamados ante los Tribunales competentes, ni, dictada la Sentencia correspondiente, esa condición de extranjero supone la extinción de las obligaciones que se les impongan. El Ministerio Fiscal se opone, por eso, a la suspensión de la ejecución de las resoluciones impugnadas en este proceso constitucional.</w:t>
      </w:r>
    </w:p>
    <w:p w:rsidR="000B622C" w:rsidRDefault="000B622C" w:rsidP="000B622C">
      <w:pPr>
        <w:pStyle w:val="TextoNormal"/>
      </w:pPr>
    </w:p>
    <w:p w:rsidR="000B622C" w:rsidRDefault="000B622C" w:rsidP="000B622C">
      <w:pPr>
        <w:pStyle w:val="TextoNormal"/>
      </w:pPr>
      <w:r w:rsidRPr="000B622C">
        <w:rPr>
          <w:rStyle w:val="NumeroAFNegritaCaracter"/>
        </w:rPr>
        <w:t>6</w:t>
      </w:r>
      <w:r>
        <w:t>. La recurrente en amparo no presentó escrito de alegaciones en el trámite regulado en el art. 56. 2 LOTC.</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establece el art. 56.1 LOTC, la ejecución del acto de los poderes públicos por razón del cual se reclama el amparo constitucional sólo se suspenderá cuando aquélla hubiere de ocasionar un perjuicio que haría perder al amparo su finalidad. No obstante, dicho precepto, en su segundo inciso, establece un límite a esta posibilidad de suspensión al pre</w:t>
      </w:r>
      <w:r>
        <w:lastRenderedPageBreak/>
        <w:t>ver la denegación cuando de la suspensión "pueda seguirse perturbación grave de los intereses generales o de los derechos fundamentales o libertades públicas de un tercero".</w:t>
      </w:r>
    </w:p>
    <w:p w:rsidR="000B622C" w:rsidRDefault="000B622C" w:rsidP="000B622C">
      <w:pPr>
        <w:pStyle w:val="TextoNormal"/>
      </w:pPr>
      <w:r>
        <w:t>Es doctrina de este Tribunal (AATC 47/1996, de 26 de febrero; 110/1996, de 29 de abril; 106/2001, de 7 de mayo; entre otros)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354/1997, de 10 de noviembre,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0B622C" w:rsidRDefault="000B622C" w:rsidP="000B622C">
      <w:pPr>
        <w:pStyle w:val="TextoNormal"/>
      </w:pPr>
      <w:r>
        <w:t>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 (ATC 106/2001, de 7 de mayo).</w:t>
      </w:r>
    </w:p>
    <w:p w:rsidR="000B622C" w:rsidRDefault="000B622C" w:rsidP="000B622C">
      <w:pPr>
        <w:pStyle w:val="TextoNormal"/>
      </w:pPr>
    </w:p>
    <w:p w:rsidR="000B622C" w:rsidRDefault="000B622C" w:rsidP="000B622C">
      <w:pPr>
        <w:pStyle w:val="TextoNormal"/>
      </w:pPr>
      <w:r w:rsidRPr="000B622C">
        <w:rPr>
          <w:rStyle w:val="NumeroAFNegritaCaracter"/>
        </w:rPr>
        <w:t>2</w:t>
      </w:r>
      <w:r>
        <w:t>. Este Tribunal también ha declarado de forma reiterada y unánime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(AATC 170/1995, de 6 de junio; 267/1995, de 2 de octubre; 152/1996, de 10 de junio; 344/1996, de 2 de diciembre; 370/1996, de 16 de diciembre; 227/1999, de 27 de septiembre; 61/2000, de 28 de febrero). Cierto es, no obstante, que caben excepciones a esta regla general en supuestos en los que el recurrente haya acreditado suficientemente que el pago, atendida su cuantía, así como las circunstancias personales del condenado, o sus efectos indirectos para terceros, es susceptible de entrañar perjuicios irreparables (ATC 18/2001, de 29 de enero).</w:t>
      </w:r>
    </w:p>
    <w:p w:rsidR="000B622C" w:rsidRDefault="000B622C" w:rsidP="000B622C">
      <w:pPr>
        <w:pStyle w:val="TextoNormal"/>
      </w:pPr>
    </w:p>
    <w:p w:rsidR="000B622C" w:rsidRDefault="000B622C" w:rsidP="000B622C">
      <w:pPr>
        <w:pStyle w:val="TextoNormal"/>
      </w:pPr>
      <w:r w:rsidRPr="000B622C">
        <w:rPr>
          <w:rStyle w:val="NumeroAFNegritaCaracter"/>
        </w:rPr>
        <w:t>3</w:t>
      </w:r>
      <w:r>
        <w:t>. En el presente caso, como ya ha sucedido en la pieza separada de suspensión que finalizó por ATC 120/2001, de 8 de mayo, dictado en proceso de amparo promovido por la misma sociedad mercantil que es aquí recurrente y por motivos semejantes al presente, la demandante de amparo se ha limitado a afirmar que la suspensión de la ejecución de una Sentencia civil, que tan sólo tiene efectos económicos, no perjudicaría los intereses de los actores civiles puesto que las cantidades a las que fue condenada han sido oportunamente consignadas; e, igualmente, sostiene que la irreparabilidad del daño derivado de la ejecución de la Sentencia impugnada en su recurso de amparo estaría ligada a la condición de extranjeros de los actores civiles, ya que, al no poseer residencia en España, sería difícil la recuperación de la cantidad entregada, con lo que se frustraría la eficacia de un eventual fallo estimatorio de su demanda de amparo.</w:t>
      </w:r>
    </w:p>
    <w:p w:rsidR="000B622C" w:rsidRDefault="000B622C" w:rsidP="000B622C">
      <w:pPr>
        <w:pStyle w:val="TextoNormal"/>
      </w:pPr>
      <w:r>
        <w:t>Pues bien, como ya sucedió en el caso del citado ATC 120/2001, ha de denegarse también aquí la suspensión solicitada. Por una parte, el perjuicio derivado de la ejecución de la Sentencia impugnada -que condena a "Imperial Park Country Club Properties Ltd", junto con otros, a la devolución (conjunta y solidariamente) de 2.941.000 pesetas, con los intereses legales desde la interpelación judicial, y al pago de las costas causadas en la primera instancia- es de carácter patrimonial y, además, no se ha acreditado que fuese espe</w:t>
      </w:r>
      <w:r>
        <w:lastRenderedPageBreak/>
        <w:t>cialmente grave para la entidad recurrente hasta el punto de justificar que, por las concretas circunstancias de este supuesto, el perjuicio, aunque de naturaleza económica, sea irreparable. Por otra parte, la mera invocación no acreditada de la falta de residencia en España de los actores civiles y el argumento de que su ausencia del territorio nacional haría simplemente dificultosa, que no imposible, la recuperación de esa cantidad no constituye prueba de una irreparabilidad de la lesión de la que pudiera decirse que haría perder al amparo promovido por la recurrente su finalidad.</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solicitada.</w:t>
      </w:r>
    </w:p>
    <w:p w:rsidR="000B622C" w:rsidRDefault="000B622C" w:rsidP="000B622C">
      <w:pPr>
        <w:pStyle w:val="TextoNormal"/>
      </w:pPr>
    </w:p>
    <w:p w:rsidR="000B622C" w:rsidRDefault="000B622C" w:rsidP="000B622C">
      <w:pPr>
        <w:pStyle w:val="TextoNormal"/>
      </w:pPr>
      <w:r>
        <w:t>Madrid, a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6" w:name="AUTO_2002_65"/>
      <w:r>
        <w:lastRenderedPageBreak/>
        <w:t>AUTO 65/2002, de 22 de abril de 2002</w:t>
      </w:r>
    </w:p>
    <w:bookmarkEnd w:id="166"/>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ECLI:ES:TC:2002:65A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la suspensión parcial en el recurso de amparo 404-2001, interpuesto por don Juan Heredia Rodríguez</w:t>
      </w:r>
    </w:p>
    <w:p w:rsidR="000B622C" w:rsidRDefault="000B622C" w:rsidP="000B622C">
      <w:pPr>
        <w:pStyle w:val="SntesisDescriptiva"/>
      </w:pPr>
    </w:p>
    <w:p w:rsidR="000B622C" w:rsidRDefault="000B622C" w:rsidP="000B622C">
      <w:pPr>
        <w:pStyle w:val="SntesisAnaltica"/>
      </w:pPr>
      <w:r>
        <w:t>Suspensión cautelar de sentencias penales: prisión de más de tres años, suspende; indemnización, costas procesales, no suspende. Penas privativas de libertad</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que tuvo entrada en el Registro General de este Tribunal el 23 de enero de 2001 la Procuradora de los Tribunales doña Belén Jiménez Torrecillas, en nombre y representación de don Juan Heredia Rodríguez, interpuso recurso de amparo contra las Sentencias mencionadas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que dan lugar a la demanda de amparo y que resultan relevantes en esta pieza separada de suspensión son, en síntesis, los siguientes: </w:t>
      </w:r>
    </w:p>
    <w:p w:rsidR="000B622C" w:rsidRDefault="000B622C" w:rsidP="000B622C">
      <w:pPr>
        <w:pStyle w:val="TextoNormal"/>
      </w:pPr>
      <w:r>
        <w:t xml:space="preserve">a) Don Juan Heredia Rodríguez fue condenado, por Sentencia del Juzgado de lo Penal núm. 5 de Granada, de 31 de julio de 2000, como autor responsable -junto con otros- de un delito de robo con intimidación, con la agravante de disfraz, a la pena de tres años y seis meses de prisión y al pago de la tercera parte de las costas y de una indemnización, conjunta y solidariamente con los otros condenados, de 643.000 pesetas. La Sentencia consideró probados, entre otros hechos, que el recurrente, junto con otro de los condenados, entró encapuchado en una sucursal de la Caja de Ahorros de Granada, esgrimiendo lo que parecía ser una pistola y un revólver metálicos; y mientras uno vigilaba, el otro exigió la entrega del dinero que hubiese a un empleado, recibiendo, en consecuencia, la cantidad de 643.000 pesetas. </w:t>
      </w:r>
    </w:p>
    <w:p w:rsidR="000B622C" w:rsidRDefault="000B622C" w:rsidP="000B622C">
      <w:pPr>
        <w:pStyle w:val="TextoNormal"/>
      </w:pPr>
      <w:r>
        <w:t>b) Frente a dicha Sentencia interpuso el demandante de amparo recurso de apelación, que fue desestimado por Sentencia de la Audiencia Provincial de Granada de 22 de diciembre de 2000.</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su demanda de amparo considera el recurrente que las Sentencias citadas vulneran su derecho a un proceso con todas las garantías y a la presunción de inocencia (art. 24.2 CE), que estaría producida por inexistencia de prueba de cargo suficiente para desvirtuar la presunción de inocencia, puesto que la prueba practicada no puede considerarse regularmente obtenida y, en consecuencia, no puede ser tenida en cuenta para fundamentar </w:t>
      </w:r>
      <w:r>
        <w:lastRenderedPageBreak/>
        <w:t>la Sentencia condenatoria. En el suplico de la demanda de amparo se solicita a este Tribunal que se declare la nulidad de las mencionadas Sentencias; y, por otrosí, se pide la suspensión de la ejecución de las mismas, pues si ésta no se acordara, perdería el recurso de amparo su finalidad y se causaría un perjuicio irreparable al recurrente.</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11 de febrero de 2002, la Sección Primera de este Tribunal acordó la admisión a trámite de la demanda de amparo. Con la misma fecha se dictó providencia por la citada Sección por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Las alegaciones del demandante de amparo tuvieron su entrada en este Tribunal el 16 de febrero de 2002. En ellas se reiteran las alegaciones que se habían formulado en el otrosí correspondiente de la demanda de amparo y se argumenta, en síntesis, que en este caso no existe peligro de que el recurrente se sustraiga a la acción de la Justicia, que la ejecución de las resoluciones recurridas llevaría consigo la inmediata pérdida del trabajo que el demandante de amparo viene realizando en el sector de la construcción y que la duración de la pena privativa de libertad impuesta es tal (tres años y seis meses) que el transcurso del tiempo necesario para tramitar este recurso de amparo haría perder a éste su finalidad.</w:t>
      </w:r>
    </w:p>
    <w:p w:rsidR="000B622C" w:rsidRDefault="000B622C" w:rsidP="000B622C">
      <w:pPr>
        <w:pStyle w:val="TextoNormal"/>
      </w:pPr>
    </w:p>
    <w:p w:rsidR="000B622C" w:rsidRDefault="000B622C" w:rsidP="000B622C">
      <w:pPr>
        <w:pStyle w:val="TextoNormal"/>
      </w:pPr>
      <w:r w:rsidRPr="000B622C">
        <w:rPr>
          <w:rStyle w:val="NumeroAFNegritaCaracter"/>
        </w:rPr>
        <w:t>6</w:t>
      </w:r>
      <w:r>
        <w:t>. El Ministerio Fiscal presentó su escrito de alegaciones en esta pieza separada el 21 de febrero de 2002. Tras exponer los criterios relativos a la suspensión de las resoluciones impugnadas en amparo de los que se vale este Tribunal, considera el Fiscal que si se compara la duración de la pena privativa de libertad con el tiempo que requiere la tramitación de un proceso como el presente hay que concluir que la falta de suspensión ocasionaría un perjuicio irreparable que dejaría en entredicho la eficacia de un eventual fallo estimatorio. Además, ninguna circunstancia concurrente permitiría apreciar que acceder a la suspensión solicitada ocasionara una lesión específica y grave del interés general, más allá de aquélla que, de por sí, produce la falta de ejecución de un fallo judicial. En consecuencia, concluye el Ministerio Fiscal interesando que se acuerde la suspensión de la ejecución de la Sentencia, si bien exclusivamente en lo que se refiere a la pena privativa de libertad y no en cuanto al resto de los pronunciamientos.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xml:space="preserve">. Conforme al art. 56.1 LOTC, sólo procede la suspensión de los actos de los poderes públicos a los que se impute la vulneración de derechos fundamentales cuando la ejecución hubiere de ocasionar un perjuicio que hiciera perder al amparo su finalidad.  No obstante, el citado precepto permite, en su segundo inciso, denegar la suspensión cuando de ésta pueda seguirse perturbación grave de los intereses generales o de los derechos fundamentales de un tercero.  Asimismo, el art. 56.2 LOTC expresa que la suspensión podrá acordarse con o sin afianzamiento y que la denegación de la suspensión podrá quedar condicionada, en el caso de que pudiera seguirse perturbación grave de los derechos de un </w:t>
      </w:r>
      <w:r>
        <w:lastRenderedPageBreak/>
        <w:t>tercero, a la constitución de caución suficiente para responder de los daños o perjuicios que pudieran originarse.</w:t>
      </w:r>
    </w:p>
    <w:p w:rsidR="000B622C" w:rsidRDefault="000B622C" w:rsidP="000B622C">
      <w:pPr>
        <w:pStyle w:val="TextoNormal"/>
      </w:pPr>
      <w:r>
        <w:t>A los efectos de acceder o no a las solicitudes de suspensión de la ejecución de las resoluciones judiciales deducidas por los demandantes de amparo, en caso de condenas penales, este Tribunal ha tenido especialmente en cuenta si los efectos de la ejecución de cada uno de los pronunciamientos de la Sentencia pueden ser calificados de irreparables o de reparables, de modo que en este último caso, en el que cabe la restitutio in integrum, lo procedente es denegar la suspensión.  Se ha entendido, además, que ha de considerase perjuicio irreparable aquél que provoque que el restablecimiento del recurrente en el derecho constitucional vulnerado sea tardío y convierta en meramente ilusorio y nominal el amparo (AATC 51/1989, de 30 de enero; 20/1992, de 27 de enero; 290/1995, de 23 de octubre).</w:t>
      </w:r>
    </w:p>
    <w:p w:rsidR="000B622C" w:rsidRDefault="000B622C" w:rsidP="000B622C">
      <w:pPr>
        <w:pStyle w:val="TextoNormal"/>
      </w:pPr>
    </w:p>
    <w:p w:rsidR="000B622C" w:rsidRDefault="000B622C" w:rsidP="000B622C">
      <w:pPr>
        <w:pStyle w:val="TextoNormal"/>
      </w:pPr>
      <w:r w:rsidRPr="000B622C">
        <w:rPr>
          <w:rStyle w:val="NumeroAFNegritaCaracter"/>
        </w:rPr>
        <w:t>2</w:t>
      </w:r>
      <w:r>
        <w:t>. Cuando la condena consiste en penas privativas de libertad, la doctrina reiterada de este Tribunal es que su ejecución puede ocasionar al recurrente perjuicios irreparables, que harían perder al amparo su finalidad, puesto que la pérdida de libertad no es resarcible (AATC 169/1995, de 5 de junio; 289/1995, de 23 de octubre; 328/1995, de 11 de diciembre; 35/1996, de 12 de febrero; 284/1996 y 286/1996, ambos de 14 de octubre; 376/1996, de 16 de diciembre; 61/2000, de 28 de febrero). Sin embargo, resulta necesario examinar más detenidamente si la suspensión podría originar una perturbación grave de los intereses generales o de los derechos fundamentales de un tercero, en cuyo caso, y de acuerdo con el segundo inciso del art. 56.1 LOTC, habría de denegarse tal suspensión. Para valorar si concurren esos intereses generales o pudieran resultar afectados los derechos fundamentales de un tercero, este Tribunal ha tenido en cuenta diversas circunstancias, pero todas ellas pueden agruparse en torno a la gravedad del delito sobre el que recae la condena, a las condiciones del delincuente y a la situación de las víctimas o de los perjudicados por el hecho punible. La gravedad del delito se pone de manifiesto, no de forma exclusiva pero sí relevante, mediante la pena impuesta, en cuanto que ésta expresa el grado de reproche por el desvalor de la conducta dentro del marco legalmente previsto, por lo que su valoración -como declaran los AATC 419/1997, de 22 de diciembre; 47/1998 y 48/1998, ambos de 24 de febrero- no puede hacerse mecánicamente y atendiendo sólo a un límite máximo. La larga duración de la pena puede hacer aconsejable la denegación de la medida provisional, pero no puede ser éste el único fundamento de nuestra decisión. Por el contrario, en supuestos en que la pena impuesta es breve, resultaría posible que, en atención a la presumible duración de la tramitación del recurso de amparo, de otorgarse éste, la pena ya se hubiera cumplido, por lo que el perjuicio causado haría perder al amparo su finalidad (AATC 839/1986, de 22 de octubre; 283/1995, de 23 de octubre; 120/1996, de 20 de mayo; 336/1996, de 25 de noviembre; 61/2000, de 28 de febrero).</w:t>
      </w:r>
    </w:p>
    <w:p w:rsidR="000B622C" w:rsidRDefault="000B622C" w:rsidP="000B622C">
      <w:pPr>
        <w:pStyle w:val="TextoNormal"/>
      </w:pPr>
      <w:r>
        <w:t>De conformidad con estos criterios, resulta procedente, en este caso, como lo entiende el Ministerio Fiscal, acceder a la suspensión de la pena de prisión impuesta, cuya duración es de tres años y seis meses, por no concurrir otras circunstancias que puedan atribuir una importancia especial a los intereses generales en el juicio de ponderación al que remite la última previsión del art.  56.1 LOTC.</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Sin embargo, ha de ser distinta nuestra decisión en cuanto a las costas procesales y al pago de la indemnización (conjunta y solidaria con respecto a los demás condenados) por valor de 643.000 pesetas a la Caja General de Ahorros de Granada. Son de aplicación a estos pronunciamientos de la Sentencia los mismos criterios que rigen la suspensión de </w:t>
      </w:r>
      <w:r>
        <w:lastRenderedPageBreak/>
        <w:t>las condenas pecuniarias, sobre las que hemos declarado reiteradamente que los perjuicios derivados de su ejecución son, en principio y salvo circunstancias excepcionales que aquí no concurren, resarcibles (AATC 170/1995, de 6 de junio; 267/1995, de 2 de octubre; 152/1996, de 10 de junio; 344/1996, de 2 de diciembre; 370/1996, de 16 de diciembre; 227/1999, de 27 de septiembre; 61/2000, de 28 de febrero).</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1º. Suspender la ejecución de la Sentencia impugnada en cuanto se refiere a la pena de prisión de tres años y seis meses.</w:t>
      </w:r>
    </w:p>
    <w:p w:rsidR="000B622C" w:rsidRDefault="000B622C" w:rsidP="000B622C">
      <w:pPr>
        <w:pStyle w:val="TextoNormal"/>
      </w:pPr>
      <w:r>
        <w:t>2º. Denegar la suspensión de la ejecución en cuanto a las costas y al pago de la indemnización (conjunta y solidaria con respecto a los demás condenados) por valor de 643.000 pesetas a la Caja General de Ahorros de Granada.</w:t>
      </w:r>
    </w:p>
    <w:p w:rsidR="000B622C" w:rsidRDefault="000B622C" w:rsidP="000B622C">
      <w:pPr>
        <w:pStyle w:val="TextoNormal"/>
      </w:pPr>
    </w:p>
    <w:p w:rsidR="000B622C" w:rsidRDefault="000B622C" w:rsidP="000B622C">
      <w:pPr>
        <w:pStyle w:val="TextoNormal"/>
      </w:pPr>
      <w:r>
        <w:t>Madrid, a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7" w:name="AUTO_2002_66"/>
      <w:r>
        <w:lastRenderedPageBreak/>
        <w:t>AUTO 66/2002, de 22 de abril de 2002</w:t>
      </w:r>
    </w:p>
    <w:bookmarkEnd w:id="167"/>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ECLI:ES:TC:2002:66A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Deniega la suspensión en el recurso de amparo 1544-2001, interpuesto por don Francisco Marín Crujera</w:t>
      </w:r>
    </w:p>
    <w:p w:rsidR="000B622C" w:rsidRDefault="000B622C" w:rsidP="000B622C">
      <w:pPr>
        <w:pStyle w:val="SntesisDescriptiva"/>
      </w:pPr>
    </w:p>
    <w:p w:rsidR="000B622C" w:rsidRDefault="000B622C" w:rsidP="000B622C">
      <w:pPr>
        <w:pStyle w:val="SntesisAnaltica"/>
      </w:pPr>
      <w:r>
        <w:t>Suspensión cautelar de resoluciones penales: rectificación en fallo judicial de indemnización, no suspende. Contenido patrimonial.</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presentado en el Registro General de este Tribunal el día 19 de marzo de 2001, don Rafael Delgado Delgado, Procurador de nombre y representación de don Francisco Marín Crujera, interpuso recurso de amparo contra el Auto de la Sección Primera de la Sala de lo Penal de la Audiencia Nacional, de 16 de febrero de 2001, recaído en el rollo de ejecución 5/95, que desestimó el recurso de súplica interpuesto contra el Auto de 28 de noviembre de 2000, por el que se dispuso la rectificación de un error material apreciado en el Anexo IV de la Sentencia núm. 48/1989, de 20 de mayo, de la Sección Segunda de la Sala de lo Penal de la Audiencia Nacional dictada en el sumario núm. 129/81, iniciado para la instrucción del denominado "síndrome tóxico".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 demanda de amparo trae causa, en síntesis, de los siguientes hechos: </w:t>
      </w:r>
    </w:p>
    <w:p w:rsidR="000B622C" w:rsidRDefault="000B622C" w:rsidP="000B622C">
      <w:pPr>
        <w:pStyle w:val="TextoNormal"/>
      </w:pPr>
      <w:r>
        <w:t xml:space="preserve">a) La causante del ahora demandante de amparo, doña Francisca Faba Salvado, afectada de "síndrome tóxico", fue parte en el sumario núm. 129/81, en el que recayó la Sentencia núm. 48/1989, de 20 de mayo, de la Sección Segunda de la Sala de lo Penal de la Audiencia Nacional, en cuyo Anexo IV figura clasificada como afectada con gran invalidez con patología previa (GI-PP). </w:t>
      </w:r>
    </w:p>
    <w:p w:rsidR="000B622C" w:rsidRDefault="000B622C" w:rsidP="000B622C">
      <w:pPr>
        <w:pStyle w:val="TextoNormal"/>
      </w:pPr>
      <w:r>
        <w:t xml:space="preserve">En la parte dispositiva de la mencionada Sentencia se condenó a los diferentes responsables civiles, en lo que a este recurso de amparo interesa, a abonar a los afectados con gran invalidez en 90.000.000 de pesetas [apartado 18, letra f)]. </w:t>
      </w:r>
    </w:p>
    <w:p w:rsidR="000B622C" w:rsidRDefault="000B622C" w:rsidP="000B622C">
      <w:pPr>
        <w:pStyle w:val="TextoNormal"/>
      </w:pPr>
      <w:r>
        <w:t xml:space="preserve">Los pronunciamientos de la anterior Sentencia relativos a la responsabilidad civil fueron confirmados en casación por Sentencia de la Sala Segunda del Tribunal Supremo, de 23 de abril de 1992. </w:t>
      </w:r>
    </w:p>
    <w:p w:rsidR="000B622C" w:rsidRDefault="000B622C" w:rsidP="000B622C">
      <w:pPr>
        <w:pStyle w:val="TextoNormal"/>
      </w:pPr>
      <w:r>
        <w:t xml:space="preserve">b) La Sección Primera de la Sala de lo Penal de la Audiencia Nacional por Sentencia de 24 de mayo de 1996, recaída en el rollo de la Sala núm. 5/95 dimanante de las diligencias previas núm. 162/89 del Juzgado Central de Instrucción núm. 1, declaró la responsabilidad </w:t>
      </w:r>
      <w:r>
        <w:lastRenderedPageBreak/>
        <w:t xml:space="preserve">civil subsidiaria del Estado por las lesiones y daños sufridos por los afectados del "síndrome tóxico". </w:t>
      </w:r>
    </w:p>
    <w:p w:rsidR="000B622C" w:rsidRDefault="000B622C" w:rsidP="000B622C">
      <w:pPr>
        <w:pStyle w:val="TextoNormal"/>
      </w:pPr>
      <w:r>
        <w:t xml:space="preserve">La Sala Segunda del Tribunal Supremo, por Sentencia de 26 de septiembre de 1997, confirmó en casación la anterior Sentencia, encargándose la ejecución de la misma a la Sección Primera de la Sala de lo Penal de la Audiencia Nacional. </w:t>
      </w:r>
    </w:p>
    <w:p w:rsidR="000B622C" w:rsidRDefault="000B622C" w:rsidP="000B622C">
      <w:pPr>
        <w:pStyle w:val="TextoNormal"/>
      </w:pPr>
      <w:r>
        <w:t xml:space="preserve">c) La Sección Primera de la Sala de lo Penal de la Audiencia Nacional, por Autos de 13 de marzo y 11 de mayo de 1998, estableció las bases para que los afectados presentasen su solicitud de liquidación de la indemnización que les correspondiese. </w:t>
      </w:r>
    </w:p>
    <w:p w:rsidR="000B622C" w:rsidRDefault="000B622C" w:rsidP="000B622C">
      <w:pPr>
        <w:pStyle w:val="TextoNormal"/>
      </w:pPr>
      <w:r>
        <w:t xml:space="preserve">d) El demandante de amparo, en representación de su causante, presentó en fecha 24 de mayo de 1999 la solicitud de liquidación de la indemnización, registrada con el núm. 11.366/1999, sobre la base de la calificación otorgada a doña Francisca Faba Salvado en la Sentencia núm. 48/1989, de 20 de mayo, de la Sección Segunda de la Sala de lo Penal de la Audiencia Nacional. </w:t>
      </w:r>
    </w:p>
    <w:p w:rsidR="000B622C" w:rsidRDefault="000B622C" w:rsidP="000B622C">
      <w:pPr>
        <w:pStyle w:val="TextoNormal"/>
      </w:pPr>
      <w:r>
        <w:t xml:space="preserve">e) La Sección Primera de la Sala de lo Penal de la Audiencia Nacional, por Auto de 26 de noviembre de 2000, acordó rectificar el error material padecido en la Sentencia núm. 48/1989, de 20 de mayo, de la Sección Segunda de la Sala de lo Penal de la Audiencia Nacional, en cuanto a doña Francisca Faba Salvado, en el sentido de que donde consta la calificación de gran invalidez (GI) debe aparecer la de incapacidad permanente (IP). </w:t>
      </w:r>
    </w:p>
    <w:p w:rsidR="000B622C" w:rsidRDefault="000B622C" w:rsidP="000B622C">
      <w:pPr>
        <w:pStyle w:val="TextoNormal"/>
      </w:pPr>
      <w:r>
        <w:t xml:space="preserve">f) El demandante de amparo interpuso recurso de súplica contra el anterior Auto, que fue desestimado por Auto de la Sección Primera de la Sala de lo Penal de la Audiencia Nacional, de 16 de febrero de 2001, en el que, además, se le comunicó que debería de presentar una nueva solicitud de liquidación conforme a la nueva calificación, que mantendría el mismo número de registro y de orden en cuanto a su tramitación. </w:t>
      </w:r>
    </w:p>
    <w:p w:rsidR="000B622C" w:rsidRDefault="000B622C" w:rsidP="000B622C">
      <w:pPr>
        <w:pStyle w:val="TextoNormal"/>
      </w:pPr>
      <w:r>
        <w:t xml:space="preserve">4. En cuanto a la fundamentación jurídica de la demanda de amparo, se invoca en ésta, frente a las resoluciones jurisdiccionales recurridas -Autos de 16 de febrero de 2001 y de 28 de noviembre de 2000 de la Sección Primera de la Sala de lo Penal de la Audiencia Nacional- la vulneración del derecho a la tutela judicial efectiva (art. 24.1 CE), en su vertiente de derecho a la inmodificabilidad de las resoluciones judiciales firmes, como consecuencia de la rectificación que el primero de los Autos ha llevado a cabo en la Sentencia núm. 48/1989, de 20 de mayo, de la Sección Segunda de la Sala de lo Penal de la Audiencia Nacional. </w:t>
      </w:r>
    </w:p>
    <w:p w:rsidR="000B622C" w:rsidRDefault="000B622C" w:rsidP="000B622C">
      <w:pPr>
        <w:pStyle w:val="TextoNormal"/>
      </w:pPr>
      <w:r>
        <w:t xml:space="preserve">Concluye el escrito de demanda suplicando del Tribunal Constitucional que, tras los trámites pertinentes, dicte Sentencia en la que se declare la nulidad de los Autos de la Sección Primera de la Sala de lo Penal de la Audiencia Nacional, de 16 de febrero de 2001 y de 28 de noviembre de 2000, y la firmeza de la declaración otorgada a doña Francisca Faba Salvado en la Sentencia núm. 48/1989, de 20 de mayo, de la Sección Segunda de la Sala de lo Penal de la Audiencia Nacional. Mediante otrosí, de acuerdo con lo previsto en el art. 56.1 LOTC, se interesó la suspensión de la ejecución de las resoluciones judiciales impugnadas. </w:t>
      </w:r>
    </w:p>
    <w:p w:rsidR="000B622C" w:rsidRDefault="000B622C" w:rsidP="000B622C">
      <w:pPr>
        <w:pStyle w:val="TextoNormal"/>
      </w:pPr>
      <w:r>
        <w:t xml:space="preserve">5. La Sala Segunda del Tribunal Constitucional, por providencia de 7 de febrero de 2002, acordó admitir a trámite la demanda de amparo y, al obrar en autos testimonio de los particulares de las actuaciones recurridas, conceder a la parte recurrente, al Abogado del Estado y al Ministerio Fiscal un plazo común de veinte días para que, de conformidad con lo dispuesto en el art. 52.1 LOTC, pudieran presentar las alegaciones que tuvieran por oportunas. </w:t>
      </w:r>
    </w:p>
    <w:p w:rsidR="000B622C" w:rsidRDefault="000B622C" w:rsidP="000B622C">
      <w:pPr>
        <w:pStyle w:val="TextoNormal"/>
      </w:pPr>
      <w:r>
        <w:t xml:space="preserve">6. La Sala Segunda del Tribunal Constitucional, por providencia de 7 de febrero de 2002, acordó formar la oportuna pieza para la tramitación del incidente sobre la suspensión solicitada y, de conformidad con el art. 56 LOTC, conceder un plazo común de tres </w:t>
      </w:r>
      <w:r>
        <w:lastRenderedPageBreak/>
        <w:t xml:space="preserve">días a la parte recurrente, al Abogado del Estado y al Ministerio Fiscal para que alegasen lo que estimaren pertinente sobre dicha suspensión. </w:t>
      </w:r>
    </w:p>
    <w:p w:rsidR="000B622C" w:rsidRDefault="000B622C" w:rsidP="000B622C">
      <w:pPr>
        <w:pStyle w:val="TextoNormal"/>
      </w:pPr>
      <w:r>
        <w:t xml:space="preserve">7. El Abogado del Estado evacuó el trámite de alegaciones conferido mediante escrito registrado en fecha 11 de febrero de 2002, que a continuación se extracta: </w:t>
      </w:r>
    </w:p>
    <w:p w:rsidR="000B622C" w:rsidRDefault="000B622C" w:rsidP="000B622C">
      <w:pPr>
        <w:pStyle w:val="TextoNormal"/>
      </w:pPr>
      <w:r>
        <w:t xml:space="preserve">En la demanda de amparo se solicita la suspensión del Auto de 16 de febrero de 2001 y del procedimiento de liquidación porque, según la parte actora, "el auto recurrido en amparo ordena presentar una nueva solicitud de liquidación sobre la base de la nueva clasificación". Sin embargo, en opinión del Abogado del Estado, dicho Auto, cuya parte dispositiva literalmente trascribe en lo que ahora interesa, propiamente no ordena nada. </w:t>
      </w:r>
    </w:p>
    <w:p w:rsidR="000B622C" w:rsidRDefault="000B622C" w:rsidP="000B622C">
      <w:pPr>
        <w:pStyle w:val="TextoNormal"/>
      </w:pPr>
      <w:r>
        <w:t xml:space="preserve">Con la medida cautelar solicitada, el demandante de amparo no pretende, ni podría hacerlo, que, con temporal bloqueo de la eficacia de las resoluciones judiciales recurridas, se le pague la cifra indemnizatoria para los grandes inválidos (90 millones de pesetas, 540.910, 89 euros). Pide sólo que, mientras penda el amparo, quede en suspenso el procedimiento liquidatorio de la indemnización y que no se le entienda obligado a presentar la solicitud ajustada a la calificación de incapacidad permanente parcial (25 millones de pesetas, 150.253, 02 euros). </w:t>
      </w:r>
    </w:p>
    <w:p w:rsidR="000B622C" w:rsidRDefault="000B622C" w:rsidP="000B622C">
      <w:pPr>
        <w:pStyle w:val="TextoNormal"/>
      </w:pPr>
      <w:r>
        <w:t xml:space="preserve">Dado que así lo pide la parte, y con ello no se lesionan los intereses económicos del Estado, puesto que simplemente el actor verá retrasada la percepción de la indemnización en todo ( si se le deniega el amparo) o en parte (pues, si se estimara el recurso y hubiera percibido ya la indemnización correspondiente a la incapacidad permanente parcial, ninguna dificultad debería de existir para que lo percibido se conceptuara como pago a cuenta de la cifra correspondiente a los grandes inválidos), el Abogado del Estado no se opone a que se conceda la medida cautelar solicitada, siempre que se deje claramente establecido que la suspensión se refiere exclusivamente a la presentación de la nueva solicitud de liquidación ajustada a la calificación de incapacidad permanente parcial y/o al subsiguiente trámite del procedimiento liquidatorio. Como es obvio, no podrán reconocerse intereses por el tiempo de suspensión decretado a petición de la actora y por su conveniencia. </w:t>
      </w:r>
    </w:p>
    <w:p w:rsidR="000B622C" w:rsidRDefault="000B622C" w:rsidP="000B622C">
      <w:pPr>
        <w:pStyle w:val="TextoNormal"/>
      </w:pPr>
      <w:r>
        <w:t xml:space="preserve">8. La representación procesal del demandante de amparo evacuó el trámite de alegaciones conferido mediante escrito registrado en fecha 14 de febrero de 2002, en el que manifiesta que el interés en obtener la suspensión de las resoluciones judiciales recurridas estriba en evitar los perjuicios económicos valorados en 65.000.000 de pesetas (390.657,87 euros) que se producirían de su aplicación, antes de que este Tribunal pudiera pronunciarse acerca de si vulneran los derechos fundamentales de su representado como único heredero de doña Francisca Faba Salvado. La manera lógica de preservar estos derechos fundamentales, en tanto no exista Sentencia estimatoria o desestimatoria del recurso de amparo, pasa, por lo tanto, por acordar la suspensión de aquellas resoluciones judiciales. </w:t>
      </w:r>
    </w:p>
    <w:p w:rsidR="000B622C" w:rsidRDefault="000B622C" w:rsidP="000B622C">
      <w:pPr>
        <w:pStyle w:val="TextoNormal"/>
      </w:pPr>
      <w:r>
        <w:t xml:space="preserve">Dichas resoluciones judiciales desplegarían su eficacia una vez que, decretada la apertura de la pieza de ejecución correspondiente a la liquidación instada por el recurrente en amparo, obligaría a desistir de la solicitud ya presentada -referida a la indemnización correspondiente a la clasificación de gran invalidez (GI) recogida en la Sentencia núm. 48/1989, de 20 de mayo, de la Sección Segunda de la Sala de lo Penal de la Audiencia Nacional (90.000.000 de pesetas) y consentir con reclamar sobre la base de lo resuelto en las mismas - indemnización correspondiente a la clasificación de incapacidad permanente parcial (25.000.000 de pesetas)-. </w:t>
      </w:r>
    </w:p>
    <w:p w:rsidR="000B622C" w:rsidRDefault="000B622C" w:rsidP="000B622C">
      <w:pPr>
        <w:pStyle w:val="TextoNormal"/>
      </w:pPr>
      <w:r>
        <w:t xml:space="preserve">Habida cuenta, pues, de la estrecha relación existente entre los Autos recurridos de la Sección Primera de la Sala de lo Penal de la Audiencia Nacional y el contenido de la reclamación que debería de presentar el demandante de amparo, la suspensión de aquéllos debería comportar asimismo la suspensión de la apertura de la pieza de ejecución de la </w:t>
      </w:r>
      <w:r>
        <w:lastRenderedPageBreak/>
        <w:t xml:space="preserve">solicitud registrada con el núm. 11.366/99, en tanto no haya recaído la Sentencia que resuelva el presente recurso de amparo. </w:t>
      </w:r>
    </w:p>
    <w:p w:rsidR="000B622C" w:rsidRDefault="000B622C" w:rsidP="000B622C">
      <w:pPr>
        <w:pStyle w:val="TextoNormal"/>
      </w:pPr>
      <w:r>
        <w:t xml:space="preserve">9. El Ministerio Fiscal evacuó el trámite de alegaciones conferido mediante escrito presentado en el Registro de este Tribunal el día 19 de febrero de 2002, en el que se opone a la suspensión de la ejecución de las resoluciones judiciales impugnadas. </w:t>
      </w:r>
    </w:p>
    <w:p w:rsidR="000B622C" w:rsidRDefault="000B622C" w:rsidP="000B622C">
      <w:pPr>
        <w:pStyle w:val="TextoNormal"/>
      </w:pPr>
      <w:r>
        <w:t xml:space="preserve">Tal denegación la sustenta en las siguientes razones: De un lado, porque conforme a una reiterada doctrina constitucional, las resoluciones judiciales que establecen pronunciamientos de contenido patrimonial o económico no son objeto de suspensión, por cuanto el criterio general es el de que procede su cumplimiento, teniendo en cuenta, además, que por tratarse del abono de indemnizaciones por daños y perjuicios a cargo del Estado ningún daño o deterioro irreversible puede derivarse para los intereses del demandante. </w:t>
      </w:r>
    </w:p>
    <w:p w:rsidR="000B622C" w:rsidRDefault="000B622C" w:rsidP="000B622C">
      <w:pPr>
        <w:pStyle w:val="TextoNormal"/>
      </w:pPr>
      <w:r>
        <w:t>De otro, porque en el presente caso, amén de no haber justificado el recurrente cuál o cuáles pudieran ser los perjuicios que podrían originársele con la denegación de la suspensión, tampoco se acierta a determinar cuáles habrían de ser esos perjuicios, toda vez que lo que se ha acordado en los Autos impugnados es que, sobre la base de una clasificación de secuelas padecidas por la tía del demandante de amparo derivadas del padecimiento del denominado "síndrome tóxico", se le reconoce una indemnización cuyo monto es inferior al que reclama, de tal manera que, en la hipótesis de que se desestimara su pretensión de amparo, la cantidad que haya de recibir por los conceptos hasta ahora reconocidos le habrían sido ya abonadas. Y en el caso de prosperar la demanda de amparo y, por ende, tener que reponer el órgano judicial la clasificación de gran invalidez reconocida a la fallecida, la única consecuencia que se derivaría sería siempre positiva para los intereses del recurrente en amparo, ya que en tal caso recibiría la diferencia resultante de lo reconocido como consecuencia de dicha reparación, sin que en ningún supuesto se le colocara en una peor situación como consecuencia de no acordar la suspensión de los Autos impugnados.</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art. 56. 1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recoge un límite a esta posibilidad de suspensión, al prever que la suspensión puede ser denegada "cuando de ésta pueda seguirse perturbación grave de los intereses generales o de los derechos fundamentales o libertades públicas de un tercero".</w:t>
      </w:r>
    </w:p>
    <w:p w:rsidR="000B622C" w:rsidRDefault="000B622C" w:rsidP="000B622C">
      <w:pPr>
        <w:pStyle w:val="TextoNormal"/>
      </w:pPr>
      <w:r>
        <w:t xml:space="preserve">De acuerdo con una reiterada doctrina constitucional, la suspensión supone una medida provisional, de carácter excepcional y de aplicación restrictiva, al existir un interés general en la efectividad de las resoluciones de los poderes públicos y, en particular, en la ejecución de las resoluciones judiciales. El art. 56.1 LOTC parte de la premisa de que la interposición de un recurso de amparo, como regla general, no suspende la ejecución de los actos recurridos, salvo en el supuesto expresamente previsto de la pérdida de la finalidad del amparo y, aun en este caso, con la condición de que la suspensión no produzca las perturbaciones aludidas en el mismo (AATC 17/1980, de 24 de septiembre; 57/1980, de 22 de octubre; 275/1986, de 19 de marzo; 249/1989, de 9 de mayo; 141/1990, de 27 de marzo; 47/1996, de 26 de febrero; 110/1996, de 29 de abril; 326/1996, de 11 de noviembre; 206/200, de 18 de septiembre). En concreto, y por lo que respecta a dichos límites, este Tribunal ha tenido ocasión de declarar en numerosas ocasiones que toda suspensión de la </w:t>
      </w:r>
      <w:r>
        <w:lastRenderedPageBreak/>
        <w:t>ejecución de una Sentencia firme supone por sí una cierta perturbación del interés general, consistente en mantener su eficacia, por lo que la regla general debe ser la de no proceder a la suspensión, salvo que el demandante acredite suficientemente la irreparabilidad que para sus derechos fundamentales pueda conllevar la ejecución, privando así al amparo de su finalidad, y, ello, además, siempre que la citada suspensión no produzca las perturbaciones graves ya aludidas (AATC 81/1981, de 15 de julio; 36/1986, de 16 de enero, por todos).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25 de agosto; 50/1996, de 26 de febrero; 219/1996, de 22 de julio; 206/2000, de 18 de diciembre; 21/2002, de 25 de febrero).</w:t>
      </w:r>
    </w:p>
    <w:p w:rsidR="000B622C" w:rsidRDefault="000B622C" w:rsidP="000B622C">
      <w:pPr>
        <w:pStyle w:val="TextoNormal"/>
      </w:pPr>
      <w:r>
        <w:t>Más concretamente, este Tribunal ha establecido como criterio general que no procede la suspensión de la ejecución de aquellos fallos judiciales que admiten la restitución íntegra de lo ejecutado, como, por lo general, sucede con los pronunciamientos de efectos meramente patrimoniales, que, por tener un contenido económico, no producen perjuicios de imposible reparación (por todos AATC 146/2001, de 18 de junio; 279/2001, de 30 de octubre; 293/2001, de 26 de noviembre; 9/2002, de 28 de enero; 22/2002, de 25 de febrero; 25/2002, de 25 de febrero), a diferencia de aquellos otros en los que, por afectar a bienes o derechos del recurrente en amparo de imposible o muy difícil restitución a su estado anterior, es procedente acordarla.</w:t>
      </w:r>
    </w:p>
    <w:p w:rsidR="000B622C" w:rsidRDefault="000B622C" w:rsidP="000B622C">
      <w:pPr>
        <w:pStyle w:val="TextoNormal"/>
      </w:pPr>
    </w:p>
    <w:p w:rsidR="000B622C" w:rsidRDefault="000B622C" w:rsidP="000B622C">
      <w:pPr>
        <w:pStyle w:val="TextoNormal"/>
      </w:pPr>
      <w:r w:rsidRPr="000B622C">
        <w:rPr>
          <w:rStyle w:val="NumeroAFNegritaCaracter"/>
        </w:rPr>
        <w:t>2</w:t>
      </w:r>
      <w:r>
        <w:t>. La aplicación de la doctrina expuesta al caso ahora considerado ha de conducir a desestimar la suspensión interesada, pues la ejecución en sus propios términos de las resoluciones judiciales impugnadas, en cuanto proceden a rectificar el error material que el órgano judicial entiende que se ha incurrido en el Anexo IV de la Sentencia núm.  48/1989, de 20 de mayo, de la Sección Segunda de la Sala de lo Penal de la Audiencia Nacional, en el sentido de corregir la calificación inicialmente otorgada de gran invalidez por la de incapacidad permanente a la afectación padecida por la causante del demandante de amparo derivada del denominado "síndrome tóxico", implica que el recurrente en amparo debe presentar una nueva solicitud de liquidación conforme a la nueva calificación, que en cuanto a su tramitación mantendrá el mismo número de registro y orden que la ya presentada con base en la calificación recogida en la mencionada Sentencia, y que habría de recibir una indemnización, cuya cuantía es inferior a la que había inicialmente solicitado de acuerdo con la calificación de los padecimientos de su causante como gran invalidez.</w:t>
      </w:r>
    </w:p>
    <w:p w:rsidR="000B622C" w:rsidRDefault="000B622C" w:rsidP="000B622C">
      <w:pPr>
        <w:pStyle w:val="TextoNormal"/>
      </w:pPr>
      <w:r>
        <w:t xml:space="preserve">Ello así, es evidente, como señala el Ministerio Fiscal, que la denegación de la suspensión solicitada, en caso de ser desestimada la demanda de amparo, supondría que al recurrente le habría sido abonada la cantidad que le correspondería percibir de acuerdo con la calificación reconocida en las resoluciones judiciales impugnadas. Por el contrario, de no accederse a la suspensión solicitada, y ser estimada, en su caso, la demanda de amparo, el órgano judicial debería reponer la anterior calificación reconocida a la causante del demandante de amparo en la Sentencia núm. 48/1989, de 20 de mayo, de la Sección Segunda de la Sala de lo Penal de la Audiencia Nacional y, por lo tanto, el demandante de amparo debería percibir en concepto de liquidación la indemnización correspondiente a la calificación reconocida en esta Sentencia, sin que en momento alguno el recurso de amparo pierda su finalidad ni se coloque al demandante de amparo en una peor situación como consecuencia de denegar la suspensión de la ejecución de las resoluciones judiciales recurridas, </w:t>
      </w:r>
      <w:r>
        <w:lastRenderedPageBreak/>
        <w:t>máxime cuando, por tratarse del abono de indemnizaciones por daños y perjuicios a costa del Estado, ningún daño o deterioro irreversible puede derivarse para sus intereses.</w:t>
      </w:r>
    </w:p>
    <w:p w:rsidR="000B622C" w:rsidRDefault="000B622C" w:rsidP="000B622C">
      <w:pPr>
        <w:pStyle w:val="TextoNormal"/>
      </w:pPr>
    </w:p>
    <w:p w:rsidR="000B622C" w:rsidRDefault="000B622C" w:rsidP="000B622C">
      <w:pPr>
        <w:pStyle w:val="TextoNormal"/>
      </w:pPr>
      <w:r>
        <w:t>En virtud de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No acceder a la suspensión interesada por el recurrente en amparo.</w:t>
      </w:r>
    </w:p>
    <w:p w:rsidR="000B622C" w:rsidRDefault="000B622C" w:rsidP="000B622C">
      <w:pPr>
        <w:pStyle w:val="TextoNormal"/>
      </w:pPr>
    </w:p>
    <w:p w:rsidR="000B622C" w:rsidRDefault="000B622C" w:rsidP="000B622C">
      <w:pPr>
        <w:pStyle w:val="TextoNormal"/>
      </w:pPr>
      <w:r>
        <w:t>Madrid, a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8" w:name="AUTO_2002_67"/>
      <w:r>
        <w:lastRenderedPageBreak/>
        <w:t>AUTO 67/2002, de 22 de abril de 2002</w:t>
      </w:r>
    </w:p>
    <w:bookmarkEnd w:id="168"/>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ECLI:ES:TC:2002:67A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Acuerda la suspensión en el recurso de amparo 1571-2001, interpuesto por don José Arturo Fernández Rodríguez</w:t>
      </w:r>
    </w:p>
    <w:p w:rsidR="000B622C" w:rsidRDefault="000B622C" w:rsidP="000B622C">
      <w:pPr>
        <w:pStyle w:val="SntesisDescriptiva"/>
      </w:pPr>
    </w:p>
    <w:p w:rsidR="000B622C" w:rsidRDefault="000B622C" w:rsidP="000B622C">
      <w:pPr>
        <w:pStyle w:val="SntesisAnaltica"/>
      </w:pPr>
      <w:r>
        <w:t>Suspensión cautelar de resoluciones administrativas: privación temporal de licencia de autotaxi, suspende. Ponderación de perjuicios; prueba del perjuicio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Por escrito que fue registrado en este Tribunal el 20 de marzo de 2001 la Procuradora de los Tribunales doña Rocío Marsal Alonso, en nombre y representación de don José Arturo Fernández Rodríguez, interpuso recurso de amparo contra las resoluciones mencionadas en el encabezamiento.</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de los que deriva la demanda de amparo y que resultan relevantes en esta pieza separada de suspensión son, en síntesis, los siguientes: </w:t>
      </w:r>
    </w:p>
    <w:p w:rsidR="000B622C" w:rsidRDefault="000B622C" w:rsidP="000B622C">
      <w:pPr>
        <w:pStyle w:val="TextoNormal"/>
      </w:pPr>
      <w:r>
        <w:t xml:space="preserve">a) Por Decreto del Primer Teniente de Alcalde responsable de la rama de Policía Municipal, Tráfico e Infraestructuras del Ayuntamiento de Madrid, de 24 de noviembre de 1999, se impuso al demandante de amparo la sanción de suspensión de la licencia municipal de autotaxi núm. 11.455 por un periodo de seis meses, por "cobro de tarifas superiores o inferiores a las autorizadas y de suplementos no establecidos", conforme a lo previsto en el art. 51.III b) de la Ordenanza municipal reguladora del servicio de vehículos de alquiler con aparato taxímetro. </w:t>
      </w:r>
    </w:p>
    <w:p w:rsidR="000B622C" w:rsidRDefault="000B622C" w:rsidP="000B622C">
      <w:pPr>
        <w:pStyle w:val="TextoNormal"/>
      </w:pPr>
      <w:r>
        <w:t>b) Frente a dicha resolución administrativa interpuso el demandante de amparo recurso contencioso administrativo, que fue desestimado por Sentencia del Juzgado de lo Contencioso Administrativo núm. 23 de Madrid, de 9 de marzo de 2000. Contra esta Sentencia formuló el Sr. Fernández recurso de apelación, que fue igualmente desestimado por Sentencia de la Sala de lo Contencioso Administrativo del Tribunal Superior de Justicia de Madrid, de 23 de enero de 2001.</w:t>
      </w:r>
    </w:p>
    <w:p w:rsidR="000B622C" w:rsidRDefault="000B622C" w:rsidP="000B622C">
      <w:pPr>
        <w:pStyle w:val="TextoNormal"/>
      </w:pPr>
    </w:p>
    <w:p w:rsidR="000B622C" w:rsidRDefault="000B622C" w:rsidP="000B622C">
      <w:pPr>
        <w:pStyle w:val="TextoNormal"/>
      </w:pPr>
      <w:r w:rsidRPr="000B622C">
        <w:rPr>
          <w:rStyle w:val="NumeroAFNegritaCaracter"/>
        </w:rPr>
        <w:t>3</w:t>
      </w:r>
      <w:r>
        <w:t>. En su demanda de amparo considera el recurrente que el citado acto administrativo y las mencionadas Sentencias vulneran varios de sus derechos fundamentales. En concreto, se alegan el principio de igualdad (art. 14 CE), el derecho a la tutela judicial efectiva (art. 24.1 CE) y el principio de legalidad sancionadora (art. 25.1 CE). Este último se habría vulnerado porque la norma sancionadora aplicada carecería de cobertura legal. La deman</w:t>
      </w:r>
      <w:r>
        <w:lastRenderedPageBreak/>
        <w:t>da de amparo termina con la solicitud de que se declare la nulidad de las resoluciones citadas. Por otrosí, se pide la suspensión de su ejecución, pues la eficacia de aquéllas mientras se tramita el recurso de amparo causaría al recurrente perjuicios de muy difícil reparación, dado que se vería privado de la posibilidad de seguir trabajando y obtener los únicos ingresos que se aportan a la unidad familiar.</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11 de febrero de 2002 la Sección Primera de este Tribunal acordó la admisión a trámite de la demanda de amparo. Con la misma fecha se dictó providencia por la citada Sección por la que se acordó formar pieza separada de suspensión y, conforme a la regulación del art. 56 LOTC, conceder un plazo común de tres días al Ministerio Fiscal y al solicitante de amparo para que, dentro de dicho término, alegaran lo que tuvieran por conveniente con respecto a la solicitud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Las alegaciones del demandante de amparo tuvieron su entrada en este Tribunal el 15 de febrero de 2002. En ellas se alega que el Sr. Fernández se ha separado muy recientemente, por Sentencia del Juzgado de Primera Instancia núm. 23 de Madrid, de 12 de febrero de 2002, y que debe abonar una pensión en concepto de alimentos para su hijo menor de cuatro años de edad, lo que refuerza el carácter irreparable de los perjuicios que causaría la denegación de la solicitud de suspensión deducida.</w:t>
      </w:r>
    </w:p>
    <w:p w:rsidR="000B622C" w:rsidRDefault="000B622C" w:rsidP="000B622C">
      <w:pPr>
        <w:pStyle w:val="TextoNormal"/>
      </w:pPr>
    </w:p>
    <w:p w:rsidR="000B622C" w:rsidRDefault="000B622C" w:rsidP="000B622C">
      <w:pPr>
        <w:pStyle w:val="TextoNormal"/>
      </w:pPr>
      <w:r w:rsidRPr="000B622C">
        <w:rPr>
          <w:rStyle w:val="NumeroAFNegritaCaracter"/>
        </w:rPr>
        <w:t>6</w:t>
      </w:r>
      <w:r>
        <w:t>. El Ministerio Fiscal presentó su escrito de alegaciones en esta pieza separada el 22 de febrero de 2002. Tras exponer los criterios relativos a la suspensión de las resoluciones impugnadas en amparo de los que se vale este Tribunal, destaca el Fiscal que, aunque formalmente el recurrente haya solicitado la suspensión de la Sentencia del Tribunal Superior de Justicia de Madrid, la suspensión que en realidad debe enjuiciarse es la de la resolución administrativa que impuso la sanción y que el supuesto del que deriva esta pieza separada guarda gran semejanza con el de la que se resolvió por ATC 251/2000, de 30 de octubre, que tras realizar una ponderación entre los perjuicios que se causaban al recurrente por la falta de suspensión de la sanción de privación temporal de la licencia de autotaxi y los derivados para el interés general de la suspensión, acordó ésta. Por eso, el Fiscal no se opone a la suspensión solicitada.</w:t>
      </w:r>
    </w:p>
    <w:p w:rsidR="000B622C" w:rsidRDefault="000B622C" w:rsidP="000B622C">
      <w:pPr>
        <w:pStyle w:val="TextoNormal"/>
      </w:pPr>
    </w:p>
    <w:p w:rsidR="000B622C" w:rsidRDefault="000B622C" w:rsidP="000B622C">
      <w:pPr>
        <w:pStyle w:val="TextoNormal"/>
      </w:pPr>
      <w:r w:rsidRPr="000B622C">
        <w:rPr>
          <w:rStyle w:val="NumeroAFNegritaCaracter"/>
        </w:rPr>
        <w:t>7</w:t>
      </w:r>
      <w:r>
        <w:t>. Por providencia de 11 de marzo de 2002 la Sección Primera de este Tribunal acordó tener por personado y parte en este proceso constitucional al Procurador don Luis Fernando Granados Bravo, en nombre y representación del Ayuntamiento de Madrid. Por providencia de la misma fecha, la citada Sección acordó, asimismo, conforme a la regulación del art. 56 LOTC, conceder un plazo de tres días a dicho Procurador para que alegara lo que tuviera por procedente en esta pieza separada en relación con la solicitud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8</w:t>
      </w:r>
      <w:r>
        <w:t xml:space="preserve">. El 16 de marzo de 2002 presentó su escrito de alegaciones el Procurador de los Tribunales don Luis Fernando Granados Bravo, en representación del Ayuntamiento de Madrid. En él se hacía saber que la sanción impuesta al recurrente en amparo todavía no ha sido ejecutada, pues, aunque se le requirió para que acudiera a precintar el aparato taxímetro como forma de ejecutar materialmente la sanción impuesta, la Sección de Taxis no ha procedido a realizar dicho acto por ejecución subsidiaria, porque tuvo conocimiento, el 1 de marzo de 2002, de la tramitación del presente recurso de amparo y decidió no actuar </w:t>
      </w:r>
      <w:r>
        <w:lastRenderedPageBreak/>
        <w:t>ejecutivamente hasta que se dictara Sentencia en el mismo. El escrito concluye con la manifestación de que el Ayuntamiento no formula oposición a la suspensión solicitada.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Aunque el recurrente en amparo solicita expresamente que se acuerde la suspensión de la ejecución de la Sentencia de la Sala de lo Contencioso Administrativo del Tribunal Superior de Justicia de Madrid, de 23 de enero de 2001, realmente, como destaca el Ministerio Fiscal, la solicitud de suspensión se refiere a la ejecución de la sanción impuesta al recurrente en amparo por el Decreto del Primer Teniente de Alcalde responsable de la rama de Policía Municipal, Tráfico e Infraestructuras del Ayuntamiento de Madrid, de 24 de noviembre de 1999, que decidió suspender la licencia municipal de autotaxi núm.  11.455 por un período de seis meses.</w:t>
      </w:r>
    </w:p>
    <w:p w:rsidR="000B622C" w:rsidRDefault="000B622C" w:rsidP="000B622C">
      <w:pPr>
        <w:pStyle w:val="TextoNormal"/>
      </w:pPr>
    </w:p>
    <w:p w:rsidR="000B622C" w:rsidRDefault="000B622C" w:rsidP="000B622C">
      <w:pPr>
        <w:pStyle w:val="TextoNormal"/>
      </w:pPr>
      <w:r w:rsidRPr="000B622C">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0B622C" w:rsidRDefault="000B622C" w:rsidP="000B622C">
      <w:pPr>
        <w:pStyle w:val="TextoNormal"/>
      </w:pPr>
      <w:r>
        <w:t>No basta, sin embargo, con que se cumpla con esa regla de que la falta de la suspensión hiciera perder al recurso de amparo su finalidad para que aquélla deba adoptarse necesariamente. El mismo art. 56.1 LOTC, después de esta prescripción, remite a un juicio motivado de ponderación en el que hay que enfrentar, por una parte, el perjuicio que se produce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Conforme a esta doctrina general y de acuerdo con el mismo criterio seguido en el supuesto que se resolvió por ATC 251/2000, de 30 de octubre, dictado también en un incidente de suspensión de los regulados en el art. 56 LOTC con respecto a una sanción de privación temporal de una licencia de autotaxi, procedente será otorgar la suspensión solicitada. Aunque no ha llegado a aportarse una prueba plena del perjuicio alegado por el </w:t>
      </w:r>
      <w:r>
        <w:lastRenderedPageBreak/>
        <w:t>recurrente, es razonablemente presumible que la única actividad profesional del demandante de amparo sea la que realiza autorizado por la licencia de autotaxi y que de esos ingresos dependa para mantenerse y cumplir con sus obligaciones familiares. Es indudable que la suspensión de la licencia que le permite realizar su trabajo causaría al recurrente una lesión que haría perder su finalidad al recurso interpuesto. Se cumple, pues, la regla con la que comienza el art. 56.1 LOTC.  Y si se pasa al mandato de ponderación que se contiene a continuación en el mismo precepto, también debe concluirse que los perjuicios que se causarían a los intereses generales por la falta de ejecución de la sanción, cuyos motivos no tienen que ver con concretos intereses públicos de gran relevancia, como puede ser la seguridad vial, no justifican la grave lesión que supondría para el recurrente y la familia que de él depende económicamente, según se ha alegado en el trámite correspondiente, la privación durante el tiempo que dure la tramitación de este proceso constitucional de la actividad laboral que les sustenta.</w:t>
      </w:r>
    </w:p>
    <w:p w:rsidR="000B622C" w:rsidRDefault="000B622C" w:rsidP="000B622C">
      <w:pPr>
        <w:pStyle w:val="TextoNormal"/>
      </w:pPr>
    </w:p>
    <w:p w:rsidR="000B622C" w:rsidRDefault="000B622C" w:rsidP="000B622C">
      <w:pPr>
        <w:pStyle w:val="TextoNormal"/>
      </w:pPr>
      <w:r>
        <w:t>En virtud de todo lo expuesto,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Suspender la ejecución de la sanción de suspensión por seis meses de la licencia municipal de autotaxi núm. 11.455, impuesta a don José Arturo Fernández Rodríguez.</w:t>
      </w:r>
    </w:p>
    <w:p w:rsidR="000B622C" w:rsidRDefault="000B622C" w:rsidP="000B622C">
      <w:pPr>
        <w:pStyle w:val="TextoNormal"/>
      </w:pPr>
    </w:p>
    <w:p w:rsidR="000B622C" w:rsidRDefault="000B622C" w:rsidP="000B622C">
      <w:pPr>
        <w:pStyle w:val="TextoNormal"/>
      </w:pPr>
      <w:r>
        <w:t>Madrid, a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69" w:name="AUTO_2002_68"/>
      <w:r>
        <w:lastRenderedPageBreak/>
        <w:t>AUTO 68/2002, de 22 de abril de 2002</w:t>
      </w:r>
    </w:p>
    <w:bookmarkEnd w:id="169"/>
    <w:p w:rsidR="000B622C" w:rsidRDefault="000B622C" w:rsidP="000B622C">
      <w:pPr>
        <w:pStyle w:val="TtuloResolucin"/>
      </w:pPr>
      <w:r>
        <w:t>Sección Cuarta</w:t>
      </w:r>
    </w:p>
    <w:p w:rsidR="000B622C" w:rsidRDefault="000B622C" w:rsidP="000B622C">
      <w:pPr>
        <w:pStyle w:val="TtuloResolucin"/>
      </w:pPr>
    </w:p>
    <w:p w:rsidR="000B622C" w:rsidRDefault="000B622C" w:rsidP="000B622C">
      <w:pPr>
        <w:pStyle w:val="SntesisDescriptiva"/>
      </w:pPr>
      <w:r>
        <w:t>ECLI:ES:TC:2002:68A</w:t>
      </w:r>
    </w:p>
    <w:p w:rsidR="000B622C" w:rsidRDefault="000B622C" w:rsidP="000B622C">
      <w:pPr>
        <w:pStyle w:val="SntesisDescriptiva"/>
      </w:pPr>
    </w:p>
    <w:p w:rsidR="000B622C" w:rsidRDefault="000B622C" w:rsidP="000B622C">
      <w:pPr>
        <w:pStyle w:val="SntesisDescriptiva"/>
      </w:pPr>
      <w:r>
        <w:t>Excms. Srs. don Pablo Cachón Villar, don Guillermo Jiménez Sánchez y doña Elisa Pérez Vera.</w:t>
      </w:r>
    </w:p>
    <w:p w:rsidR="000B622C" w:rsidRDefault="000B622C" w:rsidP="000B622C">
      <w:pPr>
        <w:pStyle w:val="SntesisDescriptiva"/>
      </w:pPr>
    </w:p>
    <w:p w:rsidR="000B622C" w:rsidRDefault="000B622C" w:rsidP="000B622C">
      <w:pPr>
        <w:pStyle w:val="SntesisDescriptiva"/>
      </w:pPr>
      <w:r>
        <w:t>Inadmite a trámite el recurso de amparo 1634-2001, interpuesto por don Domingo Berruezo García</w:t>
      </w:r>
    </w:p>
    <w:p w:rsidR="000B622C" w:rsidRDefault="000B622C" w:rsidP="000B622C">
      <w:pPr>
        <w:pStyle w:val="SntesisDescriptiva"/>
      </w:pPr>
    </w:p>
    <w:p w:rsidR="000B622C" w:rsidRDefault="000B622C" w:rsidP="000B622C">
      <w:pPr>
        <w:pStyle w:val="SntesisAnaltica"/>
      </w:pPr>
      <w:r>
        <w:t>Sentencia penal. Derecho a un juez imparcial: prisión provisional confirmada en apelación; imparcialidad objetiva. Doctrina europea. Derecho a la presunción de inocencia: declaración incriminatoria de coimputado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el 22 de marzo de 2001, la Procuradora de los Tribunales doña María Jesús González Díaz, en nombre y representación de don Domingo Berruezo García, interpone recurso de amparo contra la Sentencia dictada por la Sección Sexta de la Audiencia Provincial de Cádiz el 16 de febrero de 2001, en el rollo de apelación núm. 9/01, en causa seguida por delito contra la salud pública.</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en los que se basa la presente demanda de amparo son, en síntesis, los siguientes: </w:t>
      </w:r>
    </w:p>
    <w:p w:rsidR="000B622C" w:rsidRDefault="000B622C" w:rsidP="000B622C">
      <w:pPr>
        <w:pStyle w:val="TextoNormal"/>
      </w:pPr>
      <w:r>
        <w:t xml:space="preserve">a) En el Juzgado de Instrucción núm. 3 de Ceuta se incoaron las diligencias previas núm. 483/00, posteriormente transformadas en el procedimiento abreviado núm. 312/00, para la averiguación de un delito contra la salud pública, contra el actor y otros dos coencausados. </w:t>
      </w:r>
    </w:p>
    <w:p w:rsidR="000B622C" w:rsidRDefault="000B622C" w:rsidP="000B622C">
      <w:pPr>
        <w:pStyle w:val="TextoNormal"/>
      </w:pPr>
      <w:r>
        <w:t xml:space="preserve">b) Tras su conclusión fueron remitidas al órgano de enjuiciamiento, siendo turnadas al Juzgado de lo Penal núm. 1 de Ceuta que dictó Sentencia el 10 de noviembre de 2000 por la que, condenó a uno de los imputados y se absolvió al hoy recurrente en amparo y al otro encausado del delito contra la salud pública del que eran acusados. </w:t>
      </w:r>
    </w:p>
    <w:p w:rsidR="000B622C" w:rsidRDefault="000B622C" w:rsidP="000B622C">
      <w:pPr>
        <w:pStyle w:val="TextoNormal"/>
      </w:pPr>
      <w:r>
        <w:t>c) Interpuestos recursos de apelación por el Ministerio Fiscal y por el condenado en la instancia, la Sección Sexta de la Audiencia Provincial de Cádiz estimó íntegramente el primero y parcialmente el del segundo. Así, dictó Sentencia el 16 de febrero de 2001 porrespecta al hoy recurrente, se le condenaba a las penas de tres años y un mes de prisión y multa de 8.448.000 pesetas, como autor responsable de un delito contra la salud pública de los arts. 368.2 y 369.3 del Código Penal.</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la demanda de amparo se denuncia la vulneración de los derechos al Juez imparcial y a la presunción de inocencia. Se alega al respecto, en síntesis, que la primera de dichas vulneraciones se habría producido por cuanto la Sala que resolvió en apelación, cuya </w:t>
      </w:r>
      <w:r>
        <w:lastRenderedPageBreak/>
        <w:t xml:space="preserve">composición no le fue notificada previamente al actor, habría tenido contacto con el thema decidendi con anterioridad al dictado de la Sentencia condenatoria, al resolver en queja sobre el mantenimiento de la medida cautelar de prisión provisional del actor. </w:t>
      </w:r>
    </w:p>
    <w:p w:rsidR="000B622C" w:rsidRDefault="000B622C" w:rsidP="000B622C">
      <w:pPr>
        <w:pStyle w:val="TextoNormal"/>
      </w:pPr>
      <w:r>
        <w:t xml:space="preserve">Y además, no existiría prueba de cargo en que fundamentar la condena y revocar la absolución dictada en la instancia ya que, a juicio del actor, las declaraciones del otro coimputado y condenado inicialmente no pueden ser consideradas como bastantes para destruir la presunción ex art. 24.2 CE. </w:t>
      </w:r>
    </w:p>
    <w:p w:rsidR="000B622C" w:rsidRDefault="000B622C" w:rsidP="000B622C">
      <w:pPr>
        <w:pStyle w:val="TextoNormal"/>
      </w:pPr>
      <w:r>
        <w:t>Por todo ello, se solicita de este Tribunal que otorgue el amparo y anule la resolución judicial impugnada. Por otrosí, solicita la suspensión de la ejecución de la misma.</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10 de diciembre de 2001, la Sección Cuarta (Sala Segunda) de este Tribunal acordó conceder al demandante de amparo y al Ministerio Fiscal el plazo común de diez días para que formularan las alegaciones que estimaran pertinentes en relación con la carencia manifiesta de contenido constitucional de la demanda [art. 50.1 c) LOTC]</w:t>
      </w:r>
    </w:p>
    <w:p w:rsidR="000B622C" w:rsidRDefault="000B622C" w:rsidP="000B622C">
      <w:pPr>
        <w:pStyle w:val="TextoNormal"/>
      </w:pPr>
    </w:p>
    <w:p w:rsidR="000B622C" w:rsidRDefault="000B622C" w:rsidP="000B622C">
      <w:pPr>
        <w:pStyle w:val="TextoNormal"/>
      </w:pPr>
      <w:r w:rsidRPr="000B622C">
        <w:rPr>
          <w:rStyle w:val="NumeroAFNegritaCaracter"/>
        </w:rPr>
        <w:t>5</w:t>
      </w:r>
      <w:r>
        <w:t xml:space="preserve">. Mediante escrito, registrado el 27 de diciembre de 2001, el Fiscal ante el Tribunal Constitucional evacúa el trámite conferido. En él aboga por la inadmisión del recurso. Comienza señalando al respecto, tras recordar la jurisprudencia de este Tribunal sobre la imparcialidad del Juez, que, en lo que respecta a la primera de las vulneraciones aducidas, el Auto que resolvió el recurso de queja se ciñó a constatar la existencia de indicios suficientes acerca de la comisión del delito perseguido y acerca de la presunta participación del ahora demandante, sin que pueda afirmarse que, al dictar posteriormente la Sentencia, se hubiera adoptado una predisposición en contra del reo. </w:t>
      </w:r>
    </w:p>
    <w:p w:rsidR="000B622C" w:rsidRDefault="000B622C" w:rsidP="000B622C">
      <w:pPr>
        <w:pStyle w:val="TextoNormal"/>
      </w:pPr>
      <w:r>
        <w:t xml:space="preserve">En este sentido, el Auto comienza por señalar cuáles son los tres requisitos que exige el art. 503 LECrim. para posibilitar la adopción de la medida privativa de la libertad, limitándose a comprobar su presencia, que deduce del concurso de los indicios a los que se acaba de hacer mención, y sobre los cuales no se hace en modo alguno una valoración en profundidad de la que derivar de forma incuestionable la autoría del imputado, pues únicamente se recogen con generalidad determinados datos indiciarios que apoyan la presunta participación del actor y permiten el mantenimiento de tan grave medida de carácter personal. Tal referencia es absolutamente necesaria, pues en caso de no hacerse no existiría el presupuesto habilitante de la propia privación de libertad; de modo que la cita de los indicios se convierte en una exigencia que sustenta la medida cautelar, pero que no supone una prueba en extenso sobre los elementos reunidos en la causa, que sólo en el momento del juicio oral han de valorarse. </w:t>
      </w:r>
    </w:p>
    <w:p w:rsidR="000B622C" w:rsidRDefault="000B622C" w:rsidP="000B622C">
      <w:pPr>
        <w:pStyle w:val="TextoNormal"/>
      </w:pPr>
      <w:r>
        <w:t xml:space="preserve">Así en el Auto, como no podía ser de otro modo, se citan sin mayores consideraciones: la coincidencia de la fecha del viaje de los tres imputados; el lugar en el que establecieron contactos y la aparente inexistencia de rencillas personales entre todos ellos. Sin embargo, en la Sentencia se hace un análisis en profundidad sobre la prueba practicada en el juicio oral, estudiando detenidamente el contenido de las distintas manifestaciones vertidas en ese acto por los tres; sus particulares contradicciones; las explicaciones que se ofrecen a preguntas concretas que tratan de averiguar el trato de credibilidad de los testimonios respectivos; se comparan las razones aducidas con el concreto desarrollo de la conducta seguida por cada uno de ellos ... etc. En definitiva, a juicio del Fiscal, no puede decirse que los Magistrados tuvieran contacto con el material instructorio, ni tampoco que la resolución por la que mantuvieron la situación de prisión preventiva condicionara la final resolución del proceso. De esta manera puede concluirse que, al no existir "contaminación" en </w:t>
      </w:r>
      <w:r>
        <w:lastRenderedPageBreak/>
        <w:t xml:space="preserve">el ánimo de los dos Magistrados en cuestión, carecería de viabilidad la causa de recusación que ante la Audiencia Provincial pudiera invocarse, por lo que, consecuentemente, la falta de notificación de la composición de la Sala no habría supuesto en el caso presente la vulneración del derecho del actor a un proceso con todas las garantías. </w:t>
      </w:r>
    </w:p>
    <w:p w:rsidR="000B622C" w:rsidRDefault="000B622C" w:rsidP="000B622C">
      <w:pPr>
        <w:pStyle w:val="TextoNormal"/>
      </w:pPr>
      <w:r>
        <w:t xml:space="preserve">Por lo que se refiere al otro de los motivos planteados en la demanda, cual es la vulneración del derecho a la presunción de inocencia, derivada de la declaración incriminatoria de un coencausado, señala, con cita de las SSTC 153/1997, 49/1998 y 115/1998, que la declaración incriminatoria del coimputado carece de consistencia plena como prueba de cargo cuando es única y no resulta mínimamente corroborada por otras pruebas en contra del recurrente. </w:t>
      </w:r>
    </w:p>
    <w:p w:rsidR="000B622C" w:rsidRDefault="000B622C" w:rsidP="000B622C">
      <w:pPr>
        <w:pStyle w:val="TextoNormal"/>
      </w:pPr>
      <w:r>
        <w:t xml:space="preserve">En el caso presente, dice, la Sentencia ahora impugnada se adecua estrictamente al mentado requerimiento constitucional, en cuanto la declaración del acusado Juan Antonio Jiménez Iborra no es única, puesto que se halla corroborada suficientemente por otras pruebas. Baste, a tal efecto, hacer una remisión a los fundamentos de Derecho Segundo y Tercero de la Sentencia dictada por la Audiencia Provincial, cuyo extenso contenido dispensa de mayores consideraciones, y a través del cual se analizan no sólo las declaraciones del coimputado al incriminar a los otros dos, sino que examina en profundidad las declaraciones de éstos, para situarles frente a sus propias contradicciones, tomando asimismo en consideración y relacionando entre sí las circunstancias en las que se produjo su detención. Además de ello, la propia Sala se encarga de anticipar el origen del proceso deductivo que conduce finalmente a la condena del actor, señalando expresamente que la declaración incriminatoria no ha sido la única prueba que el Tribunal ha valorado, exponiendo a continuación la plena conformidad entre el contenido de dicha declaración, impregnada de coherencia y exactitud en los detalles, con la conducta desarrollada por los otros dos partícipes en el delito y revelada a través de las demás pruebas reunidas en la causa, y en particular las relativas al tiempo y lugar de su detención. </w:t>
      </w:r>
    </w:p>
    <w:p w:rsidR="000B622C" w:rsidRDefault="000B622C" w:rsidP="000B622C">
      <w:pPr>
        <w:pStyle w:val="TextoNormal"/>
      </w:pPr>
      <w:r>
        <w:t>Por todo ello, considera el Ministerio Fiscal que la demanda de amparo carece manifiestamente de contenido constitucional, por lo que interesa que, de conformidad con lo dispuesto en el art. 50.3 LOTC, se dicte Auto por virtud del cual se resuelva la inadmisión del recurso planteado.</w:t>
      </w:r>
    </w:p>
    <w:p w:rsidR="000B622C" w:rsidRDefault="000B622C" w:rsidP="000B622C">
      <w:pPr>
        <w:pStyle w:val="TextoNormal"/>
      </w:pPr>
    </w:p>
    <w:p w:rsidR="000B622C" w:rsidRDefault="000B622C" w:rsidP="000B622C">
      <w:pPr>
        <w:pStyle w:val="TextoNormal"/>
      </w:pPr>
      <w:r w:rsidRPr="000B622C">
        <w:rPr>
          <w:rStyle w:val="NumeroAFNegritaCaracter"/>
        </w:rPr>
        <w:t>6</w:t>
      </w:r>
      <w:r>
        <w:t>. La Procuradora Sra. González Díaz, en representación del actor, en escrito registrado el 28 de diciembre de 2001, se remite a las alegaciones ya vertidas en la demanda de amparo, insistiendo en la concesión del amparo pedido.</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Una vez examinadas las alegaciones expuestas tanto por el Ministerio Fiscal como por la parte, la Sección se ratifica en su inicial juicio formulado en su providencia de 10 de diciembre de 2001, en el sentido de que la demanda de amparo carece manifiestamente de contenido constitucional que justifique una decisión sobre su fondo en forma de Sentencia por parte de este Tribunal, causa de inadmisión prevista en el art. 50.1 c) LOTC.</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Las quejas, en efecto, carecen de contenido constitucional. Así, en cuanto a la primera, la demanda cuestiona la imparcialidad de la Sección correspondiente de la Audiencia Provincial que enjuició al actor y más tarde le condenó, por haber dictado resoluciones previas a la Sentencia que hicieron que aquella adquiriese un prejuicio sobre los hechos y </w:t>
      </w:r>
      <w:r>
        <w:lastRenderedPageBreak/>
        <w:t>que los Magistrados integrantes de la misma actuasen prevenidos. Esta pérdida de imparcialidad resultaría de los pronunciamientos contenidos en los Autos de 10 de julio y de 9 de agosto de 2000 que resolvieron, respectivamente, sendos recursos de queja contra resolución sobre prisión provisional y de nulidad contra el anterior, de lo que deduce el demandante que los Magistrados adquirieron prejuicios invalidantes para conocer del juicio y fallar el asunto.</w:t>
      </w:r>
    </w:p>
    <w:p w:rsidR="000B622C" w:rsidRDefault="000B622C" w:rsidP="000B622C">
      <w:pPr>
        <w:pStyle w:val="TextoNormal"/>
      </w:pPr>
      <w:r>
        <w:t>La tradicional doctrina de este Tribunal sobre la imparcialidad viene a señalar que no cabe apreciar pérdida de imparcialidad objetiva en los Magistrados de una Audiencia Provincial por haber resuelto en apelación incidentes surgidos durante la instrucción de la causa, pues es el ejercicio de actividades instructoras propiamente dichas y el contacto directo con las fuentes de prueba (interrogatorio de los inculpados o testigos, por ejemplo) lo que incapacita a un Juez para formar parte de la Sala que ha de dictar Sentencia sobre los mismos hechos (SSTC 145/1988, 151/1991, 113/1992 y 136/1992, entre otras). En particular, y respecto de la participación en la Sala enjuiciadora de Magistrados que habían resuelto un recurso de apelación contra el Auto de procesamiento, los AATC 70/1995 y 335/1997 declararon expresamente que no cabía apreciar pérdida de imparcialidad alguna en aquellos magistrados por cuanto no habían intervenido propiamente en la instrucción de la causa. También el ATC 100/1998 mantuvo el mismo criterio en un supuesto en que los Magistrados habían confirmado previamente, en vía de recurso de apelación, el mantenimiento de la situación de prisión provisional del recurrente. Incluso el ATC 220/1989 rechazó la pérdida de imparcialidad en aquellos Magistrados que procesaron directamente al recurrente después de haber ordenado una información suplementaria al instructor, y ello porque la Sala no había realizado una instrucción directa sobre los hechos objeto de aquella investigación. A ello hay que agregar la doctrina derivada de la STEDH, de 28 de febrero de 1998, recaída en el caso Castillo Algar contra España, por lo que se hace preciso examinar si, a la luz de la misma, los Magistrados que resolvieron los recursos de queja comprometieron su necesaria imparcialidad objetiva para sentenciar.</w:t>
      </w:r>
    </w:p>
    <w:p w:rsidR="000B622C" w:rsidRDefault="000B622C" w:rsidP="000B622C">
      <w:pPr>
        <w:pStyle w:val="TextoNormal"/>
      </w:pPr>
    </w:p>
    <w:p w:rsidR="000B622C" w:rsidRDefault="000B622C" w:rsidP="000B622C">
      <w:pPr>
        <w:pStyle w:val="TextoNormal"/>
      </w:pPr>
      <w:r w:rsidRPr="000B622C">
        <w:rPr>
          <w:rStyle w:val="NumeroAFNegritaCaracter"/>
        </w:rPr>
        <w:t>3</w:t>
      </w:r>
      <w:r>
        <w:t>. La STEDH citada parte del presupuesto de que el simple hecho de que un Juez haya tomado decisiones antes del proceso no puede, en sí mismo, justificar las aprensiones en cuanto a su imparcialidad. No obstante ello, el Tribunal Europeo de Derechos Humanos declaró en aquel caso que dos de los Magistrados del Tribunal Militar Central habían incurrido en falta de imparcialidad objetiva por el razonamiento seguido al resolver el recurso contra el Auto de procesamiento: "los términos empleados por el Tribunal Militar Central que resolvió sobre la apelación contra el Auto de procesamiento ...  podían fácilmente llevar a pensar que harían finalmente suyo el punto de vista adoptado por el Tribunal Supremo en su resolución de 20 de enero de 1992, según la cual existían «indicios suficientes que permitan concluir la comisión de un delito militar»".  Como este Tribunal dijo en la STC 14/1999 (FJ 4), al examinar también la incidencia sobre el recurso allí interpuesto de la STEDH recaída en el caso Castillo Algar, si bien es cierto que en el ámbito de los procesos judiciales la realización previa de funciones de supervisión o fiscalización de la investigación puede ser causa que justifique un temor fundado acerca de la imparcialidad de quien está llamado a resolver sobre el asunto investigado, dicha parcialidad sólo se origina cuando el contenido del veredicto que se dicta al resolver una cuestión incidental de la investigación es sustancialmente idéntico al que integra el juicio de culpabilidad. Es, por tanto, la emisión anticipada de un veredicto de culpabilidad, o de un juicio de imputación (STC 320/1993), lo que convierte en fundada la duda acerca de la imparcialidad del Juzgador.</w:t>
      </w:r>
    </w:p>
    <w:p w:rsidR="000B622C" w:rsidRDefault="000B622C" w:rsidP="000B622C">
      <w:pPr>
        <w:pStyle w:val="TextoNormal"/>
      </w:pPr>
      <w:r>
        <w:lastRenderedPageBreak/>
        <w:t>La justeza de este razonamiento se ha visto confirmada en la STEDH de 2 de marzo de 2000 (caso Garrido Guerrero contra España), en la cual el Tribunal de Estrasburgo ha precisado y completado la Sentencia dictada en el caso Castillo Algar en el sentido de que la Sala, en el caso que fue objeto de aquella Sentencia, había precisado los límites del procesamiento (su carácter formal y provisional) de manera tal que no prejuzgaba el resultado del litigio, la calificación de los hechos ni la culpabilidad del imputado, por lo que - concluía- no había tenido lugar allí la vulneración del Convenio denunciada.  Es decir, será el razonamiento contenido en los Autos resolutorios de las quejas contra las resoluciones del Juez instructor el que nos permita averiguar si el mismo anticipa algún juicio sobre la culpabilidad del recurrente que inhabilite a los Magistrados que lo dictaron para el enjuiciamiento, pues si bien es cierto que, como hemos declarado reiteradamente, en el ámbito del proceso penal la previa realización de funciones de investigación o de supervisión o fiscalización de la investigación puede ser causa que justifique un temor fundado acerca de la imparcialidad de quien está llamado a resolver sobre el asunto investigado, dicha parcialidad sólo podría ser apreciada, conforme a la doctrina antes expuesta, cuando la actividad cuestionada supusiera asumir posiciones de parte o auxiliar a las partes en el ejercicio de sus funciones (STC 162/1999, de 27 de septiembre, FJ 6; 52/2001, de 26 de febrero, FJ 3 y 154/2001, de 2 de julio, FJ 3).</w:t>
      </w:r>
    </w:p>
    <w:p w:rsidR="000B622C" w:rsidRDefault="000B622C" w:rsidP="000B622C">
      <w:pPr>
        <w:pStyle w:val="TextoNormal"/>
      </w:pPr>
    </w:p>
    <w:p w:rsidR="000B622C" w:rsidRDefault="000B622C" w:rsidP="000B622C">
      <w:pPr>
        <w:pStyle w:val="TextoNormal"/>
      </w:pPr>
      <w:r w:rsidRPr="000B622C">
        <w:rPr>
          <w:rStyle w:val="NumeroAFNegritaCaracter"/>
        </w:rPr>
        <w:t>4</w:t>
      </w:r>
      <w:r>
        <w:t>. Pues bien, tanto el Auto de 10 de julio como el de 9 de agosto de 2000, se limitan a decidir sobre la pertinencia o no del mantenimiento de la medida cautelar de prisión provisional del actor. No puede decirse, en puridad, que se haya prejuzgado la causa o que, al tener los Magistrados contacto con parte del material de la instrucción, ya se hubieran formado un juicio sobre la responsabilidad del recurrente.</w:t>
      </w:r>
    </w:p>
    <w:p w:rsidR="000B622C" w:rsidRDefault="000B622C" w:rsidP="000B622C">
      <w:pPr>
        <w:pStyle w:val="TextoNormal"/>
      </w:pPr>
      <w:r>
        <w:t>En definitiva, como se señala en el citado ATC 100/1998 al resolver un supuesto similar, de acuerdo con la doctrina de este Tribunal y la propia jurisprudencia del Tribunal Europeo de Derechos Humanos, más concretamente las Sentencias de 24 de mayo de 1989 (caso Hauschildt), 16 de diciembre de 1992 (caso Sainte-Marie), y 24 de agosto de 1993 (caso Nortier), y teniendo en cuenta las circunstancias del caso, no cabe entender que por el mero hecho de haber confirmado previamente, en vía de recurso de apelación, el mantenimiento de la situación de prisión provisional del hoy recurrente, la Sección Sexta de la Audiencia Provincial de Cádiz, en Ceuta, viese comprometida su imparcialidad objetiva en el enjuiciamiento y fallo de la causa.</w:t>
      </w:r>
    </w:p>
    <w:p w:rsidR="000B622C" w:rsidRDefault="000B622C" w:rsidP="000B622C">
      <w:pPr>
        <w:pStyle w:val="TextoNormal"/>
      </w:pPr>
    </w:p>
    <w:p w:rsidR="000B622C" w:rsidRDefault="000B622C" w:rsidP="000B622C">
      <w:pPr>
        <w:pStyle w:val="TextoNormal"/>
      </w:pPr>
      <w:r w:rsidRPr="000B622C">
        <w:rPr>
          <w:rStyle w:val="NumeroAFNegritaCaracter"/>
        </w:rPr>
        <w:t>5</w:t>
      </w:r>
      <w:r>
        <w:t>. En cuanto a la queja sobre la pretendida vulneración del derecho a la presunción de inocencia, por haberse tomado en consideración las manifestaciones incriminatorias de otro coimputado, tampoco debe ser acogida, si bien al mezclarse cuestiones referidas a la relación de la valoración del testimonio de un coimputado con el derecho a la presunción de inocencia, y la de una nueva y distinta valoración del Tribunal ad quem, han de extremarse las cautelas sobre las quejas del actor. De todas formas, teniendo en cuenta la doctrina de este Tribunal al respecto, constatándose un enlace lógico y suficientemente consistente entre la actividad probatoria practicada y el relato de hechos probados, no puede esta jurisdicción de amparo, en principio, determinar si un desenlace fáctico alternativo era más razonable; y menos cuando, existiendo una motivación suficiente, nada debe añadirse, pues ni el amparo es un recurso de apelación ni la Constitución autoriza a este Tribunal a entrar a conocer de la valoración de los hechos (SSTC 55/1982, 124/1983, 140/1985, 191/1987, 254/1988 y 200/1996, entre otras).</w:t>
      </w:r>
    </w:p>
    <w:p w:rsidR="000B622C" w:rsidRDefault="000B622C" w:rsidP="000B622C">
      <w:pPr>
        <w:pStyle w:val="TextoNormal"/>
      </w:pPr>
      <w:r>
        <w:lastRenderedPageBreak/>
        <w:t>Finalmente conviene señalar que, aun cuando la declaración incriminatoria de un coimputado carezca de consistencia plena como prueba de cargo cuando es única, en el presente caso la Sentencia recurrida en los Fundamentos de Derecho Segundo y Tercero señala que dicha declaración no era la única prueba de cargo valorada, desmenuzando una serie de datos y detalles que, razonadamente, le llevan al fallo condenatorio.</w:t>
      </w:r>
    </w:p>
    <w:p w:rsidR="000B622C" w:rsidRDefault="000B622C" w:rsidP="000B622C">
      <w:pPr>
        <w:pStyle w:val="TextoNormal"/>
      </w:pPr>
    </w:p>
    <w:p w:rsidR="000B622C" w:rsidRDefault="000B622C" w:rsidP="000B622C">
      <w:pPr>
        <w:pStyle w:val="TextoNormal"/>
      </w:pPr>
      <w:r>
        <w:t>En virtud de lo expuesto, la Sección</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La inadmisión del presente recurso de amparo y el archivo de las actuaciones.</w:t>
      </w:r>
    </w:p>
    <w:p w:rsidR="000B622C" w:rsidRDefault="000B622C" w:rsidP="000B622C">
      <w:pPr>
        <w:pStyle w:val="TextoNormal"/>
      </w:pPr>
    </w:p>
    <w:p w:rsidR="000B622C" w:rsidRDefault="000B622C" w:rsidP="000B622C">
      <w:pPr>
        <w:pStyle w:val="TextoNormal"/>
      </w:pPr>
      <w:r>
        <w:t>Madrid, veintidós de abril del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70" w:name="AUTO_2002_69"/>
      <w:r>
        <w:lastRenderedPageBreak/>
        <w:t>AUTO 69/2002, de 22 de abril de 2002</w:t>
      </w:r>
    </w:p>
    <w:bookmarkEnd w:id="170"/>
    <w:p w:rsidR="000B622C" w:rsidRDefault="000B622C" w:rsidP="000B622C">
      <w:pPr>
        <w:pStyle w:val="TtuloResolucin"/>
      </w:pPr>
      <w:r>
        <w:t>Sala Segunda</w:t>
      </w:r>
    </w:p>
    <w:p w:rsidR="000B622C" w:rsidRDefault="000B622C" w:rsidP="000B622C">
      <w:pPr>
        <w:pStyle w:val="TtuloResolucin"/>
      </w:pPr>
    </w:p>
    <w:p w:rsidR="000B622C" w:rsidRDefault="000B622C" w:rsidP="000B622C">
      <w:pPr>
        <w:pStyle w:val="SntesisDescriptiva"/>
      </w:pPr>
      <w:r>
        <w:t>ECLI:ES:TC:2002:69A</w:t>
      </w:r>
    </w:p>
    <w:p w:rsidR="000B622C" w:rsidRDefault="000B622C" w:rsidP="000B622C">
      <w:pPr>
        <w:pStyle w:val="SntesisDescriptiva"/>
      </w:pPr>
    </w:p>
    <w:p w:rsidR="000B622C" w:rsidRDefault="000B622C" w:rsidP="000B622C">
      <w:pPr>
        <w:pStyle w:val="SntesisDescriptiva"/>
      </w:pPr>
      <w:r>
        <w:t>Excms. Srs. don Tomás Salvador Vives Antón, don Pablo Cachón Villar, don Vicente Conde Martín de Hijas, don Guillermo Jiménez Sánchez, doña Elisa Pérez Vera y don Eugeni Gay Montalvo.</w:t>
      </w:r>
    </w:p>
    <w:p w:rsidR="000B622C" w:rsidRDefault="000B622C" w:rsidP="000B622C">
      <w:pPr>
        <w:pStyle w:val="SntesisDescriptiva"/>
      </w:pPr>
    </w:p>
    <w:p w:rsidR="000B622C" w:rsidRDefault="000B622C" w:rsidP="000B622C">
      <w:pPr>
        <w:pStyle w:val="SntesisDescriptiva"/>
      </w:pPr>
      <w:r>
        <w:t>Deniega la suspensión en el recurso de amparo 2581-2001, interpuesto por don Manuel Alejandro Leal Fernández</w:t>
      </w:r>
    </w:p>
    <w:p w:rsidR="000B622C" w:rsidRDefault="000B622C" w:rsidP="000B622C">
      <w:pPr>
        <w:pStyle w:val="SntesisDescriptiva"/>
      </w:pPr>
    </w:p>
    <w:p w:rsidR="000B622C" w:rsidRDefault="000B622C" w:rsidP="000B622C">
      <w:pPr>
        <w:pStyle w:val="SntesisAnaltica"/>
      </w:pPr>
      <w:r>
        <w:t>Suspensión cautelar de sentencias penales: prisión de más de siete años, indemnización, costas procesales, no suspende. Gravedad de la pena. Procesos constitucionales: señalamiento preferente de recurso de amparo</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el 5 de marzo de 2001, la Procuradora de los Tribunales doña María Luz Simarro Valverde, en nombre y representación de don Manuel Alejandro Leal, interpone recurso de amparo contra la Sentencia dictada por la Sección Segunda de la Audiencia Provincial de Málaga el 11 de octubre de 2000, que desestimó el recurso de apelación contra la Sentencia de 28 de junio de 2000, dictada por el Juzgado de lo Penal núm. en procedimiento abreviado núm. 337/99, por la que se condena al ahora recurrente en amparo, como autor responsable de un delito de robo con violencia y de un delito de lesiones, a las penas de cuatro años y seis meses de prisión y de tres años de prisión, respectivamente, más accesorias legales y responsabilidad civil.</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en que se fundamenta la demanda de amparo son, sucintamente expuestos, los siguientes: </w:t>
      </w:r>
    </w:p>
    <w:p w:rsidR="000B622C" w:rsidRDefault="000B622C" w:rsidP="000B622C">
      <w:pPr>
        <w:pStyle w:val="TextoNormal"/>
      </w:pPr>
      <w:r>
        <w:t>a) El recurrente fue condenado (junto a otros coencausados) por Sentencia de 28 de junio de 2000 del Juzgado de lo Penal núm. 8 de Málaga (procedimiento abreviado núm. 337/99), como coautor o cooperador necesario de un delito de robo con violencia del art. 237 del Código Penal, en concurso con un delito de lesiones del art. 147.1 del mismo Código, ambos con la agravante de disfraz, a las penas de cuatro años y seis meses de prisión por el primero y tres años de prisión por el segundo, más accesorias legales y responsabilidad civil. b) Contra la citada Sentencia interpuso el demandante de amparo recurso de apelación, siendo desestimado por Sentencia de 11 de octubre de 2000 de la Audiencia Provincial de Málaga, que confirmó íntegramente la apelada, tal y como se señala en el Auto de aclaración dictado el 7 de abril de 2001.</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En la demanda de amparo se denuncia la vulneración de los derechos a la presunción de inocencia y a obtener tutela judicial efectiva, contemplados en el art. 24 CE. Se alega al </w:t>
      </w:r>
      <w:r>
        <w:lastRenderedPageBreak/>
        <w:t xml:space="preserve">respecto, en síntesis, que la primera de dichas vulneraciones se habría producido por cuanto no existe prueba de cargo en que fundamentar la condena, puesto que en ningún momento se ha podido demostrar que haya participado en los hechos enjuiciados; únicamente se le condena por haber frecuentado diversos establecimientos públicos también frecuentados por los otros acusados, o por haber sido visto en algunas ocasiones saliendo del edificio en el que vivía otro acusado. </w:t>
      </w:r>
    </w:p>
    <w:p w:rsidR="000B622C" w:rsidRDefault="000B622C" w:rsidP="000B622C">
      <w:pPr>
        <w:pStyle w:val="TextoNormal"/>
      </w:pPr>
      <w:r>
        <w:t xml:space="preserve">En cuanto a la denunciada vulneración del derecho a la tutela judicial efectiva, señala el actor, en síntesis, que la Sentencia dictada por la Audiencia Provincial carece de toda fundamentación jurídica, sin que entre a valorar las alegaciones y motivos expresados en el recurso de apelación. Se trata, dice, de una Sentencia usada como modelo en todos los recursos de apelación, sin pronunciarse sobre los motivos esgrimidos por la defensa, lo que llevó a que se presentase escrito solicitando aclaración. </w:t>
      </w:r>
    </w:p>
    <w:p w:rsidR="000B622C" w:rsidRDefault="000B622C" w:rsidP="000B622C">
      <w:pPr>
        <w:pStyle w:val="TextoNormal"/>
      </w:pPr>
      <w:r>
        <w:t>Mediante otrosí, y de conformidad con el art. 56 LOTC, se solicitó la suspensión de las Sentencias recurridas entre tanto es sustanciado el proceso de amparo, toda vez que la ejecución de dichas Sentencias está produciendo al recurrente un perjuicio irreparable, que hará perder al amparo su propia finalidad.</w:t>
      </w:r>
    </w:p>
    <w:p w:rsidR="000B622C" w:rsidRDefault="000B622C" w:rsidP="000B622C">
      <w:pPr>
        <w:pStyle w:val="TextoNormal"/>
      </w:pPr>
    </w:p>
    <w:p w:rsidR="000B622C" w:rsidRDefault="000B622C" w:rsidP="000B622C">
      <w:pPr>
        <w:pStyle w:val="TextoNormal"/>
      </w:pPr>
      <w:r w:rsidRPr="000B622C">
        <w:rPr>
          <w:rStyle w:val="NumeroAFNegritaCaracter"/>
        </w:rPr>
        <w:t>4</w:t>
      </w:r>
      <w:r>
        <w:t>. Por providencia de 7 de febrero de 2002, la Sala Segunda de este Tribunal acordó la admisión a trámite del recurso de amparo, requiriendo a los órganos judiciales concernidos la remisión de las actuaciones respectivas y el emplazamiento de quienes hubieran sido parte en el proceso de que trae causa el presente recurso de amparo. Mediante otro proveído de la misma fecha, la Sala acordó formar la presente pieza separada de suspensión y, de conformidad con lo dispuesto en el art. 56 LOTC, conceder un plazo común de tres días al Ministerio Fiscal y al recurrente en amparo para que, dentro de dicho término, alegaran lo que estimasen pertinente en relación con la petición de suspensión interesada.</w:t>
      </w:r>
    </w:p>
    <w:p w:rsidR="000B622C" w:rsidRDefault="000B622C" w:rsidP="000B622C">
      <w:pPr>
        <w:pStyle w:val="TextoNormal"/>
      </w:pPr>
    </w:p>
    <w:p w:rsidR="000B622C" w:rsidRDefault="000B622C" w:rsidP="000B622C">
      <w:pPr>
        <w:pStyle w:val="TextoNormal"/>
      </w:pPr>
      <w:r w:rsidRPr="000B622C">
        <w:rPr>
          <w:rStyle w:val="NumeroAFNegritaCaracter"/>
        </w:rPr>
        <w:t>5</w:t>
      </w:r>
      <w:r>
        <w:t>. El 14 de febrero de 2002 se registró en este Tribunal el escrito de alegaciones del solicitante de amparo. En dicho escrito se reitera que la ejecución de la decisión judicial recurrida en amparo está reportando al recurrente un perjuicio de difícil reparación, haciendo perder al amparo su propia finalidad.</w:t>
      </w:r>
    </w:p>
    <w:p w:rsidR="000B622C" w:rsidRDefault="000B622C" w:rsidP="000B622C">
      <w:pPr>
        <w:pStyle w:val="TextoNormal"/>
      </w:pPr>
    </w:p>
    <w:p w:rsidR="000B622C" w:rsidRDefault="000B622C" w:rsidP="000B622C">
      <w:pPr>
        <w:pStyle w:val="TextoNormal"/>
      </w:pPr>
      <w:r w:rsidRPr="000B622C">
        <w:rPr>
          <w:rStyle w:val="NumeroAFNegritaCaracter"/>
        </w:rPr>
        <w:t>6</w:t>
      </w:r>
      <w:r>
        <w:t>. El Ministerio Fiscal evacuó el trámite conferido mediante escrito registrado el 15 de febrero de 2002, donde, tras hacer un breve relato de los antecedentes procesales y recordar la doctrina de este Tribunal acerca de los criterios a tener en cuenta para otorgar la suspensión de la ejecución de Sentencias de condena privativa de libertad, se indica la conveniencia de denegar la suspensión interesada. Estima el Ministerio Fiscal que, dada la duración total de la condena impuesta, esto es, siete años y seis meses de prisión, de accederse a la suspensión se ocasionaría una lesión o menoscabo del interés general presente en la ejecución de una Sentencia firme, implicando desprotección de la víctima.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w:t>
      </w:r>
      <w:r>
        <w:lastRenderedPageBreak/>
        <w:t>poner que, no obstante, la suspensión podrá denegarse cuando de ella pueda seguirse "perturbación grave de los intereses generales, o de los derechos fundamentales o libertades públicas de un tercero".</w:t>
      </w:r>
    </w:p>
    <w:p w:rsidR="000B622C" w:rsidRDefault="000B622C" w:rsidP="000B622C">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De tal manera que, en atención al interés general que toda ejecución comporta,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tardío e impida definitivamente que tal restauración sea efectiva (AATC 257/1986, 51/1989, 294/1989, 141/1990, 20/1992, 143/1992, 35/1996, 287/1997, 185/1998, 86/199, 136/1999, 146/2001 y 25/2002, por todos).</w:t>
      </w:r>
    </w:p>
    <w:p w:rsidR="000B622C" w:rsidRDefault="000B622C" w:rsidP="000B622C">
      <w:pPr>
        <w:pStyle w:val="TextoNormal"/>
      </w:pPr>
    </w:p>
    <w:p w:rsidR="000B622C" w:rsidRDefault="000B622C" w:rsidP="000B622C">
      <w:pPr>
        <w:pStyle w:val="TextoNormal"/>
      </w:pPr>
      <w:r w:rsidRPr="000B622C">
        <w:rPr>
          <w:rStyle w:val="NumeroAFNegritaCaracter"/>
        </w:rPr>
        <w:t>2</w:t>
      </w:r>
      <w:r>
        <w:t>. Más concretamente debe recordarse que en numerosas resoluciones este Tribunal ha establecido como criterio general la improcedencia de la suspensión de la ejecución de aquellos fallos judiciales que admiten la restitución íntegra de lo ejecutado, tal como ocurre, con carácter general, y sin perjuicio de las excepciones que puedan existir, en las condenas de contenido patrimonial. No sucede lo mismo, por el contrario, en aquellos casos en los que la condena afecta a bienes o derechos del recurrente en amparo de muy difícil o imposible reparación, como sucede con las penas privativas de libertad. Por esta razón este Tribunal viene declarando de forma reiterada que, puesto que la ejecución de Sentencias que condenan al cumplimiento de penas privativas de libertad puede ocasionar al recurrente en amparo perjuicios irreparables que hagan perder al amparo su finalidad, en estos casos el criterio debe ser, en principio, el de la suspensión de la Sentencia impugnada.</w:t>
      </w:r>
    </w:p>
    <w:p w:rsidR="000B622C" w:rsidRDefault="000B622C" w:rsidP="000B622C">
      <w:pPr>
        <w:pStyle w:val="TextoNormal"/>
      </w:pPr>
      <w:r>
        <w:t>Ahora bien, este criterio general no es absoluto, pues también es jurisprudencia consolidada de este Tribunal que en tales supuestos ha de atenderse además a otras circunstancias relevantes, como son las relativas a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170/1996, 226/1996, 228/1996, 310/1996, 348/1996, 349/1996, 124/1997, 419/1997, 47/1998, 48/1998, 265/1998, 136/1999 y 28/2000, entre otros muchos). De entre todos estos factores cobra especial relevancia el referido a la gravedad de la pena impuesta, ya que este criterio expresa de forma sintética la reprobación que el Ordenamiento jurídico asigna al hecho delictivo (la importancia del bien jurídico tutelado, la gravedad y trascendencia social del delito) y, en consecuencia, la dimensión del interés general en su ejecución (AATC 237/1998, 136/1999 y 114/2000, entre otros muchos).</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Aplicando la doctrina expuesta al presente caso y atendidas las circunstancias concurrentes en el mismo, ha de denegarse la suspensión solicitada. Dada la gravedad de los hechos enjuiciados y la larga duración de la condena de privación de libertad impuesta, siete años y seis meses de prisión en total -de conformidad con la regla de cumplimiento sucesivo de las penas del art. 75 del Código Penal-, no procede suspender su ejecución. Como se ha afirmado anteriormente, aunque el criterio general de este Tribunal en el caso </w:t>
      </w:r>
      <w:r>
        <w:lastRenderedPageBreak/>
        <w:t>de penas privativas de libertad sea el otorgamiento de la suspensión, ya que el cumplimiento de la pena conlleva en sí mismo una pérdida, al menos parcial, de la finalidad de amparo, también se ha indicado que esta regla general no está exenta de excepciones y una de estas excepciones es, precisamente, la gravedad y duración de la pena impuesta, ya que en el supuesto de que la pena sea de larga duración el interés general reclama con especial intensidad su ejecución (AATC 214/1997, 237/1998 y 208/2000, por todas). Esta conclusión se impone no sólo por el necesario mantenimiento de la confianza en la justicia penal y los efectos disuasorios que se derivan de la finalidad de prevención general de los delitos (AATC 310/1996, 419/1997 y 265/1998), sino también porque la duración de la pena cuantifica "el desvalor del comportamiento enjuiciado y el daño social producido, según la apreciación del Tribunal sentenciador, que nosotros no podemos revisar en este trámite" (AATC 265/1998, 199/1999 y 146/2001).</w:t>
      </w:r>
    </w:p>
    <w:p w:rsidR="000B622C" w:rsidRDefault="000B622C" w:rsidP="000B622C">
      <w:pPr>
        <w:pStyle w:val="TextoNormal"/>
      </w:pPr>
      <w:r>
        <w:t>Tampoco procede otorgar ni la suspensión de los pronunciamientos de contenido económico de la Sentencia condenatoria, es decir, las indemnizaciones impuestas en concepto de responsabilidad civil y la parte correspondiente de las costas causadas, pues en el caso de que se estimara el amparo, el perjuicio que de la ejecución de esta parte del fallo pudiera derivarse podría ser reparado (AATC 88/1995, 103/1995, 318/1997 y 199/1999, entre otros muchos), ni la de las penas accesorias impuestas (inhabilitación especial para el ejercicio del derecho de sufragio pasivo durante el tiempo de la condena), ya que este tipo de penas siguen la misma suerte que la principal (AATC 202/1992, 96/1993, 6/1996, 318/1997, 215/1999 y 61/2000, por todos).</w:t>
      </w:r>
    </w:p>
    <w:p w:rsidR="000B622C" w:rsidRDefault="000B622C" w:rsidP="000B622C">
      <w:pPr>
        <w:pStyle w:val="TextoNormal"/>
      </w:pPr>
    </w:p>
    <w:p w:rsidR="000B622C" w:rsidRDefault="000B622C" w:rsidP="000B622C">
      <w:pPr>
        <w:pStyle w:val="TextoNormal"/>
      </w:pPr>
      <w:r w:rsidRPr="000B622C">
        <w:rPr>
          <w:rStyle w:val="NumeroAFNegritaCaracter"/>
        </w:rPr>
        <w:t>4</w:t>
      </w:r>
      <w:r>
        <w:t>. Debe señalarse, no obstante, que dada la irreparabilidad y la gravedad de los perjuicios que la ejecución de la condena de privación de libertad que no ha sido suspendida causaría al recurrente en el caso de que este Tribunal estimare el presente recurso de amparo, estamos obligados a reducir en lo posible esos efectos negativos, por lo que, como se ha dicho en casos análogos (entre otros, AATC 144/1990, 169/1995, 246/1996, 287/1996, 385/1996, 419/1997, 47/1998, 48/1998, 79/1998, 265/1998, 267/1998, 268/1998, 199/1999 y 146/2001), es procedente resolver en el más breve plazo posible el presente recurso de amparo, incluso anteponiéndolo en el orden de señalamientos, una vez concluida su tramitación.</w:t>
      </w:r>
    </w:p>
    <w:p w:rsidR="000B622C" w:rsidRDefault="000B622C" w:rsidP="000B622C">
      <w:pPr>
        <w:pStyle w:val="TextoNormal"/>
      </w:pPr>
    </w:p>
    <w:p w:rsidR="000B622C" w:rsidRDefault="000B622C" w:rsidP="000B622C">
      <w:pPr>
        <w:pStyle w:val="TextoNormal"/>
      </w:pPr>
      <w:r>
        <w:t>Por todo lo cual, la Sala</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Denegar la suspensión solicitada.</w:t>
      </w:r>
    </w:p>
    <w:p w:rsidR="000B622C" w:rsidRDefault="000B622C" w:rsidP="000B622C">
      <w:pPr>
        <w:pStyle w:val="TextoNormal"/>
      </w:pPr>
    </w:p>
    <w:p w:rsidR="000B622C" w:rsidRDefault="000B622C" w:rsidP="000B622C">
      <w:pPr>
        <w:pStyle w:val="TextoNormal"/>
      </w:pPr>
      <w:r>
        <w:t>Madrid, a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71" w:name="AUTO_2002_70"/>
      <w:r>
        <w:lastRenderedPageBreak/>
        <w:t>AUTO 70/2002, de 22 de abril de 2002</w:t>
      </w:r>
    </w:p>
    <w:bookmarkEnd w:id="171"/>
    <w:p w:rsidR="000B622C" w:rsidRDefault="000B622C" w:rsidP="000B622C">
      <w:pPr>
        <w:pStyle w:val="TtuloResolucin"/>
      </w:pPr>
      <w:r>
        <w:t>Sección Tercera</w:t>
      </w:r>
    </w:p>
    <w:p w:rsidR="000B622C" w:rsidRDefault="000B622C" w:rsidP="000B622C">
      <w:pPr>
        <w:pStyle w:val="TtuloResolucin"/>
      </w:pPr>
    </w:p>
    <w:p w:rsidR="000B622C" w:rsidRDefault="000B622C" w:rsidP="000B622C">
      <w:pPr>
        <w:pStyle w:val="SntesisDescriptiva"/>
      </w:pPr>
      <w:r>
        <w:t>ECLI:ES:TC:2002:70A</w:t>
      </w:r>
    </w:p>
    <w:p w:rsidR="000B622C" w:rsidRDefault="000B622C" w:rsidP="000B622C">
      <w:pPr>
        <w:pStyle w:val="SntesisDescriptiva"/>
      </w:pPr>
    </w:p>
    <w:p w:rsidR="000B622C" w:rsidRDefault="000B622C" w:rsidP="000B622C">
      <w:pPr>
        <w:pStyle w:val="SntesisDescriptiva"/>
      </w:pPr>
      <w:r>
        <w:t>Excms. Srs. don Tomás Salvador Vives Antón, don Vicente Conde Martín de Hijas y don Eugeni Gay Montalvo.</w:t>
      </w:r>
    </w:p>
    <w:p w:rsidR="000B622C" w:rsidRDefault="000B622C" w:rsidP="000B622C">
      <w:pPr>
        <w:pStyle w:val="SntesisDescriptiva"/>
      </w:pPr>
    </w:p>
    <w:p w:rsidR="000B622C" w:rsidRDefault="000B622C" w:rsidP="000B622C">
      <w:pPr>
        <w:pStyle w:val="SntesisDescriptiva"/>
      </w:pPr>
      <w:r>
        <w:t>Acuerda el desistimiento en el recurso de amparo 4657-2001.</w:t>
      </w:r>
    </w:p>
    <w:p w:rsidR="000B622C" w:rsidRDefault="000B622C" w:rsidP="000B622C">
      <w:pPr>
        <w:pStyle w:val="SntesisDescriptiva"/>
      </w:pPr>
    </w:p>
    <w:p w:rsidR="000B622C" w:rsidRDefault="000B622C" w:rsidP="000B622C">
      <w:pPr>
        <w:pStyle w:val="TtuloResolucin"/>
      </w:pPr>
      <w:r>
        <w:t>*Este auto no incorpora doctrina constitucional.</w:t>
      </w:r>
    </w:p>
    <w:p w:rsidR="000B622C" w:rsidRDefault="000B622C">
      <w:pPr>
        <w:rPr>
          <w:rFonts w:ascii="Times New Roman" w:eastAsia="Times New Roman" w:hAnsi="Times New Roman" w:cs="Times New Roman"/>
          <w:b/>
          <w:sz w:val="24"/>
          <w:szCs w:val="24"/>
          <w:lang w:eastAsia="es-ES"/>
        </w:rPr>
      </w:pPr>
      <w:r>
        <w:br w:type="page"/>
      </w:r>
    </w:p>
    <w:p w:rsidR="000B622C" w:rsidRDefault="000B622C" w:rsidP="000B622C">
      <w:pPr>
        <w:pStyle w:val="TtuloResolucin"/>
      </w:pPr>
      <w:bookmarkStart w:id="172" w:name="AUTO_2002_71"/>
      <w:r>
        <w:lastRenderedPageBreak/>
        <w:t>AUTO 71/2002, de 22 de abril de 2002</w:t>
      </w:r>
    </w:p>
    <w:bookmarkEnd w:id="172"/>
    <w:p w:rsidR="000B622C" w:rsidRDefault="000B622C" w:rsidP="000B622C">
      <w:pPr>
        <w:pStyle w:val="TtuloResolucin"/>
      </w:pPr>
      <w:r>
        <w:t>Sala Primera</w:t>
      </w:r>
    </w:p>
    <w:p w:rsidR="000B622C" w:rsidRDefault="000B622C" w:rsidP="000B622C">
      <w:pPr>
        <w:pStyle w:val="TtuloResolucin"/>
      </w:pPr>
    </w:p>
    <w:p w:rsidR="000B622C" w:rsidRDefault="000B622C" w:rsidP="000B622C">
      <w:pPr>
        <w:pStyle w:val="SntesisDescriptiva"/>
      </w:pPr>
      <w:r>
        <w:t>ECLI:ES:TC:2002:71A</w:t>
      </w:r>
    </w:p>
    <w:p w:rsidR="000B622C" w:rsidRDefault="000B622C" w:rsidP="000B622C">
      <w:pPr>
        <w:pStyle w:val="SntesisDescriptiva"/>
      </w:pPr>
    </w:p>
    <w:p w:rsidR="000B622C" w:rsidRDefault="000B622C" w:rsidP="000B622C">
      <w:pPr>
        <w:pStyle w:val="SntesisDescriptiva"/>
      </w:pPr>
      <w:r>
        <w:t>Excms. Srs. don Manuel Jiménez de Parga y Cabrera, don Pablo García Manzano, don Fernando Garrido Falla, doña María Emilia Casas Baamonde, don Javier Delgado Barrio y don Roberto García-Calvo y Montiel.</w:t>
      </w:r>
    </w:p>
    <w:p w:rsidR="000B622C" w:rsidRDefault="000B622C" w:rsidP="000B622C">
      <w:pPr>
        <w:pStyle w:val="SntesisDescriptiva"/>
      </w:pPr>
    </w:p>
    <w:p w:rsidR="000B622C" w:rsidRDefault="000B622C" w:rsidP="000B622C">
      <w:pPr>
        <w:pStyle w:val="SntesisDescriptiva"/>
      </w:pPr>
      <w:r>
        <w:t>Deniega la suspensión en el recurso de amparo 4791-2001, interpuesto por Nationale Nederlanden Vida, Compañía de Seguros y Reaseguros SAE</w:t>
      </w:r>
    </w:p>
    <w:p w:rsidR="000B622C" w:rsidRDefault="000B622C" w:rsidP="000B622C">
      <w:pPr>
        <w:pStyle w:val="SntesisDescriptiva"/>
      </w:pPr>
    </w:p>
    <w:p w:rsidR="000B622C" w:rsidRDefault="000B622C" w:rsidP="000B622C">
      <w:pPr>
        <w:pStyle w:val="SntesisAnaltica"/>
      </w:pPr>
      <w:r>
        <w:t>Suspensión cautelar de resoluciones penales: costas procesales, no suspende. Perjuicio irreparable</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Mediante escrito registrado con fecha 11 de septiembre de 2001 la representación procesal de la sociedad demandante ha interpuesto recurso de amparo contra el Auto dictado el 2 de julio de 2001 por la Audiencia Provincial de Murcia, que desestimó el recurso de súplica interpuesto contra la providencia de la misma Sala de 5 de mayo anterior dictada en ejecución de la Sentencia de 21 de noviembre de 1997, confirmada por la Sala de lo Penal del Tribunal Supremo en Sentencia de 2 de octubre de 2000</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de que trae causa la presente demanda de amparo y que son relevantes para la resolución sobre la petición de suspensión, son, en síntesis, los siguientes: a) Por Sentencia de la Audiencia Provincial de Murcia se condenó a una persona, a quien no le afecta el presente proceso de amparo, como autor de delitos continuados de estafa y falsedad documental a la pena de seis años y un día de prisión mayor por cada uno de los delitos, a una pena de multa y a indemnizar a los perjudicados en diversas cuantías, declarándose la responsabilidad civil subsidiaria de la compañía aseguradora recurrente en amparo en cuanto a la cantidad de 23.000.000 de pesetas. </w:t>
      </w:r>
    </w:p>
    <w:p w:rsidR="000B622C" w:rsidRDefault="000B622C" w:rsidP="000B622C">
      <w:pPr>
        <w:pStyle w:val="TextoNormal"/>
      </w:pPr>
      <w:r>
        <w:t>b) Recurrida la Sentencia en casación, por Sentencia de 2 de octubre de 2.000 fue confirmada por la Sala de lo Penal del Tribunal Supremo. Remitidos los autos a la Audiencia Provincial de Murcia, se dictó providencia de 5 de mayo de 2.001 requiriendo a la demandante de amparo para que hiciera efectivas las costas del juicio, una vez que ya había satisfecho el importe de las indemnizaciones respecto de las que había sido declarada responsable civil subsidiaria. Contra esta providencia el demandante interpuso recurso de súplica alegando que la Sentencia debía ser ejecutada en sus propios términos. Por Auto de 2 de julio de 2001, la Audiencia Provincial de Murcia desestimó el recurso de súplica interpuesto por la demandante de amparo por considerar que la responsabilidad civil subsidiaria incluye el pago de las costas, así como acordó la inclusión de los honorarios de la acusación particular.</w:t>
      </w:r>
    </w:p>
    <w:p w:rsidR="000B622C" w:rsidRDefault="000B622C" w:rsidP="000B622C">
      <w:pPr>
        <w:pStyle w:val="TextoNormal"/>
      </w:pPr>
    </w:p>
    <w:p w:rsidR="000B622C" w:rsidRDefault="000B622C" w:rsidP="000B622C">
      <w:pPr>
        <w:pStyle w:val="TextoNormal"/>
      </w:pPr>
      <w:r w:rsidRPr="000B622C">
        <w:rPr>
          <w:rStyle w:val="NumeroAFNegritaCaracter"/>
        </w:rPr>
        <w:t>3</w:t>
      </w:r>
      <w:r>
        <w:t>. La demanda de amparo, que articula su queja en virtud del art. 44 LOTC, imputa a la resolución judicial recurrida vulneración del art. 24.1 CE. Considera la demandante de amparo que se ha vulnerado su derecho a la inmodificabilidad o intangibilidad de las sentencias firmes. En definitiva, la recurrente plantea que se ha vulnerado su derecho a la tutela efectiva, en esta vertiente, por cuanto ni en los fundamentos de la sentencia, ni en el fallo, se le condenó al pago de las costas. En la demanda de amparo, por otrosí, la sociedad demandante, de acuerdo con lo establecido en el art. 56.1 LOTC, interesó la suspensión de la ejecución de la resolución objeto de recurso, por cuanto la ejecución podía ocasionarle un perjuicio que haría perder su finalidad al recurso. Argumentaba para ello que aunque el pago de las costas del juicio se hace a las partes, no a sus abogados y procuradores, aunque se trate del pago de los honorarios, derechos y suplidos causados por aquéllos, por lo que sólo las partes son responsables de la eventual devolución si procediera. Por ello, según el demandante, si se estimase el recurso de amparo y se hubiera procedido por su parte al pago de las costas, sólo podría reclamar el reintegro a las partes acusadoras y desconociéndose la solvencia de éstas el recurso de amparo podría perder su finalidad, dado que importan una considerable suma.</w:t>
      </w:r>
    </w:p>
    <w:p w:rsidR="000B622C" w:rsidRDefault="000B622C" w:rsidP="000B622C">
      <w:pPr>
        <w:pStyle w:val="TextoNormal"/>
      </w:pPr>
    </w:p>
    <w:p w:rsidR="000B622C" w:rsidRDefault="000B622C" w:rsidP="000B622C">
      <w:pPr>
        <w:pStyle w:val="TextoNormal"/>
      </w:pPr>
      <w:r w:rsidRPr="000B622C">
        <w:rPr>
          <w:rStyle w:val="NumeroAFNegritaCaracter"/>
        </w:rPr>
        <w:t>4</w:t>
      </w:r>
      <w:r>
        <w:t>. La Sala, mediante providencia de fecha 14 de marzo de 2002, acordó admitir a trámite el recurso de amparo, y dirigir comunicación al órgano judicial a fin de que, en el plazo de diez días, emplazara a quienes hubieran sido parte en el proceso de que trae causa este recurso de amparo.</w:t>
      </w:r>
    </w:p>
    <w:p w:rsidR="000B622C" w:rsidRDefault="000B622C" w:rsidP="000B622C">
      <w:pPr>
        <w:pStyle w:val="TextoNormal"/>
      </w:pPr>
    </w:p>
    <w:p w:rsidR="000B622C" w:rsidRDefault="000B622C" w:rsidP="000B622C">
      <w:pPr>
        <w:pStyle w:val="TextoNormal"/>
      </w:pPr>
      <w:r w:rsidRPr="000B622C">
        <w:rPr>
          <w:rStyle w:val="NumeroAFNegritaCaracter"/>
        </w:rPr>
        <w:t>5</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0B622C" w:rsidRDefault="000B622C" w:rsidP="000B622C">
      <w:pPr>
        <w:pStyle w:val="TextoNormal"/>
      </w:pPr>
    </w:p>
    <w:p w:rsidR="000B622C" w:rsidRDefault="000B622C" w:rsidP="000B622C">
      <w:pPr>
        <w:pStyle w:val="TextoNormal"/>
      </w:pPr>
      <w:r w:rsidRPr="000B622C">
        <w:rPr>
          <w:rStyle w:val="NumeroAFNegritaCaracter"/>
        </w:rPr>
        <w:t>6</w:t>
      </w:r>
      <w:r>
        <w:t>. Mediante sendos escritos de fecha 22 de marzo de 2002, la recurrente en amparo y el Ministerio Fiscal han presentado sus alegaciones en el incidente de suspensión, reiterando aquélla lo expuesto en su escrito de demanda y manifestando éste su oposición al otorgamiento de la suspensión instada de la resolución impugnada en esta sede dado que, independientemente del fondo de la queja constitucional, que no es objeto de este pronunciamiento, el desembolso requerido por la Sala ni causa un perjuicio irreparable, ni una grave perturbación patrimonial atendida la calidad de la empresa recurrente. Por otro lado, según el Fiscal, no se alcanza a comprender que se perjudique la finalidad del recurso por el hecho de un pago que sería retornable, si el amparo se otorgara en los términos solicitados en la demanda.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w:t>
      </w:r>
      <w:r>
        <w:lastRenderedPageBreak/>
        <w:t>bación grave de los intereses generales, o de los derechos fundamentales o intereses públicos de un tercero".  De acuerdo con la doctrina mantenida por este Tribunal (AATC 231/1995, de 25 de julio, FJ 2, 46/1996, de 26 de febrero, FFJJ 1 y 2, y 263/1998, de 26 de noviembre, FJ 2,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de 25 de mayo, FJ 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000B622C" w:rsidRDefault="000B622C" w:rsidP="000B622C">
      <w:pPr>
        <w:pStyle w:val="TextoNormal"/>
      </w:pPr>
    </w:p>
    <w:p w:rsidR="000B622C" w:rsidRDefault="000B622C" w:rsidP="000B622C">
      <w:pPr>
        <w:pStyle w:val="TextoNormal"/>
      </w:pPr>
      <w:r w:rsidRPr="000B622C">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393/1985, de 12 de junio, FJ 2, 289/1995, de 23 de octubre, FFJJ 2 y 3, 139/1996, de 27 de mayo, FFJJ 1 y 2, 195/1998, de 26 de septiembre FJ 4, 245/1998, de 16 de noviembre, FJ 3, 263/1998 y 265/1998, de 26 de noviembre, FFJJ 4 d) y 3 d), respectivamente). Conclusión que se extiende a las costas procesales, por entrañar éstas un pago en dinero que puede ser resarcible en el caso de que finalmente se otorgue el amparo y se declare la nulidad de la sentencia que las impone (AATC 12/1999, de 25 de enero, FJ 1; 150/1999, de 14 de junio, FJ 2, 278/1999, de 29 de noviembre, FJ 2 y, últimamente, AATC 161/2001, de 24 de julio, FJ 3 in fine; 261/2001, de 15 de octubre, FJ 4 y 22/2002, de 25 de febrero, FJ 4).</w:t>
      </w:r>
    </w:p>
    <w:p w:rsidR="000B622C" w:rsidRDefault="000B622C" w:rsidP="000B622C">
      <w:pPr>
        <w:pStyle w:val="TextoNormal"/>
      </w:pPr>
      <w:r>
        <w:t>A la luz de la doctrina que se acaba de exponer no procede decretar la suspensión solicitada pues la ejecución de resolución desestimatoria impugnada (Auto dictado por la Audiencia Provincial de Murcia de 2 de julio de 2001) sólo conlleva el pronunciamiento en orden al pago de costas que se imponen a la demandante. De suerte que, en atención a su naturaleza puramente patrimonial o económica, dicha ejecución no puede entrañar un perjuicio irreparable para la sociedad recurrente, ya que el pago es siempre resarcible, sin que, como resalta el Ministerio Fiscal, el demandante en amparo haya acreditado el perjuicio irreparable que le causaría la ejecución, máxime cuando apunta exclusivamente las dudas sobre la solvencia de las partes acusadoras, sin aportar un solo dato de las razones que le hacen temer que una eventual estimación del amparo impediría el recobro de las cantidades correspondientes a las costas de la acusación particular.</w:t>
      </w:r>
    </w:p>
    <w:p w:rsidR="000B622C" w:rsidRDefault="000B622C" w:rsidP="000B622C">
      <w:pPr>
        <w:pStyle w:val="TextoNormal"/>
      </w:pPr>
    </w:p>
    <w:p w:rsidR="000B622C" w:rsidRDefault="000B622C" w:rsidP="000B622C">
      <w:pPr>
        <w:pStyle w:val="TextoNormal"/>
      </w:pPr>
      <w:r>
        <w:t>Por lo expuesto, la Sala</w:t>
      </w:r>
    </w:p>
    <w:p w:rsidR="000B622C" w:rsidRDefault="000B622C" w:rsidP="000B622C">
      <w:pPr>
        <w:pStyle w:val="TextoNormal"/>
      </w:pPr>
    </w:p>
    <w:p w:rsidR="000B622C" w:rsidRDefault="000B622C" w:rsidP="000B622C">
      <w:pPr>
        <w:pStyle w:val="TextoNormalCentrado"/>
      </w:pPr>
      <w:r>
        <w:lastRenderedPageBreak/>
        <w:t>ACUERDA</w:t>
      </w:r>
    </w:p>
    <w:p w:rsidR="000B622C" w:rsidRDefault="000B622C" w:rsidP="000B622C">
      <w:pPr>
        <w:pStyle w:val="TextoNormalCentrado"/>
      </w:pPr>
    </w:p>
    <w:p w:rsidR="000B622C" w:rsidRDefault="000B622C" w:rsidP="000B622C">
      <w:pPr>
        <w:pStyle w:val="TextoNormal"/>
      </w:pPr>
      <w:r>
        <w:t>Denegar la suspensión de la ejecución del Auto dictado por la Audiencia Provincial de Murcia el 2 de julio de 2001 en la ejecutoria 96/00.</w:t>
      </w:r>
    </w:p>
    <w:p w:rsidR="000B622C" w:rsidRDefault="000B622C" w:rsidP="000B622C">
      <w:pPr>
        <w:pStyle w:val="TextoNormal"/>
      </w:pPr>
    </w:p>
    <w:p w:rsidR="000B622C" w:rsidRDefault="000B622C" w:rsidP="000B622C">
      <w:pPr>
        <w:pStyle w:val="TextoNormal"/>
      </w:pPr>
      <w:r>
        <w:t>Madrid, veintidós de abril de dos mil dos.</w:t>
      </w:r>
    </w:p>
    <w:p w:rsidR="000B622C" w:rsidRDefault="000B622C">
      <w:pPr>
        <w:rPr>
          <w:rFonts w:ascii="Times New Roman" w:eastAsia="Times New Roman" w:hAnsi="Times New Roman" w:cs="Times New Roman"/>
          <w:sz w:val="24"/>
          <w:szCs w:val="24"/>
          <w:lang w:eastAsia="es-ES"/>
        </w:rPr>
      </w:pPr>
      <w:r>
        <w:br w:type="page"/>
      </w:r>
    </w:p>
    <w:p w:rsidR="000B622C" w:rsidRDefault="000B622C" w:rsidP="000B622C">
      <w:pPr>
        <w:pStyle w:val="TtuloResolucin"/>
      </w:pPr>
      <w:bookmarkStart w:id="173" w:name="AUTO_2002_72"/>
      <w:r>
        <w:lastRenderedPageBreak/>
        <w:t>AUTO 72/2002, de 23 de abril de 2002</w:t>
      </w:r>
    </w:p>
    <w:bookmarkEnd w:id="173"/>
    <w:p w:rsidR="000B622C" w:rsidRDefault="000B622C" w:rsidP="000B622C">
      <w:pPr>
        <w:pStyle w:val="TtuloResolucin"/>
      </w:pPr>
      <w:r>
        <w:t>Pleno</w:t>
      </w:r>
    </w:p>
    <w:p w:rsidR="000B622C" w:rsidRDefault="000B622C" w:rsidP="000B622C">
      <w:pPr>
        <w:pStyle w:val="TtuloResolucin"/>
      </w:pPr>
    </w:p>
    <w:p w:rsidR="000B622C" w:rsidRDefault="000B622C" w:rsidP="000B622C">
      <w:pPr>
        <w:pStyle w:val="SntesisDescriptiva"/>
      </w:pPr>
      <w:r>
        <w:t>ECLI:ES:TC:2002:72A</w:t>
      </w:r>
    </w:p>
    <w:p w:rsidR="000B622C" w:rsidRDefault="000B622C" w:rsidP="000B622C">
      <w:pPr>
        <w:pStyle w:val="SntesisDescriptiva"/>
      </w:pPr>
    </w:p>
    <w:p w:rsidR="000B622C" w:rsidRDefault="000B622C" w:rsidP="000B622C">
      <w:pPr>
        <w:pStyle w:val="SntesisDescriptiva"/>
      </w:pPr>
      <w:r>
        <w:t>Excms. Srs. don Manuel Jiménez de Parga y Cabrera, don Tomás Salvador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w:t>
      </w:r>
    </w:p>
    <w:p w:rsidR="000B622C" w:rsidRDefault="000B622C" w:rsidP="000B622C">
      <w:pPr>
        <w:pStyle w:val="SntesisDescriptiva"/>
      </w:pPr>
    </w:p>
    <w:p w:rsidR="000B622C" w:rsidRDefault="000B622C" w:rsidP="000B622C">
      <w:pPr>
        <w:pStyle w:val="SntesisDescriptiva"/>
      </w:pPr>
      <w:r>
        <w:t>Inadmite a trámite la cuestión de inconstitucionalidad planteada por el Juzgado de Primera Instancia núm. 19 de Valencia respecto disposición adicional tercera de la Ley de las Cortes Valencianas 11/1994, de 27 de diciembre, de espacios naturales protegidos de la Comunidad Valenciana</w:t>
      </w:r>
    </w:p>
    <w:p w:rsidR="000B622C" w:rsidRDefault="000B622C" w:rsidP="000B622C">
      <w:pPr>
        <w:pStyle w:val="SntesisDescriptiva"/>
      </w:pPr>
    </w:p>
    <w:p w:rsidR="000B622C" w:rsidRDefault="000B622C" w:rsidP="000B622C">
      <w:pPr>
        <w:pStyle w:val="SntesisAnaltica"/>
      </w:pPr>
      <w:r>
        <w:t>Cuestión de inconstitucionalidad: audiencia previa a las partes indeterminada;  notoriamente infundada. Espacios naturales protegidos: orden de competencias. Legislación básica: efectos jurídicos de su incumplimiento. Potestad legislativa: control jurisdiccional</w:t>
      </w:r>
    </w:p>
    <w:p w:rsidR="000B622C" w:rsidRDefault="000B622C" w:rsidP="000B622C">
      <w:pPr>
        <w:pStyle w:val="SntesisAnaltica"/>
      </w:pPr>
    </w:p>
    <w:p w:rsidR="000B622C" w:rsidRDefault="000B622C" w:rsidP="000B622C">
      <w:pPr>
        <w:pStyle w:val="SntesisAnaltica"/>
      </w:pPr>
    </w:p>
    <w:p w:rsidR="000B622C" w:rsidRDefault="000B622C" w:rsidP="000B622C">
      <w:pPr>
        <w:pStyle w:val="SntesisAnaltica"/>
      </w:pPr>
    </w:p>
    <w:p w:rsidR="000B622C" w:rsidRDefault="000B622C" w:rsidP="000B622C">
      <w:pPr>
        <w:pStyle w:val="TextoNormalNegritaCentrado"/>
      </w:pPr>
      <w:r>
        <w:t>AUTO</w:t>
      </w:r>
    </w:p>
    <w:p w:rsidR="000B622C" w:rsidRDefault="000B622C" w:rsidP="000B622C">
      <w:pPr>
        <w:pStyle w:val="TextoNormalNegritaCentrado"/>
      </w:pPr>
    </w:p>
    <w:p w:rsidR="000B622C" w:rsidRDefault="000B622C" w:rsidP="000B622C">
      <w:pPr>
        <w:pStyle w:val="TextoNormalNegritaCentrado"/>
        <w:keepNext/>
      </w:pPr>
      <w:r>
        <w:t>I. Antecedentes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El día 10 de diciembre de 2001 tuvo entrada en este Tribunal Constitucional escrito de la Magistrada-Juez del Juzgado de Primera Instancia núm. 19 de Valencia de 4 de diciembre de 2001, exponiendo que según tenía acordado en los autos de Juicio de retracto núm. 296/98, remitía testimonio de los mismos "para resolución de la cuestión de inconstitucionalidad planteada por la entidad demandada Masnou S.A. contra la Disposición Adicional Tercera de la Ley 11/94 de 27 de Diciembre de la Generalitat Valenciana de Espacios Naturales Protegidos de la Comunidad Valenciana". La documentación aportada incluye el Auto del mencionado Juzgado de 19 de noviembre de 2001, planteando la presente cuestión de inconstitucionalidad.</w:t>
      </w:r>
    </w:p>
    <w:p w:rsidR="000B622C" w:rsidRDefault="000B622C" w:rsidP="000B622C">
      <w:pPr>
        <w:pStyle w:val="TextoNormal"/>
      </w:pPr>
    </w:p>
    <w:p w:rsidR="000B622C" w:rsidRDefault="000B622C" w:rsidP="000B622C">
      <w:pPr>
        <w:pStyle w:val="TextoNormal"/>
      </w:pPr>
      <w:r w:rsidRPr="000B622C">
        <w:rPr>
          <w:rStyle w:val="NumeroAFNegritaCaracter"/>
        </w:rPr>
        <w:t>2</w:t>
      </w:r>
      <w:r>
        <w:t xml:space="preserve">. Los hechos de relevancia para el proceso constitucional que nos ocupa son los siguientes: </w:t>
      </w:r>
    </w:p>
    <w:p w:rsidR="000B622C" w:rsidRDefault="000B622C" w:rsidP="000B622C">
      <w:pPr>
        <w:pStyle w:val="TextoNormal"/>
      </w:pPr>
      <w:r>
        <w:t xml:space="preserve">a) Mediante escrito de 18 de mayo de 1998, la Generalidad Valenciana formuló demanda de retracto contra la Sociedad Masnou, S.A., al amparo de lo previsto en el artículo 19 de la Ley 11/1994, de 27 de diciembre, de Espacios Naturales Protegidos de la Comunidad Valenciana, en relación con la adquisición por título de compra, por parte de dicha sociedad, de ochenta y una fincas registrales ubicadas en el ámbito del Parque Natural del Marjal de Pego-Oliva, declarado como tal por la disposición adicional tercera de la citada Ley 11/1994. </w:t>
      </w:r>
    </w:p>
    <w:p w:rsidR="000B622C" w:rsidRDefault="000B622C" w:rsidP="000B622C">
      <w:pPr>
        <w:pStyle w:val="TextoNormal"/>
      </w:pPr>
      <w:r>
        <w:t>b) El conocimiento del citado proceso correspondió al Juzgado de Primera Instancia núm. 19 de Valencia que, tras haber sido declarada en rebeldía la demandada, dictó Sen</w:t>
      </w:r>
      <w:r>
        <w:lastRenderedPageBreak/>
        <w:t xml:space="preserve">tencia el día 13 de mayo de 1999, estimando íntegramente la demanda formulada por la Generalidad Valenciana. Frente a la misma interpuso recurso de apelación aquella demandada, Masnou, S.A., que fue estimado por Sentencia de la Sección Octava de la Audiencia Provincial de Valencia de 21 de octubre de 2000, considerando que habían existido irregularidades en el emplazamiento de la referida sociedad y, en consecuencia, revocando la Sentencia apelada, declaró la nulidad de actuaciones procesales para que se dictare nueva providencia por la que se acordare realizar un nuevo emplazamiento de la entidad demandada. </w:t>
      </w:r>
    </w:p>
    <w:p w:rsidR="000B622C" w:rsidRDefault="000B622C" w:rsidP="000B622C">
      <w:pPr>
        <w:pStyle w:val="TextoNormal"/>
      </w:pPr>
      <w:r>
        <w:t xml:space="preserve">Tras la correspondiente tramitación, la entidad mercantil demandada por escrito de 7 de marzo de 2001, contestó la demanda. En el apartado primero de hechos del citado escrito se expone que la declaración del Parque Natural del Marjal de Pego-Oliva se efectuó por el procedimiento excepcional, puesto que fue realizada por las Cortes Valencianas en lugar del Gobierno Valenciano (artículo 24.1 de la Ley 11/1994), sin tener en cuenta que afecta a una zona en avanzado estado de concentración parcelaria. En primer lugar, se dice, la improcedencia de tal declaración deriva de que la delimitación del Parque Natural coincide exactamente con la delimitación de la zona sometida a un largo proceso de transformación y concentración parcelaria, declaradas de utilidad pública por el Decreto 1068/1970, siendo evidente que los Parques Naturales deben afectar a zonas poco transformadas, debiendo mantenerse los usos tradicionales agrícolas. Asimismo, se añade, el artículo 13 de la Ley 4/1989, de 27 de marzo, de Conservación de los Espacios Naturales y de la Flora y Fauna Silvestres, precepto que, de conformidad con la disposición adicional quinta de la misma Ley, debe ser considerado como norma básica a los efectos del artículo 149.1.23ª CE, dispone que los Parques deben ser áreas naturales poco transformadas por la explotación y ocupación humana, lo que no ocurre en el presente caso. Por otra parte, se ha utilizado para la declaración de Parque Natural el procedimiento excepcional del artículo 15 de la citada Ley 4/1989, que también es norma básica a los efectos del artículo 149.1.23ª CE, realizando dicha declaración sin la previa elaboración y aprobación del correspondiente Plan de Ordenación de los Recursos Naturales, pero sin que existan razones suficientes que lo justifiquen y sin hacer constar expresamente las mismas en la norma de declaración, contraviniendo así la referida normativa estatal básica. Por consiguiente, la disposición adicional tercera de la Ley 11/1994 debería ser declarada inconstitucional, debiendo plantear el Juzgado la correspondiente cuestión de inconstitucionalidad, puesto que de la validez de aquella disposición legal depende el fallo del procedimiento. Se añade que el derecho de retracto se ha ejercitado antes de la aprobación del Plan de Ordenación de los Recursos Naturales, lo que no resulta posible, añadiendo que dicha aprobación tuvo lugar un año después de interponerse la demanda y habiendo reconocido con posterioridad la Generalidad Valenciana que existen errores y desajustes en el mismo, decidiendo por ello iniciar los trabajos para su revisión y suspender cautelarmente su vigencia y aplicación. </w:t>
      </w:r>
    </w:p>
    <w:p w:rsidR="000B622C" w:rsidRDefault="000B622C" w:rsidP="000B622C">
      <w:pPr>
        <w:pStyle w:val="TextoNormal"/>
      </w:pPr>
      <w:r>
        <w:t xml:space="preserve">c) El día 10 de octubre de 2001, el Juzgado dictó providencia del siguiente tenor: </w:t>
      </w:r>
    </w:p>
    <w:p w:rsidR="000B622C" w:rsidRDefault="000B622C" w:rsidP="000B622C">
      <w:pPr>
        <w:pStyle w:val="TextoNormal"/>
      </w:pPr>
      <w:r>
        <w:t>d) "Dada cuenta, visto el estado de las presentes actuaciones que se encuentran pendientes de dictar sentencia, y habida cuenta de que por la parte demandada se formuló como primer motivo de oposición a la demanda la solicitud de plantear una cuestión de inconstitucionalidad de la Disposición Adicional Tercera de la Ley 11/94, de 27 de Diciembre de la Generalidad Valenciana, de Espacios Naturales Protegidos de la Comunidad Valenciana, y previamente a adoptar la decisión definitiva, óigase a las partes y al Ministerio Fiscal para que en el improrrogable plazo común de diez días puedan alegar lo que deseen sobre la pertinencia de plantear la cuestión de inconstitucionalidad, conforme a lo dispues</w:t>
      </w:r>
      <w:r>
        <w:lastRenderedPageBreak/>
        <w:t xml:space="preserve">to en los artículos 35 y ss. de la L.O. del Tribunal Constitucional; y transcurrido el cual, déseme cuenta para resolver lo que proceda" </w:t>
      </w:r>
    </w:p>
    <w:p w:rsidR="000B622C" w:rsidRDefault="000B622C" w:rsidP="000B622C">
      <w:pPr>
        <w:pStyle w:val="TextoNormal"/>
      </w:pPr>
      <w:r>
        <w:t xml:space="preserve">e) Mediante escrito de 23 de octubre de 2001, la Generalidad Valenciana formuló sus alegaciones. Frente a lo expuesto por la Sociedad Masnou, S.A. en su contestación a la demanda, se afirma que existen razones suficientes que justifican la declaración del Parque Natural y que, en cuanto a la expresión de tales razones, en la Exposición de Motivos de la Ley 11/1994 se hace referencia, siquiera brevemente, a tal circunstancia. Se cita en apoyo de su posición la STC 163/1995. Añade que, a su entender, el anterior es el único motivo formulado por la demandada para dudar de la constitucionalidad de la citada Ley, no obstante lo cual se exponen una serie de consideraciones en torno a que aquélla no vulnera tampoco ni el derecho a la propiedad privada ni las previsiones del artículo 24.1 CE. En consecuencia, solicita al Juzgado que no plantee cuestión de inconstitucionalidad en relación con la considerada disposición adicional tercera de la Ley 11/1994. </w:t>
      </w:r>
    </w:p>
    <w:p w:rsidR="000B622C" w:rsidRDefault="000B622C" w:rsidP="000B622C">
      <w:pPr>
        <w:pStyle w:val="TextoNormal"/>
      </w:pPr>
      <w:r>
        <w:t xml:space="preserve">f) g) Mediante escrito de 2 de noviembre de 2001, el Ministerio Fiscal formuló sus alegaciones. Reproduce el artículo 13, la disposición adicional tercera y la disposición adicional quinta de la Ley 11/1994, así como el artículo 15 de la Ley 4/1989 y el artículo 149.1.23ª CE, concluyendo que "el carácter de norma básica del art. 15 de la Ley 4/1989 de 27 de marzo de Conservación de los Espacios Naturales de la Flora y de la Fauna conforma la Disposición Adicional quinta de dicha Ley, que permitió utilizar el procedimiento excepcional referido para la declaración de Parque Natural sin la previa aprobación del Plan de Ordenación de Recursos Naturales, suscita una contradicción entre dichas normas y la Ley Valenciana de 1994 y lo dispuesto en el citado artículo 149-1-23 de la Constitución Española de 1978, por lo que el Ministerio Fiscal solicita el planteamiento de la Cuestión de Inconstitucionalidad" </w:t>
      </w:r>
    </w:p>
    <w:p w:rsidR="000B622C" w:rsidRDefault="000B622C" w:rsidP="000B622C">
      <w:pPr>
        <w:pStyle w:val="TextoNormal"/>
      </w:pPr>
      <w:r>
        <w:t xml:space="preserve">h) i) Habiendo sido notificada la providencia de 10 de octubre de 2001 a la representación procesal de la entidad mercantil Masnou, S.A. el día 16 de octubre de 2001, ésta no formuló alegación alguna en relación con la misma. </w:t>
      </w:r>
    </w:p>
    <w:p w:rsidR="000B622C" w:rsidRDefault="000B622C" w:rsidP="000B622C">
      <w:pPr>
        <w:pStyle w:val="TextoNormal"/>
      </w:pPr>
      <w:r>
        <w:t xml:space="preserve">j) 3. Por Auto de 19 de noviembre de 2001, el Juzgado acordó "Plantear la cuestión de inconstitucionalidad de la Disposición Adicional Tercera de la Ley 11/94, de 27 de diciembre de la Generalitat Valenciana, de Espacios Naturales Protegidos de la Comunidad Valenciana, respecto del art. 149.1.23 de la Constitución Española, en relación con lo dispuesto en el artículo 15.2 de la Ley estatal 4/1989, de 27 de marzo de Conservación de los Espacios Naturales y de la Flora y Fauna Silvestre". </w:t>
      </w:r>
    </w:p>
    <w:p w:rsidR="000B622C" w:rsidRDefault="000B622C" w:rsidP="000B622C">
      <w:pPr>
        <w:pStyle w:val="TextoNormal"/>
      </w:pPr>
      <w:r>
        <w:t>En el Auto se recogen declaraciones de la STC 163/1995. A continuación se señala que la Ley 11/1994 cumple los requisitos establecidos en la Ley estatal para la declaración del Parque Natural del Marjal de Pego-Oliva por la vía excepcional, en la medida en que en su Preámbulo se expresaban las razones que lo justificaban. Sin embargo, se añade, el plazo de un año para la aprobación del Plan de Ordenación de los Recursos Naturales, exigido en la norma básica estatal, no se ha cumplido, puesto que por Orden de la Consellería de Agricultura y Medio Ambiente de 6 de mayo de 1996 se acordó la iniciación del Plan de Ordenación de los Recursos Naturales del Marjal de Pego-Oliva, a lo que debe añadirse que dicho Plan de Ordenación se aprobó el 4 de mayo de 1999, casi cinco años después de la declaración del Parque Natural y, además, en la actualidad está suspendida cautelarmente su vigencia por Acuerdo del Gobierno Valenciano de 13 de febrero de 2001. Según el Auto, son estas las circunstancias que determinan la necesidad de plantear la cuestión de inconstitucionalidad de la disposición adicional tercera de la Ley 11/1994, en cuanto que el requisito del plazo de un año para la aprobación del Plan de Ordenación de los Recursos Naturales desde que se declara el Parque Natural ha de operar como esencial para la vali</w:t>
      </w:r>
      <w:r>
        <w:lastRenderedPageBreak/>
        <w:t xml:space="preserve">dez de dicha declaración efectuada por la vía excepcional, como se desprende del artículo 15.2 de la Ley básica estatal y parecen expresar las SSTC 102/1995 y 163/1995, habiendo podido incurrir la citada disposición adicional en inconstitucionalidad sobrevenida. </w:t>
      </w:r>
    </w:p>
    <w:p w:rsidR="000B622C" w:rsidRDefault="000B622C" w:rsidP="000B622C">
      <w:pPr>
        <w:pStyle w:val="TextoNormal"/>
      </w:pPr>
      <w:r>
        <w:t xml:space="preserve">Asimismo, se pone de relieve que al efectuarse la declaración de Parque Natural por Ley se sustrae del control de los Tribunales, citándose el artículo 106 CE y recogiéndose parte del voto particular formulado a la STC 163/1995, por el Magistrado Sr. Gabaldón López. </w:t>
      </w:r>
    </w:p>
    <w:p w:rsidR="000B622C" w:rsidRDefault="000B622C" w:rsidP="000B622C">
      <w:pPr>
        <w:pStyle w:val="TextoNormal"/>
      </w:pPr>
      <w:r>
        <w:t xml:space="preserve">Finalmente, se expone que de la validez de la disposición cuestionada depende el fallo que haya de dictarse en el procedimiento judicial, toda vez que de ser apreciada su inconstitucionalidad decaería la pretensión de la demanda de retracto, ejercitada con motivo de la declaración del Parque Natural del Marjal de Pego-Oliva. </w:t>
      </w:r>
    </w:p>
    <w:p w:rsidR="000B622C" w:rsidRDefault="000B622C" w:rsidP="000B622C">
      <w:pPr>
        <w:pStyle w:val="TextoNormal"/>
      </w:pPr>
      <w:r>
        <w:t xml:space="preserve">4. Por providencia de la Sección Segunda de este Tribunal de 12 de febrero de 2002, se acordó, a los efectos que determina el artículo 37.1 LOTC, oír al Fiscal General del Estado para que, en el plazo de diez días, alegare lo que considerase conveniente acerca de la inadmisibilidad de la presente cuestión de inconstitucionalidad, tanto por la posible falta de condiciones procesales, en concreto, por haberse incumplido las exigencias del trámite de audiencia a las partes y al Ministerio Fiscal del artículo 35.2 LOTC, como por ser notoriamente infundada la cuestión suscitada. </w:t>
      </w:r>
    </w:p>
    <w:p w:rsidR="000B622C" w:rsidRDefault="000B622C" w:rsidP="000B622C">
      <w:pPr>
        <w:pStyle w:val="TextoNormal"/>
      </w:pPr>
      <w:r>
        <w:t xml:space="preserve">5. Mediante escrito que tuvo entrada en el Registro General de este Tribunal el día 7 de marzo de 2002, el Fiscal General del Estado formuló sus alegaciones. Tras exponer los hechos esenciales que afectan al presente proceso constitucional, considera, en primer lugar, que el órgano judicial que plantea la cuestión de inconstitucionalidad ha incumplido las exigencias del artículo 35.2 LOTC, citando al efecto los AATC 108/1993 y 121/1998 y la STC 166/1986, en cuanto que en la providencia en la que se acordaba oír a las partes sobre la procedencia del planteamiento no se han cumplido los requisitos establecidos en tal precepto de la mencionada Ley Orgánica, salvo el de citar la norma de cuya constitucionalidad se duda. Por ello considera que, conforme a lo dispuesto en el artículo 37.1 LOTC, procede dictar Auto rechazando el planteamiento de la cuestión. </w:t>
      </w:r>
    </w:p>
    <w:p w:rsidR="000B622C" w:rsidRDefault="000B622C" w:rsidP="000B622C">
      <w:pPr>
        <w:pStyle w:val="TextoNormal"/>
      </w:pPr>
      <w:r>
        <w:t>Añade el Fiscal General del Estado que no es sólo el incumplimiento de los requisitos procesales el que conduce al rechazo de la cuestión, sino que tal consecuencia deriva también de que la misma es notoriamente infundada. En este sentido, comienza señalando que el órgano judicial no duda de que la declaración del Parque Natural del Marjal de Pego-Oliva, efectuada por la Ley 11/1994, cumplió las exigencias de la normativa básica, de acuerdo con la doctrina mantenida por el Tribunal Constitucional en su Sentencia 163/1995, de modo que no se opuso a las previsiones del artículo 149.1.23ª CE. A su juicio, la duda suscitada afecta a las consecuencias que sobre dicha declaración pueda tener el incumplimiento de la obligación, establecida en la normativa básica (artículo 15.2 de la Ley 4/1989), de elaborar el Plan de Ordenación de los Recursos Naturales de la Zona en el plazo de un año a contar desde la declaración de Parque Natural cuando la misma se efectúa, como en este caso, sin que dicho Plan haya sido previamente aprobado, pero sin que se plantee duda sobre la constitucionalidad de norma alguna, en cuanto que resulta difícil encontrar norma constitucional que pueda establecer cuáles son las consecuencias que sobre la vigencia de una norma pueda tener el incumplimiento de las condiciones a las que la misma se somete, porque tal cuestión es de pura legalidad ordinaria, que en nada afecta a la constitucionalidad de la norma autonómica que declaró un espacio natural cumpliendo las exigencias de la legislación básica. Por ello, entiende el Fiscal General del Estado que lo que realmente hace el Juzgado es, no plantear una cuestión de inconstitucionalidad, sino pedir a este Tribunal Constitucional que haga una declaración respecto de las consecuen</w:t>
      </w:r>
      <w:r>
        <w:lastRenderedPageBreak/>
        <w:t>cias que sobre la vigencia de la norma que declaró Parque Natural al Marjal de Pego-Oliva pueda tener el incumplimiento de las condiciones que venían impuestas por la Ley al efectuar tal declaración, lo que aquel no puede realizar por impedirlo el artículo 117.3 CE. Añade que, incluso, podría ponerse en cuestión el fundamento del juicio de relevancia de la cuestión de inconstitucionalidad planteada, ya que ejercitándose en el proceso una pretensión que tiene su fundamento jurídico en una disposición legal que puede no formar parte del contenido del Plan Rector de los Usos del Parque, es imaginable que pueda darse una respuesta a dicha pretensión conforme a la norma que regula el ejercicio de tal derecho sin necesidad de aprobación de dicho Plan, cuya inexistencia es el único argumento que se utiliza para fundamentar la pregunta que se hace al Tribunal. Por ello, el Fiscal General del Estado señala que procede dictar Auto acordando la inadmisión de la cuestión de inconstitucionalidad planteada.</w:t>
      </w:r>
    </w:p>
    <w:p w:rsidR="000B622C" w:rsidRDefault="000B622C" w:rsidP="000B622C">
      <w:pPr>
        <w:pStyle w:val="TextoNormal"/>
      </w:pPr>
    </w:p>
    <w:p w:rsidR="000B622C" w:rsidRDefault="000B622C" w:rsidP="000B622C">
      <w:pPr>
        <w:pStyle w:val="TextoNormalNegritaCentrado"/>
        <w:keepNext/>
      </w:pPr>
      <w:r>
        <w:t>II. Fundamentos jurídicos</w:t>
      </w:r>
    </w:p>
    <w:p w:rsidR="000B622C" w:rsidRDefault="000B622C" w:rsidP="000B622C">
      <w:pPr>
        <w:pStyle w:val="TextoNormalNegritaCentrado"/>
        <w:keepNext/>
      </w:pPr>
    </w:p>
    <w:p w:rsidR="000B622C" w:rsidRDefault="000B622C" w:rsidP="000B622C">
      <w:pPr>
        <w:pStyle w:val="TextoNormal"/>
      </w:pPr>
      <w:r w:rsidRPr="000B622C">
        <w:rPr>
          <w:rStyle w:val="NumeroAFNegritaCaracter"/>
        </w:rPr>
        <w:t>1</w:t>
      </w:r>
      <w:r>
        <w:t>. En la presente cuestión de inconstitucionalidad, el Juzgado de Primera Instancia núm. 19 de Valencia considera, tal y como se expone en los antecedentes, que la disposición adicional tercera de la Ley 11/1994, de 27 de diciembre, de Espacios Naturales Protegidos de la Comunidad Valenciana, aprobada por las Cortes Valencianas, que declara Parque Natural el Marjal de Pego-Oliva, vulnera el artículo 149.1.23ª CE, como consecuencia de que no se han respetado las exigencias de la normativa estatal básica en la materia, en concreto, lo previsto en el artículo 15.2 de la Ley 4/1989, de 27 de marzo, de Conservación de los Espacios Naturales y de la Flora y Fauna Silvestres.  Asimismo, en la fundamentación jurídica del Auto de planteamiento, aunque no en su parte dispositiva, se hace referencia a que el mencionado precepto autonómico podría vulnerar el artículo 106 CE, en cuanto que al realizarse la declaración del Parque Natural por Ley se sustraería aquella declaración del control de los Tribunales.</w:t>
      </w:r>
    </w:p>
    <w:p w:rsidR="000B622C" w:rsidRDefault="000B622C" w:rsidP="000B622C">
      <w:pPr>
        <w:pStyle w:val="TextoNormal"/>
      </w:pPr>
      <w:r>
        <w:t>Habiendo sometido este Tribunal a la consideración del Fiscal General del Estado, mediante providencia de su Sección Segunda de 12 de febrero de 2002, conforme a lo previsto en el artículo 37.1 LOTC, la posibilidad de que la presente cuestión de inconstitucionalidad resultare inadmisible, de un lado, por faltar las condiciones procesales, al incumplirse las exigencias del trámite de audiencia a las partes y al Ministerio Fiscal previsto en el artículo 35.2 LOTC, y, de otro, por ser la cuestión suscitada notoriamente infundada, aquél se ha pronunciado, en el sentido de que, en efecto, concurren ambas causas de inadmisión de la cuestión de inconstitucionalidad.</w:t>
      </w:r>
    </w:p>
    <w:p w:rsidR="000B622C" w:rsidRDefault="000B622C" w:rsidP="000B622C">
      <w:pPr>
        <w:pStyle w:val="TextoNormal"/>
      </w:pPr>
    </w:p>
    <w:p w:rsidR="000B622C" w:rsidRDefault="000B622C" w:rsidP="000B622C">
      <w:pPr>
        <w:pStyle w:val="TextoNormal"/>
      </w:pPr>
      <w:r w:rsidRPr="000B622C">
        <w:rPr>
          <w:rStyle w:val="NumeroAFNegritaCaracter"/>
        </w:rPr>
        <w:t>2</w:t>
      </w:r>
      <w:r>
        <w:t>. Comenzando con el examen de los requisitos procesales, plantea problemas, como se ha dicho, el correcto cumplimiento del trámite de audiencia previsto en el artículo 35.2 LOTC. En concreto, la providencia del Juzgado de 10 de octubre de 2001, por la que se otorga a las partes y al Ministerio Fiscal el plazo de diez días al efecto, no señala el precepto constitucional supuestamente infringido por la disposición adicional tercera de la Ley 11/1994, y se limita a referirse a que la parte demandada formuló como primer motivo de oposición a la demanda la solicitud de plantear una cuestión de inconstitucionalidad de tal precepto legal, lo que podría entenderse como una remisión a las alegaciones que, al respecto, se realizaban en tal escrito de contestación a la demanda.</w:t>
      </w:r>
    </w:p>
    <w:p w:rsidR="000B622C" w:rsidRDefault="000B622C" w:rsidP="000B622C">
      <w:pPr>
        <w:pStyle w:val="TextoNormal"/>
      </w:pPr>
      <w:r>
        <w:t>En relación con supuestos análogos al que nos ocupa, en los que la providencia de apertura del tramite de audiencia se remite a los escritos de las partes, este Tribunal viene man</w:t>
      </w:r>
      <w:r>
        <w:lastRenderedPageBreak/>
        <w:t>teniendo una postura muy estricta, llegando a negar que en tal caso se satisfagan las exigencias del artículo 35.2 LOTC. En este sentido se pronuncia el ATC 65/2001, de 27 de marzo (FJ 4).</w:t>
      </w:r>
    </w:p>
    <w:p w:rsidR="000B622C" w:rsidRDefault="000B622C" w:rsidP="000B622C">
      <w:pPr>
        <w:pStyle w:val="TextoNormal"/>
      </w:pPr>
      <w:r>
        <w:t>En otras resoluciones, como el ATC 199/2001, de 4 de julio (FJ 2), tras destacar la importancia del trámite de audiencia y las finalidades a que sirve, cuales son las de garantizar la audiencia de las partes y del Ministerio Fiscal ante una posible decisión judicial de tanta entidad como la de abrir un proceso de inconstitucionalidad, y de poner a disposición del Juez un medio que le permita conocer la opinión de los sujetos interesados, con el fin de facilitar su reflexión sobre la conveniencia o no de proceder a la apertura de dicho proceso, se señala que la remisión "tácita" al escrito de una de las partes difícilmente puede satisfacer las señaladas funciones de este trámite procesal, no obstante lo cual se añade que ello sería posible, siendo entonces necesario, bien que la providencia que otorgue audiencia especifique los preceptos legales cuestionados y las normas constitucionales que el Juez estima de posible vulneración por aquéllos, bien, a falta de una cita concreta de los preceptos constitucionales supuestamente vulnerados, que la duda de constitucionalidad quede mínimamente identificada -indeterminación relativa- ante quienes han de ser oídos, para que sobre la misma puedan versar las alegaciones. En sentido análogo se pronuncian las SSTC 126/1997, de 3 de julio [FJ 4 A)], y 120/2000, de 10 de mayo (FJ 2), destacando que tal indeterminación relativa exige que las partes hayan podido conocer el planteamiento de inconstitucionalidad realizado por el Juez y, atendidas las circunstancias del caso, situarlo en sus exactos términos constitucionales y pronunciarse sobre él, añadiendo que debe exigirse al Auto que plantea la cuestión que no introduzca elementos nuevos que los sujetos interesados en el proceso no han podido previamente conocer ni, por ello, apreciar o impugnar su relevancia para el planteamiento de la cuestión, privándose así al órgano judicial de la opinión de aquéllos y no facilitándose su reflexión sobre los mismos, pues ello es susceptible de desvirtuar el trámite de audiencia que garantiza el artículo 35.2 LOTC.</w:t>
      </w:r>
    </w:p>
    <w:p w:rsidR="000B622C" w:rsidRDefault="000B622C" w:rsidP="000B622C">
      <w:pPr>
        <w:pStyle w:val="TextoNormal"/>
      </w:pPr>
      <w:r>
        <w:t>A todo ello debe añadirse que otras resoluciones de este Tribunal han puesto de manifiesto otras relevantes funciones que cumple el indicado trámite de audiencia. Así, la STC 73/2000, de 14 de marzo (FJ 2), alude a que el mismo facilita el examen por parte de este Tribunal acerca de la viabilidad de la cuestión misma y el alcance del problema constitucional en ella planteado, y el ATC 121/1998, de 21 de mayo (FJ 3), se refiere a la efectiva intervención de las partes en el proceso de formación del criterio judicial a propósito de la necesidad de cuestionar ante este Tribunal una norma con valor de ley, dato este último que el ATC 56/1997, de 25 de febrero (FJ 1), considera esencial a los efectos de tener por cumplidas o no las exigencias del artículo 35.2 LOTC.</w:t>
      </w:r>
    </w:p>
    <w:p w:rsidR="000B622C" w:rsidRDefault="000B622C" w:rsidP="000B622C">
      <w:pPr>
        <w:pStyle w:val="TextoNormal"/>
      </w:pPr>
    </w:p>
    <w:p w:rsidR="000B622C" w:rsidRDefault="000B622C" w:rsidP="000B622C">
      <w:pPr>
        <w:pStyle w:val="TextoNormal"/>
      </w:pPr>
      <w:r w:rsidRPr="000B622C">
        <w:rPr>
          <w:rStyle w:val="NumeroAFNegritaCaracter"/>
        </w:rPr>
        <w:t>3</w:t>
      </w:r>
      <w:r>
        <w:t xml:space="preserve">. Las consideraciones que acabamos de exponer nos llevan a estimar que en el presente supuesto se ha producido un incumplimiento de lo previsto en el artículo 35.2 LOTC, en relación con el trámite de audiencia a las partes y al Ministerio Fiscal. En efecto, aun cuando se acogiera una postura flexible en torno a que la remisión al escrito de contestación a la demanda permitiría integrar el contenido de la providencia por la que se otorga la audiencia, se aprecia una esencial discordancia entre las razones que se exponían en aquel escrito de parte para sostener la inconstitucionalidad del precepto cuestionado y aquellas otras en las que se apoya el órgano judicial, de manera que se ha impedido a las partes y al Ministerio Fiscal identificar la duda judicial de constitucionalidad y situar en sus exactos términos constitucionales el planteamiento judicial, conociendo el sentido y dirección de aquella duda. De este modo, se han incumplido las esenciales funciones del trámite de </w:t>
      </w:r>
      <w:r>
        <w:lastRenderedPageBreak/>
        <w:t>audiencia a que previamente nos hemos referido, impidiendo la intervención de las partes en el proceso de formación del criterio judicial, que hubiere facilitado el examen por parte de este Tribunal acerca de la viabilidad de la cuestión misma y el alcance del problema constitucional en ella planteado y, en definitiva, no permitiendo a las partes manifestar su opinión, oponiéndose o no a las mismas, en torno a las razones que podrían llevar al órgano judicial al planteamiento de la cuestión de inconstitucionalidad.  En suma, como más arriba señalábamos, se ha desvirtuado el trámite de audiencia, en cuanto que el Auto de planteamiento viene a introducir elementos nuevos que los sujetos interesados en el proceso no han podido previamente conocer ni, por ello, apreciar o impugnar su relevancia para el planteamiento de la cuestión, privándose así al órgano judicial de la opinión de aquéllos y no facilitándose su reflexión sobre los mismos.</w:t>
      </w:r>
    </w:p>
    <w:p w:rsidR="000B622C" w:rsidRDefault="000B622C" w:rsidP="000B622C">
      <w:pPr>
        <w:pStyle w:val="TextoNormal"/>
      </w:pPr>
      <w:r>
        <w:t>En efecto, en el escrito de contestación a la demanda, la entidad mercantil Masnou, S.A.  solicitaba el planteamiento de cuestión de inconstitucionalidad respecto de la disposición adicional tercera de la Ley 11/1994 porque, a su juicio, la declaración del Parque Natural del Marjal de Pego-Oliva se oponía a lo previsto en el artículo 13 de la Ley 4/1989, que establece que los Parques deben ser áreas naturales poco transformadas por la explotación y ocupación humana, y porque habiéndose utilizado para la declaración el procedimiento excepcional previsto en el artículo 15 de dicha Ley no existían razones suficientes que lo justificaran y las mismas no se habían hecho constar expresamente en la norma que lo declara. En definitiva, no ofrece dudas que la empresa demandada consideraba que la declaración del Parque Natural por la citada disposición adicional tercera de la Ley 11/1994 era inconstitucional desde el mismo momento en que se produjo, como consecuencia del incumplimiento de las exigencias de la normativa básica estatal. Las alegaciones de la Generalidad Valenciana, giraron efectivamente sobre tales aspectos, negando su realidad, mientras que el Ministerio Fiscal formuló alegaciones de carácter genérico sobre la constitucionalidad del precepto cuestionado.</w:t>
      </w:r>
    </w:p>
    <w:p w:rsidR="000B622C" w:rsidRDefault="000B622C" w:rsidP="000B622C">
      <w:pPr>
        <w:pStyle w:val="TextoNormal"/>
      </w:pPr>
      <w:r>
        <w:t>Muy distintas, sin embargo, son las razones que, en definitiva, llevaron al órgano judicial al planteamiento de la cuestión de inconstitucionalidad y que expresa en su Auto de 19 de noviembre de 2001. Así, a su juicio, no habría existido una inconstitucionalidad de la disposición adicional cuestionada desde su origen, sino una "inconstitucionalidad sobrevenida". En efecto, en relación con lo afirmado por la demandada en su escrito de contestación a la demanda, por un lado no hace referencia ninguna a la supuesta contradicción entre el precepto cuestionado y el artículo 13 de la Ley 4/1989 y, por otra parte, considera, frente a lo por aquélla alegado, que la Ley 11/1994, en su Exposición de Motivos, expresa las razones que justificaban la declaración del Parque Natural.  Por el contrario, expone que la que denomina inconstitucionalidad sobrevenida del precepto derivaría del incumplimiento de la exigencia de la normativa básica estatal relativa al plazo para la aprobación del Plan de Ordenación de los Recursos Naturales. Asimismo, aunque de forma oscura, parece referirse a que la inconstitucionalidad de la disposición adicional podría también ser consecuencia de la circunstancia de que el Parque Natural se hubiera declarado por Ley, sustrayéndose así del control de los Tribunales, con cita del artículo 106 CE.</w:t>
      </w:r>
    </w:p>
    <w:p w:rsidR="000B622C" w:rsidRDefault="000B622C" w:rsidP="000B622C">
      <w:pPr>
        <w:pStyle w:val="TextoNormal"/>
      </w:pPr>
      <w:r>
        <w:t xml:space="preserve">En consecuencia, esta esencial discordancia entre los términos de la duda de constitucionalidad que fueron sometidos a las partes y al Ministerio Fiscal, y aquéllos que sustenten el Auto de planteamiento de la cuestión, determina que se haya incumplido la exigencia del trámite de audiencia previsto en el artículo 35.2 LOTC, procediendo la inadmisión por esta causa procedimental. 4.  Por lo que se refiere a la posibilidad, también advertida en la providencia de la Sección Segunda de este Tribunal de 12 de febrero de 2002, de que la cuestión suscitada resultare notoriamente infundada, debemos comenzar por recordar </w:t>
      </w:r>
      <w:r>
        <w:lastRenderedPageBreak/>
        <w:t>que la citada causa de inadmisión de la cuestión de inconstitucionalidad prevista en el artículo 37.1 LOTC, permite a este Tribunal, como recientemente han tenido ocasión de afirmar los AATC 26/2002, 27/2002 y 28/2002, todos ellos de 26 de febrero (FFJJ 3), un margen de apreciación en el momento de controlar la solidez de la fundamentación de las cuestiones de inconstitucionalidad e inadmitir aquéllas cuyo examen preliminar permita apreciar su falta de viabilidad, sin que ello signifique, necesariamente, una carencia total y absoluta de fundamentación o que ésta resulte arbitraria.</w:t>
      </w:r>
    </w:p>
    <w:p w:rsidR="000B622C" w:rsidRDefault="000B622C" w:rsidP="000B622C">
      <w:pPr>
        <w:pStyle w:val="TextoNormal"/>
      </w:pPr>
      <w:r>
        <w:t>Pues bien, por lo que se refiere, en primer lugar, a la supuesta inconstitucionalidad (que el órgano judicial que plantea la cuestión de inconstitucionalidad denomina "sobrevenida") de la disposición adicional tercera de la Ley 11/1994 por vulneración del artículo 149.1.23ª CE, como consecuencia de que se habría incumplido el requisito exigido en la normativa básica estatal (artículo 15.2 de la Ley 4/1989) de que en el plazo de un año, a partir de la declaración del Parque Natural, se tramitare el correspondiente Plan de Ordenación de los Recursos Naturales, debe estimarse que la cuestión suscitada resulta notoriamente infundada.</w:t>
      </w:r>
    </w:p>
    <w:p w:rsidR="000B622C" w:rsidRDefault="000B622C" w:rsidP="000B622C">
      <w:pPr>
        <w:pStyle w:val="TextoNormal"/>
      </w:pPr>
      <w:r>
        <w:t>En efecto, como se expone en los antecedentes, el Juzgado no duda de la corrección constitucional de la declaración que en su día realizara la Ley 11/1994 del Parque Natural del Marjal de Pego-Oliva. Considera, sin embargo, que la circunstancia de que, en el plazo de un año desde tal declaración, no se haya aprobado el correspondiente Plan de Ordenación de los Recursos Naturales, incumpliendo así las exigencias de la normativa básica estatal, y en concreto del artículo 15.2 de la Ley 4/1989, determina que aquella declaración legal haya incurrido en inconstitucionalidad "sobrevenida". Sin embargo, es claro que si, efectivamente, se hubieran incumplido las exigencias de la normativa básica estatal en cuanto a la aprobación en plazo del correspondiente Plan de Ordenación, ello no determinaría per se la inconstitucionalidad de la disposición adicional tercera de la Ley 11/1994 que efectuó la declaración del citado Parque Natural, sino que, en su caso, podría repercutir sobre los efectos que tal declaración produce. En otras palabras, de lo que se trataría es de establecer las consecuencias jurídicas que el eventual incumplimiento de las previsiones de la normativa básica estatal produce, en relación con la circunstancia de que un concreto espacio natural haya sido declarado previamente como Parque Natural, y con los efectos de tal declaración.  Pero la determinación de esas consecuencias que, como hemos dicho, en nada afectan a la constitucionalidad de la declaración del Parque Natural o, más precisamente, del precepto legal que realizó tal declaración, no es tarea que corresponda a este Tribunal en el presente proceso constitucional sino, precisamente, en su caso, a los órganos judiciales, en su función de selección, interpretación y aplicación de los preceptos que puedan estar relacionados con la cuestión objeto del proceso ante ellos promovido. De este modo, es notorio que la cuestión suscitada ante este Tribunal Constitucional por el Juzgado de Primera Instancia núm. 19 de Valencia resulta infundada, toda vez que las razones expuestas en el Auto de planteamiento no suponen que la disposición adicional tercera de la Ley 11/1994 sea contraria a la Constitución, ni siquiera de forma mediata o indirecta, por vulneración de la normativa básica (STC 163/1995, de 8 de noviembre, FJ 4), debiendo ser el propio órgano judicial cuestionante el que determine las consecuencias que las concretas circunstancias del caso han producido en relación con la eficacia jurídica de la declaración legal, dando la solución que estime procedente a la pretensión de retracto en el proceso del que conoce.</w:t>
      </w:r>
    </w:p>
    <w:p w:rsidR="000B622C" w:rsidRDefault="000B622C" w:rsidP="000B622C">
      <w:pPr>
        <w:pStyle w:val="TextoNormal"/>
      </w:pPr>
      <w:r>
        <w:t>5. Finalmente, debe hacerse una breve referencia a la cuestión, apuntada en la fundamentación jurídica del Auto de planteamiento, no así en su parte dispositiva, de que la disposición adicional tercera de la Ley 11/1994 podría vulnerar la Constitución (en con</w:t>
      </w:r>
      <w:r>
        <w:lastRenderedPageBreak/>
        <w:t>creto, se cita su artículo 106), como consecuencia de que al haberse realizado la declaración del Parque Natural mediante Ley, se sustrae del control de los Tribunales. Baste en este sentido con remitirnos a lo que dijimos en la STC 248/2000, de 19 de octubre (FJ 5), aun cuando allí fuera en relación con la supuesta vulneración del artículo 24.1 CE, donde señalamos que, dentro del marco de la Constitución y respetando sus específicas limitaciones, la Ley puede tener en nuestro ordenamiento cualquier contenido, conclusión que no queda enervada por el hecho de que la Ley contenga un elemento de singularidad que no se aduce que resulte discriminatorio o arbitrario, de modo que si la Ley es conforme a la Constitución pertenece a su propia naturaleza de Ley el no poder ser enjuiciada por los Jueces y Tribunales ordinarios.</w:t>
      </w:r>
    </w:p>
    <w:p w:rsidR="000B622C" w:rsidRDefault="000B622C" w:rsidP="000B622C">
      <w:pPr>
        <w:pStyle w:val="TextoNormal"/>
      </w:pPr>
    </w:p>
    <w:p w:rsidR="000B622C" w:rsidRDefault="000B622C" w:rsidP="000B622C">
      <w:pPr>
        <w:pStyle w:val="TextoNormal"/>
      </w:pPr>
      <w:r>
        <w:t>En virtud de todo lo expuesto, el Pleno del Tribunal Constitucional</w:t>
      </w:r>
    </w:p>
    <w:p w:rsidR="000B622C" w:rsidRDefault="000B622C" w:rsidP="000B622C">
      <w:pPr>
        <w:pStyle w:val="TextoNormal"/>
      </w:pPr>
    </w:p>
    <w:p w:rsidR="000B622C" w:rsidRDefault="000B622C" w:rsidP="000B622C">
      <w:pPr>
        <w:pStyle w:val="TextoNormalCentrado"/>
      </w:pPr>
      <w:r>
        <w:t>ACUERDA</w:t>
      </w:r>
    </w:p>
    <w:p w:rsidR="000B622C" w:rsidRDefault="000B622C" w:rsidP="000B622C">
      <w:pPr>
        <w:pStyle w:val="TextoNormalCentrado"/>
      </w:pPr>
    </w:p>
    <w:p w:rsidR="000B622C" w:rsidRDefault="000B622C" w:rsidP="000B622C">
      <w:pPr>
        <w:pStyle w:val="TextoNormal"/>
      </w:pPr>
      <w:r>
        <w:t>Inadmitir la presente cuestión de inconstitucionalidad.</w:t>
      </w:r>
    </w:p>
    <w:p w:rsidR="000B622C" w:rsidRDefault="000B622C" w:rsidP="000B622C">
      <w:pPr>
        <w:pStyle w:val="TextoNormal"/>
      </w:pPr>
    </w:p>
    <w:p w:rsidR="000B622C" w:rsidRDefault="000B622C" w:rsidP="007F4918">
      <w:pPr>
        <w:pStyle w:val="TextoNormal"/>
      </w:pPr>
      <w:r>
        <w:t>Madrid, a veintitrés de abril de dos mil dos.</w:t>
      </w:r>
    </w:p>
    <w:p w:rsidR="007F4918" w:rsidRDefault="007F4918">
      <w:pPr>
        <w:rPr>
          <w:rFonts w:ascii="Times New Roman" w:eastAsia="Times New Roman" w:hAnsi="Times New Roman" w:cs="Times New Roman"/>
          <w:sz w:val="24"/>
          <w:szCs w:val="24"/>
          <w:lang w:eastAsia="es-ES"/>
        </w:rPr>
      </w:pPr>
      <w:r>
        <w:br w:type="page"/>
      </w:r>
    </w:p>
    <w:p w:rsidR="007F4918" w:rsidRDefault="007F4918" w:rsidP="000B622C">
      <w:pPr>
        <w:pStyle w:val="ParrafoNormal"/>
      </w:pPr>
    </w:p>
    <w:p w:rsidR="007F4918" w:rsidRDefault="007F4918" w:rsidP="007F4918">
      <w:pPr>
        <w:pStyle w:val="TextoNormal"/>
      </w:pPr>
    </w:p>
    <w:p w:rsidR="007F4918" w:rsidRDefault="007F4918" w:rsidP="007F4918">
      <w:pPr>
        <w:pStyle w:val="TextoNormal"/>
      </w:pPr>
    </w:p>
    <w:p w:rsidR="007F4918" w:rsidRDefault="007F4918" w:rsidP="007F4918">
      <w:pPr>
        <w:pStyle w:val="TextoNormal"/>
      </w:pPr>
    </w:p>
    <w:p w:rsidR="007F4918" w:rsidRDefault="00CE7C5E" w:rsidP="007F4918">
      <w:pPr>
        <w:pStyle w:val="Ttulondice"/>
        <w:suppressAutoHyphens/>
      </w:pPr>
      <w:r>
        <w:t>3.</w:t>
      </w:r>
      <w:r w:rsidR="00E95B71">
        <w:t xml:space="preserve"> ÍNDICE DE DISPOSICIONES CON FUERZA DE LEY IMPUGNADAS</w:t>
      </w: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pPr>
    </w:p>
    <w:p w:rsidR="007F4918" w:rsidRDefault="007F4918" w:rsidP="007F4918">
      <w:pPr>
        <w:pStyle w:val="TextoNormal"/>
      </w:pPr>
      <w:bookmarkStart w:id="174" w:name="INDICE22802"/>
      <w:bookmarkEnd w:id="174"/>
    </w:p>
    <w:p w:rsidR="007F4918" w:rsidRDefault="005B36A2" w:rsidP="007F4918">
      <w:pPr>
        <w:pStyle w:val="TextoIndiceNivel2"/>
        <w:suppressAutoHyphens/>
      </w:pPr>
      <w:r>
        <w:t>A) Disposiciones con fuerza de ley del Estado</w:t>
      </w:r>
    </w:p>
    <w:p w:rsidR="007F4918" w:rsidRDefault="007F4918" w:rsidP="007F4918">
      <w:pPr>
        <w:pStyle w:val="TextoIndiceNivel2"/>
      </w:pPr>
    </w:p>
    <w:p w:rsidR="007F4918" w:rsidRDefault="007F4918" w:rsidP="007F4918">
      <w:pPr>
        <w:pStyle w:val="TextoNormalNegritaCursivandice"/>
      </w:pPr>
      <w:r>
        <w:t>Real Decreto de 14 de septiembre de 1882. Ley de enjuiciamiento criminal</w:t>
      </w:r>
    </w:p>
    <w:p w:rsidR="007F4918" w:rsidRDefault="007F4918" w:rsidP="007F4918">
      <w:pPr>
        <w:pStyle w:val="SangriaFrancesaArticulo"/>
      </w:pPr>
      <w:r w:rsidRPr="007F4918">
        <w:rPr>
          <w:rStyle w:val="TextoNormalNegritaCaracter"/>
        </w:rPr>
        <w:t>Artículo 557.</w:t>
      </w:r>
      <w:r w:rsidRPr="007F4918">
        <w:rPr>
          <w:rStyle w:val="TextoNormalCaracter"/>
        </w:rPr>
        <w:t>-</w:t>
      </w:r>
      <w:r>
        <w:t xml:space="preserve"> Sentencia </w:t>
      </w:r>
      <w:hyperlink w:anchor="SENTENCIA_2002_10" w:history="1">
        <w:r w:rsidRPr="007F4918">
          <w:rPr>
            <w:rStyle w:val="TextoNormalCaracter"/>
          </w:rPr>
          <w:t>10/2002</w:t>
        </w:r>
      </w:hyperlink>
      <w:r>
        <w:t xml:space="preserve"> (declara inconstitucional).</w:t>
      </w:r>
    </w:p>
    <w:p w:rsidR="007F4918" w:rsidRDefault="007F4918" w:rsidP="007F4918">
      <w:pPr>
        <w:pStyle w:val="SangriaFrancesaArticulo"/>
      </w:pPr>
    </w:p>
    <w:p w:rsidR="007F4918" w:rsidRDefault="007F4918" w:rsidP="007F4918">
      <w:pPr>
        <w:pStyle w:val="TextoNormalNegritaCursivandice"/>
      </w:pPr>
      <w:r>
        <w:t>Real Decreto de 24 de julio de 1889. Código civil</w:t>
      </w:r>
    </w:p>
    <w:p w:rsidR="007F4918" w:rsidRDefault="007F4918" w:rsidP="007F4918">
      <w:pPr>
        <w:pStyle w:val="SangriaFrancesaArticulo"/>
      </w:pPr>
      <w:r w:rsidRPr="007F4918">
        <w:rPr>
          <w:rStyle w:val="TextoNormalNegritaCaracter"/>
        </w:rPr>
        <w:t>Artículo 9.2</w:t>
      </w:r>
      <w:r>
        <w:t xml:space="preserve"> </w:t>
      </w:r>
      <w:r w:rsidRPr="007F4918">
        <w:rPr>
          <w:rStyle w:val="TextoNormalCaracter"/>
        </w:rPr>
        <w:t>(redactado por Decreto 1836/1974, de 31 de mayo)</w:t>
      </w:r>
      <w:r w:rsidRPr="007F4918">
        <w:rPr>
          <w:rStyle w:val="TextoNormalNegritaCaracter"/>
        </w:rPr>
        <w:t>.</w:t>
      </w:r>
      <w:r w:rsidRPr="007F4918">
        <w:rPr>
          <w:rStyle w:val="TextoNormalCaracter"/>
        </w:rPr>
        <w:t>-</w:t>
      </w:r>
      <w:r>
        <w:t xml:space="preserve"> Sentencia </w:t>
      </w:r>
      <w:hyperlink w:anchor="SENTENCIA_2002_39" w:history="1">
        <w:r w:rsidRPr="007F4918">
          <w:rPr>
            <w:rStyle w:val="TextoNormalCaracter"/>
          </w:rPr>
          <w:t>39/2002</w:t>
        </w:r>
      </w:hyperlink>
      <w:r>
        <w:t xml:space="preserve"> (declara inconstitucional).</w:t>
      </w:r>
    </w:p>
    <w:p w:rsidR="007F4918" w:rsidRDefault="007F4918" w:rsidP="007F4918">
      <w:pPr>
        <w:pStyle w:val="SangriaFrancesaArticulo"/>
      </w:pPr>
    </w:p>
    <w:p w:rsidR="007F4918" w:rsidRDefault="007F4918" w:rsidP="007F4918">
      <w:pPr>
        <w:pStyle w:val="TextoNormalNegritaCursivandice"/>
      </w:pPr>
      <w:r>
        <w:t>Decreto 1836/1974, de 31 de mayo. Texto articulado del título preliminar del Código civil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9" w:history="1">
        <w:r w:rsidRPr="007F4918">
          <w:rPr>
            <w:rStyle w:val="TextoNormalCaracter"/>
          </w:rPr>
          <w:t>39/2002</w:t>
        </w:r>
      </w:hyperlink>
      <w:r>
        <w:t>.</w:t>
      </w:r>
    </w:p>
    <w:p w:rsidR="007F4918" w:rsidRDefault="007F4918" w:rsidP="007F4918">
      <w:pPr>
        <w:pStyle w:val="SangriaFrancesaArticulo"/>
      </w:pPr>
    </w:p>
    <w:p w:rsidR="007F4918" w:rsidRDefault="007F4918" w:rsidP="007F4918">
      <w:pPr>
        <w:pStyle w:val="TextoNormalNegritaCursivandice"/>
      </w:pPr>
      <w:r>
        <w:t>Ley 53/1984, de 26 de diciembre. Incompatibilidades del personal al servicio de las Administraciones públicas</w:t>
      </w:r>
    </w:p>
    <w:p w:rsidR="007F4918" w:rsidRDefault="007F4918" w:rsidP="007F4918">
      <w:pPr>
        <w:pStyle w:val="SangriaFrancesaArticulo"/>
      </w:pPr>
      <w:r w:rsidRPr="007F4918">
        <w:rPr>
          <w:rStyle w:val="TextoNormalNegritaCaracter"/>
        </w:rPr>
        <w:t>Artículo 16.4</w:t>
      </w:r>
      <w:r>
        <w:t xml:space="preserve"> </w:t>
      </w:r>
      <w:r w:rsidRPr="007F4918">
        <w:rPr>
          <w:rStyle w:val="TextoNormalCaracter"/>
        </w:rPr>
        <w:t>(redactado por la Ley 31/1991, de 30 de diciembre)</w:t>
      </w:r>
      <w:r w:rsidRPr="007F4918">
        <w:rPr>
          <w:rStyle w:val="TextoNormalNegritaCaracter"/>
        </w:rPr>
        <w:t>.</w:t>
      </w:r>
      <w:r w:rsidRPr="007F4918">
        <w:rPr>
          <w:rStyle w:val="TextoNormalCaracter"/>
        </w:rPr>
        <w:t>-</w:t>
      </w:r>
      <w:r>
        <w:t xml:space="preserve"> Sentencia </w:t>
      </w:r>
      <w:hyperlink w:anchor="SENTENCIA_2002_67" w:history="1">
        <w:r w:rsidRPr="007F4918">
          <w:rPr>
            <w:rStyle w:val="TextoNormalCaracter"/>
          </w:rPr>
          <w:t>67/2002</w:t>
        </w:r>
      </w:hyperlink>
      <w:r>
        <w:t>.</w:t>
      </w:r>
    </w:p>
    <w:p w:rsidR="007F4918" w:rsidRDefault="007F4918" w:rsidP="007F4918">
      <w:pPr>
        <w:pStyle w:val="SangriaFrancesaArticulo"/>
      </w:pPr>
    </w:p>
    <w:p w:rsidR="007F4918" w:rsidRDefault="007F4918" w:rsidP="007F4918">
      <w:pPr>
        <w:pStyle w:val="TextoNormalNegritaCursivandice"/>
      </w:pPr>
      <w:r>
        <w:t>Ley 7/1985, de 2 de abril. Reguladora de bases del régimen local</w:t>
      </w:r>
    </w:p>
    <w:p w:rsidR="007F4918" w:rsidRDefault="007F4918" w:rsidP="007F4918">
      <w:pPr>
        <w:pStyle w:val="SangriaFrancesaArticulo"/>
      </w:pPr>
      <w:r w:rsidRPr="007F4918">
        <w:rPr>
          <w:rStyle w:val="TextoNormalNegritaCaracter"/>
        </w:rPr>
        <w:t>Artículo 92.2.</w:t>
      </w:r>
      <w:r w:rsidRPr="007F4918">
        <w:rPr>
          <w:rStyle w:val="TextoNormalCaracter"/>
        </w:rPr>
        <w:t>-</w:t>
      </w:r>
      <w:r>
        <w:t xml:space="preserve"> Sentencia </w:t>
      </w:r>
      <w:hyperlink w:anchor="SENTENCIA_2002_37" w:history="1">
        <w:r w:rsidRPr="007F4918">
          <w:rPr>
            <w:rStyle w:val="TextoNormalCaracter"/>
          </w:rPr>
          <w:t>37/2002</w:t>
        </w:r>
      </w:hyperlink>
      <w:r>
        <w:t>.</w:t>
      </w:r>
    </w:p>
    <w:p w:rsidR="007F4918" w:rsidRDefault="007F4918" w:rsidP="007F4918">
      <w:pPr>
        <w:pStyle w:val="SangriaFrancesaArticulo"/>
      </w:pPr>
    </w:p>
    <w:p w:rsidR="007F4918" w:rsidRDefault="007F4918" w:rsidP="007F4918">
      <w:pPr>
        <w:pStyle w:val="TextoNormalNegritaCursivandice"/>
      </w:pPr>
      <w:r>
        <w:t>Ley 31/1991, de 30 de diciembre. Presupuestos generales del Estado para 1992</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67" w:history="1">
        <w:r w:rsidRPr="007F4918">
          <w:rPr>
            <w:rStyle w:val="TextoNormalCaracter"/>
          </w:rPr>
          <w:t>67/2002</w:t>
        </w:r>
      </w:hyperlink>
      <w:r>
        <w:t>.</w:t>
      </w:r>
    </w:p>
    <w:p w:rsidR="007F4918" w:rsidRDefault="007F4918" w:rsidP="007F4918">
      <w:pPr>
        <w:pStyle w:val="SangriaFrancesaArticulo"/>
      </w:pPr>
    </w:p>
    <w:p w:rsidR="007F4918" w:rsidRDefault="007F4918" w:rsidP="007F4918">
      <w:pPr>
        <w:pStyle w:val="TextoNormalNegritaCursivandice"/>
      </w:pPr>
      <w:r>
        <w:t>Ley 39/1992, de 29 de diciembre. Presupuestos generales del Estado para 1993</w:t>
      </w:r>
    </w:p>
    <w:p w:rsidR="007F4918" w:rsidRDefault="007F4918" w:rsidP="007F4918">
      <w:pPr>
        <w:pStyle w:val="SangriaFrancesaArticulo"/>
      </w:pPr>
      <w:r w:rsidRPr="007F4918">
        <w:rPr>
          <w:rStyle w:val="TextoNormalNegritaCaracter"/>
        </w:rPr>
        <w:t>Disposición adicional vigesimotercera, apartado 2.</w:t>
      </w:r>
      <w:r w:rsidRPr="007F4918">
        <w:rPr>
          <w:rStyle w:val="TextoNormalCaracter"/>
        </w:rPr>
        <w:t>-</w:t>
      </w:r>
      <w:r>
        <w:t xml:space="preserve"> Sentencia </w:t>
      </w:r>
      <w:hyperlink w:anchor="SENTENCIA_2002_95" w:history="1">
        <w:r w:rsidRPr="007F4918">
          <w:rPr>
            <w:rStyle w:val="TextoNormalCaracter"/>
          </w:rPr>
          <w:t>95/2002</w:t>
        </w:r>
      </w:hyperlink>
      <w:r>
        <w:t xml:space="preserve"> (delimita).</w:t>
      </w:r>
    </w:p>
    <w:p w:rsidR="007F4918" w:rsidRDefault="007F4918" w:rsidP="007F4918">
      <w:pPr>
        <w:pStyle w:val="SangriaFrancesaArticulo"/>
      </w:pPr>
    </w:p>
    <w:p w:rsidR="007F4918" w:rsidRDefault="007F4918" w:rsidP="007F4918">
      <w:pPr>
        <w:pStyle w:val="TextoNormalNegritaCursivandice"/>
      </w:pPr>
      <w:r>
        <w:lastRenderedPageBreak/>
        <w:t>Ley 9/1994, de 19 de mayo. Modificación de la Ley 5/1984, de 26 de marzo, reguladora del derecho de asilo y de la condición de refugiado</w:t>
      </w:r>
    </w:p>
    <w:p w:rsidR="007F4918" w:rsidRDefault="007F4918" w:rsidP="007F4918">
      <w:pPr>
        <w:pStyle w:val="SangriaFrancesaArticulo"/>
      </w:pPr>
      <w:r w:rsidRPr="007F4918">
        <w:rPr>
          <w:rStyle w:val="TextoNormalNegritaCaracter"/>
        </w:rPr>
        <w:t>Artículo único, apartado 8.</w:t>
      </w:r>
      <w:r w:rsidRPr="007F4918">
        <w:rPr>
          <w:rStyle w:val="TextoNormalCaracter"/>
        </w:rPr>
        <w:t>-</w:t>
      </w:r>
      <w:r>
        <w:t xml:space="preserve"> Sentencia </w:t>
      </w:r>
      <w:hyperlink w:anchor="SENTENCIA_2002_53" w:history="1">
        <w:r w:rsidRPr="007F4918">
          <w:rPr>
            <w:rStyle w:val="TextoNormalCaracter"/>
          </w:rPr>
          <w:t>53/2002</w:t>
        </w:r>
      </w:hyperlink>
      <w:r>
        <w:t>.</w:t>
      </w:r>
    </w:p>
    <w:p w:rsidR="007F4918" w:rsidRDefault="007F4918" w:rsidP="007F4918">
      <w:pPr>
        <w:pStyle w:val="SangriaFrancesaArticulo"/>
      </w:pPr>
    </w:p>
    <w:p w:rsidR="007F4918" w:rsidRDefault="007F4918" w:rsidP="007F4918">
      <w:pPr>
        <w:pStyle w:val="TextoNormalNegritaCursivandice"/>
      </w:pPr>
      <w:r>
        <w:t>Real Decreto-ley 8/1994, de 5 de agosto. Supresión de las Cámaras Oficiales de la Propiedad Urbana y su Consejo Superior como Corporaciones de derecho público y régimen y destino de su patrimonio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w:t>
      </w:r>
    </w:p>
    <w:p w:rsidR="007F4918" w:rsidRDefault="007F4918" w:rsidP="007F4918">
      <w:pPr>
        <w:pStyle w:val="SangriaFrancesaArticulo"/>
      </w:pPr>
    </w:p>
    <w:p w:rsidR="007F4918" w:rsidRDefault="007F4918" w:rsidP="007F4918">
      <w:pPr>
        <w:pStyle w:val="TextoNormalNegritaCursivandice"/>
      </w:pPr>
      <w:r>
        <w:t>Ley 42/1994, de 30 de diciembre. Medidas fiscales, administrativas y de orden social</w:t>
      </w:r>
    </w:p>
    <w:p w:rsidR="007F4918" w:rsidRDefault="007F4918" w:rsidP="007F4918">
      <w:pPr>
        <w:pStyle w:val="SangriaFrancesaArticulo"/>
      </w:pPr>
      <w:r w:rsidRPr="007F4918">
        <w:rPr>
          <w:rStyle w:val="TextoNormalNegritaCaracter"/>
        </w:rPr>
        <w:t>Disposición adicional octava.</w:t>
      </w:r>
      <w:r w:rsidRPr="007F4918">
        <w:rPr>
          <w:rStyle w:val="TextoNormalCaracter"/>
        </w:rPr>
        <w:t>-</w:t>
      </w:r>
      <w:r>
        <w:t xml:space="preserve"> Sentencia </w:t>
      </w:r>
      <w:hyperlink w:anchor="SENTENCIA_2002_96" w:history="1">
        <w:r w:rsidRPr="007F4918">
          <w:rPr>
            <w:rStyle w:val="TextoNormalCaracter"/>
          </w:rPr>
          <w:t>96/2002</w:t>
        </w:r>
      </w:hyperlink>
      <w:r>
        <w:t>.</w:t>
      </w:r>
    </w:p>
    <w:p w:rsidR="007F4918" w:rsidRDefault="007F4918" w:rsidP="007F4918">
      <w:pPr>
        <w:pStyle w:val="SangriaFrancesaArticulo"/>
      </w:pPr>
    </w:p>
    <w:p w:rsidR="007F4918" w:rsidRDefault="007F4918" w:rsidP="007F4918">
      <w:pPr>
        <w:pStyle w:val="TextoNormalNegritaCursivandice"/>
      </w:pPr>
      <w:r>
        <w:t>Ley 26/1995, de 31 de julio. Declara Reserva Natural las Salinas de Ibiza (Ses Salines), las Islas des Freus y las Salinas de Formentera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xml:space="preserve"> (anula).</w:t>
      </w:r>
    </w:p>
    <w:p w:rsidR="007F4918" w:rsidRDefault="007F4918" w:rsidP="007F4918">
      <w:pPr>
        <w:pStyle w:val="SangriaFrancesaArticulo"/>
      </w:pPr>
    </w:p>
    <w:p w:rsidR="007F4918" w:rsidRDefault="007F4918" w:rsidP="007F4918">
      <w:pPr>
        <w:pStyle w:val="TextoNormalNegritaCursivandice"/>
      </w:pPr>
      <w:r>
        <w:t>Ley 42/1995, de 22 de diciembre. Telecomunicaciones por cable</w:t>
      </w:r>
    </w:p>
    <w:p w:rsidR="007F4918" w:rsidRDefault="007F4918" w:rsidP="007F4918">
      <w:pPr>
        <w:pStyle w:val="SangriaFrancesaArticulo"/>
      </w:pPr>
      <w:r w:rsidRPr="007F4918">
        <w:rPr>
          <w:rStyle w:val="TextoNormalNegritaCaracter"/>
        </w:rPr>
        <w:t>Disposición transitoria primera, apartado 4.</w:t>
      </w:r>
      <w:r w:rsidRPr="007F4918">
        <w:rPr>
          <w:rStyle w:val="TextoNormalCaracter"/>
        </w:rPr>
        <w:t>-</w:t>
      </w:r>
      <w:r>
        <w:t xml:space="preserve"> Auto </w:t>
      </w:r>
      <w:hyperlink w:anchor="AUTO_2002_38" w:history="1">
        <w:r w:rsidRPr="007F4918">
          <w:rPr>
            <w:rStyle w:val="TextoNormalCaracter"/>
          </w:rPr>
          <w:t>38/2002</w:t>
        </w:r>
      </w:hyperlink>
      <w:r>
        <w:t>.</w:t>
      </w:r>
    </w:p>
    <w:p w:rsidR="007F4918" w:rsidRDefault="007F4918" w:rsidP="007F4918">
      <w:pPr>
        <w:pStyle w:val="SangriaFrancesaArticulo"/>
      </w:pPr>
    </w:p>
    <w:p w:rsidR="007F4918" w:rsidRDefault="007F4918" w:rsidP="007F4918">
      <w:pPr>
        <w:pStyle w:val="TextoNormalNegritaCursivandice"/>
      </w:pPr>
      <w:r>
        <w:t>Ley Orgánica 6/1997, de 15 de diciembre. Transferencia de competencias ejecutivas en materia de tráfico y circulación de vehículos a motor a la Comunidad Autónoma de Cataluña</w:t>
      </w:r>
    </w:p>
    <w:p w:rsidR="007F4918" w:rsidRDefault="007F4918" w:rsidP="007F4918">
      <w:pPr>
        <w:pStyle w:val="SangriaFrancesaArticulo"/>
      </w:pPr>
      <w:r w:rsidRPr="007F4918">
        <w:rPr>
          <w:rStyle w:val="TextoNormalNegritaCaracter"/>
        </w:rPr>
        <w:t>Artículo 1 a).</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TextoNormal"/>
      </w:pPr>
    </w:p>
    <w:p w:rsidR="007F4918" w:rsidRDefault="007F4918" w:rsidP="007F4918">
      <w:pPr>
        <w:pStyle w:val="SangriaFrancesaArticulo"/>
      </w:pPr>
      <w:bookmarkStart w:id="175" w:name="INDICE22806"/>
    </w:p>
    <w:bookmarkEnd w:id="175"/>
    <w:p w:rsidR="007F4918" w:rsidRDefault="003B5FAF" w:rsidP="007F4918">
      <w:pPr>
        <w:pStyle w:val="TextoIndiceNivel2"/>
        <w:suppressAutoHyphens/>
      </w:pPr>
      <w:r>
        <w:t>B) Disposiciones con fuerza de ley de las Comunidades Autónomas</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B.1) Asturias</w:t>
      </w:r>
    </w:p>
    <w:p w:rsidR="007F4918" w:rsidRDefault="007F4918" w:rsidP="007F4918">
      <w:pPr>
        <w:pStyle w:val="TextoNormalNegritaCentrado"/>
      </w:pPr>
    </w:p>
    <w:p w:rsidR="007F4918" w:rsidRDefault="007F4918" w:rsidP="007F4918">
      <w:pPr>
        <w:pStyle w:val="TextoNormalNegritaCursivandice"/>
      </w:pPr>
      <w:r>
        <w:t>Ley de la Junta General del Principado de Asturias 1/1996, de 26 de abril. Concesión de créditos extraordinarios y suplemento de créditos destinados a atender la actualización de retribuciones, modificación de plantillas y otras obligaciones de personal al servicio de la administración, organismos autónomos y Servicio de salud del Principado de Asturias</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24" w:history="1">
        <w:r w:rsidRPr="007F4918">
          <w:rPr>
            <w:rStyle w:val="TextoNormalCaracter"/>
          </w:rPr>
          <w:t>24/2002</w:t>
        </w:r>
      </w:hyperlink>
      <w:r>
        <w:t>.</w:t>
      </w:r>
    </w:p>
    <w:p w:rsidR="007F4918" w:rsidRDefault="007F4918" w:rsidP="007F4918">
      <w:pPr>
        <w:pStyle w:val="SangriaFrancesaArticulo"/>
      </w:pPr>
      <w:r w:rsidRPr="007F4918">
        <w:rPr>
          <w:rStyle w:val="TextoNormalNegritaCaracter"/>
        </w:rPr>
        <w:t>Artículo 2.1 a).</w:t>
      </w:r>
      <w:r w:rsidRPr="007F4918">
        <w:rPr>
          <w:rStyle w:val="TextoNormalCaracter"/>
        </w:rPr>
        <w:t>-</w:t>
      </w:r>
      <w:r>
        <w:t xml:space="preserve"> Sentencia </w:t>
      </w:r>
      <w:hyperlink w:anchor="SENTENCIA_2002_24" w:history="1">
        <w:r w:rsidRPr="007F4918">
          <w:rPr>
            <w:rStyle w:val="TextoNormalCaracter"/>
          </w:rPr>
          <w:t>24/2002</w:t>
        </w:r>
      </w:hyperlink>
      <w:r>
        <w:t xml:space="preserve"> (anula parcialmente).</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B.2) Baleares</w:t>
      </w:r>
    </w:p>
    <w:p w:rsidR="007F4918" w:rsidRDefault="007F4918" w:rsidP="007F4918">
      <w:pPr>
        <w:pStyle w:val="TextoNormalNegritaCentrado"/>
      </w:pPr>
    </w:p>
    <w:p w:rsidR="007F4918" w:rsidRDefault="007F4918" w:rsidP="007F4918">
      <w:pPr>
        <w:pStyle w:val="TextoNormalNegritaCursivandice"/>
      </w:pPr>
      <w:r>
        <w:t>Ley del Parlamento de las Illes Balears 7/2001, de 23 de abril.  Impuesto sobre las estancias en empresas turísticas de alojamiento.</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p>
    <w:p w:rsidR="007F4918" w:rsidRDefault="007F4918" w:rsidP="007F4918">
      <w:pPr>
        <w:pStyle w:val="TextoNormalNegritaCursivandice"/>
      </w:pPr>
      <w:r>
        <w:t>Ley del Parlamento de las Illes Balears 11/2001, de 15 de junio. Ordenación de la actividad comercial</w:t>
      </w:r>
    </w:p>
    <w:p w:rsidR="007F4918" w:rsidRDefault="007F4918" w:rsidP="007F4918">
      <w:pPr>
        <w:pStyle w:val="SangriaFrancesaArticulo"/>
      </w:pPr>
      <w:r w:rsidRPr="007F4918">
        <w:rPr>
          <w:rStyle w:val="TextoNormalNegritaCaracter"/>
        </w:rPr>
        <w:t>Artículos 4.2, 14.1, 18, 20, 21.1 b), 22.1, 27 a), 28, 35.2, 54.1.</w:t>
      </w:r>
      <w:r w:rsidRPr="007F4918">
        <w:rPr>
          <w:rStyle w:val="TextoNormalCaracter"/>
        </w:rPr>
        <w:t>-</w:t>
      </w:r>
      <w:r>
        <w:t xml:space="preserve"> Autos </w:t>
      </w:r>
      <w:hyperlink w:anchor="AUTO_2002_20" w:history="1">
        <w:r w:rsidRPr="007F4918">
          <w:rPr>
            <w:rStyle w:val="TextoNormalCaracter"/>
          </w:rPr>
          <w:t>20/2002</w:t>
        </w:r>
      </w:hyperlink>
      <w:r>
        <w:t xml:space="preserve">; </w:t>
      </w:r>
      <w:hyperlink w:anchor="AUTO_2002_39" w:history="1">
        <w:r w:rsidRPr="007F4918">
          <w:rPr>
            <w:rStyle w:val="TextoNormalCaracter"/>
          </w:rPr>
          <w:t>39/2002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B.3) Castilla-La Mancha</w:t>
      </w:r>
    </w:p>
    <w:p w:rsidR="007F4918" w:rsidRDefault="007F4918" w:rsidP="007F4918">
      <w:pPr>
        <w:pStyle w:val="TextoNormalNegritaCentrado"/>
      </w:pPr>
    </w:p>
    <w:p w:rsidR="007F4918" w:rsidRDefault="007F4918" w:rsidP="007F4918">
      <w:pPr>
        <w:pStyle w:val="TextoNormalNegritaCursivandice"/>
      </w:pPr>
      <w:r>
        <w:t>Ley de las Cortes de Castilla-La Mancha 11/2000, de 26 de diciembre. Impuesto sobre determinadas actividades que inciden en el medio ambiente</w:t>
      </w:r>
    </w:p>
    <w:p w:rsidR="007F4918" w:rsidRDefault="007F4918" w:rsidP="007F4918">
      <w:pPr>
        <w:pStyle w:val="SangriaFrancesaArticulo"/>
      </w:pPr>
      <w:r w:rsidRPr="007F4918">
        <w:rPr>
          <w:rStyle w:val="TextoNormalNegritaCaracter"/>
        </w:rPr>
        <w:t>Artículos 2.1 apartados b), c), 2.2, 4.2, 5.1 apartados b), c), 6 apartados b), c), 7.4.</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B.4) Cataluña</w:t>
      </w:r>
    </w:p>
    <w:p w:rsidR="007F4918" w:rsidRDefault="007F4918" w:rsidP="007F4918">
      <w:pPr>
        <w:pStyle w:val="TextoNormalNegritaCentrado"/>
      </w:pPr>
    </w:p>
    <w:p w:rsidR="007F4918" w:rsidRDefault="007F4918" w:rsidP="007F4918">
      <w:pPr>
        <w:pStyle w:val="TextoNormalNegritaCursivandice"/>
      </w:pPr>
      <w:r>
        <w:t>Ley del Parlamento de Cataluña 17/1985, de 23 de julio. Función pública de la Administración de la Generalidad</w:t>
      </w:r>
    </w:p>
    <w:p w:rsidR="007F4918" w:rsidRDefault="007F4918" w:rsidP="007F4918">
      <w:pPr>
        <w:pStyle w:val="SangriaFrancesaArticulo"/>
      </w:pPr>
      <w:r w:rsidRPr="007F4918">
        <w:rPr>
          <w:rStyle w:val="TextoNormalNegritaCaracter"/>
        </w:rPr>
        <w:t>Artículos 74.4, 93 n), 97.1 d), 99.</w:t>
      </w:r>
      <w:r w:rsidRPr="007F4918">
        <w:rPr>
          <w:rStyle w:val="TextoNormalCaracter"/>
        </w:rPr>
        <w:t>-</w:t>
      </w:r>
      <w:r>
        <w:t xml:space="preserve"> Sentencia </w:t>
      </w:r>
      <w:hyperlink w:anchor="SENTENCIA_2002_37" w:history="1">
        <w:r w:rsidRPr="007F4918">
          <w:rPr>
            <w:rStyle w:val="TextoNormalCaracter"/>
          </w:rPr>
          <w:t>37/2002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B.5) Navarra</w:t>
      </w:r>
    </w:p>
    <w:p w:rsidR="007F4918" w:rsidRDefault="007F4918" w:rsidP="007F4918">
      <w:pPr>
        <w:pStyle w:val="TextoNormalNegritaCentrado"/>
      </w:pPr>
    </w:p>
    <w:p w:rsidR="007F4918" w:rsidRDefault="007F4918" w:rsidP="007F4918">
      <w:pPr>
        <w:pStyle w:val="TextoNormalNegritaCursivandice"/>
      </w:pPr>
      <w:r>
        <w:t>Ley Foral del Parlamento de Navarra 17/2001, de 12 de julio. Regulación del comercio en Navarra</w:t>
      </w:r>
    </w:p>
    <w:p w:rsidR="007F4918" w:rsidRDefault="007F4918" w:rsidP="007F4918">
      <w:pPr>
        <w:pStyle w:val="SangriaFrancesaArticulo"/>
      </w:pPr>
      <w:r w:rsidRPr="007F4918">
        <w:rPr>
          <w:rStyle w:val="TextoNormalNegritaCaracter"/>
        </w:rPr>
        <w:t>Artículo 23.3.3.</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24.1.</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40.2 c).</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46.1.</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50.2.</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72.1.</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Disposición final segunda.</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B.6) País Vasco</w:t>
      </w:r>
    </w:p>
    <w:p w:rsidR="007F4918" w:rsidRDefault="007F4918" w:rsidP="007F4918">
      <w:pPr>
        <w:pStyle w:val="TextoNormalNegritaCentrado"/>
      </w:pPr>
    </w:p>
    <w:p w:rsidR="007F4918" w:rsidRDefault="007F4918" w:rsidP="007F4918">
      <w:pPr>
        <w:pStyle w:val="TextoNormalNegritaCursivandice"/>
      </w:pPr>
      <w:r>
        <w:t>Ley del Parlamento Vasco 11/1998, de 20 de abril. Modifica la Ley 3/1997, de 25 de abril, que determina la participación de la Comunidad Autónoma en las plusvalías generadas por la acción urbanística</w:t>
      </w:r>
    </w:p>
    <w:p w:rsidR="007F4918" w:rsidRDefault="007F4918" w:rsidP="007F4918">
      <w:pPr>
        <w:pStyle w:val="SangriaFrancesaArticulo"/>
      </w:pPr>
      <w:r w:rsidRPr="007F4918">
        <w:rPr>
          <w:rStyle w:val="TextoNormalNegritaCaracter"/>
        </w:rPr>
        <w:t>Artículo único, 1.</w:t>
      </w:r>
      <w:r w:rsidRPr="007F4918">
        <w:rPr>
          <w:rStyle w:val="TextoNormalCaracter"/>
        </w:rPr>
        <w:t>-</w:t>
      </w:r>
      <w:r>
        <w:t xml:space="preserve"> Sentencia </w:t>
      </w:r>
      <w:hyperlink w:anchor="SENTENCIA_2002_54" w:history="1">
        <w:r w:rsidRPr="007F4918">
          <w:rPr>
            <w:rStyle w:val="TextoNormalCaracter"/>
          </w:rPr>
          <w:t>54/2002</w:t>
        </w:r>
      </w:hyperlink>
      <w:r>
        <w:t xml:space="preserve"> (anula).</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B.7) Valencia</w:t>
      </w:r>
    </w:p>
    <w:p w:rsidR="007F4918" w:rsidRDefault="007F4918" w:rsidP="007F4918">
      <w:pPr>
        <w:pStyle w:val="TextoNormalNegritaCentrado"/>
      </w:pPr>
    </w:p>
    <w:p w:rsidR="007F4918" w:rsidRDefault="007F4918" w:rsidP="007F4918">
      <w:pPr>
        <w:pStyle w:val="TextoNormalNegritaCursivandice"/>
      </w:pPr>
      <w:r>
        <w:t>Ley de las Cortes Valencianas 11/1994, de 27 de diciembre. Espacios naturales protegidos de la Comunidad Valenciana</w:t>
      </w:r>
    </w:p>
    <w:p w:rsidR="007F4918" w:rsidRDefault="007F4918" w:rsidP="007F4918">
      <w:pPr>
        <w:pStyle w:val="SangriaFrancesaArticulo"/>
      </w:pPr>
      <w:r w:rsidRPr="007F4918">
        <w:rPr>
          <w:rStyle w:val="TextoNormalNegritaCaracter"/>
        </w:rPr>
        <w:lastRenderedPageBreak/>
        <w:t>Disposición adicional tercera.</w:t>
      </w:r>
      <w:r w:rsidRPr="007F4918">
        <w:rPr>
          <w:rStyle w:val="TextoNormalCaracter"/>
        </w:rPr>
        <w:t>-</w:t>
      </w:r>
      <w:r>
        <w:t xml:space="preserve"> Auto </w:t>
      </w:r>
      <w:hyperlink w:anchor="AUTO_2002_72" w:history="1">
        <w:r w:rsidRPr="007F4918">
          <w:rPr>
            <w:rStyle w:val="TextoNormalCaracter"/>
          </w:rPr>
          <w:t>72/2002</w:t>
        </w:r>
      </w:hyperlink>
      <w:r>
        <w:t>.</w:t>
      </w:r>
    </w:p>
    <w:p w:rsidR="007F4918" w:rsidRDefault="007F4918">
      <w:pPr>
        <w:rPr>
          <w:rFonts w:ascii="Times New Roman" w:eastAsia="Times New Roman" w:hAnsi="Times New Roman" w:cs="Times New Roman"/>
          <w:sz w:val="24"/>
          <w:szCs w:val="24"/>
          <w:lang w:eastAsia="es-ES"/>
        </w:rPr>
      </w:pPr>
      <w:r>
        <w:br w:type="page"/>
      </w:r>
    </w:p>
    <w:p w:rsidR="007F4918" w:rsidRDefault="007F4918" w:rsidP="007F4918">
      <w:pPr>
        <w:pStyle w:val="SangriaFrancesaArticulo"/>
      </w:pPr>
    </w:p>
    <w:p w:rsidR="007F4918" w:rsidRDefault="007F4918" w:rsidP="007F4918">
      <w:pPr>
        <w:pStyle w:val="TextoNormal"/>
      </w:pPr>
    </w:p>
    <w:p w:rsidR="007F4918" w:rsidRDefault="007F4918" w:rsidP="007F4918">
      <w:pPr>
        <w:pStyle w:val="TextoNormal"/>
      </w:pPr>
    </w:p>
    <w:p w:rsidR="007F4918" w:rsidRDefault="007F4918" w:rsidP="007F4918">
      <w:pPr>
        <w:pStyle w:val="TextoNormal"/>
      </w:pPr>
    </w:p>
    <w:p w:rsidR="007F4918" w:rsidRDefault="00225B2B" w:rsidP="007F4918">
      <w:pPr>
        <w:pStyle w:val="Ttulondice"/>
        <w:suppressAutoHyphens/>
      </w:pPr>
      <w:r>
        <w:t>4. ÍNDICE DE DISPOSICIONES GENERALES IMPUGNADAS</w:t>
      </w: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pPr>
    </w:p>
    <w:p w:rsidR="007F4918" w:rsidRDefault="007F4918" w:rsidP="007F4918">
      <w:pPr>
        <w:pStyle w:val="TextoNormal"/>
      </w:pPr>
      <w:bookmarkStart w:id="176" w:name="INDICE22803"/>
      <w:bookmarkEnd w:id="176"/>
    </w:p>
    <w:p w:rsidR="007F4918" w:rsidRDefault="007F4918" w:rsidP="007F4918">
      <w:pPr>
        <w:pStyle w:val="TextoIndiceNivel2"/>
        <w:suppressAutoHyphens/>
      </w:pPr>
      <w:r>
        <w:t>A) Disposiciones del Estado</w:t>
      </w:r>
    </w:p>
    <w:p w:rsidR="007F4918" w:rsidRDefault="007F4918" w:rsidP="007F4918">
      <w:pPr>
        <w:pStyle w:val="TextoIndiceNivel2"/>
      </w:pPr>
    </w:p>
    <w:p w:rsidR="007F4918" w:rsidRDefault="007F4918" w:rsidP="007F4918">
      <w:pPr>
        <w:pStyle w:val="TextoNormalNegritaCursivandice"/>
      </w:pPr>
      <w:r>
        <w:t>Acuerdo tripartito de formación continua de los trabajadores ocupados, suscrito en Madrid el 22 de diciembre de 1992, entre el Gobierno, Asociaciones Empresariales y Sindicatos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xml:space="preserve"> (delimita).</w:t>
      </w:r>
    </w:p>
    <w:p w:rsidR="007F4918" w:rsidRDefault="007F4918" w:rsidP="007F4918">
      <w:pPr>
        <w:pStyle w:val="SangriaFrancesaArticulo"/>
      </w:pPr>
    </w:p>
    <w:p w:rsidR="007F4918" w:rsidRDefault="007F4918" w:rsidP="007F4918">
      <w:pPr>
        <w:pStyle w:val="TextoNormalNegritaCursivandice"/>
      </w:pPr>
      <w:r>
        <w:t>Orden del Ministerio de  Agricultura, Pesca y Alimentación, de 3 de julio de 1995.  Establece la reserva marina de Cabo de Gata-Níjar.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w:t>
      </w:r>
    </w:p>
    <w:p w:rsidR="007F4918" w:rsidRDefault="007F4918" w:rsidP="007F4918">
      <w:pPr>
        <w:pStyle w:val="SangriaFrancesaArticulo"/>
      </w:pPr>
    </w:p>
    <w:p w:rsidR="007F4918" w:rsidRDefault="007F4918" w:rsidP="007F4918">
      <w:pPr>
        <w:pStyle w:val="TextoNormalNegritaCursivandice"/>
      </w:pPr>
      <w:r>
        <w:t>Acuerdos de la Mesa del Congreso de los Diputados, de 12 de abril de 2000 y de 17 de abril de 2000. Denegación de constitución del Grupo Parlamentario Gallego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64" w:history="1">
        <w:r w:rsidRPr="007F4918">
          <w:rPr>
            <w:rStyle w:val="TextoNormalCaracter"/>
          </w:rPr>
          <w:t>64/2002</w:t>
        </w:r>
      </w:hyperlink>
      <w:r>
        <w:t>.</w:t>
      </w:r>
    </w:p>
    <w:p w:rsidR="007F4918" w:rsidRDefault="007F4918" w:rsidP="007F4918">
      <w:pPr>
        <w:pStyle w:val="TextoNormal"/>
      </w:pPr>
    </w:p>
    <w:p w:rsidR="007F4918" w:rsidRDefault="007F4918" w:rsidP="007F4918">
      <w:pPr>
        <w:pStyle w:val="SangriaFrancesaArticulo"/>
      </w:pPr>
      <w:bookmarkStart w:id="177" w:name="INDICE22824"/>
    </w:p>
    <w:bookmarkEnd w:id="177"/>
    <w:p w:rsidR="007F4918" w:rsidRDefault="007F4918" w:rsidP="007F4918">
      <w:pPr>
        <w:pStyle w:val="TextoIndiceNivel2"/>
        <w:suppressAutoHyphens/>
      </w:pPr>
      <w:r>
        <w:t>B) Disposiciones de las Comunidades y Ciudades Autónomas</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B.1) Andalucía</w:t>
      </w:r>
    </w:p>
    <w:p w:rsidR="007F4918" w:rsidRDefault="007F4918" w:rsidP="007F4918">
      <w:pPr>
        <w:pStyle w:val="TextoNormalNegritaCentrado"/>
      </w:pPr>
    </w:p>
    <w:p w:rsidR="007F4918" w:rsidRDefault="007F4918" w:rsidP="007F4918">
      <w:pPr>
        <w:pStyle w:val="TextoNormalNegritaCursivandice"/>
      </w:pPr>
      <w:r>
        <w:t>Decreto de la Junta de Andalucía 418/1994, de 25 de octubre. Plan de ordenación de los recursos naturales y el Plan rector de uso y gestión del Parque natural Cabo de Gata-Níjar</w:t>
      </w:r>
    </w:p>
    <w:p w:rsidR="007F4918" w:rsidRDefault="007F4918" w:rsidP="007F4918">
      <w:pPr>
        <w:pStyle w:val="SangriaFrancesaArticulo"/>
      </w:pPr>
      <w:r w:rsidRPr="007F4918">
        <w:rPr>
          <w:rStyle w:val="TextoNormalNegritaCaracter"/>
        </w:rPr>
        <w:lastRenderedPageBreak/>
        <w:t>Anexo I, Artículos 18.5, 138, 139.3, 140, 142, 145, 147, 151, 152, 153, 156, 254.2 e), g), 255.1 c), e), 255.2 e), f).</w:t>
      </w:r>
      <w:r w:rsidRPr="007F4918">
        <w:rPr>
          <w:rStyle w:val="TextoNormalCaracter"/>
        </w:rPr>
        <w:t>-</w:t>
      </w:r>
      <w:r>
        <w:t xml:space="preserve"> Sentencia </w:t>
      </w:r>
      <w:hyperlink w:anchor="SENTENCIA_2002_38" w:history="1">
        <w:r w:rsidRPr="007F4918">
          <w:rPr>
            <w:rStyle w:val="TextoNormalCaracter"/>
          </w:rPr>
          <w:t>38/2002</w:t>
        </w:r>
      </w:hyperlink>
      <w:r>
        <w:t xml:space="preserve"> (delimita).</w:t>
      </w:r>
    </w:p>
    <w:p w:rsidR="007F4918" w:rsidRDefault="007F4918" w:rsidP="007F4918">
      <w:pPr>
        <w:pStyle w:val="SangriaFrancesaArticulo"/>
      </w:pPr>
      <w:r w:rsidRPr="007F4918">
        <w:rPr>
          <w:rStyle w:val="TextoNormalNegritaCaracter"/>
        </w:rPr>
        <w:t>Anexo I, Artículos 4.1 a) a g), 24.2, 60.1, 137, 139, 148, 154, 255.1 h).</w:t>
      </w:r>
      <w:r w:rsidRPr="007F4918">
        <w:rPr>
          <w:rStyle w:val="TextoNormalCaracter"/>
        </w:rPr>
        <w:t>-</w:t>
      </w:r>
      <w:r>
        <w:t xml:space="preserve"> Sentencia </w:t>
      </w:r>
      <w:hyperlink w:anchor="SENTENCIA_2002_38" w:history="1">
        <w:r w:rsidRPr="007F4918">
          <w:rPr>
            <w:rStyle w:val="TextoNormalCaracter"/>
          </w:rPr>
          <w:t>38/2002</w:t>
        </w:r>
      </w:hyperlink>
      <w:r>
        <w:t>.</w:t>
      </w:r>
    </w:p>
    <w:p w:rsidR="007F4918" w:rsidRDefault="007F4918" w:rsidP="007F4918">
      <w:pPr>
        <w:pStyle w:val="SangriaFrancesaArticulo"/>
      </w:pPr>
      <w:r w:rsidRPr="007F4918">
        <w:rPr>
          <w:rStyle w:val="TextoNormalNegritaCaracter"/>
        </w:rPr>
        <w:t>Anexo II, Artículos 45.1 a 3, 6, 8, 9, 46.2, 73 a), c).</w:t>
      </w:r>
      <w:r w:rsidRPr="007F4918">
        <w:rPr>
          <w:rStyle w:val="TextoNormalCaracter"/>
        </w:rPr>
        <w:t>-</w:t>
      </w:r>
      <w:r>
        <w:t xml:space="preserve"> Sentencia </w:t>
      </w:r>
      <w:hyperlink w:anchor="SENTENCIA_2002_38" w:history="1">
        <w:r w:rsidRPr="007F4918">
          <w:rPr>
            <w:rStyle w:val="TextoNormalCaracter"/>
          </w:rPr>
          <w:t>38/2002</w:t>
        </w:r>
      </w:hyperlink>
      <w:r>
        <w:t xml:space="preserve"> (delimita).</w:t>
      </w:r>
    </w:p>
    <w:p w:rsidR="007F4918" w:rsidRDefault="007F4918" w:rsidP="007F4918">
      <w:pPr>
        <w:pStyle w:val="SangriaFrancesaArticulo"/>
      </w:pPr>
      <w:r w:rsidRPr="007F4918">
        <w:rPr>
          <w:rStyle w:val="TextoNormalNegritaCaracter"/>
        </w:rPr>
        <w:t>Anexo III.</w:t>
      </w:r>
      <w:r w:rsidRPr="007F4918">
        <w:rPr>
          <w:rStyle w:val="TextoNormalCaracter"/>
        </w:rPr>
        <w:t>-</w:t>
      </w:r>
      <w:r>
        <w:t xml:space="preserve"> Sentencia </w:t>
      </w:r>
      <w:hyperlink w:anchor="SENTENCIA_2002_38" w:history="1">
        <w:r w:rsidRPr="007F4918">
          <w:rPr>
            <w:rStyle w:val="TextoNormalCaracter"/>
          </w:rPr>
          <w:t>38/2002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B.2) Ciudades Autónomas</w:t>
      </w:r>
    </w:p>
    <w:p w:rsidR="007F4918" w:rsidRDefault="007F4918" w:rsidP="007F4918">
      <w:pPr>
        <w:pStyle w:val="TextoNormal"/>
      </w:pPr>
    </w:p>
    <w:p w:rsidR="007F4918" w:rsidRDefault="007F4918" w:rsidP="007F4918">
      <w:pPr>
        <w:pStyle w:val="TextoNormalNegritaCentradoSubrayado"/>
        <w:suppressAutoHyphens/>
      </w:pPr>
      <w:r>
        <w:t>B.2.1) Melilla</w:t>
      </w:r>
    </w:p>
    <w:p w:rsidR="007F4918" w:rsidRDefault="007F4918" w:rsidP="007F4918">
      <w:pPr>
        <w:pStyle w:val="TextoNormalNegritaCentradoSubrayado"/>
      </w:pPr>
    </w:p>
    <w:p w:rsidR="007F4918" w:rsidRDefault="007F4918" w:rsidP="007F4918">
      <w:pPr>
        <w:pStyle w:val="TextoNormalNegritaCursivandice"/>
      </w:pPr>
      <w:r>
        <w:t>Decreto de la Presidencia de la Ciudad de Melilla de 12 de marzo de 1998</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44" w:history="1">
        <w:r w:rsidRPr="007F4918">
          <w:rPr>
            <w:rStyle w:val="TextoNormalCaracter"/>
          </w:rPr>
          <w:t>44/2002</w:t>
        </w:r>
      </w:hyperlink>
      <w:r>
        <w:t>.</w:t>
      </w:r>
    </w:p>
    <w:p w:rsidR="007F4918" w:rsidRDefault="007F4918">
      <w:pPr>
        <w:rPr>
          <w:rFonts w:ascii="Times New Roman" w:eastAsia="Times New Roman" w:hAnsi="Times New Roman" w:cs="Times New Roman"/>
          <w:sz w:val="24"/>
          <w:szCs w:val="24"/>
          <w:lang w:eastAsia="es-ES"/>
        </w:rPr>
      </w:pPr>
      <w:r>
        <w:br w:type="page"/>
      </w:r>
    </w:p>
    <w:p w:rsidR="007F4918" w:rsidRDefault="007F4918" w:rsidP="007F4918">
      <w:pPr>
        <w:pStyle w:val="SangriaFrancesaArticulo"/>
      </w:pPr>
    </w:p>
    <w:p w:rsidR="007F4918" w:rsidRDefault="007F4918" w:rsidP="007F4918">
      <w:pPr>
        <w:pStyle w:val="TextoNormal"/>
      </w:pPr>
    </w:p>
    <w:p w:rsidR="007F4918" w:rsidRDefault="007F4918" w:rsidP="007F4918">
      <w:pPr>
        <w:pStyle w:val="TextoNormal"/>
      </w:pPr>
    </w:p>
    <w:p w:rsidR="007F4918" w:rsidRDefault="007F4918" w:rsidP="007F4918">
      <w:pPr>
        <w:pStyle w:val="TextoNormal"/>
      </w:pPr>
    </w:p>
    <w:p w:rsidR="007F4918" w:rsidRDefault="007F4918" w:rsidP="007F4918">
      <w:pPr>
        <w:pStyle w:val="Ttulondice"/>
        <w:suppressAutoHyphens/>
      </w:pPr>
      <w:r>
        <w:t>5. ÍNDICE DE DISPOSICIONES CITADAS</w:t>
      </w: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pPr>
    </w:p>
    <w:p w:rsidR="007F4918" w:rsidRDefault="007F4918" w:rsidP="007F4918">
      <w:pPr>
        <w:pStyle w:val="TextoNormal"/>
      </w:pPr>
      <w:bookmarkStart w:id="178" w:name="INDICE22804"/>
      <w:bookmarkEnd w:id="178"/>
    </w:p>
    <w:p w:rsidR="007F4918" w:rsidRDefault="007F4918" w:rsidP="007F4918">
      <w:pPr>
        <w:pStyle w:val="TextoIndiceNivel2"/>
        <w:suppressAutoHyphens/>
      </w:pPr>
      <w:r>
        <w:t>A) Constitución</w:t>
      </w:r>
    </w:p>
    <w:p w:rsidR="007F4918" w:rsidRDefault="007F4918" w:rsidP="007F4918">
      <w:pPr>
        <w:pStyle w:val="TextoIndiceNivel2"/>
      </w:pPr>
    </w:p>
    <w:p w:rsidR="007F4918" w:rsidRDefault="007F4918" w:rsidP="007F4918">
      <w:pPr>
        <w:pStyle w:val="TextoNormalNegritaCursivandice"/>
      </w:pPr>
      <w:r>
        <w:t>Constitución española, de 27 de diciembre de 1978</w:t>
      </w:r>
    </w:p>
    <w:p w:rsidR="007F4918" w:rsidRDefault="007F4918" w:rsidP="007F4918">
      <w:pPr>
        <w:pStyle w:val="SangriaFrancesaArticulo"/>
      </w:pPr>
      <w:r w:rsidRPr="007F4918">
        <w:rPr>
          <w:rStyle w:val="TextoNormalNegritaCaracter"/>
        </w:rPr>
        <w:t>Título I, capítulo I.</w:t>
      </w:r>
      <w:r w:rsidRPr="007F4918">
        <w:rPr>
          <w:rStyle w:val="TextoNormalCaracter"/>
        </w:rPr>
        <w:t>-</w:t>
      </w:r>
      <w:r>
        <w:t xml:space="preserve"> Sentencia </w:t>
      </w:r>
      <w:hyperlink w:anchor="SENTENCIA_2002_53" w:history="1">
        <w:r w:rsidRPr="007F4918">
          <w:rPr>
            <w:rStyle w:val="TextoNormalCaracter"/>
          </w:rPr>
          <w:t>53/2002</w:t>
        </w:r>
      </w:hyperlink>
      <w:r>
        <w:t>, f. 4.</w:t>
      </w:r>
    </w:p>
    <w:p w:rsidR="007F4918" w:rsidRDefault="007F4918" w:rsidP="007F4918">
      <w:pPr>
        <w:pStyle w:val="SangriaFrancesaArticulo"/>
      </w:pPr>
      <w:r w:rsidRPr="007F4918">
        <w:rPr>
          <w:rStyle w:val="TextoNormalNegritaCaracter"/>
        </w:rPr>
        <w:t>Título I, capítulo II.</w:t>
      </w:r>
      <w:r w:rsidRPr="007F4918">
        <w:rPr>
          <w:rStyle w:val="TextoNormalCaracter"/>
        </w:rPr>
        <w:t>-</w:t>
      </w:r>
      <w:r>
        <w:t xml:space="preserve"> Sentencia </w:t>
      </w:r>
      <w:hyperlink w:anchor="SENTENCIA_2002_53" w:history="1">
        <w:r w:rsidRPr="007F4918">
          <w:rPr>
            <w:rStyle w:val="TextoNormalCaracter"/>
          </w:rPr>
          <w:t>53/2002</w:t>
        </w:r>
      </w:hyperlink>
      <w:r>
        <w:t>, f. 4.</w:t>
      </w:r>
    </w:p>
    <w:p w:rsidR="007F4918" w:rsidRDefault="007F4918" w:rsidP="007F4918">
      <w:pPr>
        <w:pStyle w:val="SangriaFrancesaArticulo"/>
      </w:pPr>
      <w:r w:rsidRPr="007F4918">
        <w:rPr>
          <w:rStyle w:val="TextoNormalNegritaCaracter"/>
        </w:rPr>
        <w:t>Título III, capítulo II.</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t>Título VIII.</w:t>
      </w:r>
      <w:r w:rsidRPr="007F4918">
        <w:rPr>
          <w:rStyle w:val="TextoNormalCaracter"/>
        </w:rPr>
        <w:t>-</w:t>
      </w:r>
      <w:r>
        <w:t xml:space="preserve"> Sentencia </w:t>
      </w:r>
      <w:hyperlink w:anchor="SENTENCIA_2002_37" w:history="1">
        <w:r w:rsidRPr="007F4918">
          <w:rPr>
            <w:rStyle w:val="TextoNormalCaracter"/>
          </w:rPr>
          <w:t>37/2002</w:t>
        </w:r>
      </w:hyperlink>
      <w:r>
        <w:t>, f. 14.</w:t>
      </w:r>
    </w:p>
    <w:p w:rsidR="007F4918" w:rsidRDefault="007F4918" w:rsidP="007F4918">
      <w:pPr>
        <w:pStyle w:val="SangriaFrancesaArticulo"/>
      </w:pPr>
      <w:r w:rsidRPr="007F4918">
        <w:rPr>
          <w:rStyle w:val="TextoNormalNegritaCaracter"/>
        </w:rPr>
        <w:t>Preámbulo.</w:t>
      </w:r>
      <w:r w:rsidRPr="007F4918">
        <w:rPr>
          <w:rStyle w:val="TextoNormalCaracter"/>
        </w:rPr>
        <w:t>-</w:t>
      </w:r>
      <w:r>
        <w:t xml:space="preserve"> Sentencia </w:t>
      </w:r>
      <w:hyperlink w:anchor="SENTENCIA_2002_96" w:history="1">
        <w:r w:rsidRPr="007F4918">
          <w:rPr>
            <w:rStyle w:val="TextoNormalCaracter"/>
          </w:rPr>
          <w:t>96/2002</w:t>
        </w:r>
      </w:hyperlink>
      <w:r>
        <w:t>, f. 11.</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Sentencias </w:t>
      </w:r>
      <w:hyperlink w:anchor="SENTENCIA_2002_20" w:history="1">
        <w:r w:rsidRPr="007F4918">
          <w:rPr>
            <w:rStyle w:val="TextoNormalCaracter"/>
          </w:rPr>
          <w:t>20/2002</w:t>
        </w:r>
      </w:hyperlink>
      <w:r>
        <w:t xml:space="preserve">, f. 4; </w:t>
      </w:r>
      <w:hyperlink w:anchor="SENTENCIA_2002_37" w:history="1">
        <w:r w:rsidRPr="007F4918">
          <w:rPr>
            <w:rStyle w:val="TextoNormalCaracter"/>
          </w:rPr>
          <w:t>37/2002</w:t>
        </w:r>
      </w:hyperlink>
      <w:r>
        <w:t xml:space="preserve">, f. 12; </w:t>
      </w:r>
      <w:hyperlink w:anchor="SENTENCIA_2002_64" w:history="1">
        <w:r w:rsidRPr="007F4918">
          <w:rPr>
            <w:rStyle w:val="TextoNormalCaracter"/>
          </w:rPr>
          <w:t>64/2002</w:t>
        </w:r>
      </w:hyperlink>
      <w:r>
        <w:t xml:space="preserve">, f. 2; </w:t>
      </w:r>
      <w:hyperlink w:anchor="SENTENCIA_2002_95" w:history="1">
        <w:r w:rsidRPr="007F4918">
          <w:rPr>
            <w:rStyle w:val="TextoNormalCaracter"/>
          </w:rPr>
          <w:t>95/2002</w:t>
        </w:r>
      </w:hyperlink>
      <w:r>
        <w:t>, ff. 19, 20.</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Sentencias </w:t>
      </w:r>
      <w:hyperlink w:anchor="SENTENCIA_2002_35" w:history="1">
        <w:r w:rsidRPr="007F4918">
          <w:rPr>
            <w:rStyle w:val="TextoNormalCaracter"/>
          </w:rPr>
          <w:t>35/2002</w:t>
        </w:r>
      </w:hyperlink>
      <w:r>
        <w:t xml:space="preserve">, f. 3; </w:t>
      </w:r>
      <w:hyperlink w:anchor="SENTENCIA_2002_39" w:history="1">
        <w:r w:rsidRPr="007F4918">
          <w:rPr>
            <w:rStyle w:val="TextoNormalCaracter"/>
          </w:rPr>
          <w:t>39/2002</w:t>
        </w:r>
      </w:hyperlink>
      <w:r>
        <w:t xml:space="preserve">, f. 1; </w:t>
      </w:r>
      <w:hyperlink w:anchor="SENTENCIA_2002_53" w:history="1">
        <w:r w:rsidRPr="007F4918">
          <w:rPr>
            <w:rStyle w:val="TextoNormalCaracter"/>
          </w:rPr>
          <w:t>53/2002</w:t>
        </w:r>
      </w:hyperlink>
      <w:r>
        <w:t xml:space="preserve">, f. 10; </w:t>
      </w:r>
      <w:hyperlink w:anchor="SENTENCIA_2002_57" w:history="1">
        <w:r w:rsidRPr="007F4918">
          <w:rPr>
            <w:rStyle w:val="TextoNormalCaracter"/>
          </w:rPr>
          <w:t>57/2002</w:t>
        </w:r>
      </w:hyperlink>
      <w:r>
        <w:t xml:space="preserve">, f. 2; </w:t>
      </w:r>
      <w:hyperlink w:anchor="SENTENCIA_2002_96" w:history="1">
        <w:r w:rsidRPr="007F4918">
          <w:rPr>
            <w:rStyle w:val="TextoNormalCaracter"/>
          </w:rPr>
          <w:t>96/2002</w:t>
        </w:r>
      </w:hyperlink>
      <w:r>
        <w:t xml:space="preserve">, ff. 1, 8; </w:t>
      </w:r>
      <w:hyperlink w:anchor="SENTENCIA_2002_97" w:history="1">
        <w:r w:rsidRPr="007F4918">
          <w:rPr>
            <w:rStyle w:val="TextoNormalCaracter"/>
          </w:rPr>
          <w:t>97/2002</w:t>
        </w:r>
      </w:hyperlink>
      <w:r>
        <w:t xml:space="preserve">, f. 2; </w:t>
      </w:r>
      <w:hyperlink w:anchor="SENTENCIA_2002_98" w:history="1">
        <w:r w:rsidRPr="007F4918">
          <w:rPr>
            <w:rStyle w:val="TextoNormalCaracter"/>
          </w:rPr>
          <w:t>98/2002</w:t>
        </w:r>
      </w:hyperlink>
      <w:r>
        <w:t>, f. 3.</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96" w:history="1">
        <w:r w:rsidRPr="007F4918">
          <w:rPr>
            <w:rStyle w:val="TextoNormalCaracter"/>
          </w:rPr>
          <w:t>96/2002</w:t>
        </w:r>
      </w:hyperlink>
      <w:r>
        <w:t>, ff. 1, 11, VP II.</w:t>
      </w:r>
    </w:p>
    <w:p w:rsidR="007F4918" w:rsidRDefault="007F4918" w:rsidP="007F4918">
      <w:pPr>
        <w:pStyle w:val="SangriaFrancesaArticulo"/>
      </w:pPr>
      <w:r w:rsidRPr="007F4918">
        <w:rPr>
          <w:rStyle w:val="TextoNormalNegritaCaracter"/>
        </w:rPr>
        <w:t>Artículo 7.</w:t>
      </w:r>
      <w:r w:rsidRPr="007F4918">
        <w:rPr>
          <w:rStyle w:val="TextoNormalCaracter"/>
        </w:rPr>
        <w:t>-</w:t>
      </w:r>
      <w:r>
        <w:t xml:space="preserve"> Sentencia </w:t>
      </w:r>
      <w:hyperlink w:anchor="SENTENCIA_2002_95" w:history="1">
        <w:r w:rsidRPr="007F4918">
          <w:rPr>
            <w:rStyle w:val="TextoNormalCaracter"/>
          </w:rPr>
          <w:t>95/2002</w:t>
        </w:r>
      </w:hyperlink>
      <w:r>
        <w:t>, ff. 19 a 21, VP II.</w:t>
      </w:r>
    </w:p>
    <w:p w:rsidR="007F4918" w:rsidRDefault="007F4918" w:rsidP="007F4918">
      <w:pPr>
        <w:pStyle w:val="SangriaIzquierdaArticulo"/>
      </w:pPr>
      <w:r>
        <w:t xml:space="preserve">Auto </w:t>
      </w:r>
      <w:hyperlink w:anchor="AUTO_2002_12" w:history="1">
        <w:r w:rsidRPr="007F4918">
          <w:rPr>
            <w:rStyle w:val="TextoNormalCaracter"/>
          </w:rPr>
          <w:t>12/2002</w:t>
        </w:r>
      </w:hyperlink>
      <w:r>
        <w:t>.</w:t>
      </w:r>
    </w:p>
    <w:p w:rsidR="007F4918" w:rsidRDefault="007F4918" w:rsidP="007F4918">
      <w:pPr>
        <w:pStyle w:val="SangriaFrancesaArticulo"/>
      </w:pPr>
      <w:r w:rsidRPr="007F4918">
        <w:rPr>
          <w:rStyle w:val="TextoNormalNegritaCaracter"/>
        </w:rPr>
        <w:t>Artículo 9.2.</w:t>
      </w:r>
      <w:r w:rsidRPr="007F4918">
        <w:rPr>
          <w:rStyle w:val="TextoNormalCaracter"/>
        </w:rPr>
        <w:t>-</w:t>
      </w:r>
      <w:r>
        <w:t xml:space="preserve"> Sentencias </w:t>
      </w:r>
      <w:hyperlink w:anchor="SENTENCIA_2002_37" w:history="1">
        <w:r w:rsidRPr="007F4918">
          <w:rPr>
            <w:rStyle w:val="TextoNormalCaracter"/>
          </w:rPr>
          <w:t>37/2002</w:t>
        </w:r>
      </w:hyperlink>
      <w:r>
        <w:t xml:space="preserve">, f. 12; </w:t>
      </w:r>
      <w:hyperlink w:anchor="SENTENCIA_2002_39" w:history="1">
        <w:r w:rsidRPr="007F4918">
          <w:rPr>
            <w:rStyle w:val="TextoNormalCaracter"/>
          </w:rPr>
          <w:t>39/2002</w:t>
        </w:r>
      </w:hyperlink>
      <w:r>
        <w:t xml:space="preserve">, f. 1; </w:t>
      </w:r>
      <w:hyperlink w:anchor="SENTENCIA_2002_57" w:history="1">
        <w:r w:rsidRPr="007F4918">
          <w:rPr>
            <w:rStyle w:val="TextoNormalCaracter"/>
          </w:rPr>
          <w:t>57/2002</w:t>
        </w:r>
      </w:hyperlink>
      <w:r>
        <w:t xml:space="preserve">, f. 2; </w:t>
      </w:r>
      <w:hyperlink w:anchor="SENTENCIA_2002_96" w:history="1">
        <w:r w:rsidRPr="007F4918">
          <w:rPr>
            <w:rStyle w:val="TextoNormalCaracter"/>
          </w:rPr>
          <w:t>96/2002</w:t>
        </w:r>
      </w:hyperlink>
      <w:r>
        <w:t>, f. 1.</w:t>
      </w:r>
    </w:p>
    <w:p w:rsidR="007F4918" w:rsidRDefault="007F4918" w:rsidP="007F4918">
      <w:pPr>
        <w:pStyle w:val="SangriaFrancesaArticulo"/>
      </w:pPr>
      <w:r w:rsidRPr="007F4918">
        <w:rPr>
          <w:rStyle w:val="TextoNormalNegritaCaracter"/>
        </w:rPr>
        <w:t>Artículo 9.3.</w:t>
      </w:r>
      <w:r w:rsidRPr="007F4918">
        <w:rPr>
          <w:rStyle w:val="TextoNormalCaracter"/>
        </w:rPr>
        <w:t>-</w:t>
      </w:r>
      <w:r>
        <w:t xml:space="preserve"> Sentencias </w:t>
      </w:r>
      <w:hyperlink w:anchor="SENTENCIA_2002_3" w:history="1">
        <w:r w:rsidRPr="007F4918">
          <w:rPr>
            <w:rStyle w:val="TextoNormalCaracter"/>
          </w:rPr>
          <w:t>3/2002</w:t>
        </w:r>
      </w:hyperlink>
      <w:r>
        <w:t xml:space="preserve">, f. 2; </w:t>
      </w:r>
      <w:hyperlink w:anchor="SENTENCIA_2002_25" w:history="1">
        <w:r w:rsidRPr="007F4918">
          <w:rPr>
            <w:rStyle w:val="TextoNormalCaracter"/>
          </w:rPr>
          <w:t>25/2002</w:t>
        </w:r>
      </w:hyperlink>
      <w:r>
        <w:t xml:space="preserve">, f. 1; </w:t>
      </w:r>
      <w:hyperlink w:anchor="SENTENCIA_2002_35" w:history="1">
        <w:r w:rsidRPr="007F4918">
          <w:rPr>
            <w:rStyle w:val="TextoNormalCaracter"/>
          </w:rPr>
          <w:t>35/2002</w:t>
        </w:r>
      </w:hyperlink>
      <w:r>
        <w:t xml:space="preserve">, f. 3; </w:t>
      </w:r>
      <w:hyperlink w:anchor="SENTENCIA_2002_67" w:history="1">
        <w:r w:rsidRPr="007F4918">
          <w:rPr>
            <w:rStyle w:val="TextoNormalCaracter"/>
          </w:rPr>
          <w:t>67/2002</w:t>
        </w:r>
      </w:hyperlink>
      <w:r>
        <w:t xml:space="preserve">, ff. 1, 3, 5; </w:t>
      </w:r>
      <w:hyperlink w:anchor="SENTENCIA_2002_96" w:history="1">
        <w:r w:rsidRPr="007F4918">
          <w:rPr>
            <w:rStyle w:val="TextoNormalCaracter"/>
          </w:rPr>
          <w:t>96/2002</w:t>
        </w:r>
      </w:hyperlink>
      <w:r>
        <w:t>, f. 1.</w:t>
      </w:r>
    </w:p>
    <w:p w:rsidR="007F4918" w:rsidRDefault="007F4918" w:rsidP="007F4918">
      <w:pPr>
        <w:pStyle w:val="SangriaFrancesaArticulo"/>
      </w:pPr>
      <w:r w:rsidRPr="007F4918">
        <w:rPr>
          <w:rStyle w:val="TextoNormalNegritaCaracter"/>
        </w:rPr>
        <w:t>Artículo 9.3</w:t>
      </w:r>
      <w:r>
        <w:t xml:space="preserve"> </w:t>
      </w:r>
      <w:r w:rsidRPr="007F4918">
        <w:rPr>
          <w:rStyle w:val="TextoNormalCaracter"/>
        </w:rPr>
        <w:t>(interdicción de la arbitrariedad de los poderes públicos)</w:t>
      </w:r>
      <w:r w:rsidRPr="007F4918">
        <w:rPr>
          <w:rStyle w:val="TextoNormalNegritaCaracter"/>
        </w:rPr>
        <w:t>.</w:t>
      </w:r>
      <w:r w:rsidRPr="007F4918">
        <w:rPr>
          <w:rStyle w:val="TextoNormalCaracter"/>
        </w:rPr>
        <w:t>-</w:t>
      </w:r>
      <w:r>
        <w:t xml:space="preserve"> Sentencias </w:t>
      </w:r>
      <w:hyperlink w:anchor="SENTENCIA_2002_48" w:history="1">
        <w:r w:rsidRPr="007F4918">
          <w:rPr>
            <w:rStyle w:val="TextoNormalCaracter"/>
          </w:rPr>
          <w:t>48/2002</w:t>
        </w:r>
      </w:hyperlink>
      <w:r>
        <w:t xml:space="preserve">, f. 7; </w:t>
      </w:r>
      <w:hyperlink w:anchor="SENTENCIA_2002_74" w:history="1">
        <w:r w:rsidRPr="007F4918">
          <w:rPr>
            <w:rStyle w:val="TextoNormalCaracter"/>
          </w:rPr>
          <w:t>74/2002</w:t>
        </w:r>
      </w:hyperlink>
      <w:r>
        <w:t xml:space="preserve">, f. 3; </w:t>
      </w:r>
      <w:hyperlink w:anchor="SENTENCIA_2002_96" w:history="1">
        <w:r w:rsidRPr="007F4918">
          <w:rPr>
            <w:rStyle w:val="TextoNormalCaracter"/>
          </w:rPr>
          <w:t>96/2002</w:t>
        </w:r>
      </w:hyperlink>
      <w:r>
        <w:t>, ff. 4, 6.</w:t>
      </w:r>
    </w:p>
    <w:p w:rsidR="007F4918" w:rsidRDefault="007F4918" w:rsidP="007F4918">
      <w:pPr>
        <w:pStyle w:val="SangriaFrancesaArticulo"/>
      </w:pPr>
      <w:r w:rsidRPr="007F4918">
        <w:rPr>
          <w:rStyle w:val="TextoNormalNegritaCaracter"/>
        </w:rPr>
        <w:t>Artículo 9.3</w:t>
      </w:r>
      <w:r>
        <w:t xml:space="preserve"> </w:t>
      </w:r>
      <w:r w:rsidRPr="007F4918">
        <w:rPr>
          <w:rStyle w:val="TextoNormalCaracter"/>
        </w:rPr>
        <w:t>(irretroactividad)</w:t>
      </w:r>
      <w:r w:rsidRPr="007F4918">
        <w:rPr>
          <w:rStyle w:val="TextoNormalNegritaCaracter"/>
        </w:rPr>
        <w:t>.</w:t>
      </w:r>
      <w:r w:rsidRPr="007F4918">
        <w:rPr>
          <w:rStyle w:val="TextoNormalCaracter"/>
        </w:rPr>
        <w:t>-</w:t>
      </w:r>
      <w:r>
        <w:t xml:space="preserve"> Sentencia </w:t>
      </w:r>
      <w:hyperlink w:anchor="SENTENCIA_2002_35" w:history="1">
        <w:r w:rsidRPr="007F4918">
          <w:rPr>
            <w:rStyle w:val="TextoNormalCaracter"/>
          </w:rPr>
          <w:t>35/2002</w:t>
        </w:r>
      </w:hyperlink>
      <w:r>
        <w:t>, ff. 1, 2.</w:t>
      </w:r>
    </w:p>
    <w:p w:rsidR="007F4918" w:rsidRDefault="007F4918" w:rsidP="007F4918">
      <w:pPr>
        <w:pStyle w:val="SangriaFrancesaArticulo"/>
      </w:pPr>
      <w:r w:rsidRPr="007F4918">
        <w:rPr>
          <w:rStyle w:val="TextoNormalNegritaCaracter"/>
        </w:rPr>
        <w:t>Artículo 9.3</w:t>
      </w:r>
      <w:r>
        <w:t xml:space="preserve"> </w:t>
      </w:r>
      <w:r w:rsidRPr="007F4918">
        <w:rPr>
          <w:rStyle w:val="TextoNormalCaracter"/>
        </w:rPr>
        <w:t>(seguridad jurídica)</w:t>
      </w:r>
      <w:r w:rsidRPr="007F4918">
        <w:rPr>
          <w:rStyle w:val="TextoNormalNegritaCaracter"/>
        </w:rPr>
        <w:t>.</w:t>
      </w:r>
      <w:r w:rsidRPr="007F4918">
        <w:rPr>
          <w:rStyle w:val="TextoNormalCaracter"/>
        </w:rPr>
        <w:t>-</w:t>
      </w:r>
      <w:r>
        <w:t xml:space="preserve"> Sentencias </w:t>
      </w:r>
      <w:hyperlink w:anchor="SENTENCIA_2002_3" w:history="1">
        <w:r w:rsidRPr="007F4918">
          <w:rPr>
            <w:rStyle w:val="TextoNormalCaracter"/>
          </w:rPr>
          <w:t>3/2002</w:t>
        </w:r>
      </w:hyperlink>
      <w:r>
        <w:t xml:space="preserve">, ff. 1, 2, 4; </w:t>
      </w:r>
      <w:hyperlink w:anchor="SENTENCIA_2002_37" w:history="1">
        <w:r w:rsidRPr="007F4918">
          <w:rPr>
            <w:rStyle w:val="TextoNormalCaracter"/>
          </w:rPr>
          <w:t>37/2002</w:t>
        </w:r>
      </w:hyperlink>
      <w:r>
        <w:t xml:space="preserve">, f. 10; </w:t>
      </w:r>
      <w:hyperlink w:anchor="SENTENCIA_2002_48" w:history="1">
        <w:r w:rsidRPr="007F4918">
          <w:rPr>
            <w:rStyle w:val="TextoNormalCaracter"/>
          </w:rPr>
          <w:t>48/2002</w:t>
        </w:r>
      </w:hyperlink>
      <w:r>
        <w:t xml:space="preserve">, f. 3; </w:t>
      </w:r>
      <w:hyperlink w:anchor="SENTENCIA_2002_54" w:history="1">
        <w:r w:rsidRPr="007F4918">
          <w:rPr>
            <w:rStyle w:val="TextoNormalCaracter"/>
          </w:rPr>
          <w:t>54/2002</w:t>
        </w:r>
      </w:hyperlink>
      <w:r>
        <w:t xml:space="preserve">, f. 9; </w:t>
      </w:r>
      <w:hyperlink w:anchor="SENTENCIA_2002_55" w:history="1">
        <w:r w:rsidRPr="007F4918">
          <w:rPr>
            <w:rStyle w:val="TextoNormalCaracter"/>
          </w:rPr>
          <w:t>55/2002</w:t>
        </w:r>
      </w:hyperlink>
      <w:r>
        <w:t xml:space="preserve">, f. 2; </w:t>
      </w:r>
      <w:hyperlink w:anchor="SENTENCIA_2002_56" w:history="1">
        <w:r w:rsidRPr="007F4918">
          <w:rPr>
            <w:rStyle w:val="TextoNormalCaracter"/>
          </w:rPr>
          <w:t>56/2002</w:t>
        </w:r>
      </w:hyperlink>
      <w:r>
        <w:t xml:space="preserve">, f. 3; </w:t>
      </w:r>
      <w:hyperlink w:anchor="SENTENCIA_2002_67" w:history="1">
        <w:r w:rsidRPr="007F4918">
          <w:rPr>
            <w:rStyle w:val="TextoNormalCaracter"/>
          </w:rPr>
          <w:t>67/2002</w:t>
        </w:r>
      </w:hyperlink>
      <w:r>
        <w:t xml:space="preserve">, f. 1; </w:t>
      </w:r>
      <w:hyperlink w:anchor="SENTENCIA_2002_74" w:history="1">
        <w:r w:rsidRPr="007F4918">
          <w:rPr>
            <w:rStyle w:val="TextoNormalCaracter"/>
          </w:rPr>
          <w:t>74/2002</w:t>
        </w:r>
      </w:hyperlink>
      <w:r>
        <w:t xml:space="preserve">, f. 3; </w:t>
      </w:r>
      <w:hyperlink w:anchor="SENTENCIA_2002_80" w:history="1">
        <w:r w:rsidRPr="007F4918">
          <w:rPr>
            <w:rStyle w:val="TextoNormalCaracter"/>
          </w:rPr>
          <w:t>80/2002</w:t>
        </w:r>
      </w:hyperlink>
      <w:r>
        <w:t xml:space="preserve">, f. 5; </w:t>
      </w:r>
      <w:hyperlink w:anchor="SENTENCIA_2002_96" w:history="1">
        <w:r w:rsidRPr="007F4918">
          <w:rPr>
            <w:rStyle w:val="TextoNormalCaracter"/>
          </w:rPr>
          <w:t>96/2002</w:t>
        </w:r>
      </w:hyperlink>
      <w:r>
        <w:t>, ff. 1, 4, 5.</w:t>
      </w:r>
    </w:p>
    <w:p w:rsidR="007F4918" w:rsidRDefault="007F4918" w:rsidP="007F4918">
      <w:pPr>
        <w:pStyle w:val="SangriaFrancesaArticulo"/>
      </w:pPr>
      <w:r w:rsidRPr="007F4918">
        <w:rPr>
          <w:rStyle w:val="TextoNormalNegritaCaracter"/>
        </w:rPr>
        <w:t>Artículo 10.1.</w:t>
      </w:r>
      <w:r w:rsidRPr="007F4918">
        <w:rPr>
          <w:rStyle w:val="TextoNormalCaracter"/>
        </w:rPr>
        <w:t>-</w:t>
      </w:r>
      <w:r>
        <w:t xml:space="preserve"> Sentencias </w:t>
      </w:r>
      <w:hyperlink w:anchor="SENTENCIA_2002_9" w:history="1">
        <w:r w:rsidRPr="007F4918">
          <w:rPr>
            <w:rStyle w:val="TextoNormalCaracter"/>
          </w:rPr>
          <w:t>9/2002</w:t>
        </w:r>
      </w:hyperlink>
      <w:r>
        <w:t xml:space="preserve">, f. 3; </w:t>
      </w:r>
      <w:hyperlink w:anchor="SENTENCIA_2002_20" w:history="1">
        <w:r w:rsidRPr="007F4918">
          <w:rPr>
            <w:rStyle w:val="TextoNormalCaracter"/>
          </w:rPr>
          <w:t>20/2002</w:t>
        </w:r>
      </w:hyperlink>
      <w:r>
        <w:t xml:space="preserve">, f. 4; </w:t>
      </w:r>
      <w:hyperlink w:anchor="SENTENCIA_2002_27" w:history="1">
        <w:r w:rsidRPr="007F4918">
          <w:rPr>
            <w:rStyle w:val="TextoNormalCaracter"/>
          </w:rPr>
          <w:t>27/2002</w:t>
        </w:r>
      </w:hyperlink>
      <w:r>
        <w:t xml:space="preserve">, f. 3; </w:t>
      </w:r>
      <w:hyperlink w:anchor="SENTENCIA_2002_39" w:history="1">
        <w:r w:rsidRPr="007F4918">
          <w:rPr>
            <w:rStyle w:val="TextoNormalCaracter"/>
          </w:rPr>
          <w:t>39/2002</w:t>
        </w:r>
      </w:hyperlink>
      <w:r>
        <w:t xml:space="preserve">, f. 4; </w:t>
      </w:r>
      <w:hyperlink w:anchor="SENTENCIA_2002_53" w:history="1">
        <w:r w:rsidRPr="007F4918">
          <w:rPr>
            <w:rStyle w:val="TextoNormalCaracter"/>
          </w:rPr>
          <w:t>53/2002</w:t>
        </w:r>
      </w:hyperlink>
      <w:r>
        <w:t xml:space="preserve">, f. 9; </w:t>
      </w:r>
      <w:hyperlink w:anchor="SENTENCIA_2002_56" w:history="1">
        <w:r w:rsidRPr="007F4918">
          <w:rPr>
            <w:rStyle w:val="TextoNormalCaracter"/>
          </w:rPr>
          <w:t>56/2002</w:t>
        </w:r>
      </w:hyperlink>
      <w:r>
        <w:t xml:space="preserve">, f. 3; </w:t>
      </w:r>
      <w:hyperlink w:anchor="SENTENCIA_2002_70" w:history="1">
        <w:r w:rsidRPr="007F4918">
          <w:rPr>
            <w:rStyle w:val="TextoNormalCaracter"/>
          </w:rPr>
          <w:t>70/2002</w:t>
        </w:r>
      </w:hyperlink>
      <w:r>
        <w:t xml:space="preserve">, f. 10; </w:t>
      </w:r>
      <w:hyperlink w:anchor="SENTENCIA_2002_83" w:history="1">
        <w:r w:rsidRPr="007F4918">
          <w:rPr>
            <w:rStyle w:val="TextoNormalCaracter"/>
          </w:rPr>
          <w:t>83/2002</w:t>
        </w:r>
      </w:hyperlink>
      <w:r>
        <w:t>, f. 5.</w:t>
      </w:r>
    </w:p>
    <w:p w:rsidR="007F4918" w:rsidRDefault="007F4918" w:rsidP="007F4918">
      <w:pPr>
        <w:pStyle w:val="SangriaFrancesaArticulo"/>
      </w:pPr>
      <w:r w:rsidRPr="007F4918">
        <w:rPr>
          <w:rStyle w:val="TextoNormalNegritaCaracter"/>
        </w:rPr>
        <w:t>Artículo 10.2.</w:t>
      </w:r>
      <w:r w:rsidRPr="007F4918">
        <w:rPr>
          <w:rStyle w:val="TextoNormalCaracter"/>
        </w:rPr>
        <w:t>-</w:t>
      </w:r>
      <w:r>
        <w:t xml:space="preserve"> Sentencias </w:t>
      </w:r>
      <w:hyperlink w:anchor="SENTENCIA_2002_41" w:history="1">
        <w:r w:rsidRPr="007F4918">
          <w:rPr>
            <w:rStyle w:val="TextoNormalCaracter"/>
          </w:rPr>
          <w:t>41/2002</w:t>
        </w:r>
      </w:hyperlink>
      <w:r>
        <w:t xml:space="preserve">, ff. 2, 3; </w:t>
      </w:r>
      <w:hyperlink w:anchor="SENTENCIA_2002_50" w:history="1">
        <w:r w:rsidRPr="007F4918">
          <w:rPr>
            <w:rStyle w:val="TextoNormalCaracter"/>
          </w:rPr>
          <w:t>50/2002</w:t>
        </w:r>
      </w:hyperlink>
      <w:r>
        <w:t xml:space="preserve">, VP; </w:t>
      </w:r>
      <w:hyperlink w:anchor="SENTENCIA_2002_53" w:history="1">
        <w:r w:rsidRPr="007F4918">
          <w:rPr>
            <w:rStyle w:val="TextoNormalCaracter"/>
          </w:rPr>
          <w:t>53/2002</w:t>
        </w:r>
      </w:hyperlink>
      <w:r>
        <w:t xml:space="preserve">, f. 4; </w:t>
      </w:r>
      <w:hyperlink w:anchor="SENTENCIA_2002_70" w:history="1">
        <w:r w:rsidRPr="007F4918">
          <w:rPr>
            <w:rStyle w:val="TextoNormalCaracter"/>
          </w:rPr>
          <w:t>70/2002</w:t>
        </w:r>
      </w:hyperlink>
      <w:r>
        <w:t xml:space="preserve">, f. 7; </w:t>
      </w:r>
      <w:hyperlink w:anchor="SENTENCIA_2002_71" w:history="1">
        <w:r w:rsidRPr="007F4918">
          <w:rPr>
            <w:rStyle w:val="TextoNormalCaracter"/>
          </w:rPr>
          <w:t>71/2002</w:t>
        </w:r>
      </w:hyperlink>
      <w:r>
        <w:t xml:space="preserve">, VP; </w:t>
      </w:r>
      <w:hyperlink w:anchor="SENTENCIA_2002_91" w:history="1">
        <w:r w:rsidRPr="007F4918">
          <w:rPr>
            <w:rStyle w:val="TextoNormalCaracter"/>
          </w:rPr>
          <w:t>91/2002</w:t>
        </w:r>
      </w:hyperlink>
      <w:r>
        <w:t xml:space="preserve">, f. 3;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Auto </w:t>
      </w:r>
      <w:hyperlink w:anchor="AUTO_2002_3" w:history="1">
        <w:r w:rsidRPr="007F4918">
          <w:rPr>
            <w:rStyle w:val="TextoNormalCaracter"/>
          </w:rPr>
          <w:t>3/2002</w:t>
        </w:r>
      </w:hyperlink>
      <w:r>
        <w:t>.</w:t>
      </w:r>
    </w:p>
    <w:p w:rsidR="007F4918" w:rsidRDefault="007F4918" w:rsidP="007F4918">
      <w:pPr>
        <w:pStyle w:val="SangriaFrancesaArticulo"/>
      </w:pPr>
      <w:r w:rsidRPr="007F4918">
        <w:rPr>
          <w:rStyle w:val="TextoNormalNegritaCaracter"/>
        </w:rPr>
        <w:t>Artículo 13.</w:t>
      </w:r>
      <w:r w:rsidRPr="007F4918">
        <w:rPr>
          <w:rStyle w:val="TextoNormalCaracter"/>
        </w:rPr>
        <w:t>-</w:t>
      </w:r>
      <w:r>
        <w:t xml:space="preserve"> Sentencia </w:t>
      </w:r>
      <w:hyperlink w:anchor="SENTENCIA_2002_96" w:history="1">
        <w:r w:rsidRPr="007F4918">
          <w:rPr>
            <w:rStyle w:val="TextoNormalCaracter"/>
          </w:rPr>
          <w:t>96/2002</w:t>
        </w:r>
      </w:hyperlink>
      <w:r>
        <w:t>, f. 1.</w:t>
      </w:r>
    </w:p>
    <w:p w:rsidR="007F4918" w:rsidRDefault="007F4918" w:rsidP="007F4918">
      <w:pPr>
        <w:pStyle w:val="SangriaFrancesaArticulo"/>
      </w:pPr>
      <w:r w:rsidRPr="007F4918">
        <w:rPr>
          <w:rStyle w:val="TextoNormalNegritaCaracter"/>
        </w:rPr>
        <w:t>Artículo 13.1.</w:t>
      </w:r>
      <w:r w:rsidRPr="007F4918">
        <w:rPr>
          <w:rStyle w:val="TextoNormalCaracter"/>
        </w:rPr>
        <w:t>-</w:t>
      </w:r>
      <w:r>
        <w:t xml:space="preserve"> Sentencia </w:t>
      </w:r>
      <w:hyperlink w:anchor="SENTENCIA_2002_53" w:history="1">
        <w:r w:rsidRPr="007F4918">
          <w:rPr>
            <w:rStyle w:val="TextoNormalCaracter"/>
          </w:rPr>
          <w:t>53/2002</w:t>
        </w:r>
      </w:hyperlink>
      <w:r>
        <w:t>, f. 9, VP I.</w:t>
      </w:r>
    </w:p>
    <w:p w:rsidR="007F4918" w:rsidRDefault="007F4918" w:rsidP="007F4918">
      <w:pPr>
        <w:pStyle w:val="SangriaFrancesaArticulo"/>
      </w:pPr>
      <w:r w:rsidRPr="007F4918">
        <w:rPr>
          <w:rStyle w:val="TextoNormalNegritaCaracter"/>
        </w:rPr>
        <w:lastRenderedPageBreak/>
        <w:t>Artículo 13.4.</w:t>
      </w:r>
      <w:r w:rsidRPr="007F4918">
        <w:rPr>
          <w:rStyle w:val="TextoNormalCaracter"/>
        </w:rPr>
        <w:t>-</w:t>
      </w:r>
      <w:r>
        <w:t xml:space="preserve"> Sentencia </w:t>
      </w:r>
      <w:hyperlink w:anchor="SENTENCIA_2002_53" w:history="1">
        <w:r w:rsidRPr="007F4918">
          <w:rPr>
            <w:rStyle w:val="TextoNormalCaracter"/>
          </w:rPr>
          <w:t>53/2002</w:t>
        </w:r>
      </w:hyperlink>
      <w:r>
        <w:t>, ff. 4, 14.</w:t>
      </w:r>
    </w:p>
    <w:p w:rsidR="007F4918" w:rsidRDefault="007F4918" w:rsidP="007F4918">
      <w:pPr>
        <w:pStyle w:val="SangriaFrancesaArticulo"/>
      </w:pPr>
      <w:r w:rsidRPr="007F4918">
        <w:rPr>
          <w:rStyle w:val="TextoNormalNegritaCaracter"/>
        </w:rPr>
        <w:t>Artículo 14</w:t>
      </w:r>
      <w:r>
        <w:t xml:space="preserve"> </w:t>
      </w:r>
      <w:r w:rsidRPr="007F4918">
        <w:rPr>
          <w:rStyle w:val="TextoNormalCaracter"/>
        </w:rPr>
        <w:t>(discriminación por circunstancias personales o sociales)</w:t>
      </w:r>
      <w:r w:rsidRPr="007F4918">
        <w:rPr>
          <w:rStyle w:val="TextoNormalNegritaCaracter"/>
        </w:rPr>
        <w:t>.</w:t>
      </w:r>
      <w:r w:rsidRPr="007F4918">
        <w:rPr>
          <w:rStyle w:val="TextoNormalCaracter"/>
        </w:rPr>
        <w:t>-</w:t>
      </w:r>
      <w:r>
        <w:t xml:space="preserve"> Sentencias </w:t>
      </w:r>
      <w:hyperlink w:anchor="SENTENCIA_2002_14" w:history="1">
        <w:r w:rsidRPr="007F4918">
          <w:rPr>
            <w:rStyle w:val="TextoNormalCaracter"/>
          </w:rPr>
          <w:t>14/2002</w:t>
        </w:r>
      </w:hyperlink>
      <w:r>
        <w:t xml:space="preserve">, f. 2; </w:t>
      </w:r>
      <w:hyperlink w:anchor="SENTENCIA_2002_29" w:history="1">
        <w:r w:rsidRPr="007F4918">
          <w:rPr>
            <w:rStyle w:val="TextoNormalCaracter"/>
          </w:rPr>
          <w:t>29/2002</w:t>
        </w:r>
      </w:hyperlink>
      <w:r>
        <w:t xml:space="preserve">, ff. 1, 2; </w:t>
      </w:r>
      <w:hyperlink w:anchor="SENTENCIA_2002_30" w:history="1">
        <w:r w:rsidRPr="007F4918">
          <w:rPr>
            <w:rStyle w:val="TextoNormalCaracter"/>
          </w:rPr>
          <w:t>30/2002</w:t>
        </w:r>
      </w:hyperlink>
      <w:r>
        <w:t xml:space="preserve">, f. 2; </w:t>
      </w:r>
      <w:hyperlink w:anchor="SENTENCIA_2002_39" w:history="1">
        <w:r w:rsidRPr="007F4918">
          <w:rPr>
            <w:rStyle w:val="TextoNormalCaracter"/>
          </w:rPr>
          <w:t>39/2002</w:t>
        </w:r>
      </w:hyperlink>
      <w:r>
        <w:t xml:space="preserve">, f. 4; </w:t>
      </w:r>
      <w:hyperlink w:anchor="SENTENCIA_2002_48" w:history="1">
        <w:r w:rsidRPr="007F4918">
          <w:rPr>
            <w:rStyle w:val="TextoNormalCaracter"/>
          </w:rPr>
          <w:t>48/2002</w:t>
        </w:r>
      </w:hyperlink>
      <w:r>
        <w:t xml:space="preserve">, ff. 1, 4; </w:t>
      </w:r>
      <w:hyperlink w:anchor="SENTENCIA_2002_54" w:history="1">
        <w:r w:rsidRPr="007F4918">
          <w:rPr>
            <w:rStyle w:val="TextoNormalCaracter"/>
          </w:rPr>
          <w:t>54/2002</w:t>
        </w:r>
      </w:hyperlink>
      <w:r>
        <w:t xml:space="preserve">, f. 4; </w:t>
      </w:r>
      <w:hyperlink w:anchor="SENTENCIA_2002_64" w:history="1">
        <w:r w:rsidRPr="007F4918">
          <w:rPr>
            <w:rStyle w:val="TextoNormalCaracter"/>
          </w:rPr>
          <w:t>64/2002</w:t>
        </w:r>
      </w:hyperlink>
      <w:r>
        <w:t xml:space="preserve">, f. 8; </w:t>
      </w:r>
      <w:hyperlink w:anchor="SENTENCIA_2002_69" w:history="1">
        <w:r w:rsidRPr="007F4918">
          <w:rPr>
            <w:rStyle w:val="TextoNormalCaracter"/>
          </w:rPr>
          <w:t>69/2002</w:t>
        </w:r>
      </w:hyperlink>
      <w:r>
        <w:t>, f. 2.</w:t>
      </w:r>
    </w:p>
    <w:p w:rsidR="007F4918" w:rsidRDefault="007F4918" w:rsidP="007F4918">
      <w:pPr>
        <w:pStyle w:val="SangriaFrancesaArticulo"/>
      </w:pPr>
      <w:r w:rsidRPr="007F4918">
        <w:rPr>
          <w:rStyle w:val="TextoNormalNegritaCaracter"/>
        </w:rPr>
        <w:t>Artículo 14</w:t>
      </w:r>
      <w:r>
        <w:t xml:space="preserve"> </w:t>
      </w:r>
      <w:r w:rsidRPr="007F4918">
        <w:rPr>
          <w:rStyle w:val="TextoNormalCaracter"/>
        </w:rPr>
        <w:t>(discriminación por sexo)</w:t>
      </w:r>
      <w:r w:rsidRPr="007F4918">
        <w:rPr>
          <w:rStyle w:val="TextoNormalNegritaCaracter"/>
        </w:rPr>
        <w:t>.</w:t>
      </w:r>
      <w:r w:rsidRPr="007F4918">
        <w:rPr>
          <w:rStyle w:val="TextoNormalCaracter"/>
        </w:rPr>
        <w:t>-</w:t>
      </w:r>
      <w:r>
        <w:t xml:space="preserve"> Sentencias </w:t>
      </w:r>
      <w:hyperlink w:anchor="SENTENCIA_2002_39" w:history="1">
        <w:r w:rsidRPr="007F4918">
          <w:rPr>
            <w:rStyle w:val="TextoNormalCaracter"/>
          </w:rPr>
          <w:t>39/2002</w:t>
        </w:r>
      </w:hyperlink>
      <w:r>
        <w:t xml:space="preserve">, f. 3; </w:t>
      </w:r>
      <w:hyperlink w:anchor="SENTENCIA_2002_41" w:history="1">
        <w:r w:rsidRPr="007F4918">
          <w:rPr>
            <w:rStyle w:val="TextoNormalCaracter"/>
          </w:rPr>
          <w:t>41/2002</w:t>
        </w:r>
      </w:hyperlink>
      <w:r>
        <w:t>, ff. 1, 3, 5.</w:t>
      </w:r>
    </w:p>
    <w:p w:rsidR="007F4918" w:rsidRDefault="007F4918" w:rsidP="007F4918">
      <w:pPr>
        <w:pStyle w:val="SangriaFrancesaArticulo"/>
      </w:pPr>
      <w:r w:rsidRPr="007F4918">
        <w:rPr>
          <w:rStyle w:val="TextoNormalNegritaCaracter"/>
        </w:rPr>
        <w:t>Artículo 14</w:t>
      </w:r>
      <w:r>
        <w:t xml:space="preserve"> </w:t>
      </w:r>
      <w:r w:rsidRPr="007F4918">
        <w:rPr>
          <w:rStyle w:val="TextoNormalCaracter"/>
        </w:rPr>
        <w:t>(igualdad en la aplicación de la ley)</w:t>
      </w:r>
      <w:r w:rsidRPr="007F4918">
        <w:rPr>
          <w:rStyle w:val="TextoNormalNegritaCaracter"/>
        </w:rPr>
        <w:t>.</w:t>
      </w:r>
      <w:r w:rsidRPr="007F4918">
        <w:rPr>
          <w:rStyle w:val="TextoNormalCaracter"/>
        </w:rPr>
        <w:t>-</w:t>
      </w:r>
      <w:r>
        <w:t xml:space="preserve"> Sentencias </w:t>
      </w:r>
      <w:hyperlink w:anchor="SENTENCIA_2002_7" w:history="1">
        <w:r w:rsidRPr="007F4918">
          <w:rPr>
            <w:rStyle w:val="TextoNormalCaracter"/>
          </w:rPr>
          <w:t>7/2002</w:t>
        </w:r>
      </w:hyperlink>
      <w:r>
        <w:t xml:space="preserve">, f. 1; </w:t>
      </w:r>
      <w:hyperlink w:anchor="SENTENCIA_2002_21" w:history="1">
        <w:r w:rsidRPr="007F4918">
          <w:rPr>
            <w:rStyle w:val="TextoNormalCaracter"/>
          </w:rPr>
          <w:t>21/2002</w:t>
        </w:r>
      </w:hyperlink>
      <w:r>
        <w:t xml:space="preserve">, f. 1; </w:t>
      </w:r>
      <w:hyperlink w:anchor="SENTENCIA_2002_33" w:history="1">
        <w:r w:rsidRPr="007F4918">
          <w:rPr>
            <w:rStyle w:val="TextoNormalCaracter"/>
          </w:rPr>
          <w:t>33/2002</w:t>
        </w:r>
      </w:hyperlink>
      <w:r>
        <w:t xml:space="preserve">, f. 3; </w:t>
      </w:r>
      <w:hyperlink w:anchor="SENTENCIA_2002_39" w:history="1">
        <w:r w:rsidRPr="007F4918">
          <w:rPr>
            <w:rStyle w:val="TextoNormalCaracter"/>
          </w:rPr>
          <w:t>39/2002</w:t>
        </w:r>
      </w:hyperlink>
      <w:r>
        <w:t xml:space="preserve">, f. 4; </w:t>
      </w:r>
      <w:hyperlink w:anchor="SENTENCIA_2002_74" w:history="1">
        <w:r w:rsidRPr="007F4918">
          <w:rPr>
            <w:rStyle w:val="TextoNormalCaracter"/>
          </w:rPr>
          <w:t>74/2002</w:t>
        </w:r>
      </w:hyperlink>
      <w:r>
        <w:t xml:space="preserve">, ff. 1, 7; </w:t>
      </w:r>
      <w:hyperlink w:anchor="SENTENCIA_2002_96" w:history="1">
        <w:r w:rsidRPr="007F4918">
          <w:rPr>
            <w:rStyle w:val="TextoNormalCaracter"/>
          </w:rPr>
          <w:t>96/2002</w:t>
        </w:r>
      </w:hyperlink>
      <w:r>
        <w:t>, f. 7.</w:t>
      </w:r>
    </w:p>
    <w:p w:rsidR="007F4918" w:rsidRDefault="007F4918" w:rsidP="007F4918">
      <w:pPr>
        <w:pStyle w:val="SangriaIzquierdaArticulo"/>
      </w:pPr>
      <w:r>
        <w:t xml:space="preserve">Auto </w:t>
      </w:r>
      <w:hyperlink w:anchor="AUTO_2002_56" w:history="1">
        <w:r w:rsidRPr="007F4918">
          <w:rPr>
            <w:rStyle w:val="TextoNormalCaracter"/>
          </w:rPr>
          <w:t>56/2002</w:t>
        </w:r>
      </w:hyperlink>
      <w:r>
        <w:t>.</w:t>
      </w:r>
    </w:p>
    <w:p w:rsidR="007F4918" w:rsidRDefault="007F4918" w:rsidP="007F4918">
      <w:pPr>
        <w:pStyle w:val="SangriaFrancesaArticulo"/>
      </w:pPr>
      <w:r w:rsidRPr="007F4918">
        <w:rPr>
          <w:rStyle w:val="TextoNormalNegritaCaracter"/>
        </w:rPr>
        <w:t>Artículo 14</w:t>
      </w:r>
      <w:r>
        <w:t xml:space="preserve"> </w:t>
      </w:r>
      <w:r w:rsidRPr="007F4918">
        <w:rPr>
          <w:rStyle w:val="TextoNormalCaracter"/>
        </w:rPr>
        <w:t>(igualdad en la ley)</w:t>
      </w:r>
      <w:r w:rsidRPr="007F4918">
        <w:rPr>
          <w:rStyle w:val="TextoNormalNegritaCaracter"/>
        </w:rPr>
        <w:t>.</w:t>
      </w:r>
      <w:r w:rsidRPr="007F4918">
        <w:rPr>
          <w:rStyle w:val="TextoNormalCaracter"/>
        </w:rPr>
        <w:t>-</w:t>
      </w:r>
      <w:r>
        <w:t xml:space="preserve"> Sentencias </w:t>
      </w:r>
      <w:hyperlink w:anchor="SENTENCIA_2002_3" w:history="1">
        <w:r w:rsidRPr="007F4918">
          <w:rPr>
            <w:rStyle w:val="TextoNormalCaracter"/>
          </w:rPr>
          <w:t>3/2002</w:t>
        </w:r>
      </w:hyperlink>
      <w:r>
        <w:t xml:space="preserve">, ff. 1, 2; </w:t>
      </w:r>
      <w:hyperlink w:anchor="SENTENCIA_2002_7" w:history="1">
        <w:r w:rsidRPr="007F4918">
          <w:rPr>
            <w:rStyle w:val="TextoNormalCaracter"/>
          </w:rPr>
          <w:t>7/2002</w:t>
        </w:r>
      </w:hyperlink>
      <w:r>
        <w:t xml:space="preserve">, f. 1; </w:t>
      </w:r>
      <w:hyperlink w:anchor="SENTENCIA_2002_9" w:history="1">
        <w:r w:rsidRPr="007F4918">
          <w:rPr>
            <w:rStyle w:val="TextoNormalCaracter"/>
          </w:rPr>
          <w:t>9/2002</w:t>
        </w:r>
      </w:hyperlink>
      <w:r>
        <w:t xml:space="preserve">, f. 3; </w:t>
      </w:r>
      <w:hyperlink w:anchor="SENTENCIA_2002_11" w:history="1">
        <w:r w:rsidRPr="007F4918">
          <w:rPr>
            <w:rStyle w:val="TextoNormalCaracter"/>
          </w:rPr>
          <w:t>11/2002</w:t>
        </w:r>
      </w:hyperlink>
      <w:r>
        <w:t xml:space="preserve">, f. 2; </w:t>
      </w:r>
      <w:hyperlink w:anchor="SENTENCIA_2002_14" w:history="1">
        <w:r w:rsidRPr="007F4918">
          <w:rPr>
            <w:rStyle w:val="TextoNormalCaracter"/>
          </w:rPr>
          <w:t>14/2002</w:t>
        </w:r>
      </w:hyperlink>
      <w:r>
        <w:t xml:space="preserve">, ff. 1, 2; </w:t>
      </w:r>
      <w:hyperlink w:anchor="SENTENCIA_2002_21" w:history="1">
        <w:r w:rsidRPr="007F4918">
          <w:rPr>
            <w:rStyle w:val="TextoNormalCaracter"/>
          </w:rPr>
          <w:t>21/2002</w:t>
        </w:r>
      </w:hyperlink>
      <w:r>
        <w:t xml:space="preserve">, f. 4; </w:t>
      </w:r>
      <w:hyperlink w:anchor="SENTENCIA_2002_29" w:history="1">
        <w:r w:rsidRPr="007F4918">
          <w:rPr>
            <w:rStyle w:val="TextoNormalCaracter"/>
          </w:rPr>
          <w:t>29/2002</w:t>
        </w:r>
      </w:hyperlink>
      <w:r>
        <w:t xml:space="preserve">, f. 2; </w:t>
      </w:r>
      <w:hyperlink w:anchor="SENTENCIA_2002_30" w:history="1">
        <w:r w:rsidRPr="007F4918">
          <w:rPr>
            <w:rStyle w:val="TextoNormalCaracter"/>
          </w:rPr>
          <w:t>30/2002</w:t>
        </w:r>
      </w:hyperlink>
      <w:r>
        <w:t xml:space="preserve">, ff. 1, 2; </w:t>
      </w:r>
      <w:hyperlink w:anchor="SENTENCIA_2002_33" w:history="1">
        <w:r w:rsidRPr="007F4918">
          <w:rPr>
            <w:rStyle w:val="TextoNormalCaracter"/>
          </w:rPr>
          <w:t>33/2002</w:t>
        </w:r>
      </w:hyperlink>
      <w:r>
        <w:t xml:space="preserve">, f. 1; </w:t>
      </w:r>
      <w:hyperlink w:anchor="SENTENCIA_2002_34" w:history="1">
        <w:r w:rsidRPr="007F4918">
          <w:rPr>
            <w:rStyle w:val="TextoNormalCaracter"/>
          </w:rPr>
          <w:t>34/2002</w:t>
        </w:r>
      </w:hyperlink>
      <w:r>
        <w:t xml:space="preserve">, ff. 1, 2; </w:t>
      </w:r>
      <w:hyperlink w:anchor="SENTENCIA_2002_37" w:history="1">
        <w:r w:rsidRPr="007F4918">
          <w:rPr>
            <w:rStyle w:val="TextoNormalCaracter"/>
          </w:rPr>
          <w:t>37/2002</w:t>
        </w:r>
      </w:hyperlink>
      <w:r>
        <w:t xml:space="preserve">, ff. 12, 15; </w:t>
      </w:r>
      <w:hyperlink w:anchor="SENTENCIA_2002_39" w:history="1">
        <w:r w:rsidRPr="007F4918">
          <w:rPr>
            <w:rStyle w:val="TextoNormalCaracter"/>
          </w:rPr>
          <w:t>39/2002</w:t>
        </w:r>
      </w:hyperlink>
      <w:r>
        <w:t xml:space="preserve">, ff. 1, 2, 4, 5; </w:t>
      </w:r>
      <w:hyperlink w:anchor="SENTENCIA_2002_41" w:history="1">
        <w:r w:rsidRPr="007F4918">
          <w:rPr>
            <w:rStyle w:val="TextoNormalCaracter"/>
          </w:rPr>
          <w:t>41/2002</w:t>
        </w:r>
      </w:hyperlink>
      <w:r>
        <w:t xml:space="preserve">, f. 1; </w:t>
      </w:r>
      <w:hyperlink w:anchor="SENTENCIA_2002_48" w:history="1">
        <w:r w:rsidRPr="007F4918">
          <w:rPr>
            <w:rStyle w:val="TextoNormalCaracter"/>
          </w:rPr>
          <w:t>48/2002</w:t>
        </w:r>
      </w:hyperlink>
      <w:r>
        <w:t xml:space="preserve">, f. 4; </w:t>
      </w:r>
      <w:hyperlink w:anchor="SENTENCIA_2002_57" w:history="1">
        <w:r w:rsidRPr="007F4918">
          <w:rPr>
            <w:rStyle w:val="TextoNormalCaracter"/>
          </w:rPr>
          <w:t>57/2002</w:t>
        </w:r>
      </w:hyperlink>
      <w:r>
        <w:t xml:space="preserve">, f. 2; </w:t>
      </w:r>
      <w:hyperlink w:anchor="SENTENCIA_2002_64" w:history="1">
        <w:r w:rsidRPr="007F4918">
          <w:rPr>
            <w:rStyle w:val="TextoNormalCaracter"/>
          </w:rPr>
          <w:t>64/2002</w:t>
        </w:r>
      </w:hyperlink>
      <w:r>
        <w:t xml:space="preserve">, ff. 1, 7, 8; </w:t>
      </w:r>
      <w:hyperlink w:anchor="SENTENCIA_2002_69" w:history="1">
        <w:r w:rsidRPr="007F4918">
          <w:rPr>
            <w:rStyle w:val="TextoNormalCaracter"/>
          </w:rPr>
          <w:t>69/2002</w:t>
        </w:r>
      </w:hyperlink>
      <w:r>
        <w:t xml:space="preserve">, f. 2; </w:t>
      </w:r>
      <w:hyperlink w:anchor="SENTENCIA_2002_71" w:history="1">
        <w:r w:rsidRPr="007F4918">
          <w:rPr>
            <w:rStyle w:val="TextoNormalCaracter"/>
          </w:rPr>
          <w:t>71/2002</w:t>
        </w:r>
      </w:hyperlink>
      <w:r>
        <w:t xml:space="preserve">, ff. 1, 7, VP; </w:t>
      </w:r>
      <w:hyperlink w:anchor="SENTENCIA_2002_74" w:history="1">
        <w:r w:rsidRPr="007F4918">
          <w:rPr>
            <w:rStyle w:val="TextoNormalCaracter"/>
          </w:rPr>
          <w:t>74/2002</w:t>
        </w:r>
      </w:hyperlink>
      <w:r>
        <w:t xml:space="preserve">, f. 3; </w:t>
      </w:r>
      <w:hyperlink w:anchor="SENTENCIA_2002_96" w:history="1">
        <w:r w:rsidRPr="007F4918">
          <w:rPr>
            <w:rStyle w:val="TextoNormalCaracter"/>
          </w:rPr>
          <w:t>96/2002</w:t>
        </w:r>
      </w:hyperlink>
      <w:r>
        <w:t>, ff. 1, 4, 7, 12, VP I.</w:t>
      </w:r>
    </w:p>
    <w:p w:rsidR="007F4918" w:rsidRDefault="007F4918" w:rsidP="007F4918">
      <w:pPr>
        <w:pStyle w:val="SangriaIzquierdaArticulo"/>
      </w:pPr>
      <w:r>
        <w:t xml:space="preserve">Autos </w:t>
      </w:r>
      <w:hyperlink w:anchor="AUTO_2002_3" w:history="1">
        <w:r w:rsidRPr="007F4918">
          <w:rPr>
            <w:rStyle w:val="TextoNormalCaracter"/>
          </w:rPr>
          <w:t>3/2002</w:t>
        </w:r>
      </w:hyperlink>
      <w:r>
        <w:t xml:space="preserve">; </w:t>
      </w:r>
      <w:hyperlink w:anchor="AUTO_2002_8" w:history="1">
        <w:r w:rsidRPr="007F4918">
          <w:rPr>
            <w:rStyle w:val="TextoNormalCaracter"/>
          </w:rPr>
          <w:t>8/2002</w:t>
        </w:r>
      </w:hyperlink>
      <w:r>
        <w:t>.</w:t>
      </w:r>
    </w:p>
    <w:p w:rsidR="007F4918" w:rsidRDefault="007F4918" w:rsidP="007F4918">
      <w:pPr>
        <w:pStyle w:val="SangriaFrancesaArticulo"/>
      </w:pPr>
      <w:r w:rsidRPr="007F4918">
        <w:rPr>
          <w:rStyle w:val="TextoNormalNegritaCaracter"/>
        </w:rPr>
        <w:t>Artículos 14 a 29 y 30.2.</w:t>
      </w:r>
      <w:r w:rsidRPr="007F4918">
        <w:rPr>
          <w:rStyle w:val="TextoNormalCaracter"/>
        </w:rPr>
        <w:t>-</w:t>
      </w:r>
      <w:r>
        <w:t xml:space="preserve"> Sentencias </w:t>
      </w:r>
      <w:hyperlink w:anchor="SENTENCIA_2002_21" w:history="1">
        <w:r w:rsidRPr="007F4918">
          <w:rPr>
            <w:rStyle w:val="TextoNormalCaracter"/>
          </w:rPr>
          <w:t>21/2002</w:t>
        </w:r>
      </w:hyperlink>
      <w:r>
        <w:t xml:space="preserve">, f. 2; </w:t>
      </w:r>
      <w:hyperlink w:anchor="SENTENCIA_2002_41" w:history="1">
        <w:r w:rsidRPr="007F4918">
          <w:rPr>
            <w:rStyle w:val="TextoNormalCaracter"/>
          </w:rPr>
          <w:t>41/2002</w:t>
        </w:r>
      </w:hyperlink>
      <w:r>
        <w:t>, f. 2.</w:t>
      </w:r>
    </w:p>
    <w:p w:rsidR="007F4918" w:rsidRDefault="007F4918" w:rsidP="007F4918">
      <w:pPr>
        <w:pStyle w:val="SangriaFrancesaArticulo"/>
      </w:pPr>
      <w:r w:rsidRPr="007F4918">
        <w:rPr>
          <w:rStyle w:val="TextoNormalNegritaCaracter"/>
        </w:rPr>
        <w:t>Artículo 15.</w:t>
      </w:r>
      <w:r w:rsidRPr="007F4918">
        <w:rPr>
          <w:rStyle w:val="TextoNormalCaracter"/>
        </w:rPr>
        <w:t>-</w:t>
      </w:r>
      <w:r>
        <w:t xml:space="preserve"> Sentencias </w:t>
      </w:r>
      <w:hyperlink w:anchor="SENTENCIA_2002_5" w:history="1">
        <w:r w:rsidRPr="007F4918">
          <w:rPr>
            <w:rStyle w:val="TextoNormalCaracter"/>
          </w:rPr>
          <w:t>5/2002</w:t>
        </w:r>
      </w:hyperlink>
      <w:r>
        <w:t xml:space="preserve">, ff. 1, 4; </w:t>
      </w:r>
      <w:hyperlink w:anchor="SENTENCIA_2002_9" w:history="1">
        <w:r w:rsidRPr="007F4918">
          <w:rPr>
            <w:rStyle w:val="TextoNormalCaracter"/>
          </w:rPr>
          <w:t>9/2002</w:t>
        </w:r>
      </w:hyperlink>
      <w:r>
        <w:t xml:space="preserve">, f. 3; </w:t>
      </w:r>
      <w:hyperlink w:anchor="SENTENCIA_2002_71" w:history="1">
        <w:r w:rsidRPr="007F4918">
          <w:rPr>
            <w:rStyle w:val="TextoNormalCaracter"/>
          </w:rPr>
          <w:t>71/2002</w:t>
        </w:r>
      </w:hyperlink>
      <w:r>
        <w:t>, f. 1.</w:t>
      </w:r>
    </w:p>
    <w:p w:rsidR="007F4918" w:rsidRDefault="007F4918" w:rsidP="007F4918">
      <w:pPr>
        <w:pStyle w:val="SangriaFrancesaArticulo"/>
      </w:pPr>
      <w:r w:rsidRPr="007F4918">
        <w:rPr>
          <w:rStyle w:val="TextoNormalNegritaCaracter"/>
        </w:rPr>
        <w:t>Artículo 17.</w:t>
      </w:r>
      <w:r w:rsidRPr="007F4918">
        <w:rPr>
          <w:rStyle w:val="TextoNormalCaracter"/>
        </w:rPr>
        <w:t>-</w:t>
      </w:r>
      <w:r>
        <w:t xml:space="preserve"> Sentencias </w:t>
      </w:r>
      <w:hyperlink w:anchor="SENTENCIA_2002_3" w:history="1">
        <w:r w:rsidRPr="007F4918">
          <w:rPr>
            <w:rStyle w:val="TextoNormalCaracter"/>
          </w:rPr>
          <w:t>3/2002</w:t>
        </w:r>
      </w:hyperlink>
      <w:r>
        <w:t xml:space="preserve">, ff. 1, 2; </w:t>
      </w:r>
      <w:hyperlink w:anchor="SENTENCIA_2002_8" w:history="1">
        <w:r w:rsidRPr="007F4918">
          <w:rPr>
            <w:rStyle w:val="TextoNormalCaracter"/>
          </w:rPr>
          <w:t>8/2002</w:t>
        </w:r>
      </w:hyperlink>
      <w:r>
        <w:t xml:space="preserve">, ff. 1, 6, 7; </w:t>
      </w:r>
      <w:hyperlink w:anchor="SENTENCIA_2002_53" w:history="1">
        <w:r w:rsidRPr="007F4918">
          <w:rPr>
            <w:rStyle w:val="TextoNormalCaracter"/>
          </w:rPr>
          <w:t>53/2002</w:t>
        </w:r>
      </w:hyperlink>
      <w:r>
        <w:t xml:space="preserve">, ff. 2, 4, 5, 10, 11, VP I, VP II; </w:t>
      </w:r>
      <w:hyperlink w:anchor="SENTENCIA_2002_57" w:history="1">
        <w:r w:rsidRPr="007F4918">
          <w:rPr>
            <w:rStyle w:val="TextoNormalCaracter"/>
          </w:rPr>
          <w:t>57/2002</w:t>
        </w:r>
      </w:hyperlink>
      <w:r>
        <w:t xml:space="preserve">, f. 2; </w:t>
      </w:r>
      <w:hyperlink w:anchor="SENTENCIA_2002_98" w:history="1">
        <w:r w:rsidRPr="007F4918">
          <w:rPr>
            <w:rStyle w:val="TextoNormalCaracter"/>
          </w:rPr>
          <w:t>98/2002</w:t>
        </w:r>
      </w:hyperlink>
      <w:r>
        <w:t>, ff. 3, 7.</w:t>
      </w:r>
    </w:p>
    <w:p w:rsidR="007F4918" w:rsidRDefault="007F4918" w:rsidP="007F4918">
      <w:pPr>
        <w:pStyle w:val="SangriaFrancesaArticulo"/>
      </w:pPr>
      <w:r w:rsidRPr="007F4918">
        <w:rPr>
          <w:rStyle w:val="TextoNormalNegritaCaracter"/>
        </w:rPr>
        <w:t>Artículo 17.1.</w:t>
      </w:r>
      <w:r w:rsidRPr="007F4918">
        <w:rPr>
          <w:rStyle w:val="TextoNormalCaracter"/>
        </w:rPr>
        <w:t>-</w:t>
      </w:r>
      <w:r>
        <w:t xml:space="preserve"> Sentencias </w:t>
      </w:r>
      <w:hyperlink w:anchor="SENTENCIA_2002_3" w:history="1">
        <w:r w:rsidRPr="007F4918">
          <w:rPr>
            <w:rStyle w:val="TextoNormalCaracter"/>
          </w:rPr>
          <w:t>3/2002</w:t>
        </w:r>
      </w:hyperlink>
      <w:r>
        <w:t xml:space="preserve">, f. 2; </w:t>
      </w:r>
      <w:hyperlink w:anchor="SENTENCIA_2002_8" w:history="1">
        <w:r w:rsidRPr="007F4918">
          <w:rPr>
            <w:rStyle w:val="TextoNormalCaracter"/>
          </w:rPr>
          <w:t>8/2002</w:t>
        </w:r>
      </w:hyperlink>
      <w:r>
        <w:t xml:space="preserve">, ff. 1, 3; </w:t>
      </w:r>
      <w:hyperlink w:anchor="SENTENCIA_2002_23" w:history="1">
        <w:r w:rsidRPr="007F4918">
          <w:rPr>
            <w:rStyle w:val="TextoNormalCaracter"/>
          </w:rPr>
          <w:t>23/2002</w:t>
        </w:r>
      </w:hyperlink>
      <w:r>
        <w:t xml:space="preserve">, ff. 1, 4; </w:t>
      </w:r>
      <w:hyperlink w:anchor="SENTENCIA_2002_53" w:history="1">
        <w:r w:rsidRPr="007F4918">
          <w:rPr>
            <w:rStyle w:val="TextoNormalCaracter"/>
          </w:rPr>
          <w:t>53/2002</w:t>
        </w:r>
      </w:hyperlink>
      <w:r>
        <w:t xml:space="preserve">, ff. 2, 4, 5, 12 a 14; </w:t>
      </w:r>
      <w:hyperlink w:anchor="SENTENCIA_2002_57" w:history="1">
        <w:r w:rsidRPr="007F4918">
          <w:rPr>
            <w:rStyle w:val="TextoNormalCaracter"/>
          </w:rPr>
          <w:t>57/2002</w:t>
        </w:r>
      </w:hyperlink>
      <w:r>
        <w:t xml:space="preserve">, f. 2; </w:t>
      </w:r>
      <w:hyperlink w:anchor="SENTENCIA_2002_98" w:history="1">
        <w:r w:rsidRPr="007F4918">
          <w:rPr>
            <w:rStyle w:val="TextoNormalCaracter"/>
          </w:rPr>
          <w:t>98/2002</w:t>
        </w:r>
      </w:hyperlink>
      <w:r>
        <w:t>, ff. 1, 3.</w:t>
      </w:r>
    </w:p>
    <w:p w:rsidR="007F4918" w:rsidRDefault="007F4918" w:rsidP="007F4918">
      <w:pPr>
        <w:pStyle w:val="SangriaIzquierdaArticulo"/>
      </w:pPr>
      <w:r>
        <w:t xml:space="preserve">Auto </w:t>
      </w:r>
      <w:hyperlink w:anchor="AUTO_2002_10" w:history="1">
        <w:r w:rsidRPr="007F4918">
          <w:rPr>
            <w:rStyle w:val="TextoNormalCaracter"/>
          </w:rPr>
          <w:t>10/2002</w:t>
        </w:r>
      </w:hyperlink>
      <w:r>
        <w:t>.</w:t>
      </w:r>
    </w:p>
    <w:p w:rsidR="007F4918" w:rsidRDefault="007F4918" w:rsidP="007F4918">
      <w:pPr>
        <w:pStyle w:val="SangriaFrancesaArticulo"/>
      </w:pPr>
      <w:r w:rsidRPr="007F4918">
        <w:rPr>
          <w:rStyle w:val="TextoNormalNegritaCaracter"/>
        </w:rPr>
        <w:t>Artículo 17.2.</w:t>
      </w:r>
      <w:r w:rsidRPr="007F4918">
        <w:rPr>
          <w:rStyle w:val="TextoNormalCaracter"/>
        </w:rPr>
        <w:t>-</w:t>
      </w:r>
      <w:r>
        <w:t xml:space="preserve"> Sentencia </w:t>
      </w:r>
      <w:hyperlink w:anchor="SENTENCIA_2002_53" w:history="1">
        <w:r w:rsidRPr="007F4918">
          <w:rPr>
            <w:rStyle w:val="TextoNormalCaracter"/>
          </w:rPr>
          <w:t>53/2002</w:t>
        </w:r>
      </w:hyperlink>
      <w:r>
        <w:t>, ff. 2, 6, 11.</w:t>
      </w:r>
    </w:p>
    <w:p w:rsidR="007F4918" w:rsidRDefault="007F4918" w:rsidP="007F4918">
      <w:pPr>
        <w:pStyle w:val="SangriaFrancesaArticulo"/>
      </w:pPr>
      <w:r w:rsidRPr="007F4918">
        <w:rPr>
          <w:rStyle w:val="TextoNormalNegritaCaracter"/>
        </w:rPr>
        <w:t>Artículo 17.4.</w:t>
      </w:r>
      <w:r w:rsidRPr="007F4918">
        <w:rPr>
          <w:rStyle w:val="TextoNormalCaracter"/>
        </w:rPr>
        <w:t>-</w:t>
      </w:r>
      <w:r>
        <w:t xml:space="preserve"> Sentencias </w:t>
      </w:r>
      <w:hyperlink w:anchor="SENTENCIA_2002_53" w:history="1">
        <w:r w:rsidRPr="007F4918">
          <w:rPr>
            <w:rStyle w:val="TextoNormalCaracter"/>
          </w:rPr>
          <w:t>53/2002</w:t>
        </w:r>
      </w:hyperlink>
      <w:r>
        <w:t xml:space="preserve">, f. 11; </w:t>
      </w:r>
      <w:hyperlink w:anchor="SENTENCIA_2002_98" w:history="1">
        <w:r w:rsidRPr="007F4918">
          <w:rPr>
            <w:rStyle w:val="TextoNormalCaracter"/>
          </w:rPr>
          <w:t>98/2002</w:t>
        </w:r>
      </w:hyperlink>
      <w:r>
        <w:t>, ff. 1, 4.</w:t>
      </w:r>
    </w:p>
    <w:p w:rsidR="007F4918" w:rsidRDefault="007F4918" w:rsidP="007F4918">
      <w:pPr>
        <w:pStyle w:val="SangriaFrancesaArticulo"/>
      </w:pPr>
      <w:r w:rsidRPr="007F4918">
        <w:rPr>
          <w:rStyle w:val="TextoNormalNegritaCaracter"/>
        </w:rPr>
        <w:t>Artículo 18.</w:t>
      </w:r>
      <w:r w:rsidRPr="007F4918">
        <w:rPr>
          <w:rStyle w:val="TextoNormalCaracter"/>
        </w:rPr>
        <w:t>-</w:t>
      </w:r>
      <w:r>
        <w:t xml:space="preserve"> Sentencias </w:t>
      </w:r>
      <w:hyperlink w:anchor="SENTENCIA_2002_10" w:history="1">
        <w:r w:rsidRPr="007F4918">
          <w:rPr>
            <w:rStyle w:val="TextoNormalCaracter"/>
          </w:rPr>
          <w:t>10/2002</w:t>
        </w:r>
      </w:hyperlink>
      <w:r>
        <w:t xml:space="preserve">, f. 6; </w:t>
      </w:r>
      <w:hyperlink w:anchor="SENTENCIA_2002_20" w:history="1">
        <w:r w:rsidRPr="007F4918">
          <w:rPr>
            <w:rStyle w:val="TextoNormalCaracter"/>
          </w:rPr>
          <w:t>20/2002</w:t>
        </w:r>
      </w:hyperlink>
      <w:r>
        <w:t xml:space="preserve">, f. 5; </w:t>
      </w:r>
      <w:hyperlink w:anchor="SENTENCIA_2002_70" w:history="1">
        <w:r w:rsidRPr="007F4918">
          <w:rPr>
            <w:rStyle w:val="TextoNormalCaracter"/>
          </w:rPr>
          <w:t>70/2002</w:t>
        </w:r>
      </w:hyperlink>
      <w:r>
        <w:t xml:space="preserve">, f. 2; </w:t>
      </w:r>
      <w:hyperlink w:anchor="SENTENCIA_2002_77" w:history="1">
        <w:r w:rsidRPr="007F4918">
          <w:rPr>
            <w:rStyle w:val="TextoNormalCaracter"/>
          </w:rPr>
          <w:t>77/2002</w:t>
        </w:r>
      </w:hyperlink>
      <w:r>
        <w:t>, f. 1.</w:t>
      </w:r>
    </w:p>
    <w:p w:rsidR="007F4918" w:rsidRDefault="007F4918" w:rsidP="007F4918">
      <w:pPr>
        <w:pStyle w:val="SangriaFrancesaArticulo"/>
      </w:pPr>
      <w:r w:rsidRPr="007F4918">
        <w:rPr>
          <w:rStyle w:val="TextoNormalNegritaCaracter"/>
        </w:rPr>
        <w:t>Artículo 18.1.</w:t>
      </w:r>
      <w:r w:rsidRPr="007F4918">
        <w:rPr>
          <w:rStyle w:val="TextoNormalCaracter"/>
        </w:rPr>
        <w:t>-</w:t>
      </w:r>
      <w:r>
        <w:t xml:space="preserve"> Sentencias </w:t>
      </w:r>
      <w:hyperlink w:anchor="SENTENCIA_2002_10" w:history="1">
        <w:r w:rsidRPr="007F4918">
          <w:rPr>
            <w:rStyle w:val="TextoNormalCaracter"/>
          </w:rPr>
          <w:t>10/2002</w:t>
        </w:r>
      </w:hyperlink>
      <w:r>
        <w:t xml:space="preserve">, f. 5; </w:t>
      </w:r>
      <w:hyperlink w:anchor="SENTENCIA_2002_46" w:history="1">
        <w:r w:rsidRPr="007F4918">
          <w:rPr>
            <w:rStyle w:val="TextoNormalCaracter"/>
          </w:rPr>
          <w:t>46/2002</w:t>
        </w:r>
      </w:hyperlink>
      <w:r>
        <w:t xml:space="preserve">, ff. 2, 4, 5; </w:t>
      </w:r>
      <w:hyperlink w:anchor="SENTENCIA_2002_52" w:history="1">
        <w:r w:rsidRPr="007F4918">
          <w:rPr>
            <w:rStyle w:val="TextoNormalCaracter"/>
          </w:rPr>
          <w:t>52/2002</w:t>
        </w:r>
      </w:hyperlink>
      <w:r>
        <w:t xml:space="preserve">, f. 4; </w:t>
      </w:r>
      <w:hyperlink w:anchor="SENTENCIA_2002_70" w:history="1">
        <w:r w:rsidRPr="007F4918">
          <w:rPr>
            <w:rStyle w:val="TextoNormalCaracter"/>
          </w:rPr>
          <w:t>70/2002</w:t>
        </w:r>
      </w:hyperlink>
      <w:r>
        <w:t xml:space="preserve">, ff. 1, 9, 10; </w:t>
      </w:r>
      <w:hyperlink w:anchor="SENTENCIA_2002_76" w:history="1">
        <w:r w:rsidRPr="007F4918">
          <w:rPr>
            <w:rStyle w:val="TextoNormalCaracter"/>
          </w:rPr>
          <w:t>76/2002</w:t>
        </w:r>
      </w:hyperlink>
      <w:r>
        <w:t xml:space="preserve">, f. 2; </w:t>
      </w:r>
      <w:hyperlink w:anchor="SENTENCIA_2002_82" w:history="1">
        <w:r w:rsidRPr="007F4918">
          <w:rPr>
            <w:rStyle w:val="TextoNormalCaracter"/>
          </w:rPr>
          <w:t>82/2002</w:t>
        </w:r>
      </w:hyperlink>
      <w:r>
        <w:t xml:space="preserve">, f. 8; </w:t>
      </w:r>
      <w:hyperlink w:anchor="SENTENCIA_2002_83" w:history="1">
        <w:r w:rsidRPr="007F4918">
          <w:rPr>
            <w:rStyle w:val="TextoNormalCaracter"/>
          </w:rPr>
          <w:t>83/2002</w:t>
        </w:r>
      </w:hyperlink>
      <w:r>
        <w:t>, ff. 1, 2, 4, 5.</w:t>
      </w:r>
    </w:p>
    <w:p w:rsidR="007F4918" w:rsidRDefault="007F4918" w:rsidP="007F4918">
      <w:pPr>
        <w:pStyle w:val="SangriaIzquierdaArticulo"/>
      </w:pPr>
      <w:r>
        <w:t xml:space="preserve">Auto </w:t>
      </w:r>
      <w:hyperlink w:anchor="AUTO_2002_56" w:history="1">
        <w:r w:rsidRPr="007F4918">
          <w:rPr>
            <w:rStyle w:val="TextoNormalCaracter"/>
          </w:rPr>
          <w:t>56/2002</w:t>
        </w:r>
      </w:hyperlink>
      <w:r>
        <w:t>.</w:t>
      </w:r>
    </w:p>
    <w:p w:rsidR="007F4918" w:rsidRDefault="007F4918" w:rsidP="007F4918">
      <w:pPr>
        <w:pStyle w:val="SangriaFrancesaArticulo"/>
      </w:pPr>
      <w:r w:rsidRPr="007F4918">
        <w:rPr>
          <w:rStyle w:val="TextoNormalNegritaCaracter"/>
        </w:rPr>
        <w:t>Artículo 18.2.</w:t>
      </w:r>
      <w:r w:rsidRPr="007F4918">
        <w:rPr>
          <w:rStyle w:val="TextoNormalCaracter"/>
        </w:rPr>
        <w:t>-</w:t>
      </w:r>
      <w:r>
        <w:t xml:space="preserve"> Sentencias </w:t>
      </w:r>
      <w:hyperlink w:anchor="SENTENCIA_2002_10" w:history="1">
        <w:r w:rsidRPr="007F4918">
          <w:rPr>
            <w:rStyle w:val="TextoNormalCaracter"/>
          </w:rPr>
          <w:t>10/2002</w:t>
        </w:r>
      </w:hyperlink>
      <w:r>
        <w:t xml:space="preserve">, ff. 1 a 10; </w:t>
      </w:r>
      <w:hyperlink w:anchor="SENTENCIA_2002_27" w:history="1">
        <w:r w:rsidRPr="007F4918">
          <w:rPr>
            <w:rStyle w:val="TextoNormalCaracter"/>
          </w:rPr>
          <w:t>27/2002</w:t>
        </w:r>
      </w:hyperlink>
      <w:r>
        <w:t xml:space="preserve">, f. 2; </w:t>
      </w:r>
      <w:hyperlink w:anchor="SENTENCIA_2002_28" w:history="1">
        <w:r w:rsidRPr="007F4918">
          <w:rPr>
            <w:rStyle w:val="TextoNormalCaracter"/>
          </w:rPr>
          <w:t>28/2002</w:t>
        </w:r>
      </w:hyperlink>
      <w:r>
        <w:t xml:space="preserve">, ff. 1, 3; </w:t>
      </w:r>
      <w:hyperlink w:anchor="SENTENCIA_2002_70" w:history="1">
        <w:r w:rsidRPr="007F4918">
          <w:rPr>
            <w:rStyle w:val="TextoNormalCaracter"/>
          </w:rPr>
          <w:t>70/2002</w:t>
        </w:r>
      </w:hyperlink>
      <w:r>
        <w:t xml:space="preserve">, f. 10; </w:t>
      </w:r>
      <w:hyperlink w:anchor="SENTENCIA_2002_82" w:history="1">
        <w:r w:rsidRPr="007F4918">
          <w:rPr>
            <w:rStyle w:val="TextoNormalCaracter"/>
          </w:rPr>
          <w:t>82/2002</w:t>
        </w:r>
      </w:hyperlink>
      <w:r>
        <w:t xml:space="preserve">, ff. 2, 7, 8; </w:t>
      </w:r>
      <w:hyperlink w:anchor="SENTENCIA_2002_92" w:history="1">
        <w:r w:rsidRPr="007F4918">
          <w:rPr>
            <w:rStyle w:val="TextoNormalCaracter"/>
          </w:rPr>
          <w:t>92/2002</w:t>
        </w:r>
      </w:hyperlink>
      <w:r>
        <w:t>, ff. 1, 3.</w:t>
      </w:r>
    </w:p>
    <w:p w:rsidR="007F4918" w:rsidRDefault="007F4918" w:rsidP="007F4918">
      <w:pPr>
        <w:pStyle w:val="SangriaFrancesaArticulo"/>
      </w:pPr>
      <w:r w:rsidRPr="007F4918">
        <w:rPr>
          <w:rStyle w:val="TextoNormalNegritaCaracter"/>
        </w:rPr>
        <w:t>Artículo 18.3.</w:t>
      </w:r>
      <w:r w:rsidRPr="007F4918">
        <w:rPr>
          <w:rStyle w:val="TextoNormalCaracter"/>
        </w:rPr>
        <w:t>-</w:t>
      </w:r>
      <w:r>
        <w:t xml:space="preserve"> Sentencias </w:t>
      </w:r>
      <w:hyperlink w:anchor="SENTENCIA_2002_28" w:history="1">
        <w:r w:rsidRPr="007F4918">
          <w:rPr>
            <w:rStyle w:val="TextoNormalCaracter"/>
          </w:rPr>
          <w:t>28/2002</w:t>
        </w:r>
      </w:hyperlink>
      <w:r>
        <w:t xml:space="preserve">, f. 1; </w:t>
      </w:r>
      <w:hyperlink w:anchor="SENTENCIA_2002_70" w:history="1">
        <w:r w:rsidRPr="007F4918">
          <w:rPr>
            <w:rStyle w:val="TextoNormalCaracter"/>
          </w:rPr>
          <w:t>70/2002</w:t>
        </w:r>
      </w:hyperlink>
      <w:r>
        <w:t xml:space="preserve">, ff. 1, 8 a 10; </w:t>
      </w:r>
      <w:hyperlink w:anchor="SENTENCIA_2002_82" w:history="1">
        <w:r w:rsidRPr="007F4918">
          <w:rPr>
            <w:rStyle w:val="TextoNormalCaracter"/>
          </w:rPr>
          <w:t>82/2002</w:t>
        </w:r>
      </w:hyperlink>
      <w:r>
        <w:t>, ff. 1, 3, 6.</w:t>
      </w:r>
    </w:p>
    <w:p w:rsidR="007F4918" w:rsidRDefault="007F4918" w:rsidP="007F4918">
      <w:pPr>
        <w:pStyle w:val="SangriaFrancesaArticulo"/>
      </w:pPr>
      <w:r w:rsidRPr="007F4918">
        <w:rPr>
          <w:rStyle w:val="TextoNormalNegritaCaracter"/>
        </w:rPr>
        <w:t>Artículo 19.</w:t>
      </w:r>
      <w:r w:rsidRPr="007F4918">
        <w:rPr>
          <w:rStyle w:val="TextoNormalCaracter"/>
        </w:rPr>
        <w:t>-</w:t>
      </w:r>
      <w:r>
        <w:t xml:space="preserve"> Sentencias </w:t>
      </w:r>
      <w:hyperlink w:anchor="SENTENCIA_2002_53" w:history="1">
        <w:r w:rsidRPr="007F4918">
          <w:rPr>
            <w:rStyle w:val="TextoNormalCaracter"/>
          </w:rPr>
          <w:t>53/2002</w:t>
        </w:r>
      </w:hyperlink>
      <w:r>
        <w:t xml:space="preserve">, f. 4, VP I; </w:t>
      </w:r>
      <w:hyperlink w:anchor="SENTENCIA_2002_96" w:history="1">
        <w:r w:rsidRPr="007F4918">
          <w:rPr>
            <w:rStyle w:val="TextoNormalCaracter"/>
          </w:rPr>
          <w:t>96/2002</w:t>
        </w:r>
      </w:hyperlink>
      <w:r>
        <w:t>, ff. 1, 4, VP II.</w:t>
      </w:r>
    </w:p>
    <w:p w:rsidR="007F4918" w:rsidRDefault="007F4918" w:rsidP="007F4918">
      <w:pPr>
        <w:pStyle w:val="SangriaFrancesaArticulo"/>
      </w:pPr>
      <w:r w:rsidRPr="007F4918">
        <w:rPr>
          <w:rStyle w:val="TextoNormalNegritaCaracter"/>
        </w:rPr>
        <w:t>Artículo 20.</w:t>
      </w:r>
      <w:r w:rsidRPr="007F4918">
        <w:rPr>
          <w:rStyle w:val="TextoNormalCaracter"/>
        </w:rPr>
        <w:t>-</w:t>
      </w:r>
      <w:r>
        <w:t xml:space="preserve"> Sentencia </w:t>
      </w:r>
      <w:hyperlink w:anchor="SENTENCIA_2002_35" w:history="1">
        <w:r w:rsidRPr="007F4918">
          <w:rPr>
            <w:rStyle w:val="TextoNormalCaracter"/>
          </w:rPr>
          <w:t>35/2002</w:t>
        </w:r>
      </w:hyperlink>
      <w:r>
        <w:t>, f. 3.</w:t>
      </w:r>
    </w:p>
    <w:p w:rsidR="007F4918" w:rsidRDefault="007F4918" w:rsidP="007F4918">
      <w:pPr>
        <w:pStyle w:val="SangriaIzquierdaArticulo"/>
      </w:pPr>
      <w:r>
        <w:t xml:space="preserve">Auto </w:t>
      </w:r>
      <w:hyperlink w:anchor="AUTO_2002_43" w:history="1">
        <w:r w:rsidRPr="007F4918">
          <w:rPr>
            <w:rStyle w:val="TextoNormalCaracter"/>
          </w:rPr>
          <w:t>43/2002</w:t>
        </w:r>
      </w:hyperlink>
      <w:r>
        <w:t>.</w:t>
      </w:r>
    </w:p>
    <w:p w:rsidR="007F4918" w:rsidRDefault="007F4918" w:rsidP="007F4918">
      <w:pPr>
        <w:pStyle w:val="SangriaFrancesaArticulo"/>
      </w:pPr>
      <w:r w:rsidRPr="007F4918">
        <w:rPr>
          <w:rStyle w:val="TextoNormalNegritaCaracter"/>
        </w:rPr>
        <w:t>Artículo 20.1.</w:t>
      </w:r>
      <w:r w:rsidRPr="007F4918">
        <w:rPr>
          <w:rStyle w:val="TextoNormalCaracter"/>
        </w:rPr>
        <w:t>-</w:t>
      </w:r>
      <w:r>
        <w:t xml:space="preserve"> Sentencias </w:t>
      </w:r>
      <w:hyperlink w:anchor="SENTENCIA_2002_46" w:history="1">
        <w:r w:rsidRPr="007F4918">
          <w:rPr>
            <w:rStyle w:val="TextoNormalCaracter"/>
          </w:rPr>
          <w:t>46/2002</w:t>
        </w:r>
      </w:hyperlink>
      <w:r>
        <w:t xml:space="preserve">, f. 5; </w:t>
      </w:r>
      <w:hyperlink w:anchor="SENTENCIA_2002_52" w:history="1">
        <w:r w:rsidRPr="007F4918">
          <w:rPr>
            <w:rStyle w:val="TextoNormalCaracter"/>
          </w:rPr>
          <w:t>52/2002</w:t>
        </w:r>
      </w:hyperlink>
      <w:r>
        <w:t xml:space="preserve">, f. 4; </w:t>
      </w:r>
      <w:hyperlink w:anchor="SENTENCIA_2002_76" w:history="1">
        <w:r w:rsidRPr="007F4918">
          <w:rPr>
            <w:rStyle w:val="TextoNormalCaracter"/>
          </w:rPr>
          <w:t>76/2002</w:t>
        </w:r>
      </w:hyperlink>
      <w:r>
        <w:t xml:space="preserve">, f. 2; </w:t>
      </w:r>
      <w:hyperlink w:anchor="SENTENCIA_2002_79" w:history="1">
        <w:r w:rsidRPr="007F4918">
          <w:rPr>
            <w:rStyle w:val="TextoNormalCaracter"/>
          </w:rPr>
          <w:t>79/2002</w:t>
        </w:r>
      </w:hyperlink>
      <w:r>
        <w:t>, f. 1.</w:t>
      </w:r>
    </w:p>
    <w:p w:rsidR="007F4918" w:rsidRDefault="007F4918" w:rsidP="007F4918">
      <w:pPr>
        <w:pStyle w:val="SangriaIzquierdaArticulo"/>
      </w:pPr>
      <w:r>
        <w:t xml:space="preserve">Auto </w:t>
      </w:r>
      <w:hyperlink w:anchor="AUTO_2002_56" w:history="1">
        <w:r w:rsidRPr="007F4918">
          <w:rPr>
            <w:rStyle w:val="TextoNormalCaracter"/>
          </w:rPr>
          <w:t>56/2002</w:t>
        </w:r>
      </w:hyperlink>
      <w:r>
        <w:t>.</w:t>
      </w:r>
    </w:p>
    <w:p w:rsidR="007F4918" w:rsidRDefault="007F4918" w:rsidP="007F4918">
      <w:pPr>
        <w:pStyle w:val="SangriaFrancesaArticulo"/>
      </w:pPr>
      <w:r w:rsidRPr="007F4918">
        <w:rPr>
          <w:rStyle w:val="TextoNormalNegritaCaracter"/>
        </w:rPr>
        <w:t>Artículo 20.1 a).</w:t>
      </w:r>
      <w:r w:rsidRPr="007F4918">
        <w:rPr>
          <w:rStyle w:val="TextoNormalCaracter"/>
        </w:rPr>
        <w:t>-</w:t>
      </w:r>
      <w:r>
        <w:t xml:space="preserve"> Sentencias </w:t>
      </w:r>
      <w:hyperlink w:anchor="SENTENCIA_2002_20" w:history="1">
        <w:r w:rsidRPr="007F4918">
          <w:rPr>
            <w:rStyle w:val="TextoNormalCaracter"/>
          </w:rPr>
          <w:t>20/2002</w:t>
        </w:r>
      </w:hyperlink>
      <w:r>
        <w:t xml:space="preserve">, ff. 1, 3 a 6; </w:t>
      </w:r>
      <w:hyperlink w:anchor="SENTENCIA_2002_46" w:history="1">
        <w:r w:rsidRPr="007F4918">
          <w:rPr>
            <w:rStyle w:val="TextoNormalCaracter"/>
          </w:rPr>
          <w:t>46/2002</w:t>
        </w:r>
      </w:hyperlink>
      <w:r>
        <w:t xml:space="preserve">, f. 5; </w:t>
      </w:r>
      <w:hyperlink w:anchor="SENTENCIA_2002_47" w:history="1">
        <w:r w:rsidRPr="007F4918">
          <w:rPr>
            <w:rStyle w:val="TextoNormalCaracter"/>
          </w:rPr>
          <w:t>47/2002</w:t>
        </w:r>
      </w:hyperlink>
      <w:r>
        <w:t xml:space="preserve">, ff. 1, 3; </w:t>
      </w:r>
      <w:hyperlink w:anchor="SENTENCIA_2002_52" w:history="1">
        <w:r w:rsidRPr="007F4918">
          <w:rPr>
            <w:rStyle w:val="TextoNormalCaracter"/>
          </w:rPr>
          <w:t>52/2002</w:t>
        </w:r>
      </w:hyperlink>
      <w:r>
        <w:t xml:space="preserve">, f. 4; </w:t>
      </w:r>
      <w:hyperlink w:anchor="SENTENCIA_2002_76" w:history="1">
        <w:r w:rsidRPr="007F4918">
          <w:rPr>
            <w:rStyle w:val="TextoNormalCaracter"/>
          </w:rPr>
          <w:t>76/2002</w:t>
        </w:r>
      </w:hyperlink>
      <w:r>
        <w:t xml:space="preserve">, f. 2; </w:t>
      </w:r>
      <w:hyperlink w:anchor="SENTENCIA_2002_79" w:history="1">
        <w:r w:rsidRPr="007F4918">
          <w:rPr>
            <w:rStyle w:val="TextoNormalCaracter"/>
          </w:rPr>
          <w:t>79/2002</w:t>
        </w:r>
      </w:hyperlink>
      <w:r>
        <w:t>, VP.</w:t>
      </w:r>
    </w:p>
    <w:p w:rsidR="007F4918" w:rsidRDefault="007F4918" w:rsidP="007F4918">
      <w:pPr>
        <w:pStyle w:val="SangriaIzquierdaArticulo"/>
      </w:pPr>
      <w:r>
        <w:t xml:space="preserve">Auto </w:t>
      </w:r>
      <w:hyperlink w:anchor="AUTO_2002_56" w:history="1">
        <w:r w:rsidRPr="007F4918">
          <w:rPr>
            <w:rStyle w:val="TextoNormalCaracter"/>
          </w:rPr>
          <w:t>56/2002</w:t>
        </w:r>
      </w:hyperlink>
      <w:r>
        <w:t>.</w:t>
      </w:r>
    </w:p>
    <w:p w:rsidR="007F4918" w:rsidRDefault="007F4918" w:rsidP="007F4918">
      <w:pPr>
        <w:pStyle w:val="SangriaFrancesaArticulo"/>
      </w:pPr>
      <w:r w:rsidRPr="007F4918">
        <w:rPr>
          <w:rStyle w:val="TextoNormalNegritaCaracter"/>
        </w:rPr>
        <w:t>Artículo 20.1 d).</w:t>
      </w:r>
      <w:r w:rsidRPr="007F4918">
        <w:rPr>
          <w:rStyle w:val="TextoNormalCaracter"/>
        </w:rPr>
        <w:t>-</w:t>
      </w:r>
      <w:r>
        <w:t xml:space="preserve"> Sentencias </w:t>
      </w:r>
      <w:hyperlink w:anchor="SENTENCIA_2002_20" w:history="1">
        <w:r w:rsidRPr="007F4918">
          <w:rPr>
            <w:rStyle w:val="TextoNormalCaracter"/>
          </w:rPr>
          <w:t>20/2002</w:t>
        </w:r>
      </w:hyperlink>
      <w:r>
        <w:t xml:space="preserve">, f. 4; </w:t>
      </w:r>
      <w:hyperlink w:anchor="SENTENCIA_2002_46" w:history="1">
        <w:r w:rsidRPr="007F4918">
          <w:rPr>
            <w:rStyle w:val="TextoNormalCaracter"/>
          </w:rPr>
          <w:t>46/2002</w:t>
        </w:r>
      </w:hyperlink>
      <w:r>
        <w:t xml:space="preserve">, ff. 4 a 6; </w:t>
      </w:r>
      <w:hyperlink w:anchor="SENTENCIA_2002_47" w:history="1">
        <w:r w:rsidRPr="007F4918">
          <w:rPr>
            <w:rStyle w:val="TextoNormalCaracter"/>
          </w:rPr>
          <w:t>47/2002</w:t>
        </w:r>
      </w:hyperlink>
      <w:r>
        <w:t xml:space="preserve">, ff. 3, 4; </w:t>
      </w:r>
      <w:hyperlink w:anchor="SENTENCIA_2002_52" w:history="1">
        <w:r w:rsidRPr="007F4918">
          <w:rPr>
            <w:rStyle w:val="TextoNormalCaracter"/>
          </w:rPr>
          <w:t>52/2002</w:t>
        </w:r>
      </w:hyperlink>
      <w:r>
        <w:t xml:space="preserve">, ff. 2, 4 a 8; </w:t>
      </w:r>
      <w:hyperlink w:anchor="SENTENCIA_2002_76" w:history="1">
        <w:r w:rsidRPr="007F4918">
          <w:rPr>
            <w:rStyle w:val="TextoNormalCaracter"/>
          </w:rPr>
          <w:t>76/2002</w:t>
        </w:r>
      </w:hyperlink>
      <w:r>
        <w:t xml:space="preserve">, ff. 1, 2, 5; </w:t>
      </w:r>
      <w:hyperlink w:anchor="SENTENCIA_2002_83" w:history="1">
        <w:r w:rsidRPr="007F4918">
          <w:rPr>
            <w:rStyle w:val="TextoNormalCaracter"/>
          </w:rPr>
          <w:t>83/2002</w:t>
        </w:r>
      </w:hyperlink>
      <w:r>
        <w:t>, ff. 2, 4.</w:t>
      </w:r>
    </w:p>
    <w:p w:rsidR="007F4918" w:rsidRDefault="007F4918" w:rsidP="007F4918">
      <w:pPr>
        <w:pStyle w:val="SangriaIzquierdaArticulo"/>
      </w:pPr>
      <w:r>
        <w:t xml:space="preserve">Auto </w:t>
      </w:r>
      <w:hyperlink w:anchor="AUTO_2002_56" w:history="1">
        <w:r w:rsidRPr="007F4918">
          <w:rPr>
            <w:rStyle w:val="TextoNormalCaracter"/>
          </w:rPr>
          <w:t>56/2002</w:t>
        </w:r>
      </w:hyperlink>
      <w:r>
        <w:t>.</w:t>
      </w:r>
    </w:p>
    <w:p w:rsidR="007F4918" w:rsidRDefault="007F4918" w:rsidP="007F4918">
      <w:pPr>
        <w:pStyle w:val="SangriaFrancesaArticulo"/>
      </w:pPr>
      <w:r w:rsidRPr="007F4918">
        <w:rPr>
          <w:rStyle w:val="TextoNormalNegritaCaracter"/>
        </w:rPr>
        <w:t>Artículo 20.4.</w:t>
      </w:r>
      <w:r w:rsidRPr="007F4918">
        <w:rPr>
          <w:rStyle w:val="TextoNormalCaracter"/>
        </w:rPr>
        <w:t>-</w:t>
      </w:r>
      <w:r>
        <w:t xml:space="preserve"> Sentencias </w:t>
      </w:r>
      <w:hyperlink w:anchor="SENTENCIA_2002_46" w:history="1">
        <w:r w:rsidRPr="007F4918">
          <w:rPr>
            <w:rStyle w:val="TextoNormalCaracter"/>
          </w:rPr>
          <w:t>46/2002</w:t>
        </w:r>
      </w:hyperlink>
      <w:r>
        <w:t xml:space="preserve">, f. 5; </w:t>
      </w:r>
      <w:hyperlink w:anchor="SENTENCIA_2002_52" w:history="1">
        <w:r w:rsidRPr="007F4918">
          <w:rPr>
            <w:rStyle w:val="TextoNormalCaracter"/>
          </w:rPr>
          <w:t>52/2002</w:t>
        </w:r>
      </w:hyperlink>
      <w:r>
        <w:t xml:space="preserve">, f. 4;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Artículo 22.</w:t>
      </w:r>
      <w:r w:rsidRPr="007F4918">
        <w:rPr>
          <w:rStyle w:val="TextoNormalCaracter"/>
        </w:rPr>
        <w:t>-</w:t>
      </w:r>
      <w:r>
        <w:t xml:space="preserve"> Sentencias </w:t>
      </w:r>
      <w:hyperlink w:anchor="SENTENCIA_2002_11" w:history="1">
        <w:r w:rsidRPr="007F4918">
          <w:rPr>
            <w:rStyle w:val="TextoNormalCaracter"/>
          </w:rPr>
          <w:t>11/2002</w:t>
        </w:r>
      </w:hyperlink>
      <w:r>
        <w:t xml:space="preserve">, VP I; </w:t>
      </w:r>
      <w:hyperlink w:anchor="SENTENCIA_2002_95" w:history="1">
        <w:r w:rsidRPr="007F4918">
          <w:rPr>
            <w:rStyle w:val="TextoNormalCaracter"/>
          </w:rPr>
          <w:t>95/2002</w:t>
        </w:r>
      </w:hyperlink>
      <w:r>
        <w:t>, ff. 19, 20, VP II.</w:t>
      </w:r>
    </w:p>
    <w:p w:rsidR="007F4918" w:rsidRDefault="007F4918" w:rsidP="007F4918">
      <w:pPr>
        <w:pStyle w:val="SangriaFrancesaArticulo"/>
      </w:pPr>
      <w:r w:rsidRPr="007F4918">
        <w:rPr>
          <w:rStyle w:val="TextoNormalNegritaCaracter"/>
        </w:rPr>
        <w:t>Artículo 23.</w:t>
      </w:r>
      <w:r w:rsidRPr="007F4918">
        <w:rPr>
          <w:rStyle w:val="TextoNormalCaracter"/>
        </w:rPr>
        <w:t>-</w:t>
      </w:r>
      <w:r>
        <w:t xml:space="preserve"> Sentencias </w:t>
      </w:r>
      <w:hyperlink w:anchor="SENTENCIA_2002_64" w:history="1">
        <w:r w:rsidRPr="007F4918">
          <w:rPr>
            <w:rStyle w:val="TextoNormalCaracter"/>
          </w:rPr>
          <w:t>64/2002</w:t>
        </w:r>
      </w:hyperlink>
      <w:r>
        <w:t xml:space="preserve">, ff. 2, 5, 7; </w:t>
      </w:r>
      <w:hyperlink w:anchor="SENTENCIA_2002_80" w:history="1">
        <w:r w:rsidRPr="007F4918">
          <w:rPr>
            <w:rStyle w:val="TextoNormalCaracter"/>
          </w:rPr>
          <w:t>80/2002</w:t>
        </w:r>
      </w:hyperlink>
      <w:r>
        <w:t>, ff. 1, 2, 4, 7.</w:t>
      </w:r>
    </w:p>
    <w:p w:rsidR="007F4918" w:rsidRDefault="007F4918" w:rsidP="007F4918">
      <w:pPr>
        <w:pStyle w:val="SangriaFrancesaArticulo"/>
      </w:pPr>
      <w:r w:rsidRPr="007F4918">
        <w:rPr>
          <w:rStyle w:val="TextoNormalNegritaCaracter"/>
        </w:rPr>
        <w:t>Artículo 23.1.</w:t>
      </w:r>
      <w:r w:rsidRPr="007F4918">
        <w:rPr>
          <w:rStyle w:val="TextoNormalCaracter"/>
        </w:rPr>
        <w:t>-</w:t>
      </w:r>
      <w:r>
        <w:t xml:space="preserve"> Sentencias </w:t>
      </w:r>
      <w:hyperlink w:anchor="SENTENCIA_2002_44" w:history="1">
        <w:r w:rsidRPr="007F4918">
          <w:rPr>
            <w:rStyle w:val="TextoNormalCaracter"/>
          </w:rPr>
          <w:t>44/2002</w:t>
        </w:r>
      </w:hyperlink>
      <w:r>
        <w:t xml:space="preserve">, f. 1; </w:t>
      </w:r>
      <w:hyperlink w:anchor="SENTENCIA_2002_47" w:history="1">
        <w:r w:rsidRPr="007F4918">
          <w:rPr>
            <w:rStyle w:val="TextoNormalCaracter"/>
          </w:rPr>
          <w:t>47/2002</w:t>
        </w:r>
      </w:hyperlink>
      <w:r>
        <w:t xml:space="preserve">, f. 1; </w:t>
      </w:r>
      <w:hyperlink w:anchor="SENTENCIA_2002_64" w:history="1">
        <w:r w:rsidRPr="007F4918">
          <w:rPr>
            <w:rStyle w:val="TextoNormalCaracter"/>
          </w:rPr>
          <w:t>64/2002</w:t>
        </w:r>
      </w:hyperlink>
      <w:r>
        <w:t xml:space="preserve">, ff. 1, 2, 6; </w:t>
      </w:r>
      <w:hyperlink w:anchor="SENTENCIA_2002_80" w:history="1">
        <w:r w:rsidRPr="007F4918">
          <w:rPr>
            <w:rStyle w:val="TextoNormalCaracter"/>
          </w:rPr>
          <w:t>80/2002</w:t>
        </w:r>
      </w:hyperlink>
      <w:r>
        <w:t>, ff. 1, 5.</w:t>
      </w:r>
    </w:p>
    <w:p w:rsidR="007F4918" w:rsidRDefault="007F4918" w:rsidP="007F4918">
      <w:pPr>
        <w:pStyle w:val="SangriaFrancesaArticulo"/>
      </w:pPr>
      <w:r w:rsidRPr="007F4918">
        <w:rPr>
          <w:rStyle w:val="TextoNormalNegritaCaracter"/>
        </w:rPr>
        <w:t>Artículo 23.2.</w:t>
      </w:r>
      <w:r w:rsidRPr="007F4918">
        <w:rPr>
          <w:rStyle w:val="TextoNormalCaracter"/>
        </w:rPr>
        <w:t>-</w:t>
      </w:r>
      <w:r>
        <w:t xml:space="preserve"> Sentencias </w:t>
      </w:r>
      <w:hyperlink w:anchor="SENTENCIA_2002_7" w:history="1">
        <w:r w:rsidRPr="007F4918">
          <w:rPr>
            <w:rStyle w:val="TextoNormalCaracter"/>
          </w:rPr>
          <w:t>7/2002</w:t>
        </w:r>
      </w:hyperlink>
      <w:r>
        <w:t xml:space="preserve">, ff. 1, 6; </w:t>
      </w:r>
      <w:hyperlink w:anchor="SENTENCIA_2002_44" w:history="1">
        <w:r w:rsidRPr="007F4918">
          <w:rPr>
            <w:rStyle w:val="TextoNormalCaracter"/>
          </w:rPr>
          <w:t>44/2002</w:t>
        </w:r>
      </w:hyperlink>
      <w:r>
        <w:t xml:space="preserve">, f. 1; </w:t>
      </w:r>
      <w:hyperlink w:anchor="SENTENCIA_2002_64" w:history="1">
        <w:r w:rsidRPr="007F4918">
          <w:rPr>
            <w:rStyle w:val="TextoNormalCaracter"/>
          </w:rPr>
          <w:t>64/2002</w:t>
        </w:r>
      </w:hyperlink>
      <w:r>
        <w:t xml:space="preserve">, ff. 1, 2, 6 a 8; </w:t>
      </w:r>
      <w:hyperlink w:anchor="SENTENCIA_2002_80" w:history="1">
        <w:r w:rsidRPr="007F4918">
          <w:rPr>
            <w:rStyle w:val="TextoNormalCaracter"/>
          </w:rPr>
          <w:t>80/2002</w:t>
        </w:r>
      </w:hyperlink>
      <w:r>
        <w:t>, ff. 1, 4, 5, 7.</w:t>
      </w:r>
    </w:p>
    <w:p w:rsidR="007F4918" w:rsidRDefault="007F4918" w:rsidP="007F4918">
      <w:pPr>
        <w:pStyle w:val="SangriaIzquierdaArticulo"/>
      </w:pPr>
      <w:r>
        <w:lastRenderedPageBreak/>
        <w:t xml:space="preserve">Auto </w:t>
      </w:r>
      <w:hyperlink w:anchor="AUTO_2002_4" w:history="1">
        <w:r w:rsidRPr="007F4918">
          <w:rPr>
            <w:rStyle w:val="TextoNormalCaracter"/>
          </w:rPr>
          <w:t>4/2002</w:t>
        </w:r>
      </w:hyperlink>
      <w:r>
        <w:t>.</w:t>
      </w:r>
    </w:p>
    <w:p w:rsidR="007F4918" w:rsidRDefault="007F4918" w:rsidP="007F4918">
      <w:pPr>
        <w:pStyle w:val="SangriaFrancesaArticulo"/>
      </w:pPr>
      <w:r w:rsidRPr="007F4918">
        <w:rPr>
          <w:rStyle w:val="TextoNormalNegritaCaracter"/>
        </w:rPr>
        <w:t>Artículo 24.</w:t>
      </w:r>
      <w:r w:rsidRPr="007F4918">
        <w:rPr>
          <w:rStyle w:val="TextoNormalCaracter"/>
        </w:rPr>
        <w:t>-</w:t>
      </w:r>
      <w:r>
        <w:t xml:space="preserve"> Sentencias </w:t>
      </w:r>
      <w:hyperlink w:anchor="SENTENCIA_2002_4" w:history="1">
        <w:r w:rsidRPr="007F4918">
          <w:rPr>
            <w:rStyle w:val="TextoNormalCaracter"/>
          </w:rPr>
          <w:t>4/2002</w:t>
        </w:r>
      </w:hyperlink>
      <w:r>
        <w:t xml:space="preserve">, f. 4; </w:t>
      </w:r>
      <w:hyperlink w:anchor="SENTENCIA_2002_8" w:history="1">
        <w:r w:rsidRPr="007F4918">
          <w:rPr>
            <w:rStyle w:val="TextoNormalCaracter"/>
          </w:rPr>
          <w:t>8/2002</w:t>
        </w:r>
      </w:hyperlink>
      <w:r>
        <w:t xml:space="preserve">, f. 1; </w:t>
      </w:r>
      <w:hyperlink w:anchor="SENTENCIA_2002_9" w:history="1">
        <w:r w:rsidRPr="007F4918">
          <w:rPr>
            <w:rStyle w:val="TextoNormalCaracter"/>
          </w:rPr>
          <w:t>9/2002</w:t>
        </w:r>
      </w:hyperlink>
      <w:r>
        <w:t xml:space="preserve">, f. 4; </w:t>
      </w:r>
      <w:hyperlink w:anchor="SENTENCIA_2002_12" w:history="1">
        <w:r w:rsidRPr="007F4918">
          <w:rPr>
            <w:rStyle w:val="TextoNormalCaracter"/>
          </w:rPr>
          <w:t>12/2002</w:t>
        </w:r>
      </w:hyperlink>
      <w:r>
        <w:t xml:space="preserve">, f. 2; </w:t>
      </w:r>
      <w:hyperlink w:anchor="SENTENCIA_2002_14" w:history="1">
        <w:r w:rsidRPr="007F4918">
          <w:rPr>
            <w:rStyle w:val="TextoNormalCaracter"/>
          </w:rPr>
          <w:t>14/2002</w:t>
        </w:r>
      </w:hyperlink>
      <w:r>
        <w:t xml:space="preserve">, f. 5; </w:t>
      </w:r>
      <w:hyperlink w:anchor="SENTENCIA_2002_16" w:history="1">
        <w:r w:rsidRPr="007F4918">
          <w:rPr>
            <w:rStyle w:val="TextoNormalCaracter"/>
          </w:rPr>
          <w:t>16/2002</w:t>
        </w:r>
      </w:hyperlink>
      <w:r>
        <w:t xml:space="preserve">, f. 3; </w:t>
      </w:r>
      <w:hyperlink w:anchor="SENTENCIA_2002_27" w:history="1">
        <w:r w:rsidRPr="007F4918">
          <w:rPr>
            <w:rStyle w:val="TextoNormalCaracter"/>
          </w:rPr>
          <w:t>27/2002</w:t>
        </w:r>
      </w:hyperlink>
      <w:r>
        <w:t xml:space="preserve">, ff. 1, 4; </w:t>
      </w:r>
      <w:hyperlink w:anchor="SENTENCIA_2002_29" w:history="1">
        <w:r w:rsidRPr="007F4918">
          <w:rPr>
            <w:rStyle w:val="TextoNormalCaracter"/>
          </w:rPr>
          <w:t>29/2002</w:t>
        </w:r>
      </w:hyperlink>
      <w:r>
        <w:t xml:space="preserve">, f. 4; </w:t>
      </w:r>
      <w:hyperlink w:anchor="SENTENCIA_2002_30" w:history="1">
        <w:r w:rsidRPr="007F4918">
          <w:rPr>
            <w:rStyle w:val="TextoNormalCaracter"/>
          </w:rPr>
          <w:t>30/2002</w:t>
        </w:r>
      </w:hyperlink>
      <w:r>
        <w:t xml:space="preserve">, f. 4; </w:t>
      </w:r>
      <w:hyperlink w:anchor="SENTENCIA_2002_31" w:history="1">
        <w:r w:rsidRPr="007F4918">
          <w:rPr>
            <w:rStyle w:val="TextoNormalCaracter"/>
          </w:rPr>
          <w:t>31/2002</w:t>
        </w:r>
      </w:hyperlink>
      <w:r>
        <w:t xml:space="preserve">, f. 1; </w:t>
      </w:r>
      <w:hyperlink w:anchor="SENTENCIA_2002_33" w:history="1">
        <w:r w:rsidRPr="007F4918">
          <w:rPr>
            <w:rStyle w:val="TextoNormalCaracter"/>
          </w:rPr>
          <w:t>33/2002</w:t>
        </w:r>
      </w:hyperlink>
      <w:r>
        <w:t xml:space="preserve">, f. 1; </w:t>
      </w:r>
      <w:hyperlink w:anchor="SENTENCIA_2002_40" w:history="1">
        <w:r w:rsidRPr="007F4918">
          <w:rPr>
            <w:rStyle w:val="TextoNormalCaracter"/>
          </w:rPr>
          <w:t>40/2002</w:t>
        </w:r>
      </w:hyperlink>
      <w:r>
        <w:t xml:space="preserve">, f. 3; </w:t>
      </w:r>
      <w:hyperlink w:anchor="SENTENCIA_2002_41" w:history="1">
        <w:r w:rsidRPr="007F4918">
          <w:rPr>
            <w:rStyle w:val="TextoNormalCaracter"/>
          </w:rPr>
          <w:t>41/2002</w:t>
        </w:r>
      </w:hyperlink>
      <w:r>
        <w:t xml:space="preserve">, f. 4; </w:t>
      </w:r>
      <w:hyperlink w:anchor="SENTENCIA_2002_60" w:history="1">
        <w:r w:rsidRPr="007F4918">
          <w:rPr>
            <w:rStyle w:val="TextoNormalCaracter"/>
          </w:rPr>
          <w:t>60/2002</w:t>
        </w:r>
      </w:hyperlink>
      <w:r>
        <w:t xml:space="preserve">, f. 1; </w:t>
      </w:r>
      <w:hyperlink w:anchor="SENTENCIA_2002_61" w:history="1">
        <w:r w:rsidRPr="007F4918">
          <w:rPr>
            <w:rStyle w:val="TextoNormalCaracter"/>
          </w:rPr>
          <w:t>61/2002</w:t>
        </w:r>
      </w:hyperlink>
      <w:r>
        <w:t xml:space="preserve">, f. 1; </w:t>
      </w:r>
      <w:hyperlink w:anchor="SENTENCIA_2002_66" w:history="1">
        <w:r w:rsidRPr="007F4918">
          <w:rPr>
            <w:rStyle w:val="TextoNormalCaracter"/>
          </w:rPr>
          <w:t>66/2002</w:t>
        </w:r>
      </w:hyperlink>
      <w:r>
        <w:t xml:space="preserve">, f. 4; </w:t>
      </w:r>
      <w:hyperlink w:anchor="SENTENCIA_2002_70" w:history="1">
        <w:r w:rsidRPr="007F4918">
          <w:rPr>
            <w:rStyle w:val="TextoNormalCaracter"/>
          </w:rPr>
          <w:t>70/2002</w:t>
        </w:r>
      </w:hyperlink>
      <w:r>
        <w:t xml:space="preserve">, ff. 1, 7; </w:t>
      </w:r>
      <w:hyperlink w:anchor="SENTENCIA_2002_77" w:history="1">
        <w:r w:rsidRPr="007F4918">
          <w:rPr>
            <w:rStyle w:val="TextoNormalCaracter"/>
          </w:rPr>
          <w:t>77/2002</w:t>
        </w:r>
      </w:hyperlink>
      <w:r>
        <w:t xml:space="preserve">, f. 1; </w:t>
      </w:r>
      <w:hyperlink w:anchor="SENTENCIA_2002_79" w:history="1">
        <w:r w:rsidRPr="007F4918">
          <w:rPr>
            <w:rStyle w:val="TextoNormalCaracter"/>
          </w:rPr>
          <w:t>79/2002</w:t>
        </w:r>
      </w:hyperlink>
      <w:r>
        <w:t xml:space="preserve">, VP; </w:t>
      </w:r>
      <w:hyperlink w:anchor="SENTENCIA_2002_80" w:history="1">
        <w:r w:rsidRPr="007F4918">
          <w:rPr>
            <w:rStyle w:val="TextoNormalCaracter"/>
          </w:rPr>
          <w:t>80/2002</w:t>
        </w:r>
      </w:hyperlink>
      <w:r>
        <w:t xml:space="preserve">, ff. 1, 2; </w:t>
      </w:r>
      <w:hyperlink w:anchor="SENTENCIA_2002_81" w:history="1">
        <w:r w:rsidRPr="007F4918">
          <w:rPr>
            <w:rStyle w:val="TextoNormalCaracter"/>
          </w:rPr>
          <w:t>81/2002</w:t>
        </w:r>
      </w:hyperlink>
      <w:r>
        <w:t xml:space="preserve">, VP; </w:t>
      </w:r>
      <w:hyperlink w:anchor="SENTENCIA_2002_84" w:history="1">
        <w:r w:rsidRPr="007F4918">
          <w:rPr>
            <w:rStyle w:val="TextoNormalCaracter"/>
          </w:rPr>
          <w:t>84/2002</w:t>
        </w:r>
      </w:hyperlink>
      <w:r>
        <w:t>, f. 4.</w:t>
      </w:r>
    </w:p>
    <w:p w:rsidR="007F4918" w:rsidRDefault="007F4918" w:rsidP="007F4918">
      <w:pPr>
        <w:pStyle w:val="SangriaIzquierdaArticulo"/>
      </w:pPr>
      <w:r>
        <w:t xml:space="preserve">Autos </w:t>
      </w:r>
      <w:hyperlink w:anchor="AUTO_2002_6" w:history="1">
        <w:r w:rsidRPr="007F4918">
          <w:rPr>
            <w:rStyle w:val="TextoNormalCaracter"/>
          </w:rPr>
          <w:t>6/2002</w:t>
        </w:r>
      </w:hyperlink>
      <w:r>
        <w:t xml:space="preserve">; </w:t>
      </w:r>
      <w:hyperlink w:anchor="AUTO_2002_8" w:history="1">
        <w:r w:rsidRPr="007F4918">
          <w:rPr>
            <w:rStyle w:val="TextoNormalCaracter"/>
          </w:rPr>
          <w:t>8/2002</w:t>
        </w:r>
      </w:hyperlink>
      <w:r>
        <w:t xml:space="preserve">; </w:t>
      </w:r>
      <w:hyperlink w:anchor="AUTO_2002_13" w:history="1">
        <w:r w:rsidRPr="007F4918">
          <w:rPr>
            <w:rStyle w:val="TextoNormalCaracter"/>
          </w:rPr>
          <w:t>13/2002</w:t>
        </w:r>
      </w:hyperlink>
      <w:r>
        <w:t xml:space="preserve">; </w:t>
      </w:r>
      <w:hyperlink w:anchor="AUTO_2002_43" w:history="1">
        <w:r w:rsidRPr="007F4918">
          <w:rPr>
            <w:rStyle w:val="TextoNormalCaracter"/>
          </w:rPr>
          <w:t>43/2002</w:t>
        </w:r>
      </w:hyperlink>
      <w:r>
        <w:t xml:space="preserve">; </w:t>
      </w:r>
      <w:hyperlink w:anchor="AUTO_2002_52" w:history="1">
        <w:r w:rsidRPr="007F4918">
          <w:rPr>
            <w:rStyle w:val="TextoNormalCaracter"/>
          </w:rPr>
          <w:t>52/2002</w:t>
        </w:r>
      </w:hyperlink>
      <w:r>
        <w:t xml:space="preserve">; </w:t>
      </w:r>
      <w:hyperlink w:anchor="AUTO_2002_55" w:history="1">
        <w:r w:rsidRPr="007F4918">
          <w:rPr>
            <w:rStyle w:val="TextoNormalCaracter"/>
          </w:rPr>
          <w:t>55/2002</w:t>
        </w:r>
      </w:hyperlink>
      <w:r>
        <w:t xml:space="preserve">;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24.1.</w:t>
      </w:r>
      <w:r w:rsidRPr="007F4918">
        <w:rPr>
          <w:rStyle w:val="TextoNormalCaracter"/>
        </w:rPr>
        <w:t>-</w:t>
      </w:r>
      <w:r>
        <w:t xml:space="preserve"> Sentencias </w:t>
      </w:r>
      <w:hyperlink w:anchor="SENTENCIA_2002_1" w:history="1">
        <w:r w:rsidRPr="007F4918">
          <w:rPr>
            <w:rStyle w:val="TextoNormalCaracter"/>
          </w:rPr>
          <w:t>1/2002</w:t>
        </w:r>
      </w:hyperlink>
      <w:r>
        <w:t xml:space="preserve">, ff. 1, 2, 4; </w:t>
      </w:r>
      <w:hyperlink w:anchor="SENTENCIA_2002_2" w:history="1">
        <w:r w:rsidRPr="007F4918">
          <w:rPr>
            <w:rStyle w:val="TextoNormalCaracter"/>
          </w:rPr>
          <w:t>2/2002</w:t>
        </w:r>
      </w:hyperlink>
      <w:r>
        <w:t xml:space="preserve">, f. 2; </w:t>
      </w:r>
      <w:hyperlink w:anchor="SENTENCIA_2002_3" w:history="1">
        <w:r w:rsidRPr="007F4918">
          <w:rPr>
            <w:rStyle w:val="TextoNormalCaracter"/>
          </w:rPr>
          <w:t>3/2002</w:t>
        </w:r>
      </w:hyperlink>
      <w:r>
        <w:t xml:space="preserve">, ff. 1 a 4; </w:t>
      </w:r>
      <w:hyperlink w:anchor="SENTENCIA_2002_5" w:history="1">
        <w:r w:rsidRPr="007F4918">
          <w:rPr>
            <w:rStyle w:val="TextoNormalCaracter"/>
          </w:rPr>
          <w:t>5/2002</w:t>
        </w:r>
      </w:hyperlink>
      <w:r>
        <w:t xml:space="preserve">, ff. 1, 3, 4; </w:t>
      </w:r>
      <w:hyperlink w:anchor="SENTENCIA_2002_6" w:history="1">
        <w:r w:rsidRPr="007F4918">
          <w:rPr>
            <w:rStyle w:val="TextoNormalCaracter"/>
          </w:rPr>
          <w:t>6/2002</w:t>
        </w:r>
      </w:hyperlink>
      <w:r>
        <w:t xml:space="preserve">, ff. 3, 5; </w:t>
      </w:r>
      <w:hyperlink w:anchor="SENTENCIA_2002_7" w:history="1">
        <w:r w:rsidRPr="007F4918">
          <w:rPr>
            <w:rStyle w:val="TextoNormalCaracter"/>
          </w:rPr>
          <w:t>7/2002</w:t>
        </w:r>
      </w:hyperlink>
      <w:r>
        <w:t xml:space="preserve">, ff. 1, 3 a 5; </w:t>
      </w:r>
      <w:hyperlink w:anchor="SENTENCIA_2002_8" w:history="1">
        <w:r w:rsidRPr="007F4918">
          <w:rPr>
            <w:rStyle w:val="TextoNormalCaracter"/>
          </w:rPr>
          <w:t>8/2002</w:t>
        </w:r>
      </w:hyperlink>
      <w:r>
        <w:t xml:space="preserve">, f. 3; </w:t>
      </w:r>
      <w:hyperlink w:anchor="SENTENCIA_2002_12" w:history="1">
        <w:r w:rsidRPr="007F4918">
          <w:rPr>
            <w:rStyle w:val="TextoNormalCaracter"/>
          </w:rPr>
          <w:t>12/2002</w:t>
        </w:r>
      </w:hyperlink>
      <w:r>
        <w:t xml:space="preserve">, ff. 1, 2; </w:t>
      </w:r>
      <w:hyperlink w:anchor="SENTENCIA_2002_13" w:history="1">
        <w:r w:rsidRPr="007F4918">
          <w:rPr>
            <w:rStyle w:val="TextoNormalCaracter"/>
          </w:rPr>
          <w:t>13/2002</w:t>
        </w:r>
      </w:hyperlink>
      <w:r>
        <w:t xml:space="preserve">, ff. 1, 3, 5, 6; </w:t>
      </w:r>
      <w:hyperlink w:anchor="SENTENCIA_2002_14" w:history="1">
        <w:r w:rsidRPr="007F4918">
          <w:rPr>
            <w:rStyle w:val="TextoNormalCaracter"/>
          </w:rPr>
          <w:t>14/2002</w:t>
        </w:r>
      </w:hyperlink>
      <w:r>
        <w:t xml:space="preserve">, f. 5; </w:t>
      </w:r>
      <w:hyperlink w:anchor="SENTENCIA_2002_15" w:history="1">
        <w:r w:rsidRPr="007F4918">
          <w:rPr>
            <w:rStyle w:val="TextoNormalCaracter"/>
          </w:rPr>
          <w:t>15/2002</w:t>
        </w:r>
      </w:hyperlink>
      <w:r>
        <w:t xml:space="preserve">, ff. 2 a 4; </w:t>
      </w:r>
      <w:hyperlink w:anchor="SENTENCIA_2002_18" w:history="1">
        <w:r w:rsidRPr="007F4918">
          <w:rPr>
            <w:rStyle w:val="TextoNormalCaracter"/>
          </w:rPr>
          <w:t>18/2002</w:t>
        </w:r>
      </w:hyperlink>
      <w:r>
        <w:t xml:space="preserve">, ff. 2, 6, 8; </w:t>
      </w:r>
      <w:hyperlink w:anchor="SENTENCIA_2002_19" w:history="1">
        <w:r w:rsidRPr="007F4918">
          <w:rPr>
            <w:rStyle w:val="TextoNormalCaracter"/>
          </w:rPr>
          <w:t>19/2002</w:t>
        </w:r>
      </w:hyperlink>
      <w:r>
        <w:t xml:space="preserve">, f. 1; </w:t>
      </w:r>
      <w:hyperlink w:anchor="SENTENCIA_2002_20" w:history="1">
        <w:r w:rsidRPr="007F4918">
          <w:rPr>
            <w:rStyle w:val="TextoNormalCaracter"/>
          </w:rPr>
          <w:t>20/2002</w:t>
        </w:r>
      </w:hyperlink>
      <w:r>
        <w:t xml:space="preserve">, f. 2; </w:t>
      </w:r>
      <w:hyperlink w:anchor="SENTENCIA_2002_22" w:history="1">
        <w:r w:rsidRPr="007F4918">
          <w:rPr>
            <w:rStyle w:val="TextoNormalCaracter"/>
          </w:rPr>
          <w:t>22/2002</w:t>
        </w:r>
      </w:hyperlink>
      <w:r>
        <w:t xml:space="preserve">, ff. 1 a 4; </w:t>
      </w:r>
      <w:hyperlink w:anchor="SENTENCIA_2002_25" w:history="1">
        <w:r w:rsidRPr="007F4918">
          <w:rPr>
            <w:rStyle w:val="TextoNormalCaracter"/>
          </w:rPr>
          <w:t>25/2002</w:t>
        </w:r>
      </w:hyperlink>
      <w:r>
        <w:t xml:space="preserve">, f. 1; </w:t>
      </w:r>
      <w:hyperlink w:anchor="SENTENCIA_2002_26" w:history="1">
        <w:r w:rsidRPr="007F4918">
          <w:rPr>
            <w:rStyle w:val="TextoNormalCaracter"/>
          </w:rPr>
          <w:t>26/2002</w:t>
        </w:r>
      </w:hyperlink>
      <w:r>
        <w:t xml:space="preserve">, ff. 1, 2, 4; </w:t>
      </w:r>
      <w:hyperlink w:anchor="SENTENCIA_2002_27" w:history="1">
        <w:r w:rsidRPr="007F4918">
          <w:rPr>
            <w:rStyle w:val="TextoNormalCaracter"/>
          </w:rPr>
          <w:t>27/2002</w:t>
        </w:r>
      </w:hyperlink>
      <w:r>
        <w:t xml:space="preserve">, ff. 2, 3, 6; </w:t>
      </w:r>
      <w:hyperlink w:anchor="SENTENCIA_2002_28" w:history="1">
        <w:r w:rsidRPr="007F4918">
          <w:rPr>
            <w:rStyle w:val="TextoNormalCaracter"/>
          </w:rPr>
          <w:t>28/2002</w:t>
        </w:r>
      </w:hyperlink>
      <w:r>
        <w:t xml:space="preserve">, ff. 1, 2; </w:t>
      </w:r>
      <w:hyperlink w:anchor="SENTENCIA_2002_31" w:history="1">
        <w:r w:rsidRPr="007F4918">
          <w:rPr>
            <w:rStyle w:val="TextoNormalCaracter"/>
          </w:rPr>
          <w:t>31/2002</w:t>
        </w:r>
      </w:hyperlink>
      <w:r>
        <w:t xml:space="preserve">, ff. 3, 4, 7, 8; </w:t>
      </w:r>
      <w:hyperlink w:anchor="SENTENCIA_2002_32" w:history="1">
        <w:r w:rsidRPr="007F4918">
          <w:rPr>
            <w:rStyle w:val="TextoNormalCaracter"/>
          </w:rPr>
          <w:t>32/2002</w:t>
        </w:r>
      </w:hyperlink>
      <w:r>
        <w:t xml:space="preserve">, ff. 1, 4; </w:t>
      </w:r>
      <w:hyperlink w:anchor="SENTENCIA_2002_33" w:history="1">
        <w:r w:rsidRPr="007F4918">
          <w:rPr>
            <w:rStyle w:val="TextoNormalCaracter"/>
          </w:rPr>
          <w:t>33/2002</w:t>
        </w:r>
      </w:hyperlink>
      <w:r>
        <w:t xml:space="preserve">, ff. 1, 2, 4 a 6, VP; </w:t>
      </w:r>
      <w:hyperlink w:anchor="SENTENCIA_2002_34" w:history="1">
        <w:r w:rsidRPr="007F4918">
          <w:rPr>
            <w:rStyle w:val="TextoNormalCaracter"/>
          </w:rPr>
          <w:t>34/2002</w:t>
        </w:r>
      </w:hyperlink>
      <w:r>
        <w:t xml:space="preserve">, ff. 1, 4, 6, 7; </w:t>
      </w:r>
      <w:hyperlink w:anchor="SENTENCIA_2002_35" w:history="1">
        <w:r w:rsidRPr="007F4918">
          <w:rPr>
            <w:rStyle w:val="TextoNormalCaracter"/>
          </w:rPr>
          <w:t>35/2002</w:t>
        </w:r>
      </w:hyperlink>
      <w:r>
        <w:t xml:space="preserve">, ff. 1, 2; </w:t>
      </w:r>
      <w:hyperlink w:anchor="SENTENCIA_2002_36" w:history="1">
        <w:r w:rsidRPr="007F4918">
          <w:rPr>
            <w:rStyle w:val="TextoNormalCaracter"/>
          </w:rPr>
          <w:t>36/2002</w:t>
        </w:r>
      </w:hyperlink>
      <w:r>
        <w:t xml:space="preserve">, ff. 2, 4 a 6; </w:t>
      </w:r>
      <w:hyperlink w:anchor="SENTENCIA_2002_40" w:history="1">
        <w:r w:rsidRPr="007F4918">
          <w:rPr>
            <w:rStyle w:val="TextoNormalCaracter"/>
          </w:rPr>
          <w:t>40/2002</w:t>
        </w:r>
      </w:hyperlink>
      <w:r>
        <w:t xml:space="preserve">, ff. 2 a 4, 8, 9; </w:t>
      </w:r>
      <w:hyperlink w:anchor="SENTENCIA_2002_42" w:history="1">
        <w:r w:rsidRPr="007F4918">
          <w:rPr>
            <w:rStyle w:val="TextoNormalCaracter"/>
          </w:rPr>
          <w:t>42/2002</w:t>
        </w:r>
      </w:hyperlink>
      <w:r>
        <w:t xml:space="preserve">, ff. 1 a 3; </w:t>
      </w:r>
      <w:hyperlink w:anchor="SENTENCIA_2002_43" w:history="1">
        <w:r w:rsidRPr="007F4918">
          <w:rPr>
            <w:rStyle w:val="TextoNormalCaracter"/>
          </w:rPr>
          <w:t>43/2002</w:t>
        </w:r>
      </w:hyperlink>
      <w:r>
        <w:t xml:space="preserve">, ff. 1 a 4; </w:t>
      </w:r>
      <w:hyperlink w:anchor="SENTENCIA_2002_45" w:history="1">
        <w:r w:rsidRPr="007F4918">
          <w:rPr>
            <w:rStyle w:val="TextoNormalCaracter"/>
          </w:rPr>
          <w:t>45/2002</w:t>
        </w:r>
      </w:hyperlink>
      <w:r>
        <w:t xml:space="preserve">, ff. 1 a 3, 5; </w:t>
      </w:r>
      <w:hyperlink w:anchor="SENTENCIA_2002_46" w:history="1">
        <w:r w:rsidRPr="007F4918">
          <w:rPr>
            <w:rStyle w:val="TextoNormalCaracter"/>
          </w:rPr>
          <w:t>46/2002</w:t>
        </w:r>
      </w:hyperlink>
      <w:r>
        <w:t xml:space="preserve">, f. 5; </w:t>
      </w:r>
      <w:hyperlink w:anchor="SENTENCIA_2002_48" w:history="1">
        <w:r w:rsidRPr="007F4918">
          <w:rPr>
            <w:rStyle w:val="TextoNormalCaracter"/>
          </w:rPr>
          <w:t>48/2002</w:t>
        </w:r>
      </w:hyperlink>
      <w:r>
        <w:t xml:space="preserve">, ff. 1 a 3; </w:t>
      </w:r>
      <w:hyperlink w:anchor="SENTENCIA_2002_50" w:history="1">
        <w:r w:rsidRPr="007F4918">
          <w:rPr>
            <w:rStyle w:val="TextoNormalCaracter"/>
          </w:rPr>
          <w:t>50/2002</w:t>
        </w:r>
      </w:hyperlink>
      <w:r>
        <w:t xml:space="preserve">, ff. 1 a 4, VP; </w:t>
      </w:r>
      <w:hyperlink w:anchor="SENTENCIA_2002_52" w:history="1">
        <w:r w:rsidRPr="007F4918">
          <w:rPr>
            <w:rStyle w:val="TextoNormalCaracter"/>
          </w:rPr>
          <w:t>52/2002</w:t>
        </w:r>
      </w:hyperlink>
      <w:r>
        <w:t xml:space="preserve">, f. 4; </w:t>
      </w:r>
      <w:hyperlink w:anchor="SENTENCIA_2002_55" w:history="1">
        <w:r w:rsidRPr="007F4918">
          <w:rPr>
            <w:rStyle w:val="TextoNormalCaracter"/>
          </w:rPr>
          <w:t>55/2002</w:t>
        </w:r>
      </w:hyperlink>
      <w:r>
        <w:t xml:space="preserve">, ff. 1, 2, 5; </w:t>
      </w:r>
      <w:hyperlink w:anchor="SENTENCIA_2002_56" w:history="1">
        <w:r w:rsidRPr="007F4918">
          <w:rPr>
            <w:rStyle w:val="TextoNormalCaracter"/>
          </w:rPr>
          <w:t>56/2002</w:t>
        </w:r>
      </w:hyperlink>
      <w:r>
        <w:t xml:space="preserve">, f. 4; </w:t>
      </w:r>
      <w:hyperlink w:anchor="SENTENCIA_2002_58" w:history="1">
        <w:r w:rsidRPr="007F4918">
          <w:rPr>
            <w:rStyle w:val="TextoNormalCaracter"/>
          </w:rPr>
          <w:t>58/2002</w:t>
        </w:r>
      </w:hyperlink>
      <w:r>
        <w:t xml:space="preserve">, ff. 1 a 3; </w:t>
      </w:r>
      <w:hyperlink w:anchor="SENTENCIA_2002_59" w:history="1">
        <w:r w:rsidRPr="007F4918">
          <w:rPr>
            <w:rStyle w:val="TextoNormalCaracter"/>
          </w:rPr>
          <w:t>59/2002</w:t>
        </w:r>
      </w:hyperlink>
      <w:r>
        <w:t xml:space="preserve">, ff. 1, 2; </w:t>
      </w:r>
      <w:hyperlink w:anchor="SENTENCIA_2002_60" w:history="1">
        <w:r w:rsidRPr="007F4918">
          <w:rPr>
            <w:rStyle w:val="TextoNormalCaracter"/>
          </w:rPr>
          <w:t>60/2002</w:t>
        </w:r>
      </w:hyperlink>
      <w:r>
        <w:t xml:space="preserve">, ff. 1 a 5; </w:t>
      </w:r>
      <w:hyperlink w:anchor="SENTENCIA_2002_61" w:history="1">
        <w:r w:rsidRPr="007F4918">
          <w:rPr>
            <w:rStyle w:val="TextoNormalCaracter"/>
          </w:rPr>
          <w:t>61/2002</w:t>
        </w:r>
      </w:hyperlink>
      <w:r>
        <w:t xml:space="preserve">, f. 1, 4, 5; </w:t>
      </w:r>
      <w:hyperlink w:anchor="SENTENCIA_2002_62" w:history="1">
        <w:r w:rsidRPr="007F4918">
          <w:rPr>
            <w:rStyle w:val="TextoNormalCaracter"/>
          </w:rPr>
          <w:t>62/2002</w:t>
        </w:r>
      </w:hyperlink>
      <w:r>
        <w:t xml:space="preserve">, ff. 1 a 3, 5; </w:t>
      </w:r>
      <w:hyperlink w:anchor="SENTENCIA_2002_63" w:history="1">
        <w:r w:rsidRPr="007F4918">
          <w:rPr>
            <w:rStyle w:val="TextoNormalCaracter"/>
          </w:rPr>
          <w:t>63/2002</w:t>
        </w:r>
      </w:hyperlink>
      <w:r>
        <w:t xml:space="preserve">, ff. 1 a 3; </w:t>
      </w:r>
      <w:hyperlink w:anchor="SENTENCIA_2002_65" w:history="1">
        <w:r w:rsidRPr="007F4918">
          <w:rPr>
            <w:rStyle w:val="TextoNormalCaracter"/>
          </w:rPr>
          <w:t>65/2002</w:t>
        </w:r>
      </w:hyperlink>
      <w:r>
        <w:t xml:space="preserve">, ff. 1, 3, 7; </w:t>
      </w:r>
      <w:hyperlink w:anchor="SENTENCIA_2002_68" w:history="1">
        <w:r w:rsidRPr="007F4918">
          <w:rPr>
            <w:rStyle w:val="TextoNormalCaracter"/>
          </w:rPr>
          <w:t>68/2002</w:t>
        </w:r>
      </w:hyperlink>
      <w:r>
        <w:t xml:space="preserve">, ff. 1 a 4; </w:t>
      </w:r>
      <w:hyperlink w:anchor="SENTENCIA_2002_69" w:history="1">
        <w:r w:rsidRPr="007F4918">
          <w:rPr>
            <w:rStyle w:val="TextoNormalCaracter"/>
          </w:rPr>
          <w:t>69/2002</w:t>
        </w:r>
      </w:hyperlink>
      <w:r>
        <w:t xml:space="preserve">, f. 2; </w:t>
      </w:r>
      <w:hyperlink w:anchor="SENTENCIA_2002_70" w:history="1">
        <w:r w:rsidRPr="007F4918">
          <w:rPr>
            <w:rStyle w:val="TextoNormalCaracter"/>
          </w:rPr>
          <w:t>70/2002</w:t>
        </w:r>
      </w:hyperlink>
      <w:r>
        <w:t xml:space="preserve">, ff. 4, 8; </w:t>
      </w:r>
      <w:hyperlink w:anchor="SENTENCIA_2002_71" w:history="1">
        <w:r w:rsidRPr="007F4918">
          <w:rPr>
            <w:rStyle w:val="TextoNormalCaracter"/>
          </w:rPr>
          <w:t>71/2002</w:t>
        </w:r>
      </w:hyperlink>
      <w:r>
        <w:t xml:space="preserve">, ff. 3, 6, VP; </w:t>
      </w:r>
      <w:hyperlink w:anchor="SENTENCIA_2002_72" w:history="1">
        <w:r w:rsidRPr="007F4918">
          <w:rPr>
            <w:rStyle w:val="TextoNormalCaracter"/>
          </w:rPr>
          <w:t>72/2002</w:t>
        </w:r>
      </w:hyperlink>
      <w:r>
        <w:t xml:space="preserve">, ff. 1, 2; </w:t>
      </w:r>
      <w:hyperlink w:anchor="SENTENCIA_2002_73" w:history="1">
        <w:r w:rsidRPr="007F4918">
          <w:rPr>
            <w:rStyle w:val="TextoNormalCaracter"/>
          </w:rPr>
          <w:t>73/2002</w:t>
        </w:r>
      </w:hyperlink>
      <w:r>
        <w:t xml:space="preserve">, ff. 1, 3, 4; </w:t>
      </w:r>
      <w:hyperlink w:anchor="SENTENCIA_2002_74" w:history="1">
        <w:r w:rsidRPr="007F4918">
          <w:rPr>
            <w:rStyle w:val="TextoNormalCaracter"/>
          </w:rPr>
          <w:t>74/2002</w:t>
        </w:r>
      </w:hyperlink>
      <w:r>
        <w:t xml:space="preserve">, ff. 1 a 3; </w:t>
      </w:r>
      <w:hyperlink w:anchor="SENTENCIA_2002_76" w:history="1">
        <w:r w:rsidRPr="007F4918">
          <w:rPr>
            <w:rStyle w:val="TextoNormalCaracter"/>
          </w:rPr>
          <w:t>76/2002</w:t>
        </w:r>
      </w:hyperlink>
      <w:r>
        <w:t xml:space="preserve">, f. 1; </w:t>
      </w:r>
      <w:hyperlink w:anchor="SENTENCIA_2002_77" w:history="1">
        <w:r w:rsidRPr="007F4918">
          <w:rPr>
            <w:rStyle w:val="TextoNormalCaracter"/>
          </w:rPr>
          <w:t>77/2002</w:t>
        </w:r>
      </w:hyperlink>
      <w:r>
        <w:t xml:space="preserve">, ff. 1 a 3; </w:t>
      </w:r>
      <w:hyperlink w:anchor="SENTENCIA_2002_78" w:history="1">
        <w:r w:rsidRPr="007F4918">
          <w:rPr>
            <w:rStyle w:val="TextoNormalCaracter"/>
          </w:rPr>
          <w:t>78/2002</w:t>
        </w:r>
      </w:hyperlink>
      <w:r>
        <w:t xml:space="preserve">, ff. 2, 3; </w:t>
      </w:r>
      <w:hyperlink w:anchor="SENTENCIA_2002_79" w:history="1">
        <w:r w:rsidRPr="007F4918">
          <w:rPr>
            <w:rStyle w:val="TextoNormalCaracter"/>
          </w:rPr>
          <w:t>79/2002</w:t>
        </w:r>
      </w:hyperlink>
      <w:r>
        <w:t xml:space="preserve">, ff. 1, 4 a 6, VP; </w:t>
      </w:r>
      <w:hyperlink w:anchor="SENTENCIA_2002_80" w:history="1">
        <w:r w:rsidRPr="007F4918">
          <w:rPr>
            <w:rStyle w:val="TextoNormalCaracter"/>
          </w:rPr>
          <w:t>80/2002</w:t>
        </w:r>
      </w:hyperlink>
      <w:r>
        <w:t xml:space="preserve">, ff. 1, 3; </w:t>
      </w:r>
      <w:hyperlink w:anchor="SENTENCIA_2002_81" w:history="1">
        <w:r w:rsidRPr="007F4918">
          <w:rPr>
            <w:rStyle w:val="TextoNormalCaracter"/>
          </w:rPr>
          <w:t>81/2002</w:t>
        </w:r>
      </w:hyperlink>
      <w:r>
        <w:t xml:space="preserve">, ff. 1 a 3, 5, 6; </w:t>
      </w:r>
      <w:hyperlink w:anchor="SENTENCIA_2002_82" w:history="1">
        <w:r w:rsidRPr="007F4918">
          <w:rPr>
            <w:rStyle w:val="TextoNormalCaracter"/>
          </w:rPr>
          <w:t>82/2002</w:t>
        </w:r>
      </w:hyperlink>
      <w:r>
        <w:t xml:space="preserve">, ff. 1, 2, 7, 8; </w:t>
      </w:r>
      <w:hyperlink w:anchor="SENTENCIA_2002_83" w:history="1">
        <w:r w:rsidRPr="007F4918">
          <w:rPr>
            <w:rStyle w:val="TextoNormalCaracter"/>
          </w:rPr>
          <w:t>83/2002</w:t>
        </w:r>
      </w:hyperlink>
      <w:r>
        <w:t xml:space="preserve">, f. 3; </w:t>
      </w:r>
      <w:hyperlink w:anchor="SENTENCIA_2002_84" w:history="1">
        <w:r w:rsidRPr="007F4918">
          <w:rPr>
            <w:rStyle w:val="TextoNormalCaracter"/>
          </w:rPr>
          <w:t>84/2002</w:t>
        </w:r>
      </w:hyperlink>
      <w:r>
        <w:t xml:space="preserve">, ff. 1, 2, 4; </w:t>
      </w:r>
      <w:hyperlink w:anchor="SENTENCIA_2002_85" w:history="1">
        <w:r w:rsidRPr="007F4918">
          <w:rPr>
            <w:rStyle w:val="TextoNormalCaracter"/>
          </w:rPr>
          <w:t>85/2002</w:t>
        </w:r>
      </w:hyperlink>
      <w:r>
        <w:t xml:space="preserve">, f. 1; </w:t>
      </w:r>
      <w:hyperlink w:anchor="SENTENCIA_2002_86" w:history="1">
        <w:r w:rsidRPr="007F4918">
          <w:rPr>
            <w:rStyle w:val="TextoNormalCaracter"/>
          </w:rPr>
          <w:t>86/2002</w:t>
        </w:r>
      </w:hyperlink>
      <w:r>
        <w:t xml:space="preserve">, ff. 1 a 4; </w:t>
      </w:r>
      <w:hyperlink w:anchor="SENTENCIA_2002_87" w:history="1">
        <w:r w:rsidRPr="007F4918">
          <w:rPr>
            <w:rStyle w:val="TextoNormalCaracter"/>
          </w:rPr>
          <w:t>87/2002</w:t>
        </w:r>
      </w:hyperlink>
      <w:r>
        <w:t xml:space="preserve">, ff. 1, 3 a 5; </w:t>
      </w:r>
      <w:hyperlink w:anchor="SENTENCIA_2002_88" w:history="1">
        <w:r w:rsidRPr="007F4918">
          <w:rPr>
            <w:rStyle w:val="TextoNormalCaracter"/>
          </w:rPr>
          <w:t>88/2002</w:t>
        </w:r>
      </w:hyperlink>
      <w:r>
        <w:t xml:space="preserve">, f. 2; </w:t>
      </w:r>
      <w:hyperlink w:anchor="SENTENCIA_2002_89" w:history="1">
        <w:r w:rsidRPr="007F4918">
          <w:rPr>
            <w:rStyle w:val="TextoNormalCaracter"/>
          </w:rPr>
          <w:t>89/2002</w:t>
        </w:r>
      </w:hyperlink>
      <w:r>
        <w:t xml:space="preserve">, ff. 2, 3; </w:t>
      </w:r>
      <w:hyperlink w:anchor="SENTENCIA_2002_90" w:history="1">
        <w:r w:rsidRPr="007F4918">
          <w:rPr>
            <w:rStyle w:val="TextoNormalCaracter"/>
          </w:rPr>
          <w:t>90/2002</w:t>
        </w:r>
      </w:hyperlink>
      <w:r>
        <w:t xml:space="preserve">, ff. 1 a 4; </w:t>
      </w:r>
      <w:hyperlink w:anchor="SENTENCIA_2002_91" w:history="1">
        <w:r w:rsidRPr="007F4918">
          <w:rPr>
            <w:rStyle w:val="TextoNormalCaracter"/>
          </w:rPr>
          <w:t>91/2002</w:t>
        </w:r>
      </w:hyperlink>
      <w:r>
        <w:t xml:space="preserve">, ff. 1 a 4; </w:t>
      </w:r>
      <w:hyperlink w:anchor="SENTENCIA_2002_92" w:history="1">
        <w:r w:rsidRPr="007F4918">
          <w:rPr>
            <w:rStyle w:val="TextoNormalCaracter"/>
          </w:rPr>
          <w:t>92/2002</w:t>
        </w:r>
      </w:hyperlink>
      <w:r>
        <w:t xml:space="preserve">, ff. 1 a 4; </w:t>
      </w:r>
      <w:hyperlink w:anchor="SENTENCIA_2002_93" w:history="1">
        <w:r w:rsidRPr="007F4918">
          <w:rPr>
            <w:rStyle w:val="TextoNormalCaracter"/>
          </w:rPr>
          <w:t>93/2002</w:t>
        </w:r>
      </w:hyperlink>
      <w:r>
        <w:t xml:space="preserve">, f. 1; </w:t>
      </w:r>
      <w:hyperlink w:anchor="SENTENCIA_2002_94" w:history="1">
        <w:r w:rsidRPr="007F4918">
          <w:rPr>
            <w:rStyle w:val="TextoNormalCaracter"/>
          </w:rPr>
          <w:t>94/2002</w:t>
        </w:r>
      </w:hyperlink>
      <w:r>
        <w:t>, f. 4.</w:t>
      </w:r>
    </w:p>
    <w:p w:rsidR="007F4918" w:rsidRDefault="007F4918" w:rsidP="007F4918">
      <w:pPr>
        <w:pStyle w:val="SangriaIzquierdaArticulo"/>
      </w:pPr>
      <w:r>
        <w:t xml:space="preserve">Autos </w:t>
      </w:r>
      <w:hyperlink w:anchor="AUTO_2002_3" w:history="1">
        <w:r w:rsidRPr="007F4918">
          <w:rPr>
            <w:rStyle w:val="TextoNormalCaracter"/>
          </w:rPr>
          <w:t>3/2002</w:t>
        </w:r>
      </w:hyperlink>
      <w:r>
        <w:t xml:space="preserve">; </w:t>
      </w:r>
      <w:hyperlink w:anchor="AUTO_2002_4" w:history="1">
        <w:r w:rsidRPr="007F4918">
          <w:rPr>
            <w:rStyle w:val="TextoNormalCaracter"/>
          </w:rPr>
          <w:t>4/2002</w:t>
        </w:r>
      </w:hyperlink>
      <w:r>
        <w:t xml:space="preserve">; </w:t>
      </w:r>
      <w:hyperlink w:anchor="AUTO_2002_6" w:history="1">
        <w:r w:rsidRPr="007F4918">
          <w:rPr>
            <w:rStyle w:val="TextoNormalCaracter"/>
          </w:rPr>
          <w:t>6/2002</w:t>
        </w:r>
      </w:hyperlink>
      <w:r>
        <w:t xml:space="preserve">; </w:t>
      </w:r>
      <w:hyperlink w:anchor="AUTO_2002_11" w:history="1">
        <w:r w:rsidRPr="007F4918">
          <w:rPr>
            <w:rStyle w:val="TextoNormalCaracter"/>
          </w:rPr>
          <w:t>11/2002</w:t>
        </w:r>
      </w:hyperlink>
      <w:r>
        <w:t xml:space="preserve">; </w:t>
      </w:r>
      <w:hyperlink w:anchor="AUTO_2002_13" w:history="1">
        <w:r w:rsidRPr="007F4918">
          <w:rPr>
            <w:rStyle w:val="TextoNormalCaracter"/>
          </w:rPr>
          <w:t>13/2002</w:t>
        </w:r>
      </w:hyperlink>
      <w:r>
        <w:t xml:space="preserve">; </w:t>
      </w:r>
      <w:hyperlink w:anchor="AUTO_2002_14" w:history="1">
        <w:r w:rsidRPr="007F4918">
          <w:rPr>
            <w:rStyle w:val="TextoNormalCaracter"/>
          </w:rPr>
          <w:t>14/2002</w:t>
        </w:r>
      </w:hyperlink>
      <w:r>
        <w:t xml:space="preserve">; </w:t>
      </w:r>
      <w:hyperlink w:anchor="AUTO_2002_17" w:history="1">
        <w:r w:rsidRPr="007F4918">
          <w:rPr>
            <w:rStyle w:val="TextoNormalCaracter"/>
          </w:rPr>
          <w:t>17/2002</w:t>
        </w:r>
      </w:hyperlink>
      <w:r>
        <w:t xml:space="preserve">; </w:t>
      </w:r>
      <w:hyperlink w:anchor="AUTO_2002_21" w:history="1">
        <w:r w:rsidRPr="007F4918">
          <w:rPr>
            <w:rStyle w:val="TextoNormalCaracter"/>
          </w:rPr>
          <w:t>21/2002</w:t>
        </w:r>
      </w:hyperlink>
      <w:r>
        <w:t xml:space="preserve">; </w:t>
      </w:r>
      <w:hyperlink w:anchor="AUTO_2002_42" w:history="1">
        <w:r w:rsidRPr="007F4918">
          <w:rPr>
            <w:rStyle w:val="TextoNormalCaracter"/>
          </w:rPr>
          <w:t>42/2002</w:t>
        </w:r>
      </w:hyperlink>
      <w:r>
        <w:t xml:space="preserve">; </w:t>
      </w:r>
      <w:hyperlink w:anchor="AUTO_2002_43" w:history="1">
        <w:r w:rsidRPr="007F4918">
          <w:rPr>
            <w:rStyle w:val="TextoNormalCaracter"/>
          </w:rPr>
          <w:t>43/2002</w:t>
        </w:r>
      </w:hyperlink>
      <w:r>
        <w:t xml:space="preserve">; </w:t>
      </w:r>
      <w:hyperlink w:anchor="AUTO_2002_52" w:history="1">
        <w:r w:rsidRPr="007F4918">
          <w:rPr>
            <w:rStyle w:val="TextoNormalCaracter"/>
          </w:rPr>
          <w:t>52/2002</w:t>
        </w:r>
      </w:hyperlink>
      <w:r>
        <w:t xml:space="preserve">; </w:t>
      </w:r>
      <w:hyperlink w:anchor="AUTO_2002_54" w:history="1">
        <w:r w:rsidRPr="007F4918">
          <w:rPr>
            <w:rStyle w:val="TextoNormalCaracter"/>
          </w:rPr>
          <w:t>54/2002</w:t>
        </w:r>
      </w:hyperlink>
      <w:r>
        <w:t xml:space="preserve">; </w:t>
      </w:r>
      <w:hyperlink w:anchor="AUTO_2002_55" w:history="1">
        <w:r w:rsidRPr="007F4918">
          <w:rPr>
            <w:rStyle w:val="TextoNormalCaracter"/>
          </w:rPr>
          <w:t>55/2002</w:t>
        </w:r>
      </w:hyperlink>
      <w:r>
        <w:t>.</w:t>
      </w:r>
    </w:p>
    <w:p w:rsidR="007F4918" w:rsidRDefault="007F4918" w:rsidP="007F4918">
      <w:pPr>
        <w:pStyle w:val="SangriaFrancesaArticulo"/>
      </w:pPr>
      <w:r w:rsidRPr="007F4918">
        <w:rPr>
          <w:rStyle w:val="TextoNormalNegritaCaracter"/>
        </w:rPr>
        <w:t>Artículo 24.2.</w:t>
      </w:r>
      <w:r w:rsidRPr="007F4918">
        <w:rPr>
          <w:rStyle w:val="TextoNormalCaracter"/>
        </w:rPr>
        <w:t>-</w:t>
      </w:r>
      <w:r>
        <w:t xml:space="preserve"> Sentencias </w:t>
      </w:r>
      <w:hyperlink w:anchor="SENTENCIA_2002_2" w:history="1">
        <w:r w:rsidRPr="007F4918">
          <w:rPr>
            <w:rStyle w:val="TextoNormalCaracter"/>
          </w:rPr>
          <w:t>2/2002</w:t>
        </w:r>
      </w:hyperlink>
      <w:r>
        <w:t xml:space="preserve">, ff. 3, 4; </w:t>
      </w:r>
      <w:hyperlink w:anchor="SENTENCIA_2002_4" w:history="1">
        <w:r w:rsidRPr="007F4918">
          <w:rPr>
            <w:rStyle w:val="TextoNormalCaracter"/>
          </w:rPr>
          <w:t>4/2002</w:t>
        </w:r>
      </w:hyperlink>
      <w:r>
        <w:t xml:space="preserve">, f. 3; </w:t>
      </w:r>
      <w:hyperlink w:anchor="SENTENCIA_2002_12" w:history="1">
        <w:r w:rsidRPr="007F4918">
          <w:rPr>
            <w:rStyle w:val="TextoNormalCaracter"/>
          </w:rPr>
          <w:t>12/2002</w:t>
        </w:r>
      </w:hyperlink>
      <w:r>
        <w:t xml:space="preserve">, f. 2; </w:t>
      </w:r>
      <w:hyperlink w:anchor="SENTENCIA_2002_25" w:history="1">
        <w:r w:rsidRPr="007F4918">
          <w:rPr>
            <w:rStyle w:val="TextoNormalCaracter"/>
          </w:rPr>
          <w:t>25/2002</w:t>
        </w:r>
      </w:hyperlink>
      <w:r>
        <w:t xml:space="preserve">, f. 1; </w:t>
      </w:r>
      <w:hyperlink w:anchor="SENTENCIA_2002_28" w:history="1">
        <w:r w:rsidRPr="007F4918">
          <w:rPr>
            <w:rStyle w:val="TextoNormalCaracter"/>
          </w:rPr>
          <w:t>28/2002</w:t>
        </w:r>
      </w:hyperlink>
      <w:r>
        <w:t xml:space="preserve">, f. 3; </w:t>
      </w:r>
      <w:hyperlink w:anchor="SENTENCIA_2002_50" w:history="1">
        <w:r w:rsidRPr="007F4918">
          <w:rPr>
            <w:rStyle w:val="TextoNormalCaracter"/>
          </w:rPr>
          <w:t>50/2002</w:t>
        </w:r>
      </w:hyperlink>
      <w:r>
        <w:t xml:space="preserve">, VP; </w:t>
      </w:r>
      <w:hyperlink w:anchor="SENTENCIA_2002_51" w:history="1">
        <w:r w:rsidRPr="007F4918">
          <w:rPr>
            <w:rStyle w:val="TextoNormalCaracter"/>
          </w:rPr>
          <w:t>51/2002</w:t>
        </w:r>
      </w:hyperlink>
      <w:r>
        <w:t xml:space="preserve">, f. 1; </w:t>
      </w:r>
      <w:hyperlink w:anchor="SENTENCIA_2002_57" w:history="1">
        <w:r w:rsidRPr="007F4918">
          <w:rPr>
            <w:rStyle w:val="TextoNormalCaracter"/>
          </w:rPr>
          <w:t>57/2002</w:t>
        </w:r>
      </w:hyperlink>
      <w:r>
        <w:t xml:space="preserve">, ff. 2, 3; </w:t>
      </w:r>
      <w:hyperlink w:anchor="SENTENCIA_2002_60" w:history="1">
        <w:r w:rsidRPr="007F4918">
          <w:rPr>
            <w:rStyle w:val="TextoNormalCaracter"/>
          </w:rPr>
          <w:t>60/2002</w:t>
        </w:r>
      </w:hyperlink>
      <w:r>
        <w:t xml:space="preserve">, f. 1; </w:t>
      </w:r>
      <w:hyperlink w:anchor="SENTENCIA_2002_61" w:history="1">
        <w:r w:rsidRPr="007F4918">
          <w:rPr>
            <w:rStyle w:val="TextoNormalCaracter"/>
          </w:rPr>
          <w:t>61/2002</w:t>
        </w:r>
      </w:hyperlink>
      <w:r>
        <w:t xml:space="preserve">, f. 5; </w:t>
      </w:r>
      <w:hyperlink w:anchor="SENTENCIA_2002_68" w:history="1">
        <w:r w:rsidRPr="007F4918">
          <w:rPr>
            <w:rStyle w:val="TextoNormalCaracter"/>
          </w:rPr>
          <w:t>68/2002</w:t>
        </w:r>
      </w:hyperlink>
      <w:r>
        <w:t xml:space="preserve">, f. 10; </w:t>
      </w:r>
      <w:hyperlink w:anchor="SENTENCIA_2002_70" w:history="1">
        <w:r w:rsidRPr="007F4918">
          <w:rPr>
            <w:rStyle w:val="TextoNormalCaracter"/>
          </w:rPr>
          <w:t>70/2002</w:t>
        </w:r>
      </w:hyperlink>
      <w:r>
        <w:t xml:space="preserve">, f. 5; </w:t>
      </w:r>
      <w:hyperlink w:anchor="SENTENCIA_2002_81" w:history="1">
        <w:r w:rsidRPr="007F4918">
          <w:rPr>
            <w:rStyle w:val="TextoNormalCaracter"/>
          </w:rPr>
          <w:t>81/2002</w:t>
        </w:r>
      </w:hyperlink>
      <w:r>
        <w:t xml:space="preserve">, ff. 2, 3, 6; </w:t>
      </w:r>
      <w:hyperlink w:anchor="SENTENCIA_2002_86" w:history="1">
        <w:r w:rsidRPr="007F4918">
          <w:rPr>
            <w:rStyle w:val="TextoNormalCaracter"/>
          </w:rPr>
          <w:t>86/2002</w:t>
        </w:r>
      </w:hyperlink>
      <w:r>
        <w:t>, f. 1.</w:t>
      </w:r>
    </w:p>
    <w:p w:rsidR="007F4918" w:rsidRDefault="007F4918" w:rsidP="007F4918">
      <w:pPr>
        <w:pStyle w:val="SangriaIzquierdaArticulo"/>
      </w:pPr>
      <w:r>
        <w:t xml:space="preserve">Autos </w:t>
      </w:r>
      <w:hyperlink w:anchor="AUTO_2002_3" w:history="1">
        <w:r w:rsidRPr="007F4918">
          <w:rPr>
            <w:rStyle w:val="TextoNormalCaracter"/>
          </w:rPr>
          <w:t>3/2002</w:t>
        </w:r>
      </w:hyperlink>
      <w:r>
        <w:t xml:space="preserve">;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la asistencia de letrado)</w:t>
      </w:r>
      <w:r w:rsidRPr="007F4918">
        <w:rPr>
          <w:rStyle w:val="TextoNormalNegritaCaracter"/>
        </w:rPr>
        <w:t>.</w:t>
      </w:r>
      <w:r w:rsidRPr="007F4918">
        <w:rPr>
          <w:rStyle w:val="TextoNormalCaracter"/>
        </w:rPr>
        <w:t>-</w:t>
      </w:r>
      <w:r>
        <w:t xml:space="preserve"> Sentencias </w:t>
      </w:r>
      <w:hyperlink w:anchor="SENTENCIA_2002_70" w:history="1">
        <w:r w:rsidRPr="007F4918">
          <w:rPr>
            <w:rStyle w:val="TextoNormalCaracter"/>
          </w:rPr>
          <w:t>70/2002</w:t>
        </w:r>
      </w:hyperlink>
      <w:r>
        <w:t xml:space="preserve">, ff. 1, 3; </w:t>
      </w:r>
      <w:hyperlink w:anchor="SENTENCIA_2002_79" w:history="1">
        <w:r w:rsidRPr="007F4918">
          <w:rPr>
            <w:rStyle w:val="TextoNormalCaracter"/>
          </w:rPr>
          <w:t>79/2002</w:t>
        </w:r>
      </w:hyperlink>
      <w:r>
        <w:t>, ff. 1, 2, VP.</w:t>
      </w:r>
    </w:p>
    <w:p w:rsidR="007F4918" w:rsidRDefault="007F4918" w:rsidP="007F4918">
      <w:pPr>
        <w:pStyle w:val="SangriaIzquierdaArticulo"/>
      </w:pPr>
      <w:r>
        <w:t xml:space="preserve">Autos </w:t>
      </w:r>
      <w:hyperlink w:anchor="AUTO_2002_43" w:history="1">
        <w:r w:rsidRPr="007F4918">
          <w:rPr>
            <w:rStyle w:val="TextoNormalCaracter"/>
          </w:rPr>
          <w:t>43/2002</w:t>
        </w:r>
      </w:hyperlink>
      <w:r>
        <w:t xml:space="preserve">; </w:t>
      </w:r>
      <w:hyperlink w:anchor="AUTO_2002_50" w:history="1">
        <w:r w:rsidRPr="007F4918">
          <w:rPr>
            <w:rStyle w:val="TextoNormalCaracter"/>
          </w:rPr>
          <w:t>50/2002</w:t>
        </w:r>
      </w:hyperlink>
      <w:r>
        <w:t>.</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la defensa)</w:t>
      </w:r>
      <w:r w:rsidRPr="007F4918">
        <w:rPr>
          <w:rStyle w:val="TextoNormalNegritaCaracter"/>
        </w:rPr>
        <w:t>.</w:t>
      </w:r>
      <w:r w:rsidRPr="007F4918">
        <w:rPr>
          <w:rStyle w:val="TextoNormalCaracter"/>
        </w:rPr>
        <w:t>-</w:t>
      </w:r>
      <w:r>
        <w:t xml:space="preserve"> Sentencias </w:t>
      </w:r>
      <w:hyperlink w:anchor="SENTENCIA_2002_2" w:history="1">
        <w:r w:rsidRPr="007F4918">
          <w:rPr>
            <w:rStyle w:val="TextoNormalCaracter"/>
          </w:rPr>
          <w:t>2/2002</w:t>
        </w:r>
      </w:hyperlink>
      <w:r>
        <w:t xml:space="preserve">, f. 6; </w:t>
      </w:r>
      <w:hyperlink w:anchor="SENTENCIA_2002_7" w:history="1">
        <w:r w:rsidRPr="007F4918">
          <w:rPr>
            <w:rStyle w:val="TextoNormalCaracter"/>
          </w:rPr>
          <w:t>7/2002</w:t>
        </w:r>
      </w:hyperlink>
      <w:r>
        <w:t xml:space="preserve">, f. 4; </w:t>
      </w:r>
      <w:hyperlink w:anchor="SENTENCIA_2002_50" w:history="1">
        <w:r w:rsidRPr="007F4918">
          <w:rPr>
            <w:rStyle w:val="TextoNormalCaracter"/>
          </w:rPr>
          <w:t>50/2002</w:t>
        </w:r>
      </w:hyperlink>
      <w:r>
        <w:t xml:space="preserve">, VP; </w:t>
      </w:r>
      <w:hyperlink w:anchor="SENTENCIA_2002_70" w:history="1">
        <w:r w:rsidRPr="007F4918">
          <w:rPr>
            <w:rStyle w:val="TextoNormalCaracter"/>
          </w:rPr>
          <w:t>70/2002</w:t>
        </w:r>
      </w:hyperlink>
      <w:r>
        <w:t xml:space="preserve">, ff. 1, 4, 5; </w:t>
      </w:r>
      <w:hyperlink w:anchor="SENTENCIA_2002_79" w:history="1">
        <w:r w:rsidRPr="007F4918">
          <w:rPr>
            <w:rStyle w:val="TextoNormalCaracter"/>
          </w:rPr>
          <w:t>79/2002</w:t>
        </w:r>
      </w:hyperlink>
      <w:r>
        <w:t xml:space="preserve">, ff. 1, 4, 6, VP; </w:t>
      </w:r>
      <w:hyperlink w:anchor="SENTENCIA_2002_81" w:history="1">
        <w:r w:rsidRPr="007F4918">
          <w:rPr>
            <w:rStyle w:val="TextoNormalCaracter"/>
          </w:rPr>
          <w:t>81/2002</w:t>
        </w:r>
      </w:hyperlink>
      <w:r>
        <w:t>, ff. 1, 2.</w:t>
      </w:r>
    </w:p>
    <w:p w:rsidR="007F4918" w:rsidRDefault="007F4918" w:rsidP="007F4918">
      <w:pPr>
        <w:pStyle w:val="SangriaIzquierdaArticulo"/>
      </w:pPr>
      <w:r>
        <w:t xml:space="preserve">Autos </w:t>
      </w:r>
      <w:hyperlink w:anchor="AUTO_2002_43" w:history="1">
        <w:r w:rsidRPr="007F4918">
          <w:rPr>
            <w:rStyle w:val="TextoNormalCaracter"/>
          </w:rPr>
          <w:t>43/2002</w:t>
        </w:r>
      </w:hyperlink>
      <w:r>
        <w:t xml:space="preserve">; </w:t>
      </w:r>
      <w:hyperlink w:anchor="AUTO_2002_50" w:history="1">
        <w:r w:rsidRPr="007F4918">
          <w:rPr>
            <w:rStyle w:val="TextoNormalCaracter"/>
          </w:rPr>
          <w:t>50/2002</w:t>
        </w:r>
      </w:hyperlink>
      <w:r>
        <w:t xml:space="preserve">;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la presunción de inocencia)</w:t>
      </w:r>
      <w:r w:rsidRPr="007F4918">
        <w:rPr>
          <w:rStyle w:val="TextoNormalNegritaCaracter"/>
        </w:rPr>
        <w:t>.</w:t>
      </w:r>
      <w:r w:rsidRPr="007F4918">
        <w:rPr>
          <w:rStyle w:val="TextoNormalCaracter"/>
        </w:rPr>
        <w:t>-</w:t>
      </w:r>
      <w:r>
        <w:t xml:space="preserve"> Sentencias </w:t>
      </w:r>
      <w:hyperlink w:anchor="SENTENCIA_2002_2" w:history="1">
        <w:r w:rsidRPr="007F4918">
          <w:rPr>
            <w:rStyle w:val="TextoNormalCaracter"/>
          </w:rPr>
          <w:t>2/2002</w:t>
        </w:r>
      </w:hyperlink>
      <w:r>
        <w:t xml:space="preserve">, ff. 1, 3; </w:t>
      </w:r>
      <w:hyperlink w:anchor="SENTENCIA_2002_12" w:history="1">
        <w:r w:rsidRPr="007F4918">
          <w:rPr>
            <w:rStyle w:val="TextoNormalCaracter"/>
          </w:rPr>
          <w:t>12/2002</w:t>
        </w:r>
      </w:hyperlink>
      <w:r>
        <w:t xml:space="preserve">, f. 3; </w:t>
      </w:r>
      <w:hyperlink w:anchor="SENTENCIA_2002_17" w:history="1">
        <w:r w:rsidRPr="007F4918">
          <w:rPr>
            <w:rStyle w:val="TextoNormalCaracter"/>
          </w:rPr>
          <w:t>17/2002</w:t>
        </w:r>
      </w:hyperlink>
      <w:r>
        <w:t xml:space="preserve">, f. 1; </w:t>
      </w:r>
      <w:hyperlink w:anchor="SENTENCIA_2002_28" w:history="1">
        <w:r w:rsidRPr="007F4918">
          <w:rPr>
            <w:rStyle w:val="TextoNormalCaracter"/>
          </w:rPr>
          <w:t>28/2002</w:t>
        </w:r>
      </w:hyperlink>
      <w:r>
        <w:t xml:space="preserve">, f. 1; </w:t>
      </w:r>
      <w:hyperlink w:anchor="SENTENCIA_2002_50" w:history="1">
        <w:r w:rsidRPr="007F4918">
          <w:rPr>
            <w:rStyle w:val="TextoNormalCaracter"/>
          </w:rPr>
          <w:t>50/2002</w:t>
        </w:r>
      </w:hyperlink>
      <w:r>
        <w:t xml:space="preserve">, ff. 1, 5, VP; </w:t>
      </w:r>
      <w:hyperlink w:anchor="SENTENCIA_2002_57" w:history="1">
        <w:r w:rsidRPr="007F4918">
          <w:rPr>
            <w:rStyle w:val="TextoNormalCaracter"/>
          </w:rPr>
          <w:t>57/2002</w:t>
        </w:r>
      </w:hyperlink>
      <w:r>
        <w:t xml:space="preserve">, f. 2; </w:t>
      </w:r>
      <w:hyperlink w:anchor="SENTENCIA_2002_68" w:history="1">
        <w:r w:rsidRPr="007F4918">
          <w:rPr>
            <w:rStyle w:val="TextoNormalCaracter"/>
          </w:rPr>
          <w:t>68/2002</w:t>
        </w:r>
      </w:hyperlink>
      <w:r>
        <w:t xml:space="preserve">, ff. 1, 5; </w:t>
      </w:r>
      <w:hyperlink w:anchor="SENTENCIA_2002_70" w:history="1">
        <w:r w:rsidRPr="007F4918">
          <w:rPr>
            <w:rStyle w:val="TextoNormalCaracter"/>
          </w:rPr>
          <w:t>70/2002</w:t>
        </w:r>
      </w:hyperlink>
      <w:r>
        <w:t xml:space="preserve">, ff. 1, 2, 7, 11; </w:t>
      </w:r>
      <w:hyperlink w:anchor="SENTENCIA_2002_76" w:history="1">
        <w:r w:rsidRPr="007F4918">
          <w:rPr>
            <w:rStyle w:val="TextoNormalCaracter"/>
          </w:rPr>
          <w:t>76/2002</w:t>
        </w:r>
      </w:hyperlink>
      <w:r>
        <w:t xml:space="preserve">, f. 1; </w:t>
      </w:r>
      <w:hyperlink w:anchor="SENTENCIA_2002_79" w:history="1">
        <w:r w:rsidRPr="007F4918">
          <w:rPr>
            <w:rStyle w:val="TextoNormalCaracter"/>
          </w:rPr>
          <w:t>79/2002</w:t>
        </w:r>
      </w:hyperlink>
      <w:r>
        <w:t xml:space="preserve">, ff. 1, 5, VP; </w:t>
      </w:r>
      <w:hyperlink w:anchor="SENTENCIA_2002_82" w:history="1">
        <w:r w:rsidRPr="007F4918">
          <w:rPr>
            <w:rStyle w:val="TextoNormalCaracter"/>
          </w:rPr>
          <w:t>82/2002</w:t>
        </w:r>
      </w:hyperlink>
      <w:r>
        <w:t xml:space="preserve">, ff. 1, 2; </w:t>
      </w:r>
      <w:hyperlink w:anchor="SENTENCIA_2002_94" w:history="1">
        <w:r w:rsidRPr="007F4918">
          <w:rPr>
            <w:rStyle w:val="TextoNormalCaracter"/>
          </w:rPr>
          <w:t>94/2002</w:t>
        </w:r>
      </w:hyperlink>
      <w:r>
        <w:t xml:space="preserve">, f. 1; </w:t>
      </w:r>
      <w:hyperlink w:anchor="SENTENCIA_2002_98" w:history="1">
        <w:r w:rsidRPr="007F4918">
          <w:rPr>
            <w:rStyle w:val="TextoNormalCaracter"/>
          </w:rPr>
          <w:t>98/2002</w:t>
        </w:r>
      </w:hyperlink>
      <w:r>
        <w:t>, f. 3.</w:t>
      </w:r>
    </w:p>
    <w:p w:rsidR="007F4918" w:rsidRDefault="007F4918" w:rsidP="007F4918">
      <w:pPr>
        <w:pStyle w:val="SangriaIzquierdaArticulo"/>
      </w:pPr>
      <w:r>
        <w:t xml:space="preserve">Autos </w:t>
      </w:r>
      <w:hyperlink w:anchor="AUTO_2002_11" w:history="1">
        <w:r w:rsidRPr="007F4918">
          <w:rPr>
            <w:rStyle w:val="TextoNormalCaracter"/>
          </w:rPr>
          <w:t>11/2002</w:t>
        </w:r>
      </w:hyperlink>
      <w:r>
        <w:t xml:space="preserve">; </w:t>
      </w:r>
      <w:hyperlink w:anchor="AUTO_2002_50" w:history="1">
        <w:r w:rsidRPr="007F4918">
          <w:rPr>
            <w:rStyle w:val="TextoNormalCaracter"/>
          </w:rPr>
          <w:t>50/2002</w:t>
        </w:r>
      </w:hyperlink>
      <w:r>
        <w:t xml:space="preserve">;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la prueba)</w:t>
      </w:r>
      <w:r w:rsidRPr="007F4918">
        <w:rPr>
          <w:rStyle w:val="TextoNormalNegritaCaracter"/>
        </w:rPr>
        <w:t>.</w:t>
      </w:r>
      <w:r w:rsidRPr="007F4918">
        <w:rPr>
          <w:rStyle w:val="TextoNormalCaracter"/>
        </w:rPr>
        <w:t>-</w:t>
      </w:r>
      <w:r>
        <w:t xml:space="preserve"> Sentencias </w:t>
      </w:r>
      <w:hyperlink w:anchor="SENTENCIA_2002_2" w:history="1">
        <w:r w:rsidRPr="007F4918">
          <w:rPr>
            <w:rStyle w:val="TextoNormalCaracter"/>
          </w:rPr>
          <w:t>2/2002</w:t>
        </w:r>
      </w:hyperlink>
      <w:r>
        <w:t xml:space="preserve">, f. 3; </w:t>
      </w:r>
      <w:hyperlink w:anchor="SENTENCIA_2002_7" w:history="1">
        <w:r w:rsidRPr="007F4918">
          <w:rPr>
            <w:rStyle w:val="TextoNormalCaracter"/>
          </w:rPr>
          <w:t>7/2002</w:t>
        </w:r>
      </w:hyperlink>
      <w:r>
        <w:t xml:space="preserve">, ff. 1, 4; </w:t>
      </w:r>
      <w:hyperlink w:anchor="SENTENCIA_2002_17" w:history="1">
        <w:r w:rsidRPr="007F4918">
          <w:rPr>
            <w:rStyle w:val="TextoNormalCaracter"/>
          </w:rPr>
          <w:t>17/2002</w:t>
        </w:r>
      </w:hyperlink>
      <w:r>
        <w:t xml:space="preserve">, ff. 1, 3; </w:t>
      </w:r>
      <w:hyperlink w:anchor="SENTENCIA_2002_70" w:history="1">
        <w:r w:rsidRPr="007F4918">
          <w:rPr>
            <w:rStyle w:val="TextoNormalCaracter"/>
          </w:rPr>
          <w:t>70/2002</w:t>
        </w:r>
      </w:hyperlink>
      <w:r>
        <w:t xml:space="preserve">, ff. 1, 5; </w:t>
      </w:r>
      <w:hyperlink w:anchor="SENTENCIA_2002_79" w:history="1">
        <w:r w:rsidRPr="007F4918">
          <w:rPr>
            <w:rStyle w:val="TextoNormalCaracter"/>
          </w:rPr>
          <w:t>79/2002</w:t>
        </w:r>
      </w:hyperlink>
      <w:r>
        <w:t xml:space="preserve">, ff. 1, 3, VP; </w:t>
      </w:r>
      <w:hyperlink w:anchor="SENTENCIA_2002_81" w:history="1">
        <w:r w:rsidRPr="007F4918">
          <w:rPr>
            <w:rStyle w:val="TextoNormalCaracter"/>
          </w:rPr>
          <w:t>81/2002</w:t>
        </w:r>
      </w:hyperlink>
      <w:r>
        <w:t>, ff. 1, 2.</w:t>
      </w:r>
    </w:p>
    <w:p w:rsidR="007F4918" w:rsidRDefault="007F4918" w:rsidP="007F4918">
      <w:pPr>
        <w:pStyle w:val="SangriaIzquierdaArticulo"/>
      </w:pPr>
      <w:r>
        <w:t xml:space="preserve">Auto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no confesarse culpable)</w:t>
      </w:r>
      <w:r w:rsidRPr="007F4918">
        <w:rPr>
          <w:rStyle w:val="TextoNormalNegritaCaracter"/>
        </w:rPr>
        <w:t>.</w:t>
      </w:r>
      <w:r w:rsidRPr="007F4918">
        <w:rPr>
          <w:rStyle w:val="TextoNormalCaracter"/>
        </w:rPr>
        <w:t>-</w:t>
      </w:r>
      <w:r>
        <w:t xml:space="preserve"> Sentencias </w:t>
      </w:r>
      <w:hyperlink w:anchor="SENTENCIA_2002_2" w:history="1">
        <w:r w:rsidRPr="007F4918">
          <w:rPr>
            <w:rStyle w:val="TextoNormalCaracter"/>
          </w:rPr>
          <w:t>2/2002</w:t>
        </w:r>
      </w:hyperlink>
      <w:r>
        <w:t xml:space="preserve">, f. 6; </w:t>
      </w:r>
      <w:hyperlink w:anchor="SENTENCIA_2002_57" w:history="1">
        <w:r w:rsidRPr="007F4918">
          <w:rPr>
            <w:rStyle w:val="TextoNormalCaracter"/>
          </w:rPr>
          <w:t>57/2002</w:t>
        </w:r>
      </w:hyperlink>
      <w:r>
        <w:t xml:space="preserve">, f. 4; </w:t>
      </w:r>
      <w:hyperlink w:anchor="SENTENCIA_2002_68" w:history="1">
        <w:r w:rsidRPr="007F4918">
          <w:rPr>
            <w:rStyle w:val="TextoNormalCaracter"/>
          </w:rPr>
          <w:t>68/2002</w:t>
        </w:r>
      </w:hyperlink>
      <w:r>
        <w:t>, f. 8.</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no declarar contra sí mismo)</w:t>
      </w:r>
      <w:r w:rsidRPr="007F4918">
        <w:rPr>
          <w:rStyle w:val="TextoNormalNegritaCaracter"/>
        </w:rPr>
        <w:t>.</w:t>
      </w:r>
      <w:r w:rsidRPr="007F4918">
        <w:rPr>
          <w:rStyle w:val="TextoNormalCaracter"/>
        </w:rPr>
        <w:t>-</w:t>
      </w:r>
      <w:r>
        <w:t xml:space="preserve"> Sentencias </w:t>
      </w:r>
      <w:hyperlink w:anchor="SENTENCIA_2002_2" w:history="1">
        <w:r w:rsidRPr="007F4918">
          <w:rPr>
            <w:rStyle w:val="TextoNormalCaracter"/>
          </w:rPr>
          <w:t>2/2002</w:t>
        </w:r>
      </w:hyperlink>
      <w:r>
        <w:t xml:space="preserve">, ff. 2, 6; </w:t>
      </w:r>
      <w:hyperlink w:anchor="SENTENCIA_2002_57" w:history="1">
        <w:r w:rsidRPr="007F4918">
          <w:rPr>
            <w:rStyle w:val="TextoNormalCaracter"/>
          </w:rPr>
          <w:t>57/2002</w:t>
        </w:r>
      </w:hyperlink>
      <w:r>
        <w:t xml:space="preserve">, f. 4; </w:t>
      </w:r>
      <w:hyperlink w:anchor="SENTENCIA_2002_68" w:history="1">
        <w:r w:rsidRPr="007F4918">
          <w:rPr>
            <w:rStyle w:val="TextoNormalCaracter"/>
          </w:rPr>
          <w:t>68/2002</w:t>
        </w:r>
      </w:hyperlink>
      <w:r>
        <w:t>, f. 8.</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un juez imparcial)</w:t>
      </w:r>
      <w:r w:rsidRPr="007F4918">
        <w:rPr>
          <w:rStyle w:val="TextoNormalNegritaCaracter"/>
        </w:rPr>
        <w:t>.</w:t>
      </w:r>
      <w:r w:rsidRPr="007F4918">
        <w:rPr>
          <w:rStyle w:val="TextoNormalCaracter"/>
        </w:rPr>
        <w:t>-</w:t>
      </w:r>
      <w:r>
        <w:t xml:space="preserve"> Sentencia </w:t>
      </w:r>
      <w:hyperlink w:anchor="SENTENCIA_2002_79" w:history="1">
        <w:r w:rsidRPr="007F4918">
          <w:rPr>
            <w:rStyle w:val="TextoNormalCaracter"/>
          </w:rPr>
          <w:t>79/2002</w:t>
        </w:r>
      </w:hyperlink>
      <w:r>
        <w:t>, f. 2, VP.</w:t>
      </w:r>
    </w:p>
    <w:p w:rsidR="007F4918" w:rsidRDefault="007F4918" w:rsidP="007F4918">
      <w:pPr>
        <w:pStyle w:val="SangriaFrancesaArticulo"/>
      </w:pPr>
      <w:r w:rsidRPr="007F4918">
        <w:rPr>
          <w:rStyle w:val="TextoNormalNegritaCaracter"/>
        </w:rPr>
        <w:lastRenderedPageBreak/>
        <w:t>Artículo 24.2</w:t>
      </w:r>
      <w:r>
        <w:t xml:space="preserve"> </w:t>
      </w:r>
      <w:r w:rsidRPr="007F4918">
        <w:rPr>
          <w:rStyle w:val="TextoNormalCaracter"/>
        </w:rPr>
        <w:t>(derecho a un proceso con todas las garantías)</w:t>
      </w:r>
      <w:r w:rsidRPr="007F4918">
        <w:rPr>
          <w:rStyle w:val="TextoNormalNegritaCaracter"/>
        </w:rPr>
        <w:t>.</w:t>
      </w:r>
      <w:r w:rsidRPr="007F4918">
        <w:rPr>
          <w:rStyle w:val="TextoNormalCaracter"/>
        </w:rPr>
        <w:t>-</w:t>
      </w:r>
      <w:r>
        <w:t xml:space="preserve"> Sentencias </w:t>
      </w:r>
      <w:hyperlink w:anchor="SENTENCIA_2002_2" w:history="1">
        <w:r w:rsidRPr="007F4918">
          <w:rPr>
            <w:rStyle w:val="TextoNormalCaracter"/>
          </w:rPr>
          <w:t>2/2002</w:t>
        </w:r>
      </w:hyperlink>
      <w:r>
        <w:t xml:space="preserve">, f. 3; </w:t>
      </w:r>
      <w:hyperlink w:anchor="SENTENCIA_2002_12" w:history="1">
        <w:r w:rsidRPr="007F4918">
          <w:rPr>
            <w:rStyle w:val="TextoNormalCaracter"/>
          </w:rPr>
          <w:t>12/2002</w:t>
        </w:r>
      </w:hyperlink>
      <w:r>
        <w:t xml:space="preserve">, f. 3; </w:t>
      </w:r>
      <w:hyperlink w:anchor="SENTENCIA_2002_28" w:history="1">
        <w:r w:rsidRPr="007F4918">
          <w:rPr>
            <w:rStyle w:val="TextoNormalCaracter"/>
          </w:rPr>
          <w:t>28/2002</w:t>
        </w:r>
      </w:hyperlink>
      <w:r>
        <w:t xml:space="preserve">, ff. 1, 4, 5; </w:t>
      </w:r>
      <w:hyperlink w:anchor="SENTENCIA_2002_50" w:history="1">
        <w:r w:rsidRPr="007F4918">
          <w:rPr>
            <w:rStyle w:val="TextoNormalCaracter"/>
          </w:rPr>
          <w:t>50/2002</w:t>
        </w:r>
      </w:hyperlink>
      <w:r>
        <w:t xml:space="preserve">, f. 3, VP; </w:t>
      </w:r>
      <w:hyperlink w:anchor="SENTENCIA_2002_51" w:history="1">
        <w:r w:rsidRPr="007F4918">
          <w:rPr>
            <w:rStyle w:val="TextoNormalCaracter"/>
          </w:rPr>
          <w:t>51/2002</w:t>
        </w:r>
      </w:hyperlink>
      <w:r>
        <w:t xml:space="preserve">, f. 3; </w:t>
      </w:r>
      <w:hyperlink w:anchor="SENTENCIA_2002_57" w:history="1">
        <w:r w:rsidRPr="007F4918">
          <w:rPr>
            <w:rStyle w:val="TextoNormalCaracter"/>
          </w:rPr>
          <w:t>57/2002</w:t>
        </w:r>
      </w:hyperlink>
      <w:r>
        <w:t xml:space="preserve">, f. 2; </w:t>
      </w:r>
      <w:hyperlink w:anchor="SENTENCIA_2002_61" w:history="1">
        <w:r w:rsidRPr="007F4918">
          <w:rPr>
            <w:rStyle w:val="TextoNormalCaracter"/>
          </w:rPr>
          <w:t>61/2002</w:t>
        </w:r>
      </w:hyperlink>
      <w:r>
        <w:t xml:space="preserve">, ff. 1, 4; </w:t>
      </w:r>
      <w:hyperlink w:anchor="SENTENCIA_2002_70" w:history="1">
        <w:r w:rsidRPr="007F4918">
          <w:rPr>
            <w:rStyle w:val="TextoNormalCaracter"/>
          </w:rPr>
          <w:t>70/2002</w:t>
        </w:r>
      </w:hyperlink>
      <w:r>
        <w:t xml:space="preserve">, ff. 1, 3, 7; </w:t>
      </w:r>
      <w:hyperlink w:anchor="SENTENCIA_2002_79" w:history="1">
        <w:r w:rsidRPr="007F4918">
          <w:rPr>
            <w:rStyle w:val="TextoNormalCaracter"/>
          </w:rPr>
          <w:t>79/2002</w:t>
        </w:r>
      </w:hyperlink>
      <w:r>
        <w:t xml:space="preserve">, ff. 1 a 3; </w:t>
      </w:r>
      <w:hyperlink w:anchor="SENTENCIA_2002_81" w:history="1">
        <w:r w:rsidRPr="007F4918">
          <w:rPr>
            <w:rStyle w:val="TextoNormalCaracter"/>
          </w:rPr>
          <w:t>81/2002</w:t>
        </w:r>
      </w:hyperlink>
      <w:r>
        <w:t xml:space="preserve">, f. 1, VP; </w:t>
      </w:r>
      <w:hyperlink w:anchor="SENTENCIA_2002_82" w:history="1">
        <w:r w:rsidRPr="007F4918">
          <w:rPr>
            <w:rStyle w:val="TextoNormalCaracter"/>
          </w:rPr>
          <w:t>82/2002</w:t>
        </w:r>
      </w:hyperlink>
      <w:r>
        <w:t xml:space="preserve">, ff. 2, 6; </w:t>
      </w:r>
      <w:hyperlink w:anchor="SENTENCIA_2002_91" w:history="1">
        <w:r w:rsidRPr="007F4918">
          <w:rPr>
            <w:rStyle w:val="TextoNormalCaracter"/>
          </w:rPr>
          <w:t>91/2002</w:t>
        </w:r>
      </w:hyperlink>
      <w:r>
        <w:t xml:space="preserve">, f. 3; </w:t>
      </w:r>
      <w:hyperlink w:anchor="SENTENCIA_2002_94" w:history="1">
        <w:r w:rsidRPr="007F4918">
          <w:rPr>
            <w:rStyle w:val="TextoNormalCaracter"/>
          </w:rPr>
          <w:t>94/2002</w:t>
        </w:r>
      </w:hyperlink>
      <w:r>
        <w:t>, f. 1.</w:t>
      </w:r>
    </w:p>
    <w:p w:rsidR="007F4918" w:rsidRDefault="007F4918" w:rsidP="007F4918">
      <w:pPr>
        <w:pStyle w:val="SangriaIzquierdaArticulo"/>
      </w:pPr>
      <w:r>
        <w:t xml:space="preserve">Auto </w:t>
      </w:r>
      <w:hyperlink w:anchor="AUTO_2002_50" w:history="1">
        <w:r w:rsidRPr="007F4918">
          <w:rPr>
            <w:rStyle w:val="TextoNormalCaracter"/>
          </w:rPr>
          <w:t>50/2002</w:t>
        </w:r>
      </w:hyperlink>
      <w:r>
        <w:t>.</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 un proceso sin dilaciones)</w:t>
      </w:r>
      <w:r w:rsidRPr="007F4918">
        <w:rPr>
          <w:rStyle w:val="TextoNormalNegritaCaracter"/>
        </w:rPr>
        <w:t>.</w:t>
      </w:r>
      <w:r w:rsidRPr="007F4918">
        <w:rPr>
          <w:rStyle w:val="TextoNormalCaracter"/>
        </w:rPr>
        <w:t>-</w:t>
      </w:r>
      <w:r>
        <w:t xml:space="preserve"> Sentencias </w:t>
      </w:r>
      <w:hyperlink w:anchor="SENTENCIA_2002_7" w:history="1">
        <w:r w:rsidRPr="007F4918">
          <w:rPr>
            <w:rStyle w:val="TextoNormalCaracter"/>
          </w:rPr>
          <w:t>7/2002</w:t>
        </w:r>
      </w:hyperlink>
      <w:r>
        <w:t xml:space="preserve">, ff. 1, 3, 7 a 11; </w:t>
      </w:r>
      <w:hyperlink w:anchor="SENTENCIA_2002_51" w:history="1">
        <w:r w:rsidRPr="007F4918">
          <w:rPr>
            <w:rStyle w:val="TextoNormalCaracter"/>
          </w:rPr>
          <w:t>51/2002</w:t>
        </w:r>
      </w:hyperlink>
      <w:r>
        <w:t xml:space="preserve">, f. 2; </w:t>
      </w:r>
      <w:hyperlink w:anchor="SENTENCIA_2002_81" w:history="1">
        <w:r w:rsidRPr="007F4918">
          <w:rPr>
            <w:rStyle w:val="TextoNormalCaracter"/>
          </w:rPr>
          <w:t>81/2002</w:t>
        </w:r>
      </w:hyperlink>
      <w:r>
        <w:t>, f. 1.</w:t>
      </w:r>
    </w:p>
    <w:p w:rsidR="007F4918" w:rsidRDefault="007F4918" w:rsidP="007F4918">
      <w:pPr>
        <w:pStyle w:val="SangriaFrancesaArticulo"/>
      </w:pPr>
      <w:r w:rsidRPr="007F4918">
        <w:rPr>
          <w:rStyle w:val="TextoNormalNegritaCaracter"/>
        </w:rPr>
        <w:t>Artículo 24.2</w:t>
      </w:r>
      <w:r>
        <w:t xml:space="preserve"> </w:t>
      </w:r>
      <w:r w:rsidRPr="007F4918">
        <w:rPr>
          <w:rStyle w:val="TextoNormalCaracter"/>
        </w:rPr>
        <w:t>(derecho al juez ordinario predeterminado por la ley)</w:t>
      </w:r>
      <w:r w:rsidRPr="007F4918">
        <w:rPr>
          <w:rStyle w:val="TextoNormalNegritaCaracter"/>
        </w:rPr>
        <w:t>.</w:t>
      </w:r>
      <w:r w:rsidRPr="007F4918">
        <w:rPr>
          <w:rStyle w:val="TextoNormalCaracter"/>
        </w:rPr>
        <w:t>-</w:t>
      </w:r>
      <w:r>
        <w:t xml:space="preserve"> Sentencia </w:t>
      </w:r>
      <w:hyperlink w:anchor="SENTENCIA_2002_27" w:history="1">
        <w:r w:rsidRPr="007F4918">
          <w:rPr>
            <w:rStyle w:val="TextoNormalCaracter"/>
          </w:rPr>
          <w:t>27/2002</w:t>
        </w:r>
      </w:hyperlink>
      <w:r>
        <w:t>, f. 5.</w:t>
      </w:r>
    </w:p>
    <w:p w:rsidR="007F4918" w:rsidRDefault="007F4918" w:rsidP="007F4918">
      <w:pPr>
        <w:pStyle w:val="SangriaFrancesaArticulo"/>
      </w:pPr>
      <w:r w:rsidRPr="007F4918">
        <w:rPr>
          <w:rStyle w:val="TextoNormalNegritaCaracter"/>
        </w:rPr>
        <w:t>Artículo 25.</w:t>
      </w:r>
      <w:r w:rsidRPr="007F4918">
        <w:rPr>
          <w:rStyle w:val="TextoNormalCaracter"/>
        </w:rPr>
        <w:t>-</w:t>
      </w:r>
      <w:r>
        <w:t xml:space="preserve"> Sentencias </w:t>
      </w:r>
      <w:hyperlink w:anchor="SENTENCIA_2002_26" w:history="1">
        <w:r w:rsidRPr="007F4918">
          <w:rPr>
            <w:rStyle w:val="TextoNormalCaracter"/>
          </w:rPr>
          <w:t>26/2002</w:t>
        </w:r>
      </w:hyperlink>
      <w:r>
        <w:t xml:space="preserve">, ff. 1, 4; </w:t>
      </w:r>
      <w:hyperlink w:anchor="SENTENCIA_2002_63" w:history="1">
        <w:r w:rsidRPr="007F4918">
          <w:rPr>
            <w:rStyle w:val="TextoNormalCaracter"/>
          </w:rPr>
          <w:t>63/2002</w:t>
        </w:r>
      </w:hyperlink>
      <w:r>
        <w:t xml:space="preserve">, f. 4; </w:t>
      </w:r>
      <w:hyperlink w:anchor="SENTENCIA_2002_71" w:history="1">
        <w:r w:rsidRPr="007F4918">
          <w:rPr>
            <w:rStyle w:val="TextoNormalCaracter"/>
          </w:rPr>
          <w:t>71/2002</w:t>
        </w:r>
      </w:hyperlink>
      <w:r>
        <w:t>, f. 1.</w:t>
      </w:r>
    </w:p>
    <w:p w:rsidR="007F4918" w:rsidRDefault="007F4918" w:rsidP="007F4918">
      <w:pPr>
        <w:pStyle w:val="SangriaFrancesaArticulo"/>
      </w:pPr>
      <w:r w:rsidRPr="007F4918">
        <w:rPr>
          <w:rStyle w:val="TextoNormalNegritaCaracter"/>
        </w:rPr>
        <w:t>Artículo 25.1.</w:t>
      </w:r>
      <w:r w:rsidRPr="007F4918">
        <w:rPr>
          <w:rStyle w:val="TextoNormalCaracter"/>
        </w:rPr>
        <w:t>-</w:t>
      </w:r>
      <w:r>
        <w:t xml:space="preserve"> Sentencias </w:t>
      </w:r>
      <w:hyperlink w:anchor="SENTENCIA_2002_10" w:history="1">
        <w:r w:rsidRPr="007F4918">
          <w:rPr>
            <w:rStyle w:val="TextoNormalCaracter"/>
          </w:rPr>
          <w:t>10/2002</w:t>
        </w:r>
      </w:hyperlink>
      <w:r>
        <w:t xml:space="preserve">, f. 2; </w:t>
      </w:r>
      <w:hyperlink w:anchor="SENTENCIA_2002_25" w:history="1">
        <w:r w:rsidRPr="007F4918">
          <w:rPr>
            <w:rStyle w:val="TextoNormalCaracter"/>
          </w:rPr>
          <w:t>25/2002</w:t>
        </w:r>
      </w:hyperlink>
      <w:r>
        <w:t xml:space="preserve">, ff. 1, 2, 4 a 7; </w:t>
      </w:r>
      <w:hyperlink w:anchor="SENTENCIA_2002_26" w:history="1">
        <w:r w:rsidRPr="007F4918">
          <w:rPr>
            <w:rStyle w:val="TextoNormalCaracter"/>
          </w:rPr>
          <w:t>26/2002</w:t>
        </w:r>
      </w:hyperlink>
      <w:r>
        <w:t xml:space="preserve">, ff. 1 a 4; </w:t>
      </w:r>
      <w:hyperlink w:anchor="SENTENCIA_2002_75" w:history="1">
        <w:r w:rsidRPr="007F4918">
          <w:rPr>
            <w:rStyle w:val="TextoNormalCaracter"/>
          </w:rPr>
          <w:t>75/2002</w:t>
        </w:r>
      </w:hyperlink>
      <w:r>
        <w:t xml:space="preserve">, ff. 1 a 4; </w:t>
      </w:r>
      <w:hyperlink w:anchor="SENTENCIA_2002_79" w:history="1">
        <w:r w:rsidRPr="007F4918">
          <w:rPr>
            <w:rStyle w:val="TextoNormalCaracter"/>
          </w:rPr>
          <w:t>79/2002</w:t>
        </w:r>
      </w:hyperlink>
      <w:r>
        <w:t>, ff. 1, 6, 7, VP.</w:t>
      </w:r>
    </w:p>
    <w:p w:rsidR="007F4918" w:rsidRDefault="007F4918" w:rsidP="007F4918">
      <w:pPr>
        <w:pStyle w:val="SangriaIzquierdaArticulo"/>
      </w:pPr>
      <w:r>
        <w:t xml:space="preserve">Auto </w:t>
      </w:r>
      <w:hyperlink w:anchor="AUTO_2002_26" w:history="1">
        <w:r w:rsidRPr="007F4918">
          <w:rPr>
            <w:rStyle w:val="TextoNormalCaracter"/>
          </w:rPr>
          <w:t>26/2002</w:t>
        </w:r>
      </w:hyperlink>
      <w:r>
        <w:t>.</w:t>
      </w:r>
    </w:p>
    <w:p w:rsidR="007F4918" w:rsidRDefault="007F4918" w:rsidP="007F4918">
      <w:pPr>
        <w:pStyle w:val="SangriaFrancesaArticulo"/>
      </w:pPr>
      <w:r w:rsidRPr="007F4918">
        <w:rPr>
          <w:rStyle w:val="TextoNormalNegritaCaracter"/>
        </w:rPr>
        <w:t>Artículo 25.2.</w:t>
      </w:r>
      <w:r w:rsidRPr="007F4918">
        <w:rPr>
          <w:rStyle w:val="TextoNormalCaracter"/>
        </w:rPr>
        <w:t>-</w:t>
      </w:r>
      <w:r>
        <w:t xml:space="preserve"> Sentencia </w:t>
      </w:r>
      <w:hyperlink w:anchor="SENTENCIA_2002_71" w:history="1">
        <w:r w:rsidRPr="007F4918">
          <w:rPr>
            <w:rStyle w:val="TextoNormalCaracter"/>
          </w:rPr>
          <w:t>71/2002</w:t>
        </w:r>
      </w:hyperlink>
      <w:r>
        <w:t>, ff. 1, 7, VP.</w:t>
      </w:r>
    </w:p>
    <w:p w:rsidR="007F4918" w:rsidRDefault="007F4918" w:rsidP="007F4918">
      <w:pPr>
        <w:pStyle w:val="SangriaFrancesaArticulo"/>
      </w:pPr>
      <w:r w:rsidRPr="007F4918">
        <w:rPr>
          <w:rStyle w:val="TextoNormalNegritaCaracter"/>
        </w:rPr>
        <w:t>Artículo 27.10.</w:t>
      </w:r>
      <w:r w:rsidRPr="007F4918">
        <w:rPr>
          <w:rStyle w:val="TextoNormalCaracter"/>
        </w:rPr>
        <w:t>-</w:t>
      </w:r>
      <w:r>
        <w:t xml:space="preserve"> Sentencia </w:t>
      </w:r>
      <w:hyperlink w:anchor="SENTENCIA_2002_69" w:history="1">
        <w:r w:rsidRPr="007F4918">
          <w:rPr>
            <w:rStyle w:val="TextoNormalCaracter"/>
          </w:rPr>
          <w:t>69/2002</w:t>
        </w:r>
      </w:hyperlink>
      <w:r>
        <w:t>, f. 2.</w:t>
      </w:r>
    </w:p>
    <w:p w:rsidR="007F4918" w:rsidRDefault="007F4918" w:rsidP="007F4918">
      <w:pPr>
        <w:pStyle w:val="SangriaFrancesaArticulo"/>
      </w:pPr>
      <w:r w:rsidRPr="007F4918">
        <w:rPr>
          <w:rStyle w:val="TextoNormalNegritaCaracter"/>
        </w:rPr>
        <w:t>Artículo 28.</w:t>
      </w:r>
      <w:r w:rsidRPr="007F4918">
        <w:rPr>
          <w:rStyle w:val="TextoNormalCaracter"/>
        </w:rPr>
        <w:t>-</w:t>
      </w:r>
      <w:r>
        <w:t xml:space="preserve"> Sentencias </w:t>
      </w:r>
      <w:hyperlink w:anchor="SENTENCIA_2002_14" w:history="1">
        <w:r w:rsidRPr="007F4918">
          <w:rPr>
            <w:rStyle w:val="TextoNormalCaracter"/>
          </w:rPr>
          <w:t>14/2002</w:t>
        </w:r>
      </w:hyperlink>
      <w:r>
        <w:t xml:space="preserve">, f. 1; </w:t>
      </w:r>
      <w:hyperlink w:anchor="SENTENCIA_2002_95" w:history="1">
        <w:r w:rsidRPr="007F4918">
          <w:rPr>
            <w:rStyle w:val="TextoNormalCaracter"/>
          </w:rPr>
          <w:t>95/2002</w:t>
        </w:r>
      </w:hyperlink>
      <w:r>
        <w:t>, ff. 19, 20, VP II.</w:t>
      </w:r>
    </w:p>
    <w:p w:rsidR="007F4918" w:rsidRDefault="007F4918" w:rsidP="007F4918">
      <w:pPr>
        <w:pStyle w:val="SangriaFrancesaArticulo"/>
      </w:pPr>
      <w:r w:rsidRPr="007F4918">
        <w:rPr>
          <w:rStyle w:val="TextoNormalNegritaCaracter"/>
        </w:rPr>
        <w:t>Artículo 28.1.</w:t>
      </w:r>
      <w:r w:rsidRPr="007F4918">
        <w:rPr>
          <w:rStyle w:val="TextoNormalCaracter"/>
        </w:rPr>
        <w:t>-</w:t>
      </w:r>
      <w:r>
        <w:t xml:space="preserve"> Sentencias </w:t>
      </w:r>
      <w:hyperlink w:anchor="SENTENCIA_2002_14" w:history="1">
        <w:r w:rsidRPr="007F4918">
          <w:rPr>
            <w:rStyle w:val="TextoNormalCaracter"/>
          </w:rPr>
          <w:t>14/2002</w:t>
        </w:r>
      </w:hyperlink>
      <w:r>
        <w:t xml:space="preserve">, ff. 1 a 3, 7; </w:t>
      </w:r>
      <w:hyperlink w:anchor="SENTENCIA_2002_29" w:history="1">
        <w:r w:rsidRPr="007F4918">
          <w:rPr>
            <w:rStyle w:val="TextoNormalCaracter"/>
          </w:rPr>
          <w:t>29/2002</w:t>
        </w:r>
      </w:hyperlink>
      <w:r>
        <w:t xml:space="preserve">, ff. 2, 3, 6, 7; </w:t>
      </w:r>
      <w:hyperlink w:anchor="SENTENCIA_2002_30" w:history="1">
        <w:r w:rsidRPr="007F4918">
          <w:rPr>
            <w:rStyle w:val="TextoNormalCaracter"/>
          </w:rPr>
          <w:t>30/2002</w:t>
        </w:r>
      </w:hyperlink>
      <w:r>
        <w:t xml:space="preserve">, ff. 2, 3, 6, 7; </w:t>
      </w:r>
      <w:hyperlink w:anchor="SENTENCIA_2002_48" w:history="1">
        <w:r w:rsidRPr="007F4918">
          <w:rPr>
            <w:rStyle w:val="TextoNormalCaracter"/>
          </w:rPr>
          <w:t>48/2002</w:t>
        </w:r>
      </w:hyperlink>
      <w:r>
        <w:t xml:space="preserve">, ff. 1, 4 a 6, 9; </w:t>
      </w:r>
      <w:hyperlink w:anchor="SENTENCIA_2002_66" w:history="1">
        <w:r w:rsidRPr="007F4918">
          <w:rPr>
            <w:rStyle w:val="TextoNormalCaracter"/>
          </w:rPr>
          <w:t>66/2002</w:t>
        </w:r>
      </w:hyperlink>
      <w:r>
        <w:t xml:space="preserve">, ff. 1, 2; </w:t>
      </w:r>
      <w:hyperlink w:anchor="SENTENCIA_2002_84" w:history="1">
        <w:r w:rsidRPr="007F4918">
          <w:rPr>
            <w:rStyle w:val="TextoNormalCaracter"/>
          </w:rPr>
          <w:t>84/2002</w:t>
        </w:r>
      </w:hyperlink>
      <w:r>
        <w:t>, ff. 1 a 3, 6.</w:t>
      </w:r>
    </w:p>
    <w:p w:rsidR="007F4918" w:rsidRDefault="007F4918" w:rsidP="007F4918">
      <w:pPr>
        <w:pStyle w:val="SangriaIzquierdaArticulo"/>
      </w:pPr>
      <w:r>
        <w:t xml:space="preserve">Auto </w:t>
      </w:r>
      <w:hyperlink w:anchor="AUTO_2002_12" w:history="1">
        <w:r w:rsidRPr="007F4918">
          <w:rPr>
            <w:rStyle w:val="TextoNormalCaracter"/>
          </w:rPr>
          <w:t>12/2002</w:t>
        </w:r>
      </w:hyperlink>
      <w:r>
        <w:t>.</w:t>
      </w:r>
    </w:p>
    <w:p w:rsidR="007F4918" w:rsidRDefault="007F4918" w:rsidP="007F4918">
      <w:pPr>
        <w:pStyle w:val="SangriaFrancesaArticulo"/>
      </w:pPr>
      <w:r w:rsidRPr="007F4918">
        <w:rPr>
          <w:rStyle w:val="TextoNormalNegritaCaracter"/>
        </w:rPr>
        <w:t>Artículo 28.2.</w:t>
      </w:r>
      <w:r w:rsidRPr="007F4918">
        <w:rPr>
          <w:rStyle w:val="TextoNormalCaracter"/>
        </w:rPr>
        <w:t>-</w:t>
      </w:r>
      <w:r>
        <w:t xml:space="preserve"> Sentencia </w:t>
      </w:r>
      <w:hyperlink w:anchor="SENTENCIA_2002_66" w:history="1">
        <w:r w:rsidRPr="007F4918">
          <w:rPr>
            <w:rStyle w:val="TextoNormalCaracter"/>
          </w:rPr>
          <w:t>66/2002</w:t>
        </w:r>
      </w:hyperlink>
      <w:r>
        <w:t>, ff. 1 a 3, 6, 7.</w:t>
      </w:r>
    </w:p>
    <w:p w:rsidR="007F4918" w:rsidRDefault="007F4918" w:rsidP="007F4918">
      <w:pPr>
        <w:pStyle w:val="SangriaFrancesaArticulo"/>
      </w:pPr>
      <w:r w:rsidRPr="007F4918">
        <w:rPr>
          <w:rStyle w:val="TextoNormalNegritaCaracter"/>
        </w:rPr>
        <w:t>Artículo 30.</w:t>
      </w:r>
      <w:r w:rsidRPr="007F4918">
        <w:rPr>
          <w:rStyle w:val="TextoNormalCaracter"/>
        </w:rPr>
        <w:t>-</w:t>
      </w:r>
      <w:r>
        <w:t xml:space="preserve"> Sentencia </w:t>
      </w:r>
      <w:hyperlink w:anchor="SENTENCIA_2002_21" w:history="1">
        <w:r w:rsidRPr="007F4918">
          <w:rPr>
            <w:rStyle w:val="TextoNormalCaracter"/>
          </w:rPr>
          <w:t>21/2002</w:t>
        </w:r>
      </w:hyperlink>
      <w:r>
        <w:t>, f. 2.</w:t>
      </w:r>
    </w:p>
    <w:p w:rsidR="007F4918" w:rsidRDefault="007F4918" w:rsidP="007F4918">
      <w:pPr>
        <w:pStyle w:val="SangriaFrancesaArticulo"/>
      </w:pPr>
      <w:r w:rsidRPr="007F4918">
        <w:rPr>
          <w:rStyle w:val="TextoNormalNegritaCaracter"/>
        </w:rPr>
        <w:t>Artículo 31.</w:t>
      </w:r>
      <w:r w:rsidRPr="007F4918">
        <w:rPr>
          <w:rStyle w:val="TextoNormalCaracter"/>
        </w:rPr>
        <w:t>-</w:t>
      </w:r>
      <w:r>
        <w:t xml:space="preserve"> Sentencia </w:t>
      </w:r>
      <w:hyperlink w:anchor="SENTENCIA_2002_96" w:history="1">
        <w:r w:rsidRPr="007F4918">
          <w:rPr>
            <w:rStyle w:val="TextoNormalCaracter"/>
          </w:rPr>
          <w:t>96/2002</w:t>
        </w:r>
      </w:hyperlink>
      <w:r>
        <w:t>, f. 7.</w:t>
      </w:r>
    </w:p>
    <w:p w:rsidR="007F4918" w:rsidRDefault="007F4918" w:rsidP="007F4918">
      <w:pPr>
        <w:pStyle w:val="SangriaFrancesaArticulo"/>
      </w:pPr>
      <w:r w:rsidRPr="007F4918">
        <w:rPr>
          <w:rStyle w:val="TextoNormalNegritaCaracter"/>
        </w:rPr>
        <w:t>Artículo 31.1.</w:t>
      </w:r>
      <w:r w:rsidRPr="007F4918">
        <w:rPr>
          <w:rStyle w:val="TextoNormalCaracter"/>
        </w:rPr>
        <w:t>-</w:t>
      </w:r>
      <w:r>
        <w:t xml:space="preserve"> Sentencias </w:t>
      </w:r>
      <w:hyperlink w:anchor="SENTENCIA_2002_21" w:history="1">
        <w:r w:rsidRPr="007F4918">
          <w:rPr>
            <w:rStyle w:val="TextoNormalCaracter"/>
          </w:rPr>
          <w:t>21/2002</w:t>
        </w:r>
      </w:hyperlink>
      <w:r>
        <w:t xml:space="preserve">, ff. 1. 2; </w:t>
      </w:r>
      <w:hyperlink w:anchor="SENTENCIA_2002_96" w:history="1">
        <w:r w:rsidRPr="007F4918">
          <w:rPr>
            <w:rStyle w:val="TextoNormalCaracter"/>
          </w:rPr>
          <w:t>96/2002</w:t>
        </w:r>
      </w:hyperlink>
      <w:r>
        <w:t>, ff. 1, 4, 7 a 10, VP I.</w:t>
      </w:r>
    </w:p>
    <w:p w:rsidR="007F4918" w:rsidRDefault="007F4918" w:rsidP="007F4918">
      <w:pPr>
        <w:pStyle w:val="SangriaFrancesaArticulo"/>
      </w:pPr>
      <w:r w:rsidRPr="007F4918">
        <w:rPr>
          <w:rStyle w:val="TextoNormalNegritaCaracter"/>
        </w:rPr>
        <w:t>Artículo 31.3.</w:t>
      </w:r>
      <w:r w:rsidRPr="007F4918">
        <w:rPr>
          <w:rStyle w:val="TextoNormalCaracter"/>
        </w:rPr>
        <w:t>-</w:t>
      </w:r>
      <w:r>
        <w:t xml:space="preserve"> Sentencia </w:t>
      </w:r>
      <w:hyperlink w:anchor="SENTENCIA_2002_96" w:history="1">
        <w:r w:rsidRPr="007F4918">
          <w:rPr>
            <w:rStyle w:val="TextoNormalCaracter"/>
          </w:rPr>
          <w:t>96/2002</w:t>
        </w:r>
      </w:hyperlink>
      <w:r>
        <w:t>, f. 5.</w:t>
      </w:r>
    </w:p>
    <w:p w:rsidR="007F4918" w:rsidRDefault="007F4918" w:rsidP="007F4918">
      <w:pPr>
        <w:pStyle w:val="SangriaFrancesaArticulo"/>
      </w:pPr>
      <w:r w:rsidRPr="007F4918">
        <w:rPr>
          <w:rStyle w:val="TextoNormalNegritaCaracter"/>
        </w:rPr>
        <w:t>Artículo 32.</w:t>
      </w:r>
      <w:r w:rsidRPr="007F4918">
        <w:rPr>
          <w:rStyle w:val="TextoNormalCaracter"/>
        </w:rPr>
        <w:t>-</w:t>
      </w:r>
      <w:r>
        <w:t xml:space="preserve"> Sentencia </w:t>
      </w:r>
      <w:hyperlink w:anchor="SENTENCIA_2002_39" w:history="1">
        <w:r w:rsidRPr="007F4918">
          <w:rPr>
            <w:rStyle w:val="TextoNormalCaracter"/>
          </w:rPr>
          <w:t>39/2002</w:t>
        </w:r>
      </w:hyperlink>
      <w:r>
        <w:t>, ff. 2, 4, 5.</w:t>
      </w:r>
    </w:p>
    <w:p w:rsidR="007F4918" w:rsidRDefault="007F4918" w:rsidP="007F4918">
      <w:pPr>
        <w:pStyle w:val="SangriaFrancesaArticulo"/>
      </w:pPr>
      <w:r w:rsidRPr="007F4918">
        <w:rPr>
          <w:rStyle w:val="TextoNormalNegritaCaracter"/>
        </w:rPr>
        <w:t>Artículo 33.3.</w:t>
      </w:r>
      <w:r w:rsidRPr="007F4918">
        <w:rPr>
          <w:rStyle w:val="TextoNormalCaracter"/>
        </w:rPr>
        <w:t>-</w:t>
      </w:r>
      <w:r>
        <w:t xml:space="preserve"> Sentencia </w:t>
      </w:r>
      <w:hyperlink w:anchor="SENTENCIA_2002_11" w:history="1">
        <w:r w:rsidRPr="007F4918">
          <w:rPr>
            <w:rStyle w:val="TextoNormalCaracter"/>
          </w:rPr>
          <w:t>11/2002</w:t>
        </w:r>
      </w:hyperlink>
      <w:r>
        <w:t>, ff. 2, 10, VP I.</w:t>
      </w:r>
    </w:p>
    <w:p w:rsidR="007F4918" w:rsidRDefault="007F4918" w:rsidP="007F4918">
      <w:pPr>
        <w:pStyle w:val="SangriaFrancesaArticulo"/>
      </w:pPr>
      <w:r w:rsidRPr="007F4918">
        <w:rPr>
          <w:rStyle w:val="TextoNormalNegritaCaracter"/>
        </w:rPr>
        <w:t>Artículo 35.</w:t>
      </w:r>
      <w:r w:rsidRPr="007F4918">
        <w:rPr>
          <w:rStyle w:val="TextoNormalCaracter"/>
        </w:rPr>
        <w:t>-</w:t>
      </w:r>
      <w:r>
        <w:t xml:space="preserve"> Sentencia </w:t>
      </w:r>
      <w:hyperlink w:anchor="SENTENCIA_2002_71" w:history="1">
        <w:r w:rsidRPr="007F4918">
          <w:rPr>
            <w:rStyle w:val="TextoNormalCaracter"/>
          </w:rPr>
          <w:t>71/2002</w:t>
        </w:r>
      </w:hyperlink>
      <w:r>
        <w:t>, f. 1, VP.</w:t>
      </w:r>
    </w:p>
    <w:p w:rsidR="007F4918" w:rsidRDefault="007F4918" w:rsidP="007F4918">
      <w:pPr>
        <w:pStyle w:val="SangriaFrancesaArticulo"/>
      </w:pPr>
      <w:r w:rsidRPr="007F4918">
        <w:rPr>
          <w:rStyle w:val="TextoNormalNegritaCaracter"/>
        </w:rPr>
        <w:t>Artículo 35.1.</w:t>
      </w:r>
      <w:r w:rsidRPr="007F4918">
        <w:rPr>
          <w:rStyle w:val="TextoNormalCaracter"/>
        </w:rPr>
        <w:t>-</w:t>
      </w:r>
      <w:r>
        <w:t xml:space="preserve"> Sentencia </w:t>
      </w:r>
      <w:hyperlink w:anchor="SENTENCIA_2002_95" w:history="1">
        <w:r w:rsidRPr="007F4918">
          <w:rPr>
            <w:rStyle w:val="TextoNormalCaracter"/>
          </w:rPr>
          <w:t>95/2002</w:t>
        </w:r>
      </w:hyperlink>
      <w:r>
        <w:t>, ff. 10, 12, VP IV.</w:t>
      </w:r>
    </w:p>
    <w:p w:rsidR="007F4918" w:rsidRDefault="007F4918" w:rsidP="007F4918">
      <w:pPr>
        <w:pStyle w:val="SangriaFrancesaArticulo"/>
      </w:pPr>
      <w:r w:rsidRPr="007F4918">
        <w:rPr>
          <w:rStyle w:val="TextoNormalNegritaCaracter"/>
        </w:rPr>
        <w:t>Artículo 37.1.</w:t>
      </w:r>
      <w:r w:rsidRPr="007F4918">
        <w:rPr>
          <w:rStyle w:val="TextoNormalCaracter"/>
        </w:rPr>
        <w:t>-</w:t>
      </w:r>
      <w:r>
        <w:t xml:space="preserve"> Sentencia </w:t>
      </w:r>
      <w:hyperlink w:anchor="SENTENCIA_2002_95" w:history="1">
        <w:r w:rsidRPr="007F4918">
          <w:rPr>
            <w:rStyle w:val="TextoNormalCaracter"/>
          </w:rPr>
          <w:t>95/2002</w:t>
        </w:r>
      </w:hyperlink>
      <w:r>
        <w:t>, VP IV.</w:t>
      </w:r>
    </w:p>
    <w:p w:rsidR="007F4918" w:rsidRDefault="007F4918" w:rsidP="007F4918">
      <w:pPr>
        <w:pStyle w:val="SangriaFrancesaArticulo"/>
      </w:pPr>
      <w:r w:rsidRPr="007F4918">
        <w:rPr>
          <w:rStyle w:val="TextoNormalNegritaCaracter"/>
        </w:rPr>
        <w:t>Artículo 38.</w:t>
      </w:r>
      <w:r w:rsidRPr="007F4918">
        <w:rPr>
          <w:rStyle w:val="TextoNormalCaracter"/>
        </w:rPr>
        <w:t>-</w:t>
      </w:r>
      <w:r>
        <w:t xml:space="preserve"> Sentencias </w:t>
      </w:r>
      <w:hyperlink w:anchor="SENTENCIA_2002_20" w:history="1">
        <w:r w:rsidRPr="007F4918">
          <w:rPr>
            <w:rStyle w:val="TextoNormalCaracter"/>
          </w:rPr>
          <w:t>20/2002</w:t>
        </w:r>
      </w:hyperlink>
      <w:r>
        <w:t xml:space="preserve">, f. 4; </w:t>
      </w:r>
      <w:hyperlink w:anchor="SENTENCIA_2002_96" w:history="1">
        <w:r w:rsidRPr="007F4918">
          <w:rPr>
            <w:rStyle w:val="TextoNormalCaracter"/>
          </w:rPr>
          <w:t>96/2002</w:t>
        </w:r>
      </w:hyperlink>
      <w:r>
        <w:t>, ff. 1, 4, 7, 11, 12, VP I, VP II.</w:t>
      </w:r>
    </w:p>
    <w:p w:rsidR="007F4918" w:rsidRDefault="007F4918" w:rsidP="007F4918">
      <w:pPr>
        <w:pStyle w:val="SangriaFrancesaArticulo"/>
      </w:pPr>
      <w:r w:rsidRPr="007F4918">
        <w:rPr>
          <w:rStyle w:val="TextoNormalNegritaCaracter"/>
        </w:rPr>
        <w:t>Artículo 39.</w:t>
      </w:r>
      <w:r w:rsidRPr="007F4918">
        <w:rPr>
          <w:rStyle w:val="TextoNormalCaracter"/>
        </w:rPr>
        <w:t>-</w:t>
      </w:r>
      <w:r>
        <w:t xml:space="preserve"> Sentencia </w:t>
      </w:r>
      <w:hyperlink w:anchor="SENTENCIA_2002_21" w:history="1">
        <w:r w:rsidRPr="007F4918">
          <w:rPr>
            <w:rStyle w:val="TextoNormalCaracter"/>
          </w:rPr>
          <w:t>21/2002</w:t>
        </w:r>
      </w:hyperlink>
      <w:r>
        <w:t>, ff. 1, 2.</w:t>
      </w:r>
    </w:p>
    <w:p w:rsidR="007F4918" w:rsidRDefault="007F4918" w:rsidP="007F4918">
      <w:pPr>
        <w:pStyle w:val="SangriaFrancesaArticulo"/>
      </w:pPr>
      <w:r w:rsidRPr="007F4918">
        <w:rPr>
          <w:rStyle w:val="TextoNormalNegritaCaracter"/>
        </w:rPr>
        <w:t>Artículo 40.1.</w:t>
      </w:r>
      <w:r w:rsidRPr="007F4918">
        <w:rPr>
          <w:rStyle w:val="TextoNormalCaracter"/>
        </w:rPr>
        <w:t>-</w:t>
      </w:r>
      <w:r>
        <w:t xml:space="preserve"> Sentencias </w:t>
      </w:r>
      <w:hyperlink w:anchor="SENTENCIA_2002_24" w:history="1">
        <w:r w:rsidRPr="007F4918">
          <w:rPr>
            <w:rStyle w:val="TextoNormalCaracter"/>
          </w:rPr>
          <w:t>24/2002</w:t>
        </w:r>
      </w:hyperlink>
      <w:r>
        <w:t xml:space="preserve">, f. 5; </w:t>
      </w:r>
      <w:hyperlink w:anchor="SENTENCIA_2002_95" w:history="1">
        <w:r w:rsidRPr="007F4918">
          <w:rPr>
            <w:rStyle w:val="TextoNormalCaracter"/>
          </w:rPr>
          <w:t>95/2002</w:t>
        </w:r>
      </w:hyperlink>
      <w:r>
        <w:t xml:space="preserve">, ff. 10 a 12, VP IV; </w:t>
      </w:r>
      <w:hyperlink w:anchor="SENTENCIA_2002_96" w:history="1">
        <w:r w:rsidRPr="007F4918">
          <w:rPr>
            <w:rStyle w:val="TextoNormalCaracter"/>
          </w:rPr>
          <w:t>96/2002</w:t>
        </w:r>
      </w:hyperlink>
      <w:r>
        <w:t>, f. 11.</w:t>
      </w:r>
    </w:p>
    <w:p w:rsidR="007F4918" w:rsidRDefault="007F4918" w:rsidP="007F4918">
      <w:pPr>
        <w:pStyle w:val="SangriaFrancesaArticulo"/>
      </w:pPr>
      <w:r w:rsidRPr="007F4918">
        <w:rPr>
          <w:rStyle w:val="TextoNormalNegritaCaracter"/>
        </w:rPr>
        <w:t>Artículo 40.2.</w:t>
      </w:r>
      <w:r w:rsidRPr="007F4918">
        <w:rPr>
          <w:rStyle w:val="TextoNormalCaracter"/>
        </w:rPr>
        <w:t>-</w:t>
      </w:r>
      <w:r>
        <w:t xml:space="preserve"> Sentencia </w:t>
      </w:r>
      <w:hyperlink w:anchor="SENTENCIA_2002_95" w:history="1">
        <w:r w:rsidRPr="007F4918">
          <w:rPr>
            <w:rStyle w:val="TextoNormalCaracter"/>
          </w:rPr>
          <w:t>95/2002</w:t>
        </w:r>
      </w:hyperlink>
      <w:r>
        <w:t>, ff. 6, 10. VP IV.</w:t>
      </w:r>
    </w:p>
    <w:p w:rsidR="007F4918" w:rsidRDefault="007F4918" w:rsidP="007F4918">
      <w:pPr>
        <w:pStyle w:val="SangriaFrancesaArticulo"/>
      </w:pPr>
      <w:r w:rsidRPr="007F4918">
        <w:rPr>
          <w:rStyle w:val="TextoNormalNegritaCaracter"/>
        </w:rPr>
        <w:t>Artículo 47.</w:t>
      </w:r>
      <w:r w:rsidRPr="007F4918">
        <w:rPr>
          <w:rStyle w:val="TextoNormalCaracter"/>
        </w:rPr>
        <w:t>-</w:t>
      </w:r>
      <w:r>
        <w:t xml:space="preserve"> Sentencia </w:t>
      </w:r>
      <w:hyperlink w:anchor="SENTENCIA_2002_54" w:history="1">
        <w:r w:rsidRPr="007F4918">
          <w:rPr>
            <w:rStyle w:val="TextoNormalCaracter"/>
          </w:rPr>
          <w:t>54/2002</w:t>
        </w:r>
      </w:hyperlink>
      <w:r>
        <w:t>, f. 4.</w:t>
      </w:r>
    </w:p>
    <w:p w:rsidR="007F4918" w:rsidRDefault="007F4918" w:rsidP="007F4918">
      <w:pPr>
        <w:pStyle w:val="SangriaFrancesaArticulo"/>
      </w:pPr>
      <w:r w:rsidRPr="007F4918">
        <w:rPr>
          <w:rStyle w:val="TextoNormalNegritaCaracter"/>
        </w:rPr>
        <w:t>Artículo 52.</w:t>
      </w:r>
      <w:r w:rsidRPr="007F4918">
        <w:rPr>
          <w:rStyle w:val="TextoNormalCaracter"/>
        </w:rPr>
        <w:t>-</w:t>
      </w:r>
      <w:r>
        <w:t xml:space="preserve"> Sentencia </w:t>
      </w:r>
      <w:hyperlink w:anchor="SENTENCIA_2002_11" w:history="1">
        <w:r w:rsidRPr="007F4918">
          <w:rPr>
            <w:rStyle w:val="TextoNormalCaracter"/>
          </w:rPr>
          <w:t>11/2002</w:t>
        </w:r>
      </w:hyperlink>
      <w:r>
        <w:t>, f. 2.</w:t>
      </w:r>
    </w:p>
    <w:p w:rsidR="007F4918" w:rsidRDefault="007F4918" w:rsidP="007F4918">
      <w:pPr>
        <w:pStyle w:val="SangriaFrancesaArticulo"/>
      </w:pPr>
      <w:r w:rsidRPr="007F4918">
        <w:rPr>
          <w:rStyle w:val="TextoNormalNegritaCaracter"/>
        </w:rPr>
        <w:t>Artículo 53.1.</w:t>
      </w:r>
      <w:r w:rsidRPr="007F4918">
        <w:rPr>
          <w:rStyle w:val="TextoNormalCaracter"/>
        </w:rPr>
        <w:t>-</w:t>
      </w:r>
      <w:r>
        <w:t xml:space="preserve"> Sentencias </w:t>
      </w:r>
      <w:hyperlink w:anchor="SENTENCIA_2002_35" w:history="1">
        <w:r w:rsidRPr="007F4918">
          <w:rPr>
            <w:rStyle w:val="TextoNormalCaracter"/>
          </w:rPr>
          <w:t>35/2002</w:t>
        </w:r>
      </w:hyperlink>
      <w:r>
        <w:t xml:space="preserve">, f. 3; </w:t>
      </w:r>
      <w:hyperlink w:anchor="SENTENCIA_2002_53" w:history="1">
        <w:r w:rsidRPr="007F4918">
          <w:rPr>
            <w:rStyle w:val="TextoNormalCaracter"/>
          </w:rPr>
          <w:t>53/2002</w:t>
        </w:r>
      </w:hyperlink>
      <w:r>
        <w:t xml:space="preserve">, ff. 2, 12; </w:t>
      </w:r>
      <w:hyperlink w:anchor="SENTENCIA_2002_70" w:history="1">
        <w:r w:rsidRPr="007F4918">
          <w:rPr>
            <w:rStyle w:val="TextoNormalCaracter"/>
          </w:rPr>
          <w:t>70/2002</w:t>
        </w:r>
      </w:hyperlink>
      <w:r>
        <w:t>, f. 10.</w:t>
      </w:r>
    </w:p>
    <w:p w:rsidR="007F4918" w:rsidRDefault="007F4918" w:rsidP="007F4918">
      <w:pPr>
        <w:pStyle w:val="SangriaFrancesaArticulo"/>
      </w:pPr>
      <w:r w:rsidRPr="007F4918">
        <w:rPr>
          <w:rStyle w:val="TextoNormalNegritaCaracter"/>
        </w:rPr>
        <w:t>Artículo 53.2.</w:t>
      </w:r>
      <w:r w:rsidRPr="007F4918">
        <w:rPr>
          <w:rStyle w:val="TextoNormalCaracter"/>
        </w:rPr>
        <w:t>-</w:t>
      </w:r>
      <w:r>
        <w:t xml:space="preserve"> Sentencias </w:t>
      </w:r>
      <w:hyperlink w:anchor="SENTENCIA_2002_3" w:history="1">
        <w:r w:rsidRPr="007F4918">
          <w:rPr>
            <w:rStyle w:val="TextoNormalCaracter"/>
          </w:rPr>
          <w:t>3/2002</w:t>
        </w:r>
      </w:hyperlink>
      <w:r>
        <w:t xml:space="preserve">, f. 2; </w:t>
      </w:r>
      <w:hyperlink w:anchor="SENTENCIA_2002_18" w:history="1">
        <w:r w:rsidRPr="007F4918">
          <w:rPr>
            <w:rStyle w:val="TextoNormalCaracter"/>
          </w:rPr>
          <w:t>18/2002</w:t>
        </w:r>
      </w:hyperlink>
      <w:r>
        <w:t xml:space="preserve">, f. 4; </w:t>
      </w:r>
      <w:hyperlink w:anchor="SENTENCIA_2002_21" w:history="1">
        <w:r w:rsidRPr="007F4918">
          <w:rPr>
            <w:rStyle w:val="TextoNormalCaracter"/>
          </w:rPr>
          <w:t>21/2002</w:t>
        </w:r>
      </w:hyperlink>
      <w:r>
        <w:t xml:space="preserve">, f. 2; </w:t>
      </w:r>
      <w:hyperlink w:anchor="SENTENCIA_2002_41" w:history="1">
        <w:r w:rsidRPr="007F4918">
          <w:rPr>
            <w:rStyle w:val="TextoNormalCaracter"/>
          </w:rPr>
          <w:t>41/2002</w:t>
        </w:r>
      </w:hyperlink>
      <w:r>
        <w:t xml:space="preserve">, f. 2; </w:t>
      </w:r>
      <w:hyperlink w:anchor="SENTENCIA_2002_71" w:history="1">
        <w:r w:rsidRPr="007F4918">
          <w:rPr>
            <w:rStyle w:val="TextoNormalCaracter"/>
          </w:rPr>
          <w:t>71/2002</w:t>
        </w:r>
      </w:hyperlink>
      <w:r>
        <w:t xml:space="preserve">, VP; </w:t>
      </w:r>
      <w:hyperlink w:anchor="SENTENCIA_2002_74" w:history="1">
        <w:r w:rsidRPr="007F4918">
          <w:rPr>
            <w:rStyle w:val="TextoNormalCaracter"/>
          </w:rPr>
          <w:t>74/2002</w:t>
        </w:r>
      </w:hyperlink>
      <w:r>
        <w:t>, f. 2.</w:t>
      </w:r>
    </w:p>
    <w:p w:rsidR="007F4918" w:rsidRDefault="007F4918" w:rsidP="007F4918">
      <w:pPr>
        <w:pStyle w:val="SangriaFrancesaArticulo"/>
      </w:pPr>
      <w:r w:rsidRPr="007F4918">
        <w:rPr>
          <w:rStyle w:val="TextoNormalNegritaCaracter"/>
        </w:rPr>
        <w:t>Artículo 66.</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t>Artículo 66.2.</w:t>
      </w:r>
      <w:r w:rsidRPr="007F4918">
        <w:rPr>
          <w:rStyle w:val="TextoNormalCaracter"/>
        </w:rPr>
        <w:t>-</w:t>
      </w:r>
      <w:r>
        <w:t xml:space="preserve"> Sentencia </w:t>
      </w:r>
      <w:hyperlink w:anchor="SENTENCIA_2002_97" w:history="1">
        <w:r w:rsidRPr="007F4918">
          <w:rPr>
            <w:rStyle w:val="TextoNormalCaracter"/>
          </w:rPr>
          <w:t>97/2002</w:t>
        </w:r>
      </w:hyperlink>
      <w:r>
        <w:t>, ff. 3, 4.</w:t>
      </w:r>
    </w:p>
    <w:p w:rsidR="007F4918" w:rsidRDefault="007F4918" w:rsidP="007F4918">
      <w:pPr>
        <w:pStyle w:val="SangriaFrancesaArticulo"/>
      </w:pPr>
      <w:r w:rsidRPr="007F4918">
        <w:rPr>
          <w:rStyle w:val="TextoNormalNegritaCaracter"/>
        </w:rPr>
        <w:t>Artículo 72.1.</w:t>
      </w:r>
      <w:r w:rsidRPr="007F4918">
        <w:rPr>
          <w:rStyle w:val="TextoNormalCaracter"/>
        </w:rPr>
        <w:t>-</w:t>
      </w:r>
      <w:r>
        <w:t xml:space="preserve"> Sentencia </w:t>
      </w:r>
      <w:hyperlink w:anchor="SENTENCIA_2002_97" w:history="1">
        <w:r w:rsidRPr="007F4918">
          <w:rPr>
            <w:rStyle w:val="TextoNormalCaracter"/>
          </w:rPr>
          <w:t>97/2002</w:t>
        </w:r>
      </w:hyperlink>
      <w:r>
        <w:t>, f. 5.</w:t>
      </w:r>
    </w:p>
    <w:p w:rsidR="007F4918" w:rsidRDefault="007F4918" w:rsidP="007F4918">
      <w:pPr>
        <w:pStyle w:val="SangriaFrancesaArticulo"/>
      </w:pPr>
      <w:r w:rsidRPr="007F4918">
        <w:rPr>
          <w:rStyle w:val="TextoNormalNegritaCaracter"/>
        </w:rPr>
        <w:t>Artículo 75.2.</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t>Artículo 78.1.</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t>Artículo 81.1.</w:t>
      </w:r>
      <w:r w:rsidRPr="007F4918">
        <w:rPr>
          <w:rStyle w:val="TextoNormalCaracter"/>
        </w:rPr>
        <w:t>-</w:t>
      </w:r>
      <w:r>
        <w:t xml:space="preserve"> Sentencias </w:t>
      </w:r>
      <w:hyperlink w:anchor="SENTENCIA_2002_53" w:history="1">
        <w:r w:rsidRPr="007F4918">
          <w:rPr>
            <w:rStyle w:val="TextoNormalCaracter"/>
          </w:rPr>
          <w:t>53/2002</w:t>
        </w:r>
      </w:hyperlink>
      <w:r>
        <w:t xml:space="preserve">, ff. 2, 12 a 14, VP I; </w:t>
      </w:r>
      <w:hyperlink w:anchor="SENTENCIA_2002_70" w:history="1">
        <w:r w:rsidRPr="007F4918">
          <w:rPr>
            <w:rStyle w:val="TextoNormalCaracter"/>
          </w:rPr>
          <w:t>70/2002</w:t>
        </w:r>
      </w:hyperlink>
      <w:r>
        <w:t xml:space="preserve">, f. 10; </w:t>
      </w:r>
      <w:hyperlink w:anchor="SENTENCIA_2002_80" w:history="1">
        <w:r w:rsidRPr="007F4918">
          <w:rPr>
            <w:rStyle w:val="TextoNormalCaracter"/>
          </w:rPr>
          <w:t>80/2002</w:t>
        </w:r>
      </w:hyperlink>
      <w:r>
        <w:t>, ff. 3, 5.</w:t>
      </w:r>
    </w:p>
    <w:p w:rsidR="007F4918" w:rsidRDefault="007F4918" w:rsidP="007F4918">
      <w:pPr>
        <w:pStyle w:val="SangriaFrancesaArticulo"/>
      </w:pPr>
      <w:r w:rsidRPr="007F4918">
        <w:rPr>
          <w:rStyle w:val="TextoNormalNegritaCaracter"/>
        </w:rPr>
        <w:t>Artículo 86.</w:t>
      </w:r>
      <w:r w:rsidRPr="007F4918">
        <w:rPr>
          <w:rStyle w:val="TextoNormalCaracter"/>
        </w:rPr>
        <w:t>-</w:t>
      </w:r>
      <w:r>
        <w:t xml:space="preserve"> Sentencia </w:t>
      </w:r>
      <w:hyperlink w:anchor="SENTENCIA_2002_11" w:history="1">
        <w:r w:rsidRPr="007F4918">
          <w:rPr>
            <w:rStyle w:val="TextoNormalCaracter"/>
          </w:rPr>
          <w:t>11/2002</w:t>
        </w:r>
      </w:hyperlink>
      <w:r>
        <w:t>, ff. 2, 4, 6 a 8, VP II.</w:t>
      </w:r>
    </w:p>
    <w:p w:rsidR="007F4918" w:rsidRDefault="007F4918" w:rsidP="007F4918">
      <w:pPr>
        <w:pStyle w:val="SangriaFrancesaArticulo"/>
      </w:pPr>
      <w:r w:rsidRPr="007F4918">
        <w:rPr>
          <w:rStyle w:val="TextoNormalNegritaCaracter"/>
        </w:rPr>
        <w:t>Artículo 86.1.</w:t>
      </w:r>
      <w:r w:rsidRPr="007F4918">
        <w:rPr>
          <w:rStyle w:val="TextoNormalCaracter"/>
        </w:rPr>
        <w:t>-</w:t>
      </w:r>
      <w:r>
        <w:t xml:space="preserve"> Sentencia </w:t>
      </w:r>
      <w:hyperlink w:anchor="SENTENCIA_2002_11" w:history="1">
        <w:r w:rsidRPr="007F4918">
          <w:rPr>
            <w:rStyle w:val="TextoNormalCaracter"/>
          </w:rPr>
          <w:t>11/2002</w:t>
        </w:r>
      </w:hyperlink>
      <w:r>
        <w:t>, ff. 2, 4, 5, 10, VP II.</w:t>
      </w:r>
    </w:p>
    <w:p w:rsidR="007F4918" w:rsidRDefault="007F4918" w:rsidP="007F4918">
      <w:pPr>
        <w:pStyle w:val="SangriaFrancesaArticulo"/>
      </w:pPr>
      <w:r w:rsidRPr="007F4918">
        <w:rPr>
          <w:rStyle w:val="TextoNormalNegritaCaracter"/>
        </w:rPr>
        <w:t>Artículo 87.</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lastRenderedPageBreak/>
        <w:t>Artículo 88.</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t>Artículo 89.</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t>Artículo 90.</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t>Artículo 90.2.</w:t>
      </w:r>
      <w:r w:rsidRPr="007F4918">
        <w:rPr>
          <w:rStyle w:val="TextoNormalCaracter"/>
        </w:rPr>
        <w:t>-</w:t>
      </w:r>
      <w:r>
        <w:t xml:space="preserve"> Sentencia </w:t>
      </w:r>
      <w:hyperlink w:anchor="SENTENCIA_2002_97" w:history="1">
        <w:r w:rsidRPr="007F4918">
          <w:rPr>
            <w:rStyle w:val="TextoNormalCaracter"/>
          </w:rPr>
          <w:t>97/2002</w:t>
        </w:r>
      </w:hyperlink>
      <w:r>
        <w:t>, ff. 2 a 4, 6.</w:t>
      </w:r>
    </w:p>
    <w:p w:rsidR="007F4918" w:rsidRDefault="007F4918" w:rsidP="007F4918">
      <w:pPr>
        <w:pStyle w:val="SangriaFrancesaArticulo"/>
      </w:pPr>
      <w:r w:rsidRPr="007F4918">
        <w:rPr>
          <w:rStyle w:val="TextoNormalNegritaCaracter"/>
        </w:rPr>
        <w:t>Artículo 90.3.</w:t>
      </w:r>
      <w:r w:rsidRPr="007F4918">
        <w:rPr>
          <w:rStyle w:val="TextoNormalCaracter"/>
        </w:rPr>
        <w:t>-</w:t>
      </w:r>
      <w:r>
        <w:t xml:space="preserve"> Sentencia </w:t>
      </w:r>
      <w:hyperlink w:anchor="SENTENCIA_2002_97" w:history="1">
        <w:r w:rsidRPr="007F4918">
          <w:rPr>
            <w:rStyle w:val="TextoNormalCaracter"/>
          </w:rPr>
          <w:t>97/2002</w:t>
        </w:r>
      </w:hyperlink>
      <w:r>
        <w:t>, f. 5.</w:t>
      </w:r>
    </w:p>
    <w:p w:rsidR="007F4918" w:rsidRDefault="007F4918" w:rsidP="007F4918">
      <w:pPr>
        <w:pStyle w:val="SangriaFrancesaArticulo"/>
      </w:pPr>
      <w:r w:rsidRPr="007F4918">
        <w:rPr>
          <w:rStyle w:val="TextoNormalNegritaCaracter"/>
        </w:rPr>
        <w:t>Artículo 91.</w:t>
      </w:r>
      <w:r w:rsidRPr="007F4918">
        <w:rPr>
          <w:rStyle w:val="TextoNormalCaracter"/>
        </w:rPr>
        <w:t>-</w:t>
      </w:r>
      <w:r>
        <w:t xml:space="preserve"> Sentencia </w:t>
      </w:r>
      <w:hyperlink w:anchor="SENTENCIA_2002_97" w:history="1">
        <w:r w:rsidRPr="007F4918">
          <w:rPr>
            <w:rStyle w:val="TextoNormalCaracter"/>
          </w:rPr>
          <w:t>97/2002</w:t>
        </w:r>
      </w:hyperlink>
      <w:r>
        <w:t>, f. 4.</w:t>
      </w:r>
    </w:p>
    <w:p w:rsidR="007F4918" w:rsidRDefault="007F4918" w:rsidP="007F4918">
      <w:pPr>
        <w:pStyle w:val="SangriaFrancesaArticulo"/>
      </w:pPr>
      <w:r w:rsidRPr="007F4918">
        <w:rPr>
          <w:rStyle w:val="TextoNormalNegritaCaracter"/>
        </w:rPr>
        <w:t>Artículo 93.</w:t>
      </w:r>
      <w:r w:rsidRPr="007F4918">
        <w:rPr>
          <w:rStyle w:val="TextoNormalCaracter"/>
        </w:rPr>
        <w:t>-</w:t>
      </w:r>
      <w:r>
        <w:t xml:space="preserve"> Sentencia </w:t>
      </w:r>
      <w:hyperlink w:anchor="SENTENCIA_2002_41" w:history="1">
        <w:r w:rsidRPr="007F4918">
          <w:rPr>
            <w:rStyle w:val="TextoNormalCaracter"/>
          </w:rPr>
          <w:t>41/2002</w:t>
        </w:r>
      </w:hyperlink>
      <w:r>
        <w:t>, f. 2.</w:t>
      </w:r>
    </w:p>
    <w:p w:rsidR="007F4918" w:rsidRDefault="007F4918" w:rsidP="007F4918">
      <w:pPr>
        <w:pStyle w:val="SangriaFrancesaArticulo"/>
      </w:pPr>
      <w:r w:rsidRPr="007F4918">
        <w:rPr>
          <w:rStyle w:val="TextoNormalNegritaCaracter"/>
        </w:rPr>
        <w:t>Artículo 103.1.</w:t>
      </w:r>
      <w:r w:rsidRPr="007F4918">
        <w:rPr>
          <w:rStyle w:val="TextoNormalCaracter"/>
        </w:rPr>
        <w:t>-</w:t>
      </w:r>
      <w:r>
        <w:t xml:space="preserve"> Sentencia </w:t>
      </w:r>
      <w:hyperlink w:anchor="SENTENCIA_2002_48" w:history="1">
        <w:r w:rsidRPr="007F4918">
          <w:rPr>
            <w:rStyle w:val="TextoNormalCaracter"/>
          </w:rPr>
          <w:t>48/2002</w:t>
        </w:r>
      </w:hyperlink>
      <w:r>
        <w:t>, f. 7.</w:t>
      </w:r>
    </w:p>
    <w:p w:rsidR="007F4918" w:rsidRDefault="007F4918" w:rsidP="007F4918">
      <w:pPr>
        <w:pStyle w:val="SangriaFrancesaArticulo"/>
      </w:pPr>
      <w:r w:rsidRPr="007F4918">
        <w:rPr>
          <w:rStyle w:val="TextoNormalNegritaCaracter"/>
        </w:rPr>
        <w:t>Artículo 103.3.</w:t>
      </w:r>
      <w:r w:rsidRPr="007F4918">
        <w:rPr>
          <w:rStyle w:val="TextoNormalCaracter"/>
        </w:rPr>
        <w:t>-</w:t>
      </w:r>
      <w:r>
        <w:t xml:space="preserve"> Sentencias </w:t>
      </w:r>
      <w:hyperlink w:anchor="SENTENCIA_2002_37" w:history="1">
        <w:r w:rsidRPr="007F4918">
          <w:rPr>
            <w:rStyle w:val="TextoNormalCaracter"/>
          </w:rPr>
          <w:t>37/2002</w:t>
        </w:r>
      </w:hyperlink>
      <w:r>
        <w:t xml:space="preserve">, ff. 1, 4 a 6, 8; </w:t>
      </w:r>
      <w:hyperlink w:anchor="SENTENCIA_2002_67" w:history="1">
        <w:r w:rsidRPr="007F4918">
          <w:rPr>
            <w:rStyle w:val="TextoNormalCaracter"/>
          </w:rPr>
          <w:t>67/2002</w:t>
        </w:r>
      </w:hyperlink>
      <w:r>
        <w:t>, VP.</w:t>
      </w:r>
    </w:p>
    <w:p w:rsidR="007F4918" w:rsidRDefault="007F4918" w:rsidP="007F4918">
      <w:pPr>
        <w:pStyle w:val="SangriaFrancesaArticulo"/>
      </w:pPr>
      <w:r w:rsidRPr="007F4918">
        <w:rPr>
          <w:rStyle w:val="TextoNormalNegritaCaracter"/>
        </w:rPr>
        <w:t>Artículo 105.</w:t>
      </w:r>
      <w:r w:rsidRPr="007F4918">
        <w:rPr>
          <w:rStyle w:val="TextoNormalCaracter"/>
        </w:rPr>
        <w:t>-</w:t>
      </w:r>
      <w:r>
        <w:t xml:space="preserve"> Sentencia </w:t>
      </w:r>
      <w:hyperlink w:anchor="SENTENCIA_2002_11" w:history="1">
        <w:r w:rsidRPr="007F4918">
          <w:rPr>
            <w:rStyle w:val="TextoNormalCaracter"/>
          </w:rPr>
          <w:t>11/2002</w:t>
        </w:r>
      </w:hyperlink>
      <w:r>
        <w:t>, f. 11.</w:t>
      </w:r>
    </w:p>
    <w:p w:rsidR="007F4918" w:rsidRDefault="007F4918" w:rsidP="007F4918">
      <w:pPr>
        <w:pStyle w:val="SangriaFrancesaArticulo"/>
      </w:pPr>
      <w:r w:rsidRPr="007F4918">
        <w:rPr>
          <w:rStyle w:val="TextoNormalNegritaCaracter"/>
        </w:rPr>
        <w:t>Artículo 105 c).</w:t>
      </w:r>
      <w:r w:rsidRPr="007F4918">
        <w:rPr>
          <w:rStyle w:val="TextoNormalCaracter"/>
        </w:rPr>
        <w:t>-</w:t>
      </w:r>
      <w:r>
        <w:t xml:space="preserve"> Sentencia </w:t>
      </w:r>
      <w:hyperlink w:anchor="SENTENCIA_2002_80" w:history="1">
        <w:r w:rsidRPr="007F4918">
          <w:rPr>
            <w:rStyle w:val="TextoNormalCaracter"/>
          </w:rPr>
          <w:t>80/2002</w:t>
        </w:r>
      </w:hyperlink>
      <w:r>
        <w:t>, f. 5.</w:t>
      </w:r>
    </w:p>
    <w:p w:rsidR="007F4918" w:rsidRDefault="007F4918" w:rsidP="007F4918">
      <w:pPr>
        <w:pStyle w:val="SangriaFrancesaArticulo"/>
      </w:pPr>
      <w:r w:rsidRPr="007F4918">
        <w:rPr>
          <w:rStyle w:val="TextoNormalNegritaCaracter"/>
        </w:rPr>
        <w:t>Artículo 106.</w:t>
      </w:r>
      <w:r w:rsidRPr="007F4918">
        <w:rPr>
          <w:rStyle w:val="TextoNormalCaracter"/>
        </w:rPr>
        <w:t>-</w:t>
      </w:r>
      <w:r>
        <w:t xml:space="preserve"> Auto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106.1.</w:t>
      </w:r>
      <w:r w:rsidRPr="007F4918">
        <w:rPr>
          <w:rStyle w:val="TextoNormalCaracter"/>
        </w:rPr>
        <w:t>-</w:t>
      </w:r>
      <w:r>
        <w:t xml:space="preserve"> Sentencias </w:t>
      </w:r>
      <w:hyperlink w:anchor="SENTENCIA_2002_48" w:history="1">
        <w:r w:rsidRPr="007F4918">
          <w:rPr>
            <w:rStyle w:val="TextoNormalCaracter"/>
          </w:rPr>
          <w:t>48/2002</w:t>
        </w:r>
      </w:hyperlink>
      <w:r>
        <w:t xml:space="preserve">, f. 7; </w:t>
      </w:r>
      <w:hyperlink w:anchor="SENTENCIA_2002_92" w:history="1">
        <w:r w:rsidRPr="007F4918">
          <w:rPr>
            <w:rStyle w:val="TextoNormalCaracter"/>
          </w:rPr>
          <w:t>92/2002</w:t>
        </w:r>
      </w:hyperlink>
      <w:r>
        <w:t>, f. 3.</w:t>
      </w:r>
    </w:p>
    <w:p w:rsidR="007F4918" w:rsidRDefault="007F4918" w:rsidP="007F4918">
      <w:pPr>
        <w:pStyle w:val="SangriaFrancesaArticulo"/>
      </w:pPr>
      <w:r w:rsidRPr="007F4918">
        <w:rPr>
          <w:rStyle w:val="TextoNormalNegritaCaracter"/>
        </w:rPr>
        <w:t>Artículo 117.</w:t>
      </w:r>
      <w:r w:rsidRPr="007F4918">
        <w:rPr>
          <w:rStyle w:val="TextoNormalCaracter"/>
        </w:rPr>
        <w:t>-</w:t>
      </w:r>
      <w:r>
        <w:t xml:space="preserve"> Sentencias </w:t>
      </w:r>
      <w:hyperlink w:anchor="SENTENCIA_2002_77" w:history="1">
        <w:r w:rsidRPr="007F4918">
          <w:rPr>
            <w:rStyle w:val="TextoNormalCaracter"/>
          </w:rPr>
          <w:t>77/2002</w:t>
        </w:r>
      </w:hyperlink>
      <w:r>
        <w:t xml:space="preserve">, f. 5; </w:t>
      </w:r>
      <w:hyperlink w:anchor="SENTENCIA_2002_79" w:history="1">
        <w:r w:rsidRPr="007F4918">
          <w:rPr>
            <w:rStyle w:val="TextoNormalCaracter"/>
          </w:rPr>
          <w:t>79/2002</w:t>
        </w:r>
      </w:hyperlink>
      <w:r>
        <w:t>, VP.</w:t>
      </w:r>
    </w:p>
    <w:p w:rsidR="007F4918" w:rsidRDefault="007F4918" w:rsidP="007F4918">
      <w:pPr>
        <w:pStyle w:val="SangriaIzquierdaArticulo"/>
      </w:pPr>
      <w:r>
        <w:t xml:space="preserve">Auto </w:t>
      </w:r>
      <w:hyperlink w:anchor="AUTO_2002_13" w:history="1">
        <w:r w:rsidRPr="007F4918">
          <w:rPr>
            <w:rStyle w:val="TextoNormalCaracter"/>
          </w:rPr>
          <w:t>13/2002</w:t>
        </w:r>
      </w:hyperlink>
      <w:r>
        <w:t>.</w:t>
      </w:r>
    </w:p>
    <w:p w:rsidR="007F4918" w:rsidRDefault="007F4918" w:rsidP="007F4918">
      <w:pPr>
        <w:pStyle w:val="SangriaFrancesaArticulo"/>
      </w:pPr>
      <w:r w:rsidRPr="007F4918">
        <w:rPr>
          <w:rStyle w:val="TextoNormalNegritaCaracter"/>
        </w:rPr>
        <w:t>Artículo 117.1.</w:t>
      </w:r>
      <w:r w:rsidRPr="007F4918">
        <w:rPr>
          <w:rStyle w:val="TextoNormalCaracter"/>
        </w:rPr>
        <w:t>-</w:t>
      </w:r>
      <w:r>
        <w:t xml:space="preserve"> Sentencias </w:t>
      </w:r>
      <w:hyperlink w:anchor="SENTENCIA_2002_35" w:history="1">
        <w:r w:rsidRPr="007F4918">
          <w:rPr>
            <w:rStyle w:val="TextoNormalCaracter"/>
          </w:rPr>
          <w:t>35/2002</w:t>
        </w:r>
      </w:hyperlink>
      <w:r>
        <w:t xml:space="preserve">, f. 3; </w:t>
      </w:r>
      <w:hyperlink w:anchor="SENTENCIA_2002_56" w:history="1">
        <w:r w:rsidRPr="007F4918">
          <w:rPr>
            <w:rStyle w:val="TextoNormalCaracter"/>
          </w:rPr>
          <w:t>56/2002</w:t>
        </w:r>
      </w:hyperlink>
      <w:r>
        <w:t xml:space="preserve">, f. 3; </w:t>
      </w:r>
      <w:hyperlink w:anchor="SENTENCIA_2002_57" w:history="1">
        <w:r w:rsidRPr="007F4918">
          <w:rPr>
            <w:rStyle w:val="TextoNormalCaracter"/>
          </w:rPr>
          <w:t>57/2002</w:t>
        </w:r>
      </w:hyperlink>
      <w:r>
        <w:t>, f. 2.</w:t>
      </w:r>
    </w:p>
    <w:p w:rsidR="007F4918" w:rsidRDefault="007F4918" w:rsidP="007F4918">
      <w:pPr>
        <w:pStyle w:val="SangriaFrancesaArticulo"/>
      </w:pPr>
      <w:r w:rsidRPr="007F4918">
        <w:rPr>
          <w:rStyle w:val="TextoNormalNegritaCaracter"/>
        </w:rPr>
        <w:t>Artículo 117.3.</w:t>
      </w:r>
      <w:r w:rsidRPr="007F4918">
        <w:rPr>
          <w:rStyle w:val="TextoNormalCaracter"/>
        </w:rPr>
        <w:t>-</w:t>
      </w:r>
      <w:r>
        <w:t xml:space="preserve"> Sentencias </w:t>
      </w:r>
      <w:hyperlink w:anchor="SENTENCIA_2002_3" w:history="1">
        <w:r w:rsidRPr="007F4918">
          <w:rPr>
            <w:rStyle w:val="TextoNormalCaracter"/>
          </w:rPr>
          <w:t>3/2002</w:t>
        </w:r>
      </w:hyperlink>
      <w:r>
        <w:t xml:space="preserve">, f. 4; </w:t>
      </w:r>
      <w:hyperlink w:anchor="SENTENCIA_2002_5" w:history="1">
        <w:r w:rsidRPr="007F4918">
          <w:rPr>
            <w:rStyle w:val="TextoNormalCaracter"/>
          </w:rPr>
          <w:t>5/2002</w:t>
        </w:r>
      </w:hyperlink>
      <w:r>
        <w:t xml:space="preserve">, f. 4; </w:t>
      </w:r>
      <w:hyperlink w:anchor="SENTENCIA_2002_9" w:history="1">
        <w:r w:rsidRPr="007F4918">
          <w:rPr>
            <w:rStyle w:val="TextoNormalCaracter"/>
          </w:rPr>
          <w:t>9/2002</w:t>
        </w:r>
      </w:hyperlink>
      <w:r>
        <w:t xml:space="preserve">, f. 4; </w:t>
      </w:r>
      <w:hyperlink w:anchor="SENTENCIA_2002_13" w:history="1">
        <w:r w:rsidRPr="007F4918">
          <w:rPr>
            <w:rStyle w:val="TextoNormalCaracter"/>
          </w:rPr>
          <w:t>13/2002</w:t>
        </w:r>
      </w:hyperlink>
      <w:r>
        <w:t xml:space="preserve">, f. 6; </w:t>
      </w:r>
      <w:hyperlink w:anchor="SENTENCIA_2002_16" w:history="1">
        <w:r w:rsidRPr="007F4918">
          <w:rPr>
            <w:rStyle w:val="TextoNormalCaracter"/>
          </w:rPr>
          <w:t>16/2002</w:t>
        </w:r>
      </w:hyperlink>
      <w:r>
        <w:t xml:space="preserve">, f. 5; </w:t>
      </w:r>
      <w:hyperlink w:anchor="SENTENCIA_2002_17" w:history="1">
        <w:r w:rsidRPr="007F4918">
          <w:rPr>
            <w:rStyle w:val="TextoNormalCaracter"/>
          </w:rPr>
          <w:t>17/2002</w:t>
        </w:r>
      </w:hyperlink>
      <w:r>
        <w:t xml:space="preserve">, f. 4; </w:t>
      </w:r>
      <w:hyperlink w:anchor="SENTENCIA_2002_19" w:history="1">
        <w:r w:rsidRPr="007F4918">
          <w:rPr>
            <w:rStyle w:val="TextoNormalCaracter"/>
          </w:rPr>
          <w:t>19/2002</w:t>
        </w:r>
      </w:hyperlink>
      <w:r>
        <w:t xml:space="preserve">, f. 4; </w:t>
      </w:r>
      <w:hyperlink w:anchor="SENTENCIA_2002_32" w:history="1">
        <w:r w:rsidRPr="007F4918">
          <w:rPr>
            <w:rStyle w:val="TextoNormalCaracter"/>
          </w:rPr>
          <w:t>32/2002</w:t>
        </w:r>
      </w:hyperlink>
      <w:r>
        <w:t xml:space="preserve">, f. 4; </w:t>
      </w:r>
      <w:hyperlink w:anchor="SENTENCIA_2002_33" w:history="1">
        <w:r w:rsidRPr="007F4918">
          <w:rPr>
            <w:rStyle w:val="TextoNormalCaracter"/>
          </w:rPr>
          <w:t>33/2002</w:t>
        </w:r>
      </w:hyperlink>
      <w:r>
        <w:t xml:space="preserve">, f. 5, VP; </w:t>
      </w:r>
      <w:hyperlink w:anchor="SENTENCIA_2002_35" w:history="1">
        <w:r w:rsidRPr="007F4918">
          <w:rPr>
            <w:rStyle w:val="TextoNormalCaracter"/>
          </w:rPr>
          <w:t>35/2002</w:t>
        </w:r>
      </w:hyperlink>
      <w:r>
        <w:t xml:space="preserve">, f. 3; </w:t>
      </w:r>
      <w:hyperlink w:anchor="SENTENCIA_2002_37" w:history="1">
        <w:r w:rsidRPr="007F4918">
          <w:rPr>
            <w:rStyle w:val="TextoNormalCaracter"/>
          </w:rPr>
          <w:t>37/2002</w:t>
        </w:r>
      </w:hyperlink>
      <w:r>
        <w:t xml:space="preserve">, f. 2; </w:t>
      </w:r>
      <w:hyperlink w:anchor="SENTENCIA_2002_45" w:history="1">
        <w:r w:rsidRPr="007F4918">
          <w:rPr>
            <w:rStyle w:val="TextoNormalCaracter"/>
          </w:rPr>
          <w:t>45/2002</w:t>
        </w:r>
      </w:hyperlink>
      <w:r>
        <w:t xml:space="preserve">, f. 4; </w:t>
      </w:r>
      <w:hyperlink w:anchor="SENTENCIA_2002_50" w:history="1">
        <w:r w:rsidRPr="007F4918">
          <w:rPr>
            <w:rStyle w:val="TextoNormalCaracter"/>
          </w:rPr>
          <w:t>50/2002</w:t>
        </w:r>
      </w:hyperlink>
      <w:r>
        <w:t xml:space="preserve">, f. 4, VP; </w:t>
      </w:r>
      <w:hyperlink w:anchor="SENTENCIA_2002_58" w:history="1">
        <w:r w:rsidRPr="007F4918">
          <w:rPr>
            <w:rStyle w:val="TextoNormalCaracter"/>
          </w:rPr>
          <w:t>58/2002</w:t>
        </w:r>
      </w:hyperlink>
      <w:r>
        <w:t xml:space="preserve">, f. 2; </w:t>
      </w:r>
      <w:hyperlink w:anchor="SENTENCIA_2002_67" w:history="1">
        <w:r w:rsidRPr="007F4918">
          <w:rPr>
            <w:rStyle w:val="TextoNormalCaracter"/>
          </w:rPr>
          <w:t>67/2002</w:t>
        </w:r>
      </w:hyperlink>
      <w:r>
        <w:t xml:space="preserve">, f. 2; </w:t>
      </w:r>
      <w:hyperlink w:anchor="SENTENCIA_2002_68" w:history="1">
        <w:r w:rsidRPr="007F4918">
          <w:rPr>
            <w:rStyle w:val="TextoNormalCaracter"/>
          </w:rPr>
          <w:t>68/2002</w:t>
        </w:r>
      </w:hyperlink>
      <w:r>
        <w:t xml:space="preserve">, f. 8; </w:t>
      </w:r>
      <w:hyperlink w:anchor="SENTENCIA_2002_70" w:history="1">
        <w:r w:rsidRPr="007F4918">
          <w:rPr>
            <w:rStyle w:val="TextoNormalCaracter"/>
          </w:rPr>
          <w:t>70/2002</w:t>
        </w:r>
      </w:hyperlink>
      <w:r>
        <w:t xml:space="preserve">, f. 6; </w:t>
      </w:r>
      <w:hyperlink w:anchor="SENTENCIA_2002_71" w:history="1">
        <w:r w:rsidRPr="007F4918">
          <w:rPr>
            <w:rStyle w:val="TextoNormalCaracter"/>
          </w:rPr>
          <w:t>71/2002</w:t>
        </w:r>
      </w:hyperlink>
      <w:r>
        <w:t xml:space="preserve">, f. 3; </w:t>
      </w:r>
      <w:hyperlink w:anchor="SENTENCIA_2002_77" w:history="1">
        <w:r w:rsidRPr="007F4918">
          <w:rPr>
            <w:rStyle w:val="TextoNormalCaracter"/>
          </w:rPr>
          <w:t>77/2002</w:t>
        </w:r>
      </w:hyperlink>
      <w:r>
        <w:t xml:space="preserve">, f. 3; </w:t>
      </w:r>
      <w:hyperlink w:anchor="SENTENCIA_2002_80" w:history="1">
        <w:r w:rsidRPr="007F4918">
          <w:rPr>
            <w:rStyle w:val="TextoNormalCaracter"/>
          </w:rPr>
          <w:t>80/2002</w:t>
        </w:r>
      </w:hyperlink>
      <w:r>
        <w:t xml:space="preserve">, f. 3; </w:t>
      </w:r>
      <w:hyperlink w:anchor="SENTENCIA_2002_82" w:history="1">
        <w:r w:rsidRPr="007F4918">
          <w:rPr>
            <w:rStyle w:val="TextoNormalCaracter"/>
          </w:rPr>
          <w:t>82/2002</w:t>
        </w:r>
      </w:hyperlink>
      <w:r>
        <w:t xml:space="preserve">, f. 8; </w:t>
      </w:r>
      <w:hyperlink w:anchor="SENTENCIA_2002_92" w:history="1">
        <w:r w:rsidRPr="007F4918">
          <w:rPr>
            <w:rStyle w:val="TextoNormalCaracter"/>
          </w:rPr>
          <w:t>92/2002</w:t>
        </w:r>
      </w:hyperlink>
      <w:r>
        <w:t>, f. 3.</w:t>
      </w:r>
    </w:p>
    <w:p w:rsidR="007F4918" w:rsidRDefault="007F4918" w:rsidP="007F4918">
      <w:pPr>
        <w:pStyle w:val="SangriaIzquierdaArticulo"/>
      </w:pPr>
      <w:r>
        <w:t xml:space="preserve">Autos </w:t>
      </w:r>
      <w:hyperlink w:anchor="AUTO_2002_22" w:history="1">
        <w:r w:rsidRPr="007F4918">
          <w:rPr>
            <w:rStyle w:val="TextoNormalCaracter"/>
          </w:rPr>
          <w:t>22/2002</w:t>
        </w:r>
      </w:hyperlink>
      <w:r>
        <w:t xml:space="preserve">; </w:t>
      </w:r>
      <w:hyperlink w:anchor="AUTO_2002_35" w:history="1">
        <w:r w:rsidRPr="007F4918">
          <w:rPr>
            <w:rStyle w:val="TextoNormalCaracter"/>
          </w:rPr>
          <w:t>35/2002</w:t>
        </w:r>
      </w:hyperlink>
      <w:r>
        <w:t xml:space="preserve">; </w:t>
      </w:r>
      <w:hyperlink w:anchor="AUTO_2002_42" w:history="1">
        <w:r w:rsidRPr="007F4918">
          <w:rPr>
            <w:rStyle w:val="TextoNormalCaracter"/>
          </w:rPr>
          <w:t>42/2002</w:t>
        </w:r>
      </w:hyperlink>
      <w:r>
        <w:t xml:space="preserve">; </w:t>
      </w:r>
      <w:hyperlink w:anchor="AUTO_2002_46" w:history="1">
        <w:r w:rsidRPr="007F4918">
          <w:rPr>
            <w:rStyle w:val="TextoNormalCaracter"/>
          </w:rPr>
          <w:t>46/2002</w:t>
        </w:r>
      </w:hyperlink>
      <w:r>
        <w:t xml:space="preserve">; </w:t>
      </w:r>
      <w:hyperlink w:anchor="AUTO_2002_52" w:history="1">
        <w:r w:rsidRPr="007F4918">
          <w:rPr>
            <w:rStyle w:val="TextoNormalCaracter"/>
          </w:rPr>
          <w:t>52/2002</w:t>
        </w:r>
      </w:hyperlink>
      <w:r>
        <w:t xml:space="preserve">; </w:t>
      </w:r>
      <w:hyperlink w:anchor="AUTO_2002_58" w:history="1">
        <w:r w:rsidRPr="007F4918">
          <w:rPr>
            <w:rStyle w:val="TextoNormalCaracter"/>
          </w:rPr>
          <w:t>58/2002</w:t>
        </w:r>
      </w:hyperlink>
      <w:r>
        <w:t xml:space="preserve">; </w:t>
      </w:r>
      <w:hyperlink w:anchor="AUTO_2002_64" w:history="1">
        <w:r w:rsidRPr="007F4918">
          <w:rPr>
            <w:rStyle w:val="TextoNormalCaracter"/>
          </w:rPr>
          <w:t>64/2002</w:t>
        </w:r>
      </w:hyperlink>
      <w:r>
        <w:t xml:space="preserve">; </w:t>
      </w:r>
      <w:hyperlink w:anchor="AUTO_2002_71" w:history="1">
        <w:r w:rsidRPr="007F4918">
          <w:rPr>
            <w:rStyle w:val="TextoNormalCaracter"/>
          </w:rPr>
          <w:t>71/2002</w:t>
        </w:r>
      </w:hyperlink>
      <w:r>
        <w:t>.</w:t>
      </w:r>
    </w:p>
    <w:p w:rsidR="007F4918" w:rsidRDefault="007F4918" w:rsidP="007F4918">
      <w:pPr>
        <w:pStyle w:val="SangriaFrancesaArticulo"/>
      </w:pPr>
      <w:r w:rsidRPr="007F4918">
        <w:rPr>
          <w:rStyle w:val="TextoNormalNegritaCaracter"/>
        </w:rPr>
        <w:t>Artículo 117.5.</w:t>
      </w:r>
      <w:r w:rsidRPr="007F4918">
        <w:rPr>
          <w:rStyle w:val="TextoNormalCaracter"/>
        </w:rPr>
        <w:t>-</w:t>
      </w:r>
      <w:r>
        <w:t xml:space="preserve"> Auto </w:t>
      </w:r>
      <w:hyperlink w:anchor="AUTO_2002_3" w:history="1">
        <w:r w:rsidRPr="007F4918">
          <w:rPr>
            <w:rStyle w:val="TextoNormalCaracter"/>
          </w:rPr>
          <w:t>3/2002</w:t>
        </w:r>
      </w:hyperlink>
      <w:r>
        <w:t>.</w:t>
      </w:r>
    </w:p>
    <w:p w:rsidR="007F4918" w:rsidRDefault="007F4918" w:rsidP="007F4918">
      <w:pPr>
        <w:pStyle w:val="SangriaFrancesaArticulo"/>
      </w:pPr>
      <w:r w:rsidRPr="007F4918">
        <w:rPr>
          <w:rStyle w:val="TextoNormalNegritaCaracter"/>
        </w:rPr>
        <w:t>Artículo 118.</w:t>
      </w:r>
      <w:r w:rsidRPr="007F4918">
        <w:rPr>
          <w:rStyle w:val="TextoNormalCaracter"/>
        </w:rPr>
        <w:t>-</w:t>
      </w:r>
      <w:r>
        <w:t xml:space="preserve"> Sentencia </w:t>
      </w:r>
      <w:hyperlink w:anchor="SENTENCIA_2002_61" w:history="1">
        <w:r w:rsidRPr="007F4918">
          <w:rPr>
            <w:rStyle w:val="TextoNormalCaracter"/>
          </w:rPr>
          <w:t>61/2002</w:t>
        </w:r>
      </w:hyperlink>
      <w:r>
        <w:t>, f. 3.</w:t>
      </w:r>
    </w:p>
    <w:p w:rsidR="007F4918" w:rsidRDefault="007F4918" w:rsidP="007F4918">
      <w:pPr>
        <w:pStyle w:val="SangriaIzquierdaArticulo"/>
      </w:pPr>
      <w:r>
        <w:t xml:space="preserve">Auto </w:t>
      </w:r>
      <w:hyperlink w:anchor="AUTO_2002_21" w:history="1">
        <w:r w:rsidRPr="007F4918">
          <w:rPr>
            <w:rStyle w:val="TextoNormalCaracter"/>
          </w:rPr>
          <w:t>21/2002</w:t>
        </w:r>
      </w:hyperlink>
      <w:r>
        <w:t>.</w:t>
      </w:r>
    </w:p>
    <w:p w:rsidR="007F4918" w:rsidRDefault="007F4918" w:rsidP="007F4918">
      <w:pPr>
        <w:pStyle w:val="SangriaFrancesaArticulo"/>
      </w:pPr>
      <w:r w:rsidRPr="007F4918">
        <w:rPr>
          <w:rStyle w:val="TextoNormalNegritaCaracter"/>
        </w:rPr>
        <w:t>Artículo 120.</w:t>
      </w:r>
      <w:r w:rsidRPr="007F4918">
        <w:rPr>
          <w:rStyle w:val="TextoNormalCaracter"/>
        </w:rPr>
        <w:t>-</w:t>
      </w:r>
      <w:r>
        <w:t xml:space="preserve"> Sentencia </w:t>
      </w:r>
      <w:hyperlink w:anchor="SENTENCIA_2002_35" w:history="1">
        <w:r w:rsidRPr="007F4918">
          <w:rPr>
            <w:rStyle w:val="TextoNormalCaracter"/>
          </w:rPr>
          <w:t>35/2002</w:t>
        </w:r>
      </w:hyperlink>
      <w:r>
        <w:t>, f. 3.</w:t>
      </w:r>
    </w:p>
    <w:p w:rsidR="007F4918" w:rsidRDefault="007F4918" w:rsidP="007F4918">
      <w:pPr>
        <w:pStyle w:val="SangriaFrancesaArticulo"/>
      </w:pPr>
      <w:r w:rsidRPr="007F4918">
        <w:rPr>
          <w:rStyle w:val="TextoNormalNegritaCaracter"/>
        </w:rPr>
        <w:t>Artículo 120.1.</w:t>
      </w:r>
      <w:r w:rsidRPr="007F4918">
        <w:rPr>
          <w:rStyle w:val="TextoNormalCaracter"/>
        </w:rPr>
        <w:t>-</w:t>
      </w:r>
      <w:r>
        <w:t xml:space="preserve"> Sentencias </w:t>
      </w:r>
      <w:hyperlink w:anchor="SENTENCIA_2002_46" w:history="1">
        <w:r w:rsidRPr="007F4918">
          <w:rPr>
            <w:rStyle w:val="TextoNormalCaracter"/>
          </w:rPr>
          <w:t>46/2002</w:t>
        </w:r>
      </w:hyperlink>
      <w:r>
        <w:t xml:space="preserve">, ff. 2, 3; </w:t>
      </w:r>
      <w:hyperlink w:anchor="SENTENCIA_2002_52" w:history="1">
        <w:r w:rsidRPr="007F4918">
          <w:rPr>
            <w:rStyle w:val="TextoNormalCaracter"/>
          </w:rPr>
          <w:t>52/2002</w:t>
        </w:r>
      </w:hyperlink>
      <w:r>
        <w:t>, f. 8.</w:t>
      </w:r>
    </w:p>
    <w:p w:rsidR="007F4918" w:rsidRDefault="007F4918" w:rsidP="007F4918">
      <w:pPr>
        <w:pStyle w:val="SangriaFrancesaArticulo"/>
      </w:pPr>
      <w:r w:rsidRPr="007F4918">
        <w:rPr>
          <w:rStyle w:val="TextoNormalNegritaCaracter"/>
        </w:rPr>
        <w:t>Artículo 120.3.</w:t>
      </w:r>
      <w:r w:rsidRPr="007F4918">
        <w:rPr>
          <w:rStyle w:val="TextoNormalCaracter"/>
        </w:rPr>
        <w:t>-</w:t>
      </w:r>
      <w:r>
        <w:t xml:space="preserve"> Sentencia </w:t>
      </w:r>
      <w:hyperlink w:anchor="SENTENCIA_2002_6" w:history="1">
        <w:r w:rsidRPr="007F4918">
          <w:rPr>
            <w:rStyle w:val="TextoNormalCaracter"/>
          </w:rPr>
          <w:t>6/2002</w:t>
        </w:r>
      </w:hyperlink>
      <w:r>
        <w:t>, f. 3.</w:t>
      </w:r>
    </w:p>
    <w:p w:rsidR="007F4918" w:rsidRDefault="007F4918" w:rsidP="007F4918">
      <w:pPr>
        <w:pStyle w:val="SangriaFrancesaArticulo"/>
      </w:pPr>
      <w:r w:rsidRPr="007F4918">
        <w:rPr>
          <w:rStyle w:val="TextoNormalNegritaCaracter"/>
        </w:rPr>
        <w:t>Artículo 123.</w:t>
      </w:r>
      <w:r w:rsidRPr="007F4918">
        <w:rPr>
          <w:rStyle w:val="TextoNormalCaracter"/>
        </w:rPr>
        <w:t>-</w:t>
      </w:r>
      <w:r>
        <w:t xml:space="preserve"> Sentencia </w:t>
      </w:r>
      <w:hyperlink w:anchor="SENTENCIA_2002_33" w:history="1">
        <w:r w:rsidRPr="007F4918">
          <w:rPr>
            <w:rStyle w:val="TextoNormalCaracter"/>
          </w:rPr>
          <w:t>33/2002</w:t>
        </w:r>
      </w:hyperlink>
      <w:r>
        <w:t>, VP.</w:t>
      </w:r>
    </w:p>
    <w:p w:rsidR="007F4918" w:rsidRDefault="007F4918" w:rsidP="007F4918">
      <w:pPr>
        <w:pStyle w:val="SangriaFrancesaArticulo"/>
      </w:pPr>
      <w:r w:rsidRPr="007F4918">
        <w:rPr>
          <w:rStyle w:val="TextoNormalNegritaCaracter"/>
        </w:rPr>
        <w:t>Artículo 123.1.</w:t>
      </w:r>
      <w:r w:rsidRPr="007F4918">
        <w:rPr>
          <w:rStyle w:val="TextoNormalCaracter"/>
        </w:rPr>
        <w:t>-</w:t>
      </w:r>
      <w:r>
        <w:t xml:space="preserve"> Sentencias </w:t>
      </w:r>
      <w:hyperlink w:anchor="SENTENCIA_2002_5" w:history="1">
        <w:r w:rsidRPr="007F4918">
          <w:rPr>
            <w:rStyle w:val="TextoNormalCaracter"/>
          </w:rPr>
          <w:t>5/2002</w:t>
        </w:r>
      </w:hyperlink>
      <w:r>
        <w:t xml:space="preserve">, f. 4; </w:t>
      </w:r>
      <w:hyperlink w:anchor="SENTENCIA_2002_33" w:history="1">
        <w:r w:rsidRPr="007F4918">
          <w:rPr>
            <w:rStyle w:val="TextoNormalCaracter"/>
          </w:rPr>
          <w:t>33/2002</w:t>
        </w:r>
      </w:hyperlink>
      <w:r>
        <w:t xml:space="preserve">, f. 2; </w:t>
      </w:r>
      <w:hyperlink w:anchor="SENTENCIA_2002_50" w:history="1">
        <w:r w:rsidRPr="007F4918">
          <w:rPr>
            <w:rStyle w:val="TextoNormalCaracter"/>
          </w:rPr>
          <w:t>50/2002</w:t>
        </w:r>
      </w:hyperlink>
      <w:r>
        <w:t xml:space="preserve">, f. 4, VP; </w:t>
      </w:r>
      <w:hyperlink w:anchor="SENTENCIA_2002_77" w:history="1">
        <w:r w:rsidRPr="007F4918">
          <w:rPr>
            <w:rStyle w:val="TextoNormalCaracter"/>
          </w:rPr>
          <w:t>77/2002</w:t>
        </w:r>
      </w:hyperlink>
      <w:r>
        <w:t>, f. 3.</w:t>
      </w:r>
    </w:p>
    <w:p w:rsidR="007F4918" w:rsidRDefault="007F4918" w:rsidP="007F4918">
      <w:pPr>
        <w:pStyle w:val="SangriaFrancesaArticulo"/>
      </w:pPr>
      <w:r w:rsidRPr="007F4918">
        <w:rPr>
          <w:rStyle w:val="TextoNormalNegritaCaracter"/>
        </w:rPr>
        <w:t>Artículo 128.</w:t>
      </w:r>
      <w:r w:rsidRPr="007F4918">
        <w:rPr>
          <w:rStyle w:val="TextoNormalCaracter"/>
        </w:rPr>
        <w:t>-</w:t>
      </w:r>
      <w:r>
        <w:t xml:space="preserve"> Sentencia </w:t>
      </w:r>
      <w:hyperlink w:anchor="SENTENCIA_2002_96" w:history="1">
        <w:r w:rsidRPr="007F4918">
          <w:rPr>
            <w:rStyle w:val="TextoNormalCaracter"/>
          </w:rPr>
          <w:t>96/2002</w:t>
        </w:r>
      </w:hyperlink>
      <w:r>
        <w:t>, f. 11.</w:t>
      </w:r>
    </w:p>
    <w:p w:rsidR="007F4918" w:rsidRDefault="007F4918" w:rsidP="007F4918">
      <w:pPr>
        <w:pStyle w:val="SangriaFrancesaArticulo"/>
      </w:pPr>
      <w:r w:rsidRPr="007F4918">
        <w:rPr>
          <w:rStyle w:val="TextoNormalNegritaCaracter"/>
        </w:rPr>
        <w:t>Artículo 130.1.</w:t>
      </w:r>
      <w:r w:rsidRPr="007F4918">
        <w:rPr>
          <w:rStyle w:val="TextoNormalCaracter"/>
        </w:rPr>
        <w:t>-</w:t>
      </w:r>
      <w:r>
        <w:t xml:space="preserve"> Sentencia </w:t>
      </w:r>
      <w:hyperlink w:anchor="SENTENCIA_2002_96" w:history="1">
        <w:r w:rsidRPr="007F4918">
          <w:rPr>
            <w:rStyle w:val="TextoNormalCaracter"/>
          </w:rPr>
          <w:t>96/2002</w:t>
        </w:r>
      </w:hyperlink>
      <w:r>
        <w:t>, f. 11.</w:t>
      </w:r>
    </w:p>
    <w:p w:rsidR="007F4918" w:rsidRDefault="007F4918" w:rsidP="007F4918">
      <w:pPr>
        <w:pStyle w:val="SangriaFrancesaArticulo"/>
      </w:pPr>
      <w:r w:rsidRPr="007F4918">
        <w:rPr>
          <w:rStyle w:val="TextoNormalNegritaCaracter"/>
        </w:rPr>
        <w:t>Artículo 131.</w:t>
      </w:r>
      <w:r w:rsidRPr="007F4918">
        <w:rPr>
          <w:rStyle w:val="TextoNormalCaracter"/>
        </w:rPr>
        <w:t>-</w:t>
      </w:r>
      <w:r>
        <w:t xml:space="preserve"> Sentencia </w:t>
      </w:r>
      <w:hyperlink w:anchor="SENTENCIA_2002_96" w:history="1">
        <w:r w:rsidRPr="007F4918">
          <w:rPr>
            <w:rStyle w:val="TextoNormalCaracter"/>
          </w:rPr>
          <w:t>96/2002</w:t>
        </w:r>
      </w:hyperlink>
      <w:r>
        <w:t>, f. 11.</w:t>
      </w:r>
    </w:p>
    <w:p w:rsidR="007F4918" w:rsidRDefault="007F4918" w:rsidP="007F4918">
      <w:pPr>
        <w:pStyle w:val="SangriaFrancesaArticulo"/>
      </w:pPr>
      <w:r w:rsidRPr="007F4918">
        <w:rPr>
          <w:rStyle w:val="TextoNormalNegritaCaracter"/>
        </w:rPr>
        <w:t>Artículo 131.1.</w:t>
      </w:r>
      <w:r w:rsidRPr="007F4918">
        <w:rPr>
          <w:rStyle w:val="TextoNormalCaracter"/>
        </w:rPr>
        <w:t>-</w:t>
      </w:r>
      <w:r>
        <w:t xml:space="preserve"> Sentencia </w:t>
      </w:r>
      <w:hyperlink w:anchor="SENTENCIA_2002_96" w:history="1">
        <w:r w:rsidRPr="007F4918">
          <w:rPr>
            <w:rStyle w:val="TextoNormalCaracter"/>
          </w:rPr>
          <w:t>96/2002</w:t>
        </w:r>
      </w:hyperlink>
      <w:r>
        <w:t>, ff. 8, 11.</w:t>
      </w:r>
    </w:p>
    <w:p w:rsidR="007F4918" w:rsidRDefault="007F4918" w:rsidP="007F4918">
      <w:pPr>
        <w:pStyle w:val="SangriaFrancesaArticulo"/>
      </w:pPr>
      <w:r w:rsidRPr="007F4918">
        <w:rPr>
          <w:rStyle w:val="TextoNormalNegritaCaracter"/>
        </w:rPr>
        <w:t>Artículo 132.2.</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SangriaFrancesaArticulo"/>
      </w:pPr>
      <w:r w:rsidRPr="007F4918">
        <w:rPr>
          <w:rStyle w:val="TextoNormalNegritaCaracter"/>
        </w:rPr>
        <w:t>Artículo 133.2.</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134.1.</w:t>
      </w:r>
      <w:r w:rsidRPr="007F4918">
        <w:rPr>
          <w:rStyle w:val="TextoNormalCaracter"/>
        </w:rPr>
        <w:t>-</w:t>
      </w:r>
      <w:r>
        <w:t xml:space="preserve"> Sentencia </w:t>
      </w:r>
      <w:hyperlink w:anchor="SENTENCIA_2002_67" w:history="1">
        <w:r w:rsidRPr="007F4918">
          <w:rPr>
            <w:rStyle w:val="TextoNormalCaracter"/>
          </w:rPr>
          <w:t>67/2002</w:t>
        </w:r>
      </w:hyperlink>
      <w:r>
        <w:t>, f. 3.</w:t>
      </w:r>
    </w:p>
    <w:p w:rsidR="007F4918" w:rsidRDefault="007F4918" w:rsidP="007F4918">
      <w:pPr>
        <w:pStyle w:val="SangriaFrancesaArticulo"/>
      </w:pPr>
      <w:r w:rsidRPr="007F4918">
        <w:rPr>
          <w:rStyle w:val="TextoNormalNegritaCaracter"/>
        </w:rPr>
        <w:t>Artículo 134.2.</w:t>
      </w:r>
      <w:r w:rsidRPr="007F4918">
        <w:rPr>
          <w:rStyle w:val="TextoNormalCaracter"/>
        </w:rPr>
        <w:t>-</w:t>
      </w:r>
      <w:r>
        <w:t xml:space="preserve"> Sentencia </w:t>
      </w:r>
      <w:hyperlink w:anchor="SENTENCIA_2002_67" w:history="1">
        <w:r w:rsidRPr="007F4918">
          <w:rPr>
            <w:rStyle w:val="TextoNormalCaracter"/>
          </w:rPr>
          <w:t>67/2002</w:t>
        </w:r>
      </w:hyperlink>
      <w:r>
        <w:t>, ff. 1, 3, 4, VP.</w:t>
      </w:r>
    </w:p>
    <w:p w:rsidR="007F4918" w:rsidRDefault="007F4918" w:rsidP="007F4918">
      <w:pPr>
        <w:pStyle w:val="SangriaFrancesaArticulo"/>
      </w:pPr>
      <w:r w:rsidRPr="007F4918">
        <w:rPr>
          <w:rStyle w:val="TextoNormalNegritaCaracter"/>
        </w:rPr>
        <w:t>Artículo 134.4.</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r w:rsidRPr="007F4918">
        <w:rPr>
          <w:rStyle w:val="TextoNormalNegritaCaracter"/>
        </w:rPr>
        <w:t>Artículo 134.6.</w:t>
      </w:r>
      <w:r w:rsidRPr="007F4918">
        <w:rPr>
          <w:rStyle w:val="TextoNormalCaracter"/>
        </w:rPr>
        <w:t>-</w:t>
      </w:r>
      <w:r>
        <w:t xml:space="preserve"> Sentencia </w:t>
      </w:r>
      <w:hyperlink w:anchor="SENTENCIA_2002_67" w:history="1">
        <w:r w:rsidRPr="007F4918">
          <w:rPr>
            <w:rStyle w:val="TextoNormalCaracter"/>
          </w:rPr>
          <w:t>67/2002</w:t>
        </w:r>
      </w:hyperlink>
      <w:r>
        <w:t>, f. 3.</w:t>
      </w:r>
    </w:p>
    <w:p w:rsidR="007F4918" w:rsidRDefault="007F4918" w:rsidP="007F4918">
      <w:pPr>
        <w:pStyle w:val="SangriaFrancesaArticulo"/>
      </w:pPr>
      <w:r w:rsidRPr="007F4918">
        <w:rPr>
          <w:rStyle w:val="TextoNormalNegritaCaracter"/>
        </w:rPr>
        <w:t>Artículo 134.7.</w:t>
      </w:r>
      <w:r w:rsidRPr="007F4918">
        <w:rPr>
          <w:rStyle w:val="TextoNormalCaracter"/>
        </w:rPr>
        <w:t>-</w:t>
      </w:r>
      <w:r>
        <w:t xml:space="preserve"> Sentencia </w:t>
      </w:r>
      <w:hyperlink w:anchor="SENTENCIA_2002_67" w:history="1">
        <w:r w:rsidRPr="007F4918">
          <w:rPr>
            <w:rStyle w:val="TextoNormalCaracter"/>
          </w:rPr>
          <w:t>67/2002</w:t>
        </w:r>
      </w:hyperlink>
      <w:r>
        <w:t>, f. 3.</w:t>
      </w:r>
    </w:p>
    <w:p w:rsidR="007F4918" w:rsidRDefault="007F4918" w:rsidP="007F4918">
      <w:pPr>
        <w:pStyle w:val="SangriaFrancesaArticulo"/>
      </w:pPr>
      <w:r w:rsidRPr="007F4918">
        <w:rPr>
          <w:rStyle w:val="TextoNormalNegritaCaracter"/>
        </w:rPr>
        <w:t>Artículo 137.</w:t>
      </w:r>
      <w:r w:rsidRPr="007F4918">
        <w:rPr>
          <w:rStyle w:val="TextoNormalCaracter"/>
        </w:rPr>
        <w:t>-</w:t>
      </w:r>
      <w:r>
        <w:t xml:space="preserve"> Sentencias </w:t>
      </w:r>
      <w:hyperlink w:anchor="SENTENCIA_2002_38" w:history="1">
        <w:r w:rsidRPr="007F4918">
          <w:rPr>
            <w:rStyle w:val="TextoNormalCaracter"/>
          </w:rPr>
          <w:t>38/2002</w:t>
        </w:r>
      </w:hyperlink>
      <w:r>
        <w:t xml:space="preserve">, f. 6;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138.</w:t>
      </w:r>
      <w:r w:rsidRPr="007F4918">
        <w:rPr>
          <w:rStyle w:val="TextoNormalCaracter"/>
        </w:rPr>
        <w:t>-</w:t>
      </w:r>
      <w:r>
        <w:t xml:space="preserve"> Sentencia </w:t>
      </w:r>
      <w:hyperlink w:anchor="SENTENCIA_2002_96" w:history="1">
        <w:r w:rsidRPr="007F4918">
          <w:rPr>
            <w:rStyle w:val="TextoNormalCaracter"/>
          </w:rPr>
          <w:t>96/2002</w:t>
        </w:r>
      </w:hyperlink>
      <w:r>
        <w:t>, ff. 1, 11.</w:t>
      </w:r>
    </w:p>
    <w:p w:rsidR="007F4918" w:rsidRDefault="007F4918" w:rsidP="007F4918">
      <w:pPr>
        <w:pStyle w:val="SangriaFrancesaArticulo"/>
      </w:pPr>
      <w:r w:rsidRPr="007F4918">
        <w:rPr>
          <w:rStyle w:val="TextoNormalNegritaCaracter"/>
        </w:rPr>
        <w:t>Artículo 138.1.</w:t>
      </w:r>
      <w:r w:rsidRPr="007F4918">
        <w:rPr>
          <w:rStyle w:val="TextoNormalCaracter"/>
        </w:rPr>
        <w:t>-</w:t>
      </w:r>
      <w:r>
        <w:t xml:space="preserve"> Sentencia </w:t>
      </w:r>
      <w:hyperlink w:anchor="SENTENCIA_2002_96" w:history="1">
        <w:r w:rsidRPr="007F4918">
          <w:rPr>
            <w:rStyle w:val="TextoNormalCaracter"/>
          </w:rPr>
          <w:t>96/2002</w:t>
        </w:r>
      </w:hyperlink>
      <w:r>
        <w:t>, ff. 8, 11.</w:t>
      </w:r>
    </w:p>
    <w:p w:rsidR="007F4918" w:rsidRDefault="007F4918" w:rsidP="007F4918">
      <w:pPr>
        <w:pStyle w:val="SangriaFrancesaArticulo"/>
      </w:pPr>
      <w:r w:rsidRPr="007F4918">
        <w:rPr>
          <w:rStyle w:val="TextoNormalNegritaCaracter"/>
        </w:rPr>
        <w:t>Artículo 138.2.</w:t>
      </w:r>
      <w:r w:rsidRPr="007F4918">
        <w:rPr>
          <w:rStyle w:val="TextoNormalCaracter"/>
        </w:rPr>
        <w:t>-</w:t>
      </w:r>
      <w:r>
        <w:t xml:space="preserve"> Sentencias </w:t>
      </w:r>
      <w:hyperlink w:anchor="SENTENCIA_2002_37" w:history="1">
        <w:r w:rsidRPr="007F4918">
          <w:rPr>
            <w:rStyle w:val="TextoNormalCaracter"/>
          </w:rPr>
          <w:t>37/2002</w:t>
        </w:r>
      </w:hyperlink>
      <w:r>
        <w:t xml:space="preserve">, f. 15; </w:t>
      </w:r>
      <w:hyperlink w:anchor="SENTENCIA_2002_96" w:history="1">
        <w:r w:rsidRPr="007F4918">
          <w:rPr>
            <w:rStyle w:val="TextoNormalCaracter"/>
          </w:rPr>
          <w:t>96/2002</w:t>
        </w:r>
      </w:hyperlink>
      <w:r>
        <w:t>, ff. 1, 11, VP I.</w:t>
      </w:r>
    </w:p>
    <w:p w:rsidR="007F4918" w:rsidRDefault="007F4918" w:rsidP="007F4918">
      <w:pPr>
        <w:pStyle w:val="SangriaFrancesaArticulo"/>
      </w:pPr>
      <w:r w:rsidRPr="007F4918">
        <w:rPr>
          <w:rStyle w:val="TextoNormalNegritaCaracter"/>
        </w:rPr>
        <w:t>Artículo 139.</w:t>
      </w:r>
      <w:r w:rsidRPr="007F4918">
        <w:rPr>
          <w:rStyle w:val="TextoNormalCaracter"/>
        </w:rPr>
        <w:t>-</w:t>
      </w:r>
      <w:r>
        <w:t xml:space="preserve"> Sentencia </w:t>
      </w:r>
      <w:hyperlink w:anchor="SENTENCIA_2002_96" w:history="1">
        <w:r w:rsidRPr="007F4918">
          <w:rPr>
            <w:rStyle w:val="TextoNormalCaracter"/>
          </w:rPr>
          <w:t>96/2002</w:t>
        </w:r>
      </w:hyperlink>
      <w:r>
        <w:t>, ff. 4, 7.</w:t>
      </w:r>
    </w:p>
    <w:p w:rsidR="007F4918" w:rsidRDefault="007F4918" w:rsidP="007F4918">
      <w:pPr>
        <w:pStyle w:val="SangriaFrancesaArticulo"/>
      </w:pPr>
      <w:r w:rsidRPr="007F4918">
        <w:rPr>
          <w:rStyle w:val="TextoNormalNegritaCaracter"/>
        </w:rPr>
        <w:t>Artículo 139.1.</w:t>
      </w:r>
      <w:r w:rsidRPr="007F4918">
        <w:rPr>
          <w:rStyle w:val="TextoNormalCaracter"/>
        </w:rPr>
        <w:t>-</w:t>
      </w:r>
      <w:r>
        <w:t xml:space="preserve"> Sentencias </w:t>
      </w:r>
      <w:hyperlink w:anchor="SENTENCIA_2002_37" w:history="1">
        <w:r w:rsidRPr="007F4918">
          <w:rPr>
            <w:rStyle w:val="TextoNormalCaracter"/>
          </w:rPr>
          <w:t>37/2002</w:t>
        </w:r>
      </w:hyperlink>
      <w:r>
        <w:t xml:space="preserve">, f. 12; </w:t>
      </w:r>
      <w:hyperlink w:anchor="SENTENCIA_2002_96" w:history="1">
        <w:r w:rsidRPr="007F4918">
          <w:rPr>
            <w:rStyle w:val="TextoNormalCaracter"/>
          </w:rPr>
          <w:t>96/2002</w:t>
        </w:r>
      </w:hyperlink>
      <w:r>
        <w:t>, ff. 1, 11, 12, VP I.</w:t>
      </w:r>
    </w:p>
    <w:p w:rsidR="007F4918" w:rsidRDefault="007F4918" w:rsidP="007F4918">
      <w:pPr>
        <w:pStyle w:val="SangriaFrancesaArticulo"/>
      </w:pPr>
      <w:r w:rsidRPr="007F4918">
        <w:rPr>
          <w:rStyle w:val="TextoNormalNegritaCaracter"/>
        </w:rPr>
        <w:t>Artículo 139.2.</w:t>
      </w:r>
      <w:r w:rsidRPr="007F4918">
        <w:rPr>
          <w:rStyle w:val="TextoNormalCaracter"/>
        </w:rPr>
        <w:t>-</w:t>
      </w:r>
      <w:r>
        <w:t xml:space="preserve"> Sentencia </w:t>
      </w:r>
      <w:hyperlink w:anchor="SENTENCIA_2002_96" w:history="1">
        <w:r w:rsidRPr="007F4918">
          <w:rPr>
            <w:rStyle w:val="TextoNormalCaracter"/>
          </w:rPr>
          <w:t>96/2002</w:t>
        </w:r>
      </w:hyperlink>
      <w:r>
        <w:t>, ff. 1, 11, 12, VP I.</w:t>
      </w:r>
    </w:p>
    <w:p w:rsidR="007F4918" w:rsidRDefault="007F4918" w:rsidP="007F4918">
      <w:pPr>
        <w:pStyle w:val="SangriaFrancesaArticulo"/>
      </w:pPr>
      <w:r w:rsidRPr="007F4918">
        <w:rPr>
          <w:rStyle w:val="TextoNormalNegritaCaracter"/>
        </w:rPr>
        <w:lastRenderedPageBreak/>
        <w:t>Artículo 142.</w:t>
      </w:r>
      <w:r w:rsidRPr="007F4918">
        <w:rPr>
          <w:rStyle w:val="TextoNormalCaracter"/>
        </w:rPr>
        <w:t>-</w:t>
      </w:r>
      <w:r>
        <w:t xml:space="preserve"> Sentencia </w:t>
      </w:r>
      <w:hyperlink w:anchor="SENTENCIA_2002_54" w:history="1">
        <w:r w:rsidRPr="007F4918">
          <w:rPr>
            <w:rStyle w:val="TextoNormalCaracter"/>
          </w:rPr>
          <w:t>54/2002</w:t>
        </w:r>
      </w:hyperlink>
      <w:r>
        <w:t>, f. 9.</w:t>
      </w:r>
    </w:p>
    <w:p w:rsidR="007F4918" w:rsidRDefault="007F4918" w:rsidP="007F4918">
      <w:pPr>
        <w:pStyle w:val="SangriaFrancesaArticulo"/>
      </w:pPr>
      <w:r w:rsidRPr="007F4918">
        <w:rPr>
          <w:rStyle w:val="TextoNormalNegritaCaracter"/>
        </w:rPr>
        <w:t>Artículo 143.</w:t>
      </w:r>
      <w:r w:rsidRPr="007F4918">
        <w:rPr>
          <w:rStyle w:val="TextoNormalCaracter"/>
        </w:rPr>
        <w:t>-</w:t>
      </w:r>
      <w:r>
        <w:t xml:space="preserve"> Sentencia </w:t>
      </w:r>
      <w:hyperlink w:anchor="SENTENCIA_2002_11" w:history="1">
        <w:r w:rsidRPr="007F4918">
          <w:rPr>
            <w:rStyle w:val="TextoNormalCaracter"/>
          </w:rPr>
          <w:t>11/2002</w:t>
        </w:r>
      </w:hyperlink>
      <w:r>
        <w:t>, f. 2.</w:t>
      </w:r>
    </w:p>
    <w:p w:rsidR="007F4918" w:rsidRDefault="007F4918" w:rsidP="007F4918">
      <w:pPr>
        <w:pStyle w:val="SangriaFrancesaArticulo"/>
      </w:pPr>
      <w:r w:rsidRPr="007F4918">
        <w:rPr>
          <w:rStyle w:val="TextoNormalNegritaCaracter"/>
        </w:rPr>
        <w:t>Artículo 147.</w:t>
      </w:r>
      <w:r w:rsidRPr="007F4918">
        <w:rPr>
          <w:rStyle w:val="TextoNormalCaracter"/>
        </w:rPr>
        <w:t>-</w:t>
      </w:r>
      <w:r>
        <w:t xml:space="preserve"> Sentencia </w:t>
      </w:r>
      <w:hyperlink w:anchor="SENTENCIA_2002_11" w:history="1">
        <w:r w:rsidRPr="007F4918">
          <w:rPr>
            <w:rStyle w:val="TextoNormalCaracter"/>
          </w:rPr>
          <w:t>11/2002</w:t>
        </w:r>
      </w:hyperlink>
      <w:r>
        <w:t>, f. 9.</w:t>
      </w:r>
    </w:p>
    <w:p w:rsidR="007F4918" w:rsidRDefault="007F4918" w:rsidP="007F4918">
      <w:pPr>
        <w:pStyle w:val="SangriaFrancesaArticulo"/>
      </w:pPr>
      <w:r w:rsidRPr="007F4918">
        <w:rPr>
          <w:rStyle w:val="TextoNormalNegritaCaracter"/>
        </w:rPr>
        <w:t>Artículo 147.2 d).</w:t>
      </w:r>
      <w:r w:rsidRPr="007F4918">
        <w:rPr>
          <w:rStyle w:val="TextoNormalCaracter"/>
        </w:rPr>
        <w:t>-</w:t>
      </w:r>
      <w:r>
        <w:t xml:space="preserve"> Sentencia </w:t>
      </w:r>
      <w:hyperlink w:anchor="SENTENCIA_2002_95" w:history="1">
        <w:r w:rsidRPr="007F4918">
          <w:rPr>
            <w:rStyle w:val="TextoNormalCaracter"/>
          </w:rPr>
          <w:t>95/2002</w:t>
        </w:r>
      </w:hyperlink>
      <w:r>
        <w:t>, f. 14.</w:t>
      </w:r>
    </w:p>
    <w:p w:rsidR="007F4918" w:rsidRDefault="007F4918" w:rsidP="007F4918">
      <w:pPr>
        <w:pStyle w:val="SangriaFrancesaArticulo"/>
      </w:pPr>
      <w:r w:rsidRPr="007F4918">
        <w:rPr>
          <w:rStyle w:val="TextoNormalNegritaCaracter"/>
        </w:rPr>
        <w:t>Artículo 148.1.5.</w:t>
      </w:r>
      <w:r w:rsidRPr="007F4918">
        <w:rPr>
          <w:rStyle w:val="TextoNormalCaracter"/>
        </w:rPr>
        <w:t>-</w:t>
      </w:r>
      <w:r>
        <w:t xml:space="preserve"> Sentencia </w:t>
      </w:r>
      <w:hyperlink w:anchor="SENTENCIA_2002_38" w:history="1">
        <w:r w:rsidRPr="007F4918">
          <w:rPr>
            <w:rStyle w:val="TextoNormalCaracter"/>
          </w:rPr>
          <w:t>38/2002</w:t>
        </w:r>
      </w:hyperlink>
      <w:r>
        <w:t>, f. 6.</w:t>
      </w:r>
    </w:p>
    <w:p w:rsidR="007F4918" w:rsidRDefault="007F4918" w:rsidP="007F4918">
      <w:pPr>
        <w:pStyle w:val="SangriaFrancesaArticulo"/>
      </w:pPr>
      <w:r w:rsidRPr="007F4918">
        <w:rPr>
          <w:rStyle w:val="TextoNormalNegritaCaracter"/>
        </w:rPr>
        <w:t>Artículo 148.1.11.</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SangriaFrancesaArticulo"/>
      </w:pPr>
      <w:r w:rsidRPr="007F4918">
        <w:rPr>
          <w:rStyle w:val="TextoNormalNegritaCaracter"/>
        </w:rPr>
        <w:t>Artículo 149.1.</w:t>
      </w:r>
      <w:r w:rsidRPr="007F4918">
        <w:rPr>
          <w:rStyle w:val="TextoNormalCaracter"/>
        </w:rPr>
        <w:t>-</w:t>
      </w:r>
      <w:r>
        <w:t xml:space="preserve"> Sentencia </w:t>
      </w:r>
      <w:hyperlink w:anchor="SENTENCIA_2002_37" w:history="1">
        <w:r w:rsidRPr="007F4918">
          <w:rPr>
            <w:rStyle w:val="TextoNormalCaracter"/>
          </w:rPr>
          <w:t>37/2002</w:t>
        </w:r>
      </w:hyperlink>
      <w:r>
        <w:t>, f. 12.</w:t>
      </w:r>
    </w:p>
    <w:p w:rsidR="007F4918" w:rsidRDefault="007F4918" w:rsidP="007F4918">
      <w:pPr>
        <w:pStyle w:val="SangriaIzquierdaArticulo"/>
      </w:pPr>
      <w:r>
        <w:t xml:space="preserve">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149.1.1.</w:t>
      </w:r>
      <w:r w:rsidRPr="007F4918">
        <w:rPr>
          <w:rStyle w:val="TextoNormalCaracter"/>
        </w:rPr>
        <w:t>-</w:t>
      </w:r>
      <w:r>
        <w:t xml:space="preserve"> Sentencias </w:t>
      </w:r>
      <w:hyperlink w:anchor="SENTENCIA_2002_37" w:history="1">
        <w:r w:rsidRPr="007F4918">
          <w:rPr>
            <w:rStyle w:val="TextoNormalCaracter"/>
          </w:rPr>
          <w:t>37/2002</w:t>
        </w:r>
      </w:hyperlink>
      <w:r>
        <w:t xml:space="preserve">, ff. 1, 7, 12, 14, 15; </w:t>
      </w:r>
      <w:hyperlink w:anchor="SENTENCIA_2002_54" w:history="1">
        <w:r w:rsidRPr="007F4918">
          <w:rPr>
            <w:rStyle w:val="TextoNormalCaracter"/>
          </w:rPr>
          <w:t>54/2002</w:t>
        </w:r>
      </w:hyperlink>
      <w:r>
        <w:t xml:space="preserve">, ff. 1, 3 a 5; </w:t>
      </w:r>
      <w:hyperlink w:anchor="SENTENCIA_2002_96" w:history="1">
        <w:r w:rsidRPr="007F4918">
          <w:rPr>
            <w:rStyle w:val="TextoNormalCaracter"/>
          </w:rPr>
          <w:t>96/2002</w:t>
        </w:r>
      </w:hyperlink>
      <w:r>
        <w:t>, ff. 1, 11.</w:t>
      </w:r>
    </w:p>
    <w:p w:rsidR="007F4918" w:rsidRDefault="007F4918" w:rsidP="007F4918">
      <w:pPr>
        <w:pStyle w:val="SangriaIzquierdaArticulo"/>
      </w:pPr>
      <w:r>
        <w:t xml:space="preserve">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149.1.2.</w:t>
      </w:r>
      <w:r w:rsidRPr="007F4918">
        <w:rPr>
          <w:rStyle w:val="TextoNormalCaracter"/>
        </w:rPr>
        <w:t>-</w:t>
      </w:r>
      <w:r>
        <w:t xml:space="preserve"> Sentencia </w:t>
      </w:r>
      <w:hyperlink w:anchor="SENTENCIA_2002_95" w:history="1">
        <w:r w:rsidRPr="007F4918">
          <w:rPr>
            <w:rStyle w:val="TextoNormalCaracter"/>
          </w:rPr>
          <w:t>95/2002</w:t>
        </w:r>
      </w:hyperlink>
      <w:r>
        <w:t>, f. 11.</w:t>
      </w:r>
    </w:p>
    <w:p w:rsidR="007F4918" w:rsidRDefault="007F4918" w:rsidP="007F4918">
      <w:pPr>
        <w:pStyle w:val="SangriaFrancesaArticulo"/>
      </w:pPr>
      <w:r w:rsidRPr="007F4918">
        <w:rPr>
          <w:rStyle w:val="TextoNormalNegritaCaracter"/>
        </w:rPr>
        <w:t>Artículo 149.1.7.</w:t>
      </w:r>
      <w:r w:rsidRPr="007F4918">
        <w:rPr>
          <w:rStyle w:val="TextoNormalCaracter"/>
        </w:rPr>
        <w:t>-</w:t>
      </w:r>
      <w:r>
        <w:t xml:space="preserve"> Sentencia </w:t>
      </w:r>
      <w:hyperlink w:anchor="SENTENCIA_2002_95" w:history="1">
        <w:r w:rsidRPr="007F4918">
          <w:rPr>
            <w:rStyle w:val="TextoNormalCaracter"/>
          </w:rPr>
          <w:t>95/2002</w:t>
        </w:r>
      </w:hyperlink>
      <w:r>
        <w:t>, ff. 8, 9, 12, 15, 19, VP II, VP III.</w:t>
      </w:r>
    </w:p>
    <w:p w:rsidR="007F4918" w:rsidRDefault="007F4918" w:rsidP="007F4918">
      <w:pPr>
        <w:pStyle w:val="SangriaFrancesaArticulo"/>
      </w:pPr>
      <w:r w:rsidRPr="007F4918">
        <w:rPr>
          <w:rStyle w:val="TextoNormalNegritaCaracter"/>
        </w:rPr>
        <w:t>Artículo 149.1.13.</w:t>
      </w:r>
      <w:r w:rsidRPr="007F4918">
        <w:rPr>
          <w:rStyle w:val="TextoNormalCaracter"/>
        </w:rPr>
        <w:t>-</w:t>
      </w:r>
      <w:r>
        <w:t xml:space="preserve"> Sentencias </w:t>
      </w:r>
      <w:hyperlink w:anchor="SENTENCIA_2002_24" w:history="1">
        <w:r w:rsidRPr="007F4918">
          <w:rPr>
            <w:rStyle w:val="TextoNormalCaracter"/>
          </w:rPr>
          <w:t>24/2002</w:t>
        </w:r>
      </w:hyperlink>
      <w:r>
        <w:t xml:space="preserve">, ff. 1, 5, 7, 9; </w:t>
      </w:r>
      <w:hyperlink w:anchor="SENTENCIA_2002_95" w:history="1">
        <w:r w:rsidRPr="007F4918">
          <w:rPr>
            <w:rStyle w:val="TextoNormalCaracter"/>
          </w:rPr>
          <w:t>95/2002</w:t>
        </w:r>
      </w:hyperlink>
      <w:r>
        <w:t>, ff. 5, 7, 11, VP I, VP III.</w:t>
      </w:r>
    </w:p>
    <w:p w:rsidR="007F4918" w:rsidRDefault="007F4918" w:rsidP="007F4918">
      <w:pPr>
        <w:pStyle w:val="SangriaIzquierdaArticulo"/>
      </w:pPr>
      <w:r>
        <w:t xml:space="preserve">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149.1.18.</w:t>
      </w:r>
      <w:r w:rsidRPr="007F4918">
        <w:rPr>
          <w:rStyle w:val="TextoNormalCaracter"/>
        </w:rPr>
        <w:t>-</w:t>
      </w:r>
      <w:r>
        <w:t xml:space="preserve"> Sentencias </w:t>
      </w:r>
      <w:hyperlink w:anchor="SENTENCIA_2002_11" w:history="1">
        <w:r w:rsidRPr="007F4918">
          <w:rPr>
            <w:rStyle w:val="TextoNormalCaracter"/>
          </w:rPr>
          <w:t>11/2002</w:t>
        </w:r>
      </w:hyperlink>
      <w:r>
        <w:t xml:space="preserve">, f. 3; </w:t>
      </w:r>
      <w:hyperlink w:anchor="SENTENCIA_2002_24" w:history="1">
        <w:r w:rsidRPr="007F4918">
          <w:rPr>
            <w:rStyle w:val="TextoNormalCaracter"/>
          </w:rPr>
          <w:t>24/2002</w:t>
        </w:r>
      </w:hyperlink>
      <w:r>
        <w:t xml:space="preserve">, ff. 1, 5; </w:t>
      </w:r>
      <w:hyperlink w:anchor="SENTENCIA_2002_37" w:history="1">
        <w:r w:rsidRPr="007F4918">
          <w:rPr>
            <w:rStyle w:val="TextoNormalCaracter"/>
          </w:rPr>
          <w:t>37/2002</w:t>
        </w:r>
      </w:hyperlink>
      <w:r>
        <w:t>, ff. 1, 2, 5, 7 a 9, 11 a 13, 15.</w:t>
      </w:r>
    </w:p>
    <w:p w:rsidR="007F4918" w:rsidRDefault="007F4918" w:rsidP="007F4918">
      <w:pPr>
        <w:pStyle w:val="SangriaFrancesaArticulo"/>
      </w:pPr>
      <w:r w:rsidRPr="007F4918">
        <w:rPr>
          <w:rStyle w:val="TextoNormalNegritaCaracter"/>
        </w:rPr>
        <w:t>Artículo 149.1.19.</w:t>
      </w:r>
      <w:r w:rsidRPr="007F4918">
        <w:rPr>
          <w:rStyle w:val="TextoNormalCaracter"/>
        </w:rPr>
        <w:t>-</w:t>
      </w:r>
      <w:r>
        <w:t xml:space="preserve"> Sentencia </w:t>
      </w:r>
      <w:hyperlink w:anchor="SENTENCIA_2002_38" w:history="1">
        <w:r w:rsidRPr="007F4918">
          <w:rPr>
            <w:rStyle w:val="TextoNormalCaracter"/>
          </w:rPr>
          <w:t>38/2002</w:t>
        </w:r>
      </w:hyperlink>
      <w:r>
        <w:t>, ff. 2, 4, 5, 8, 9, 11, VP.</w:t>
      </w:r>
    </w:p>
    <w:p w:rsidR="007F4918" w:rsidRDefault="007F4918" w:rsidP="007F4918">
      <w:pPr>
        <w:pStyle w:val="SangriaFrancesaArticulo"/>
      </w:pPr>
      <w:r w:rsidRPr="007F4918">
        <w:rPr>
          <w:rStyle w:val="TextoNormalNegritaCaracter"/>
        </w:rPr>
        <w:t>Artículo 149.1.22.</w:t>
      </w:r>
      <w:r w:rsidRPr="007F4918">
        <w:rPr>
          <w:rStyle w:val="TextoNormalCaracter"/>
        </w:rPr>
        <w:t>-</w:t>
      </w:r>
      <w:r>
        <w:t xml:space="preserve"> Sentencia </w:t>
      </w:r>
      <w:hyperlink w:anchor="SENTENCIA_2002_38" w:history="1">
        <w:r w:rsidRPr="007F4918">
          <w:rPr>
            <w:rStyle w:val="TextoNormalCaracter"/>
          </w:rPr>
          <w:t>38/2002</w:t>
        </w:r>
      </w:hyperlink>
      <w:r>
        <w:t>, f. 6.</w:t>
      </w:r>
    </w:p>
    <w:p w:rsidR="007F4918" w:rsidRDefault="007F4918" w:rsidP="007F4918">
      <w:pPr>
        <w:pStyle w:val="SangriaFrancesaArticulo"/>
      </w:pPr>
      <w:r w:rsidRPr="007F4918">
        <w:rPr>
          <w:rStyle w:val="TextoNormalNegritaCaracter"/>
        </w:rPr>
        <w:t>Artículo 149.1.23.</w:t>
      </w:r>
      <w:r w:rsidRPr="007F4918">
        <w:rPr>
          <w:rStyle w:val="TextoNormalCaracter"/>
        </w:rPr>
        <w:t>-</w:t>
      </w:r>
      <w:r>
        <w:t xml:space="preserve"> Auto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152.1.</w:t>
      </w:r>
      <w:r w:rsidRPr="007F4918">
        <w:rPr>
          <w:rStyle w:val="TextoNormalCaracter"/>
        </w:rPr>
        <w:t>-</w:t>
      </w:r>
      <w:r>
        <w:t xml:space="preserve"> Sentencia </w:t>
      </w:r>
      <w:hyperlink w:anchor="SENTENCIA_2002_89" w:history="1">
        <w:r w:rsidRPr="007F4918">
          <w:rPr>
            <w:rStyle w:val="TextoNormalCaracter"/>
          </w:rPr>
          <w:t>89/2002</w:t>
        </w:r>
      </w:hyperlink>
      <w:r>
        <w:t>, f. 2.</w:t>
      </w:r>
    </w:p>
    <w:p w:rsidR="007F4918" w:rsidRDefault="007F4918" w:rsidP="007F4918">
      <w:pPr>
        <w:pStyle w:val="SangriaFrancesaArticulo"/>
      </w:pPr>
      <w:r w:rsidRPr="007F4918">
        <w:rPr>
          <w:rStyle w:val="TextoNormalNegritaCaracter"/>
        </w:rPr>
        <w:t>Artículo 156.</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156.1.</w:t>
      </w:r>
      <w:r w:rsidRPr="007F4918">
        <w:rPr>
          <w:rStyle w:val="TextoNormalCaracter"/>
        </w:rPr>
        <w:t>-</w:t>
      </w:r>
      <w:r>
        <w:t xml:space="preserve"> Sentencias </w:t>
      </w:r>
      <w:hyperlink w:anchor="SENTENCIA_2002_24" w:history="1">
        <w:r w:rsidRPr="007F4918">
          <w:rPr>
            <w:rStyle w:val="TextoNormalCaracter"/>
          </w:rPr>
          <w:t>24/2002</w:t>
        </w:r>
      </w:hyperlink>
      <w:r>
        <w:t xml:space="preserve">, f. 5; </w:t>
      </w:r>
      <w:hyperlink w:anchor="SENTENCIA_2002_96" w:history="1">
        <w:r w:rsidRPr="007F4918">
          <w:rPr>
            <w:rStyle w:val="TextoNormalCaracter"/>
          </w:rPr>
          <w:t>96/2002</w:t>
        </w:r>
      </w:hyperlink>
      <w:r>
        <w:t>, f. 1.</w:t>
      </w:r>
    </w:p>
    <w:p w:rsidR="007F4918" w:rsidRDefault="007F4918" w:rsidP="007F4918">
      <w:pPr>
        <w:pStyle w:val="SangriaFrancesaArticulo"/>
      </w:pPr>
      <w:r w:rsidRPr="007F4918">
        <w:rPr>
          <w:rStyle w:val="TextoNormalNegritaCaracter"/>
        </w:rPr>
        <w:t>Artículo 157.1.</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157.2.</w:t>
      </w:r>
      <w:r w:rsidRPr="007F4918">
        <w:rPr>
          <w:rStyle w:val="TextoNormalCaracter"/>
        </w:rPr>
        <w:t>-</w:t>
      </w:r>
      <w:r>
        <w:t xml:space="preserve"> Sentencia </w:t>
      </w:r>
      <w:hyperlink w:anchor="SENTENCIA_2002_96" w:history="1">
        <w:r w:rsidRPr="007F4918">
          <w:rPr>
            <w:rStyle w:val="TextoNormalCaracter"/>
          </w:rPr>
          <w:t>96/2002</w:t>
        </w:r>
      </w:hyperlink>
      <w:r>
        <w:t>, f. 11.</w:t>
      </w:r>
    </w:p>
    <w:p w:rsidR="007F4918" w:rsidRDefault="007F4918" w:rsidP="007F4918">
      <w:pPr>
        <w:pStyle w:val="SangriaFrancesaArticulo"/>
      </w:pPr>
      <w:r w:rsidRPr="007F4918">
        <w:rPr>
          <w:rStyle w:val="TextoNormalNegritaCaracter"/>
        </w:rPr>
        <w:t>Artículo 158.2.</w:t>
      </w:r>
      <w:r w:rsidRPr="007F4918">
        <w:rPr>
          <w:rStyle w:val="TextoNormalCaracter"/>
        </w:rPr>
        <w:t>-</w:t>
      </w:r>
      <w:r>
        <w:t xml:space="preserve"> Sentencia </w:t>
      </w:r>
      <w:hyperlink w:anchor="SENTENCIA_2002_96" w:history="1">
        <w:r w:rsidRPr="007F4918">
          <w:rPr>
            <w:rStyle w:val="TextoNormalCaracter"/>
          </w:rPr>
          <w:t>96/2002</w:t>
        </w:r>
      </w:hyperlink>
      <w:r>
        <w:t>, f. 1.</w:t>
      </w:r>
    </w:p>
    <w:p w:rsidR="007F4918" w:rsidRDefault="007F4918" w:rsidP="007F4918">
      <w:pPr>
        <w:pStyle w:val="SangriaFrancesaArticulo"/>
      </w:pPr>
      <w:r w:rsidRPr="007F4918">
        <w:rPr>
          <w:rStyle w:val="TextoNormalNegritaCaracter"/>
        </w:rPr>
        <w:t>Artículo 161.1 b).</w:t>
      </w:r>
      <w:r w:rsidRPr="007F4918">
        <w:rPr>
          <w:rStyle w:val="TextoNormalCaracter"/>
        </w:rPr>
        <w:t>-</w:t>
      </w:r>
      <w:r>
        <w:t xml:space="preserve"> Sentencia </w:t>
      </w:r>
      <w:hyperlink w:anchor="SENTENCIA_2002_41" w:history="1">
        <w:r w:rsidRPr="007F4918">
          <w:rPr>
            <w:rStyle w:val="TextoNormalCaracter"/>
          </w:rPr>
          <w:t>41/2002</w:t>
        </w:r>
      </w:hyperlink>
      <w:r>
        <w:t>, f. 2.</w:t>
      </w:r>
    </w:p>
    <w:p w:rsidR="007F4918" w:rsidRDefault="007F4918" w:rsidP="007F4918">
      <w:pPr>
        <w:pStyle w:val="SangriaIzquierdaArticulo"/>
      </w:pPr>
      <w:r>
        <w:t xml:space="preserve">Auto </w:t>
      </w:r>
      <w:hyperlink w:anchor="AUTO_2002_33" w:history="1">
        <w:r w:rsidRPr="007F4918">
          <w:rPr>
            <w:rStyle w:val="TextoNormalCaracter"/>
          </w:rPr>
          <w:t>33/2002</w:t>
        </w:r>
      </w:hyperlink>
      <w:r>
        <w:t>.</w:t>
      </w:r>
    </w:p>
    <w:p w:rsidR="007F4918" w:rsidRDefault="007F4918" w:rsidP="007F4918">
      <w:pPr>
        <w:pStyle w:val="SangriaFrancesaArticulo"/>
      </w:pPr>
      <w:r w:rsidRPr="007F4918">
        <w:rPr>
          <w:rStyle w:val="TextoNormalNegritaCaracter"/>
        </w:rPr>
        <w:t>Artículo 161.2.</w:t>
      </w:r>
      <w:r w:rsidRPr="007F4918">
        <w:rPr>
          <w:rStyle w:val="TextoNormalCaracter"/>
        </w:rPr>
        <w:t>-</w:t>
      </w:r>
      <w:r>
        <w:t xml:space="preserve"> Autos </w:t>
      </w:r>
      <w:hyperlink w:anchor="AUTO_2002_5" w:history="1">
        <w:r w:rsidRPr="007F4918">
          <w:rPr>
            <w:rStyle w:val="TextoNormalCaracter"/>
          </w:rPr>
          <w:t>5/2002</w:t>
        </w:r>
      </w:hyperlink>
      <w:r>
        <w:t xml:space="preserve">; </w:t>
      </w:r>
      <w:hyperlink w:anchor="AUTO_2002_20" w:history="1">
        <w:r w:rsidRPr="007F4918">
          <w:rPr>
            <w:rStyle w:val="TextoNormalCaracter"/>
          </w:rPr>
          <w:t>20/2002</w:t>
        </w:r>
      </w:hyperlink>
      <w:r>
        <w:t xml:space="preserve">; </w:t>
      </w:r>
      <w:hyperlink w:anchor="AUTO_2002_39" w:history="1">
        <w:r w:rsidRPr="007F4918">
          <w:rPr>
            <w:rStyle w:val="TextoNormalCaracter"/>
          </w:rPr>
          <w:t>39/2002</w:t>
        </w:r>
      </w:hyperlink>
      <w:r>
        <w:t xml:space="preserve">; </w:t>
      </w:r>
      <w:hyperlink w:anchor="AUTO_2002_47" w:history="1">
        <w:r w:rsidRPr="007F4918">
          <w:rPr>
            <w:rStyle w:val="TextoNormalCaracter"/>
          </w:rPr>
          <w:t>47/2002</w:t>
        </w:r>
      </w:hyperlink>
      <w:r>
        <w:t xml:space="preserve">;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162.1 a).</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162.1 b).</w:t>
      </w:r>
      <w:r w:rsidRPr="007F4918">
        <w:rPr>
          <w:rStyle w:val="TextoNormalCaracter"/>
        </w:rPr>
        <w:t>-</w:t>
      </w:r>
      <w:r>
        <w:t xml:space="preserve"> Sentencia </w:t>
      </w:r>
      <w:hyperlink w:anchor="SENTENCIA_2002_70" w:history="1">
        <w:r w:rsidRPr="007F4918">
          <w:rPr>
            <w:rStyle w:val="TextoNormalCaracter"/>
          </w:rPr>
          <w:t>70/2002</w:t>
        </w:r>
      </w:hyperlink>
      <w:r>
        <w:t>, f. 3.</w:t>
      </w:r>
    </w:p>
    <w:p w:rsidR="007F4918" w:rsidRDefault="007F4918" w:rsidP="007F4918">
      <w:pPr>
        <w:pStyle w:val="SangriaFrancesaArticulo"/>
      </w:pPr>
      <w:r w:rsidRPr="007F4918">
        <w:rPr>
          <w:rStyle w:val="TextoNormalNegritaCaracter"/>
        </w:rPr>
        <w:t>Artículo 163.</w:t>
      </w:r>
      <w:r w:rsidRPr="007F4918">
        <w:rPr>
          <w:rStyle w:val="TextoNormalCaracter"/>
        </w:rPr>
        <w:t>-</w:t>
      </w:r>
      <w:r>
        <w:t xml:space="preserve"> Sentencias </w:t>
      </w:r>
      <w:hyperlink w:anchor="SENTENCIA_2002_10" w:history="1">
        <w:r w:rsidRPr="007F4918">
          <w:rPr>
            <w:rStyle w:val="TextoNormalCaracter"/>
          </w:rPr>
          <w:t>10/2002</w:t>
        </w:r>
      </w:hyperlink>
      <w:r>
        <w:t xml:space="preserve">, f. 3; </w:t>
      </w:r>
      <w:hyperlink w:anchor="SENTENCIA_2002_35" w:history="1">
        <w:r w:rsidRPr="007F4918">
          <w:rPr>
            <w:rStyle w:val="TextoNormalCaracter"/>
          </w:rPr>
          <w:t>35/2002</w:t>
        </w:r>
      </w:hyperlink>
      <w:r>
        <w:t xml:space="preserve">, f. 3; </w:t>
      </w:r>
      <w:hyperlink w:anchor="SENTENCIA_2002_37" w:history="1">
        <w:r w:rsidRPr="007F4918">
          <w:rPr>
            <w:rStyle w:val="TextoNormalCaracter"/>
          </w:rPr>
          <w:t>37/2002</w:t>
        </w:r>
      </w:hyperlink>
      <w:r>
        <w:t xml:space="preserve">, f. 2; </w:t>
      </w:r>
      <w:hyperlink w:anchor="SENTENCIA_2002_39" w:history="1">
        <w:r w:rsidRPr="007F4918">
          <w:rPr>
            <w:rStyle w:val="TextoNormalCaracter"/>
          </w:rPr>
          <w:t>39/2002</w:t>
        </w:r>
      </w:hyperlink>
      <w:r>
        <w:t>, f. 2.</w:t>
      </w:r>
    </w:p>
    <w:p w:rsidR="007F4918" w:rsidRDefault="007F4918" w:rsidP="007F4918">
      <w:pPr>
        <w:pStyle w:val="SangriaFrancesaArticulo"/>
      </w:pPr>
      <w:r w:rsidRPr="007F4918">
        <w:rPr>
          <w:rStyle w:val="TextoNormalNegritaCaracter"/>
        </w:rPr>
        <w:t>Disposición adicional primera.</w:t>
      </w:r>
      <w:r w:rsidRPr="007F4918">
        <w:rPr>
          <w:rStyle w:val="TextoNormalCaracter"/>
        </w:rPr>
        <w:t>-</w:t>
      </w:r>
      <w:r>
        <w:t xml:space="preserve"> Sentencia </w:t>
      </w:r>
      <w:hyperlink w:anchor="SENTENCIA_2002_96" w:history="1">
        <w:r w:rsidRPr="007F4918">
          <w:rPr>
            <w:rStyle w:val="TextoNormalCaracter"/>
          </w:rPr>
          <w:t>96/2002</w:t>
        </w:r>
      </w:hyperlink>
      <w:r>
        <w:t>, f. 2, VP I, VP II.</w:t>
      </w:r>
    </w:p>
    <w:p w:rsidR="007F4918" w:rsidRDefault="007F4918" w:rsidP="007F4918">
      <w:pPr>
        <w:pStyle w:val="SangriaFrancesaArticulo"/>
      </w:pPr>
      <w:r w:rsidRPr="007F4918">
        <w:rPr>
          <w:rStyle w:val="TextoNormalNegritaCaracter"/>
        </w:rPr>
        <w:t>Disposición derogatoria tercera.</w:t>
      </w:r>
      <w:r w:rsidRPr="007F4918">
        <w:rPr>
          <w:rStyle w:val="TextoNormalCaracter"/>
        </w:rPr>
        <w:t>-</w:t>
      </w:r>
      <w:r>
        <w:t xml:space="preserve"> Sentencia </w:t>
      </w:r>
      <w:hyperlink w:anchor="SENTENCIA_2002_39" w:history="1">
        <w:r w:rsidRPr="007F4918">
          <w:rPr>
            <w:rStyle w:val="TextoNormalCaracter"/>
          </w:rPr>
          <w:t>39/2002</w:t>
        </w:r>
      </w:hyperlink>
      <w:r>
        <w:t>, f. 2.</w:t>
      </w:r>
    </w:p>
    <w:p w:rsidR="007F4918" w:rsidRDefault="007F4918" w:rsidP="007F4918">
      <w:pPr>
        <w:pStyle w:val="TextoNormal"/>
      </w:pPr>
    </w:p>
    <w:p w:rsidR="007F4918" w:rsidRDefault="007F4918" w:rsidP="007F4918">
      <w:pPr>
        <w:pStyle w:val="SangriaFrancesaArticulo"/>
      </w:pPr>
      <w:bookmarkStart w:id="179" w:name="INDICE22843"/>
    </w:p>
    <w:bookmarkEnd w:id="179"/>
    <w:p w:rsidR="007F4918" w:rsidRDefault="007F4918" w:rsidP="007F4918">
      <w:pPr>
        <w:pStyle w:val="TextoIndiceNivel2"/>
        <w:suppressAutoHyphens/>
      </w:pPr>
      <w:r>
        <w:t>B) Tribunal Constitucional</w:t>
      </w:r>
    </w:p>
    <w:p w:rsidR="007F4918" w:rsidRDefault="007F4918" w:rsidP="007F4918">
      <w:pPr>
        <w:pStyle w:val="TextoIndiceNivel2"/>
      </w:pPr>
    </w:p>
    <w:p w:rsidR="007F4918" w:rsidRDefault="007F4918" w:rsidP="007F4918">
      <w:pPr>
        <w:pStyle w:val="TextoNormalNegritaCursivandice"/>
      </w:pPr>
      <w:r>
        <w:t>Ley Orgánica 2/1979, de 3 de octubre. Tribunal Constitucional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31" w:history="1">
        <w:r w:rsidRPr="007F4918">
          <w:rPr>
            <w:rStyle w:val="TextoNormalCaracter"/>
          </w:rPr>
          <w:t>31/2002</w:t>
        </w:r>
      </w:hyperlink>
      <w:r>
        <w:t xml:space="preserve">, f. 3; </w:t>
      </w:r>
      <w:hyperlink w:anchor="SENTENCIA_2002_44" w:history="1">
        <w:r w:rsidRPr="007F4918">
          <w:rPr>
            <w:rStyle w:val="TextoNormalCaracter"/>
          </w:rPr>
          <w:t>44/2002</w:t>
        </w:r>
      </w:hyperlink>
      <w:r>
        <w:t xml:space="preserve">, f. 2; </w:t>
      </w:r>
      <w:hyperlink w:anchor="SENTENCIA_2002_67" w:history="1">
        <w:r w:rsidRPr="007F4918">
          <w:rPr>
            <w:rStyle w:val="TextoNormalCaracter"/>
          </w:rPr>
          <w:t>67/2002</w:t>
        </w:r>
      </w:hyperlink>
      <w:r>
        <w:t>, f. 2.</w:t>
      </w:r>
    </w:p>
    <w:p w:rsidR="007F4918" w:rsidRDefault="007F4918" w:rsidP="007F4918">
      <w:pPr>
        <w:pStyle w:val="SangriaIzquierdaArticulo"/>
      </w:pPr>
      <w:r>
        <w:t xml:space="preserve">Autos </w:t>
      </w:r>
      <w:hyperlink w:anchor="AUTO_2002_15" w:history="1">
        <w:r w:rsidRPr="007F4918">
          <w:rPr>
            <w:rStyle w:val="TextoNormalCaracter"/>
          </w:rPr>
          <w:t>15/2002</w:t>
        </w:r>
      </w:hyperlink>
      <w:r>
        <w:t xml:space="preserve">; </w:t>
      </w:r>
      <w:hyperlink w:anchor="AUTO_2002_18" w:history="1">
        <w:r w:rsidRPr="007F4918">
          <w:rPr>
            <w:rStyle w:val="TextoNormalCaracter"/>
          </w:rPr>
          <w:t>18/2002</w:t>
        </w:r>
      </w:hyperlink>
      <w:r>
        <w:t xml:space="preserve">; </w:t>
      </w:r>
      <w:hyperlink w:anchor="AUTO_2002_21" w:history="1">
        <w:r w:rsidRPr="007F4918">
          <w:rPr>
            <w:rStyle w:val="TextoNormalCaracter"/>
          </w:rPr>
          <w:t>21/2002</w:t>
        </w:r>
      </w:hyperlink>
      <w:r>
        <w:t xml:space="preserve">; </w:t>
      </w:r>
      <w:hyperlink w:anchor="AUTO_2002_51" w:history="1">
        <w:r w:rsidRPr="007F4918">
          <w:rPr>
            <w:rStyle w:val="TextoNormalCaracter"/>
          </w:rPr>
          <w:t>51/2002</w:t>
        </w:r>
      </w:hyperlink>
      <w:r>
        <w:t xml:space="preserve">; </w:t>
      </w:r>
      <w:hyperlink w:anchor="AUTO_2002_61" w:history="1">
        <w:r w:rsidRPr="007F4918">
          <w:rPr>
            <w:rStyle w:val="TextoNormalCaracter"/>
          </w:rPr>
          <w:t>61/2002</w:t>
        </w:r>
      </w:hyperlink>
      <w:r>
        <w:t xml:space="preserve">; </w:t>
      </w:r>
      <w:hyperlink w:anchor="AUTO_2002_66" w:history="1">
        <w:r w:rsidRPr="007F4918">
          <w:rPr>
            <w:rStyle w:val="TextoNormalCaracter"/>
          </w:rPr>
          <w:t>66/2002</w:t>
        </w:r>
      </w:hyperlink>
      <w:r>
        <w:t xml:space="preserve">; </w:t>
      </w:r>
      <w:hyperlink w:anchor="AUTO_2002_69" w:history="1">
        <w:r w:rsidRPr="007F4918">
          <w:rPr>
            <w:rStyle w:val="TextoNormalCaracter"/>
          </w:rPr>
          <w:t>69/2002</w:t>
        </w:r>
      </w:hyperlink>
      <w:r>
        <w:t xml:space="preserve">; </w:t>
      </w:r>
      <w:hyperlink w:anchor="AUTO_2002_71" w:history="1">
        <w:r w:rsidRPr="007F4918">
          <w:rPr>
            <w:rStyle w:val="TextoNormalCaracter"/>
          </w:rPr>
          <w:t>71/2002</w:t>
        </w:r>
      </w:hyperlink>
      <w:r>
        <w:t>.</w:t>
      </w:r>
    </w:p>
    <w:p w:rsidR="007F4918" w:rsidRDefault="007F4918" w:rsidP="007F4918">
      <w:pPr>
        <w:pStyle w:val="SangriaFrancesaArticulo"/>
      </w:pPr>
      <w:r w:rsidRPr="007F4918">
        <w:rPr>
          <w:rStyle w:val="TextoNormalNegritaCaracter"/>
        </w:rPr>
        <w:t>Título V.</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4.</w:t>
      </w:r>
      <w:r w:rsidRPr="007F4918">
        <w:rPr>
          <w:rStyle w:val="TextoNormalCaracter"/>
        </w:rPr>
        <w:t>-</w:t>
      </w:r>
      <w:r>
        <w:t xml:space="preserve"> Sentencia </w:t>
      </w:r>
      <w:hyperlink w:anchor="SENTENCIA_2002_71" w:history="1">
        <w:r w:rsidRPr="007F4918">
          <w:rPr>
            <w:rStyle w:val="TextoNormalCaracter"/>
          </w:rPr>
          <w:t>71/2002</w:t>
        </w:r>
      </w:hyperlink>
      <w:r>
        <w:t>, f. 4.</w:t>
      </w:r>
    </w:p>
    <w:p w:rsidR="007F4918" w:rsidRDefault="007F4918" w:rsidP="007F4918">
      <w:pPr>
        <w:pStyle w:val="SangriaFrancesaArticulo"/>
      </w:pPr>
      <w:r w:rsidRPr="007F4918">
        <w:rPr>
          <w:rStyle w:val="TextoNormalNegritaCaracter"/>
        </w:rPr>
        <w:t>Artículo 28.1.</w:t>
      </w:r>
      <w:r w:rsidRPr="007F4918">
        <w:rPr>
          <w:rStyle w:val="TextoNormalCaracter"/>
        </w:rPr>
        <w:t>-</w:t>
      </w:r>
      <w:r>
        <w:t xml:space="preserve"> Sentencia </w:t>
      </w:r>
      <w:hyperlink w:anchor="SENTENCIA_2002_54" w:history="1">
        <w:r w:rsidRPr="007F4918">
          <w:rPr>
            <w:rStyle w:val="TextoNormalCaracter"/>
          </w:rPr>
          <w:t>54/2002</w:t>
        </w:r>
      </w:hyperlink>
      <w:r>
        <w:t>, f. 3.</w:t>
      </w:r>
    </w:p>
    <w:p w:rsidR="007F4918" w:rsidRDefault="007F4918" w:rsidP="007F4918">
      <w:pPr>
        <w:pStyle w:val="SangriaFrancesaArticulo"/>
      </w:pPr>
      <w:r w:rsidRPr="007F4918">
        <w:rPr>
          <w:rStyle w:val="TextoNormalNegritaCaracter"/>
        </w:rPr>
        <w:t>Artículo 30.</w:t>
      </w:r>
      <w:r w:rsidRPr="007F4918">
        <w:rPr>
          <w:rStyle w:val="TextoNormalCaracter"/>
        </w:rPr>
        <w:t>-</w:t>
      </w:r>
      <w:r>
        <w:t xml:space="preserve"> Autos </w:t>
      </w:r>
      <w:hyperlink w:anchor="AUTO_2002_39" w:history="1">
        <w:r w:rsidRPr="007F4918">
          <w:rPr>
            <w:rStyle w:val="TextoNormalCaracter"/>
          </w:rPr>
          <w:t>39/2002</w:t>
        </w:r>
      </w:hyperlink>
      <w:r>
        <w:t xml:space="preserve">;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32.2.</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lastRenderedPageBreak/>
        <w:t>Artículo 33.</w:t>
      </w:r>
      <w:r w:rsidRPr="007F4918">
        <w:rPr>
          <w:rStyle w:val="TextoNormalCaracter"/>
        </w:rPr>
        <w:t>-</w:t>
      </w:r>
      <w:r>
        <w:t xml:space="preserve"> Auto </w:t>
      </w:r>
      <w:hyperlink w:anchor="AUTO_2002_39" w:history="1">
        <w:r w:rsidRPr="007F4918">
          <w:rPr>
            <w:rStyle w:val="TextoNormalCaracter"/>
          </w:rPr>
          <w:t>39/2002</w:t>
        </w:r>
      </w:hyperlink>
      <w:r>
        <w:t>.</w:t>
      </w:r>
    </w:p>
    <w:p w:rsidR="007F4918" w:rsidRDefault="007F4918" w:rsidP="007F4918">
      <w:pPr>
        <w:pStyle w:val="SangriaFrancesaArticulo"/>
      </w:pPr>
      <w:r w:rsidRPr="007F4918">
        <w:rPr>
          <w:rStyle w:val="TextoNormalNegritaCaracter"/>
        </w:rPr>
        <w:t>Artículo 34.</w:t>
      </w:r>
      <w:r w:rsidRPr="007F4918">
        <w:rPr>
          <w:rStyle w:val="TextoNormalCaracter"/>
        </w:rPr>
        <w:t>-</w:t>
      </w:r>
      <w:r>
        <w:t xml:space="preserve"> Auto </w:t>
      </w:r>
      <w:hyperlink w:anchor="AUTO_2002_39" w:history="1">
        <w:r w:rsidRPr="007F4918">
          <w:rPr>
            <w:rStyle w:val="TextoNormalCaracter"/>
          </w:rPr>
          <w:t>39/2002</w:t>
        </w:r>
      </w:hyperlink>
      <w:r>
        <w:t>.</w:t>
      </w:r>
    </w:p>
    <w:p w:rsidR="007F4918" w:rsidRDefault="007F4918" w:rsidP="007F4918">
      <w:pPr>
        <w:pStyle w:val="SangriaFrancesaArticulo"/>
      </w:pPr>
      <w:r w:rsidRPr="007F4918">
        <w:rPr>
          <w:rStyle w:val="TextoNormalNegritaCaracter"/>
        </w:rPr>
        <w:t>Artículo 35.</w:t>
      </w:r>
      <w:r w:rsidRPr="007F4918">
        <w:rPr>
          <w:rStyle w:val="TextoNormalCaracter"/>
        </w:rPr>
        <w:t>-</w:t>
      </w:r>
      <w:r>
        <w:t xml:space="preserve"> Sentencias </w:t>
      </w:r>
      <w:hyperlink w:anchor="SENTENCIA_2002_35" w:history="1">
        <w:r w:rsidRPr="007F4918">
          <w:rPr>
            <w:rStyle w:val="TextoNormalCaracter"/>
          </w:rPr>
          <w:t>35/2002</w:t>
        </w:r>
      </w:hyperlink>
      <w:r>
        <w:t xml:space="preserve">, f. 3; </w:t>
      </w:r>
      <w:hyperlink w:anchor="SENTENCIA_2002_37" w:history="1">
        <w:r w:rsidRPr="007F4918">
          <w:rPr>
            <w:rStyle w:val="TextoNormalCaracter"/>
          </w:rPr>
          <w:t>37/2002</w:t>
        </w:r>
      </w:hyperlink>
      <w:r>
        <w:t>, f. 2.</w:t>
      </w:r>
    </w:p>
    <w:p w:rsidR="007F4918" w:rsidRDefault="007F4918" w:rsidP="007F4918">
      <w:pPr>
        <w:pStyle w:val="SangriaFrancesaArticulo"/>
      </w:pPr>
      <w:r w:rsidRPr="007F4918">
        <w:rPr>
          <w:rStyle w:val="TextoNormalNegritaCaracter"/>
        </w:rPr>
        <w:t>Artículo 35.1.</w:t>
      </w:r>
      <w:r w:rsidRPr="007F4918">
        <w:rPr>
          <w:rStyle w:val="TextoNormalCaracter"/>
        </w:rPr>
        <w:t>-</w:t>
      </w:r>
      <w:r>
        <w:t xml:space="preserve"> Sentencias </w:t>
      </w:r>
      <w:hyperlink w:anchor="SENTENCIA_2002_10" w:history="1">
        <w:r w:rsidRPr="007F4918">
          <w:rPr>
            <w:rStyle w:val="TextoNormalCaracter"/>
          </w:rPr>
          <w:t>10/2002</w:t>
        </w:r>
      </w:hyperlink>
      <w:r>
        <w:t xml:space="preserve">, f. 3; </w:t>
      </w:r>
      <w:hyperlink w:anchor="SENTENCIA_2002_37" w:history="1">
        <w:r w:rsidRPr="007F4918">
          <w:rPr>
            <w:rStyle w:val="TextoNormalCaracter"/>
          </w:rPr>
          <w:t>37/2002</w:t>
        </w:r>
      </w:hyperlink>
      <w:r>
        <w:t xml:space="preserve">, f. 2; </w:t>
      </w:r>
      <w:hyperlink w:anchor="SENTENCIA_2002_39" w:history="1">
        <w:r w:rsidRPr="007F4918">
          <w:rPr>
            <w:rStyle w:val="TextoNormalCaracter"/>
          </w:rPr>
          <w:t>39/2002</w:t>
        </w:r>
      </w:hyperlink>
      <w:r>
        <w:t>, f. 2.</w:t>
      </w:r>
    </w:p>
    <w:p w:rsidR="007F4918" w:rsidRDefault="007F4918" w:rsidP="007F4918">
      <w:pPr>
        <w:pStyle w:val="SangriaFrancesaArticulo"/>
      </w:pPr>
      <w:r w:rsidRPr="007F4918">
        <w:rPr>
          <w:rStyle w:val="TextoNormalNegritaCaracter"/>
        </w:rPr>
        <w:t>Artículo 35.2.</w:t>
      </w:r>
      <w:r w:rsidRPr="007F4918">
        <w:rPr>
          <w:rStyle w:val="TextoNormalCaracter"/>
        </w:rPr>
        <w:t>-</w:t>
      </w:r>
      <w:r>
        <w:t xml:space="preserve"> Sentencia </w:t>
      </w:r>
      <w:hyperlink w:anchor="SENTENCIA_2002_37" w:history="1">
        <w:r w:rsidRPr="007F4918">
          <w:rPr>
            <w:rStyle w:val="TextoNormalCaracter"/>
          </w:rPr>
          <w:t>37/2002</w:t>
        </w:r>
      </w:hyperlink>
      <w:r>
        <w:t>, f. 2.</w:t>
      </w:r>
    </w:p>
    <w:p w:rsidR="007F4918" w:rsidRDefault="007F4918" w:rsidP="007F4918">
      <w:pPr>
        <w:pStyle w:val="SangriaIzquierdaArticulo"/>
      </w:pPr>
      <w:r>
        <w:t xml:space="preserve">Autos </w:t>
      </w:r>
      <w:hyperlink w:anchor="AUTO_2002_38" w:history="1">
        <w:r w:rsidRPr="007F4918">
          <w:rPr>
            <w:rStyle w:val="TextoNormalCaracter"/>
          </w:rPr>
          <w:t>38/2002</w:t>
        </w:r>
      </w:hyperlink>
      <w:r>
        <w:t xml:space="preserve">;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37.1.</w:t>
      </w:r>
      <w:r w:rsidRPr="007F4918">
        <w:rPr>
          <w:rStyle w:val="TextoNormalCaracter"/>
        </w:rPr>
        <w:t>-</w:t>
      </w:r>
      <w:r>
        <w:t xml:space="preserve"> Sentencias </w:t>
      </w:r>
      <w:hyperlink w:anchor="SENTENCIA_2002_37" w:history="1">
        <w:r w:rsidRPr="007F4918">
          <w:rPr>
            <w:rStyle w:val="TextoNormalCaracter"/>
          </w:rPr>
          <w:t>37/2002</w:t>
        </w:r>
      </w:hyperlink>
      <w:r>
        <w:t xml:space="preserve">, f. 2; </w:t>
      </w:r>
      <w:hyperlink w:anchor="SENTENCIA_2002_67" w:history="1">
        <w:r w:rsidRPr="007F4918">
          <w:rPr>
            <w:rStyle w:val="TextoNormalCaracter"/>
          </w:rPr>
          <w:t>67/2002</w:t>
        </w:r>
      </w:hyperlink>
      <w:r>
        <w:t>, f. 2.</w:t>
      </w:r>
    </w:p>
    <w:p w:rsidR="007F4918" w:rsidRDefault="007F4918" w:rsidP="007F4918">
      <w:pPr>
        <w:pStyle w:val="SangriaIzquierdaArticulo"/>
      </w:pPr>
      <w:r>
        <w:t xml:space="preserve">Autos </w:t>
      </w:r>
      <w:hyperlink w:anchor="AUTO_2002_26" w:history="1">
        <w:r w:rsidRPr="007F4918">
          <w:rPr>
            <w:rStyle w:val="TextoNormalCaracter"/>
          </w:rPr>
          <w:t>26/2002</w:t>
        </w:r>
      </w:hyperlink>
      <w:r>
        <w:t xml:space="preserve">;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39.1.</w:t>
      </w:r>
      <w:r w:rsidRPr="007F4918">
        <w:rPr>
          <w:rStyle w:val="TextoNormalCaracter"/>
        </w:rPr>
        <w:t>-</w:t>
      </w:r>
      <w:r>
        <w:t xml:space="preserve"> Sentencia </w:t>
      </w:r>
      <w:hyperlink w:anchor="SENTENCIA_2002_54" w:history="1">
        <w:r w:rsidRPr="007F4918">
          <w:rPr>
            <w:rStyle w:val="TextoNormalCaracter"/>
          </w:rPr>
          <w:t>54/2002</w:t>
        </w:r>
      </w:hyperlink>
      <w:r>
        <w:t>, ff. 7, 8.</w:t>
      </w:r>
    </w:p>
    <w:p w:rsidR="007F4918" w:rsidRDefault="007F4918" w:rsidP="007F4918">
      <w:pPr>
        <w:pStyle w:val="SangriaIzquierdaArticulo"/>
      </w:pPr>
      <w:r>
        <w:t xml:space="preserve">Auto </w:t>
      </w:r>
      <w:hyperlink w:anchor="AUTO_2002_39" w:history="1">
        <w:r w:rsidRPr="007F4918">
          <w:rPr>
            <w:rStyle w:val="TextoNormalCaracter"/>
          </w:rPr>
          <w:t>39/2002</w:t>
        </w:r>
      </w:hyperlink>
      <w:r>
        <w:t>.</w:t>
      </w:r>
    </w:p>
    <w:p w:rsidR="007F4918" w:rsidRDefault="007F4918" w:rsidP="007F4918">
      <w:pPr>
        <w:pStyle w:val="SangriaFrancesaArticulo"/>
      </w:pPr>
      <w:r w:rsidRPr="007F4918">
        <w:rPr>
          <w:rStyle w:val="TextoNormalNegritaCaracter"/>
        </w:rPr>
        <w:t>Artículo 39.2.</w:t>
      </w:r>
      <w:r w:rsidRPr="007F4918">
        <w:rPr>
          <w:rStyle w:val="TextoNormalCaracter"/>
        </w:rPr>
        <w:t>-</w:t>
      </w:r>
      <w:r>
        <w:t xml:space="preserve"> Sentencia </w:t>
      </w:r>
      <w:hyperlink w:anchor="SENTENCIA_2002_39" w:history="1">
        <w:r w:rsidRPr="007F4918">
          <w:rPr>
            <w:rStyle w:val="TextoNormalCaracter"/>
          </w:rPr>
          <w:t>39/2002</w:t>
        </w:r>
      </w:hyperlink>
      <w:r>
        <w:t>, f. 4.</w:t>
      </w:r>
    </w:p>
    <w:p w:rsidR="007F4918" w:rsidRDefault="007F4918" w:rsidP="007F4918">
      <w:pPr>
        <w:pStyle w:val="SangriaFrancesaArticulo"/>
      </w:pPr>
      <w:r w:rsidRPr="007F4918">
        <w:rPr>
          <w:rStyle w:val="TextoNormalNegritaCaracter"/>
        </w:rPr>
        <w:t>Artículo 40.1.</w:t>
      </w:r>
      <w:r w:rsidRPr="007F4918">
        <w:rPr>
          <w:rStyle w:val="TextoNormalCaracter"/>
        </w:rPr>
        <w:t>-</w:t>
      </w:r>
      <w:r>
        <w:t xml:space="preserve"> Sentencia </w:t>
      </w:r>
      <w:hyperlink w:anchor="SENTENCIA_2002_54" w:history="1">
        <w:r w:rsidRPr="007F4918">
          <w:rPr>
            <w:rStyle w:val="TextoNormalCaracter"/>
          </w:rPr>
          <w:t>54/2002</w:t>
        </w:r>
      </w:hyperlink>
      <w:r>
        <w:t>, f. 9.</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Sentencias </w:t>
      </w:r>
      <w:hyperlink w:anchor="SENTENCIA_2002_41" w:history="1">
        <w:r w:rsidRPr="007F4918">
          <w:rPr>
            <w:rStyle w:val="TextoNormalCaracter"/>
          </w:rPr>
          <w:t>41/2002</w:t>
        </w:r>
      </w:hyperlink>
      <w:r>
        <w:t xml:space="preserve">, f. 2; </w:t>
      </w:r>
      <w:hyperlink w:anchor="SENTENCIA_2002_57" w:history="1">
        <w:r w:rsidRPr="007F4918">
          <w:rPr>
            <w:rStyle w:val="TextoNormalCaracter"/>
          </w:rPr>
          <w:t>57/2002</w:t>
        </w:r>
      </w:hyperlink>
      <w:r>
        <w:t>, f. 2.</w:t>
      </w:r>
    </w:p>
    <w:p w:rsidR="007F4918" w:rsidRDefault="007F4918" w:rsidP="007F4918">
      <w:pPr>
        <w:pStyle w:val="SangriaFrancesaArticulo"/>
      </w:pPr>
      <w:r w:rsidRPr="007F4918">
        <w:rPr>
          <w:rStyle w:val="TextoNormalNegritaCaracter"/>
        </w:rPr>
        <w:t>Artículo 41.1.</w:t>
      </w:r>
      <w:r w:rsidRPr="007F4918">
        <w:rPr>
          <w:rStyle w:val="TextoNormalCaracter"/>
        </w:rPr>
        <w:t>-</w:t>
      </w:r>
      <w:r>
        <w:t xml:space="preserve"> Sentencias </w:t>
      </w:r>
      <w:hyperlink w:anchor="SENTENCIA_2002_3" w:history="1">
        <w:r w:rsidRPr="007F4918">
          <w:rPr>
            <w:rStyle w:val="TextoNormalCaracter"/>
          </w:rPr>
          <w:t>3/2002</w:t>
        </w:r>
      </w:hyperlink>
      <w:r>
        <w:t xml:space="preserve">, f. 2; </w:t>
      </w:r>
      <w:hyperlink w:anchor="SENTENCIA_2002_21" w:history="1">
        <w:r w:rsidRPr="007F4918">
          <w:rPr>
            <w:rStyle w:val="TextoNormalCaracter"/>
          </w:rPr>
          <w:t>21/2002</w:t>
        </w:r>
      </w:hyperlink>
      <w:r>
        <w:t>, f. 2.</w:t>
      </w:r>
    </w:p>
    <w:p w:rsidR="007F4918" w:rsidRDefault="007F4918" w:rsidP="007F4918">
      <w:pPr>
        <w:pStyle w:val="SangriaFrancesaArticulo"/>
      </w:pPr>
      <w:r w:rsidRPr="007F4918">
        <w:rPr>
          <w:rStyle w:val="TextoNormalNegritaCaracter"/>
        </w:rPr>
        <w:t>Artículo 41.3.</w:t>
      </w:r>
      <w:r w:rsidRPr="007F4918">
        <w:rPr>
          <w:rStyle w:val="TextoNormalCaracter"/>
        </w:rPr>
        <w:t>-</w:t>
      </w:r>
      <w:r>
        <w:t xml:space="preserve"> Sentencia </w:t>
      </w:r>
      <w:hyperlink w:anchor="SENTENCIA_2002_41" w:history="1">
        <w:r w:rsidRPr="007F4918">
          <w:rPr>
            <w:rStyle w:val="TextoNormalCaracter"/>
          </w:rPr>
          <w:t>41/2002</w:t>
        </w:r>
      </w:hyperlink>
      <w:r>
        <w:t>, f. 2.</w:t>
      </w:r>
    </w:p>
    <w:p w:rsidR="007F4918" w:rsidRDefault="007F4918" w:rsidP="007F4918">
      <w:pPr>
        <w:pStyle w:val="SangriaIzquierdaArticulo"/>
      </w:pPr>
      <w:r>
        <w:t xml:space="preserve">Auto </w:t>
      </w:r>
      <w:hyperlink w:anchor="AUTO_2002_33" w:history="1">
        <w:r w:rsidRPr="007F4918">
          <w:rPr>
            <w:rStyle w:val="TextoNormalCaracter"/>
          </w:rPr>
          <w:t>33/2002</w:t>
        </w:r>
      </w:hyperlink>
      <w:r>
        <w:t>.</w:t>
      </w:r>
    </w:p>
    <w:p w:rsidR="007F4918" w:rsidRDefault="007F4918" w:rsidP="007F4918">
      <w:pPr>
        <w:pStyle w:val="SangriaFrancesaArticulo"/>
      </w:pPr>
      <w:r w:rsidRPr="007F4918">
        <w:rPr>
          <w:rStyle w:val="TextoNormalNegritaCaracter"/>
        </w:rPr>
        <w:t>Artículo 42.</w:t>
      </w:r>
      <w:r w:rsidRPr="007F4918">
        <w:rPr>
          <w:rStyle w:val="TextoNormalCaracter"/>
        </w:rPr>
        <w:t>-</w:t>
      </w:r>
      <w:r>
        <w:t xml:space="preserve"> Sentencia </w:t>
      </w:r>
      <w:hyperlink w:anchor="SENTENCIA_2002_44" w:history="1">
        <w:r w:rsidRPr="007F4918">
          <w:rPr>
            <w:rStyle w:val="TextoNormalCaracter"/>
          </w:rPr>
          <w:t>44/2002</w:t>
        </w:r>
      </w:hyperlink>
      <w:r>
        <w:t>, ff. 1, 2.</w:t>
      </w:r>
    </w:p>
    <w:p w:rsidR="007F4918" w:rsidRDefault="007F4918" w:rsidP="007F4918">
      <w:pPr>
        <w:pStyle w:val="SangriaFrancesaArticulo"/>
      </w:pPr>
      <w:r w:rsidRPr="007F4918">
        <w:rPr>
          <w:rStyle w:val="TextoNormalNegritaCaracter"/>
        </w:rPr>
        <w:t>Artículo 43.</w:t>
      </w:r>
      <w:r w:rsidRPr="007F4918">
        <w:rPr>
          <w:rStyle w:val="TextoNormalCaracter"/>
        </w:rPr>
        <w:t>-</w:t>
      </w:r>
      <w:r>
        <w:t xml:space="preserve"> Sentencia </w:t>
      </w:r>
      <w:hyperlink w:anchor="SENTENCIA_2002_26" w:history="1">
        <w:r w:rsidRPr="007F4918">
          <w:rPr>
            <w:rStyle w:val="TextoNormalCaracter"/>
          </w:rPr>
          <w:t>26/2002</w:t>
        </w:r>
      </w:hyperlink>
      <w:r>
        <w:t>, f. 2.</w:t>
      </w:r>
    </w:p>
    <w:p w:rsidR="007F4918" w:rsidRDefault="007F4918" w:rsidP="007F4918">
      <w:pPr>
        <w:pStyle w:val="SangriaFrancesaArticulo"/>
      </w:pPr>
      <w:r w:rsidRPr="007F4918">
        <w:rPr>
          <w:rStyle w:val="TextoNormalNegritaCaracter"/>
        </w:rPr>
        <w:t>Artículo 43.2.</w:t>
      </w:r>
      <w:r w:rsidRPr="007F4918">
        <w:rPr>
          <w:rStyle w:val="TextoNormalCaracter"/>
        </w:rPr>
        <w:t>-</w:t>
      </w:r>
      <w:r>
        <w:t xml:space="preserve"> Sentencia </w:t>
      </w:r>
      <w:hyperlink w:anchor="SENTENCIA_2002_69" w:history="1">
        <w:r w:rsidRPr="007F4918">
          <w:rPr>
            <w:rStyle w:val="TextoNormalCaracter"/>
          </w:rPr>
          <w:t>69/2002</w:t>
        </w:r>
      </w:hyperlink>
      <w:r>
        <w:t>, f. 3.</w:t>
      </w:r>
    </w:p>
    <w:p w:rsidR="007F4918" w:rsidRDefault="007F4918" w:rsidP="007F4918">
      <w:pPr>
        <w:pStyle w:val="SangriaFrancesaArticulo"/>
      </w:pPr>
      <w:r w:rsidRPr="007F4918">
        <w:rPr>
          <w:rStyle w:val="TextoNormalNegritaCaracter"/>
        </w:rPr>
        <w:t>Artículo 44.</w:t>
      </w:r>
      <w:r w:rsidRPr="007F4918">
        <w:rPr>
          <w:rStyle w:val="TextoNormalCaracter"/>
        </w:rPr>
        <w:t>-</w:t>
      </w:r>
      <w:r>
        <w:t xml:space="preserve"> Sentencia </w:t>
      </w:r>
      <w:hyperlink w:anchor="SENTENCIA_2002_26" w:history="1">
        <w:r w:rsidRPr="007F4918">
          <w:rPr>
            <w:rStyle w:val="TextoNormalCaracter"/>
          </w:rPr>
          <w:t>26/2002</w:t>
        </w:r>
      </w:hyperlink>
      <w:r>
        <w:t>, f. 2.</w:t>
      </w:r>
    </w:p>
    <w:p w:rsidR="007F4918" w:rsidRDefault="007F4918" w:rsidP="007F4918">
      <w:pPr>
        <w:pStyle w:val="SangriaFrancesaArticulo"/>
      </w:pPr>
      <w:r w:rsidRPr="007F4918">
        <w:rPr>
          <w:rStyle w:val="TextoNormalNegritaCaracter"/>
        </w:rPr>
        <w:t>Artículo 44.1.</w:t>
      </w:r>
      <w:r w:rsidRPr="007F4918">
        <w:rPr>
          <w:rStyle w:val="TextoNormalCaracter"/>
        </w:rPr>
        <w:t>-</w:t>
      </w:r>
      <w:r>
        <w:t xml:space="preserve"> Sentencia </w:t>
      </w:r>
      <w:hyperlink w:anchor="SENTENCIA_2002_43" w:history="1">
        <w:r w:rsidRPr="007F4918">
          <w:rPr>
            <w:rStyle w:val="TextoNormalCaracter"/>
          </w:rPr>
          <w:t>43/2002</w:t>
        </w:r>
      </w:hyperlink>
      <w:r>
        <w:t>, f. 3.</w:t>
      </w:r>
    </w:p>
    <w:p w:rsidR="007F4918" w:rsidRDefault="007F4918" w:rsidP="007F4918">
      <w:pPr>
        <w:pStyle w:val="SangriaFrancesaArticulo"/>
      </w:pPr>
      <w:r w:rsidRPr="007F4918">
        <w:rPr>
          <w:rStyle w:val="TextoNormalNegritaCaracter"/>
        </w:rPr>
        <w:t>Artículo 44.1 a).</w:t>
      </w:r>
      <w:r w:rsidRPr="007F4918">
        <w:rPr>
          <w:rStyle w:val="TextoNormalCaracter"/>
        </w:rPr>
        <w:t>-</w:t>
      </w:r>
      <w:r>
        <w:t xml:space="preserve"> Sentencias </w:t>
      </w:r>
      <w:hyperlink w:anchor="SENTENCIA_2002_7" w:history="1">
        <w:r w:rsidRPr="007F4918">
          <w:rPr>
            <w:rStyle w:val="TextoNormalCaracter"/>
          </w:rPr>
          <w:t>7/2002</w:t>
        </w:r>
      </w:hyperlink>
      <w:r>
        <w:t xml:space="preserve">, f. 3; </w:t>
      </w:r>
      <w:hyperlink w:anchor="SENTENCIA_2002_18" w:history="1">
        <w:r w:rsidRPr="007F4918">
          <w:rPr>
            <w:rStyle w:val="TextoNormalCaracter"/>
          </w:rPr>
          <w:t>18/2002</w:t>
        </w:r>
      </w:hyperlink>
      <w:r>
        <w:t xml:space="preserve">, ff. 3 a 5; </w:t>
      </w:r>
      <w:hyperlink w:anchor="SENTENCIA_2002_31" w:history="1">
        <w:r w:rsidRPr="007F4918">
          <w:rPr>
            <w:rStyle w:val="TextoNormalCaracter"/>
          </w:rPr>
          <w:t>31/2002</w:t>
        </w:r>
      </w:hyperlink>
      <w:r>
        <w:t xml:space="preserve">, ff. 1, 2; </w:t>
      </w:r>
      <w:hyperlink w:anchor="SENTENCIA_2002_32" w:history="1">
        <w:r w:rsidRPr="007F4918">
          <w:rPr>
            <w:rStyle w:val="TextoNormalCaracter"/>
          </w:rPr>
          <w:t>32/2002</w:t>
        </w:r>
      </w:hyperlink>
      <w:r>
        <w:t xml:space="preserve">, f. 2; </w:t>
      </w:r>
      <w:hyperlink w:anchor="SENTENCIA_2002_33" w:history="1">
        <w:r w:rsidRPr="007F4918">
          <w:rPr>
            <w:rStyle w:val="TextoNormalCaracter"/>
          </w:rPr>
          <w:t>33/2002</w:t>
        </w:r>
      </w:hyperlink>
      <w:r>
        <w:t xml:space="preserve">, f. 2, VP; </w:t>
      </w:r>
      <w:hyperlink w:anchor="SENTENCIA_2002_36" w:history="1">
        <w:r w:rsidRPr="007F4918">
          <w:rPr>
            <w:rStyle w:val="TextoNormalCaracter"/>
          </w:rPr>
          <w:t>36/2002</w:t>
        </w:r>
      </w:hyperlink>
      <w:r>
        <w:t xml:space="preserve">, ff. 2, 3; </w:t>
      </w:r>
      <w:hyperlink w:anchor="SENTENCIA_2002_43" w:history="1">
        <w:r w:rsidRPr="007F4918">
          <w:rPr>
            <w:rStyle w:val="TextoNormalCaracter"/>
          </w:rPr>
          <w:t>43/2002</w:t>
        </w:r>
      </w:hyperlink>
      <w:r>
        <w:t xml:space="preserve">, f. 1; </w:t>
      </w:r>
      <w:hyperlink w:anchor="SENTENCIA_2002_50" w:history="1">
        <w:r w:rsidRPr="007F4918">
          <w:rPr>
            <w:rStyle w:val="TextoNormalCaracter"/>
          </w:rPr>
          <w:t>50/2002</w:t>
        </w:r>
      </w:hyperlink>
      <w:r>
        <w:t xml:space="preserve">, f. 4, VP; </w:t>
      </w:r>
      <w:hyperlink w:anchor="SENTENCIA_2002_56" w:history="1">
        <w:r w:rsidRPr="007F4918">
          <w:rPr>
            <w:rStyle w:val="TextoNormalCaracter"/>
          </w:rPr>
          <w:t>56/2002</w:t>
        </w:r>
      </w:hyperlink>
      <w:r>
        <w:t xml:space="preserve">, f. 2; </w:t>
      </w:r>
      <w:hyperlink w:anchor="SENTENCIA_2002_60" w:history="1">
        <w:r w:rsidRPr="007F4918">
          <w:rPr>
            <w:rStyle w:val="TextoNormalCaracter"/>
          </w:rPr>
          <w:t>60/2002</w:t>
        </w:r>
      </w:hyperlink>
      <w:r>
        <w:t xml:space="preserve">, f. 2; </w:t>
      </w:r>
      <w:hyperlink w:anchor="SENTENCIA_2002_61" w:history="1">
        <w:r w:rsidRPr="007F4918">
          <w:rPr>
            <w:rStyle w:val="TextoNormalCaracter"/>
          </w:rPr>
          <w:t>61/2002</w:t>
        </w:r>
      </w:hyperlink>
      <w:r>
        <w:t xml:space="preserve">, f. 2; </w:t>
      </w:r>
      <w:hyperlink w:anchor="SENTENCIA_2002_65" w:history="1">
        <w:r w:rsidRPr="007F4918">
          <w:rPr>
            <w:rStyle w:val="TextoNormalCaracter"/>
          </w:rPr>
          <w:t>65/2002</w:t>
        </w:r>
      </w:hyperlink>
      <w:r>
        <w:t xml:space="preserve">, f. 1; </w:t>
      </w:r>
      <w:hyperlink w:anchor="SENTENCIA_2002_69" w:history="1">
        <w:r w:rsidRPr="007F4918">
          <w:rPr>
            <w:rStyle w:val="TextoNormalCaracter"/>
          </w:rPr>
          <w:t>69/2002</w:t>
        </w:r>
      </w:hyperlink>
      <w:r>
        <w:t xml:space="preserve">, ff. 2, 4; </w:t>
      </w:r>
      <w:hyperlink w:anchor="SENTENCIA_2002_71" w:history="1">
        <w:r w:rsidRPr="007F4918">
          <w:rPr>
            <w:rStyle w:val="TextoNormalCaracter"/>
          </w:rPr>
          <w:t>71/2002</w:t>
        </w:r>
      </w:hyperlink>
      <w:r>
        <w:t xml:space="preserve">, f. 7, VP; </w:t>
      </w:r>
      <w:hyperlink w:anchor="SENTENCIA_2002_74" w:history="1">
        <w:r w:rsidRPr="007F4918">
          <w:rPr>
            <w:rStyle w:val="TextoNormalCaracter"/>
          </w:rPr>
          <w:t>74/2002</w:t>
        </w:r>
      </w:hyperlink>
      <w:r>
        <w:t xml:space="preserve">, f. 2; </w:t>
      </w:r>
      <w:hyperlink w:anchor="SENTENCIA_2002_81" w:history="1">
        <w:r w:rsidRPr="007F4918">
          <w:rPr>
            <w:rStyle w:val="TextoNormalCaracter"/>
          </w:rPr>
          <w:t>81/2002</w:t>
        </w:r>
      </w:hyperlink>
      <w:r>
        <w:t xml:space="preserve">, VP; </w:t>
      </w:r>
      <w:hyperlink w:anchor="SENTENCIA_2002_85" w:history="1">
        <w:r w:rsidRPr="007F4918">
          <w:rPr>
            <w:rStyle w:val="TextoNormalCaracter"/>
          </w:rPr>
          <w:t>85/2002</w:t>
        </w:r>
      </w:hyperlink>
      <w:r>
        <w:t xml:space="preserve">, ff. 1, 2, 4; </w:t>
      </w:r>
      <w:hyperlink w:anchor="SENTENCIA_2002_86" w:history="1">
        <w:r w:rsidRPr="007F4918">
          <w:rPr>
            <w:rStyle w:val="TextoNormalCaracter"/>
          </w:rPr>
          <w:t>86/2002</w:t>
        </w:r>
      </w:hyperlink>
      <w:r>
        <w:t xml:space="preserve">, f. 2; </w:t>
      </w:r>
      <w:hyperlink w:anchor="SENTENCIA_2002_87" w:history="1">
        <w:r w:rsidRPr="007F4918">
          <w:rPr>
            <w:rStyle w:val="TextoNormalCaracter"/>
          </w:rPr>
          <w:t>87/2002</w:t>
        </w:r>
      </w:hyperlink>
      <w:r>
        <w:t xml:space="preserve">, ff. 1, 2; </w:t>
      </w:r>
      <w:hyperlink w:anchor="SENTENCIA_2002_92" w:history="1">
        <w:r w:rsidRPr="007F4918">
          <w:rPr>
            <w:rStyle w:val="TextoNormalCaracter"/>
          </w:rPr>
          <w:t>92/2002</w:t>
        </w:r>
      </w:hyperlink>
      <w:r>
        <w:t xml:space="preserve">, f. 2; </w:t>
      </w:r>
      <w:hyperlink w:anchor="SENTENCIA_2002_93" w:history="1">
        <w:r w:rsidRPr="007F4918">
          <w:rPr>
            <w:rStyle w:val="TextoNormalCaracter"/>
          </w:rPr>
          <w:t>93/2002</w:t>
        </w:r>
      </w:hyperlink>
      <w:r>
        <w:t>, ff. 2, 3.</w:t>
      </w:r>
    </w:p>
    <w:p w:rsidR="007F4918" w:rsidRDefault="007F4918" w:rsidP="007F4918">
      <w:pPr>
        <w:pStyle w:val="SangriaIzquierdaArticulo"/>
      </w:pPr>
      <w:r>
        <w:t xml:space="preserve">Auto </w:t>
      </w:r>
      <w:hyperlink w:anchor="AUTO_2002_51" w:history="1">
        <w:r w:rsidRPr="007F4918">
          <w:rPr>
            <w:rStyle w:val="TextoNormalCaracter"/>
          </w:rPr>
          <w:t>51/2002</w:t>
        </w:r>
      </w:hyperlink>
      <w:r>
        <w:t>.</w:t>
      </w:r>
    </w:p>
    <w:p w:rsidR="007F4918" w:rsidRDefault="007F4918" w:rsidP="007F4918">
      <w:pPr>
        <w:pStyle w:val="SangriaFrancesaArticulo"/>
      </w:pPr>
      <w:r w:rsidRPr="007F4918">
        <w:rPr>
          <w:rStyle w:val="TextoNormalNegritaCaracter"/>
        </w:rPr>
        <w:t>Artículo 44.1 b).</w:t>
      </w:r>
      <w:r w:rsidRPr="007F4918">
        <w:rPr>
          <w:rStyle w:val="TextoNormalCaracter"/>
        </w:rPr>
        <w:t>-</w:t>
      </w:r>
      <w:r>
        <w:t xml:space="preserve"> Sentencias </w:t>
      </w:r>
      <w:hyperlink w:anchor="SENTENCIA_2002_25" w:history="1">
        <w:r w:rsidRPr="007F4918">
          <w:rPr>
            <w:rStyle w:val="TextoNormalCaracter"/>
          </w:rPr>
          <w:t>25/2002</w:t>
        </w:r>
      </w:hyperlink>
      <w:r>
        <w:t xml:space="preserve">, f. 5; </w:t>
      </w:r>
      <w:hyperlink w:anchor="SENTENCIA_2002_36" w:history="1">
        <w:r w:rsidRPr="007F4918">
          <w:rPr>
            <w:rStyle w:val="TextoNormalCaracter"/>
          </w:rPr>
          <w:t>36/2002</w:t>
        </w:r>
      </w:hyperlink>
      <w:r>
        <w:t xml:space="preserve">, f. 6; </w:t>
      </w:r>
      <w:hyperlink w:anchor="SENTENCIA_2002_60" w:history="1">
        <w:r w:rsidRPr="007F4918">
          <w:rPr>
            <w:rStyle w:val="TextoNormalCaracter"/>
          </w:rPr>
          <w:t>60/2002</w:t>
        </w:r>
      </w:hyperlink>
      <w:r>
        <w:t xml:space="preserve">, f. 4; </w:t>
      </w:r>
      <w:hyperlink w:anchor="SENTENCIA_2002_82" w:history="1">
        <w:r w:rsidRPr="007F4918">
          <w:rPr>
            <w:rStyle w:val="TextoNormalCaracter"/>
          </w:rPr>
          <w:t>82/2002</w:t>
        </w:r>
      </w:hyperlink>
      <w:r>
        <w:t xml:space="preserve">, ff. 1, 2; </w:t>
      </w:r>
      <w:hyperlink w:anchor="SENTENCIA_2002_83" w:history="1">
        <w:r w:rsidRPr="007F4918">
          <w:rPr>
            <w:rStyle w:val="TextoNormalCaracter"/>
          </w:rPr>
          <w:t>83/2002</w:t>
        </w:r>
      </w:hyperlink>
      <w:r>
        <w:t xml:space="preserve">, ff. 3, 4; </w:t>
      </w:r>
      <w:hyperlink w:anchor="SENTENCIA_2002_88" w:history="1">
        <w:r w:rsidRPr="007F4918">
          <w:rPr>
            <w:rStyle w:val="TextoNormalCaracter"/>
          </w:rPr>
          <w:t>88/2002</w:t>
        </w:r>
      </w:hyperlink>
      <w:r>
        <w:t>, f. 3.</w:t>
      </w:r>
    </w:p>
    <w:p w:rsidR="007F4918" w:rsidRDefault="007F4918" w:rsidP="007F4918">
      <w:pPr>
        <w:pStyle w:val="SangriaIzquierdaArticulo"/>
      </w:pPr>
      <w:r>
        <w:t xml:space="preserve">Auto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44.1 c).</w:t>
      </w:r>
      <w:r w:rsidRPr="007F4918">
        <w:rPr>
          <w:rStyle w:val="TextoNormalCaracter"/>
        </w:rPr>
        <w:t>-</w:t>
      </w:r>
      <w:r>
        <w:t xml:space="preserve"> Sentencias </w:t>
      </w:r>
      <w:hyperlink w:anchor="SENTENCIA_2002_3" w:history="1">
        <w:r w:rsidRPr="007F4918">
          <w:rPr>
            <w:rStyle w:val="TextoNormalCaracter"/>
          </w:rPr>
          <w:t>3/2002</w:t>
        </w:r>
      </w:hyperlink>
      <w:r>
        <w:t xml:space="preserve">, f. 2; </w:t>
      </w:r>
      <w:hyperlink w:anchor="SENTENCIA_2002_7" w:history="1">
        <w:r w:rsidRPr="007F4918">
          <w:rPr>
            <w:rStyle w:val="TextoNormalCaracter"/>
          </w:rPr>
          <w:t>7/2002</w:t>
        </w:r>
      </w:hyperlink>
      <w:r>
        <w:t xml:space="preserve">, ff. 5, 6; </w:t>
      </w:r>
      <w:hyperlink w:anchor="SENTENCIA_2002_15" w:history="1">
        <w:r w:rsidRPr="007F4918">
          <w:rPr>
            <w:rStyle w:val="TextoNormalCaracter"/>
          </w:rPr>
          <w:t>15/2002</w:t>
        </w:r>
      </w:hyperlink>
      <w:r>
        <w:t xml:space="preserve">, f. 2; </w:t>
      </w:r>
      <w:hyperlink w:anchor="SENTENCIA_2002_36" w:history="1">
        <w:r w:rsidRPr="007F4918">
          <w:rPr>
            <w:rStyle w:val="TextoNormalCaracter"/>
          </w:rPr>
          <w:t>36/2002</w:t>
        </w:r>
      </w:hyperlink>
      <w:r>
        <w:t xml:space="preserve">, ff. 2 a 4; </w:t>
      </w:r>
      <w:hyperlink w:anchor="SENTENCIA_2002_51" w:history="1">
        <w:r w:rsidRPr="007F4918">
          <w:rPr>
            <w:rStyle w:val="TextoNormalCaracter"/>
          </w:rPr>
          <w:t>51/2002</w:t>
        </w:r>
      </w:hyperlink>
      <w:r>
        <w:t xml:space="preserve">, f. 2; </w:t>
      </w:r>
      <w:hyperlink w:anchor="SENTENCIA_2002_65" w:history="1">
        <w:r w:rsidRPr="007F4918">
          <w:rPr>
            <w:rStyle w:val="TextoNormalCaracter"/>
          </w:rPr>
          <w:t>65/2002</w:t>
        </w:r>
      </w:hyperlink>
      <w:r>
        <w:t xml:space="preserve">, f. 1; </w:t>
      </w:r>
      <w:hyperlink w:anchor="SENTENCIA_2002_75" w:history="1">
        <w:r w:rsidRPr="007F4918">
          <w:rPr>
            <w:rStyle w:val="TextoNormalCaracter"/>
          </w:rPr>
          <w:t>75/2002</w:t>
        </w:r>
      </w:hyperlink>
      <w:r>
        <w:t xml:space="preserve">, f. 2; </w:t>
      </w:r>
      <w:hyperlink w:anchor="SENTENCIA_2002_79" w:history="1">
        <w:r w:rsidRPr="007F4918">
          <w:rPr>
            <w:rStyle w:val="TextoNormalCaracter"/>
          </w:rPr>
          <w:t>79/2002</w:t>
        </w:r>
      </w:hyperlink>
      <w:r>
        <w:t>, f. 2.</w:t>
      </w:r>
    </w:p>
    <w:p w:rsidR="007F4918" w:rsidRDefault="007F4918" w:rsidP="007F4918">
      <w:pPr>
        <w:pStyle w:val="SangriaFrancesaArticulo"/>
      </w:pPr>
      <w:r w:rsidRPr="007F4918">
        <w:rPr>
          <w:rStyle w:val="TextoNormalNegritaCaracter"/>
        </w:rPr>
        <w:t>Artículo 44.2.</w:t>
      </w:r>
      <w:r w:rsidRPr="007F4918">
        <w:rPr>
          <w:rStyle w:val="TextoNormalCaracter"/>
        </w:rPr>
        <w:t>-</w:t>
      </w:r>
      <w:r>
        <w:t xml:space="preserve"> Sentencias </w:t>
      </w:r>
      <w:hyperlink w:anchor="SENTENCIA_2002_31" w:history="1">
        <w:r w:rsidRPr="007F4918">
          <w:rPr>
            <w:rStyle w:val="TextoNormalCaracter"/>
          </w:rPr>
          <w:t>31/2002</w:t>
        </w:r>
      </w:hyperlink>
      <w:r>
        <w:t xml:space="preserve">, f. 3; </w:t>
      </w:r>
      <w:hyperlink w:anchor="SENTENCIA_2002_48" w:history="1">
        <w:r w:rsidRPr="007F4918">
          <w:rPr>
            <w:rStyle w:val="TextoNormalCaracter"/>
          </w:rPr>
          <w:t>48/2002</w:t>
        </w:r>
      </w:hyperlink>
      <w:r>
        <w:t xml:space="preserve">, f. 3; </w:t>
      </w:r>
      <w:hyperlink w:anchor="SENTENCIA_2002_61" w:history="1">
        <w:r w:rsidRPr="007F4918">
          <w:rPr>
            <w:rStyle w:val="TextoNormalCaracter"/>
          </w:rPr>
          <w:t>61/2002</w:t>
        </w:r>
      </w:hyperlink>
      <w:r>
        <w:t xml:space="preserve">, f. 2; </w:t>
      </w:r>
      <w:hyperlink w:anchor="SENTENCIA_2002_69" w:history="1">
        <w:r w:rsidRPr="007F4918">
          <w:rPr>
            <w:rStyle w:val="TextoNormalCaracter"/>
          </w:rPr>
          <w:t>69/2002</w:t>
        </w:r>
      </w:hyperlink>
      <w:r>
        <w:t xml:space="preserve">, ff. 2, 3; </w:t>
      </w:r>
      <w:hyperlink w:anchor="SENTENCIA_2002_73" w:history="1">
        <w:r w:rsidRPr="007F4918">
          <w:rPr>
            <w:rStyle w:val="TextoNormalCaracter"/>
          </w:rPr>
          <w:t>73/2002</w:t>
        </w:r>
      </w:hyperlink>
      <w:r>
        <w:t>, ff. 1, 2.</w:t>
      </w:r>
    </w:p>
    <w:p w:rsidR="007F4918" w:rsidRDefault="007F4918" w:rsidP="007F4918">
      <w:pPr>
        <w:pStyle w:val="SangriaFrancesaArticulo"/>
      </w:pPr>
      <w:r w:rsidRPr="007F4918">
        <w:rPr>
          <w:rStyle w:val="TextoNormalNegritaCaracter"/>
        </w:rPr>
        <w:t>Artículo 49.</w:t>
      </w:r>
      <w:r w:rsidRPr="007F4918">
        <w:rPr>
          <w:rStyle w:val="TextoNormalCaracter"/>
        </w:rPr>
        <w:t>-</w:t>
      </w:r>
      <w:r>
        <w:t xml:space="preserve"> Sentencias </w:t>
      </w:r>
      <w:hyperlink w:anchor="SENTENCIA_2002_7" w:history="1">
        <w:r w:rsidRPr="007F4918">
          <w:rPr>
            <w:rStyle w:val="TextoNormalCaracter"/>
          </w:rPr>
          <w:t>7/2002</w:t>
        </w:r>
      </w:hyperlink>
      <w:r>
        <w:t xml:space="preserve">, f. 5; </w:t>
      </w:r>
      <w:hyperlink w:anchor="SENTENCIA_2002_40" w:history="1">
        <w:r w:rsidRPr="007F4918">
          <w:rPr>
            <w:rStyle w:val="TextoNormalCaracter"/>
          </w:rPr>
          <w:t>40/2002</w:t>
        </w:r>
      </w:hyperlink>
      <w:r>
        <w:t>, f. 6.</w:t>
      </w:r>
    </w:p>
    <w:p w:rsidR="007F4918" w:rsidRDefault="007F4918" w:rsidP="007F4918">
      <w:pPr>
        <w:pStyle w:val="SangriaFrancesaArticulo"/>
      </w:pPr>
      <w:r w:rsidRPr="007F4918">
        <w:rPr>
          <w:rStyle w:val="TextoNormalNegritaCaracter"/>
        </w:rPr>
        <w:t>Artículo 50.</w:t>
      </w:r>
      <w:r w:rsidRPr="007F4918">
        <w:rPr>
          <w:rStyle w:val="TextoNormalCaracter"/>
        </w:rPr>
        <w:t>-</w:t>
      </w:r>
      <w:r>
        <w:t xml:space="preserve"> Sentencia </w:t>
      </w:r>
      <w:hyperlink w:anchor="SENTENCIA_2002_18" w:history="1">
        <w:r w:rsidRPr="007F4918">
          <w:rPr>
            <w:rStyle w:val="TextoNormalCaracter"/>
          </w:rPr>
          <w:t>18/2002</w:t>
        </w:r>
      </w:hyperlink>
      <w:r>
        <w:t>, f. 3.</w:t>
      </w:r>
    </w:p>
    <w:p w:rsidR="007F4918" w:rsidRDefault="007F4918" w:rsidP="007F4918">
      <w:pPr>
        <w:pStyle w:val="SangriaFrancesaArticulo"/>
      </w:pPr>
      <w:r w:rsidRPr="007F4918">
        <w:rPr>
          <w:rStyle w:val="TextoNormalNegritaCaracter"/>
        </w:rPr>
        <w:t>Artículo 50.1 a).</w:t>
      </w:r>
      <w:r w:rsidRPr="007F4918">
        <w:rPr>
          <w:rStyle w:val="TextoNormalCaracter"/>
        </w:rPr>
        <w:t>-</w:t>
      </w:r>
      <w:r>
        <w:t xml:space="preserve"> Sentencias </w:t>
      </w:r>
      <w:hyperlink w:anchor="SENTENCIA_2002_7" w:history="1">
        <w:r w:rsidRPr="007F4918">
          <w:rPr>
            <w:rStyle w:val="TextoNormalCaracter"/>
          </w:rPr>
          <w:t>7/2002</w:t>
        </w:r>
      </w:hyperlink>
      <w:r>
        <w:t xml:space="preserve">, ff. 3, 5, 6; </w:t>
      </w:r>
      <w:hyperlink w:anchor="SENTENCIA_2002_18" w:history="1">
        <w:r w:rsidRPr="007F4918">
          <w:rPr>
            <w:rStyle w:val="TextoNormalCaracter"/>
          </w:rPr>
          <w:t>18/2002</w:t>
        </w:r>
      </w:hyperlink>
      <w:r>
        <w:t xml:space="preserve">, f. 3; </w:t>
      </w:r>
      <w:hyperlink w:anchor="SENTENCIA_2002_32" w:history="1">
        <w:r w:rsidRPr="007F4918">
          <w:rPr>
            <w:rStyle w:val="TextoNormalCaracter"/>
          </w:rPr>
          <w:t>32/2002</w:t>
        </w:r>
      </w:hyperlink>
      <w:r>
        <w:t xml:space="preserve">, f. 2; </w:t>
      </w:r>
      <w:hyperlink w:anchor="SENTENCIA_2002_33" w:history="1">
        <w:r w:rsidRPr="007F4918">
          <w:rPr>
            <w:rStyle w:val="TextoNormalCaracter"/>
          </w:rPr>
          <w:t>33/2002</w:t>
        </w:r>
      </w:hyperlink>
      <w:r>
        <w:t xml:space="preserve">, f. 2; </w:t>
      </w:r>
      <w:hyperlink w:anchor="SENTENCIA_2002_50" w:history="1">
        <w:r w:rsidRPr="007F4918">
          <w:rPr>
            <w:rStyle w:val="TextoNormalCaracter"/>
          </w:rPr>
          <w:t>50/2002</w:t>
        </w:r>
      </w:hyperlink>
      <w:r>
        <w:t xml:space="preserve">, VP; </w:t>
      </w:r>
      <w:hyperlink w:anchor="SENTENCIA_2002_56" w:history="1">
        <w:r w:rsidRPr="007F4918">
          <w:rPr>
            <w:rStyle w:val="TextoNormalCaracter"/>
          </w:rPr>
          <w:t>56/2002</w:t>
        </w:r>
      </w:hyperlink>
      <w:r>
        <w:t xml:space="preserve">, f. 2; </w:t>
      </w:r>
      <w:hyperlink w:anchor="SENTENCIA_2002_60" w:history="1">
        <w:r w:rsidRPr="007F4918">
          <w:rPr>
            <w:rStyle w:val="TextoNormalCaracter"/>
          </w:rPr>
          <w:t>60/2002</w:t>
        </w:r>
      </w:hyperlink>
      <w:r>
        <w:t xml:space="preserve">, f. 2; </w:t>
      </w:r>
      <w:hyperlink w:anchor="SENTENCIA_2002_74" w:history="1">
        <w:r w:rsidRPr="007F4918">
          <w:rPr>
            <w:rStyle w:val="TextoNormalCaracter"/>
          </w:rPr>
          <w:t>74/2002</w:t>
        </w:r>
      </w:hyperlink>
      <w:r>
        <w:t xml:space="preserve">, f. 2; </w:t>
      </w:r>
      <w:hyperlink w:anchor="SENTENCIA_2002_75" w:history="1">
        <w:r w:rsidRPr="007F4918">
          <w:rPr>
            <w:rStyle w:val="TextoNormalCaracter"/>
          </w:rPr>
          <w:t>75/2002</w:t>
        </w:r>
      </w:hyperlink>
      <w:r>
        <w:t xml:space="preserve">, f. 2; </w:t>
      </w:r>
      <w:hyperlink w:anchor="SENTENCIA_2002_79" w:history="1">
        <w:r w:rsidRPr="007F4918">
          <w:rPr>
            <w:rStyle w:val="TextoNormalCaracter"/>
          </w:rPr>
          <w:t>79/2002</w:t>
        </w:r>
      </w:hyperlink>
      <w:r>
        <w:t xml:space="preserve">, f. 2; </w:t>
      </w:r>
      <w:hyperlink w:anchor="SENTENCIA_2002_85" w:history="1">
        <w:r w:rsidRPr="007F4918">
          <w:rPr>
            <w:rStyle w:val="TextoNormalCaracter"/>
          </w:rPr>
          <w:t>85/2002</w:t>
        </w:r>
      </w:hyperlink>
      <w:r>
        <w:t xml:space="preserve">, ff. 1, 2, 4; </w:t>
      </w:r>
      <w:hyperlink w:anchor="SENTENCIA_2002_92" w:history="1">
        <w:r w:rsidRPr="007F4918">
          <w:rPr>
            <w:rStyle w:val="TextoNormalCaracter"/>
          </w:rPr>
          <w:t>92/2002</w:t>
        </w:r>
      </w:hyperlink>
      <w:r>
        <w:t xml:space="preserve">, f. 2; </w:t>
      </w:r>
      <w:hyperlink w:anchor="SENTENCIA_2002_93" w:history="1">
        <w:r w:rsidRPr="007F4918">
          <w:rPr>
            <w:rStyle w:val="TextoNormalCaracter"/>
          </w:rPr>
          <w:t>93/2002</w:t>
        </w:r>
      </w:hyperlink>
      <w:r>
        <w:t>, ff. 2, 3.</w:t>
      </w:r>
    </w:p>
    <w:p w:rsidR="007F4918" w:rsidRDefault="007F4918" w:rsidP="007F4918">
      <w:pPr>
        <w:pStyle w:val="SangriaIzquierdaArticulo"/>
      </w:pPr>
      <w:r>
        <w:t xml:space="preserve">Auto </w:t>
      </w:r>
      <w:hyperlink w:anchor="AUTO_2002_51" w:history="1">
        <w:r w:rsidRPr="007F4918">
          <w:rPr>
            <w:rStyle w:val="TextoNormalCaracter"/>
          </w:rPr>
          <w:t>51/2002</w:t>
        </w:r>
      </w:hyperlink>
      <w:r>
        <w:t>.</w:t>
      </w:r>
    </w:p>
    <w:p w:rsidR="007F4918" w:rsidRDefault="007F4918" w:rsidP="007F4918">
      <w:pPr>
        <w:pStyle w:val="SangriaFrancesaArticulo"/>
      </w:pPr>
      <w:r w:rsidRPr="007F4918">
        <w:rPr>
          <w:rStyle w:val="TextoNormalNegritaCaracter"/>
        </w:rPr>
        <w:t>Artículo 50.1 c).</w:t>
      </w:r>
      <w:r w:rsidRPr="007F4918">
        <w:rPr>
          <w:rStyle w:val="TextoNormalCaracter"/>
        </w:rPr>
        <w:t>-</w:t>
      </w:r>
      <w:r>
        <w:t xml:space="preserve"> Autos </w:t>
      </w:r>
      <w:hyperlink w:anchor="AUTO_2002_6" w:history="1">
        <w:r w:rsidRPr="007F4918">
          <w:rPr>
            <w:rStyle w:val="TextoNormalCaracter"/>
          </w:rPr>
          <w:t>6/2002</w:t>
        </w:r>
      </w:hyperlink>
      <w:r>
        <w:t xml:space="preserve">; </w:t>
      </w:r>
      <w:hyperlink w:anchor="AUTO_2002_8" w:history="1">
        <w:r w:rsidRPr="007F4918">
          <w:rPr>
            <w:rStyle w:val="TextoNormalCaracter"/>
          </w:rPr>
          <w:t>8/2002</w:t>
        </w:r>
      </w:hyperlink>
      <w:r>
        <w:t xml:space="preserve">; </w:t>
      </w:r>
      <w:hyperlink w:anchor="AUTO_2002_11" w:history="1">
        <w:r w:rsidRPr="007F4918">
          <w:rPr>
            <w:rStyle w:val="TextoNormalCaracter"/>
          </w:rPr>
          <w:t>11/2002</w:t>
        </w:r>
      </w:hyperlink>
      <w:r>
        <w:t xml:space="preserve">; </w:t>
      </w:r>
      <w:hyperlink w:anchor="AUTO_2002_14" w:history="1">
        <w:r w:rsidRPr="007F4918">
          <w:rPr>
            <w:rStyle w:val="TextoNormalCaracter"/>
          </w:rPr>
          <w:t>14/2002</w:t>
        </w:r>
      </w:hyperlink>
      <w:r>
        <w:t xml:space="preserve">; </w:t>
      </w:r>
      <w:hyperlink w:anchor="AUTO_2002_17" w:history="1">
        <w:r w:rsidRPr="007F4918">
          <w:rPr>
            <w:rStyle w:val="TextoNormalCaracter"/>
          </w:rPr>
          <w:t>17/2002</w:t>
        </w:r>
      </w:hyperlink>
      <w:r>
        <w:t xml:space="preserve">; </w:t>
      </w:r>
      <w:hyperlink w:anchor="AUTO_2002_42" w:history="1">
        <w:r w:rsidRPr="007F4918">
          <w:rPr>
            <w:rStyle w:val="TextoNormalCaracter"/>
          </w:rPr>
          <w:t>42/2002</w:t>
        </w:r>
      </w:hyperlink>
      <w:r>
        <w:t xml:space="preserve">; </w:t>
      </w:r>
      <w:hyperlink w:anchor="AUTO_2002_43" w:history="1">
        <w:r w:rsidRPr="007F4918">
          <w:rPr>
            <w:rStyle w:val="TextoNormalCaracter"/>
          </w:rPr>
          <w:t>43/2002</w:t>
        </w:r>
      </w:hyperlink>
      <w:r>
        <w:t xml:space="preserve">; </w:t>
      </w:r>
      <w:hyperlink w:anchor="AUTO_2002_44" w:history="1">
        <w:r w:rsidRPr="007F4918">
          <w:rPr>
            <w:rStyle w:val="TextoNormalCaracter"/>
          </w:rPr>
          <w:t>44/2002</w:t>
        </w:r>
      </w:hyperlink>
      <w:r>
        <w:t xml:space="preserve">; </w:t>
      </w:r>
      <w:hyperlink w:anchor="AUTO_2002_52" w:history="1">
        <w:r w:rsidRPr="007F4918">
          <w:rPr>
            <w:rStyle w:val="TextoNormalCaracter"/>
          </w:rPr>
          <w:t>52/2002</w:t>
        </w:r>
      </w:hyperlink>
      <w:r>
        <w:t xml:space="preserve">; </w:t>
      </w:r>
      <w:hyperlink w:anchor="AUTO_2002_68" w:history="1">
        <w:r w:rsidRPr="007F4918">
          <w:rPr>
            <w:rStyle w:val="TextoNormalCaracter"/>
          </w:rPr>
          <w:t>68/2002</w:t>
        </w:r>
      </w:hyperlink>
      <w:r>
        <w:t>.</w:t>
      </w:r>
    </w:p>
    <w:p w:rsidR="007F4918" w:rsidRDefault="007F4918" w:rsidP="007F4918">
      <w:pPr>
        <w:pStyle w:val="SangriaFrancesaArticulo"/>
      </w:pPr>
      <w:r w:rsidRPr="007F4918">
        <w:rPr>
          <w:rStyle w:val="TextoNormalNegritaCaracter"/>
        </w:rPr>
        <w:t>Artículo 50.3.</w:t>
      </w:r>
      <w:r w:rsidRPr="007F4918">
        <w:rPr>
          <w:rStyle w:val="TextoNormalCaracter"/>
        </w:rPr>
        <w:t>-</w:t>
      </w:r>
      <w:r>
        <w:t xml:space="preserve"> Sentencias </w:t>
      </w:r>
      <w:hyperlink w:anchor="SENTENCIA_2002_18" w:history="1">
        <w:r w:rsidRPr="007F4918">
          <w:rPr>
            <w:rStyle w:val="TextoNormalCaracter"/>
          </w:rPr>
          <w:t>18/2002</w:t>
        </w:r>
      </w:hyperlink>
      <w:r>
        <w:t xml:space="preserve">, f. 3; </w:t>
      </w:r>
      <w:hyperlink w:anchor="SENTENCIA_2002_89" w:history="1">
        <w:r w:rsidRPr="007F4918">
          <w:rPr>
            <w:rStyle w:val="TextoNormalCaracter"/>
          </w:rPr>
          <w:t>89/2002</w:t>
        </w:r>
      </w:hyperlink>
      <w:r>
        <w:t>, f. 4.</w:t>
      </w:r>
    </w:p>
    <w:p w:rsidR="007F4918" w:rsidRDefault="007F4918" w:rsidP="007F4918">
      <w:pPr>
        <w:pStyle w:val="SangriaFrancesaArticulo"/>
      </w:pPr>
      <w:r w:rsidRPr="007F4918">
        <w:rPr>
          <w:rStyle w:val="TextoNormalNegritaCaracter"/>
        </w:rPr>
        <w:t>Artículo 51.</w:t>
      </w:r>
      <w:r w:rsidRPr="007F4918">
        <w:rPr>
          <w:rStyle w:val="TextoNormalCaracter"/>
        </w:rPr>
        <w:t>-</w:t>
      </w:r>
      <w:r>
        <w:t xml:space="preserve"> Sentencia </w:t>
      </w:r>
      <w:hyperlink w:anchor="SENTENCIA_2002_18" w:history="1">
        <w:r w:rsidRPr="007F4918">
          <w:rPr>
            <w:rStyle w:val="TextoNormalCaracter"/>
          </w:rPr>
          <w:t>18/2002</w:t>
        </w:r>
      </w:hyperlink>
      <w:r>
        <w:t>, f. 3.</w:t>
      </w:r>
    </w:p>
    <w:p w:rsidR="007F4918" w:rsidRDefault="007F4918" w:rsidP="007F4918">
      <w:pPr>
        <w:pStyle w:val="SangriaFrancesaArticulo"/>
      </w:pPr>
      <w:r w:rsidRPr="007F4918">
        <w:rPr>
          <w:rStyle w:val="TextoNormalNegritaCaracter"/>
        </w:rPr>
        <w:t>Artículo 51.2.</w:t>
      </w:r>
      <w:r w:rsidRPr="007F4918">
        <w:rPr>
          <w:rStyle w:val="TextoNormalCaracter"/>
        </w:rPr>
        <w:t>-</w:t>
      </w:r>
      <w:r>
        <w:t xml:space="preserve"> Sentencia </w:t>
      </w:r>
      <w:hyperlink w:anchor="SENTENCIA_2002_31" w:history="1">
        <w:r w:rsidRPr="007F4918">
          <w:rPr>
            <w:rStyle w:val="TextoNormalCaracter"/>
          </w:rPr>
          <w:t>31/2002</w:t>
        </w:r>
      </w:hyperlink>
      <w:r>
        <w:t>, f. 3.</w:t>
      </w:r>
    </w:p>
    <w:p w:rsidR="007F4918" w:rsidRDefault="007F4918" w:rsidP="007F4918">
      <w:pPr>
        <w:pStyle w:val="SangriaFrancesaArticulo"/>
      </w:pPr>
      <w:r w:rsidRPr="007F4918">
        <w:rPr>
          <w:rStyle w:val="TextoNormalNegritaCaracter"/>
        </w:rPr>
        <w:t>Artículo 52.</w:t>
      </w:r>
      <w:r w:rsidRPr="007F4918">
        <w:rPr>
          <w:rStyle w:val="TextoNormalCaracter"/>
        </w:rPr>
        <w:t>-</w:t>
      </w:r>
      <w:r>
        <w:t xml:space="preserve"> Sentencia </w:t>
      </w:r>
      <w:hyperlink w:anchor="SENTENCIA_2002_73" w:history="1">
        <w:r w:rsidRPr="007F4918">
          <w:rPr>
            <w:rStyle w:val="TextoNormalCaracter"/>
          </w:rPr>
          <w:t>73/2002</w:t>
        </w:r>
      </w:hyperlink>
      <w:r>
        <w:t>, f. 4.</w:t>
      </w:r>
    </w:p>
    <w:p w:rsidR="007F4918" w:rsidRDefault="007F4918" w:rsidP="007F4918">
      <w:pPr>
        <w:pStyle w:val="SangriaFrancesaArticulo"/>
      </w:pPr>
      <w:r w:rsidRPr="007F4918">
        <w:rPr>
          <w:rStyle w:val="TextoNormalNegritaCaracter"/>
        </w:rPr>
        <w:t>Artículo 52.1.</w:t>
      </w:r>
      <w:r w:rsidRPr="007F4918">
        <w:rPr>
          <w:rStyle w:val="TextoNormalCaracter"/>
        </w:rPr>
        <w:t>-</w:t>
      </w:r>
      <w:r>
        <w:t xml:space="preserve"> Sentencias </w:t>
      </w:r>
      <w:hyperlink w:anchor="SENTENCIA_2002_16" w:history="1">
        <w:r w:rsidRPr="007F4918">
          <w:rPr>
            <w:rStyle w:val="TextoNormalCaracter"/>
          </w:rPr>
          <w:t>16/2002</w:t>
        </w:r>
      </w:hyperlink>
      <w:r>
        <w:t xml:space="preserve">, f. 2; </w:t>
      </w:r>
      <w:hyperlink w:anchor="SENTENCIA_2002_52" w:history="1">
        <w:r w:rsidRPr="007F4918">
          <w:rPr>
            <w:rStyle w:val="TextoNormalCaracter"/>
          </w:rPr>
          <w:t>52/2002</w:t>
        </w:r>
      </w:hyperlink>
      <w:r>
        <w:t xml:space="preserve">, f. 4; </w:t>
      </w:r>
      <w:hyperlink w:anchor="SENTENCIA_2002_71" w:history="1">
        <w:r w:rsidRPr="007F4918">
          <w:rPr>
            <w:rStyle w:val="TextoNormalCaracter"/>
          </w:rPr>
          <w:t>71/2002</w:t>
        </w:r>
      </w:hyperlink>
      <w:r>
        <w:t xml:space="preserve">, f. 2; </w:t>
      </w:r>
      <w:hyperlink w:anchor="SENTENCIA_2002_93" w:history="1">
        <w:r w:rsidRPr="007F4918">
          <w:rPr>
            <w:rStyle w:val="TextoNormalCaracter"/>
          </w:rPr>
          <w:t>93/2002</w:t>
        </w:r>
      </w:hyperlink>
      <w:r>
        <w:t>, f. 2.</w:t>
      </w:r>
    </w:p>
    <w:p w:rsidR="007F4918" w:rsidRDefault="007F4918" w:rsidP="007F4918">
      <w:pPr>
        <w:pStyle w:val="SangriaIzquierdaArticulo"/>
      </w:pPr>
      <w:r>
        <w:t xml:space="preserve">Auto </w:t>
      </w:r>
      <w:hyperlink w:anchor="AUTO_2002_3" w:history="1">
        <w:r w:rsidRPr="007F4918">
          <w:rPr>
            <w:rStyle w:val="TextoNormalCaracter"/>
          </w:rPr>
          <w:t>3/2002</w:t>
        </w:r>
      </w:hyperlink>
      <w:r>
        <w:t>.</w:t>
      </w:r>
    </w:p>
    <w:p w:rsidR="007F4918" w:rsidRDefault="007F4918" w:rsidP="007F4918">
      <w:pPr>
        <w:pStyle w:val="SangriaFrancesaArticulo"/>
      </w:pPr>
      <w:r w:rsidRPr="007F4918">
        <w:rPr>
          <w:rStyle w:val="TextoNormalNegritaCaracter"/>
        </w:rPr>
        <w:lastRenderedPageBreak/>
        <w:t>Artículo 53.</w:t>
      </w:r>
      <w:r w:rsidRPr="007F4918">
        <w:rPr>
          <w:rStyle w:val="TextoNormalCaracter"/>
        </w:rPr>
        <w:t>-</w:t>
      </w:r>
      <w:r>
        <w:t xml:space="preserve"> Sentencia </w:t>
      </w:r>
      <w:hyperlink w:anchor="SENTENCIA_2002_85" w:history="1">
        <w:r w:rsidRPr="007F4918">
          <w:rPr>
            <w:rStyle w:val="TextoNormalCaracter"/>
          </w:rPr>
          <w:t>85/2002</w:t>
        </w:r>
      </w:hyperlink>
      <w:r>
        <w:t>, f. 2.</w:t>
      </w:r>
    </w:p>
    <w:p w:rsidR="007F4918" w:rsidRDefault="007F4918" w:rsidP="007F4918">
      <w:pPr>
        <w:pStyle w:val="SangriaFrancesaArticulo"/>
      </w:pPr>
      <w:r w:rsidRPr="007F4918">
        <w:rPr>
          <w:rStyle w:val="TextoNormalNegritaCaracter"/>
        </w:rPr>
        <w:t>Artículo 53 a).</w:t>
      </w:r>
      <w:r w:rsidRPr="007F4918">
        <w:rPr>
          <w:rStyle w:val="TextoNormalCaracter"/>
        </w:rPr>
        <w:t>-</w:t>
      </w:r>
      <w:r>
        <w:t xml:space="preserve"> Sentencia </w:t>
      </w:r>
      <w:hyperlink w:anchor="SENTENCIA_2002_86" w:history="1">
        <w:r w:rsidRPr="007F4918">
          <w:rPr>
            <w:rStyle w:val="TextoNormalCaracter"/>
          </w:rPr>
          <w:t>86/2002</w:t>
        </w:r>
      </w:hyperlink>
      <w:r>
        <w:t>, f. 5.</w:t>
      </w:r>
    </w:p>
    <w:p w:rsidR="007F4918" w:rsidRDefault="007F4918" w:rsidP="007F4918">
      <w:pPr>
        <w:pStyle w:val="SangriaFrancesaArticulo"/>
      </w:pPr>
      <w:r w:rsidRPr="007F4918">
        <w:rPr>
          <w:rStyle w:val="TextoNormalNegritaCaracter"/>
        </w:rPr>
        <w:t>Artículo 54.</w:t>
      </w:r>
      <w:r w:rsidRPr="007F4918">
        <w:rPr>
          <w:rStyle w:val="TextoNormalCaracter"/>
        </w:rPr>
        <w:t>-</w:t>
      </w:r>
      <w:r>
        <w:t xml:space="preserve"> Sentencia </w:t>
      </w:r>
      <w:hyperlink w:anchor="SENTENCIA_2002_8" w:history="1">
        <w:r w:rsidRPr="007F4918">
          <w:rPr>
            <w:rStyle w:val="TextoNormalCaracter"/>
          </w:rPr>
          <w:t>8/2002</w:t>
        </w:r>
      </w:hyperlink>
      <w:r>
        <w:t>, f. 4.</w:t>
      </w:r>
    </w:p>
    <w:p w:rsidR="007F4918" w:rsidRDefault="007F4918" w:rsidP="007F4918">
      <w:pPr>
        <w:pStyle w:val="SangriaFrancesaArticulo"/>
      </w:pPr>
      <w:r w:rsidRPr="007F4918">
        <w:rPr>
          <w:rStyle w:val="TextoNormalNegritaCaracter"/>
        </w:rPr>
        <w:t>Artículo 55.</w:t>
      </w:r>
      <w:r w:rsidRPr="007F4918">
        <w:rPr>
          <w:rStyle w:val="TextoNormalCaracter"/>
        </w:rPr>
        <w:t>-</w:t>
      </w:r>
      <w:r>
        <w:t xml:space="preserve"> Sentencias </w:t>
      </w:r>
      <w:hyperlink w:anchor="SENTENCIA_2002_8" w:history="1">
        <w:r w:rsidRPr="007F4918">
          <w:rPr>
            <w:rStyle w:val="TextoNormalCaracter"/>
          </w:rPr>
          <w:t>8/2002</w:t>
        </w:r>
      </w:hyperlink>
      <w:r>
        <w:t xml:space="preserve">, f. 2; </w:t>
      </w:r>
      <w:hyperlink w:anchor="SENTENCIA_2002_23" w:history="1">
        <w:r w:rsidRPr="007F4918">
          <w:rPr>
            <w:rStyle w:val="TextoNormalCaracter"/>
          </w:rPr>
          <w:t>23/2002</w:t>
        </w:r>
      </w:hyperlink>
      <w:r>
        <w:t xml:space="preserve">, f. 2; </w:t>
      </w:r>
      <w:hyperlink w:anchor="SENTENCIA_2002_48" w:history="1">
        <w:r w:rsidRPr="007F4918">
          <w:rPr>
            <w:rStyle w:val="TextoNormalCaracter"/>
          </w:rPr>
          <w:t>48/2002</w:t>
        </w:r>
      </w:hyperlink>
      <w:r>
        <w:t>, f. 9.</w:t>
      </w:r>
    </w:p>
    <w:p w:rsidR="007F4918" w:rsidRDefault="007F4918" w:rsidP="007F4918">
      <w:pPr>
        <w:pStyle w:val="SangriaFrancesaArticulo"/>
      </w:pPr>
      <w:r w:rsidRPr="007F4918">
        <w:rPr>
          <w:rStyle w:val="TextoNormalNegritaCaracter"/>
        </w:rPr>
        <w:t>Artículo 55.1 b).</w:t>
      </w:r>
      <w:r w:rsidRPr="007F4918">
        <w:rPr>
          <w:rStyle w:val="TextoNormalCaracter"/>
        </w:rPr>
        <w:t>-</w:t>
      </w:r>
      <w:r>
        <w:t xml:space="preserve"> Sentencia </w:t>
      </w:r>
      <w:hyperlink w:anchor="SENTENCIA_2002_81" w:history="1">
        <w:r w:rsidRPr="007F4918">
          <w:rPr>
            <w:rStyle w:val="TextoNormalCaracter"/>
          </w:rPr>
          <w:t>81/2002</w:t>
        </w:r>
      </w:hyperlink>
      <w:r>
        <w:t>, VP.</w:t>
      </w:r>
    </w:p>
    <w:p w:rsidR="007F4918" w:rsidRDefault="007F4918" w:rsidP="007F4918">
      <w:pPr>
        <w:pStyle w:val="SangriaFrancesaArticulo"/>
      </w:pPr>
      <w:r w:rsidRPr="007F4918">
        <w:rPr>
          <w:rStyle w:val="TextoNormalNegritaCaracter"/>
        </w:rPr>
        <w:t>Artículo 55.1 c).</w:t>
      </w:r>
      <w:r w:rsidRPr="007F4918">
        <w:rPr>
          <w:rStyle w:val="TextoNormalCaracter"/>
        </w:rPr>
        <w:t>-</w:t>
      </w:r>
      <w:r>
        <w:t xml:space="preserve"> Sentencias </w:t>
      </w:r>
      <w:hyperlink w:anchor="SENTENCIA_2002_56" w:history="1">
        <w:r w:rsidRPr="007F4918">
          <w:rPr>
            <w:rStyle w:val="TextoNormalCaracter"/>
          </w:rPr>
          <w:t>56/2002</w:t>
        </w:r>
      </w:hyperlink>
      <w:r>
        <w:t xml:space="preserve">, f. 6; </w:t>
      </w:r>
      <w:hyperlink w:anchor="SENTENCIA_2002_87" w:history="1">
        <w:r w:rsidRPr="007F4918">
          <w:rPr>
            <w:rStyle w:val="TextoNormalCaracter"/>
          </w:rPr>
          <w:t>87/2002</w:t>
        </w:r>
      </w:hyperlink>
      <w:r>
        <w:t>, f. 5.</w:t>
      </w:r>
    </w:p>
    <w:p w:rsidR="007F4918" w:rsidRDefault="007F4918" w:rsidP="007F4918">
      <w:pPr>
        <w:pStyle w:val="SangriaFrancesaArticulo"/>
      </w:pPr>
      <w:r w:rsidRPr="007F4918">
        <w:rPr>
          <w:rStyle w:val="TextoNormalNegritaCaracter"/>
        </w:rPr>
        <w:t>Artículo 55.2.</w:t>
      </w:r>
      <w:r w:rsidRPr="007F4918">
        <w:rPr>
          <w:rStyle w:val="TextoNormalCaracter"/>
        </w:rPr>
        <w:t>-</w:t>
      </w:r>
      <w:r>
        <w:t xml:space="preserve"> Auto </w:t>
      </w:r>
      <w:hyperlink w:anchor="AUTO_2002_3" w:history="1">
        <w:r w:rsidRPr="007F4918">
          <w:rPr>
            <w:rStyle w:val="TextoNormalCaracter"/>
          </w:rPr>
          <w:t>3/2002</w:t>
        </w:r>
      </w:hyperlink>
      <w:r>
        <w:t>.</w:t>
      </w:r>
    </w:p>
    <w:p w:rsidR="007F4918" w:rsidRDefault="007F4918" w:rsidP="007F4918">
      <w:pPr>
        <w:pStyle w:val="SangriaFrancesaArticulo"/>
      </w:pPr>
      <w:r w:rsidRPr="007F4918">
        <w:rPr>
          <w:rStyle w:val="TextoNormalNegritaCaracter"/>
        </w:rPr>
        <w:t>Artículo 56.</w:t>
      </w:r>
      <w:r w:rsidRPr="007F4918">
        <w:rPr>
          <w:rStyle w:val="TextoNormalCaracter"/>
        </w:rPr>
        <w:t>-</w:t>
      </w:r>
      <w:r>
        <w:t xml:space="preserve"> Autos </w:t>
      </w:r>
      <w:hyperlink w:anchor="AUTO_2002_9" w:history="1">
        <w:r w:rsidRPr="007F4918">
          <w:rPr>
            <w:rStyle w:val="TextoNormalCaracter"/>
          </w:rPr>
          <w:t>9/2002</w:t>
        </w:r>
      </w:hyperlink>
      <w:r>
        <w:t xml:space="preserve">; </w:t>
      </w:r>
      <w:hyperlink w:anchor="AUTO_2002_18" w:history="1">
        <w:r w:rsidRPr="007F4918">
          <w:rPr>
            <w:rStyle w:val="TextoNormalCaracter"/>
          </w:rPr>
          <w:t>18/2002</w:t>
        </w:r>
      </w:hyperlink>
      <w:r>
        <w:t xml:space="preserve">; </w:t>
      </w:r>
      <w:hyperlink w:anchor="AUTO_2002_22" w:history="1">
        <w:r w:rsidRPr="007F4918">
          <w:rPr>
            <w:rStyle w:val="TextoNormalCaracter"/>
          </w:rPr>
          <w:t>22/2002</w:t>
        </w:r>
      </w:hyperlink>
      <w:r>
        <w:t xml:space="preserve">; </w:t>
      </w:r>
      <w:hyperlink w:anchor="AUTO_2002_34" w:history="1">
        <w:r w:rsidRPr="007F4918">
          <w:rPr>
            <w:rStyle w:val="TextoNormalCaracter"/>
          </w:rPr>
          <w:t>34/2002</w:t>
        </w:r>
      </w:hyperlink>
      <w:r>
        <w:t xml:space="preserve">; </w:t>
      </w:r>
      <w:hyperlink w:anchor="AUTO_2002_40" w:history="1">
        <w:r w:rsidRPr="007F4918">
          <w:rPr>
            <w:rStyle w:val="TextoNormalCaracter"/>
          </w:rPr>
          <w:t>40/2002</w:t>
        </w:r>
      </w:hyperlink>
      <w:r>
        <w:t xml:space="preserve">; </w:t>
      </w:r>
      <w:hyperlink w:anchor="AUTO_2002_49" w:history="1">
        <w:r w:rsidRPr="007F4918">
          <w:rPr>
            <w:rStyle w:val="TextoNormalCaracter"/>
          </w:rPr>
          <w:t>49/2002</w:t>
        </w:r>
      </w:hyperlink>
      <w:r>
        <w:t xml:space="preserve">; </w:t>
      </w:r>
      <w:hyperlink w:anchor="AUTO_2002_58" w:history="1">
        <w:r w:rsidRPr="007F4918">
          <w:rPr>
            <w:rStyle w:val="TextoNormalCaracter"/>
          </w:rPr>
          <w:t>58/2002</w:t>
        </w:r>
      </w:hyperlink>
      <w:r>
        <w:t xml:space="preserve">; </w:t>
      </w:r>
      <w:hyperlink w:anchor="AUTO_2002_67" w:history="1">
        <w:r w:rsidRPr="007F4918">
          <w:rPr>
            <w:rStyle w:val="TextoNormalCaracter"/>
          </w:rPr>
          <w:t>67/2002</w:t>
        </w:r>
      </w:hyperlink>
      <w:r>
        <w:t xml:space="preserve">; </w:t>
      </w:r>
      <w:hyperlink w:anchor="AUTO_2002_71" w:history="1">
        <w:r w:rsidRPr="007F4918">
          <w:rPr>
            <w:rStyle w:val="TextoNormalCaracter"/>
          </w:rPr>
          <w:t>71/2002</w:t>
        </w:r>
      </w:hyperlink>
      <w:r>
        <w:t>.</w:t>
      </w:r>
    </w:p>
    <w:p w:rsidR="007F4918" w:rsidRDefault="007F4918" w:rsidP="007F4918">
      <w:pPr>
        <w:pStyle w:val="SangriaFrancesaArticulo"/>
      </w:pPr>
      <w:r w:rsidRPr="007F4918">
        <w:rPr>
          <w:rStyle w:val="TextoNormalNegritaCaracter"/>
        </w:rPr>
        <w:t>Artículo 56.1.</w:t>
      </w:r>
      <w:r w:rsidRPr="007F4918">
        <w:rPr>
          <w:rStyle w:val="TextoNormalCaracter"/>
        </w:rPr>
        <w:t>-</w:t>
      </w:r>
      <w:r>
        <w:t xml:space="preserve"> Autos </w:t>
      </w:r>
      <w:hyperlink w:anchor="AUTO_2002_2" w:history="1">
        <w:r w:rsidRPr="007F4918">
          <w:rPr>
            <w:rStyle w:val="TextoNormalCaracter"/>
          </w:rPr>
          <w:t>2/2002</w:t>
        </w:r>
      </w:hyperlink>
      <w:r>
        <w:t xml:space="preserve">; </w:t>
      </w:r>
      <w:hyperlink w:anchor="AUTO_2002_7" w:history="1">
        <w:r w:rsidRPr="007F4918">
          <w:rPr>
            <w:rStyle w:val="TextoNormalCaracter"/>
          </w:rPr>
          <w:t>7/2002</w:t>
        </w:r>
      </w:hyperlink>
      <w:r>
        <w:t xml:space="preserve">; </w:t>
      </w:r>
      <w:hyperlink w:anchor="AUTO_2002_9" w:history="1">
        <w:r w:rsidRPr="007F4918">
          <w:rPr>
            <w:rStyle w:val="TextoNormalCaracter"/>
          </w:rPr>
          <w:t>9/2002</w:t>
        </w:r>
      </w:hyperlink>
      <w:r>
        <w:t xml:space="preserve">; </w:t>
      </w:r>
      <w:hyperlink w:anchor="AUTO_2002_15" w:history="1">
        <w:r w:rsidRPr="007F4918">
          <w:rPr>
            <w:rStyle w:val="TextoNormalCaracter"/>
          </w:rPr>
          <w:t>15/2002</w:t>
        </w:r>
      </w:hyperlink>
      <w:r>
        <w:t xml:space="preserve">; </w:t>
      </w:r>
      <w:hyperlink w:anchor="AUTO_2002_16" w:history="1">
        <w:r w:rsidRPr="007F4918">
          <w:rPr>
            <w:rStyle w:val="TextoNormalCaracter"/>
          </w:rPr>
          <w:t>16/2002</w:t>
        </w:r>
      </w:hyperlink>
      <w:r>
        <w:t xml:space="preserve">; </w:t>
      </w:r>
      <w:hyperlink w:anchor="AUTO_2002_18" w:history="1">
        <w:r w:rsidRPr="007F4918">
          <w:rPr>
            <w:rStyle w:val="TextoNormalCaracter"/>
          </w:rPr>
          <w:t>18/2002</w:t>
        </w:r>
      </w:hyperlink>
      <w:r>
        <w:t xml:space="preserve">; </w:t>
      </w:r>
      <w:hyperlink w:anchor="AUTO_2002_21" w:history="1">
        <w:r w:rsidRPr="007F4918">
          <w:rPr>
            <w:rStyle w:val="TextoNormalCaracter"/>
          </w:rPr>
          <w:t>21/2002</w:t>
        </w:r>
      </w:hyperlink>
      <w:r>
        <w:t xml:space="preserve">; </w:t>
      </w:r>
      <w:hyperlink w:anchor="AUTO_2002_22" w:history="1">
        <w:r w:rsidRPr="007F4918">
          <w:rPr>
            <w:rStyle w:val="TextoNormalCaracter"/>
          </w:rPr>
          <w:t>22/2002</w:t>
        </w:r>
      </w:hyperlink>
      <w:r>
        <w:t xml:space="preserve">; </w:t>
      </w:r>
      <w:hyperlink w:anchor="AUTO_2002_25" w:history="1">
        <w:r w:rsidRPr="007F4918">
          <w:rPr>
            <w:rStyle w:val="TextoNormalCaracter"/>
          </w:rPr>
          <w:t>25/2002</w:t>
        </w:r>
      </w:hyperlink>
      <w:r>
        <w:t xml:space="preserve">; </w:t>
      </w:r>
      <w:hyperlink w:anchor="AUTO_2002_35" w:history="1">
        <w:r w:rsidRPr="007F4918">
          <w:rPr>
            <w:rStyle w:val="TextoNormalCaracter"/>
          </w:rPr>
          <w:t>35/2002</w:t>
        </w:r>
      </w:hyperlink>
      <w:r>
        <w:t xml:space="preserve">; </w:t>
      </w:r>
      <w:hyperlink w:anchor="AUTO_2002_37" w:history="1">
        <w:r w:rsidRPr="007F4918">
          <w:rPr>
            <w:rStyle w:val="TextoNormalCaracter"/>
          </w:rPr>
          <w:t>37/2002</w:t>
        </w:r>
      </w:hyperlink>
      <w:r>
        <w:t xml:space="preserve">; </w:t>
      </w:r>
      <w:hyperlink w:anchor="AUTO_2002_41" w:history="1">
        <w:r w:rsidRPr="007F4918">
          <w:rPr>
            <w:rStyle w:val="TextoNormalCaracter"/>
          </w:rPr>
          <w:t>41/2002</w:t>
        </w:r>
      </w:hyperlink>
      <w:r>
        <w:t xml:space="preserve">; </w:t>
      </w:r>
      <w:hyperlink w:anchor="AUTO_2002_46" w:history="1">
        <w:r w:rsidRPr="007F4918">
          <w:rPr>
            <w:rStyle w:val="TextoNormalCaracter"/>
          </w:rPr>
          <w:t>46/2002</w:t>
        </w:r>
      </w:hyperlink>
      <w:r>
        <w:t xml:space="preserve">; </w:t>
      </w:r>
      <w:hyperlink w:anchor="AUTO_2002_49" w:history="1">
        <w:r w:rsidRPr="007F4918">
          <w:rPr>
            <w:rStyle w:val="TextoNormalCaracter"/>
          </w:rPr>
          <w:t>49/2002</w:t>
        </w:r>
      </w:hyperlink>
      <w:r>
        <w:t xml:space="preserve">; </w:t>
      </w:r>
      <w:hyperlink w:anchor="AUTO_2002_58" w:history="1">
        <w:r w:rsidRPr="007F4918">
          <w:rPr>
            <w:rStyle w:val="TextoNormalCaracter"/>
          </w:rPr>
          <w:t>58/2002</w:t>
        </w:r>
      </w:hyperlink>
      <w:r>
        <w:t xml:space="preserve">; </w:t>
      </w:r>
      <w:hyperlink w:anchor="AUTO_2002_62" w:history="1">
        <w:r w:rsidRPr="007F4918">
          <w:rPr>
            <w:rStyle w:val="TextoNormalCaracter"/>
          </w:rPr>
          <w:t>62/2002</w:t>
        </w:r>
      </w:hyperlink>
      <w:r>
        <w:t xml:space="preserve">; </w:t>
      </w:r>
      <w:hyperlink w:anchor="AUTO_2002_63" w:history="1">
        <w:r w:rsidRPr="007F4918">
          <w:rPr>
            <w:rStyle w:val="TextoNormalCaracter"/>
          </w:rPr>
          <w:t>63/2002</w:t>
        </w:r>
      </w:hyperlink>
      <w:r>
        <w:t xml:space="preserve">; </w:t>
      </w:r>
      <w:hyperlink w:anchor="AUTO_2002_64" w:history="1">
        <w:r w:rsidRPr="007F4918">
          <w:rPr>
            <w:rStyle w:val="TextoNormalCaracter"/>
          </w:rPr>
          <w:t>64/2002</w:t>
        </w:r>
      </w:hyperlink>
      <w:r>
        <w:t xml:space="preserve">; </w:t>
      </w:r>
      <w:hyperlink w:anchor="AUTO_2002_65" w:history="1">
        <w:r w:rsidRPr="007F4918">
          <w:rPr>
            <w:rStyle w:val="TextoNormalCaracter"/>
          </w:rPr>
          <w:t>65/2002</w:t>
        </w:r>
      </w:hyperlink>
      <w:r>
        <w:t xml:space="preserve">; </w:t>
      </w:r>
      <w:hyperlink w:anchor="AUTO_2002_66" w:history="1">
        <w:r w:rsidRPr="007F4918">
          <w:rPr>
            <w:rStyle w:val="TextoNormalCaracter"/>
          </w:rPr>
          <w:t>66/2002</w:t>
        </w:r>
      </w:hyperlink>
      <w:r>
        <w:t xml:space="preserve">; </w:t>
      </w:r>
      <w:hyperlink w:anchor="AUTO_2002_67" w:history="1">
        <w:r w:rsidRPr="007F4918">
          <w:rPr>
            <w:rStyle w:val="TextoNormalCaracter"/>
          </w:rPr>
          <w:t>67/2002</w:t>
        </w:r>
      </w:hyperlink>
      <w:r>
        <w:t xml:space="preserve">; </w:t>
      </w:r>
      <w:hyperlink w:anchor="AUTO_2002_69" w:history="1">
        <w:r w:rsidRPr="007F4918">
          <w:rPr>
            <w:rStyle w:val="TextoNormalCaracter"/>
          </w:rPr>
          <w:t>69/2002</w:t>
        </w:r>
      </w:hyperlink>
      <w:r>
        <w:t xml:space="preserve">; </w:t>
      </w:r>
      <w:hyperlink w:anchor="AUTO_2002_71" w:history="1">
        <w:r w:rsidRPr="007F4918">
          <w:rPr>
            <w:rStyle w:val="TextoNormalCaracter"/>
          </w:rPr>
          <w:t>71/2002</w:t>
        </w:r>
      </w:hyperlink>
      <w:r>
        <w:t>.</w:t>
      </w:r>
    </w:p>
    <w:p w:rsidR="007F4918" w:rsidRDefault="007F4918" w:rsidP="007F4918">
      <w:pPr>
        <w:pStyle w:val="SangriaFrancesaArticulo"/>
      </w:pPr>
      <w:r w:rsidRPr="007F4918">
        <w:rPr>
          <w:rStyle w:val="TextoNormalNegritaCaracter"/>
        </w:rPr>
        <w:t>Artículo 56.2.</w:t>
      </w:r>
      <w:r w:rsidRPr="007F4918">
        <w:rPr>
          <w:rStyle w:val="TextoNormalCaracter"/>
        </w:rPr>
        <w:t>-</w:t>
      </w:r>
      <w:r>
        <w:t xml:space="preserve"> Autos </w:t>
      </w:r>
      <w:hyperlink w:anchor="AUTO_2002_22" w:history="1">
        <w:r w:rsidRPr="007F4918">
          <w:rPr>
            <w:rStyle w:val="TextoNormalCaracter"/>
          </w:rPr>
          <w:t>22/2002</w:t>
        </w:r>
      </w:hyperlink>
      <w:r>
        <w:t xml:space="preserve">; </w:t>
      </w:r>
      <w:hyperlink w:anchor="AUTO_2002_65" w:history="1">
        <w:r w:rsidRPr="007F4918">
          <w:rPr>
            <w:rStyle w:val="TextoNormalCaracter"/>
          </w:rPr>
          <w:t>65/2002</w:t>
        </w:r>
      </w:hyperlink>
      <w:r>
        <w:t>.</w:t>
      </w:r>
    </w:p>
    <w:p w:rsidR="007F4918" w:rsidRDefault="007F4918" w:rsidP="007F4918">
      <w:pPr>
        <w:pStyle w:val="SangriaFrancesaArticulo"/>
      </w:pPr>
      <w:r w:rsidRPr="007F4918">
        <w:rPr>
          <w:rStyle w:val="TextoNormalNegritaCaracter"/>
        </w:rPr>
        <w:t>Artículo 57.</w:t>
      </w:r>
      <w:r w:rsidRPr="007F4918">
        <w:rPr>
          <w:rStyle w:val="TextoNormalCaracter"/>
        </w:rPr>
        <w:t>-</w:t>
      </w:r>
      <w:r>
        <w:t xml:space="preserve"> Autos </w:t>
      </w:r>
      <w:hyperlink w:anchor="AUTO_2002_1" w:history="1">
        <w:r w:rsidRPr="007F4918">
          <w:rPr>
            <w:rStyle w:val="TextoNormalCaracter"/>
          </w:rPr>
          <w:t>1/2002</w:t>
        </w:r>
      </w:hyperlink>
      <w:r>
        <w:t xml:space="preserve">; </w:t>
      </w:r>
      <w:hyperlink w:anchor="AUTO_2002_21" w:history="1">
        <w:r w:rsidRPr="007F4918">
          <w:rPr>
            <w:rStyle w:val="TextoNormalCaracter"/>
          </w:rPr>
          <w:t>21/2002</w:t>
        </w:r>
      </w:hyperlink>
      <w:r>
        <w:t xml:space="preserve">; </w:t>
      </w:r>
      <w:hyperlink w:anchor="AUTO_2002_22" w:history="1">
        <w:r w:rsidRPr="007F4918">
          <w:rPr>
            <w:rStyle w:val="TextoNormalCaracter"/>
          </w:rPr>
          <w:t>22/2002</w:t>
        </w:r>
      </w:hyperlink>
      <w:r>
        <w:t xml:space="preserve">; </w:t>
      </w:r>
      <w:hyperlink w:anchor="AUTO_2002_35" w:history="1">
        <w:r w:rsidRPr="007F4918">
          <w:rPr>
            <w:rStyle w:val="TextoNormalCaracter"/>
          </w:rPr>
          <w:t>35/2002</w:t>
        </w:r>
      </w:hyperlink>
      <w:r>
        <w:t xml:space="preserve">; </w:t>
      </w:r>
      <w:hyperlink w:anchor="AUTO_2002_40" w:history="1">
        <w:r w:rsidRPr="007F4918">
          <w:rPr>
            <w:rStyle w:val="TextoNormalCaracter"/>
          </w:rPr>
          <w:t>40/2002</w:t>
        </w:r>
      </w:hyperlink>
      <w:r>
        <w:t xml:space="preserve">; </w:t>
      </w:r>
      <w:hyperlink w:anchor="AUTO_2002_58" w:history="1">
        <w:r w:rsidRPr="007F4918">
          <w:rPr>
            <w:rStyle w:val="TextoNormalCaracter"/>
          </w:rPr>
          <w:t>58/2002</w:t>
        </w:r>
      </w:hyperlink>
      <w:r>
        <w:t>.</w:t>
      </w:r>
    </w:p>
    <w:p w:rsidR="007F4918" w:rsidRDefault="007F4918" w:rsidP="007F4918">
      <w:pPr>
        <w:pStyle w:val="SangriaFrancesaArticulo"/>
      </w:pPr>
      <w:r w:rsidRPr="007F4918">
        <w:rPr>
          <w:rStyle w:val="TextoNormalNegritaCaracter"/>
        </w:rPr>
        <w:t>Artículo 80.</w:t>
      </w:r>
      <w:r w:rsidRPr="007F4918">
        <w:rPr>
          <w:rStyle w:val="TextoNormalCaracter"/>
        </w:rPr>
        <w:t>-</w:t>
      </w:r>
      <w:r>
        <w:t xml:space="preserve"> Autos </w:t>
      </w:r>
      <w:hyperlink w:anchor="AUTO_2002_32" w:history="1">
        <w:r w:rsidRPr="007F4918">
          <w:rPr>
            <w:rStyle w:val="TextoNormalCaracter"/>
          </w:rPr>
          <w:t>32/2002</w:t>
        </w:r>
      </w:hyperlink>
      <w:r>
        <w:t xml:space="preserve">; </w:t>
      </w:r>
      <w:hyperlink w:anchor="AUTO_2002_33" w:history="1">
        <w:r w:rsidRPr="007F4918">
          <w:rPr>
            <w:rStyle w:val="TextoNormalCaracter"/>
          </w:rPr>
          <w:t>33/2002</w:t>
        </w:r>
      </w:hyperlink>
      <w:r>
        <w:t>.</w:t>
      </w:r>
    </w:p>
    <w:p w:rsidR="007F4918" w:rsidRDefault="007F4918" w:rsidP="007F4918">
      <w:pPr>
        <w:pStyle w:val="SangriaFrancesaArticulo"/>
      </w:pPr>
      <w:r w:rsidRPr="007F4918">
        <w:rPr>
          <w:rStyle w:val="TextoNormalNegritaCaracter"/>
        </w:rPr>
        <w:t>Artículo 83.</w:t>
      </w:r>
      <w:r w:rsidRPr="007F4918">
        <w:rPr>
          <w:rStyle w:val="TextoNormalCaracter"/>
        </w:rPr>
        <w:t>-</w:t>
      </w:r>
      <w:r>
        <w:t xml:space="preserve"> Auto </w:t>
      </w:r>
      <w:hyperlink w:anchor="AUTO_2002_32" w:history="1">
        <w:r w:rsidRPr="007F4918">
          <w:rPr>
            <w:rStyle w:val="TextoNormalCaracter"/>
          </w:rPr>
          <w:t>32/2002</w:t>
        </w:r>
      </w:hyperlink>
      <w:r>
        <w:t>.</w:t>
      </w:r>
    </w:p>
    <w:p w:rsidR="007F4918" w:rsidRDefault="007F4918" w:rsidP="007F4918">
      <w:pPr>
        <w:pStyle w:val="SangriaFrancesaArticulo"/>
      </w:pPr>
      <w:r w:rsidRPr="007F4918">
        <w:rPr>
          <w:rStyle w:val="TextoNormalNegritaCaracter"/>
        </w:rPr>
        <w:t>Artículo 86.</w:t>
      </w:r>
      <w:r w:rsidRPr="007F4918">
        <w:rPr>
          <w:rStyle w:val="TextoNormalCaracter"/>
        </w:rPr>
        <w:t>-</w:t>
      </w:r>
      <w:r>
        <w:t xml:space="preserve"> Auto </w:t>
      </w:r>
      <w:hyperlink w:anchor="AUTO_2002_33" w:history="1">
        <w:r w:rsidRPr="007F4918">
          <w:rPr>
            <w:rStyle w:val="TextoNormalCaracter"/>
          </w:rPr>
          <w:t>33/2002</w:t>
        </w:r>
      </w:hyperlink>
      <w:r>
        <w:t>.</w:t>
      </w:r>
    </w:p>
    <w:p w:rsidR="007F4918" w:rsidRDefault="007F4918" w:rsidP="007F4918">
      <w:pPr>
        <w:pStyle w:val="SangriaFrancesaArticulo"/>
      </w:pPr>
      <w:r w:rsidRPr="007F4918">
        <w:rPr>
          <w:rStyle w:val="TextoNormalNegritaCaracter"/>
        </w:rPr>
        <w:t>Artículo 86.1.</w:t>
      </w:r>
      <w:r w:rsidRPr="007F4918">
        <w:rPr>
          <w:rStyle w:val="TextoNormalCaracter"/>
        </w:rPr>
        <w:t>-</w:t>
      </w:r>
      <w:r>
        <w:t xml:space="preserve"> Auto </w:t>
      </w:r>
      <w:hyperlink w:anchor="AUTO_2002_31" w:history="1">
        <w:r w:rsidRPr="007F4918">
          <w:rPr>
            <w:rStyle w:val="TextoNormalCaracter"/>
          </w:rPr>
          <w:t>31/2002</w:t>
        </w:r>
      </w:hyperlink>
      <w:r>
        <w:t>.</w:t>
      </w:r>
    </w:p>
    <w:p w:rsidR="007F4918" w:rsidRDefault="007F4918" w:rsidP="007F4918">
      <w:pPr>
        <w:pStyle w:val="SangriaFrancesaArticulo"/>
      </w:pPr>
      <w:r w:rsidRPr="007F4918">
        <w:rPr>
          <w:rStyle w:val="TextoNormalNegritaCaracter"/>
        </w:rPr>
        <w:t>Artículo 88.</w:t>
      </w:r>
      <w:r w:rsidRPr="007F4918">
        <w:rPr>
          <w:rStyle w:val="TextoNormalCaracter"/>
        </w:rPr>
        <w:t>-</w:t>
      </w:r>
      <w:r>
        <w:t xml:space="preserve"> Sentencia </w:t>
      </w:r>
      <w:hyperlink w:anchor="SENTENCIA_2002_74" w:history="1">
        <w:r w:rsidRPr="007F4918">
          <w:rPr>
            <w:rStyle w:val="TextoNormalCaracter"/>
          </w:rPr>
          <w:t>74/2002</w:t>
        </w:r>
      </w:hyperlink>
      <w:r>
        <w:t>, f. 4.</w:t>
      </w:r>
    </w:p>
    <w:p w:rsidR="007F4918" w:rsidRDefault="007F4918" w:rsidP="007F4918">
      <w:pPr>
        <w:pStyle w:val="SangriaFrancesaArticulo"/>
      </w:pPr>
      <w:r w:rsidRPr="007F4918">
        <w:rPr>
          <w:rStyle w:val="TextoNormalNegritaCaracter"/>
        </w:rPr>
        <w:t>Artículo 90.2.</w:t>
      </w:r>
      <w:r w:rsidRPr="007F4918">
        <w:rPr>
          <w:rStyle w:val="TextoNormalCaracter"/>
        </w:rPr>
        <w:t>-</w:t>
      </w:r>
      <w:r>
        <w:t xml:space="preserve"> Sentencias </w:t>
      </w:r>
      <w:hyperlink w:anchor="SENTENCIA_2002_11" w:history="1">
        <w:r w:rsidRPr="007F4918">
          <w:rPr>
            <w:rStyle w:val="TextoNormalCaracter"/>
          </w:rPr>
          <w:t>11/2002</w:t>
        </w:r>
      </w:hyperlink>
      <w:r>
        <w:t xml:space="preserve">, VP II; </w:t>
      </w:r>
      <w:hyperlink w:anchor="SENTENCIA_2002_33" w:history="1">
        <w:r w:rsidRPr="007F4918">
          <w:rPr>
            <w:rStyle w:val="TextoNormalCaracter"/>
          </w:rPr>
          <w:t>33/2002</w:t>
        </w:r>
      </w:hyperlink>
      <w:r>
        <w:t xml:space="preserve">, VP; </w:t>
      </w:r>
      <w:hyperlink w:anchor="SENTENCIA_2002_38" w:history="1">
        <w:r w:rsidRPr="007F4918">
          <w:rPr>
            <w:rStyle w:val="TextoNormalCaracter"/>
          </w:rPr>
          <w:t>38/2002</w:t>
        </w:r>
      </w:hyperlink>
      <w:r>
        <w:t xml:space="preserve">, VP; </w:t>
      </w:r>
      <w:hyperlink w:anchor="SENTENCIA_2002_50" w:history="1">
        <w:r w:rsidRPr="007F4918">
          <w:rPr>
            <w:rStyle w:val="TextoNormalCaracter"/>
          </w:rPr>
          <w:t>50/2002</w:t>
        </w:r>
      </w:hyperlink>
      <w:r>
        <w:t xml:space="preserve">, VP; </w:t>
      </w:r>
      <w:hyperlink w:anchor="SENTENCIA_2002_53" w:history="1">
        <w:r w:rsidRPr="007F4918">
          <w:rPr>
            <w:rStyle w:val="TextoNormalCaracter"/>
          </w:rPr>
          <w:t>53/2002</w:t>
        </w:r>
      </w:hyperlink>
      <w:r>
        <w:t xml:space="preserve">, VP I; </w:t>
      </w:r>
      <w:hyperlink w:anchor="SENTENCIA_2002_67" w:history="1">
        <w:r w:rsidRPr="007F4918">
          <w:rPr>
            <w:rStyle w:val="TextoNormalCaracter"/>
          </w:rPr>
          <w:t>67/2002</w:t>
        </w:r>
      </w:hyperlink>
      <w:r>
        <w:t xml:space="preserve">, VP; </w:t>
      </w:r>
      <w:hyperlink w:anchor="SENTENCIA_2002_71" w:history="1">
        <w:r w:rsidRPr="007F4918">
          <w:rPr>
            <w:rStyle w:val="TextoNormalCaracter"/>
          </w:rPr>
          <w:t>71/2002</w:t>
        </w:r>
      </w:hyperlink>
      <w:r>
        <w:t xml:space="preserve">, VP; </w:t>
      </w:r>
      <w:hyperlink w:anchor="SENTENCIA_2002_81" w:history="1">
        <w:r w:rsidRPr="007F4918">
          <w:rPr>
            <w:rStyle w:val="TextoNormalCaracter"/>
          </w:rPr>
          <w:t>81/2002</w:t>
        </w:r>
      </w:hyperlink>
      <w:r>
        <w:t xml:space="preserve">, VP; </w:t>
      </w:r>
      <w:hyperlink w:anchor="SENTENCIA_2002_95" w:history="1">
        <w:r w:rsidRPr="007F4918">
          <w:rPr>
            <w:rStyle w:val="TextoNormalCaracter"/>
          </w:rPr>
          <w:t>95/2002</w:t>
        </w:r>
      </w:hyperlink>
      <w:r>
        <w:t xml:space="preserve">, VP II, VP III; </w:t>
      </w:r>
      <w:hyperlink w:anchor="SENTENCIA_2002_96" w:history="1">
        <w:r w:rsidRPr="007F4918">
          <w:rPr>
            <w:rStyle w:val="TextoNormalCaracter"/>
          </w:rPr>
          <w:t>96/2002</w:t>
        </w:r>
      </w:hyperlink>
      <w:r>
        <w:t>, VP II.</w:t>
      </w:r>
    </w:p>
    <w:p w:rsidR="007F4918" w:rsidRDefault="007F4918" w:rsidP="007F4918">
      <w:pPr>
        <w:pStyle w:val="SangriaFrancesaArticulo"/>
      </w:pPr>
      <w:r w:rsidRPr="007F4918">
        <w:rPr>
          <w:rStyle w:val="TextoNormalNegritaCaracter"/>
        </w:rPr>
        <w:t>Artículo 92.</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93.1.</w:t>
      </w:r>
      <w:r w:rsidRPr="007F4918">
        <w:rPr>
          <w:rStyle w:val="TextoNormalCaracter"/>
        </w:rPr>
        <w:t>-</w:t>
      </w:r>
      <w:r>
        <w:t xml:space="preserve"> Auto </w:t>
      </w:r>
      <w:hyperlink w:anchor="AUTO_2002_53" w:history="1">
        <w:r w:rsidRPr="007F4918">
          <w:rPr>
            <w:rStyle w:val="TextoNormalCaracter"/>
          </w:rPr>
          <w:t>53/2002</w:t>
        </w:r>
      </w:hyperlink>
      <w:r>
        <w:t>.</w:t>
      </w:r>
    </w:p>
    <w:p w:rsidR="007F4918" w:rsidRDefault="007F4918" w:rsidP="007F4918">
      <w:pPr>
        <w:pStyle w:val="SangriaFrancesaArticulo"/>
      </w:pPr>
      <w:r w:rsidRPr="007F4918">
        <w:rPr>
          <w:rStyle w:val="TextoNormalNegritaCaracter"/>
        </w:rPr>
        <w:t>Artículo 93.2.</w:t>
      </w:r>
      <w:r w:rsidRPr="007F4918">
        <w:rPr>
          <w:rStyle w:val="TextoNormalCaracter"/>
        </w:rPr>
        <w:t>-</w:t>
      </w:r>
      <w:r>
        <w:t xml:space="preserve"> Auto </w:t>
      </w:r>
      <w:hyperlink w:anchor="AUTO_2002_16" w:history="1">
        <w:r w:rsidRPr="007F4918">
          <w:rPr>
            <w:rStyle w:val="TextoNormalCaracter"/>
          </w:rPr>
          <w:t>16/2002</w:t>
        </w:r>
      </w:hyperlink>
      <w:r>
        <w:t>.</w:t>
      </w:r>
    </w:p>
    <w:p w:rsidR="007F4918" w:rsidRDefault="007F4918" w:rsidP="007F4918">
      <w:pPr>
        <w:pStyle w:val="SangriaFrancesaArticulo"/>
      </w:pPr>
    </w:p>
    <w:p w:rsidR="007F4918" w:rsidRDefault="007F4918" w:rsidP="007F4918">
      <w:pPr>
        <w:pStyle w:val="TextoNormalNegritaCursivandice"/>
      </w:pPr>
      <w:r>
        <w:t>Acuerdo del Pleno del Tribunal Constitucional, de 15 de junio de 1982. Normas que han de regir el funcionamiento del Tribunal durante el período de vacaciones</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69" w:history="1">
        <w:r w:rsidRPr="007F4918">
          <w:rPr>
            <w:rStyle w:val="TextoNormalCaracter"/>
          </w:rPr>
          <w:t>69/2002</w:t>
        </w:r>
      </w:hyperlink>
      <w:r>
        <w:t>, f. 3.</w:t>
      </w:r>
    </w:p>
    <w:p w:rsidR="007F4918" w:rsidRDefault="007F4918" w:rsidP="007F4918">
      <w:pPr>
        <w:pStyle w:val="SangriaFrancesaArticulo"/>
      </w:pPr>
    </w:p>
    <w:p w:rsidR="007F4918" w:rsidRDefault="007F4918" w:rsidP="007F4918">
      <w:pPr>
        <w:pStyle w:val="TextoNormalNegritaCursivandice"/>
      </w:pPr>
      <w:r>
        <w:t>Acuerdo del Pleno del Tribunal Constitucional, de 17 de junio de 1999. Reforma del artículo 2 del Acuerdo de 15 de junio de 1982, del propio Pleno, por el que se acuerdan las normas que han de regir el funcionamiento del Tribunal durante el período de vacaciones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69" w:history="1">
        <w:r w:rsidRPr="007F4918">
          <w:rPr>
            <w:rStyle w:val="TextoNormalCaracter"/>
          </w:rPr>
          <w:t>69/2002</w:t>
        </w:r>
      </w:hyperlink>
      <w:r>
        <w:t>, f. 3.</w:t>
      </w:r>
    </w:p>
    <w:p w:rsidR="007F4918" w:rsidRDefault="007F4918" w:rsidP="007F4918">
      <w:pPr>
        <w:pStyle w:val="TextoNormal"/>
      </w:pPr>
    </w:p>
    <w:p w:rsidR="007F4918" w:rsidRDefault="007F4918" w:rsidP="007F4918">
      <w:pPr>
        <w:pStyle w:val="SangriaFrancesaArticulo"/>
      </w:pPr>
      <w:bookmarkStart w:id="180" w:name="INDICE22844"/>
    </w:p>
    <w:bookmarkEnd w:id="180"/>
    <w:p w:rsidR="007F4918" w:rsidRDefault="007F4918" w:rsidP="007F4918">
      <w:pPr>
        <w:pStyle w:val="TextoIndiceNivel2"/>
        <w:suppressAutoHyphens/>
      </w:pPr>
      <w:r>
        <w:t>C) Cortes Generales</w:t>
      </w:r>
    </w:p>
    <w:p w:rsidR="007F4918" w:rsidRDefault="007F4918" w:rsidP="007F4918">
      <w:pPr>
        <w:pStyle w:val="TextoIndiceNivel2"/>
      </w:pPr>
    </w:p>
    <w:p w:rsidR="007F4918" w:rsidRDefault="007F4918" w:rsidP="007F4918">
      <w:pPr>
        <w:pStyle w:val="TextoNormalNegritaCursivandice"/>
      </w:pPr>
      <w:r>
        <w:t>Reglamento del Congreso de los Diputados, de 10 de febrero de 1982</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64" w:history="1">
        <w:r w:rsidRPr="007F4918">
          <w:rPr>
            <w:rStyle w:val="TextoNormalCaracter"/>
          </w:rPr>
          <w:t>64/2002</w:t>
        </w:r>
      </w:hyperlink>
      <w:r>
        <w:t xml:space="preserve">, ff. 3, 4, 6; </w:t>
      </w:r>
      <w:hyperlink w:anchor="SENTENCIA_2002_67" w:history="1">
        <w:r w:rsidRPr="007F4918">
          <w:rPr>
            <w:rStyle w:val="TextoNormalCaracter"/>
          </w:rPr>
          <w:t>67/2002</w:t>
        </w:r>
      </w:hyperlink>
      <w:r>
        <w:t>, f. 3.</w:t>
      </w:r>
    </w:p>
    <w:p w:rsidR="007F4918" w:rsidRDefault="007F4918" w:rsidP="007F4918">
      <w:pPr>
        <w:pStyle w:val="SangriaFrancesaArticulo"/>
      </w:pPr>
      <w:r w:rsidRPr="007F4918">
        <w:rPr>
          <w:rStyle w:val="TextoNormalNegritaCaracter"/>
        </w:rPr>
        <w:t>Titulo II.</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t>Artículo 23.1.</w:t>
      </w:r>
      <w:r w:rsidRPr="007F4918">
        <w:rPr>
          <w:rStyle w:val="TextoNormalCaracter"/>
        </w:rPr>
        <w:t>-</w:t>
      </w:r>
      <w:r>
        <w:t xml:space="preserve"> Sentencia </w:t>
      </w:r>
      <w:hyperlink w:anchor="SENTENCIA_2002_64" w:history="1">
        <w:r w:rsidRPr="007F4918">
          <w:rPr>
            <w:rStyle w:val="TextoNormalCaracter"/>
          </w:rPr>
          <w:t>64/2002</w:t>
        </w:r>
      </w:hyperlink>
      <w:r>
        <w:t>, ff. 1, 3 a 7.</w:t>
      </w:r>
    </w:p>
    <w:p w:rsidR="007F4918" w:rsidRDefault="007F4918" w:rsidP="007F4918">
      <w:pPr>
        <w:pStyle w:val="SangriaFrancesaArticulo"/>
      </w:pPr>
      <w:r w:rsidRPr="007F4918">
        <w:rPr>
          <w:rStyle w:val="TextoNormalNegritaCaracter"/>
        </w:rPr>
        <w:t>Artículo 23.2.</w:t>
      </w:r>
      <w:r w:rsidRPr="007F4918">
        <w:rPr>
          <w:rStyle w:val="TextoNormalCaracter"/>
        </w:rPr>
        <w:t>-</w:t>
      </w:r>
      <w:r>
        <w:t xml:space="preserve"> Sentencia </w:t>
      </w:r>
      <w:hyperlink w:anchor="SENTENCIA_2002_64" w:history="1">
        <w:r w:rsidRPr="007F4918">
          <w:rPr>
            <w:rStyle w:val="TextoNormalCaracter"/>
          </w:rPr>
          <w:t>64/2002</w:t>
        </w:r>
      </w:hyperlink>
      <w:r>
        <w:t>, ff. 3, 6, 7.</w:t>
      </w:r>
    </w:p>
    <w:p w:rsidR="007F4918" w:rsidRDefault="007F4918" w:rsidP="007F4918">
      <w:pPr>
        <w:pStyle w:val="SangriaFrancesaArticulo"/>
      </w:pPr>
      <w:r w:rsidRPr="007F4918">
        <w:rPr>
          <w:rStyle w:val="TextoNormalNegritaCaracter"/>
        </w:rPr>
        <w:t>Artículos 23 a 29.</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lastRenderedPageBreak/>
        <w:t>Artículo 24.1.</w:t>
      </w:r>
      <w:r w:rsidRPr="007F4918">
        <w:rPr>
          <w:rStyle w:val="TextoNormalCaracter"/>
        </w:rPr>
        <w:t>-</w:t>
      </w:r>
      <w:r>
        <w:t xml:space="preserve"> Sentencia </w:t>
      </w:r>
      <w:hyperlink w:anchor="SENTENCIA_2002_64" w:history="1">
        <w:r w:rsidRPr="007F4918">
          <w:rPr>
            <w:rStyle w:val="TextoNormalCaracter"/>
          </w:rPr>
          <w:t>64/2002</w:t>
        </w:r>
      </w:hyperlink>
      <w:r>
        <w:t>, ff. 3, 4.</w:t>
      </w:r>
    </w:p>
    <w:p w:rsidR="007F4918" w:rsidRDefault="007F4918" w:rsidP="007F4918">
      <w:pPr>
        <w:pStyle w:val="SangriaFrancesaArticulo"/>
      </w:pPr>
      <w:r w:rsidRPr="007F4918">
        <w:rPr>
          <w:rStyle w:val="TextoNormalNegritaCaracter"/>
        </w:rPr>
        <w:t>Artículo 24.2.</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t>Artículo 24.3.</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t>Artículo 24.4.</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t>Artículo 25.1.</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t>Artículo 25.2.</w:t>
      </w:r>
      <w:r w:rsidRPr="007F4918">
        <w:rPr>
          <w:rStyle w:val="TextoNormalCaracter"/>
        </w:rPr>
        <w:t>-</w:t>
      </w:r>
      <w:r>
        <w:t xml:space="preserve"> Sentencia </w:t>
      </w:r>
      <w:hyperlink w:anchor="SENTENCIA_2002_64" w:history="1">
        <w:r w:rsidRPr="007F4918">
          <w:rPr>
            <w:rStyle w:val="TextoNormalCaracter"/>
          </w:rPr>
          <w:t>64/2002</w:t>
        </w:r>
      </w:hyperlink>
      <w:r>
        <w:t>, f. 3.</w:t>
      </w:r>
    </w:p>
    <w:p w:rsidR="007F4918" w:rsidRDefault="007F4918" w:rsidP="007F4918">
      <w:pPr>
        <w:pStyle w:val="SangriaFrancesaArticulo"/>
      </w:pPr>
      <w:r w:rsidRPr="007F4918">
        <w:rPr>
          <w:rStyle w:val="TextoNormalNegritaCaracter"/>
        </w:rPr>
        <w:t>Artículo 27.2.</w:t>
      </w:r>
      <w:r w:rsidRPr="007F4918">
        <w:rPr>
          <w:rStyle w:val="TextoNormalCaracter"/>
        </w:rPr>
        <w:t>-</w:t>
      </w:r>
      <w:r>
        <w:t xml:space="preserve"> Sentencia </w:t>
      </w:r>
      <w:hyperlink w:anchor="SENTENCIA_2002_64" w:history="1">
        <w:r w:rsidRPr="007F4918">
          <w:rPr>
            <w:rStyle w:val="TextoNormalCaracter"/>
          </w:rPr>
          <w:t>64/2002</w:t>
        </w:r>
      </w:hyperlink>
      <w:r>
        <w:t>, f. 7.</w:t>
      </w:r>
    </w:p>
    <w:p w:rsidR="007F4918" w:rsidRDefault="007F4918" w:rsidP="007F4918">
      <w:pPr>
        <w:pStyle w:val="SangriaFrancesaArticulo"/>
      </w:pPr>
      <w:r w:rsidRPr="007F4918">
        <w:rPr>
          <w:rStyle w:val="TextoNormalNegritaCaracter"/>
        </w:rPr>
        <w:t>Artículo 30.1.</w:t>
      </w:r>
      <w:r w:rsidRPr="007F4918">
        <w:rPr>
          <w:rStyle w:val="TextoNormalCaracter"/>
        </w:rPr>
        <w:t>-</w:t>
      </w:r>
      <w:r>
        <w:t xml:space="preserve"> Sentencia </w:t>
      </w:r>
      <w:hyperlink w:anchor="SENTENCIA_2002_64" w:history="1">
        <w:r w:rsidRPr="007F4918">
          <w:rPr>
            <w:rStyle w:val="TextoNormalCaracter"/>
          </w:rPr>
          <w:t>64/2002</w:t>
        </w:r>
      </w:hyperlink>
      <w:r>
        <w:t>, f. 6.</w:t>
      </w:r>
    </w:p>
    <w:p w:rsidR="007F4918" w:rsidRDefault="007F4918" w:rsidP="007F4918">
      <w:pPr>
        <w:pStyle w:val="SangriaFrancesaArticulo"/>
      </w:pPr>
      <w:r w:rsidRPr="007F4918">
        <w:rPr>
          <w:rStyle w:val="TextoNormalNegritaCaracter"/>
        </w:rPr>
        <w:t>Artículo 121.</w:t>
      </w:r>
      <w:r w:rsidRPr="007F4918">
        <w:rPr>
          <w:rStyle w:val="TextoNormalCaracter"/>
        </w:rPr>
        <w:t>-</w:t>
      </w:r>
      <w:r>
        <w:t xml:space="preserve"> Sentencia </w:t>
      </w:r>
      <w:hyperlink w:anchor="SENTENCIA_2002_97" w:history="1">
        <w:r w:rsidRPr="007F4918">
          <w:rPr>
            <w:rStyle w:val="TextoNormalCaracter"/>
          </w:rPr>
          <w:t>97/2002</w:t>
        </w:r>
      </w:hyperlink>
      <w:r>
        <w:t>, f. 5.</w:t>
      </w:r>
    </w:p>
    <w:p w:rsidR="007F4918" w:rsidRDefault="007F4918" w:rsidP="007F4918">
      <w:pPr>
        <w:pStyle w:val="SangriaFrancesaArticulo"/>
      </w:pPr>
      <w:r w:rsidRPr="007F4918">
        <w:rPr>
          <w:rStyle w:val="TextoNormalNegritaCaracter"/>
        </w:rPr>
        <w:t>Artículo 122.1.</w:t>
      </w:r>
      <w:r w:rsidRPr="007F4918">
        <w:rPr>
          <w:rStyle w:val="TextoNormalCaracter"/>
        </w:rPr>
        <w:t>-</w:t>
      </w:r>
      <w:r>
        <w:t xml:space="preserve"> Sentencia </w:t>
      </w:r>
      <w:hyperlink w:anchor="SENTENCIA_2002_97" w:history="1">
        <w:r w:rsidRPr="007F4918">
          <w:rPr>
            <w:rStyle w:val="TextoNormalCaracter"/>
          </w:rPr>
          <w:t>97/2002</w:t>
        </w:r>
      </w:hyperlink>
      <w:r>
        <w:t>, f. 6.</w:t>
      </w:r>
    </w:p>
    <w:p w:rsidR="007F4918" w:rsidRDefault="007F4918" w:rsidP="007F4918">
      <w:pPr>
        <w:pStyle w:val="SangriaFrancesaArticulo"/>
      </w:pPr>
    </w:p>
    <w:p w:rsidR="007F4918" w:rsidRDefault="007F4918" w:rsidP="007F4918">
      <w:pPr>
        <w:pStyle w:val="TextoNormalNegritaCursivandice"/>
      </w:pPr>
      <w:r>
        <w:t>Reglamento del Senado de 3 de mayo de 1994. Texto refundido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67" w:history="1">
        <w:r w:rsidRPr="007F4918">
          <w:rPr>
            <w:rStyle w:val="TextoNormalCaracter"/>
          </w:rPr>
          <w:t>67/2002</w:t>
        </w:r>
      </w:hyperlink>
      <w:r>
        <w:t xml:space="preserve">, f. 3; </w:t>
      </w:r>
      <w:hyperlink w:anchor="SENTENCIA_2002_97" w:history="1">
        <w:r w:rsidRPr="007F4918">
          <w:rPr>
            <w:rStyle w:val="TextoNormalCaracter"/>
          </w:rPr>
          <w:t>97/2002</w:t>
        </w:r>
      </w:hyperlink>
      <w:r>
        <w:t>, f. 5.</w:t>
      </w:r>
    </w:p>
    <w:p w:rsidR="007F4918" w:rsidRDefault="007F4918" w:rsidP="007F4918">
      <w:pPr>
        <w:pStyle w:val="SangriaFrancesaArticulo"/>
      </w:pPr>
      <w:r w:rsidRPr="007F4918">
        <w:rPr>
          <w:rStyle w:val="TextoNormalNegritaCaracter"/>
        </w:rPr>
        <w:t>Artículo 106.1.</w:t>
      </w:r>
      <w:r w:rsidRPr="007F4918">
        <w:rPr>
          <w:rStyle w:val="TextoNormalCaracter"/>
        </w:rPr>
        <w:t>-</w:t>
      </w:r>
      <w:r>
        <w:t xml:space="preserve"> Sentencia </w:t>
      </w:r>
      <w:hyperlink w:anchor="SENTENCIA_2002_97" w:history="1">
        <w:r w:rsidRPr="007F4918">
          <w:rPr>
            <w:rStyle w:val="TextoNormalCaracter"/>
          </w:rPr>
          <w:t>97/2002</w:t>
        </w:r>
      </w:hyperlink>
      <w:r>
        <w:t>, f. 5.</w:t>
      </w:r>
    </w:p>
    <w:p w:rsidR="007F4918" w:rsidRDefault="007F4918" w:rsidP="007F4918">
      <w:pPr>
        <w:pStyle w:val="SangriaFrancesaArticulo"/>
      </w:pPr>
      <w:r w:rsidRPr="007F4918">
        <w:rPr>
          <w:rStyle w:val="TextoNormalNegritaCaracter"/>
        </w:rPr>
        <w:t>Artículo 107.3.</w:t>
      </w:r>
      <w:r w:rsidRPr="007F4918">
        <w:rPr>
          <w:rStyle w:val="TextoNormalCaracter"/>
        </w:rPr>
        <w:t>-</w:t>
      </w:r>
      <w:r>
        <w:t xml:space="preserve"> Sentencia </w:t>
      </w:r>
      <w:hyperlink w:anchor="SENTENCIA_2002_97" w:history="1">
        <w:r w:rsidRPr="007F4918">
          <w:rPr>
            <w:rStyle w:val="TextoNormalCaracter"/>
          </w:rPr>
          <w:t>97/2002</w:t>
        </w:r>
      </w:hyperlink>
      <w:r>
        <w:t>, f. 3.</w:t>
      </w:r>
    </w:p>
    <w:p w:rsidR="007F4918" w:rsidRDefault="007F4918" w:rsidP="007F4918">
      <w:pPr>
        <w:pStyle w:val="SangriaFrancesaArticulo"/>
      </w:pPr>
      <w:r w:rsidRPr="007F4918">
        <w:rPr>
          <w:rStyle w:val="TextoNormalNegritaCaracter"/>
        </w:rPr>
        <w:t>Artículo 123.2.</w:t>
      </w:r>
      <w:r w:rsidRPr="007F4918">
        <w:rPr>
          <w:rStyle w:val="TextoNormalCaracter"/>
        </w:rPr>
        <w:t>-</w:t>
      </w:r>
      <w:r>
        <w:t xml:space="preserve"> Sentencia </w:t>
      </w:r>
      <w:hyperlink w:anchor="SENTENCIA_2002_97" w:history="1">
        <w:r w:rsidRPr="007F4918">
          <w:rPr>
            <w:rStyle w:val="TextoNormalCaracter"/>
          </w:rPr>
          <w:t>97/2002</w:t>
        </w:r>
      </w:hyperlink>
      <w:r>
        <w:t>, f. 3.</w:t>
      </w:r>
    </w:p>
    <w:p w:rsidR="007F4918" w:rsidRDefault="007F4918" w:rsidP="007F4918">
      <w:pPr>
        <w:pStyle w:val="TextoNormal"/>
      </w:pPr>
    </w:p>
    <w:p w:rsidR="007F4918" w:rsidRDefault="007F4918" w:rsidP="007F4918">
      <w:pPr>
        <w:pStyle w:val="SangriaFrancesaArticulo"/>
      </w:pPr>
      <w:bookmarkStart w:id="181" w:name="INDICE22845"/>
    </w:p>
    <w:bookmarkEnd w:id="181"/>
    <w:p w:rsidR="007F4918" w:rsidRDefault="007F4918" w:rsidP="007F4918">
      <w:pPr>
        <w:pStyle w:val="TextoIndiceNivel2"/>
        <w:suppressAutoHyphens/>
      </w:pPr>
      <w:r>
        <w:t>D) Leyes Orgánicas</w:t>
      </w:r>
    </w:p>
    <w:p w:rsidR="007F4918" w:rsidRDefault="007F4918" w:rsidP="007F4918">
      <w:pPr>
        <w:pStyle w:val="TextoIndiceNivel2"/>
      </w:pPr>
    </w:p>
    <w:p w:rsidR="007F4918" w:rsidRDefault="007F4918" w:rsidP="007F4918">
      <w:pPr>
        <w:pStyle w:val="TextoNormalNegritaCursivandice"/>
      </w:pPr>
      <w:r>
        <w:t>Ley Orgánica 1/1979, de 26 de septiembre. General penitenciaria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1" w:history="1">
        <w:r w:rsidRPr="007F4918">
          <w:rPr>
            <w:rStyle w:val="TextoNormalCaracter"/>
          </w:rPr>
          <w:t>71/2002</w:t>
        </w:r>
      </w:hyperlink>
      <w:r>
        <w:t>, f. 1.</w:t>
      </w:r>
    </w:p>
    <w:p w:rsidR="007F4918" w:rsidRDefault="007F4918" w:rsidP="007F4918">
      <w:pPr>
        <w:pStyle w:val="SangriaFrancesaArticulo"/>
      </w:pPr>
      <w:r w:rsidRPr="007F4918">
        <w:rPr>
          <w:rStyle w:val="TextoNormalNegritaCaracter"/>
        </w:rPr>
        <w:t>Artículo 76.2 g).</w:t>
      </w:r>
      <w:r w:rsidRPr="007F4918">
        <w:rPr>
          <w:rStyle w:val="TextoNormalCaracter"/>
        </w:rPr>
        <w:t>-</w:t>
      </w:r>
      <w:r>
        <w:t xml:space="preserve"> Sentencia </w:t>
      </w:r>
      <w:hyperlink w:anchor="SENTENCIA_2002_65" w:history="1">
        <w:r w:rsidRPr="007F4918">
          <w:rPr>
            <w:rStyle w:val="TextoNormalCaracter"/>
          </w:rPr>
          <w:t>65/2002</w:t>
        </w:r>
      </w:hyperlink>
      <w:r>
        <w:t>, f. 4.</w:t>
      </w:r>
    </w:p>
    <w:p w:rsidR="007F4918" w:rsidRDefault="007F4918" w:rsidP="007F4918">
      <w:pPr>
        <w:pStyle w:val="SangriaFrancesaArticulo"/>
      </w:pPr>
    </w:p>
    <w:p w:rsidR="007F4918" w:rsidRDefault="007F4918" w:rsidP="007F4918">
      <w:pPr>
        <w:pStyle w:val="TextoNormalNegritaCursivandice"/>
      </w:pPr>
      <w:r>
        <w:t>Ley Orgánica 8/1980, de 22 de septiembre. Financiación de las Comunidades Autónomas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 5.</w:t>
      </w:r>
    </w:p>
    <w:p w:rsidR="007F4918" w:rsidRDefault="007F4918" w:rsidP="007F4918">
      <w:pPr>
        <w:pStyle w:val="SangriaFrancesaArticulo"/>
      </w:pPr>
      <w:r w:rsidRPr="007F4918">
        <w:rPr>
          <w:rStyle w:val="TextoNormalNegritaCaracter"/>
        </w:rPr>
        <w:t>Artículo 2.1 b).</w:t>
      </w:r>
      <w:r w:rsidRPr="007F4918">
        <w:rPr>
          <w:rStyle w:val="TextoNormalCaracter"/>
        </w:rPr>
        <w:t>-</w:t>
      </w:r>
      <w:r>
        <w:t xml:space="preserve"> Sentencias </w:t>
      </w:r>
      <w:hyperlink w:anchor="SENTENCIA_2002_24" w:history="1">
        <w:r w:rsidRPr="007F4918">
          <w:rPr>
            <w:rStyle w:val="TextoNormalCaracter"/>
          </w:rPr>
          <w:t>24/2002</w:t>
        </w:r>
      </w:hyperlink>
      <w:r>
        <w:t xml:space="preserve">, f. 5; </w:t>
      </w:r>
      <w:hyperlink w:anchor="SENTENCIA_2002_96" w:history="1">
        <w:r w:rsidRPr="007F4918">
          <w:rPr>
            <w:rStyle w:val="TextoNormalCaracter"/>
          </w:rPr>
          <w:t>96/2002</w:t>
        </w:r>
      </w:hyperlink>
      <w:r>
        <w:t>, f. 11.</w:t>
      </w:r>
    </w:p>
    <w:p w:rsidR="007F4918" w:rsidRDefault="007F4918" w:rsidP="007F4918">
      <w:pPr>
        <w:pStyle w:val="SangriaFrancesaArticulo"/>
      </w:pPr>
      <w:r w:rsidRPr="007F4918">
        <w:rPr>
          <w:rStyle w:val="TextoNormalNegritaCaracter"/>
        </w:rPr>
        <w:t>Artículo 6.2.</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r w:rsidRPr="007F4918">
        <w:rPr>
          <w:rStyle w:val="TextoNormalNegritaCaracter"/>
        </w:rPr>
        <w:t>Artículo 6.3.</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p>
    <w:p w:rsidR="007F4918" w:rsidRDefault="007F4918" w:rsidP="007F4918">
      <w:pPr>
        <w:pStyle w:val="TextoNormalNegritaCursivandice"/>
      </w:pPr>
      <w:r>
        <w:t>Ley Orgánica 1/1982, de 5 de mayo. Derecho al honor, a la intimidad personal y familiar y a la propia imagen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7" w:history="1">
        <w:r w:rsidRPr="007F4918">
          <w:rPr>
            <w:rStyle w:val="TextoNormalCaracter"/>
          </w:rPr>
          <w:t>77/2002</w:t>
        </w:r>
      </w:hyperlink>
      <w:r>
        <w:t>, ff. 1, 4, 5.</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 </w:t>
      </w:r>
      <w:hyperlink w:anchor="SENTENCIA_2002_77" w:history="1">
        <w:r w:rsidRPr="007F4918">
          <w:rPr>
            <w:rStyle w:val="TextoNormalCaracter"/>
          </w:rPr>
          <w:t>77/2002</w:t>
        </w:r>
      </w:hyperlink>
      <w:r>
        <w:t>, f. 4, 5.</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Sentencia </w:t>
      </w:r>
      <w:hyperlink w:anchor="SENTENCIA_2002_77" w:history="1">
        <w:r w:rsidRPr="007F4918">
          <w:rPr>
            <w:rStyle w:val="TextoNormalCaracter"/>
          </w:rPr>
          <w:t>77/2002</w:t>
        </w:r>
      </w:hyperlink>
      <w:r>
        <w:t>, ff. 2, 4.</w:t>
      </w:r>
    </w:p>
    <w:p w:rsidR="007F4918" w:rsidRDefault="007F4918" w:rsidP="007F4918">
      <w:pPr>
        <w:pStyle w:val="SangriaFrancesaArticulo"/>
      </w:pPr>
      <w:r w:rsidRPr="007F4918">
        <w:rPr>
          <w:rStyle w:val="TextoNormalNegritaCaracter"/>
        </w:rPr>
        <w:t>Artículo 7.7.</w:t>
      </w:r>
      <w:r w:rsidRPr="007F4918">
        <w:rPr>
          <w:rStyle w:val="TextoNormalCaracter"/>
        </w:rPr>
        <w:t>-</w:t>
      </w:r>
      <w:r>
        <w:t xml:space="preserve"> Sentencia </w:t>
      </w:r>
      <w:hyperlink w:anchor="SENTENCIA_2002_46" w:history="1">
        <w:r w:rsidRPr="007F4918">
          <w:rPr>
            <w:rStyle w:val="TextoNormalCaracter"/>
          </w:rPr>
          <w:t>46/2002</w:t>
        </w:r>
      </w:hyperlink>
      <w:r>
        <w:t>, f. 3.</w:t>
      </w:r>
    </w:p>
    <w:p w:rsidR="007F4918" w:rsidRDefault="007F4918" w:rsidP="007F4918">
      <w:pPr>
        <w:pStyle w:val="SangriaFrancesaArticulo"/>
      </w:pPr>
      <w:r w:rsidRPr="007F4918">
        <w:rPr>
          <w:rStyle w:val="TextoNormalNegritaCaracter"/>
        </w:rPr>
        <w:t>Artículo 8.1.</w:t>
      </w:r>
      <w:r w:rsidRPr="007F4918">
        <w:rPr>
          <w:rStyle w:val="TextoNormalCaracter"/>
        </w:rPr>
        <w:t>-</w:t>
      </w:r>
      <w:r>
        <w:t xml:space="preserve"> Sentencia </w:t>
      </w:r>
      <w:hyperlink w:anchor="SENTENCIA_2002_83" w:history="1">
        <w:r w:rsidRPr="007F4918">
          <w:rPr>
            <w:rStyle w:val="TextoNormalCaracter"/>
          </w:rPr>
          <w:t>83/2002</w:t>
        </w:r>
      </w:hyperlink>
      <w:r>
        <w:t>, f. 2.</w:t>
      </w:r>
    </w:p>
    <w:p w:rsidR="007F4918" w:rsidRDefault="007F4918" w:rsidP="007F4918">
      <w:pPr>
        <w:pStyle w:val="SangriaFrancesaArticulo"/>
      </w:pPr>
      <w:r w:rsidRPr="007F4918">
        <w:rPr>
          <w:rStyle w:val="TextoNormalNegritaCaracter"/>
        </w:rPr>
        <w:t>Artículo 8.2.</w:t>
      </w:r>
      <w:r w:rsidRPr="007F4918">
        <w:rPr>
          <w:rStyle w:val="TextoNormalCaracter"/>
        </w:rPr>
        <w:t>-</w:t>
      </w:r>
      <w:r>
        <w:t xml:space="preserve"> Sentencia </w:t>
      </w:r>
      <w:hyperlink w:anchor="SENTENCIA_2002_83" w:history="1">
        <w:r w:rsidRPr="007F4918">
          <w:rPr>
            <w:rStyle w:val="TextoNormalCaracter"/>
          </w:rPr>
          <w:t>83/2002</w:t>
        </w:r>
      </w:hyperlink>
      <w:r>
        <w:t>, f. 2.</w:t>
      </w:r>
    </w:p>
    <w:p w:rsidR="007F4918" w:rsidRDefault="007F4918" w:rsidP="007F4918">
      <w:pPr>
        <w:pStyle w:val="SangriaFrancesaArticulo"/>
      </w:pPr>
      <w:r w:rsidRPr="007F4918">
        <w:rPr>
          <w:rStyle w:val="TextoNormalNegritaCaracter"/>
        </w:rPr>
        <w:t>Artículo 8.2 a).</w:t>
      </w:r>
      <w:r w:rsidRPr="007F4918">
        <w:rPr>
          <w:rStyle w:val="TextoNormalCaracter"/>
        </w:rPr>
        <w:t>-</w:t>
      </w:r>
      <w:r>
        <w:t xml:space="preserve"> Sentencia </w:t>
      </w:r>
      <w:hyperlink w:anchor="SENTENCIA_2002_83" w:history="1">
        <w:r w:rsidRPr="007F4918">
          <w:rPr>
            <w:rStyle w:val="TextoNormalCaracter"/>
          </w:rPr>
          <w:t>83/2002</w:t>
        </w:r>
      </w:hyperlink>
      <w:r>
        <w:t>, ff. 1, 4.</w:t>
      </w:r>
    </w:p>
    <w:p w:rsidR="007F4918" w:rsidRDefault="007F4918" w:rsidP="007F4918">
      <w:pPr>
        <w:pStyle w:val="SangriaFrancesaArticulo"/>
      </w:pPr>
      <w:r w:rsidRPr="007F4918">
        <w:rPr>
          <w:rStyle w:val="TextoNormalNegritaCaracter"/>
        </w:rPr>
        <w:t>Artículo 9.5.</w:t>
      </w:r>
      <w:r w:rsidRPr="007F4918">
        <w:rPr>
          <w:rStyle w:val="TextoNormalCaracter"/>
        </w:rPr>
        <w:t>-</w:t>
      </w:r>
      <w:r>
        <w:t xml:space="preserve"> Sentencia </w:t>
      </w:r>
      <w:hyperlink w:anchor="SENTENCIA_2002_77" w:history="1">
        <w:r w:rsidRPr="007F4918">
          <w:rPr>
            <w:rStyle w:val="TextoNormalCaracter"/>
          </w:rPr>
          <w:t>77/2002</w:t>
        </w:r>
      </w:hyperlink>
      <w:r>
        <w:t>, ff. 1, 2, 5.</w:t>
      </w:r>
    </w:p>
    <w:p w:rsidR="007F4918" w:rsidRDefault="007F4918" w:rsidP="007F4918">
      <w:pPr>
        <w:pStyle w:val="SangriaFrancesaArticulo"/>
      </w:pPr>
    </w:p>
    <w:p w:rsidR="007F4918" w:rsidRDefault="007F4918" w:rsidP="007F4918">
      <w:pPr>
        <w:pStyle w:val="TextoNormalNegritaCursivandice"/>
      </w:pPr>
      <w:r>
        <w:t>Ley Orgánica 11/1983, de 25 de agosto. Reforma universitaria</w:t>
      </w:r>
    </w:p>
    <w:p w:rsidR="007F4918" w:rsidRDefault="007F4918" w:rsidP="007F4918">
      <w:pPr>
        <w:pStyle w:val="SangriaFrancesaArticulo"/>
      </w:pPr>
      <w:r w:rsidRPr="007F4918">
        <w:rPr>
          <w:rStyle w:val="TextoNormalNegritaCaracter"/>
        </w:rPr>
        <w:t>Artículo 53.</w:t>
      </w:r>
      <w:r w:rsidRPr="007F4918">
        <w:rPr>
          <w:rStyle w:val="TextoNormalCaracter"/>
        </w:rPr>
        <w:t>-</w:t>
      </w:r>
      <w:r>
        <w:t xml:space="preserve"> Sentencia </w:t>
      </w:r>
      <w:hyperlink w:anchor="SENTENCIA_2002_69" w:history="1">
        <w:r w:rsidRPr="007F4918">
          <w:rPr>
            <w:rStyle w:val="TextoNormalCaracter"/>
          </w:rPr>
          <w:t>69/2002</w:t>
        </w:r>
      </w:hyperlink>
      <w:r>
        <w:t>, f. 1.</w:t>
      </w:r>
    </w:p>
    <w:p w:rsidR="007F4918" w:rsidRDefault="007F4918" w:rsidP="007F4918">
      <w:pPr>
        <w:pStyle w:val="SangriaFrancesaArticulo"/>
      </w:pPr>
    </w:p>
    <w:p w:rsidR="007F4918" w:rsidRDefault="007F4918" w:rsidP="007F4918">
      <w:pPr>
        <w:pStyle w:val="TextoNormalNegritaCursivandice"/>
      </w:pPr>
      <w:r>
        <w:t>Ley Orgánica 5/1985, de 19 de junio. Régimen electoral general</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Sentencia </w:t>
      </w:r>
      <w:hyperlink w:anchor="SENTENCIA_2002_80" w:history="1">
        <w:r w:rsidRPr="007F4918">
          <w:rPr>
            <w:rStyle w:val="TextoNormalCaracter"/>
          </w:rPr>
          <w:t>80/2002</w:t>
        </w:r>
      </w:hyperlink>
      <w:r>
        <w:t>, ff. 2, 5 a 7.</w:t>
      </w:r>
    </w:p>
    <w:p w:rsidR="007F4918" w:rsidRDefault="007F4918" w:rsidP="007F4918">
      <w:pPr>
        <w:pStyle w:val="SangriaFrancesaArticulo"/>
      </w:pPr>
      <w:r w:rsidRPr="007F4918">
        <w:rPr>
          <w:rStyle w:val="TextoNormalNegritaCaracter"/>
        </w:rPr>
        <w:t>Título I, capítulo III.</w:t>
      </w:r>
      <w:r w:rsidRPr="007F4918">
        <w:rPr>
          <w:rStyle w:val="TextoNormalCaracter"/>
        </w:rPr>
        <w:t>-</w:t>
      </w:r>
      <w:r>
        <w:t xml:space="preserve"> Sentencia </w:t>
      </w:r>
      <w:hyperlink w:anchor="SENTENCIA_2002_80" w:history="1">
        <w:r w:rsidRPr="007F4918">
          <w:rPr>
            <w:rStyle w:val="TextoNormalCaracter"/>
          </w:rPr>
          <w:t>80/2002</w:t>
        </w:r>
      </w:hyperlink>
      <w:r>
        <w:t>, f. 7.</w:t>
      </w:r>
    </w:p>
    <w:p w:rsidR="007F4918" w:rsidRDefault="007F4918" w:rsidP="007F4918">
      <w:pPr>
        <w:pStyle w:val="SangriaFrancesaArticulo"/>
      </w:pPr>
      <w:r w:rsidRPr="007F4918">
        <w:rPr>
          <w:rStyle w:val="TextoNormalNegritaCaracter"/>
        </w:rPr>
        <w:t>Título I, capítulo VI.</w:t>
      </w:r>
      <w:r w:rsidRPr="007F4918">
        <w:rPr>
          <w:rStyle w:val="TextoNormalCaracter"/>
        </w:rPr>
        <w:t>-</w:t>
      </w:r>
      <w:r>
        <w:t xml:space="preserve"> Sentencia </w:t>
      </w:r>
      <w:hyperlink w:anchor="SENTENCIA_2002_80" w:history="1">
        <w:r w:rsidRPr="007F4918">
          <w:rPr>
            <w:rStyle w:val="TextoNormalCaracter"/>
          </w:rPr>
          <w:t>80/2002</w:t>
        </w:r>
      </w:hyperlink>
      <w:r>
        <w:t>, f. 3.</w:t>
      </w:r>
    </w:p>
    <w:p w:rsidR="007F4918" w:rsidRDefault="007F4918" w:rsidP="007F4918">
      <w:pPr>
        <w:pStyle w:val="SangriaFrancesaArticulo"/>
      </w:pPr>
      <w:r w:rsidRPr="007F4918">
        <w:rPr>
          <w:rStyle w:val="TextoNormalNegritaCaracter"/>
        </w:rPr>
        <w:t>Título II.</w:t>
      </w:r>
      <w:r w:rsidRPr="007F4918">
        <w:rPr>
          <w:rStyle w:val="TextoNormalCaracter"/>
        </w:rPr>
        <w:t>-</w:t>
      </w:r>
      <w:r>
        <w:t xml:space="preserve"> Sentencia </w:t>
      </w:r>
      <w:hyperlink w:anchor="SENTENCIA_2002_64" w:history="1">
        <w:r w:rsidRPr="007F4918">
          <w:rPr>
            <w:rStyle w:val="TextoNormalCaracter"/>
          </w:rPr>
          <w:t>64/2002</w:t>
        </w:r>
      </w:hyperlink>
      <w:r>
        <w:t>, f. 5.</w:t>
      </w:r>
    </w:p>
    <w:p w:rsidR="007F4918" w:rsidRDefault="007F4918" w:rsidP="007F4918">
      <w:pPr>
        <w:pStyle w:val="SangriaFrancesaArticulo"/>
      </w:pPr>
      <w:r w:rsidRPr="007F4918">
        <w:rPr>
          <w:rStyle w:val="TextoNormalNegritaCaracter"/>
        </w:rPr>
        <w:t>Artículos 2 a 7.</w:t>
      </w:r>
      <w:r w:rsidRPr="007F4918">
        <w:rPr>
          <w:rStyle w:val="TextoNormalCaracter"/>
        </w:rPr>
        <w:t>-</w:t>
      </w:r>
      <w:r>
        <w:t xml:space="preserve"> Sentencia </w:t>
      </w:r>
      <w:hyperlink w:anchor="SENTENCIA_2002_80" w:history="1">
        <w:r w:rsidRPr="007F4918">
          <w:rPr>
            <w:rStyle w:val="TextoNormalCaracter"/>
          </w:rPr>
          <w:t>80/2002</w:t>
        </w:r>
      </w:hyperlink>
      <w:r>
        <w:t>, f. 5.</w:t>
      </w:r>
    </w:p>
    <w:p w:rsidR="007F4918" w:rsidRDefault="007F4918" w:rsidP="007F4918">
      <w:pPr>
        <w:pStyle w:val="SangriaFrancesaArticulo"/>
      </w:pPr>
      <w:r w:rsidRPr="007F4918">
        <w:rPr>
          <w:rStyle w:val="TextoNormalNegritaCaracter"/>
        </w:rPr>
        <w:t>Artículo 8.1.</w:t>
      </w:r>
      <w:r w:rsidRPr="007F4918">
        <w:rPr>
          <w:rStyle w:val="TextoNormalCaracter"/>
        </w:rPr>
        <w:t>-</w:t>
      </w:r>
      <w:r>
        <w:t xml:space="preserve"> Sentencia </w:t>
      </w:r>
      <w:hyperlink w:anchor="SENTENCIA_2002_80" w:history="1">
        <w:r w:rsidRPr="007F4918">
          <w:rPr>
            <w:rStyle w:val="TextoNormalCaracter"/>
          </w:rPr>
          <w:t>80/2002</w:t>
        </w:r>
      </w:hyperlink>
      <w:r>
        <w:t>, f. 7.</w:t>
      </w:r>
    </w:p>
    <w:p w:rsidR="007F4918" w:rsidRDefault="007F4918" w:rsidP="007F4918">
      <w:pPr>
        <w:pStyle w:val="SangriaFrancesaArticulo"/>
      </w:pPr>
      <w:r w:rsidRPr="007F4918">
        <w:rPr>
          <w:rStyle w:val="TextoNormalNegritaCaracter"/>
        </w:rPr>
        <w:t>Artículo 108.2.</w:t>
      </w:r>
      <w:r w:rsidRPr="007F4918">
        <w:rPr>
          <w:rStyle w:val="TextoNormalCaracter"/>
        </w:rPr>
        <w:t>-</w:t>
      </w:r>
      <w:r>
        <w:t xml:space="preserve"> Sentencia </w:t>
      </w:r>
      <w:hyperlink w:anchor="SENTENCIA_2002_80" w:history="1">
        <w:r w:rsidRPr="007F4918">
          <w:rPr>
            <w:rStyle w:val="TextoNormalCaracter"/>
          </w:rPr>
          <w:t>80/2002</w:t>
        </w:r>
      </w:hyperlink>
      <w:r>
        <w:t>, f. 3.</w:t>
      </w:r>
    </w:p>
    <w:p w:rsidR="007F4918" w:rsidRDefault="007F4918" w:rsidP="007F4918">
      <w:pPr>
        <w:pStyle w:val="SangriaFrancesaArticulo"/>
      </w:pPr>
      <w:r w:rsidRPr="007F4918">
        <w:rPr>
          <w:rStyle w:val="TextoNormalNegritaCaracter"/>
        </w:rPr>
        <w:t>Artículo 108.8.</w:t>
      </w:r>
      <w:r w:rsidRPr="007F4918">
        <w:rPr>
          <w:rStyle w:val="TextoNormalCaracter"/>
        </w:rPr>
        <w:t>-</w:t>
      </w:r>
      <w:r>
        <w:t xml:space="preserve"> Sentencia </w:t>
      </w:r>
      <w:hyperlink w:anchor="SENTENCIA_2002_80" w:history="1">
        <w:r w:rsidRPr="007F4918">
          <w:rPr>
            <w:rStyle w:val="TextoNormalCaracter"/>
          </w:rPr>
          <w:t>80/2002</w:t>
        </w:r>
      </w:hyperlink>
      <w:r>
        <w:t>, f. 5.</w:t>
      </w:r>
    </w:p>
    <w:p w:rsidR="007F4918" w:rsidRDefault="007F4918" w:rsidP="007F4918">
      <w:pPr>
        <w:pStyle w:val="SangriaFrancesaArticulo"/>
      </w:pPr>
      <w:r w:rsidRPr="007F4918">
        <w:rPr>
          <w:rStyle w:val="TextoNormalNegritaCaracter"/>
        </w:rPr>
        <w:t>Artículo 112.1.</w:t>
      </w:r>
      <w:r w:rsidRPr="007F4918">
        <w:rPr>
          <w:rStyle w:val="TextoNormalCaracter"/>
        </w:rPr>
        <w:t>-</w:t>
      </w:r>
      <w:r>
        <w:t xml:space="preserve"> Sentencia </w:t>
      </w:r>
      <w:hyperlink w:anchor="SENTENCIA_2002_80" w:history="1">
        <w:r w:rsidRPr="007F4918">
          <w:rPr>
            <w:rStyle w:val="TextoNormalCaracter"/>
          </w:rPr>
          <w:t>80/2002</w:t>
        </w:r>
      </w:hyperlink>
      <w:r>
        <w:t>, f. 3.</w:t>
      </w:r>
    </w:p>
    <w:p w:rsidR="007F4918" w:rsidRDefault="007F4918" w:rsidP="007F4918">
      <w:pPr>
        <w:pStyle w:val="SangriaFrancesaArticulo"/>
      </w:pPr>
      <w:r w:rsidRPr="007F4918">
        <w:rPr>
          <w:rStyle w:val="TextoNormalNegritaCaracter"/>
        </w:rPr>
        <w:t>Artículo 112.5.</w:t>
      </w:r>
      <w:r w:rsidRPr="007F4918">
        <w:rPr>
          <w:rStyle w:val="TextoNormalCaracter"/>
        </w:rPr>
        <w:t>-</w:t>
      </w:r>
      <w:r>
        <w:t xml:space="preserve"> Sentencia </w:t>
      </w:r>
      <w:hyperlink w:anchor="SENTENCIA_2002_80" w:history="1">
        <w:r w:rsidRPr="007F4918">
          <w:rPr>
            <w:rStyle w:val="TextoNormalCaracter"/>
          </w:rPr>
          <w:t>80/2002</w:t>
        </w:r>
      </w:hyperlink>
      <w:r>
        <w:t>, f. 3.</w:t>
      </w:r>
    </w:p>
    <w:p w:rsidR="007F4918" w:rsidRDefault="007F4918" w:rsidP="007F4918">
      <w:pPr>
        <w:pStyle w:val="SangriaFrancesaArticulo"/>
      </w:pPr>
      <w:r w:rsidRPr="007F4918">
        <w:rPr>
          <w:rStyle w:val="TextoNormalNegritaCaracter"/>
        </w:rPr>
        <w:t>Artículo 116.2.</w:t>
      </w:r>
      <w:r w:rsidRPr="007F4918">
        <w:rPr>
          <w:rStyle w:val="TextoNormalCaracter"/>
        </w:rPr>
        <w:t>-</w:t>
      </w:r>
      <w:r>
        <w:t xml:space="preserve"> Sentencia </w:t>
      </w:r>
      <w:hyperlink w:anchor="SENTENCIA_2002_80" w:history="1">
        <w:r w:rsidRPr="007F4918">
          <w:rPr>
            <w:rStyle w:val="TextoNormalCaracter"/>
          </w:rPr>
          <w:t>80/2002</w:t>
        </w:r>
      </w:hyperlink>
      <w:r>
        <w:t>, f. 3.</w:t>
      </w:r>
    </w:p>
    <w:p w:rsidR="007F4918" w:rsidRDefault="007F4918" w:rsidP="007F4918">
      <w:pPr>
        <w:pStyle w:val="SangriaFrancesaArticulo"/>
      </w:pPr>
      <w:r w:rsidRPr="007F4918">
        <w:rPr>
          <w:rStyle w:val="TextoNormalNegritaCaracter"/>
        </w:rPr>
        <w:t>Artículo 120.</w:t>
      </w:r>
      <w:r w:rsidRPr="007F4918">
        <w:rPr>
          <w:rStyle w:val="TextoNormalCaracter"/>
        </w:rPr>
        <w:t>-</w:t>
      </w:r>
      <w:r>
        <w:t xml:space="preserve"> Sentencia </w:t>
      </w:r>
      <w:hyperlink w:anchor="SENTENCIA_2002_80" w:history="1">
        <w:r w:rsidRPr="007F4918">
          <w:rPr>
            <w:rStyle w:val="TextoNormalCaracter"/>
          </w:rPr>
          <w:t>80/2002</w:t>
        </w:r>
      </w:hyperlink>
      <w:r>
        <w:t>, f. 3.</w:t>
      </w:r>
    </w:p>
    <w:p w:rsidR="007F4918" w:rsidRDefault="007F4918" w:rsidP="007F4918">
      <w:pPr>
        <w:pStyle w:val="SangriaFrancesaArticulo"/>
      </w:pPr>
    </w:p>
    <w:p w:rsidR="007F4918" w:rsidRDefault="007F4918" w:rsidP="007F4918">
      <w:pPr>
        <w:pStyle w:val="TextoNormalNegritaCursivandice"/>
      </w:pPr>
      <w:r>
        <w:t>Ley Orgánica 6/1985, de 1 de julio. Poder judicial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74" w:history="1">
        <w:r w:rsidRPr="007F4918">
          <w:rPr>
            <w:rStyle w:val="TextoNormalCaracter"/>
          </w:rPr>
          <w:t>74/2002</w:t>
        </w:r>
      </w:hyperlink>
      <w:r>
        <w:t xml:space="preserve">, f. 2; </w:t>
      </w:r>
      <w:hyperlink w:anchor="SENTENCIA_2002_79" w:history="1">
        <w:r w:rsidRPr="007F4918">
          <w:rPr>
            <w:rStyle w:val="TextoNormalCaracter"/>
          </w:rPr>
          <w:t>79/2002</w:t>
        </w:r>
      </w:hyperlink>
      <w:r>
        <w:t>, f. 7, VP.</w:t>
      </w:r>
    </w:p>
    <w:p w:rsidR="007F4918" w:rsidRDefault="007F4918" w:rsidP="007F4918">
      <w:pPr>
        <w:pStyle w:val="SangriaIzquierdaArticulo"/>
      </w:pPr>
      <w:r>
        <w:t xml:space="preserve">Auto </w:t>
      </w:r>
      <w:hyperlink w:anchor="AUTO_2002_33" w:history="1">
        <w:r w:rsidRPr="007F4918">
          <w:rPr>
            <w:rStyle w:val="TextoNormalCaracter"/>
          </w:rPr>
          <w:t>33/2002</w:t>
        </w:r>
      </w:hyperlink>
      <w:r>
        <w:t>.</w:t>
      </w:r>
    </w:p>
    <w:p w:rsidR="007F4918" w:rsidRDefault="007F4918" w:rsidP="007F4918">
      <w:pPr>
        <w:pStyle w:val="SangriaFrancesaArticulo"/>
      </w:pPr>
      <w:r w:rsidRPr="007F4918">
        <w:rPr>
          <w:rStyle w:val="TextoNormalNegritaCaracter"/>
        </w:rPr>
        <w:t>Libro V.</w:t>
      </w:r>
      <w:r w:rsidRPr="007F4918">
        <w:rPr>
          <w:rStyle w:val="TextoNormalCaracter"/>
        </w:rPr>
        <w:t>-</w:t>
      </w:r>
      <w:r>
        <w:t xml:space="preserve"> Sentencia </w:t>
      </w:r>
      <w:hyperlink w:anchor="SENTENCIA_2002_79" w:history="1">
        <w:r w:rsidRPr="007F4918">
          <w:rPr>
            <w:rStyle w:val="TextoNormalCaracter"/>
          </w:rPr>
          <w:t>79/2002</w:t>
        </w:r>
      </w:hyperlink>
      <w:r>
        <w:t>, f. 6.</w:t>
      </w:r>
    </w:p>
    <w:p w:rsidR="007F4918" w:rsidRDefault="007F4918" w:rsidP="007F4918">
      <w:pPr>
        <w:pStyle w:val="SangriaFrancesaArticulo"/>
      </w:pPr>
      <w:r w:rsidRPr="007F4918">
        <w:rPr>
          <w:rStyle w:val="TextoNormalNegritaCaracter"/>
        </w:rPr>
        <w:t>Libro V, título V.</w:t>
      </w:r>
      <w:r w:rsidRPr="007F4918">
        <w:rPr>
          <w:rStyle w:val="TextoNormalCaracter"/>
        </w:rPr>
        <w:t>-</w:t>
      </w:r>
      <w:r>
        <w:t xml:space="preserve"> Sentencia </w:t>
      </w:r>
      <w:hyperlink w:anchor="SENTENCIA_2002_79" w:history="1">
        <w:r w:rsidRPr="007F4918">
          <w:rPr>
            <w:rStyle w:val="TextoNormalCaracter"/>
          </w:rPr>
          <w:t>79/2002</w:t>
        </w:r>
      </w:hyperlink>
      <w:r>
        <w:t>, f. 2.</w:t>
      </w:r>
    </w:p>
    <w:p w:rsidR="007F4918" w:rsidRDefault="007F4918" w:rsidP="007F4918">
      <w:pPr>
        <w:pStyle w:val="SangriaFrancesaArticulo"/>
      </w:pPr>
      <w:r w:rsidRPr="007F4918">
        <w:rPr>
          <w:rStyle w:val="TextoNormalNegritaCaracter"/>
        </w:rPr>
        <w:t>Artículo 5.1.</w:t>
      </w:r>
      <w:r w:rsidRPr="007F4918">
        <w:rPr>
          <w:rStyle w:val="TextoNormalCaracter"/>
        </w:rPr>
        <w:t>-</w:t>
      </w:r>
      <w:r>
        <w:t xml:space="preserve"> Sentencia </w:t>
      </w:r>
      <w:hyperlink w:anchor="SENTENCIA_2002_50" w:history="1">
        <w:r w:rsidRPr="007F4918">
          <w:rPr>
            <w:rStyle w:val="TextoNormalCaracter"/>
          </w:rPr>
          <w:t>50/2002</w:t>
        </w:r>
      </w:hyperlink>
      <w:r>
        <w:t>, VP.</w:t>
      </w:r>
    </w:p>
    <w:p w:rsidR="007F4918" w:rsidRDefault="007F4918" w:rsidP="007F4918">
      <w:pPr>
        <w:pStyle w:val="SangriaFrancesaArticulo"/>
      </w:pPr>
      <w:r w:rsidRPr="007F4918">
        <w:rPr>
          <w:rStyle w:val="TextoNormalNegritaCaracter"/>
        </w:rPr>
        <w:t>Artículo 9.3.</w:t>
      </w:r>
      <w:r w:rsidRPr="007F4918">
        <w:rPr>
          <w:rStyle w:val="TextoNormalCaracter"/>
        </w:rPr>
        <w:t>-</w:t>
      </w:r>
      <w:r>
        <w:t xml:space="preserve"> Sentencia </w:t>
      </w:r>
      <w:hyperlink w:anchor="SENTENCIA_2002_63" w:history="1">
        <w:r w:rsidRPr="007F4918">
          <w:rPr>
            <w:rStyle w:val="TextoNormalCaracter"/>
          </w:rPr>
          <w:t>63/2002</w:t>
        </w:r>
      </w:hyperlink>
      <w:r>
        <w:t>, f. 4.</w:t>
      </w:r>
    </w:p>
    <w:p w:rsidR="007F4918" w:rsidRDefault="007F4918" w:rsidP="007F4918">
      <w:pPr>
        <w:pStyle w:val="SangriaFrancesaArticulo"/>
      </w:pPr>
      <w:r w:rsidRPr="007F4918">
        <w:rPr>
          <w:rStyle w:val="TextoNormalNegritaCaracter"/>
        </w:rPr>
        <w:t>Artículo 9.4.</w:t>
      </w:r>
      <w:r w:rsidRPr="007F4918">
        <w:rPr>
          <w:rStyle w:val="TextoNormalCaracter"/>
        </w:rPr>
        <w:t>-</w:t>
      </w:r>
      <w:r>
        <w:t xml:space="preserve"> Sentencia </w:t>
      </w:r>
      <w:hyperlink w:anchor="SENTENCIA_2002_92" w:history="1">
        <w:r w:rsidRPr="007F4918">
          <w:rPr>
            <w:rStyle w:val="TextoNormalCaracter"/>
          </w:rPr>
          <w:t>92/2002</w:t>
        </w:r>
      </w:hyperlink>
      <w:r>
        <w:t>, f. 3.</w:t>
      </w:r>
    </w:p>
    <w:p w:rsidR="007F4918" w:rsidRDefault="007F4918" w:rsidP="007F4918">
      <w:pPr>
        <w:pStyle w:val="SangriaFrancesaArticulo"/>
      </w:pPr>
      <w:r w:rsidRPr="007F4918">
        <w:rPr>
          <w:rStyle w:val="TextoNormalNegritaCaracter"/>
        </w:rPr>
        <w:t>Artículo 9.6.</w:t>
      </w:r>
      <w:r w:rsidRPr="007F4918">
        <w:rPr>
          <w:rStyle w:val="TextoNormalCaracter"/>
        </w:rPr>
        <w:t>-</w:t>
      </w:r>
      <w:r>
        <w:t xml:space="preserve"> Sentencia </w:t>
      </w:r>
      <w:hyperlink w:anchor="SENTENCIA_2002_86" w:history="1">
        <w:r w:rsidRPr="007F4918">
          <w:rPr>
            <w:rStyle w:val="TextoNormalCaracter"/>
          </w:rPr>
          <w:t>86/2002</w:t>
        </w:r>
      </w:hyperlink>
      <w:r>
        <w:t>, f. 3.</w:t>
      </w:r>
    </w:p>
    <w:p w:rsidR="007F4918" w:rsidRDefault="007F4918" w:rsidP="007F4918">
      <w:pPr>
        <w:pStyle w:val="SangriaFrancesaArticulo"/>
      </w:pPr>
      <w:r w:rsidRPr="007F4918">
        <w:rPr>
          <w:rStyle w:val="TextoNormalNegritaCaracter"/>
        </w:rPr>
        <w:t>Artículo 10.</w:t>
      </w:r>
      <w:r w:rsidRPr="007F4918">
        <w:rPr>
          <w:rStyle w:val="TextoNormalCaracter"/>
        </w:rPr>
        <w:t>-</w:t>
      </w:r>
      <w:r>
        <w:t xml:space="preserve"> Sentencia </w:t>
      </w:r>
      <w:hyperlink w:anchor="SENTENCIA_2002_63" w:history="1">
        <w:r w:rsidRPr="007F4918">
          <w:rPr>
            <w:rStyle w:val="TextoNormalCaracter"/>
          </w:rPr>
          <w:t>63/2002</w:t>
        </w:r>
      </w:hyperlink>
      <w:r>
        <w:t>, f. 4.</w:t>
      </w:r>
    </w:p>
    <w:p w:rsidR="007F4918" w:rsidRDefault="007F4918" w:rsidP="007F4918">
      <w:pPr>
        <w:pStyle w:val="SangriaFrancesaArticulo"/>
      </w:pPr>
      <w:r w:rsidRPr="007F4918">
        <w:rPr>
          <w:rStyle w:val="TextoNormalNegritaCaracter"/>
        </w:rPr>
        <w:t>Artículo 10.1.</w:t>
      </w:r>
      <w:r w:rsidRPr="007F4918">
        <w:rPr>
          <w:rStyle w:val="TextoNormalCaracter"/>
        </w:rPr>
        <w:t>-</w:t>
      </w:r>
      <w:r>
        <w:t xml:space="preserve"> Sentencia </w:t>
      </w:r>
      <w:hyperlink w:anchor="SENTENCIA_2002_63" w:history="1">
        <w:r w:rsidRPr="007F4918">
          <w:rPr>
            <w:rStyle w:val="TextoNormalCaracter"/>
          </w:rPr>
          <w:t>63/2002</w:t>
        </w:r>
      </w:hyperlink>
      <w:r>
        <w:t>, f. 4.</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 </w:t>
      </w:r>
      <w:hyperlink w:anchor="SENTENCIA_2002_45" w:history="1">
        <w:r w:rsidRPr="007F4918">
          <w:rPr>
            <w:rStyle w:val="TextoNormalCaracter"/>
          </w:rPr>
          <w:t>45/2002</w:t>
        </w:r>
      </w:hyperlink>
      <w:r>
        <w:t>, f. 5.</w:t>
      </w:r>
    </w:p>
    <w:p w:rsidR="007F4918" w:rsidRDefault="007F4918" w:rsidP="007F4918">
      <w:pPr>
        <w:pStyle w:val="SangriaFrancesaArticulo"/>
      </w:pPr>
      <w:r w:rsidRPr="007F4918">
        <w:rPr>
          <w:rStyle w:val="TextoNormalNegritaCaracter"/>
        </w:rPr>
        <w:t>Artículo 11.1.</w:t>
      </w:r>
      <w:r w:rsidRPr="007F4918">
        <w:rPr>
          <w:rStyle w:val="TextoNormalCaracter"/>
        </w:rPr>
        <w:t>-</w:t>
      </w:r>
      <w:r>
        <w:t xml:space="preserve"> Sentencia </w:t>
      </w:r>
      <w:hyperlink w:anchor="SENTENCIA_2002_82" w:history="1">
        <w:r w:rsidRPr="007F4918">
          <w:rPr>
            <w:rStyle w:val="TextoNormalCaracter"/>
          </w:rPr>
          <w:t>82/2002</w:t>
        </w:r>
      </w:hyperlink>
      <w:r>
        <w:t>, ff. 7, 8.</w:t>
      </w:r>
    </w:p>
    <w:p w:rsidR="007F4918" w:rsidRDefault="007F4918" w:rsidP="007F4918">
      <w:pPr>
        <w:pStyle w:val="SangriaFrancesaArticulo"/>
      </w:pPr>
      <w:r w:rsidRPr="007F4918">
        <w:rPr>
          <w:rStyle w:val="TextoNormalNegritaCaracter"/>
        </w:rPr>
        <w:t>Artículo 11.3.</w:t>
      </w:r>
      <w:r w:rsidRPr="007F4918">
        <w:rPr>
          <w:rStyle w:val="TextoNormalCaracter"/>
        </w:rPr>
        <w:t>-</w:t>
      </w:r>
      <w:r>
        <w:t xml:space="preserve"> Sentencia </w:t>
      </w:r>
      <w:hyperlink w:anchor="SENTENCIA_2002_45" w:history="1">
        <w:r w:rsidRPr="007F4918">
          <w:rPr>
            <w:rStyle w:val="TextoNormalCaracter"/>
          </w:rPr>
          <w:t>45/2002</w:t>
        </w:r>
      </w:hyperlink>
      <w:r>
        <w:t>, f. 2.</w:t>
      </w:r>
    </w:p>
    <w:p w:rsidR="007F4918" w:rsidRDefault="007F4918" w:rsidP="007F4918">
      <w:pPr>
        <w:pStyle w:val="SangriaFrancesaArticulo"/>
      </w:pPr>
      <w:r w:rsidRPr="007F4918">
        <w:rPr>
          <w:rStyle w:val="TextoNormalNegritaCaracter"/>
        </w:rPr>
        <w:t>Artículo 24.</w:t>
      </w:r>
      <w:r w:rsidRPr="007F4918">
        <w:rPr>
          <w:rStyle w:val="TextoNormalCaracter"/>
        </w:rPr>
        <w:t>-</w:t>
      </w:r>
      <w:r>
        <w:t xml:space="preserve"> Sentencia </w:t>
      </w:r>
      <w:hyperlink w:anchor="SENTENCIA_2002_92" w:history="1">
        <w:r w:rsidRPr="007F4918">
          <w:rPr>
            <w:rStyle w:val="TextoNormalCaracter"/>
          </w:rPr>
          <w:t>92/2002</w:t>
        </w:r>
      </w:hyperlink>
      <w:r>
        <w:t>, f. 3.</w:t>
      </w:r>
    </w:p>
    <w:p w:rsidR="007F4918" w:rsidRDefault="007F4918" w:rsidP="007F4918">
      <w:pPr>
        <w:pStyle w:val="SangriaFrancesaArticulo"/>
      </w:pPr>
      <w:r w:rsidRPr="007F4918">
        <w:rPr>
          <w:rStyle w:val="TextoNormalNegritaCaracter"/>
        </w:rPr>
        <w:t>Artículo 42.</w:t>
      </w:r>
      <w:r w:rsidRPr="007F4918">
        <w:rPr>
          <w:rStyle w:val="TextoNormalCaracter"/>
        </w:rPr>
        <w:t>-</w:t>
      </w:r>
      <w:r>
        <w:t xml:space="preserve"> Sentencias </w:t>
      </w:r>
      <w:hyperlink w:anchor="SENTENCIA_2002_86" w:history="1">
        <w:r w:rsidRPr="007F4918">
          <w:rPr>
            <w:rStyle w:val="TextoNormalCaracter"/>
          </w:rPr>
          <w:t>86/2002</w:t>
        </w:r>
      </w:hyperlink>
      <w:r>
        <w:t xml:space="preserve">, ff. 1, 3; </w:t>
      </w:r>
      <w:hyperlink w:anchor="SENTENCIA_2002_89" w:history="1">
        <w:r w:rsidRPr="007F4918">
          <w:rPr>
            <w:rStyle w:val="TextoNormalCaracter"/>
          </w:rPr>
          <w:t>89/2002</w:t>
        </w:r>
      </w:hyperlink>
      <w:r>
        <w:t>, f. 5.</w:t>
      </w:r>
    </w:p>
    <w:p w:rsidR="007F4918" w:rsidRDefault="007F4918" w:rsidP="007F4918">
      <w:pPr>
        <w:pStyle w:val="SangriaFrancesaArticulo"/>
      </w:pPr>
      <w:r w:rsidRPr="007F4918">
        <w:rPr>
          <w:rStyle w:val="TextoNormalNegritaCaracter"/>
        </w:rPr>
        <w:t>Artículo 44.</w:t>
      </w:r>
      <w:r w:rsidRPr="007F4918">
        <w:rPr>
          <w:rStyle w:val="TextoNormalCaracter"/>
        </w:rPr>
        <w:t>-</w:t>
      </w:r>
      <w:r>
        <w:t xml:space="preserve"> Sentencia </w:t>
      </w:r>
      <w:hyperlink w:anchor="SENTENCIA_2002_63" w:history="1">
        <w:r w:rsidRPr="007F4918">
          <w:rPr>
            <w:rStyle w:val="TextoNormalCaracter"/>
          </w:rPr>
          <w:t>63/2002</w:t>
        </w:r>
      </w:hyperlink>
      <w:r>
        <w:t>, f. 4.</w:t>
      </w:r>
    </w:p>
    <w:p w:rsidR="007F4918" w:rsidRDefault="007F4918" w:rsidP="007F4918">
      <w:pPr>
        <w:pStyle w:val="SangriaFrancesaArticulo"/>
      </w:pPr>
      <w:r w:rsidRPr="007F4918">
        <w:rPr>
          <w:rStyle w:val="TextoNormalNegritaCaracter"/>
        </w:rPr>
        <w:t>Artículo 50.</w:t>
      </w:r>
      <w:r w:rsidRPr="007F4918">
        <w:rPr>
          <w:rStyle w:val="TextoNormalCaracter"/>
        </w:rPr>
        <w:t>-</w:t>
      </w:r>
      <w:r>
        <w:t xml:space="preserve"> Sentencia </w:t>
      </w:r>
      <w:hyperlink w:anchor="SENTENCIA_2002_86" w:history="1">
        <w:r w:rsidRPr="007F4918">
          <w:rPr>
            <w:rStyle w:val="TextoNormalCaracter"/>
          </w:rPr>
          <w:t>86/2002</w:t>
        </w:r>
      </w:hyperlink>
      <w:r>
        <w:t>, f. 3.</w:t>
      </w:r>
    </w:p>
    <w:p w:rsidR="007F4918" w:rsidRDefault="007F4918" w:rsidP="007F4918">
      <w:pPr>
        <w:pStyle w:val="SangriaFrancesaArticulo"/>
      </w:pPr>
      <w:r w:rsidRPr="007F4918">
        <w:rPr>
          <w:rStyle w:val="TextoNormalNegritaCaracter"/>
        </w:rPr>
        <w:t>Artículo 50.1.</w:t>
      </w:r>
      <w:r w:rsidRPr="007F4918">
        <w:rPr>
          <w:rStyle w:val="TextoNormalCaracter"/>
        </w:rPr>
        <w:t>-</w:t>
      </w:r>
      <w:r>
        <w:t xml:space="preserve"> Sentencia </w:t>
      </w:r>
      <w:hyperlink w:anchor="SENTENCIA_2002_86" w:history="1">
        <w:r w:rsidRPr="007F4918">
          <w:rPr>
            <w:rStyle w:val="TextoNormalCaracter"/>
          </w:rPr>
          <w:t>86/2002</w:t>
        </w:r>
      </w:hyperlink>
      <w:r>
        <w:t>, f. 4.</w:t>
      </w:r>
    </w:p>
    <w:p w:rsidR="007F4918" w:rsidRDefault="007F4918" w:rsidP="007F4918">
      <w:pPr>
        <w:pStyle w:val="SangriaFrancesaArticulo"/>
      </w:pPr>
      <w:r w:rsidRPr="007F4918">
        <w:rPr>
          <w:rStyle w:val="TextoNormalNegritaCaracter"/>
        </w:rPr>
        <w:t>Artículo 87.2.</w:t>
      </w:r>
      <w:r w:rsidRPr="007F4918">
        <w:rPr>
          <w:rStyle w:val="TextoNormalCaracter"/>
        </w:rPr>
        <w:t>-</w:t>
      </w:r>
      <w:r>
        <w:t xml:space="preserve"> Sentencias </w:t>
      </w:r>
      <w:hyperlink w:anchor="SENTENCIA_2002_10" w:history="1">
        <w:r w:rsidRPr="007F4918">
          <w:rPr>
            <w:rStyle w:val="TextoNormalCaracter"/>
          </w:rPr>
          <w:t>10/2002</w:t>
        </w:r>
      </w:hyperlink>
      <w:r>
        <w:t xml:space="preserve">, f. 6; </w:t>
      </w:r>
      <w:hyperlink w:anchor="SENTENCIA_2002_27" w:history="1">
        <w:r w:rsidRPr="007F4918">
          <w:rPr>
            <w:rStyle w:val="TextoNormalCaracter"/>
          </w:rPr>
          <w:t>27/2002</w:t>
        </w:r>
      </w:hyperlink>
      <w:r>
        <w:t xml:space="preserve">, ff. 1, 4; </w:t>
      </w:r>
      <w:hyperlink w:anchor="SENTENCIA_2002_92" w:history="1">
        <w:r w:rsidRPr="007F4918">
          <w:rPr>
            <w:rStyle w:val="TextoNormalCaracter"/>
          </w:rPr>
          <w:t>92/2002</w:t>
        </w:r>
      </w:hyperlink>
      <w:r>
        <w:t>, ff. 1 a 4.</w:t>
      </w:r>
    </w:p>
    <w:p w:rsidR="007F4918" w:rsidRDefault="007F4918" w:rsidP="007F4918">
      <w:pPr>
        <w:pStyle w:val="SangriaFrancesaArticulo"/>
      </w:pPr>
      <w:r w:rsidRPr="007F4918">
        <w:rPr>
          <w:rStyle w:val="TextoNormalNegritaCaracter"/>
        </w:rPr>
        <w:t>Artículo 122.</w:t>
      </w:r>
      <w:r w:rsidRPr="007F4918">
        <w:rPr>
          <w:rStyle w:val="TextoNormalCaracter"/>
        </w:rPr>
        <w:t>-</w:t>
      </w:r>
      <w:r>
        <w:t xml:space="preserve"> Sentencia </w:t>
      </w:r>
      <w:hyperlink w:anchor="SENTENCIA_2002_51" w:history="1">
        <w:r w:rsidRPr="007F4918">
          <w:rPr>
            <w:rStyle w:val="TextoNormalCaracter"/>
          </w:rPr>
          <w:t>51/2002</w:t>
        </w:r>
      </w:hyperlink>
      <w:r>
        <w:t>, f. 3.</w:t>
      </w:r>
    </w:p>
    <w:p w:rsidR="007F4918" w:rsidRDefault="007F4918" w:rsidP="007F4918">
      <w:pPr>
        <w:pStyle w:val="SangriaFrancesaArticulo"/>
      </w:pPr>
      <w:r w:rsidRPr="007F4918">
        <w:rPr>
          <w:rStyle w:val="TextoNormalNegritaCaracter"/>
        </w:rPr>
        <w:t>Artículo 219.6.</w:t>
      </w:r>
      <w:r w:rsidRPr="007F4918">
        <w:rPr>
          <w:rStyle w:val="TextoNormalCaracter"/>
        </w:rPr>
        <w:t>-</w:t>
      </w:r>
      <w:r>
        <w:t xml:space="preserve"> Sentencia </w:t>
      </w:r>
      <w:hyperlink w:anchor="SENTENCIA_2002_51" w:history="1">
        <w:r w:rsidRPr="007F4918">
          <w:rPr>
            <w:rStyle w:val="TextoNormalCaracter"/>
          </w:rPr>
          <w:t>51/2002</w:t>
        </w:r>
      </w:hyperlink>
      <w:r>
        <w:t>, ff. 1, 3.</w:t>
      </w:r>
    </w:p>
    <w:p w:rsidR="007F4918" w:rsidRDefault="007F4918" w:rsidP="007F4918">
      <w:pPr>
        <w:pStyle w:val="SangriaFrancesaArticulo"/>
      </w:pPr>
      <w:r w:rsidRPr="007F4918">
        <w:rPr>
          <w:rStyle w:val="TextoNormalNegritaCaracter"/>
        </w:rPr>
        <w:t>Artículo 222.</w:t>
      </w:r>
      <w:r w:rsidRPr="007F4918">
        <w:rPr>
          <w:rStyle w:val="TextoNormalCaracter"/>
        </w:rPr>
        <w:t>-</w:t>
      </w:r>
      <w:r>
        <w:t xml:space="preserve"> Sentencia </w:t>
      </w:r>
      <w:hyperlink w:anchor="SENTENCIA_2002_51" w:history="1">
        <w:r w:rsidRPr="007F4918">
          <w:rPr>
            <w:rStyle w:val="TextoNormalCaracter"/>
          </w:rPr>
          <w:t>51/2002</w:t>
        </w:r>
      </w:hyperlink>
      <w:r>
        <w:t>, f. 3.</w:t>
      </w:r>
    </w:p>
    <w:p w:rsidR="007F4918" w:rsidRDefault="007F4918" w:rsidP="007F4918">
      <w:pPr>
        <w:pStyle w:val="SangriaFrancesaArticulo"/>
      </w:pPr>
      <w:r w:rsidRPr="007F4918">
        <w:rPr>
          <w:rStyle w:val="TextoNormalNegritaCaracter"/>
        </w:rPr>
        <w:t>Artículo 233.</w:t>
      </w:r>
      <w:r w:rsidRPr="007F4918">
        <w:rPr>
          <w:rStyle w:val="TextoNormalCaracter"/>
        </w:rPr>
        <w:t>-</w:t>
      </w:r>
      <w:r>
        <w:t xml:space="preserve"> Sentencia </w:t>
      </w:r>
      <w:hyperlink w:anchor="SENTENCIA_2002_51" w:history="1">
        <w:r w:rsidRPr="007F4918">
          <w:rPr>
            <w:rStyle w:val="TextoNormalCaracter"/>
          </w:rPr>
          <w:t>51/2002</w:t>
        </w:r>
      </w:hyperlink>
      <w:r>
        <w:t>, f. 3.</w:t>
      </w:r>
    </w:p>
    <w:p w:rsidR="007F4918" w:rsidRDefault="007F4918" w:rsidP="007F4918">
      <w:pPr>
        <w:pStyle w:val="SangriaFrancesaArticulo"/>
      </w:pPr>
      <w:r w:rsidRPr="007F4918">
        <w:rPr>
          <w:rStyle w:val="TextoNormalNegritaCaracter"/>
        </w:rPr>
        <w:t>Artículo 238.3.</w:t>
      </w:r>
      <w:r w:rsidRPr="007F4918">
        <w:rPr>
          <w:rStyle w:val="TextoNormalCaracter"/>
        </w:rPr>
        <w:t>-</w:t>
      </w:r>
      <w:r>
        <w:t xml:space="preserve"> Sentencia </w:t>
      </w:r>
      <w:hyperlink w:anchor="SENTENCIA_2002_82" w:history="1">
        <w:r w:rsidRPr="007F4918">
          <w:rPr>
            <w:rStyle w:val="TextoNormalCaracter"/>
          </w:rPr>
          <w:t>82/2002</w:t>
        </w:r>
      </w:hyperlink>
      <w:r>
        <w:t>, f. 7.</w:t>
      </w:r>
    </w:p>
    <w:p w:rsidR="007F4918" w:rsidRDefault="007F4918" w:rsidP="007F4918">
      <w:pPr>
        <w:pStyle w:val="SangriaFrancesaArticulo"/>
      </w:pPr>
      <w:r w:rsidRPr="007F4918">
        <w:rPr>
          <w:rStyle w:val="TextoNormalNegritaCaracter"/>
        </w:rPr>
        <w:t>Artículo 240</w:t>
      </w:r>
      <w:r>
        <w:t xml:space="preserve"> </w:t>
      </w:r>
      <w:r w:rsidRPr="007F4918">
        <w:rPr>
          <w:rStyle w:val="TextoNormalCaracter"/>
        </w:rPr>
        <w:t>(redactado por la Ley Orgánica 5/1997, de 4 de diciembre)</w:t>
      </w:r>
      <w:r w:rsidRPr="007F4918">
        <w:rPr>
          <w:rStyle w:val="TextoNormalNegritaCaracter"/>
        </w:rPr>
        <w:t>.</w:t>
      </w:r>
      <w:r w:rsidRPr="007F4918">
        <w:rPr>
          <w:rStyle w:val="TextoNormalCaracter"/>
        </w:rPr>
        <w:t>-</w:t>
      </w:r>
      <w:r>
        <w:t xml:space="preserve"> Sentencias </w:t>
      </w:r>
      <w:hyperlink w:anchor="SENTENCIA_2002_18" w:history="1">
        <w:r w:rsidRPr="007F4918">
          <w:rPr>
            <w:rStyle w:val="TextoNormalCaracter"/>
          </w:rPr>
          <w:t>18/2002</w:t>
        </w:r>
      </w:hyperlink>
      <w:r>
        <w:t xml:space="preserve">, ff. 4, 5; </w:t>
      </w:r>
      <w:hyperlink w:anchor="SENTENCIA_2002_74" w:history="1">
        <w:r w:rsidRPr="007F4918">
          <w:rPr>
            <w:rStyle w:val="TextoNormalCaracter"/>
          </w:rPr>
          <w:t>74/2002</w:t>
        </w:r>
      </w:hyperlink>
      <w:r>
        <w:t>, f. 2.</w:t>
      </w:r>
    </w:p>
    <w:p w:rsidR="007F4918" w:rsidRDefault="007F4918" w:rsidP="007F4918">
      <w:pPr>
        <w:pStyle w:val="SangriaFrancesaArticulo"/>
      </w:pPr>
      <w:r w:rsidRPr="007F4918">
        <w:rPr>
          <w:rStyle w:val="TextoNormalNegritaCaracter"/>
        </w:rPr>
        <w:t>Artículo 240.2.</w:t>
      </w:r>
      <w:r w:rsidRPr="007F4918">
        <w:rPr>
          <w:rStyle w:val="TextoNormalCaracter"/>
        </w:rPr>
        <w:t>-</w:t>
      </w:r>
      <w:r>
        <w:t xml:space="preserve"> Sentencia </w:t>
      </w:r>
      <w:hyperlink w:anchor="SENTENCIA_2002_45" w:history="1">
        <w:r w:rsidRPr="007F4918">
          <w:rPr>
            <w:rStyle w:val="TextoNormalCaracter"/>
          </w:rPr>
          <w:t>45/2002</w:t>
        </w:r>
      </w:hyperlink>
      <w:r>
        <w:t>, f. 2.</w:t>
      </w:r>
    </w:p>
    <w:p w:rsidR="007F4918" w:rsidRDefault="007F4918" w:rsidP="007F4918">
      <w:pPr>
        <w:pStyle w:val="SangriaFrancesaArticulo"/>
      </w:pPr>
      <w:r w:rsidRPr="007F4918">
        <w:rPr>
          <w:rStyle w:val="TextoNormalNegritaCaracter"/>
        </w:rPr>
        <w:t>Artículo 240.3.</w:t>
      </w:r>
      <w:r w:rsidRPr="007F4918">
        <w:rPr>
          <w:rStyle w:val="TextoNormalCaracter"/>
        </w:rPr>
        <w:t>-</w:t>
      </w:r>
      <w:r>
        <w:t xml:space="preserve"> Sentencias </w:t>
      </w:r>
      <w:hyperlink w:anchor="SENTENCIA_2002_16" w:history="1">
        <w:r w:rsidRPr="007F4918">
          <w:rPr>
            <w:rStyle w:val="TextoNormalCaracter"/>
          </w:rPr>
          <w:t>16/2002</w:t>
        </w:r>
      </w:hyperlink>
      <w:r>
        <w:t xml:space="preserve">, f. 3; </w:t>
      </w:r>
      <w:hyperlink w:anchor="SENTENCIA_2002_18" w:history="1">
        <w:r w:rsidRPr="007F4918">
          <w:rPr>
            <w:rStyle w:val="TextoNormalCaracter"/>
          </w:rPr>
          <w:t>18/2002</w:t>
        </w:r>
      </w:hyperlink>
      <w:r>
        <w:t xml:space="preserve">, ff. 3, 5; </w:t>
      </w:r>
      <w:hyperlink w:anchor="SENTENCIA_2002_31" w:history="1">
        <w:r w:rsidRPr="007F4918">
          <w:rPr>
            <w:rStyle w:val="TextoNormalCaracter"/>
          </w:rPr>
          <w:t>31/2002</w:t>
        </w:r>
      </w:hyperlink>
      <w:r>
        <w:t xml:space="preserve">, ff. 1, 2; </w:t>
      </w:r>
      <w:hyperlink w:anchor="SENTENCIA_2002_50" w:history="1">
        <w:r w:rsidRPr="007F4918">
          <w:rPr>
            <w:rStyle w:val="TextoNormalCaracter"/>
          </w:rPr>
          <w:t>50/2002</w:t>
        </w:r>
      </w:hyperlink>
      <w:r>
        <w:t xml:space="preserve">, f. 4; </w:t>
      </w:r>
      <w:hyperlink w:anchor="SENTENCIA_2002_56" w:history="1">
        <w:r w:rsidRPr="007F4918">
          <w:rPr>
            <w:rStyle w:val="TextoNormalCaracter"/>
          </w:rPr>
          <w:t>56/2002</w:t>
        </w:r>
      </w:hyperlink>
      <w:r>
        <w:t xml:space="preserve">, f. 2; </w:t>
      </w:r>
      <w:hyperlink w:anchor="SENTENCIA_2002_74" w:history="1">
        <w:r w:rsidRPr="007F4918">
          <w:rPr>
            <w:rStyle w:val="TextoNormalCaracter"/>
          </w:rPr>
          <w:t>74/2002</w:t>
        </w:r>
      </w:hyperlink>
      <w:r>
        <w:t xml:space="preserve">, f. 2; </w:t>
      </w:r>
      <w:hyperlink w:anchor="SENTENCIA_2002_85" w:history="1">
        <w:r w:rsidRPr="007F4918">
          <w:rPr>
            <w:rStyle w:val="TextoNormalCaracter"/>
          </w:rPr>
          <w:t>85/2002</w:t>
        </w:r>
      </w:hyperlink>
      <w:r>
        <w:t xml:space="preserve">, f. 1; </w:t>
      </w:r>
      <w:hyperlink w:anchor="SENTENCIA_2002_93" w:history="1">
        <w:r w:rsidRPr="007F4918">
          <w:rPr>
            <w:rStyle w:val="TextoNormalCaracter"/>
          </w:rPr>
          <w:t>93/2002</w:t>
        </w:r>
      </w:hyperlink>
      <w:r>
        <w:t>, ff. 1, 3.</w:t>
      </w:r>
    </w:p>
    <w:p w:rsidR="007F4918" w:rsidRDefault="007F4918" w:rsidP="007F4918">
      <w:pPr>
        <w:pStyle w:val="SangriaIzquierdaArticulo"/>
      </w:pPr>
      <w:r>
        <w:t xml:space="preserve">Autos </w:t>
      </w:r>
      <w:hyperlink w:anchor="AUTO_2002_8" w:history="1">
        <w:r w:rsidRPr="007F4918">
          <w:rPr>
            <w:rStyle w:val="TextoNormalCaracter"/>
          </w:rPr>
          <w:t>8/2002</w:t>
        </w:r>
      </w:hyperlink>
      <w:r>
        <w:t xml:space="preserve">; </w:t>
      </w:r>
      <w:hyperlink w:anchor="AUTO_2002_51" w:history="1">
        <w:r w:rsidRPr="007F4918">
          <w:rPr>
            <w:rStyle w:val="TextoNormalCaracter"/>
          </w:rPr>
          <w:t>51/2002</w:t>
        </w:r>
      </w:hyperlink>
      <w:r>
        <w:t xml:space="preserve">; </w:t>
      </w:r>
      <w:hyperlink w:anchor="AUTO_2002_55" w:history="1">
        <w:r w:rsidRPr="007F4918">
          <w:rPr>
            <w:rStyle w:val="TextoNormalCaracter"/>
          </w:rPr>
          <w:t>55/2002</w:t>
        </w:r>
      </w:hyperlink>
      <w:r>
        <w:t>.</w:t>
      </w:r>
    </w:p>
    <w:p w:rsidR="007F4918" w:rsidRDefault="007F4918" w:rsidP="007F4918">
      <w:pPr>
        <w:pStyle w:val="SangriaFrancesaArticulo"/>
      </w:pPr>
      <w:r w:rsidRPr="007F4918">
        <w:rPr>
          <w:rStyle w:val="TextoNormalNegritaCaracter"/>
        </w:rPr>
        <w:t>Artículo 240.3</w:t>
      </w:r>
      <w:r>
        <w:t xml:space="preserve"> </w:t>
      </w:r>
      <w:r w:rsidRPr="007F4918">
        <w:rPr>
          <w:rStyle w:val="TextoNormalCaracter"/>
        </w:rPr>
        <w:t>(redactado por la Ley Orgánica 13/1999, de 14 de mayo)</w:t>
      </w:r>
      <w:r w:rsidRPr="007F4918">
        <w:rPr>
          <w:rStyle w:val="TextoNormalNegritaCaracter"/>
        </w:rPr>
        <w:t>.</w:t>
      </w:r>
      <w:r w:rsidRPr="007F4918">
        <w:rPr>
          <w:rStyle w:val="TextoNormalCaracter"/>
        </w:rPr>
        <w:t>-</w:t>
      </w:r>
      <w:r>
        <w:t xml:space="preserve"> Sentencias </w:t>
      </w:r>
      <w:hyperlink w:anchor="SENTENCIA_2002_31" w:history="1">
        <w:r w:rsidRPr="007F4918">
          <w:rPr>
            <w:rStyle w:val="TextoNormalCaracter"/>
          </w:rPr>
          <w:t>31/2002</w:t>
        </w:r>
      </w:hyperlink>
      <w:r>
        <w:t xml:space="preserve">, f. 2; </w:t>
      </w:r>
      <w:hyperlink w:anchor="SENTENCIA_2002_87" w:history="1">
        <w:r w:rsidRPr="007F4918">
          <w:rPr>
            <w:rStyle w:val="TextoNormalCaracter"/>
          </w:rPr>
          <w:t>87/2002</w:t>
        </w:r>
      </w:hyperlink>
      <w:r>
        <w:t>, f. 2.</w:t>
      </w:r>
    </w:p>
    <w:p w:rsidR="007F4918" w:rsidRDefault="007F4918" w:rsidP="007F4918">
      <w:pPr>
        <w:pStyle w:val="SangriaFrancesaArticulo"/>
      </w:pPr>
      <w:r w:rsidRPr="007F4918">
        <w:rPr>
          <w:rStyle w:val="TextoNormalNegritaCaracter"/>
        </w:rPr>
        <w:lastRenderedPageBreak/>
        <w:t>Artículo 240.3</w:t>
      </w:r>
      <w:r>
        <w:t xml:space="preserve"> </w:t>
      </w:r>
      <w:r w:rsidRPr="007F4918">
        <w:rPr>
          <w:rStyle w:val="TextoNormalCaracter"/>
        </w:rPr>
        <w:t>(redactado por la Ley Orgánica 5/1997, de 4 de diciembre)</w:t>
      </w:r>
      <w:r w:rsidRPr="007F4918">
        <w:rPr>
          <w:rStyle w:val="TextoNormalNegritaCaracter"/>
        </w:rPr>
        <w:t>.</w:t>
      </w:r>
      <w:r w:rsidRPr="007F4918">
        <w:rPr>
          <w:rStyle w:val="TextoNormalCaracter"/>
        </w:rPr>
        <w:t>-</w:t>
      </w:r>
      <w:r>
        <w:t xml:space="preserve"> Sentencias </w:t>
      </w:r>
      <w:hyperlink w:anchor="SENTENCIA_2002_18" w:history="1">
        <w:r w:rsidRPr="007F4918">
          <w:rPr>
            <w:rStyle w:val="TextoNormalCaracter"/>
          </w:rPr>
          <w:t>18/2002</w:t>
        </w:r>
      </w:hyperlink>
      <w:r>
        <w:t xml:space="preserve">, f. 5; </w:t>
      </w:r>
      <w:hyperlink w:anchor="SENTENCIA_2002_31" w:history="1">
        <w:r w:rsidRPr="007F4918">
          <w:rPr>
            <w:rStyle w:val="TextoNormalCaracter"/>
          </w:rPr>
          <w:t>31/2002</w:t>
        </w:r>
      </w:hyperlink>
      <w:r>
        <w:t xml:space="preserve">, f. 2; </w:t>
      </w:r>
      <w:hyperlink w:anchor="SENTENCIA_2002_32" w:history="1">
        <w:r w:rsidRPr="007F4918">
          <w:rPr>
            <w:rStyle w:val="TextoNormalCaracter"/>
          </w:rPr>
          <w:t>32/2002</w:t>
        </w:r>
      </w:hyperlink>
      <w:r>
        <w:t xml:space="preserve">, f. 2; </w:t>
      </w:r>
      <w:hyperlink w:anchor="SENTENCIA_2002_74" w:history="1">
        <w:r w:rsidRPr="007F4918">
          <w:rPr>
            <w:rStyle w:val="TextoNormalCaracter"/>
          </w:rPr>
          <w:t>74/2002</w:t>
        </w:r>
      </w:hyperlink>
      <w:r>
        <w:t xml:space="preserve">, f. 2; </w:t>
      </w:r>
      <w:hyperlink w:anchor="SENTENCIA_2002_85" w:history="1">
        <w:r w:rsidRPr="007F4918">
          <w:rPr>
            <w:rStyle w:val="TextoNormalCaracter"/>
          </w:rPr>
          <w:t>85/2002</w:t>
        </w:r>
      </w:hyperlink>
      <w:r>
        <w:t xml:space="preserve">, f. 3; </w:t>
      </w:r>
      <w:hyperlink w:anchor="SENTENCIA_2002_87" w:history="1">
        <w:r w:rsidRPr="007F4918">
          <w:rPr>
            <w:rStyle w:val="TextoNormalCaracter"/>
          </w:rPr>
          <w:t>87/2002</w:t>
        </w:r>
      </w:hyperlink>
      <w:r>
        <w:t xml:space="preserve">, ff. 1, 2; </w:t>
      </w:r>
      <w:hyperlink w:anchor="SENTENCIA_2002_93" w:history="1">
        <w:r w:rsidRPr="007F4918">
          <w:rPr>
            <w:rStyle w:val="TextoNormalCaracter"/>
          </w:rPr>
          <w:t>93/2002</w:t>
        </w:r>
      </w:hyperlink>
      <w:r>
        <w:t>, f. 3.</w:t>
      </w:r>
    </w:p>
    <w:p w:rsidR="007F4918" w:rsidRDefault="007F4918" w:rsidP="007F4918">
      <w:pPr>
        <w:pStyle w:val="SangriaFrancesaArticulo"/>
      </w:pPr>
      <w:r w:rsidRPr="007F4918">
        <w:rPr>
          <w:rStyle w:val="TextoNormalNegritaCaracter"/>
        </w:rPr>
        <w:t>Artículo 240.4</w:t>
      </w:r>
      <w:r>
        <w:t xml:space="preserve"> </w:t>
      </w:r>
      <w:r w:rsidRPr="007F4918">
        <w:rPr>
          <w:rStyle w:val="TextoNormalCaracter"/>
        </w:rPr>
        <w:t>(redactado por la Ley Orgánica 5/1997, de 4 de diciembre)</w:t>
      </w:r>
      <w:r w:rsidRPr="007F4918">
        <w:rPr>
          <w:rStyle w:val="TextoNormalNegritaCaracter"/>
        </w:rPr>
        <w:t>.</w:t>
      </w:r>
      <w:r w:rsidRPr="007F4918">
        <w:rPr>
          <w:rStyle w:val="TextoNormalCaracter"/>
        </w:rPr>
        <w:t>-</w:t>
      </w:r>
      <w:r>
        <w:t xml:space="preserve"> Sentencia </w:t>
      </w:r>
      <w:hyperlink w:anchor="SENTENCIA_2002_87" w:history="1">
        <w:r w:rsidRPr="007F4918">
          <w:rPr>
            <w:rStyle w:val="TextoNormalCaracter"/>
          </w:rPr>
          <w:t>87/2002</w:t>
        </w:r>
      </w:hyperlink>
      <w:r>
        <w:t>, ff. 1, 2.</w:t>
      </w:r>
    </w:p>
    <w:p w:rsidR="007F4918" w:rsidRDefault="007F4918" w:rsidP="007F4918">
      <w:pPr>
        <w:pStyle w:val="SangriaFrancesaArticulo"/>
      </w:pPr>
      <w:r w:rsidRPr="007F4918">
        <w:rPr>
          <w:rStyle w:val="TextoNormalNegritaCaracter"/>
        </w:rPr>
        <w:t>Artículo 242.</w:t>
      </w:r>
      <w:r w:rsidRPr="007F4918">
        <w:rPr>
          <w:rStyle w:val="TextoNormalCaracter"/>
        </w:rPr>
        <w:t>-</w:t>
      </w:r>
      <w:r>
        <w:t xml:space="preserve"> Sentencia </w:t>
      </w:r>
      <w:hyperlink w:anchor="SENTENCIA_2002_45" w:history="1">
        <w:r w:rsidRPr="007F4918">
          <w:rPr>
            <w:rStyle w:val="TextoNormalCaracter"/>
          </w:rPr>
          <w:t>45/2002</w:t>
        </w:r>
      </w:hyperlink>
      <w:r>
        <w:t>, f. 2.</w:t>
      </w:r>
    </w:p>
    <w:p w:rsidR="007F4918" w:rsidRDefault="007F4918" w:rsidP="007F4918">
      <w:pPr>
        <w:pStyle w:val="SangriaFrancesaArticulo"/>
      </w:pPr>
      <w:r w:rsidRPr="007F4918">
        <w:rPr>
          <w:rStyle w:val="TextoNormalNegritaCaracter"/>
        </w:rPr>
        <w:t>Artículo 243.</w:t>
      </w:r>
      <w:r w:rsidRPr="007F4918">
        <w:rPr>
          <w:rStyle w:val="TextoNormalCaracter"/>
        </w:rPr>
        <w:t>-</w:t>
      </w:r>
      <w:r>
        <w:t xml:space="preserve"> Sentencia </w:t>
      </w:r>
      <w:hyperlink w:anchor="SENTENCIA_2002_45" w:history="1">
        <w:r w:rsidRPr="007F4918">
          <w:rPr>
            <w:rStyle w:val="TextoNormalCaracter"/>
          </w:rPr>
          <w:t>45/2002</w:t>
        </w:r>
      </w:hyperlink>
      <w:r>
        <w:t>, f. 2.</w:t>
      </w:r>
    </w:p>
    <w:p w:rsidR="007F4918" w:rsidRDefault="007F4918" w:rsidP="007F4918">
      <w:pPr>
        <w:pStyle w:val="SangriaFrancesaArticulo"/>
      </w:pPr>
      <w:r w:rsidRPr="007F4918">
        <w:rPr>
          <w:rStyle w:val="TextoNormalNegritaCaracter"/>
        </w:rPr>
        <w:t>Artículo 245.1 a).</w:t>
      </w:r>
      <w:r w:rsidRPr="007F4918">
        <w:rPr>
          <w:rStyle w:val="TextoNormalCaracter"/>
        </w:rPr>
        <w:t>-</w:t>
      </w:r>
      <w:r>
        <w:t xml:space="preserve"> Sentencia </w:t>
      </w:r>
      <w:hyperlink w:anchor="SENTENCIA_2002_62" w:history="1">
        <w:r w:rsidRPr="007F4918">
          <w:rPr>
            <w:rStyle w:val="TextoNormalCaracter"/>
          </w:rPr>
          <w:t>62/2002</w:t>
        </w:r>
      </w:hyperlink>
      <w:r>
        <w:t>, f. 4.</w:t>
      </w:r>
    </w:p>
    <w:p w:rsidR="007F4918" w:rsidRDefault="007F4918" w:rsidP="007F4918">
      <w:pPr>
        <w:pStyle w:val="SangriaFrancesaArticulo"/>
      </w:pPr>
      <w:r w:rsidRPr="007F4918">
        <w:rPr>
          <w:rStyle w:val="TextoNormalNegritaCaracter"/>
        </w:rPr>
        <w:t>Artículo 248.3.</w:t>
      </w:r>
      <w:r w:rsidRPr="007F4918">
        <w:rPr>
          <w:rStyle w:val="TextoNormalCaracter"/>
        </w:rPr>
        <w:t>-</w:t>
      </w:r>
      <w:r>
        <w:t xml:space="preserve"> Sentencia </w:t>
      </w:r>
      <w:hyperlink w:anchor="SENTENCIA_2002_68" w:history="1">
        <w:r w:rsidRPr="007F4918">
          <w:rPr>
            <w:rStyle w:val="TextoNormalCaracter"/>
          </w:rPr>
          <w:t>68/2002</w:t>
        </w:r>
      </w:hyperlink>
      <w:r>
        <w:t>, f. 4.</w:t>
      </w:r>
    </w:p>
    <w:p w:rsidR="007F4918" w:rsidRDefault="007F4918" w:rsidP="007F4918">
      <w:pPr>
        <w:pStyle w:val="SangriaFrancesaArticulo"/>
      </w:pPr>
      <w:r w:rsidRPr="007F4918">
        <w:rPr>
          <w:rStyle w:val="TextoNormalNegritaCaracter"/>
        </w:rPr>
        <w:t>Artículo 248.4.</w:t>
      </w:r>
      <w:r w:rsidRPr="007F4918">
        <w:rPr>
          <w:rStyle w:val="TextoNormalCaracter"/>
        </w:rPr>
        <w:t>-</w:t>
      </w:r>
      <w:r>
        <w:t xml:space="preserve"> Sentencia </w:t>
      </w:r>
      <w:hyperlink w:anchor="SENTENCIA_2002_65" w:history="1">
        <w:r w:rsidRPr="007F4918">
          <w:rPr>
            <w:rStyle w:val="TextoNormalCaracter"/>
          </w:rPr>
          <w:t>65/2002</w:t>
        </w:r>
      </w:hyperlink>
      <w:r>
        <w:t>, f. 4.</w:t>
      </w:r>
    </w:p>
    <w:p w:rsidR="007F4918" w:rsidRDefault="007F4918" w:rsidP="007F4918">
      <w:pPr>
        <w:pStyle w:val="SangriaFrancesaArticulo"/>
      </w:pPr>
      <w:r w:rsidRPr="007F4918">
        <w:rPr>
          <w:rStyle w:val="TextoNormalNegritaCaracter"/>
        </w:rPr>
        <w:t>Artículo 267.</w:t>
      </w:r>
      <w:r w:rsidRPr="007F4918">
        <w:rPr>
          <w:rStyle w:val="TextoNormalCaracter"/>
        </w:rPr>
        <w:t>-</w:t>
      </w:r>
      <w:r>
        <w:t xml:space="preserve"> Sentencias </w:t>
      </w:r>
      <w:hyperlink w:anchor="SENTENCIA_2002_55" w:history="1">
        <w:r w:rsidRPr="007F4918">
          <w:rPr>
            <w:rStyle w:val="TextoNormalCaracter"/>
          </w:rPr>
          <w:t>55/2002</w:t>
        </w:r>
      </w:hyperlink>
      <w:r>
        <w:t xml:space="preserve">, ff. 1 a 5; </w:t>
      </w:r>
      <w:hyperlink w:anchor="SENTENCIA_2002_56" w:history="1">
        <w:r w:rsidRPr="007F4918">
          <w:rPr>
            <w:rStyle w:val="TextoNormalCaracter"/>
          </w:rPr>
          <w:t>56/2002</w:t>
        </w:r>
      </w:hyperlink>
      <w:r>
        <w:t>, f. 4.</w:t>
      </w:r>
    </w:p>
    <w:p w:rsidR="007F4918" w:rsidRDefault="007F4918" w:rsidP="007F4918">
      <w:pPr>
        <w:pStyle w:val="SangriaIzquierdaArticulo"/>
      </w:pPr>
      <w:r>
        <w:t xml:space="preserve">Auto </w:t>
      </w:r>
      <w:hyperlink w:anchor="AUTO_2002_53" w:history="1">
        <w:r w:rsidRPr="007F4918">
          <w:rPr>
            <w:rStyle w:val="TextoNormalCaracter"/>
          </w:rPr>
          <w:t>53/2002</w:t>
        </w:r>
      </w:hyperlink>
      <w:r>
        <w:t>.</w:t>
      </w:r>
    </w:p>
    <w:p w:rsidR="007F4918" w:rsidRDefault="007F4918" w:rsidP="007F4918">
      <w:pPr>
        <w:pStyle w:val="SangriaFrancesaArticulo"/>
      </w:pPr>
      <w:r w:rsidRPr="007F4918">
        <w:rPr>
          <w:rStyle w:val="TextoNormalNegritaCaracter"/>
        </w:rPr>
        <w:t>Artículo 268.1.</w:t>
      </w:r>
      <w:r w:rsidRPr="007F4918">
        <w:rPr>
          <w:rStyle w:val="TextoNormalCaracter"/>
        </w:rPr>
        <w:t>-</w:t>
      </w:r>
      <w:r>
        <w:t xml:space="preserve"> Sentencia </w:t>
      </w:r>
      <w:hyperlink w:anchor="SENTENCIA_2002_90" w:history="1">
        <w:r w:rsidRPr="007F4918">
          <w:rPr>
            <w:rStyle w:val="TextoNormalCaracter"/>
          </w:rPr>
          <w:t>90/2002</w:t>
        </w:r>
      </w:hyperlink>
      <w:r>
        <w:t>, f. 4.</w:t>
      </w:r>
    </w:p>
    <w:p w:rsidR="007F4918" w:rsidRDefault="007F4918" w:rsidP="007F4918">
      <w:pPr>
        <w:pStyle w:val="SangriaFrancesaArticulo"/>
      </w:pPr>
      <w:r w:rsidRPr="007F4918">
        <w:rPr>
          <w:rStyle w:val="TextoNormalNegritaCaracter"/>
        </w:rPr>
        <w:t>Artículo 270.</w:t>
      </w:r>
      <w:r w:rsidRPr="007F4918">
        <w:rPr>
          <w:rStyle w:val="TextoNormalCaracter"/>
        </w:rPr>
        <w:t>-</w:t>
      </w:r>
      <w:r>
        <w:t xml:space="preserve"> Sentencia </w:t>
      </w:r>
      <w:hyperlink w:anchor="SENTENCIA_2002_91" w:history="1">
        <w:r w:rsidRPr="007F4918">
          <w:rPr>
            <w:rStyle w:val="TextoNormalCaracter"/>
          </w:rPr>
          <w:t>91/2002</w:t>
        </w:r>
      </w:hyperlink>
      <w:r>
        <w:t>, f. 1.</w:t>
      </w:r>
    </w:p>
    <w:p w:rsidR="007F4918" w:rsidRDefault="007F4918" w:rsidP="007F4918">
      <w:pPr>
        <w:pStyle w:val="SangriaFrancesaArticulo"/>
      </w:pPr>
      <w:r w:rsidRPr="007F4918">
        <w:rPr>
          <w:rStyle w:val="TextoNormalNegritaCaracter"/>
        </w:rPr>
        <w:t>Artículo 271.</w:t>
      </w:r>
      <w:r w:rsidRPr="007F4918">
        <w:rPr>
          <w:rStyle w:val="TextoNormalCaracter"/>
        </w:rPr>
        <w:t>-</w:t>
      </w:r>
      <w:r>
        <w:t xml:space="preserve"> Sentencia </w:t>
      </w:r>
      <w:hyperlink w:anchor="SENTENCIA_2002_42" w:history="1">
        <w:r w:rsidRPr="007F4918">
          <w:rPr>
            <w:rStyle w:val="TextoNormalCaracter"/>
          </w:rPr>
          <w:t>42/2002</w:t>
        </w:r>
      </w:hyperlink>
      <w:r>
        <w:t>, f. 2.</w:t>
      </w:r>
    </w:p>
    <w:p w:rsidR="007F4918" w:rsidRDefault="007F4918" w:rsidP="007F4918">
      <w:pPr>
        <w:pStyle w:val="SangriaFrancesaArticulo"/>
      </w:pPr>
      <w:r w:rsidRPr="007F4918">
        <w:rPr>
          <w:rStyle w:val="TextoNormalNegritaCaracter"/>
        </w:rPr>
        <w:t>Artículo 272.3.</w:t>
      </w:r>
      <w:r w:rsidRPr="007F4918">
        <w:rPr>
          <w:rStyle w:val="TextoNormalCaracter"/>
        </w:rPr>
        <w:t>-</w:t>
      </w:r>
      <w:r>
        <w:t xml:space="preserve"> Sentencia </w:t>
      </w:r>
      <w:hyperlink w:anchor="SENTENCIA_2002_90" w:history="1">
        <w:r w:rsidRPr="007F4918">
          <w:rPr>
            <w:rStyle w:val="TextoNormalCaracter"/>
          </w:rPr>
          <w:t>90/2002</w:t>
        </w:r>
      </w:hyperlink>
      <w:r>
        <w:t>, f. 4.</w:t>
      </w:r>
    </w:p>
    <w:p w:rsidR="007F4918" w:rsidRDefault="007F4918" w:rsidP="007F4918">
      <w:pPr>
        <w:pStyle w:val="SangriaFrancesaArticulo"/>
      </w:pPr>
      <w:r w:rsidRPr="007F4918">
        <w:rPr>
          <w:rStyle w:val="TextoNormalNegritaCaracter"/>
        </w:rPr>
        <w:t>Artículo 279.1.</w:t>
      </w:r>
      <w:r w:rsidRPr="007F4918">
        <w:rPr>
          <w:rStyle w:val="TextoNormalCaracter"/>
        </w:rPr>
        <w:t>-</w:t>
      </w:r>
      <w:r>
        <w:t xml:space="preserve"> Sentencia </w:t>
      </w:r>
      <w:hyperlink w:anchor="SENTENCIA_2002_79" w:history="1">
        <w:r w:rsidRPr="007F4918">
          <w:rPr>
            <w:rStyle w:val="TextoNormalCaracter"/>
          </w:rPr>
          <w:t>79/2002</w:t>
        </w:r>
      </w:hyperlink>
      <w:r>
        <w:t>, f. 7.</w:t>
      </w:r>
    </w:p>
    <w:p w:rsidR="007F4918" w:rsidRDefault="007F4918" w:rsidP="007F4918">
      <w:pPr>
        <w:pStyle w:val="SangriaFrancesaArticulo"/>
      </w:pPr>
      <w:r w:rsidRPr="007F4918">
        <w:rPr>
          <w:rStyle w:val="TextoNormalNegritaCaracter"/>
        </w:rPr>
        <w:t>Artículo 280.1.</w:t>
      </w:r>
      <w:r w:rsidRPr="007F4918">
        <w:rPr>
          <w:rStyle w:val="TextoNormalCaracter"/>
        </w:rPr>
        <w:t>-</w:t>
      </w:r>
      <w:r>
        <w:t xml:space="preserve"> Sentencia </w:t>
      </w:r>
      <w:hyperlink w:anchor="SENTENCIA_2002_79" w:history="1">
        <w:r w:rsidRPr="007F4918">
          <w:rPr>
            <w:rStyle w:val="TextoNormalCaracter"/>
          </w:rPr>
          <w:t>79/2002</w:t>
        </w:r>
      </w:hyperlink>
      <w:r>
        <w:t>, f. 7.</w:t>
      </w:r>
    </w:p>
    <w:p w:rsidR="007F4918" w:rsidRDefault="007F4918" w:rsidP="007F4918">
      <w:pPr>
        <w:pStyle w:val="SangriaFrancesaArticulo"/>
      </w:pPr>
      <w:r w:rsidRPr="007F4918">
        <w:rPr>
          <w:rStyle w:val="TextoNormalNegritaCaracter"/>
        </w:rPr>
        <w:t>Artículo 281.</w:t>
      </w:r>
      <w:r w:rsidRPr="007F4918">
        <w:rPr>
          <w:rStyle w:val="TextoNormalCaracter"/>
        </w:rPr>
        <w:t>-</w:t>
      </w:r>
      <w:r>
        <w:t xml:space="preserve"> Sentencia </w:t>
      </w:r>
      <w:hyperlink w:anchor="SENTENCIA_2002_79" w:history="1">
        <w:r w:rsidRPr="007F4918">
          <w:rPr>
            <w:rStyle w:val="TextoNormalCaracter"/>
          </w:rPr>
          <w:t>79/2002</w:t>
        </w:r>
      </w:hyperlink>
      <w:r>
        <w:t>, f. 7.</w:t>
      </w:r>
    </w:p>
    <w:p w:rsidR="007F4918" w:rsidRDefault="007F4918" w:rsidP="007F4918">
      <w:pPr>
        <w:pStyle w:val="SangriaFrancesaArticulo"/>
      </w:pPr>
      <w:r w:rsidRPr="007F4918">
        <w:rPr>
          <w:rStyle w:val="TextoNormalNegritaCaracter"/>
        </w:rPr>
        <w:t>Artículo 282.</w:t>
      </w:r>
      <w:r w:rsidRPr="007F4918">
        <w:rPr>
          <w:rStyle w:val="TextoNormalCaracter"/>
        </w:rPr>
        <w:t>-</w:t>
      </w:r>
      <w:r>
        <w:t xml:space="preserve"> Sentencia </w:t>
      </w:r>
      <w:hyperlink w:anchor="SENTENCIA_2002_79" w:history="1">
        <w:r w:rsidRPr="007F4918">
          <w:rPr>
            <w:rStyle w:val="TextoNormalCaracter"/>
          </w:rPr>
          <w:t>79/2002</w:t>
        </w:r>
      </w:hyperlink>
      <w:r>
        <w:t>, f. 7.</w:t>
      </w:r>
    </w:p>
    <w:p w:rsidR="007F4918" w:rsidRDefault="007F4918" w:rsidP="007F4918">
      <w:pPr>
        <w:pStyle w:val="SangriaFrancesaArticulo"/>
      </w:pPr>
      <w:r w:rsidRPr="007F4918">
        <w:rPr>
          <w:rStyle w:val="TextoNormalNegritaCaracter"/>
        </w:rPr>
        <w:t>Artículo 437.1.</w:t>
      </w:r>
      <w:r w:rsidRPr="007F4918">
        <w:rPr>
          <w:rStyle w:val="TextoNormalCaracter"/>
        </w:rPr>
        <w:t>-</w:t>
      </w:r>
      <w:r>
        <w:t xml:space="preserve"> Sentencia </w:t>
      </w:r>
      <w:hyperlink w:anchor="SENTENCIA_2002_79" w:history="1">
        <w:r w:rsidRPr="007F4918">
          <w:rPr>
            <w:rStyle w:val="TextoNormalCaracter"/>
          </w:rPr>
          <w:t>79/2002</w:t>
        </w:r>
      </w:hyperlink>
      <w:r>
        <w:t>, ff. 6, 7, VP.</w:t>
      </w:r>
    </w:p>
    <w:p w:rsidR="007F4918" w:rsidRDefault="007F4918" w:rsidP="007F4918">
      <w:pPr>
        <w:pStyle w:val="SangriaIzquierdaArticulo"/>
      </w:pPr>
      <w:r>
        <w:t xml:space="preserve">Auto </w:t>
      </w:r>
      <w:hyperlink w:anchor="AUTO_2002_43" w:history="1">
        <w:r w:rsidRPr="007F4918">
          <w:rPr>
            <w:rStyle w:val="TextoNormalCaracter"/>
          </w:rPr>
          <w:t>43/2002</w:t>
        </w:r>
      </w:hyperlink>
      <w:r>
        <w:t>.</w:t>
      </w:r>
    </w:p>
    <w:p w:rsidR="007F4918" w:rsidRDefault="007F4918" w:rsidP="007F4918">
      <w:pPr>
        <w:pStyle w:val="SangriaFrancesaArticulo"/>
      </w:pPr>
      <w:r w:rsidRPr="007F4918">
        <w:rPr>
          <w:rStyle w:val="TextoNormalNegritaCaracter"/>
        </w:rPr>
        <w:t>Artículo 448.</w:t>
      </w:r>
      <w:r w:rsidRPr="007F4918">
        <w:rPr>
          <w:rStyle w:val="TextoNormalCaracter"/>
        </w:rPr>
        <w:t>-</w:t>
      </w:r>
      <w:r>
        <w:t xml:space="preserve"> Sentencia </w:t>
      </w:r>
      <w:hyperlink w:anchor="SENTENCIA_2002_79" w:history="1">
        <w:r w:rsidRPr="007F4918">
          <w:rPr>
            <w:rStyle w:val="TextoNormalCaracter"/>
          </w:rPr>
          <w:t>79/2002</w:t>
        </w:r>
      </w:hyperlink>
      <w:r>
        <w:t>, ff. 6, 7, VP.</w:t>
      </w:r>
    </w:p>
    <w:p w:rsidR="007F4918" w:rsidRDefault="007F4918" w:rsidP="007F4918">
      <w:pPr>
        <w:pStyle w:val="SangriaIzquierdaArticulo"/>
      </w:pPr>
      <w:r>
        <w:t xml:space="preserve">Auto </w:t>
      </w:r>
      <w:hyperlink w:anchor="AUTO_2002_43" w:history="1">
        <w:r w:rsidRPr="007F4918">
          <w:rPr>
            <w:rStyle w:val="TextoNormalCaracter"/>
          </w:rPr>
          <w:t>43/2002</w:t>
        </w:r>
      </w:hyperlink>
      <w:r>
        <w:t>.</w:t>
      </w:r>
    </w:p>
    <w:p w:rsidR="007F4918" w:rsidRDefault="007F4918" w:rsidP="007F4918">
      <w:pPr>
        <w:pStyle w:val="SangriaFrancesaArticulo"/>
      </w:pPr>
      <w:r w:rsidRPr="007F4918">
        <w:rPr>
          <w:rStyle w:val="TextoNormalNegritaCaracter"/>
        </w:rPr>
        <w:t>Artículo 449.</w:t>
      </w:r>
      <w:r w:rsidRPr="007F4918">
        <w:rPr>
          <w:rStyle w:val="TextoNormalCaracter"/>
        </w:rPr>
        <w:t>-</w:t>
      </w:r>
      <w:r>
        <w:t xml:space="preserve"> Sentencia </w:t>
      </w:r>
      <w:hyperlink w:anchor="SENTENCIA_2002_79" w:history="1">
        <w:r w:rsidRPr="007F4918">
          <w:rPr>
            <w:rStyle w:val="TextoNormalCaracter"/>
          </w:rPr>
          <w:t>79/2002</w:t>
        </w:r>
      </w:hyperlink>
      <w:r>
        <w:t>, ff. 2, 7, VP.</w:t>
      </w:r>
    </w:p>
    <w:p w:rsidR="007F4918" w:rsidRDefault="007F4918" w:rsidP="007F4918">
      <w:pPr>
        <w:pStyle w:val="SangriaFrancesaArticulo"/>
      </w:pPr>
      <w:r w:rsidRPr="007F4918">
        <w:rPr>
          <w:rStyle w:val="TextoNormalNegritaCaracter"/>
        </w:rPr>
        <w:t>Artículo 449.1.</w:t>
      </w:r>
      <w:r w:rsidRPr="007F4918">
        <w:rPr>
          <w:rStyle w:val="TextoNormalCaracter"/>
        </w:rPr>
        <w:t>-</w:t>
      </w:r>
      <w:r>
        <w:t xml:space="preserve"> Sentencia </w:t>
      </w:r>
      <w:hyperlink w:anchor="SENTENCIA_2002_79" w:history="1">
        <w:r w:rsidRPr="007F4918">
          <w:rPr>
            <w:rStyle w:val="TextoNormalCaracter"/>
          </w:rPr>
          <w:t>79/2002</w:t>
        </w:r>
      </w:hyperlink>
      <w:r>
        <w:t>, ff. 2, 6, VP.</w:t>
      </w:r>
    </w:p>
    <w:p w:rsidR="007F4918" w:rsidRDefault="007F4918" w:rsidP="007F4918">
      <w:pPr>
        <w:pStyle w:val="SangriaFrancesaArticulo"/>
      </w:pPr>
      <w:r w:rsidRPr="007F4918">
        <w:rPr>
          <w:rStyle w:val="TextoNormalNegritaCaracter"/>
        </w:rPr>
        <w:t>Artículo 449.2.</w:t>
      </w:r>
      <w:r w:rsidRPr="007F4918">
        <w:rPr>
          <w:rStyle w:val="TextoNormalCaracter"/>
        </w:rPr>
        <w:t>-</w:t>
      </w:r>
      <w:r>
        <w:t xml:space="preserve"> Sentencia </w:t>
      </w:r>
      <w:hyperlink w:anchor="SENTENCIA_2002_79" w:history="1">
        <w:r w:rsidRPr="007F4918">
          <w:rPr>
            <w:rStyle w:val="TextoNormalCaracter"/>
          </w:rPr>
          <w:t>79/2002</w:t>
        </w:r>
      </w:hyperlink>
      <w:r>
        <w:t>, f. 7, VP.</w:t>
      </w:r>
    </w:p>
    <w:p w:rsidR="007F4918" w:rsidRDefault="007F4918" w:rsidP="007F4918">
      <w:pPr>
        <w:pStyle w:val="SangriaFrancesaArticulo"/>
      </w:pPr>
      <w:r w:rsidRPr="007F4918">
        <w:rPr>
          <w:rStyle w:val="TextoNormalNegritaCaracter"/>
        </w:rPr>
        <w:t>Artículo 450.2.</w:t>
      </w:r>
      <w:r w:rsidRPr="007F4918">
        <w:rPr>
          <w:rStyle w:val="TextoNormalCaracter"/>
        </w:rPr>
        <w:t>-</w:t>
      </w:r>
      <w:r>
        <w:t xml:space="preserve"> Sentencia </w:t>
      </w:r>
      <w:hyperlink w:anchor="SENTENCIA_2002_79" w:history="1">
        <w:r w:rsidRPr="007F4918">
          <w:rPr>
            <w:rStyle w:val="TextoNormalCaracter"/>
          </w:rPr>
          <w:t>79/2002</w:t>
        </w:r>
      </w:hyperlink>
      <w:r>
        <w:t>, f. 2.</w:t>
      </w:r>
    </w:p>
    <w:p w:rsidR="007F4918" w:rsidRDefault="007F4918" w:rsidP="007F4918">
      <w:pPr>
        <w:pStyle w:val="SangriaFrancesaArticulo"/>
      </w:pPr>
      <w:r w:rsidRPr="007F4918">
        <w:rPr>
          <w:rStyle w:val="TextoNormalNegritaCaracter"/>
        </w:rPr>
        <w:t>Artículo 451.2.</w:t>
      </w:r>
      <w:r w:rsidRPr="007F4918">
        <w:rPr>
          <w:rStyle w:val="TextoNormalCaracter"/>
        </w:rPr>
        <w:t>-</w:t>
      </w:r>
      <w:r>
        <w:t xml:space="preserve"> Sentencia </w:t>
      </w:r>
      <w:hyperlink w:anchor="SENTENCIA_2002_79" w:history="1">
        <w:r w:rsidRPr="007F4918">
          <w:rPr>
            <w:rStyle w:val="TextoNormalCaracter"/>
          </w:rPr>
          <w:t>79/2002</w:t>
        </w:r>
      </w:hyperlink>
      <w:r>
        <w:t>, f. 5.</w:t>
      </w:r>
    </w:p>
    <w:p w:rsidR="007F4918" w:rsidRDefault="007F4918" w:rsidP="007F4918">
      <w:pPr>
        <w:pStyle w:val="SangriaFrancesaArticulo"/>
      </w:pPr>
      <w:r w:rsidRPr="007F4918">
        <w:rPr>
          <w:rStyle w:val="TextoNormalNegritaCaracter"/>
        </w:rPr>
        <w:t>Artículo 452.</w:t>
      </w:r>
      <w:r w:rsidRPr="007F4918">
        <w:rPr>
          <w:rStyle w:val="TextoNormalCaracter"/>
        </w:rPr>
        <w:t>-</w:t>
      </w:r>
      <w:r>
        <w:t xml:space="preserve"> Sentencia </w:t>
      </w:r>
      <w:hyperlink w:anchor="SENTENCIA_2002_79" w:history="1">
        <w:r w:rsidRPr="007F4918">
          <w:rPr>
            <w:rStyle w:val="TextoNormalCaracter"/>
          </w:rPr>
          <w:t>79/2002</w:t>
        </w:r>
      </w:hyperlink>
      <w:r>
        <w:t>, f. 4.</w:t>
      </w:r>
    </w:p>
    <w:p w:rsidR="007F4918" w:rsidRDefault="007F4918" w:rsidP="007F4918">
      <w:pPr>
        <w:pStyle w:val="SangriaFrancesaArticulo"/>
      </w:pPr>
      <w:r w:rsidRPr="007F4918">
        <w:rPr>
          <w:rStyle w:val="TextoNormalNegritaCaracter"/>
        </w:rPr>
        <w:t>Disposición adicional quinta, apartado 3.</w:t>
      </w:r>
      <w:r w:rsidRPr="007F4918">
        <w:rPr>
          <w:rStyle w:val="TextoNormalCaracter"/>
        </w:rPr>
        <w:t>-</w:t>
      </w:r>
      <w:r>
        <w:t xml:space="preserve"> Sentencia </w:t>
      </w:r>
      <w:hyperlink w:anchor="SENTENCIA_2002_65" w:history="1">
        <w:r w:rsidRPr="007F4918">
          <w:rPr>
            <w:rStyle w:val="TextoNormalCaracter"/>
          </w:rPr>
          <w:t>65/2002</w:t>
        </w:r>
      </w:hyperlink>
      <w:r>
        <w:t>, f. 1.</w:t>
      </w:r>
    </w:p>
    <w:p w:rsidR="007F4918" w:rsidRDefault="007F4918" w:rsidP="007F4918">
      <w:pPr>
        <w:pStyle w:val="SangriaFrancesaArticulo"/>
      </w:pPr>
    </w:p>
    <w:p w:rsidR="007F4918" w:rsidRDefault="007F4918" w:rsidP="007F4918">
      <w:pPr>
        <w:pStyle w:val="TextoNormalNegritaCursivandice"/>
      </w:pPr>
      <w:r>
        <w:t>Ley Orgánica 11/1985, de 2 de agosto. Libertad sindical</w:t>
      </w:r>
    </w:p>
    <w:p w:rsidR="007F4918" w:rsidRDefault="007F4918" w:rsidP="007F4918">
      <w:pPr>
        <w:pStyle w:val="SangriaFrancesaArticulo"/>
      </w:pPr>
      <w:r w:rsidRPr="007F4918">
        <w:rPr>
          <w:rStyle w:val="TextoNormalNegritaCaracter"/>
        </w:rPr>
        <w:t>Artículo 2.2 d).</w:t>
      </w:r>
      <w:r w:rsidRPr="007F4918">
        <w:rPr>
          <w:rStyle w:val="TextoNormalCaracter"/>
        </w:rPr>
        <w:t>-</w:t>
      </w:r>
      <w:r>
        <w:t xml:space="preserve"> Auto </w:t>
      </w:r>
      <w:hyperlink w:anchor="AUTO_2002_12" w:history="1">
        <w:r w:rsidRPr="007F4918">
          <w:rPr>
            <w:rStyle w:val="TextoNormalCaracter"/>
          </w:rPr>
          <w:t>12/2002</w:t>
        </w:r>
      </w:hyperlink>
      <w:r>
        <w:t>.</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Sentencias </w:t>
      </w:r>
      <w:hyperlink w:anchor="SENTENCIA_2002_14" w:history="1">
        <w:r w:rsidRPr="007F4918">
          <w:rPr>
            <w:rStyle w:val="TextoNormalCaracter"/>
          </w:rPr>
          <w:t>14/2002</w:t>
        </w:r>
      </w:hyperlink>
      <w:r>
        <w:t xml:space="preserve">, f. 3; </w:t>
      </w:r>
      <w:hyperlink w:anchor="SENTENCIA_2002_84" w:history="1">
        <w:r w:rsidRPr="007F4918">
          <w:rPr>
            <w:rStyle w:val="TextoNormalCaracter"/>
          </w:rPr>
          <w:t>84/2002</w:t>
        </w:r>
      </w:hyperlink>
      <w:r>
        <w:t>, f. 3.</w:t>
      </w:r>
    </w:p>
    <w:p w:rsidR="007F4918" w:rsidRDefault="007F4918" w:rsidP="007F4918">
      <w:pPr>
        <w:pStyle w:val="SangriaFrancesaArticulo"/>
      </w:pPr>
    </w:p>
    <w:p w:rsidR="007F4918" w:rsidRDefault="007F4918" w:rsidP="007F4918">
      <w:pPr>
        <w:pStyle w:val="TextoNormalNegritaCursivandice"/>
      </w:pPr>
      <w:r>
        <w:t>Ley Orgánica 2/1986, de 13 de marzo. Fuerzas y cuerpos de seguridad</w:t>
      </w:r>
    </w:p>
    <w:p w:rsidR="007F4918" w:rsidRDefault="007F4918" w:rsidP="007F4918">
      <w:pPr>
        <w:pStyle w:val="SangriaFrancesaArticulo"/>
      </w:pPr>
      <w:r w:rsidRPr="007F4918">
        <w:rPr>
          <w:rStyle w:val="TextoNormalNegritaCaracter"/>
        </w:rPr>
        <w:t>Artículo 8.1 párrafo 2.</w:t>
      </w:r>
      <w:r w:rsidRPr="007F4918">
        <w:rPr>
          <w:rStyle w:val="TextoNormalCaracter"/>
        </w:rPr>
        <w:t>-</w:t>
      </w:r>
      <w:r>
        <w:t xml:space="preserve"> Auto </w:t>
      </w:r>
      <w:hyperlink w:anchor="AUTO_2002_8" w:history="1">
        <w:r w:rsidRPr="007F4918">
          <w:rPr>
            <w:rStyle w:val="TextoNormalCaracter"/>
          </w:rPr>
          <w:t>8/2002</w:t>
        </w:r>
      </w:hyperlink>
      <w:r>
        <w:t>.</w:t>
      </w:r>
    </w:p>
    <w:p w:rsidR="007F4918" w:rsidRDefault="007F4918" w:rsidP="007F4918">
      <w:pPr>
        <w:pStyle w:val="SangriaFrancesaArticulo"/>
      </w:pPr>
      <w:r w:rsidRPr="007F4918">
        <w:rPr>
          <w:rStyle w:val="TextoNormalNegritaCaracter"/>
        </w:rPr>
        <w:t>Artículo 11.1.</w:t>
      </w:r>
      <w:r w:rsidRPr="007F4918">
        <w:rPr>
          <w:rStyle w:val="TextoNormalCaracter"/>
        </w:rPr>
        <w:t>-</w:t>
      </w:r>
      <w:r>
        <w:t xml:space="preserve"> Sentencia </w:t>
      </w:r>
      <w:hyperlink w:anchor="SENTENCIA_2002_70" w:history="1">
        <w:r w:rsidRPr="007F4918">
          <w:rPr>
            <w:rStyle w:val="TextoNormalCaracter"/>
          </w:rPr>
          <w:t>70/2002</w:t>
        </w:r>
      </w:hyperlink>
      <w:r>
        <w:t>, f. 10.</w:t>
      </w:r>
    </w:p>
    <w:p w:rsidR="007F4918" w:rsidRDefault="007F4918" w:rsidP="007F4918">
      <w:pPr>
        <w:pStyle w:val="SangriaFrancesaArticulo"/>
      </w:pPr>
    </w:p>
    <w:p w:rsidR="007F4918" w:rsidRDefault="007F4918" w:rsidP="007F4918">
      <w:pPr>
        <w:pStyle w:val="TextoNormalNegritaCursivandice"/>
      </w:pPr>
      <w:r>
        <w:t>Ley Orgánica 4/1987, de 15 de julio. Competencia y organización de la jurisdicción militar</w:t>
      </w:r>
    </w:p>
    <w:p w:rsidR="007F4918" w:rsidRDefault="007F4918" w:rsidP="007F4918">
      <w:pPr>
        <w:pStyle w:val="SangriaFrancesaArticulo"/>
      </w:pPr>
      <w:r w:rsidRPr="007F4918">
        <w:rPr>
          <w:rStyle w:val="TextoNormalNegritaCaracter"/>
        </w:rPr>
        <w:t>Artículo 108.2.</w:t>
      </w:r>
      <w:r w:rsidRPr="007F4918">
        <w:rPr>
          <w:rStyle w:val="TextoNormalCaracter"/>
        </w:rPr>
        <w:t>-</w:t>
      </w:r>
      <w:r>
        <w:t xml:space="preserve"> Auto </w:t>
      </w:r>
      <w:hyperlink w:anchor="AUTO_2002_3" w:history="1">
        <w:r w:rsidRPr="007F4918">
          <w:rPr>
            <w:rStyle w:val="TextoNormalCaracter"/>
          </w:rPr>
          <w:t>3/2002</w:t>
        </w:r>
      </w:hyperlink>
      <w:r>
        <w:t>.</w:t>
      </w:r>
    </w:p>
    <w:p w:rsidR="007F4918" w:rsidRDefault="007F4918" w:rsidP="007F4918">
      <w:pPr>
        <w:pStyle w:val="SangriaFrancesaArticulo"/>
      </w:pPr>
    </w:p>
    <w:p w:rsidR="007F4918" w:rsidRDefault="007F4918" w:rsidP="007F4918">
      <w:pPr>
        <w:pStyle w:val="TextoNormalNegritaCursivandice"/>
      </w:pPr>
      <w:r>
        <w:t>Ley Orgánica 2/1989, de 13 de abril. Procesal militar</w:t>
      </w:r>
    </w:p>
    <w:p w:rsidR="007F4918" w:rsidRDefault="007F4918" w:rsidP="007F4918">
      <w:pPr>
        <w:pStyle w:val="SangriaFrancesaArticulo"/>
      </w:pPr>
      <w:r w:rsidRPr="007F4918">
        <w:rPr>
          <w:rStyle w:val="TextoNormalNegritaCaracter"/>
        </w:rPr>
        <w:t>Artículo 127.1.</w:t>
      </w:r>
      <w:r w:rsidRPr="007F4918">
        <w:rPr>
          <w:rStyle w:val="TextoNormalCaracter"/>
        </w:rPr>
        <w:t>-</w:t>
      </w:r>
      <w:r>
        <w:t xml:space="preserve"> Auto </w:t>
      </w:r>
      <w:hyperlink w:anchor="AUTO_2002_3" w:history="1">
        <w:r w:rsidRPr="007F4918">
          <w:rPr>
            <w:rStyle w:val="TextoNormalCaracter"/>
          </w:rPr>
          <w:t>3/2002</w:t>
        </w:r>
      </w:hyperlink>
      <w:r>
        <w:t>.</w:t>
      </w:r>
    </w:p>
    <w:p w:rsidR="007F4918" w:rsidRDefault="007F4918" w:rsidP="007F4918">
      <w:pPr>
        <w:pStyle w:val="SangriaFrancesaArticulo"/>
      </w:pPr>
    </w:p>
    <w:p w:rsidR="007F4918" w:rsidRDefault="007F4918" w:rsidP="007F4918">
      <w:pPr>
        <w:pStyle w:val="TextoNormalNegritaCursivandice"/>
      </w:pPr>
      <w:r>
        <w:t>Ley Orgánica 3/1989, de 21 de junio. Código penal. Actualización</w:t>
      </w:r>
    </w:p>
    <w:p w:rsidR="007F4918" w:rsidRDefault="007F4918" w:rsidP="007F4918">
      <w:pPr>
        <w:pStyle w:val="SangriaFrancesaArticulo"/>
      </w:pPr>
      <w:r w:rsidRPr="007F4918">
        <w:rPr>
          <w:rStyle w:val="TextoNormalNegritaCaracter"/>
        </w:rPr>
        <w:lastRenderedPageBreak/>
        <w:t>Disposición adicional tercera.</w:t>
      </w:r>
      <w:r w:rsidRPr="007F4918">
        <w:rPr>
          <w:rStyle w:val="TextoNormalCaracter"/>
        </w:rPr>
        <w:t>-</w:t>
      </w:r>
      <w:r>
        <w:t xml:space="preserve"> Sentencia </w:t>
      </w:r>
      <w:hyperlink w:anchor="SENTENCIA_2002_55" w:history="1">
        <w:r w:rsidRPr="007F4918">
          <w:rPr>
            <w:rStyle w:val="TextoNormalCaracter"/>
          </w:rPr>
          <w:t>55/2002</w:t>
        </w:r>
      </w:hyperlink>
      <w:r>
        <w:t>, ff. 1, 4.</w:t>
      </w:r>
    </w:p>
    <w:p w:rsidR="007F4918" w:rsidRDefault="007F4918" w:rsidP="007F4918">
      <w:pPr>
        <w:pStyle w:val="SangriaFrancesaArticulo"/>
      </w:pPr>
      <w:r w:rsidRPr="007F4918">
        <w:rPr>
          <w:rStyle w:val="TextoNormalNegritaCaracter"/>
        </w:rPr>
        <w:t>Disposición adicional tercera, apartado 2.</w:t>
      </w:r>
      <w:r w:rsidRPr="007F4918">
        <w:rPr>
          <w:rStyle w:val="TextoNormalCaracter"/>
        </w:rPr>
        <w:t>-</w:t>
      </w:r>
      <w:r>
        <w:t xml:space="preserve"> Sentencia </w:t>
      </w:r>
      <w:hyperlink w:anchor="SENTENCIA_2002_55" w:history="1">
        <w:r w:rsidRPr="007F4918">
          <w:rPr>
            <w:rStyle w:val="TextoNormalCaracter"/>
          </w:rPr>
          <w:t>55/2002</w:t>
        </w:r>
      </w:hyperlink>
      <w:r>
        <w:t>, f. 4.</w:t>
      </w:r>
    </w:p>
    <w:p w:rsidR="007F4918" w:rsidRDefault="007F4918" w:rsidP="007F4918">
      <w:pPr>
        <w:pStyle w:val="SangriaFrancesaArticulo"/>
      </w:pPr>
    </w:p>
    <w:p w:rsidR="007F4918" w:rsidRDefault="007F4918" w:rsidP="007F4918">
      <w:pPr>
        <w:pStyle w:val="TextoNormalNegritaCursivandice"/>
      </w:pPr>
      <w:r>
        <w:t>Ley Orgánica 1/1990, de 3 de octubre. Ordenación general del sistema educativo</w:t>
      </w:r>
    </w:p>
    <w:p w:rsidR="007F4918" w:rsidRDefault="007F4918" w:rsidP="007F4918">
      <w:pPr>
        <w:pStyle w:val="SangriaFrancesaArticulo"/>
      </w:pPr>
      <w:r w:rsidRPr="007F4918">
        <w:rPr>
          <w:rStyle w:val="TextoNormalNegritaCaracter"/>
        </w:rPr>
        <w:t>Artículo 3.</w:t>
      </w:r>
      <w:r w:rsidRPr="007F4918">
        <w:rPr>
          <w:rStyle w:val="TextoNormalCaracter"/>
        </w:rPr>
        <w:t>-</w:t>
      </w:r>
      <w:r>
        <w:t xml:space="preserve"> Sentencia </w:t>
      </w:r>
      <w:hyperlink w:anchor="SENTENCIA_2002_95" w:history="1">
        <w:r w:rsidRPr="007F4918">
          <w:rPr>
            <w:rStyle w:val="TextoNormalCaracter"/>
          </w:rPr>
          <w:t>95/2002</w:t>
        </w:r>
      </w:hyperlink>
      <w:r>
        <w:t>, f. 6.</w:t>
      </w:r>
    </w:p>
    <w:p w:rsidR="007F4918" w:rsidRDefault="007F4918" w:rsidP="007F4918">
      <w:pPr>
        <w:pStyle w:val="SangriaFrancesaArticulo"/>
      </w:pPr>
      <w:r w:rsidRPr="007F4918">
        <w:rPr>
          <w:rStyle w:val="TextoNormalNegritaCaracter"/>
        </w:rPr>
        <w:t>Artículo 30.1.</w:t>
      </w:r>
      <w:r w:rsidRPr="007F4918">
        <w:rPr>
          <w:rStyle w:val="TextoNormalCaracter"/>
        </w:rPr>
        <w:t>-</w:t>
      </w:r>
      <w:r>
        <w:t xml:space="preserve"> Sentencia </w:t>
      </w:r>
      <w:hyperlink w:anchor="SENTENCIA_2002_95" w:history="1">
        <w:r w:rsidRPr="007F4918">
          <w:rPr>
            <w:rStyle w:val="TextoNormalCaracter"/>
          </w:rPr>
          <w:t>95/2002</w:t>
        </w:r>
      </w:hyperlink>
      <w:r>
        <w:t>, f. 6.</w:t>
      </w:r>
    </w:p>
    <w:p w:rsidR="007F4918" w:rsidRDefault="007F4918" w:rsidP="007F4918">
      <w:pPr>
        <w:pStyle w:val="SangriaFrancesaArticulo"/>
      </w:pPr>
      <w:r w:rsidRPr="007F4918">
        <w:rPr>
          <w:rStyle w:val="TextoNormalNegritaCaracter"/>
        </w:rPr>
        <w:t>Artículo 35.</w:t>
      </w:r>
      <w:r w:rsidRPr="007F4918">
        <w:rPr>
          <w:rStyle w:val="TextoNormalCaracter"/>
        </w:rPr>
        <w:t>-</w:t>
      </w:r>
      <w:r>
        <w:t xml:space="preserve"> Sentencia </w:t>
      </w:r>
      <w:hyperlink w:anchor="SENTENCIA_2002_95" w:history="1">
        <w:r w:rsidRPr="007F4918">
          <w:rPr>
            <w:rStyle w:val="TextoNormalCaracter"/>
          </w:rPr>
          <w:t>95/2002</w:t>
        </w:r>
      </w:hyperlink>
      <w:r>
        <w:t>, f. 6.</w:t>
      </w:r>
    </w:p>
    <w:p w:rsidR="007F4918" w:rsidRDefault="007F4918" w:rsidP="007F4918">
      <w:pPr>
        <w:pStyle w:val="SangriaFrancesaArticulo"/>
      </w:pPr>
    </w:p>
    <w:p w:rsidR="007F4918" w:rsidRDefault="007F4918" w:rsidP="007F4918">
      <w:pPr>
        <w:pStyle w:val="TextoNormalNegritaCursivandice"/>
      </w:pPr>
      <w:r>
        <w:t>Ley Orgánica 8/1991, de 13 de marzo. Modifica la Ley Orgánica 5/1985, de 19 de junio, de régimen electoral general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80" w:history="1">
        <w:r w:rsidRPr="007F4918">
          <w:rPr>
            <w:rStyle w:val="TextoNormalCaracter"/>
          </w:rPr>
          <w:t>80/2002</w:t>
        </w:r>
      </w:hyperlink>
      <w:r>
        <w:t>, f. 3.</w:t>
      </w:r>
    </w:p>
    <w:p w:rsidR="007F4918" w:rsidRDefault="007F4918" w:rsidP="007F4918">
      <w:pPr>
        <w:pStyle w:val="SangriaFrancesaArticulo"/>
      </w:pPr>
      <w:r w:rsidRPr="007F4918">
        <w:rPr>
          <w:rStyle w:val="TextoNormalNegritaCaracter"/>
        </w:rPr>
        <w:t>Exposición de motivos.</w:t>
      </w:r>
      <w:r w:rsidRPr="007F4918">
        <w:rPr>
          <w:rStyle w:val="TextoNormalCaracter"/>
        </w:rPr>
        <w:t>-</w:t>
      </w:r>
      <w:r>
        <w:t xml:space="preserve"> Sentencia </w:t>
      </w:r>
      <w:hyperlink w:anchor="SENTENCIA_2002_80" w:history="1">
        <w:r w:rsidRPr="007F4918">
          <w:rPr>
            <w:rStyle w:val="TextoNormalCaracter"/>
          </w:rPr>
          <w:t>80/2002</w:t>
        </w:r>
      </w:hyperlink>
      <w:r>
        <w:t>, ff. 3, 6.</w:t>
      </w:r>
    </w:p>
    <w:p w:rsidR="007F4918" w:rsidRDefault="007F4918" w:rsidP="007F4918">
      <w:pPr>
        <w:pStyle w:val="SangriaFrancesaArticulo"/>
      </w:pPr>
    </w:p>
    <w:p w:rsidR="007F4918" w:rsidRDefault="007F4918" w:rsidP="007F4918">
      <w:pPr>
        <w:pStyle w:val="TextoNormalNegritaCursivandice"/>
      </w:pPr>
      <w:r>
        <w:t>Ley Orgánica 1/1992, de 21 de febrero. Protección de la seguridad ciudadana</w:t>
      </w:r>
    </w:p>
    <w:p w:rsidR="007F4918" w:rsidRDefault="007F4918" w:rsidP="007F4918">
      <w:pPr>
        <w:pStyle w:val="SangriaFrancesaArticulo"/>
      </w:pPr>
      <w:r w:rsidRPr="007F4918">
        <w:rPr>
          <w:rStyle w:val="TextoNormalNegritaCaracter"/>
        </w:rPr>
        <w:t>Artículo 14.</w:t>
      </w:r>
      <w:r w:rsidRPr="007F4918">
        <w:rPr>
          <w:rStyle w:val="TextoNormalCaracter"/>
        </w:rPr>
        <w:t>-</w:t>
      </w:r>
      <w:r>
        <w:t xml:space="preserve"> Sentencia </w:t>
      </w:r>
      <w:hyperlink w:anchor="SENTENCIA_2002_70" w:history="1">
        <w:r w:rsidRPr="007F4918">
          <w:rPr>
            <w:rStyle w:val="TextoNormalCaracter"/>
          </w:rPr>
          <w:t>70/2002</w:t>
        </w:r>
      </w:hyperlink>
      <w:r>
        <w:t>, f. 10.</w:t>
      </w:r>
    </w:p>
    <w:p w:rsidR="007F4918" w:rsidRDefault="007F4918" w:rsidP="007F4918">
      <w:pPr>
        <w:pStyle w:val="SangriaFrancesaArticulo"/>
      </w:pPr>
    </w:p>
    <w:p w:rsidR="007F4918" w:rsidRDefault="007F4918" w:rsidP="007F4918">
      <w:pPr>
        <w:pStyle w:val="TextoNormalNegritaCursivandice"/>
      </w:pPr>
      <w:r>
        <w:t>Ley Orgánica 9/1992, de 23 de diciembre. Transferencia de competencias a Comunidades Autónomas que accedieron a la autonomía por la vía del artículo 143 de la Constitución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ff. 2, 3.</w:t>
      </w:r>
    </w:p>
    <w:p w:rsidR="007F4918" w:rsidRDefault="007F4918" w:rsidP="007F4918">
      <w:pPr>
        <w:pStyle w:val="SangriaFrancesaArticulo"/>
      </w:pPr>
    </w:p>
    <w:p w:rsidR="007F4918" w:rsidRDefault="007F4918" w:rsidP="007F4918">
      <w:pPr>
        <w:pStyle w:val="TextoNormalNegritaCursivandice"/>
      </w:pPr>
      <w:r>
        <w:t>Ley Orgánica 10/1995, de 23 de noviembre. Código penal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77" w:history="1">
        <w:r w:rsidRPr="007F4918">
          <w:rPr>
            <w:rStyle w:val="TextoNormalCaracter"/>
          </w:rPr>
          <w:t>77/2002</w:t>
        </w:r>
      </w:hyperlink>
      <w:r>
        <w:t xml:space="preserve">, f. 4; </w:t>
      </w:r>
      <w:hyperlink w:anchor="SENTENCIA_2002_82" w:history="1">
        <w:r w:rsidRPr="007F4918">
          <w:rPr>
            <w:rStyle w:val="TextoNormalCaracter"/>
          </w:rPr>
          <w:t>82/2002</w:t>
        </w:r>
      </w:hyperlink>
      <w:r>
        <w:t>, f. 4.</w:t>
      </w:r>
    </w:p>
    <w:p w:rsidR="007F4918" w:rsidRDefault="007F4918" w:rsidP="007F4918">
      <w:pPr>
        <w:pStyle w:val="SangriaFrancesaArticulo"/>
      </w:pPr>
      <w:r w:rsidRPr="007F4918">
        <w:rPr>
          <w:rStyle w:val="TextoNormalNegritaCaracter"/>
        </w:rPr>
        <w:t>Artículo 2.3 d).</w:t>
      </w:r>
      <w:r w:rsidRPr="007F4918">
        <w:rPr>
          <w:rStyle w:val="TextoNormalCaracter"/>
        </w:rPr>
        <w:t>-</w:t>
      </w:r>
      <w:r>
        <w:t xml:space="preserve"> Sentencia </w:t>
      </w:r>
      <w:hyperlink w:anchor="SENTENCIA_2002_82" w:history="1">
        <w:r w:rsidRPr="007F4918">
          <w:rPr>
            <w:rStyle w:val="TextoNormalCaracter"/>
          </w:rPr>
          <w:t>82/2002</w:t>
        </w:r>
      </w:hyperlink>
      <w:r>
        <w:t>, f. 4.</w:t>
      </w:r>
    </w:p>
    <w:p w:rsidR="007F4918" w:rsidRDefault="007F4918" w:rsidP="007F4918">
      <w:pPr>
        <w:pStyle w:val="SangriaFrancesaArticulo"/>
      </w:pPr>
      <w:r w:rsidRPr="007F4918">
        <w:rPr>
          <w:rStyle w:val="TextoNormalNegritaCaracter"/>
        </w:rPr>
        <w:t>Artículo 3.</w:t>
      </w:r>
      <w:r w:rsidRPr="007F4918">
        <w:rPr>
          <w:rStyle w:val="TextoNormalCaracter"/>
        </w:rPr>
        <w:t>-</w:t>
      </w:r>
      <w:r>
        <w:t xml:space="preserve"> Sentencia </w:t>
      </w:r>
      <w:hyperlink w:anchor="SENTENCIA_2002_63" w:history="1">
        <w:r w:rsidRPr="007F4918">
          <w:rPr>
            <w:rStyle w:val="TextoNormalCaracter"/>
          </w:rPr>
          <w:t>63/2002</w:t>
        </w:r>
      </w:hyperlink>
      <w:r>
        <w:t>, f. 4.</w:t>
      </w:r>
    </w:p>
    <w:p w:rsidR="007F4918" w:rsidRDefault="007F4918" w:rsidP="007F4918">
      <w:pPr>
        <w:pStyle w:val="SangriaFrancesaArticulo"/>
      </w:pPr>
      <w:r w:rsidRPr="007F4918">
        <w:rPr>
          <w:rStyle w:val="TextoNormalNegritaCaracter"/>
        </w:rPr>
        <w:t>Artículo 4.4.</w:t>
      </w:r>
      <w:r w:rsidRPr="007F4918">
        <w:rPr>
          <w:rStyle w:val="TextoNormalCaracter"/>
        </w:rPr>
        <w:t>-</w:t>
      </w:r>
      <w:r>
        <w:t xml:space="preserve"> Sentencia </w:t>
      </w:r>
      <w:hyperlink w:anchor="SENTENCIA_2002_51" w:history="1">
        <w:r w:rsidRPr="007F4918">
          <w:rPr>
            <w:rStyle w:val="TextoNormalCaracter"/>
          </w:rPr>
          <w:t>51/2002</w:t>
        </w:r>
      </w:hyperlink>
      <w:r>
        <w:t>, f. 2.</w:t>
      </w:r>
    </w:p>
    <w:p w:rsidR="007F4918" w:rsidRDefault="007F4918" w:rsidP="007F4918">
      <w:pPr>
        <w:pStyle w:val="SangriaFrancesaArticulo"/>
      </w:pPr>
      <w:r w:rsidRPr="007F4918">
        <w:rPr>
          <w:rStyle w:val="TextoNormalNegritaCaracter"/>
        </w:rPr>
        <w:t>Artículo 16.</w:t>
      </w:r>
      <w:r w:rsidRPr="007F4918">
        <w:rPr>
          <w:rStyle w:val="TextoNormalCaracter"/>
        </w:rPr>
        <w:t>-</w:t>
      </w:r>
      <w:r>
        <w:t xml:space="preserve"> Sentencia </w:t>
      </w:r>
      <w:hyperlink w:anchor="SENTENCIA_2002_70" w:history="1">
        <w:r w:rsidRPr="007F4918">
          <w:rPr>
            <w:rStyle w:val="TextoNormalCaracter"/>
          </w:rPr>
          <w:t>70/2002</w:t>
        </w:r>
      </w:hyperlink>
      <w:r>
        <w:t>, f. 8.</w:t>
      </w:r>
    </w:p>
    <w:p w:rsidR="007F4918" w:rsidRDefault="007F4918" w:rsidP="007F4918">
      <w:pPr>
        <w:pStyle w:val="SangriaFrancesaArticulo"/>
      </w:pPr>
      <w:r w:rsidRPr="007F4918">
        <w:rPr>
          <w:rStyle w:val="TextoNormalNegritaCaracter"/>
        </w:rPr>
        <w:t>Artículo 20.2.</w:t>
      </w:r>
      <w:r w:rsidRPr="007F4918">
        <w:rPr>
          <w:rStyle w:val="TextoNormalCaracter"/>
        </w:rPr>
        <w:t>-</w:t>
      </w:r>
      <w:r>
        <w:t xml:space="preserve"> Sentencia </w:t>
      </w:r>
      <w:hyperlink w:anchor="SENTENCIA_2002_12" w:history="1">
        <w:r w:rsidRPr="007F4918">
          <w:rPr>
            <w:rStyle w:val="TextoNormalCaracter"/>
          </w:rPr>
          <w:t>12/2002</w:t>
        </w:r>
      </w:hyperlink>
      <w:r>
        <w:t>, f. 6.</w:t>
      </w:r>
    </w:p>
    <w:p w:rsidR="007F4918" w:rsidRDefault="007F4918" w:rsidP="007F4918">
      <w:pPr>
        <w:pStyle w:val="SangriaFrancesaArticulo"/>
      </w:pPr>
      <w:r w:rsidRPr="007F4918">
        <w:rPr>
          <w:rStyle w:val="TextoNormalNegritaCaracter"/>
        </w:rPr>
        <w:t>Artículo 21.1.</w:t>
      </w:r>
      <w:r w:rsidRPr="007F4918">
        <w:rPr>
          <w:rStyle w:val="TextoNormalCaracter"/>
        </w:rPr>
        <w:t>-</w:t>
      </w:r>
      <w:r>
        <w:t xml:space="preserve"> Sentencia </w:t>
      </w:r>
      <w:hyperlink w:anchor="SENTENCIA_2002_12" w:history="1">
        <w:r w:rsidRPr="007F4918">
          <w:rPr>
            <w:rStyle w:val="TextoNormalCaracter"/>
          </w:rPr>
          <w:t>12/2002</w:t>
        </w:r>
      </w:hyperlink>
      <w:r>
        <w:t>, f. 6.</w:t>
      </w:r>
    </w:p>
    <w:p w:rsidR="007F4918" w:rsidRDefault="007F4918" w:rsidP="007F4918">
      <w:pPr>
        <w:pStyle w:val="SangriaFrancesaArticulo"/>
      </w:pPr>
      <w:r w:rsidRPr="007F4918">
        <w:rPr>
          <w:rStyle w:val="TextoNormalNegritaCaracter"/>
        </w:rPr>
        <w:t>Artículo 53.</w:t>
      </w:r>
      <w:r w:rsidRPr="007F4918">
        <w:rPr>
          <w:rStyle w:val="TextoNormalCaracter"/>
        </w:rPr>
        <w:t>-</w:t>
      </w:r>
      <w:r>
        <w:t xml:space="preserve"> Auto </w:t>
      </w:r>
      <w:hyperlink w:anchor="AUTO_2002_22" w:history="1">
        <w:r w:rsidRPr="007F4918">
          <w:rPr>
            <w:rStyle w:val="TextoNormalCaracter"/>
          </w:rPr>
          <w:t>22/2002</w:t>
        </w:r>
      </w:hyperlink>
      <w:r>
        <w:t>.</w:t>
      </w:r>
    </w:p>
    <w:p w:rsidR="007F4918" w:rsidRDefault="007F4918" w:rsidP="007F4918">
      <w:pPr>
        <w:pStyle w:val="SangriaFrancesaArticulo"/>
      </w:pPr>
      <w:r w:rsidRPr="007F4918">
        <w:rPr>
          <w:rStyle w:val="TextoNormalNegritaCaracter"/>
        </w:rPr>
        <w:t>Artículo 75.</w:t>
      </w:r>
      <w:r w:rsidRPr="007F4918">
        <w:rPr>
          <w:rStyle w:val="TextoNormalCaracter"/>
        </w:rPr>
        <w:t>-</w:t>
      </w:r>
      <w:r>
        <w:t xml:space="preserve"> Auto </w:t>
      </w:r>
      <w:hyperlink w:anchor="AUTO_2002_69" w:history="1">
        <w:r w:rsidRPr="007F4918">
          <w:rPr>
            <w:rStyle w:val="TextoNormalCaracter"/>
          </w:rPr>
          <w:t>69/2002</w:t>
        </w:r>
      </w:hyperlink>
      <w:r>
        <w:t>.</w:t>
      </w:r>
    </w:p>
    <w:p w:rsidR="007F4918" w:rsidRDefault="007F4918" w:rsidP="007F4918">
      <w:pPr>
        <w:pStyle w:val="SangriaFrancesaArticulo"/>
      </w:pPr>
      <w:r w:rsidRPr="007F4918">
        <w:rPr>
          <w:rStyle w:val="TextoNormalNegritaCaracter"/>
        </w:rPr>
        <w:t>Artículo 80.4.</w:t>
      </w:r>
      <w:r w:rsidRPr="007F4918">
        <w:rPr>
          <w:rStyle w:val="TextoNormalCaracter"/>
        </w:rPr>
        <w:t>-</w:t>
      </w:r>
      <w:r>
        <w:t xml:space="preserve"> Sentencia </w:t>
      </w:r>
      <w:hyperlink w:anchor="SENTENCIA_2002_5" w:history="1">
        <w:r w:rsidRPr="007F4918">
          <w:rPr>
            <w:rStyle w:val="TextoNormalCaracter"/>
          </w:rPr>
          <w:t>5/2002</w:t>
        </w:r>
      </w:hyperlink>
      <w:r>
        <w:t>, ff. 1, 3, 4.</w:t>
      </w:r>
    </w:p>
    <w:p w:rsidR="007F4918" w:rsidRDefault="007F4918" w:rsidP="007F4918">
      <w:pPr>
        <w:pStyle w:val="SangriaFrancesaArticulo"/>
      </w:pPr>
      <w:r w:rsidRPr="007F4918">
        <w:rPr>
          <w:rStyle w:val="TextoNormalNegritaCaracter"/>
        </w:rPr>
        <w:t>Artículo 118.</w:t>
      </w:r>
      <w:r w:rsidRPr="007F4918">
        <w:rPr>
          <w:rStyle w:val="TextoNormalCaracter"/>
        </w:rPr>
        <w:t>-</w:t>
      </w:r>
      <w:r>
        <w:t xml:space="preserve"> Sentencia </w:t>
      </w:r>
      <w:hyperlink w:anchor="SENTENCIA_2002_15" w:history="1">
        <w:r w:rsidRPr="007F4918">
          <w:rPr>
            <w:rStyle w:val="TextoNormalCaracter"/>
          </w:rPr>
          <w:t>15/2002</w:t>
        </w:r>
      </w:hyperlink>
      <w:r>
        <w:t>, f. 4.</w:t>
      </w:r>
    </w:p>
    <w:p w:rsidR="007F4918" w:rsidRDefault="007F4918" w:rsidP="007F4918">
      <w:pPr>
        <w:pStyle w:val="SangriaIzquierdaArticulo"/>
      </w:pPr>
      <w:r>
        <w:t xml:space="preserve">Auto </w:t>
      </w:r>
      <w:hyperlink w:anchor="AUTO_2002_14" w:history="1">
        <w:r w:rsidRPr="007F4918">
          <w:rPr>
            <w:rStyle w:val="TextoNormalCaracter"/>
          </w:rPr>
          <w:t>14/2002</w:t>
        </w:r>
      </w:hyperlink>
      <w:r>
        <w:t>.</w:t>
      </w:r>
    </w:p>
    <w:p w:rsidR="007F4918" w:rsidRDefault="007F4918" w:rsidP="007F4918">
      <w:pPr>
        <w:pStyle w:val="SangriaFrancesaArticulo"/>
      </w:pPr>
      <w:r w:rsidRPr="007F4918">
        <w:rPr>
          <w:rStyle w:val="TextoNormalNegritaCaracter"/>
        </w:rPr>
        <w:t>Artículo 179.</w:t>
      </w:r>
      <w:r w:rsidRPr="007F4918">
        <w:rPr>
          <w:rStyle w:val="TextoNormalCaracter"/>
        </w:rPr>
        <w:t>-</w:t>
      </w:r>
      <w:r>
        <w:t xml:space="preserve"> Sentencia </w:t>
      </w:r>
      <w:hyperlink w:anchor="SENTENCIA_2002_12" w:history="1">
        <w:r w:rsidRPr="007F4918">
          <w:rPr>
            <w:rStyle w:val="TextoNormalCaracter"/>
          </w:rPr>
          <w:t>12/2002</w:t>
        </w:r>
      </w:hyperlink>
      <w:r>
        <w:t>, f. 6.</w:t>
      </w:r>
    </w:p>
    <w:p w:rsidR="007F4918" w:rsidRDefault="007F4918" w:rsidP="007F4918">
      <w:pPr>
        <w:pStyle w:val="SangriaFrancesaArticulo"/>
      </w:pPr>
      <w:r w:rsidRPr="007F4918">
        <w:rPr>
          <w:rStyle w:val="TextoNormalNegritaCaracter"/>
        </w:rPr>
        <w:t>Artículo 180.</w:t>
      </w:r>
      <w:r w:rsidRPr="007F4918">
        <w:rPr>
          <w:rStyle w:val="TextoNormalCaracter"/>
        </w:rPr>
        <w:t>-</w:t>
      </w:r>
      <w:r>
        <w:t xml:space="preserve"> Sentencia </w:t>
      </w:r>
      <w:hyperlink w:anchor="SENTENCIA_2002_12" w:history="1">
        <w:r w:rsidRPr="007F4918">
          <w:rPr>
            <w:rStyle w:val="TextoNormalCaracter"/>
          </w:rPr>
          <w:t>12/2002</w:t>
        </w:r>
      </w:hyperlink>
      <w:r>
        <w:t>, f. 6.</w:t>
      </w:r>
    </w:p>
    <w:p w:rsidR="007F4918" w:rsidRDefault="007F4918" w:rsidP="007F4918">
      <w:pPr>
        <w:pStyle w:val="SangriaFrancesaArticulo"/>
      </w:pPr>
      <w:r w:rsidRPr="007F4918">
        <w:rPr>
          <w:rStyle w:val="TextoNormalNegritaCaracter"/>
        </w:rPr>
        <w:t>Artículo 204.</w:t>
      </w:r>
      <w:r w:rsidRPr="007F4918">
        <w:rPr>
          <w:rStyle w:val="TextoNormalCaracter"/>
        </w:rPr>
        <w:t>-</w:t>
      </w:r>
      <w:r>
        <w:t xml:space="preserve"> Sentencia </w:t>
      </w:r>
      <w:hyperlink w:anchor="SENTENCIA_2002_10" w:history="1">
        <w:r w:rsidRPr="007F4918">
          <w:rPr>
            <w:rStyle w:val="TextoNormalCaracter"/>
          </w:rPr>
          <w:t>10/2002</w:t>
        </w:r>
      </w:hyperlink>
      <w:r>
        <w:t>, f. 2.</w:t>
      </w:r>
    </w:p>
    <w:p w:rsidR="007F4918" w:rsidRDefault="007F4918" w:rsidP="007F4918">
      <w:pPr>
        <w:pStyle w:val="SangriaFrancesaArticulo"/>
      </w:pPr>
      <w:r w:rsidRPr="007F4918">
        <w:rPr>
          <w:rStyle w:val="TextoNormalNegritaCaracter"/>
        </w:rPr>
        <w:t>Artículo 244.1.</w:t>
      </w:r>
      <w:r w:rsidRPr="007F4918">
        <w:rPr>
          <w:rStyle w:val="TextoNormalCaracter"/>
        </w:rPr>
        <w:t>-</w:t>
      </w:r>
      <w:r>
        <w:t xml:space="preserve"> Sentencia </w:t>
      </w:r>
      <w:hyperlink w:anchor="SENTENCIA_2002_17" w:history="1">
        <w:r w:rsidRPr="007F4918">
          <w:rPr>
            <w:rStyle w:val="TextoNormalCaracter"/>
          </w:rPr>
          <w:t>17/2002</w:t>
        </w:r>
      </w:hyperlink>
      <w:r>
        <w:t>, f. 6.</w:t>
      </w:r>
    </w:p>
    <w:p w:rsidR="007F4918" w:rsidRDefault="007F4918" w:rsidP="007F4918">
      <w:pPr>
        <w:pStyle w:val="SangriaFrancesaArticulo"/>
      </w:pPr>
      <w:r w:rsidRPr="007F4918">
        <w:rPr>
          <w:rStyle w:val="TextoNormalNegritaCaracter"/>
        </w:rPr>
        <w:t>Artículo 379.</w:t>
      </w:r>
      <w:r w:rsidRPr="007F4918">
        <w:rPr>
          <w:rStyle w:val="TextoNormalCaracter"/>
        </w:rPr>
        <w:t>-</w:t>
      </w:r>
      <w:r>
        <w:t xml:space="preserve"> Auto </w:t>
      </w:r>
      <w:hyperlink w:anchor="AUTO_2002_62" w:history="1">
        <w:r w:rsidRPr="007F4918">
          <w:rPr>
            <w:rStyle w:val="TextoNormalCaracter"/>
          </w:rPr>
          <w:t>62/2002</w:t>
        </w:r>
      </w:hyperlink>
      <w:r>
        <w:t>.</w:t>
      </w:r>
    </w:p>
    <w:p w:rsidR="007F4918" w:rsidRDefault="007F4918" w:rsidP="007F4918">
      <w:pPr>
        <w:pStyle w:val="SangriaFrancesaArticulo"/>
      </w:pPr>
      <w:r w:rsidRPr="007F4918">
        <w:rPr>
          <w:rStyle w:val="TextoNormalNegritaCaracter"/>
        </w:rPr>
        <w:t>Artículo 534.</w:t>
      </w:r>
      <w:r w:rsidRPr="007F4918">
        <w:rPr>
          <w:rStyle w:val="TextoNormalCaracter"/>
        </w:rPr>
        <w:t>-</w:t>
      </w:r>
      <w:r>
        <w:t xml:space="preserve"> Sentencia </w:t>
      </w:r>
      <w:hyperlink w:anchor="SENTENCIA_2002_10" w:history="1">
        <w:r w:rsidRPr="007F4918">
          <w:rPr>
            <w:rStyle w:val="TextoNormalCaracter"/>
          </w:rPr>
          <w:t>10/2002</w:t>
        </w:r>
      </w:hyperlink>
      <w:r>
        <w:t>, f. 2.</w:t>
      </w:r>
    </w:p>
    <w:p w:rsidR="007F4918" w:rsidRDefault="007F4918" w:rsidP="007F4918">
      <w:pPr>
        <w:pStyle w:val="SangriaFrancesaArticulo"/>
      </w:pPr>
      <w:r w:rsidRPr="007F4918">
        <w:rPr>
          <w:rStyle w:val="TextoNormalNegritaCaracter"/>
        </w:rPr>
        <w:t>Artículo 617.</w:t>
      </w:r>
      <w:r w:rsidRPr="007F4918">
        <w:rPr>
          <w:rStyle w:val="TextoNormalCaracter"/>
        </w:rPr>
        <w:t>-</w:t>
      </w:r>
      <w:r>
        <w:t xml:space="preserve"> Sentencia </w:t>
      </w:r>
      <w:hyperlink w:anchor="SENTENCIA_2002_91" w:history="1">
        <w:r w:rsidRPr="007F4918">
          <w:rPr>
            <w:rStyle w:val="TextoNormalCaracter"/>
          </w:rPr>
          <w:t>91/2002</w:t>
        </w:r>
      </w:hyperlink>
      <w:r>
        <w:t>, f. 4.</w:t>
      </w:r>
    </w:p>
    <w:p w:rsidR="007F4918" w:rsidRDefault="007F4918" w:rsidP="007F4918">
      <w:pPr>
        <w:pStyle w:val="SangriaFrancesaArticulo"/>
      </w:pPr>
      <w:r w:rsidRPr="007F4918">
        <w:rPr>
          <w:rStyle w:val="TextoNormalNegritaCaracter"/>
        </w:rPr>
        <w:t>Artículo 620.2.</w:t>
      </w:r>
      <w:r w:rsidRPr="007F4918">
        <w:rPr>
          <w:rStyle w:val="TextoNormalCaracter"/>
        </w:rPr>
        <w:t>-</w:t>
      </w:r>
      <w:r>
        <w:t xml:space="preserve"> Sentencia </w:t>
      </w:r>
      <w:hyperlink w:anchor="SENTENCIA_2002_76" w:history="1">
        <w:r w:rsidRPr="007F4918">
          <w:rPr>
            <w:rStyle w:val="TextoNormalCaracter"/>
          </w:rPr>
          <w:t>76/2002</w:t>
        </w:r>
      </w:hyperlink>
      <w:r>
        <w:t>, f. 1.</w:t>
      </w:r>
    </w:p>
    <w:p w:rsidR="007F4918" w:rsidRDefault="007F4918" w:rsidP="007F4918">
      <w:pPr>
        <w:pStyle w:val="SangriaFrancesaArticulo"/>
      </w:pPr>
      <w:r w:rsidRPr="007F4918">
        <w:rPr>
          <w:rStyle w:val="TextoNormalNegritaCaracter"/>
        </w:rPr>
        <w:t>Artículo 621.</w:t>
      </w:r>
      <w:r w:rsidRPr="007F4918">
        <w:rPr>
          <w:rStyle w:val="TextoNormalCaracter"/>
        </w:rPr>
        <w:t>-</w:t>
      </w:r>
      <w:r>
        <w:t xml:space="preserve"> Auto </w:t>
      </w:r>
      <w:hyperlink w:anchor="AUTO_2002_6" w:history="1">
        <w:r w:rsidRPr="007F4918">
          <w:rPr>
            <w:rStyle w:val="TextoNormalCaracter"/>
          </w:rPr>
          <w:t>6/2002</w:t>
        </w:r>
      </w:hyperlink>
      <w:r>
        <w:t>.</w:t>
      </w:r>
    </w:p>
    <w:p w:rsidR="007F4918" w:rsidRDefault="007F4918" w:rsidP="007F4918">
      <w:pPr>
        <w:pStyle w:val="SangriaFrancesaArticulo"/>
      </w:pPr>
      <w:r w:rsidRPr="007F4918">
        <w:rPr>
          <w:rStyle w:val="TextoNormalNegritaCaracter"/>
        </w:rPr>
        <w:t>Artículo 621.3.</w:t>
      </w:r>
      <w:r w:rsidRPr="007F4918">
        <w:rPr>
          <w:rStyle w:val="TextoNormalCaracter"/>
        </w:rPr>
        <w:t>-</w:t>
      </w:r>
      <w:r>
        <w:t xml:space="preserve"> Sentencia </w:t>
      </w:r>
      <w:hyperlink w:anchor="SENTENCIA_2002_49" w:history="1">
        <w:r w:rsidRPr="007F4918">
          <w:rPr>
            <w:rStyle w:val="TextoNormalCaracter"/>
          </w:rPr>
          <w:t>49/2002</w:t>
        </w:r>
      </w:hyperlink>
      <w:r>
        <w:t>, f. 3.</w:t>
      </w:r>
    </w:p>
    <w:p w:rsidR="007F4918" w:rsidRDefault="007F4918" w:rsidP="007F4918">
      <w:pPr>
        <w:pStyle w:val="SangriaFrancesaArticulo"/>
      </w:pPr>
      <w:r w:rsidRPr="007F4918">
        <w:rPr>
          <w:rStyle w:val="TextoNormalNegritaCaracter"/>
        </w:rPr>
        <w:t>Artículo 631.</w:t>
      </w:r>
      <w:r w:rsidRPr="007F4918">
        <w:rPr>
          <w:rStyle w:val="TextoNormalCaracter"/>
        </w:rPr>
        <w:t>-</w:t>
      </w:r>
      <w:r>
        <w:t xml:space="preserve"> Auto </w:t>
      </w:r>
      <w:hyperlink w:anchor="AUTO_2002_6" w:history="1">
        <w:r w:rsidRPr="007F4918">
          <w:rPr>
            <w:rStyle w:val="TextoNormalCaracter"/>
          </w:rPr>
          <w:t>6/2002</w:t>
        </w:r>
      </w:hyperlink>
      <w:r>
        <w:t>.</w:t>
      </w:r>
    </w:p>
    <w:p w:rsidR="007F4918" w:rsidRDefault="007F4918" w:rsidP="007F4918">
      <w:pPr>
        <w:pStyle w:val="SangriaFrancesaArticulo"/>
      </w:pPr>
      <w:r w:rsidRPr="007F4918">
        <w:rPr>
          <w:rStyle w:val="TextoNormalNegritaCaracter"/>
        </w:rPr>
        <w:t>Disposición transitoria primera.</w:t>
      </w:r>
      <w:r w:rsidRPr="007F4918">
        <w:rPr>
          <w:rStyle w:val="TextoNormalCaracter"/>
        </w:rPr>
        <w:t>-</w:t>
      </w:r>
      <w:r>
        <w:t xml:space="preserve"> Sentencias </w:t>
      </w:r>
      <w:hyperlink w:anchor="SENTENCIA_2002_12" w:history="1">
        <w:r w:rsidRPr="007F4918">
          <w:rPr>
            <w:rStyle w:val="TextoNormalCaracter"/>
          </w:rPr>
          <w:t>12/2002</w:t>
        </w:r>
      </w:hyperlink>
      <w:r>
        <w:t xml:space="preserve">, f. 6; </w:t>
      </w:r>
      <w:hyperlink w:anchor="SENTENCIA_2002_17" w:history="1">
        <w:r w:rsidRPr="007F4918">
          <w:rPr>
            <w:rStyle w:val="TextoNormalCaracter"/>
          </w:rPr>
          <w:t>17/2002</w:t>
        </w:r>
      </w:hyperlink>
      <w:r>
        <w:t>, f. 6.</w:t>
      </w:r>
    </w:p>
    <w:p w:rsidR="007F4918" w:rsidRDefault="007F4918" w:rsidP="007F4918">
      <w:pPr>
        <w:pStyle w:val="SangriaFrancesaArticulo"/>
      </w:pPr>
      <w:r w:rsidRPr="007F4918">
        <w:rPr>
          <w:rStyle w:val="TextoNormalNegritaCaracter"/>
        </w:rPr>
        <w:t>Disposición final quinta.</w:t>
      </w:r>
      <w:r w:rsidRPr="007F4918">
        <w:rPr>
          <w:rStyle w:val="TextoNormalCaracter"/>
        </w:rPr>
        <w:t>-</w:t>
      </w:r>
      <w:r>
        <w:t xml:space="preserve"> Sentencia </w:t>
      </w:r>
      <w:hyperlink w:anchor="SENTENCIA_2002_77" w:history="1">
        <w:r w:rsidRPr="007F4918">
          <w:rPr>
            <w:rStyle w:val="TextoNormalCaracter"/>
          </w:rPr>
          <w:t>77/2002</w:t>
        </w:r>
      </w:hyperlink>
      <w:r>
        <w:t>, f. 4.</w:t>
      </w:r>
    </w:p>
    <w:p w:rsidR="007F4918" w:rsidRDefault="007F4918" w:rsidP="007F4918">
      <w:pPr>
        <w:pStyle w:val="SangriaFrancesaArticulo"/>
      </w:pPr>
    </w:p>
    <w:p w:rsidR="007F4918" w:rsidRDefault="007F4918" w:rsidP="007F4918">
      <w:pPr>
        <w:pStyle w:val="TextoNormalNegritaCursivandice"/>
      </w:pPr>
      <w:r>
        <w:lastRenderedPageBreak/>
        <w:t>Ley Orgánica 12/1995, de 12 de diciembre. Represión del contrabando</w:t>
      </w:r>
    </w:p>
    <w:p w:rsidR="007F4918" w:rsidRDefault="007F4918" w:rsidP="007F4918">
      <w:pPr>
        <w:pStyle w:val="SangriaFrancesaArticulo"/>
      </w:pPr>
      <w:r w:rsidRPr="007F4918">
        <w:rPr>
          <w:rStyle w:val="TextoNormalNegritaCaracter"/>
        </w:rPr>
        <w:t>Exposición de motivos.</w:t>
      </w:r>
      <w:r w:rsidRPr="007F4918">
        <w:rPr>
          <w:rStyle w:val="TextoNormalCaracter"/>
        </w:rPr>
        <w:t>-</w:t>
      </w:r>
      <w:r>
        <w:t xml:space="preserve"> Sentencia </w:t>
      </w:r>
      <w:hyperlink w:anchor="SENTENCIA_2002_82" w:history="1">
        <w:r w:rsidRPr="007F4918">
          <w:rPr>
            <w:rStyle w:val="TextoNormalCaracter"/>
          </w:rPr>
          <w:t>82/2002</w:t>
        </w:r>
      </w:hyperlink>
      <w:r>
        <w:t>, f. 4.</w:t>
      </w:r>
    </w:p>
    <w:p w:rsidR="007F4918" w:rsidRDefault="007F4918" w:rsidP="007F4918">
      <w:pPr>
        <w:pStyle w:val="SangriaFrancesaArticulo"/>
      </w:pPr>
    </w:p>
    <w:p w:rsidR="007F4918" w:rsidRDefault="007F4918" w:rsidP="007F4918">
      <w:pPr>
        <w:pStyle w:val="TextoNormalNegritaCursivandice"/>
      </w:pPr>
      <w:r>
        <w:t>Ley Orgánica 2/1996, de 15 de enero. Complementaria de la Ley 7/1996, de 15 de enero, de ordenación del comercio minorista</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p>
    <w:p w:rsidR="007F4918" w:rsidRDefault="007F4918" w:rsidP="007F4918">
      <w:pPr>
        <w:pStyle w:val="TextoNormalNegritaCursivandice"/>
      </w:pPr>
      <w:r>
        <w:t>Ley Orgánica 5/1997, de 4 de diciembre. Reforma de la Ley Orgánica 6/1985, de 1 de julio, del Poder judicial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18" w:history="1">
        <w:r w:rsidRPr="007F4918">
          <w:rPr>
            <w:rStyle w:val="TextoNormalCaracter"/>
          </w:rPr>
          <w:t>18/2002</w:t>
        </w:r>
      </w:hyperlink>
      <w:r>
        <w:t xml:space="preserve">, ff. 4, 5; </w:t>
      </w:r>
      <w:hyperlink w:anchor="SENTENCIA_2002_31" w:history="1">
        <w:r w:rsidRPr="007F4918">
          <w:rPr>
            <w:rStyle w:val="TextoNormalCaracter"/>
          </w:rPr>
          <w:t>31/2002</w:t>
        </w:r>
      </w:hyperlink>
      <w:r>
        <w:t xml:space="preserve">, f. 2; </w:t>
      </w:r>
      <w:hyperlink w:anchor="SENTENCIA_2002_32" w:history="1">
        <w:r w:rsidRPr="007F4918">
          <w:rPr>
            <w:rStyle w:val="TextoNormalCaracter"/>
          </w:rPr>
          <w:t>32/2002</w:t>
        </w:r>
      </w:hyperlink>
      <w:r>
        <w:t xml:space="preserve">, f. 2; </w:t>
      </w:r>
      <w:hyperlink w:anchor="SENTENCIA_2002_74" w:history="1">
        <w:r w:rsidRPr="007F4918">
          <w:rPr>
            <w:rStyle w:val="TextoNormalCaracter"/>
          </w:rPr>
          <w:t>74/2002</w:t>
        </w:r>
      </w:hyperlink>
      <w:r>
        <w:t xml:space="preserve">, f. 2; </w:t>
      </w:r>
      <w:hyperlink w:anchor="SENTENCIA_2002_87" w:history="1">
        <w:r w:rsidRPr="007F4918">
          <w:rPr>
            <w:rStyle w:val="TextoNormalCaracter"/>
          </w:rPr>
          <w:t>87/2002</w:t>
        </w:r>
      </w:hyperlink>
      <w:r>
        <w:t xml:space="preserve">, f. 2; </w:t>
      </w:r>
      <w:hyperlink w:anchor="SENTENCIA_2002_93" w:history="1">
        <w:r w:rsidRPr="007F4918">
          <w:rPr>
            <w:rStyle w:val="TextoNormalCaracter"/>
          </w:rPr>
          <w:t>93/2002</w:t>
        </w:r>
      </w:hyperlink>
      <w:r>
        <w:t>, f. 3.</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87" w:history="1">
        <w:r w:rsidRPr="007F4918">
          <w:rPr>
            <w:rStyle w:val="TextoNormalCaracter"/>
          </w:rPr>
          <w:t>87/2002</w:t>
        </w:r>
      </w:hyperlink>
      <w:r>
        <w:t>, f. 2.</w:t>
      </w:r>
    </w:p>
    <w:p w:rsidR="007F4918" w:rsidRDefault="007F4918" w:rsidP="007F4918">
      <w:pPr>
        <w:pStyle w:val="SangriaFrancesaArticulo"/>
      </w:pPr>
      <w:r w:rsidRPr="007F4918">
        <w:rPr>
          <w:rStyle w:val="TextoNormalNegritaCaracter"/>
        </w:rPr>
        <w:t>Artículo 240.2.</w:t>
      </w:r>
      <w:r w:rsidRPr="007F4918">
        <w:rPr>
          <w:rStyle w:val="TextoNormalCaracter"/>
        </w:rPr>
        <w:t>-</w:t>
      </w:r>
      <w:r>
        <w:t xml:space="preserve"> Sentencia </w:t>
      </w:r>
      <w:hyperlink w:anchor="SENTENCIA_2002_18" w:history="1">
        <w:r w:rsidRPr="007F4918">
          <w:rPr>
            <w:rStyle w:val="TextoNormalCaracter"/>
          </w:rPr>
          <w:t>18/2002</w:t>
        </w:r>
      </w:hyperlink>
      <w:r>
        <w:t>, f. 5.</w:t>
      </w:r>
    </w:p>
    <w:p w:rsidR="007F4918" w:rsidRDefault="007F4918" w:rsidP="007F4918">
      <w:pPr>
        <w:pStyle w:val="SangriaFrancesaArticulo"/>
      </w:pPr>
      <w:r w:rsidRPr="007F4918">
        <w:rPr>
          <w:rStyle w:val="TextoNormalNegritaCaracter"/>
        </w:rPr>
        <w:t>Artículo 240.3.</w:t>
      </w:r>
      <w:r w:rsidRPr="007F4918">
        <w:rPr>
          <w:rStyle w:val="TextoNormalCaracter"/>
        </w:rPr>
        <w:t>-</w:t>
      </w:r>
      <w:r>
        <w:t xml:space="preserve"> Sentencias </w:t>
      </w:r>
      <w:hyperlink w:anchor="SENTENCIA_2002_18" w:history="1">
        <w:r w:rsidRPr="007F4918">
          <w:rPr>
            <w:rStyle w:val="TextoNormalCaracter"/>
          </w:rPr>
          <w:t>18/2002</w:t>
        </w:r>
      </w:hyperlink>
      <w:r>
        <w:t xml:space="preserve">, f. 5; </w:t>
      </w:r>
      <w:hyperlink w:anchor="SENTENCIA_2002_85" w:history="1">
        <w:r w:rsidRPr="007F4918">
          <w:rPr>
            <w:rStyle w:val="TextoNormalCaracter"/>
          </w:rPr>
          <w:t>85/2002</w:t>
        </w:r>
      </w:hyperlink>
      <w:r>
        <w:t>, f. 3.</w:t>
      </w:r>
    </w:p>
    <w:p w:rsidR="007F4918" w:rsidRDefault="007F4918" w:rsidP="007F4918">
      <w:pPr>
        <w:pStyle w:val="SangriaFrancesaArticulo"/>
      </w:pPr>
      <w:r w:rsidRPr="007F4918">
        <w:rPr>
          <w:rStyle w:val="TextoNormalNegritaCaracter"/>
        </w:rPr>
        <w:t>Artículo 240.4.</w:t>
      </w:r>
      <w:r w:rsidRPr="007F4918">
        <w:rPr>
          <w:rStyle w:val="TextoNormalCaracter"/>
        </w:rPr>
        <w:t>-</w:t>
      </w:r>
      <w:r>
        <w:t xml:space="preserve"> Sentencia </w:t>
      </w:r>
      <w:hyperlink w:anchor="SENTENCIA_2002_18" w:history="1">
        <w:r w:rsidRPr="007F4918">
          <w:rPr>
            <w:rStyle w:val="TextoNormalCaracter"/>
          </w:rPr>
          <w:t>18/2002</w:t>
        </w:r>
      </w:hyperlink>
      <w:r>
        <w:t>, f. 5.</w:t>
      </w:r>
    </w:p>
    <w:p w:rsidR="007F4918" w:rsidRDefault="007F4918" w:rsidP="007F4918">
      <w:pPr>
        <w:pStyle w:val="SangriaFrancesaArticulo"/>
      </w:pPr>
      <w:r w:rsidRPr="007F4918">
        <w:rPr>
          <w:rStyle w:val="TextoNormalNegritaCaracter"/>
        </w:rPr>
        <w:t>Disposición transitoria primera.</w:t>
      </w:r>
      <w:r w:rsidRPr="007F4918">
        <w:rPr>
          <w:rStyle w:val="TextoNormalCaracter"/>
        </w:rPr>
        <w:t>-</w:t>
      </w:r>
      <w:r>
        <w:t xml:space="preserve"> Sentencias </w:t>
      </w:r>
      <w:hyperlink w:anchor="SENTENCIA_2002_18" w:history="1">
        <w:r w:rsidRPr="007F4918">
          <w:rPr>
            <w:rStyle w:val="TextoNormalCaracter"/>
          </w:rPr>
          <w:t>18/2002</w:t>
        </w:r>
      </w:hyperlink>
      <w:r>
        <w:t xml:space="preserve">, f. 5; </w:t>
      </w:r>
      <w:hyperlink w:anchor="SENTENCIA_2002_74" w:history="1">
        <w:r w:rsidRPr="007F4918">
          <w:rPr>
            <w:rStyle w:val="TextoNormalCaracter"/>
          </w:rPr>
          <w:t>74/2002</w:t>
        </w:r>
      </w:hyperlink>
      <w:r>
        <w:t xml:space="preserve">, f. 2; </w:t>
      </w:r>
      <w:hyperlink w:anchor="SENTENCIA_2002_87" w:history="1">
        <w:r w:rsidRPr="007F4918">
          <w:rPr>
            <w:rStyle w:val="TextoNormalCaracter"/>
          </w:rPr>
          <w:t>87/2002</w:t>
        </w:r>
      </w:hyperlink>
      <w:r>
        <w:t>, f. 2.</w:t>
      </w:r>
    </w:p>
    <w:p w:rsidR="007F4918" w:rsidRDefault="007F4918" w:rsidP="007F4918">
      <w:pPr>
        <w:pStyle w:val="SangriaFrancesaArticulo"/>
      </w:pPr>
      <w:r w:rsidRPr="007F4918">
        <w:rPr>
          <w:rStyle w:val="TextoNormalNegritaCaracter"/>
        </w:rPr>
        <w:t>Disposición final única.</w:t>
      </w:r>
      <w:r w:rsidRPr="007F4918">
        <w:rPr>
          <w:rStyle w:val="TextoNormalCaracter"/>
        </w:rPr>
        <w:t>-</w:t>
      </w:r>
      <w:r>
        <w:t xml:space="preserve"> Sentencias </w:t>
      </w:r>
      <w:hyperlink w:anchor="SENTENCIA_2002_18" w:history="1">
        <w:r w:rsidRPr="007F4918">
          <w:rPr>
            <w:rStyle w:val="TextoNormalCaracter"/>
          </w:rPr>
          <w:t>18/2002</w:t>
        </w:r>
      </w:hyperlink>
      <w:r>
        <w:t xml:space="preserve">, f. 5; </w:t>
      </w:r>
      <w:hyperlink w:anchor="SENTENCIA_2002_74" w:history="1">
        <w:r w:rsidRPr="007F4918">
          <w:rPr>
            <w:rStyle w:val="TextoNormalCaracter"/>
          </w:rPr>
          <w:t>74/2002</w:t>
        </w:r>
      </w:hyperlink>
      <w:r>
        <w:t xml:space="preserve">, f. 2; </w:t>
      </w:r>
      <w:hyperlink w:anchor="SENTENCIA_2002_85" w:history="1">
        <w:r w:rsidRPr="007F4918">
          <w:rPr>
            <w:rStyle w:val="TextoNormalCaracter"/>
          </w:rPr>
          <w:t>85/2002</w:t>
        </w:r>
      </w:hyperlink>
      <w:r>
        <w:t>, f. 3.</w:t>
      </w:r>
    </w:p>
    <w:p w:rsidR="007F4918" w:rsidRDefault="007F4918" w:rsidP="007F4918">
      <w:pPr>
        <w:pStyle w:val="SangriaFrancesaArticulo"/>
      </w:pPr>
    </w:p>
    <w:p w:rsidR="007F4918" w:rsidRDefault="007F4918" w:rsidP="007F4918">
      <w:pPr>
        <w:pStyle w:val="TextoNormalNegritaCursivandice"/>
      </w:pPr>
      <w:r>
        <w:t>Ley Orgánica 6/1997, de 15 de diciembre. Transferencia de competencias ejecutivas en materia de tráfico y circulación de vehículos a motor a la Comunidad Autónoma de Cataluña</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r w:rsidRPr="007F4918">
        <w:rPr>
          <w:rStyle w:val="TextoNormalNegritaCaracter"/>
        </w:rPr>
        <w:t>Artículo 1 a).</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p>
    <w:p w:rsidR="007F4918" w:rsidRDefault="007F4918" w:rsidP="007F4918">
      <w:pPr>
        <w:pStyle w:val="TextoNormalNegritaCursivandice"/>
      </w:pPr>
      <w:r>
        <w:t>Ley Orgánica 6/1998, de 13 de julio. Reforma de la Ley Orgánica 6/1985, de 1 de julio, del Poder judicial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2" w:history="1">
        <w:r w:rsidRPr="007F4918">
          <w:rPr>
            <w:rStyle w:val="TextoNormalCaracter"/>
          </w:rPr>
          <w:t>92/2002</w:t>
        </w:r>
      </w:hyperlink>
      <w:r>
        <w:t>, ff. 3, 4.</w:t>
      </w:r>
    </w:p>
    <w:p w:rsidR="007F4918" w:rsidRDefault="007F4918" w:rsidP="007F4918">
      <w:pPr>
        <w:pStyle w:val="SangriaFrancesaArticulo"/>
      </w:pPr>
    </w:p>
    <w:p w:rsidR="007F4918" w:rsidRDefault="007F4918" w:rsidP="007F4918">
      <w:pPr>
        <w:pStyle w:val="TextoNormalNegritaCursivandice"/>
      </w:pPr>
      <w:r>
        <w:t>Ley Orgánica 13/1999, de 14 de mayo. Modificación de los artículos 19 y 240 de la Ley Orgánica 6/1985, de 1 de julio, del Poder judicial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18" w:history="1">
        <w:r w:rsidRPr="007F4918">
          <w:rPr>
            <w:rStyle w:val="TextoNormalCaracter"/>
          </w:rPr>
          <w:t>18/2002</w:t>
        </w:r>
      </w:hyperlink>
      <w:r>
        <w:t xml:space="preserve">, f. 5; </w:t>
      </w:r>
      <w:hyperlink w:anchor="SENTENCIA_2002_31" w:history="1">
        <w:r w:rsidRPr="007F4918">
          <w:rPr>
            <w:rStyle w:val="TextoNormalCaracter"/>
          </w:rPr>
          <w:t>31/2002</w:t>
        </w:r>
      </w:hyperlink>
      <w:r>
        <w:t xml:space="preserve">, f. 2; </w:t>
      </w:r>
      <w:hyperlink w:anchor="SENTENCIA_2002_32" w:history="1">
        <w:r w:rsidRPr="007F4918">
          <w:rPr>
            <w:rStyle w:val="TextoNormalCaracter"/>
          </w:rPr>
          <w:t>32/2002</w:t>
        </w:r>
      </w:hyperlink>
      <w:r>
        <w:t xml:space="preserve">, f. 2; </w:t>
      </w:r>
      <w:hyperlink w:anchor="SENTENCIA_2002_85" w:history="1">
        <w:r w:rsidRPr="007F4918">
          <w:rPr>
            <w:rStyle w:val="TextoNormalCaracter"/>
          </w:rPr>
          <w:t>85/2002</w:t>
        </w:r>
      </w:hyperlink>
      <w:r>
        <w:t xml:space="preserve">, f. 3; </w:t>
      </w:r>
      <w:hyperlink w:anchor="SENTENCIA_2002_87" w:history="1">
        <w:r w:rsidRPr="007F4918">
          <w:rPr>
            <w:rStyle w:val="TextoNormalCaracter"/>
          </w:rPr>
          <w:t>87/2002</w:t>
        </w:r>
      </w:hyperlink>
      <w:r>
        <w:t>, f. 2.</w:t>
      </w:r>
    </w:p>
    <w:p w:rsidR="007F4918" w:rsidRDefault="007F4918" w:rsidP="007F4918">
      <w:pPr>
        <w:pStyle w:val="SangriaFrancesaArticulo"/>
      </w:pPr>
      <w:r w:rsidRPr="007F4918">
        <w:rPr>
          <w:rStyle w:val="TextoNormalNegritaCaracter"/>
        </w:rPr>
        <w:t>Exposición de motivos.</w:t>
      </w:r>
      <w:r w:rsidRPr="007F4918">
        <w:rPr>
          <w:rStyle w:val="TextoNormalCaracter"/>
        </w:rPr>
        <w:t>-</w:t>
      </w:r>
      <w:r>
        <w:t xml:space="preserve"> Sentencia </w:t>
      </w:r>
      <w:hyperlink w:anchor="SENTENCIA_2002_87" w:history="1">
        <w:r w:rsidRPr="007F4918">
          <w:rPr>
            <w:rStyle w:val="TextoNormalCaracter"/>
          </w:rPr>
          <w:t>87/2002</w:t>
        </w:r>
      </w:hyperlink>
      <w:r>
        <w:t>, f. 2.</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87" w:history="1">
        <w:r w:rsidRPr="007F4918">
          <w:rPr>
            <w:rStyle w:val="TextoNormalCaracter"/>
          </w:rPr>
          <w:t>87/2002</w:t>
        </w:r>
      </w:hyperlink>
      <w:r>
        <w:t>, f. 2.</w:t>
      </w:r>
    </w:p>
    <w:p w:rsidR="007F4918" w:rsidRDefault="007F4918" w:rsidP="007F4918">
      <w:pPr>
        <w:pStyle w:val="SangriaFrancesaArticulo"/>
      </w:pPr>
      <w:r w:rsidRPr="007F4918">
        <w:rPr>
          <w:rStyle w:val="TextoNormalNegritaCaracter"/>
        </w:rPr>
        <w:t>Disposición transitoria única.</w:t>
      </w:r>
      <w:r w:rsidRPr="007F4918">
        <w:rPr>
          <w:rStyle w:val="TextoNormalCaracter"/>
        </w:rPr>
        <w:t>-</w:t>
      </w:r>
      <w:r>
        <w:t xml:space="preserve"> Sentencia </w:t>
      </w:r>
      <w:hyperlink w:anchor="SENTENCIA_2002_87" w:history="1">
        <w:r w:rsidRPr="007F4918">
          <w:rPr>
            <w:rStyle w:val="TextoNormalCaracter"/>
          </w:rPr>
          <w:t>87/2002</w:t>
        </w:r>
      </w:hyperlink>
      <w:r>
        <w:t>, f. 2.</w:t>
      </w:r>
    </w:p>
    <w:p w:rsidR="007F4918" w:rsidRDefault="007F4918" w:rsidP="007F4918">
      <w:pPr>
        <w:pStyle w:val="SangriaFrancesaArticulo"/>
      </w:pPr>
    </w:p>
    <w:p w:rsidR="007F4918" w:rsidRDefault="007F4918" w:rsidP="007F4918">
      <w:pPr>
        <w:pStyle w:val="TextoNormalNegritaCursivandice"/>
      </w:pPr>
      <w:r>
        <w:t>Ley Orgánica 4/2000, de 11 de enero. Derechos y libertades de los extranjeros en España y su integración social</w:t>
      </w:r>
    </w:p>
    <w:p w:rsidR="007F4918" w:rsidRDefault="007F4918" w:rsidP="007F4918">
      <w:pPr>
        <w:pStyle w:val="SangriaFrancesaArticulo"/>
      </w:pPr>
      <w:r w:rsidRPr="007F4918">
        <w:rPr>
          <w:rStyle w:val="TextoNormalNegritaCaracter"/>
        </w:rPr>
        <w:t>Artículo 25.1.</w:t>
      </w:r>
      <w:r w:rsidRPr="007F4918">
        <w:rPr>
          <w:rStyle w:val="TextoNormalCaracter"/>
        </w:rPr>
        <w:t>-</w:t>
      </w:r>
      <w:r>
        <w:t xml:space="preserve"> Sentencia </w:t>
      </w:r>
      <w:hyperlink w:anchor="SENTENCIA_2002_53" w:history="1">
        <w:r w:rsidRPr="007F4918">
          <w:rPr>
            <w:rStyle w:val="TextoNormalCaracter"/>
          </w:rPr>
          <w:t>53/2002</w:t>
        </w:r>
      </w:hyperlink>
      <w:r>
        <w:t>, f. 4.</w:t>
      </w:r>
    </w:p>
    <w:p w:rsidR="007F4918" w:rsidRDefault="007F4918" w:rsidP="007F4918">
      <w:pPr>
        <w:pStyle w:val="SangriaFrancesaArticulo"/>
      </w:pPr>
      <w:r w:rsidRPr="007F4918">
        <w:rPr>
          <w:rStyle w:val="TextoNormalNegritaCaracter"/>
        </w:rPr>
        <w:t>Artículo 25.2.</w:t>
      </w:r>
      <w:r w:rsidRPr="007F4918">
        <w:rPr>
          <w:rStyle w:val="TextoNormalCaracter"/>
        </w:rPr>
        <w:t>-</w:t>
      </w:r>
      <w:r>
        <w:t xml:space="preserve"> Sentencia </w:t>
      </w:r>
      <w:hyperlink w:anchor="SENTENCIA_2002_53" w:history="1">
        <w:r w:rsidRPr="007F4918">
          <w:rPr>
            <w:rStyle w:val="TextoNormalCaracter"/>
          </w:rPr>
          <w:t>53/2002</w:t>
        </w:r>
      </w:hyperlink>
      <w:r>
        <w:t>, f. 4.</w:t>
      </w:r>
    </w:p>
    <w:p w:rsidR="007F4918" w:rsidRDefault="007F4918" w:rsidP="007F4918">
      <w:pPr>
        <w:pStyle w:val="SangriaFrancesaArticulo"/>
      </w:pPr>
    </w:p>
    <w:p w:rsidR="007F4918" w:rsidRDefault="007F4918" w:rsidP="007F4918">
      <w:pPr>
        <w:pStyle w:val="TextoNormalNegritaCursivandice"/>
      </w:pPr>
      <w:r>
        <w:t>Ley Orgánica 8/2000, de 22 de diciembre. Reforma parcial de la Ley Orgánica 4/2000, de 11 de enero, sobre derechos y libertades de los extranjeros en España y su integración social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f. 4.</w:t>
      </w:r>
    </w:p>
    <w:p w:rsidR="007F4918" w:rsidRDefault="007F4918" w:rsidP="007F4918">
      <w:pPr>
        <w:pStyle w:val="TextoNormal"/>
      </w:pPr>
    </w:p>
    <w:p w:rsidR="007F4918" w:rsidRDefault="007F4918" w:rsidP="007F4918">
      <w:pPr>
        <w:pStyle w:val="SangriaFrancesaArticulo"/>
      </w:pPr>
      <w:bookmarkStart w:id="182" w:name="INDICE22846"/>
    </w:p>
    <w:bookmarkEnd w:id="182"/>
    <w:p w:rsidR="007F4918" w:rsidRDefault="007F4918" w:rsidP="007F4918">
      <w:pPr>
        <w:pStyle w:val="TextoIndiceNivel2"/>
        <w:suppressAutoHyphens/>
      </w:pPr>
      <w:r>
        <w:t>E) Leyes de las Cortes Generales</w:t>
      </w:r>
    </w:p>
    <w:p w:rsidR="007F4918" w:rsidRDefault="007F4918" w:rsidP="007F4918">
      <w:pPr>
        <w:pStyle w:val="TextoIndiceNivel2"/>
      </w:pPr>
    </w:p>
    <w:p w:rsidR="007F4918" w:rsidRDefault="007F4918" w:rsidP="007F4918">
      <w:pPr>
        <w:pStyle w:val="TextoNormalNegritaCursivandice"/>
      </w:pPr>
      <w:r>
        <w:t>Ley 40/1979, de 10 de diciembre. Régimen jurídico de control de cambios</w:t>
      </w:r>
    </w:p>
    <w:p w:rsidR="007F4918" w:rsidRDefault="007F4918" w:rsidP="007F4918">
      <w:pPr>
        <w:pStyle w:val="SangriaFrancesaArticulo"/>
      </w:pPr>
      <w:r w:rsidRPr="007F4918">
        <w:rPr>
          <w:rStyle w:val="TextoNormalNegritaCaracter"/>
        </w:rPr>
        <w:t>Artículo 10.2.</w:t>
      </w:r>
      <w:r w:rsidRPr="007F4918">
        <w:rPr>
          <w:rStyle w:val="TextoNormalCaracter"/>
        </w:rPr>
        <w:t>-</w:t>
      </w:r>
      <w:r>
        <w:t xml:space="preserve"> Sentencia </w:t>
      </w:r>
      <w:hyperlink w:anchor="SENTENCIA_2002_75" w:history="1">
        <w:r w:rsidRPr="007F4918">
          <w:rPr>
            <w:rStyle w:val="TextoNormalCaracter"/>
          </w:rPr>
          <w:t>75/2002</w:t>
        </w:r>
      </w:hyperlink>
      <w:r>
        <w:t>, ff. 1, 3, 6.</w:t>
      </w:r>
    </w:p>
    <w:p w:rsidR="007F4918" w:rsidRDefault="007F4918" w:rsidP="007F4918">
      <w:pPr>
        <w:pStyle w:val="SangriaFrancesaArticulo"/>
      </w:pPr>
    </w:p>
    <w:p w:rsidR="007F4918" w:rsidRDefault="007F4918" w:rsidP="007F4918">
      <w:pPr>
        <w:pStyle w:val="TextoNormalNegritaCursivandice"/>
      </w:pPr>
      <w:r>
        <w:t>Ley 8/1980, de 10 de marzo. Estatuto de los trabajadores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Título III.</w:t>
      </w:r>
      <w:r w:rsidRPr="007F4918">
        <w:rPr>
          <w:rStyle w:val="TextoNormalCaracter"/>
        </w:rPr>
        <w:t>-</w:t>
      </w:r>
      <w:r>
        <w:t xml:space="preserve"> Sentencia </w:t>
      </w:r>
      <w:hyperlink w:anchor="SENTENCIA_2002_95" w:history="1">
        <w:r w:rsidRPr="007F4918">
          <w:rPr>
            <w:rStyle w:val="TextoNormalCaracter"/>
          </w:rPr>
          <w:t>95/2002</w:t>
        </w:r>
      </w:hyperlink>
      <w:r>
        <w:t>, f. 10.</w:t>
      </w:r>
    </w:p>
    <w:p w:rsidR="007F4918" w:rsidRDefault="007F4918" w:rsidP="007F4918">
      <w:pPr>
        <w:pStyle w:val="SangriaFrancesaArticulo"/>
      </w:pPr>
      <w:r w:rsidRPr="007F4918">
        <w:rPr>
          <w:rStyle w:val="TextoNormalNegritaCaracter"/>
        </w:rPr>
        <w:t>Artículo 4.2.</w:t>
      </w:r>
      <w:r w:rsidRPr="007F4918">
        <w:rPr>
          <w:rStyle w:val="TextoNormalCaracter"/>
        </w:rPr>
        <w:t>-</w:t>
      </w:r>
      <w:r>
        <w:t xml:space="preserve"> Sentencia </w:t>
      </w:r>
      <w:hyperlink w:anchor="SENTENCIA_2002_95" w:history="1">
        <w:r w:rsidRPr="007F4918">
          <w:rPr>
            <w:rStyle w:val="TextoNormalCaracter"/>
          </w:rPr>
          <w:t>95/2002</w:t>
        </w:r>
      </w:hyperlink>
      <w:r>
        <w:t>, VP II.</w:t>
      </w:r>
    </w:p>
    <w:p w:rsidR="007F4918" w:rsidRDefault="007F4918" w:rsidP="007F4918">
      <w:pPr>
        <w:pStyle w:val="SangriaFrancesaArticulo"/>
      </w:pPr>
      <w:r w:rsidRPr="007F4918">
        <w:rPr>
          <w:rStyle w:val="TextoNormalNegritaCaracter"/>
        </w:rPr>
        <w:t>Artículo 4.2 b).</w:t>
      </w:r>
      <w:r w:rsidRPr="007F4918">
        <w:rPr>
          <w:rStyle w:val="TextoNormalCaracter"/>
        </w:rPr>
        <w:t>-</w:t>
      </w:r>
      <w:r>
        <w:t xml:space="preserve"> Sentencia </w:t>
      </w:r>
      <w:hyperlink w:anchor="SENTENCIA_2002_95" w:history="1">
        <w:r w:rsidRPr="007F4918">
          <w:rPr>
            <w:rStyle w:val="TextoNormalCaracter"/>
          </w:rPr>
          <w:t>95/2002</w:t>
        </w:r>
      </w:hyperlink>
      <w:r>
        <w:t>, f. 10.</w:t>
      </w:r>
    </w:p>
    <w:p w:rsidR="007F4918" w:rsidRDefault="007F4918" w:rsidP="007F4918">
      <w:pPr>
        <w:pStyle w:val="SangriaFrancesaArticulo"/>
      </w:pPr>
      <w:r w:rsidRPr="007F4918">
        <w:rPr>
          <w:rStyle w:val="TextoNormalNegritaCaracter"/>
        </w:rPr>
        <w:t>Artículo 16.</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17.</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22.</w:t>
      </w:r>
      <w:r w:rsidRPr="007F4918">
        <w:rPr>
          <w:rStyle w:val="TextoNormalCaracter"/>
        </w:rPr>
        <w:t>-</w:t>
      </w:r>
      <w:r>
        <w:t xml:space="preserve"> Sentencia </w:t>
      </w:r>
      <w:hyperlink w:anchor="SENTENCIA_2002_95" w:history="1">
        <w:r w:rsidRPr="007F4918">
          <w:rPr>
            <w:rStyle w:val="TextoNormalCaracter"/>
          </w:rPr>
          <w:t>95/2002</w:t>
        </w:r>
      </w:hyperlink>
      <w:r>
        <w:t>, f. 10.</w:t>
      </w:r>
    </w:p>
    <w:p w:rsidR="007F4918" w:rsidRDefault="007F4918" w:rsidP="007F4918">
      <w:pPr>
        <w:pStyle w:val="SangriaFrancesaArticulo"/>
      </w:pPr>
      <w:r w:rsidRPr="007F4918">
        <w:rPr>
          <w:rStyle w:val="TextoNormalNegritaCaracter"/>
        </w:rPr>
        <w:t>Artículo 23.</w:t>
      </w:r>
      <w:r w:rsidRPr="007F4918">
        <w:rPr>
          <w:rStyle w:val="TextoNormalCaracter"/>
        </w:rPr>
        <w:t>-</w:t>
      </w:r>
      <w:r>
        <w:t xml:space="preserve"> Sentencia </w:t>
      </w:r>
      <w:hyperlink w:anchor="SENTENCIA_2002_95" w:history="1">
        <w:r w:rsidRPr="007F4918">
          <w:rPr>
            <w:rStyle w:val="TextoNormalCaracter"/>
          </w:rPr>
          <w:t>95/2002</w:t>
        </w:r>
      </w:hyperlink>
      <w:r>
        <w:t>, f. 10.</w:t>
      </w:r>
    </w:p>
    <w:p w:rsidR="007F4918" w:rsidRDefault="007F4918" w:rsidP="007F4918">
      <w:pPr>
        <w:pStyle w:val="SangriaFrancesaArticulo"/>
      </w:pPr>
      <w:r w:rsidRPr="007F4918">
        <w:rPr>
          <w:rStyle w:val="TextoNormalNegritaCaracter"/>
        </w:rPr>
        <w:t>Artículo 33.1.</w:t>
      </w:r>
      <w:r w:rsidRPr="007F4918">
        <w:rPr>
          <w:rStyle w:val="TextoNormalCaracter"/>
        </w:rPr>
        <w:t>-</w:t>
      </w:r>
      <w:r>
        <w:t xml:space="preserve"> Sentencia </w:t>
      </w:r>
      <w:hyperlink w:anchor="SENTENCIA_2002_43" w:history="1">
        <w:r w:rsidRPr="007F4918">
          <w:rPr>
            <w:rStyle w:val="TextoNormalCaracter"/>
          </w:rPr>
          <w:t>43/2002</w:t>
        </w:r>
      </w:hyperlink>
      <w:r>
        <w:t>, f. 2.</w:t>
      </w:r>
    </w:p>
    <w:p w:rsidR="007F4918" w:rsidRDefault="007F4918" w:rsidP="007F4918">
      <w:pPr>
        <w:pStyle w:val="SangriaFrancesaArticulo"/>
      </w:pPr>
      <w:r w:rsidRPr="007F4918">
        <w:rPr>
          <w:rStyle w:val="TextoNormalNegritaCaracter"/>
        </w:rPr>
        <w:t>Artículo 33.8.</w:t>
      </w:r>
      <w:r w:rsidRPr="007F4918">
        <w:rPr>
          <w:rStyle w:val="TextoNormalCaracter"/>
        </w:rPr>
        <w:t>-</w:t>
      </w:r>
      <w:r>
        <w:t xml:space="preserve"> Sentencia </w:t>
      </w:r>
      <w:hyperlink w:anchor="SENTENCIA_2002_43" w:history="1">
        <w:r w:rsidRPr="007F4918">
          <w:rPr>
            <w:rStyle w:val="TextoNormalCaracter"/>
          </w:rPr>
          <w:t>43/2002</w:t>
        </w:r>
      </w:hyperlink>
      <w:r>
        <w:t>, ff. 1, 2, 4.</w:t>
      </w:r>
    </w:p>
    <w:p w:rsidR="007F4918" w:rsidRDefault="007F4918" w:rsidP="007F4918">
      <w:pPr>
        <w:pStyle w:val="SangriaFrancesaArticulo"/>
      </w:pPr>
      <w:r w:rsidRPr="007F4918">
        <w:rPr>
          <w:rStyle w:val="TextoNormalNegritaCaracter"/>
        </w:rPr>
        <w:t>Artículo 51.</w:t>
      </w:r>
      <w:r w:rsidRPr="007F4918">
        <w:rPr>
          <w:rStyle w:val="TextoNormalCaracter"/>
        </w:rPr>
        <w:t>-</w:t>
      </w:r>
      <w:r>
        <w:t xml:space="preserve"> Sentencia </w:t>
      </w:r>
      <w:hyperlink w:anchor="SENTENCIA_2002_43" w:history="1">
        <w:r w:rsidRPr="007F4918">
          <w:rPr>
            <w:rStyle w:val="TextoNormalCaracter"/>
          </w:rPr>
          <w:t>43/2002</w:t>
        </w:r>
      </w:hyperlink>
      <w:r>
        <w:t>, f. 1.</w:t>
      </w:r>
    </w:p>
    <w:p w:rsidR="007F4918" w:rsidRDefault="007F4918" w:rsidP="007F4918">
      <w:pPr>
        <w:pStyle w:val="SangriaFrancesaArticulo"/>
      </w:pPr>
      <w:r w:rsidRPr="007F4918">
        <w:rPr>
          <w:rStyle w:val="TextoNormalNegritaCaracter"/>
        </w:rPr>
        <w:t>Artículo 51.10.</w:t>
      </w:r>
      <w:r w:rsidRPr="007F4918">
        <w:rPr>
          <w:rStyle w:val="TextoNormalCaracter"/>
        </w:rPr>
        <w:t>-</w:t>
      </w:r>
      <w:r>
        <w:t xml:space="preserve"> Sentencia </w:t>
      </w:r>
      <w:hyperlink w:anchor="SENTENCIA_2002_43" w:history="1">
        <w:r w:rsidRPr="007F4918">
          <w:rPr>
            <w:rStyle w:val="TextoNormalCaracter"/>
          </w:rPr>
          <w:t>43/2002</w:t>
        </w:r>
      </w:hyperlink>
      <w:r>
        <w:t>, f. 2.</w:t>
      </w:r>
    </w:p>
    <w:p w:rsidR="007F4918" w:rsidRDefault="007F4918" w:rsidP="007F4918">
      <w:pPr>
        <w:pStyle w:val="SangriaFrancesaArticulo"/>
      </w:pPr>
      <w:r w:rsidRPr="007F4918">
        <w:rPr>
          <w:rStyle w:val="TextoNormalNegritaCaracter"/>
        </w:rPr>
        <w:t>Artículo 83.3.</w:t>
      </w:r>
      <w:r w:rsidRPr="007F4918">
        <w:rPr>
          <w:rStyle w:val="TextoNormalCaracter"/>
        </w:rPr>
        <w:t>-</w:t>
      </w:r>
      <w:r>
        <w:t xml:space="preserve"> Sentencia </w:t>
      </w:r>
      <w:hyperlink w:anchor="SENTENCIA_2002_95" w:history="1">
        <w:r w:rsidRPr="007F4918">
          <w:rPr>
            <w:rStyle w:val="TextoNormalCaracter"/>
          </w:rPr>
          <w:t>95/2002</w:t>
        </w:r>
      </w:hyperlink>
      <w:r>
        <w:t>, VP II.</w:t>
      </w:r>
    </w:p>
    <w:p w:rsidR="007F4918" w:rsidRDefault="007F4918" w:rsidP="007F4918">
      <w:pPr>
        <w:pStyle w:val="SangriaFrancesaArticulo"/>
      </w:pPr>
    </w:p>
    <w:p w:rsidR="007F4918" w:rsidRDefault="007F4918" w:rsidP="007F4918">
      <w:pPr>
        <w:pStyle w:val="TextoNormalNegritaCursivandice"/>
      </w:pPr>
      <w:r>
        <w:t>Ley 15/1980, de 22 de abril. Creación del Consejo de Seguridad Nuclear</w:t>
      </w:r>
    </w:p>
    <w:p w:rsidR="007F4918" w:rsidRDefault="007F4918" w:rsidP="007F4918">
      <w:pPr>
        <w:pStyle w:val="SangriaFrancesaArticulo"/>
      </w:pPr>
      <w:r w:rsidRPr="007F4918">
        <w:rPr>
          <w:rStyle w:val="TextoNormalNegritaCaracter"/>
        </w:rPr>
        <w:t>Artículo 2 c).</w:t>
      </w:r>
      <w:r w:rsidRPr="007F4918">
        <w:rPr>
          <w:rStyle w:val="TextoNormalCaracter"/>
        </w:rPr>
        <w:t>-</w:t>
      </w:r>
      <w:r>
        <w:t xml:space="preserve"> Sentencia </w:t>
      </w:r>
      <w:hyperlink w:anchor="SENTENCIA_2002_25" w:history="1">
        <w:r w:rsidRPr="007F4918">
          <w:rPr>
            <w:rStyle w:val="TextoNormalCaracter"/>
          </w:rPr>
          <w:t>25/2002</w:t>
        </w:r>
      </w:hyperlink>
      <w:r>
        <w:t>, f. 2.</w:t>
      </w:r>
    </w:p>
    <w:p w:rsidR="007F4918" w:rsidRDefault="007F4918" w:rsidP="007F4918">
      <w:pPr>
        <w:pStyle w:val="SangriaFrancesaArticulo"/>
      </w:pPr>
      <w:r w:rsidRPr="007F4918">
        <w:rPr>
          <w:rStyle w:val="TextoNormalNegritaCaracter"/>
        </w:rPr>
        <w:t>Artículo 2 d).</w:t>
      </w:r>
      <w:r w:rsidRPr="007F4918">
        <w:rPr>
          <w:rStyle w:val="TextoNormalCaracter"/>
        </w:rPr>
        <w:t>-</w:t>
      </w:r>
      <w:r>
        <w:t xml:space="preserve"> Sentencia </w:t>
      </w:r>
      <w:hyperlink w:anchor="SENTENCIA_2002_25" w:history="1">
        <w:r w:rsidRPr="007F4918">
          <w:rPr>
            <w:rStyle w:val="TextoNormalCaracter"/>
          </w:rPr>
          <w:t>25/2002</w:t>
        </w:r>
      </w:hyperlink>
      <w:r>
        <w:t>, ff. 1 a 3.</w:t>
      </w:r>
    </w:p>
    <w:p w:rsidR="007F4918" w:rsidRDefault="007F4918" w:rsidP="007F4918">
      <w:pPr>
        <w:pStyle w:val="SangriaFrancesaArticulo"/>
      </w:pPr>
      <w:r w:rsidRPr="007F4918">
        <w:rPr>
          <w:rStyle w:val="TextoNormalNegritaCaracter"/>
        </w:rPr>
        <w:t>Disposición adicional segunda.</w:t>
      </w:r>
      <w:r w:rsidRPr="007F4918">
        <w:rPr>
          <w:rStyle w:val="TextoNormalCaracter"/>
        </w:rPr>
        <w:t>-</w:t>
      </w:r>
      <w:r>
        <w:t xml:space="preserve"> Sentencia </w:t>
      </w:r>
      <w:hyperlink w:anchor="SENTENCIA_2002_25" w:history="1">
        <w:r w:rsidRPr="007F4918">
          <w:rPr>
            <w:rStyle w:val="TextoNormalCaracter"/>
          </w:rPr>
          <w:t>25/2002</w:t>
        </w:r>
      </w:hyperlink>
      <w:r>
        <w:t>, ff. 1, 3, 6, 7.</w:t>
      </w:r>
    </w:p>
    <w:p w:rsidR="007F4918" w:rsidRDefault="007F4918" w:rsidP="007F4918">
      <w:pPr>
        <w:pStyle w:val="SangriaFrancesaArticulo"/>
      </w:pPr>
    </w:p>
    <w:p w:rsidR="007F4918" w:rsidRDefault="007F4918" w:rsidP="007F4918">
      <w:pPr>
        <w:pStyle w:val="TextoNormalNegritaCursivandice"/>
      </w:pPr>
      <w:r>
        <w:t>Ley 50/1980, de 8 de octubre. Regulación del contrato de seguro</w:t>
      </w:r>
    </w:p>
    <w:p w:rsidR="007F4918" w:rsidRDefault="007F4918" w:rsidP="007F4918">
      <w:pPr>
        <w:pStyle w:val="SangriaFrancesaArticulo"/>
      </w:pPr>
      <w:r w:rsidRPr="007F4918">
        <w:rPr>
          <w:rStyle w:val="TextoNormalNegritaCaracter"/>
        </w:rPr>
        <w:t>Artículo 20.</w:t>
      </w:r>
      <w:r w:rsidRPr="007F4918">
        <w:rPr>
          <w:rStyle w:val="TextoNormalCaracter"/>
        </w:rPr>
        <w:t>-</w:t>
      </w:r>
      <w:r>
        <w:t xml:space="preserve"> Sentencia </w:t>
      </w:r>
      <w:hyperlink w:anchor="SENTENCIA_2002_55" w:history="1">
        <w:r w:rsidRPr="007F4918">
          <w:rPr>
            <w:rStyle w:val="TextoNormalCaracter"/>
          </w:rPr>
          <w:t>55/2002</w:t>
        </w:r>
      </w:hyperlink>
      <w:r>
        <w:t>, f. 4.</w:t>
      </w:r>
    </w:p>
    <w:p w:rsidR="007F4918" w:rsidRDefault="007F4918" w:rsidP="007F4918">
      <w:pPr>
        <w:pStyle w:val="SangriaFrancesaArticulo"/>
      </w:pPr>
    </w:p>
    <w:p w:rsidR="007F4918" w:rsidRDefault="007F4918" w:rsidP="007F4918">
      <w:pPr>
        <w:pStyle w:val="TextoNormalNegritaCursivandice"/>
      </w:pPr>
      <w:r>
        <w:t>Ley 51/1980, de 8 de octubre. Básica de empleo</w:t>
      </w:r>
    </w:p>
    <w:p w:rsidR="007F4918" w:rsidRDefault="007F4918" w:rsidP="007F4918">
      <w:pPr>
        <w:pStyle w:val="SangriaFrancesaArticulo"/>
      </w:pPr>
      <w:r w:rsidRPr="007F4918">
        <w:rPr>
          <w:rStyle w:val="TextoNormalNegritaCaracter"/>
        </w:rPr>
        <w:t>Artículo 3.</w:t>
      </w:r>
      <w:r w:rsidRPr="007F4918">
        <w:rPr>
          <w:rStyle w:val="TextoNormalCaracter"/>
        </w:rPr>
        <w:t>-</w:t>
      </w:r>
      <w:r>
        <w:t xml:space="preserve"> Sentencia </w:t>
      </w:r>
      <w:hyperlink w:anchor="SENTENCIA_2002_95" w:history="1">
        <w:r w:rsidRPr="007F4918">
          <w:rPr>
            <w:rStyle w:val="TextoNormalCaracter"/>
          </w:rPr>
          <w:t>95/2002</w:t>
        </w:r>
      </w:hyperlink>
      <w:r>
        <w:t>, f. 11.</w:t>
      </w:r>
    </w:p>
    <w:p w:rsidR="007F4918" w:rsidRDefault="007F4918" w:rsidP="007F4918">
      <w:pPr>
        <w:pStyle w:val="SangriaFrancesaArticulo"/>
      </w:pPr>
    </w:p>
    <w:p w:rsidR="007F4918" w:rsidRDefault="007F4918" w:rsidP="007F4918">
      <w:pPr>
        <w:pStyle w:val="TextoNormalNegritaCursivandice"/>
      </w:pPr>
      <w:r>
        <w:t>Ley 74/1980, de 29 de diciembre. Presupuestos generales del Estado para 1981</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p>
    <w:p w:rsidR="007F4918" w:rsidRDefault="007F4918" w:rsidP="007F4918">
      <w:pPr>
        <w:pStyle w:val="TextoNormalNegritaCursivandice"/>
      </w:pPr>
      <w:r>
        <w:t>Ley 12/1981, de 13 de mayo. Concierto económico con la Comunidad Autónoma del País Vasco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2, VP I.</w:t>
      </w:r>
    </w:p>
    <w:p w:rsidR="007F4918" w:rsidRDefault="007F4918" w:rsidP="007F4918">
      <w:pPr>
        <w:pStyle w:val="SangriaFrancesaArticulo"/>
      </w:pPr>
    </w:p>
    <w:p w:rsidR="007F4918" w:rsidRDefault="007F4918" w:rsidP="007F4918">
      <w:pPr>
        <w:pStyle w:val="TextoNormalNegritaCursivandice"/>
      </w:pPr>
      <w:r>
        <w:t>Ley 12/1983, de 14 de octubre. Proceso autonómico</w:t>
      </w:r>
    </w:p>
    <w:p w:rsidR="007F4918" w:rsidRDefault="007F4918" w:rsidP="007F4918">
      <w:pPr>
        <w:pStyle w:val="SangriaFrancesaArticulo"/>
      </w:pPr>
      <w:r w:rsidRPr="007F4918">
        <w:rPr>
          <w:rStyle w:val="TextoNormalNegritaCaracter"/>
        </w:rPr>
        <w:t>Artículo 15.1 a).</w:t>
      </w:r>
      <w:r w:rsidRPr="007F4918">
        <w:rPr>
          <w:rStyle w:val="TextoNormalCaracter"/>
        </w:rPr>
        <w:t>-</w:t>
      </w:r>
      <w:r>
        <w:t xml:space="preserve"> Sentencia </w:t>
      </w:r>
      <w:hyperlink w:anchor="SENTENCIA_2002_11" w:history="1">
        <w:r w:rsidRPr="007F4918">
          <w:rPr>
            <w:rStyle w:val="TextoNormalCaracter"/>
          </w:rPr>
          <w:t>11/2002</w:t>
        </w:r>
      </w:hyperlink>
      <w:r>
        <w:t>, f. 1.</w:t>
      </w:r>
    </w:p>
    <w:p w:rsidR="007F4918" w:rsidRDefault="007F4918" w:rsidP="007F4918">
      <w:pPr>
        <w:pStyle w:val="SangriaFrancesaArticulo"/>
      </w:pPr>
      <w:r w:rsidRPr="007F4918">
        <w:rPr>
          <w:rStyle w:val="TextoNormalNegritaCaracter"/>
        </w:rPr>
        <w:t>Artículo 21.1.</w:t>
      </w:r>
      <w:r w:rsidRPr="007F4918">
        <w:rPr>
          <w:rStyle w:val="TextoNormalCaracter"/>
        </w:rPr>
        <w:t>-</w:t>
      </w:r>
      <w:r>
        <w:t xml:space="preserve"> Sentencia </w:t>
      </w:r>
      <w:hyperlink w:anchor="SENTENCIA_2002_89" w:history="1">
        <w:r w:rsidRPr="007F4918">
          <w:rPr>
            <w:rStyle w:val="TextoNormalCaracter"/>
          </w:rPr>
          <w:t>89/2002</w:t>
        </w:r>
      </w:hyperlink>
      <w:r>
        <w:t>, f. 4.</w:t>
      </w:r>
    </w:p>
    <w:p w:rsidR="007F4918" w:rsidRDefault="007F4918" w:rsidP="007F4918">
      <w:pPr>
        <w:pStyle w:val="SangriaFrancesaArticulo"/>
      </w:pPr>
    </w:p>
    <w:p w:rsidR="007F4918" w:rsidRDefault="007F4918" w:rsidP="007F4918">
      <w:pPr>
        <w:pStyle w:val="TextoNormalNegritaCursivandice"/>
      </w:pPr>
      <w:r>
        <w:t>Ley 5/1984, de 26 de marzo. Regulación del derecho de asilo y de la condición de refugiado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f. 14.</w:t>
      </w:r>
    </w:p>
    <w:p w:rsidR="007F4918" w:rsidRDefault="007F4918" w:rsidP="007F4918">
      <w:pPr>
        <w:pStyle w:val="SangriaFrancesaArticulo"/>
      </w:pPr>
      <w:r w:rsidRPr="007F4918">
        <w:rPr>
          <w:rStyle w:val="TextoNormalNegritaCaracter"/>
        </w:rPr>
        <w:lastRenderedPageBreak/>
        <w:t>Artículo 4.2.</w:t>
      </w:r>
      <w:r w:rsidRPr="007F4918">
        <w:rPr>
          <w:rStyle w:val="TextoNormalCaracter"/>
        </w:rPr>
        <w:t>-</w:t>
      </w:r>
      <w:r>
        <w:t xml:space="preserve"> Sentencia </w:t>
      </w:r>
      <w:hyperlink w:anchor="SENTENCIA_2002_53" w:history="1">
        <w:r w:rsidRPr="007F4918">
          <w:rPr>
            <w:rStyle w:val="TextoNormalCaracter"/>
          </w:rPr>
          <w:t>53/2002</w:t>
        </w:r>
      </w:hyperlink>
      <w:r>
        <w:t>, f. 14.</w:t>
      </w:r>
    </w:p>
    <w:p w:rsidR="007F4918" w:rsidRDefault="007F4918" w:rsidP="007F4918">
      <w:pPr>
        <w:pStyle w:val="SangriaFrancesaArticulo"/>
      </w:pPr>
      <w:r w:rsidRPr="007F4918">
        <w:rPr>
          <w:rStyle w:val="TextoNormalNegritaCaracter"/>
        </w:rPr>
        <w:t>Artículo 4.3.</w:t>
      </w:r>
      <w:r w:rsidRPr="007F4918">
        <w:rPr>
          <w:rStyle w:val="TextoNormalCaracter"/>
        </w:rPr>
        <w:t>-</w:t>
      </w:r>
      <w:r>
        <w:t xml:space="preserve"> Sentencia </w:t>
      </w:r>
      <w:hyperlink w:anchor="SENTENCIA_2002_53" w:history="1">
        <w:r w:rsidRPr="007F4918">
          <w:rPr>
            <w:rStyle w:val="TextoNormalCaracter"/>
          </w:rPr>
          <w:t>53/2002</w:t>
        </w:r>
      </w:hyperlink>
      <w:r>
        <w:t>, f. 6.</w:t>
      </w:r>
    </w:p>
    <w:p w:rsidR="007F4918" w:rsidRDefault="007F4918" w:rsidP="007F4918">
      <w:pPr>
        <w:pStyle w:val="SangriaFrancesaArticulo"/>
      </w:pPr>
      <w:r w:rsidRPr="007F4918">
        <w:rPr>
          <w:rStyle w:val="TextoNormalNegritaCaracter"/>
        </w:rPr>
        <w:t>Artículo 5.1.</w:t>
      </w:r>
      <w:r w:rsidRPr="007F4918">
        <w:rPr>
          <w:rStyle w:val="TextoNormalCaracter"/>
        </w:rPr>
        <w:t>-</w:t>
      </w:r>
      <w:r>
        <w:t xml:space="preserve"> Sentencia </w:t>
      </w:r>
      <w:hyperlink w:anchor="SENTENCIA_2002_53" w:history="1">
        <w:r w:rsidRPr="007F4918">
          <w:rPr>
            <w:rStyle w:val="TextoNormalCaracter"/>
          </w:rPr>
          <w:t>53/2002</w:t>
        </w:r>
      </w:hyperlink>
      <w:r>
        <w:t>, f. 14.</w:t>
      </w:r>
    </w:p>
    <w:p w:rsidR="007F4918" w:rsidRDefault="007F4918" w:rsidP="007F4918">
      <w:pPr>
        <w:pStyle w:val="SangriaFrancesaArticulo"/>
      </w:pPr>
      <w:r w:rsidRPr="007F4918">
        <w:rPr>
          <w:rStyle w:val="TextoNormalNegritaCaracter"/>
        </w:rPr>
        <w:t>Artículo 5.6 e).</w:t>
      </w:r>
      <w:r w:rsidRPr="007F4918">
        <w:rPr>
          <w:rStyle w:val="TextoNormalCaracter"/>
        </w:rPr>
        <w:t>-</w:t>
      </w:r>
      <w:r>
        <w:t xml:space="preserve"> Sentencia </w:t>
      </w:r>
      <w:hyperlink w:anchor="SENTENCIA_2002_53" w:history="1">
        <w:r w:rsidRPr="007F4918">
          <w:rPr>
            <w:rStyle w:val="TextoNormalCaracter"/>
          </w:rPr>
          <w:t>53/2002</w:t>
        </w:r>
      </w:hyperlink>
      <w:r>
        <w:t>, f. 1.</w:t>
      </w:r>
    </w:p>
    <w:p w:rsidR="007F4918" w:rsidRDefault="007F4918" w:rsidP="007F4918">
      <w:pPr>
        <w:pStyle w:val="SangriaFrancesaArticulo"/>
      </w:pPr>
      <w:r w:rsidRPr="007F4918">
        <w:rPr>
          <w:rStyle w:val="TextoNormalNegritaCaracter"/>
        </w:rPr>
        <w:t>Artículo 5.6 f).</w:t>
      </w:r>
      <w:r w:rsidRPr="007F4918">
        <w:rPr>
          <w:rStyle w:val="TextoNormalCaracter"/>
        </w:rPr>
        <w:t>-</w:t>
      </w:r>
      <w:r>
        <w:t xml:space="preserve"> Sentencia </w:t>
      </w:r>
      <w:hyperlink w:anchor="SENTENCIA_2002_53" w:history="1">
        <w:r w:rsidRPr="007F4918">
          <w:rPr>
            <w:rStyle w:val="TextoNormalCaracter"/>
          </w:rPr>
          <w:t>53/2002</w:t>
        </w:r>
      </w:hyperlink>
      <w:r>
        <w:t>, f. 1.</w:t>
      </w:r>
    </w:p>
    <w:p w:rsidR="007F4918" w:rsidRDefault="007F4918" w:rsidP="007F4918">
      <w:pPr>
        <w:pStyle w:val="SangriaFrancesaArticulo"/>
      </w:pPr>
      <w:r w:rsidRPr="007F4918">
        <w:rPr>
          <w:rStyle w:val="TextoNormalNegritaCaracter"/>
        </w:rPr>
        <w:t>Artículo 5.7</w:t>
      </w:r>
      <w:r>
        <w:t xml:space="preserve"> </w:t>
      </w:r>
      <w:r w:rsidRPr="007F4918">
        <w:rPr>
          <w:rStyle w:val="TextoNormalCaracter"/>
        </w:rPr>
        <w:t>(redactado por la Ley 9/1994, de 19 de mayo)</w:t>
      </w:r>
      <w:r w:rsidRPr="007F4918">
        <w:rPr>
          <w:rStyle w:val="TextoNormalNegritaCaracter"/>
        </w:rPr>
        <w:t>.</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r w:rsidRPr="007F4918">
        <w:rPr>
          <w:rStyle w:val="TextoNormalNegritaCaracter"/>
        </w:rPr>
        <w:t>Artículo 5.7.1.</w:t>
      </w:r>
      <w:r w:rsidRPr="007F4918">
        <w:rPr>
          <w:rStyle w:val="TextoNormalCaracter"/>
        </w:rPr>
        <w:t>-</w:t>
      </w:r>
      <w:r>
        <w:t xml:space="preserve"> Sentencia </w:t>
      </w:r>
      <w:hyperlink w:anchor="SENTENCIA_2002_53" w:history="1">
        <w:r w:rsidRPr="007F4918">
          <w:rPr>
            <w:rStyle w:val="TextoNormalCaracter"/>
          </w:rPr>
          <w:t>53/2002</w:t>
        </w:r>
      </w:hyperlink>
      <w:r>
        <w:t>, ff. 1, 8, 10, VP II.</w:t>
      </w:r>
    </w:p>
    <w:p w:rsidR="007F4918" w:rsidRDefault="007F4918" w:rsidP="007F4918">
      <w:pPr>
        <w:pStyle w:val="SangriaFrancesaArticulo"/>
      </w:pPr>
      <w:r w:rsidRPr="007F4918">
        <w:rPr>
          <w:rStyle w:val="TextoNormalNegritaCaracter"/>
        </w:rPr>
        <w:t>Artículo 5.7.1</w:t>
      </w:r>
      <w:r>
        <w:t xml:space="preserve"> </w:t>
      </w:r>
      <w:r w:rsidRPr="007F4918">
        <w:rPr>
          <w:rStyle w:val="TextoNormalCaracter"/>
        </w:rPr>
        <w:t>(redactado por la Ley 9/1994, de 19 de mayo)</w:t>
      </w:r>
      <w:r w:rsidRPr="007F4918">
        <w:rPr>
          <w:rStyle w:val="TextoNormalNegritaCaracter"/>
        </w:rPr>
        <w:t>.</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r w:rsidRPr="007F4918">
        <w:rPr>
          <w:rStyle w:val="TextoNormalNegritaCaracter"/>
        </w:rPr>
        <w:t>Artículo 5.7.2.</w:t>
      </w:r>
      <w:r w:rsidRPr="007F4918">
        <w:rPr>
          <w:rStyle w:val="TextoNormalCaracter"/>
        </w:rPr>
        <w:t>-</w:t>
      </w:r>
      <w:r>
        <w:t xml:space="preserve"> Sentencia </w:t>
      </w:r>
      <w:hyperlink w:anchor="SENTENCIA_2002_53" w:history="1">
        <w:r w:rsidRPr="007F4918">
          <w:rPr>
            <w:rStyle w:val="TextoNormalCaracter"/>
          </w:rPr>
          <w:t>53/2002</w:t>
        </w:r>
      </w:hyperlink>
      <w:r>
        <w:t>, ff. 1, 7, 8, VP II.</w:t>
      </w:r>
    </w:p>
    <w:p w:rsidR="007F4918" w:rsidRDefault="007F4918" w:rsidP="007F4918">
      <w:pPr>
        <w:pStyle w:val="SangriaFrancesaArticulo"/>
      </w:pPr>
      <w:r w:rsidRPr="007F4918">
        <w:rPr>
          <w:rStyle w:val="TextoNormalNegritaCaracter"/>
        </w:rPr>
        <w:t>Artículo 5.7.2</w:t>
      </w:r>
      <w:r>
        <w:t xml:space="preserve"> </w:t>
      </w:r>
      <w:r w:rsidRPr="007F4918">
        <w:rPr>
          <w:rStyle w:val="TextoNormalCaracter"/>
        </w:rPr>
        <w:t>(redactado por la Ley 9/1994, de 19 de mayo)</w:t>
      </w:r>
      <w:r w:rsidRPr="007F4918">
        <w:rPr>
          <w:rStyle w:val="TextoNormalNegritaCaracter"/>
        </w:rPr>
        <w:t>.</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r w:rsidRPr="007F4918">
        <w:rPr>
          <w:rStyle w:val="TextoNormalNegritaCaracter"/>
        </w:rPr>
        <w:t>Artículo 5.7.3.</w:t>
      </w:r>
      <w:r w:rsidRPr="007F4918">
        <w:rPr>
          <w:rStyle w:val="TextoNormalCaracter"/>
        </w:rPr>
        <w:t>-</w:t>
      </w:r>
      <w:r>
        <w:t xml:space="preserve"> Sentencia </w:t>
      </w:r>
      <w:hyperlink w:anchor="SENTENCIA_2002_53" w:history="1">
        <w:r w:rsidRPr="007F4918">
          <w:rPr>
            <w:rStyle w:val="TextoNormalCaracter"/>
          </w:rPr>
          <w:t>53/2002</w:t>
        </w:r>
      </w:hyperlink>
      <w:r>
        <w:t>, ff. 1, 2, 4 a 7, 9 a 12, 14, VP I, VP II.</w:t>
      </w:r>
    </w:p>
    <w:p w:rsidR="007F4918" w:rsidRDefault="007F4918" w:rsidP="007F4918">
      <w:pPr>
        <w:pStyle w:val="SangriaFrancesaArticulo"/>
      </w:pPr>
      <w:r w:rsidRPr="007F4918">
        <w:rPr>
          <w:rStyle w:val="TextoNormalNegritaCaracter"/>
        </w:rPr>
        <w:t>Artículo 5.7.3</w:t>
      </w:r>
      <w:r>
        <w:t xml:space="preserve"> </w:t>
      </w:r>
      <w:r w:rsidRPr="007F4918">
        <w:rPr>
          <w:rStyle w:val="TextoNormalCaracter"/>
        </w:rPr>
        <w:t>(redactado por la Ley 9/1994, de 19 de mayo)</w:t>
      </w:r>
      <w:r w:rsidRPr="007F4918">
        <w:rPr>
          <w:rStyle w:val="TextoNormalNegritaCaracter"/>
        </w:rPr>
        <w:t>.</w:t>
      </w:r>
      <w:r w:rsidRPr="007F4918">
        <w:rPr>
          <w:rStyle w:val="TextoNormalCaracter"/>
        </w:rPr>
        <w:t>-</w:t>
      </w:r>
      <w:r>
        <w:t xml:space="preserve"> Sentencia </w:t>
      </w:r>
      <w:hyperlink w:anchor="SENTENCIA_2002_53" w:history="1">
        <w:r w:rsidRPr="007F4918">
          <w:rPr>
            <w:rStyle w:val="TextoNormalCaracter"/>
          </w:rPr>
          <w:t>53/2002</w:t>
        </w:r>
      </w:hyperlink>
      <w:r>
        <w:t>, f. VP I, VP II.</w:t>
      </w:r>
    </w:p>
    <w:p w:rsidR="007F4918" w:rsidRDefault="007F4918" w:rsidP="007F4918">
      <w:pPr>
        <w:pStyle w:val="SangriaFrancesaArticulo"/>
      </w:pPr>
      <w:r w:rsidRPr="007F4918">
        <w:rPr>
          <w:rStyle w:val="TextoNormalNegritaCaracter"/>
        </w:rPr>
        <w:t>Artículo 5.7.4.</w:t>
      </w:r>
      <w:r w:rsidRPr="007F4918">
        <w:rPr>
          <w:rStyle w:val="TextoNormalCaracter"/>
        </w:rPr>
        <w:t>-</w:t>
      </w:r>
      <w:r>
        <w:t xml:space="preserve"> Sentencia </w:t>
      </w:r>
      <w:hyperlink w:anchor="SENTENCIA_2002_53" w:history="1">
        <w:r w:rsidRPr="007F4918">
          <w:rPr>
            <w:rStyle w:val="TextoNormalCaracter"/>
          </w:rPr>
          <w:t>53/2002</w:t>
        </w:r>
      </w:hyperlink>
      <w:r>
        <w:t>, f. 1, VP II.</w:t>
      </w:r>
    </w:p>
    <w:p w:rsidR="007F4918" w:rsidRDefault="007F4918" w:rsidP="007F4918">
      <w:pPr>
        <w:pStyle w:val="SangriaFrancesaArticulo"/>
      </w:pPr>
      <w:r w:rsidRPr="007F4918">
        <w:rPr>
          <w:rStyle w:val="TextoNormalNegritaCaracter"/>
        </w:rPr>
        <w:t>Artículo 5.7.4</w:t>
      </w:r>
      <w:r>
        <w:t xml:space="preserve"> </w:t>
      </w:r>
      <w:r w:rsidRPr="007F4918">
        <w:rPr>
          <w:rStyle w:val="TextoNormalCaracter"/>
        </w:rPr>
        <w:t>(redactado por la Ley 9/1994, de 19 de mayo)</w:t>
      </w:r>
      <w:r w:rsidRPr="007F4918">
        <w:rPr>
          <w:rStyle w:val="TextoNormalNegritaCaracter"/>
        </w:rPr>
        <w:t>.</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r w:rsidRPr="007F4918">
        <w:rPr>
          <w:rStyle w:val="TextoNormalNegritaCaracter"/>
        </w:rPr>
        <w:t>Artículo 17.</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r w:rsidRPr="007F4918">
        <w:rPr>
          <w:rStyle w:val="TextoNormalNegritaCaracter"/>
        </w:rPr>
        <w:t>Artículo 17.1.</w:t>
      </w:r>
      <w:r w:rsidRPr="007F4918">
        <w:rPr>
          <w:rStyle w:val="TextoNormalCaracter"/>
        </w:rPr>
        <w:t>-</w:t>
      </w:r>
      <w:r>
        <w:t xml:space="preserve"> Sentencia </w:t>
      </w:r>
      <w:hyperlink w:anchor="SENTENCIA_2002_53" w:history="1">
        <w:r w:rsidRPr="007F4918">
          <w:rPr>
            <w:rStyle w:val="TextoNormalCaracter"/>
          </w:rPr>
          <w:t>53/2002</w:t>
        </w:r>
      </w:hyperlink>
      <w:r>
        <w:t>, ff. 1, 7.</w:t>
      </w:r>
    </w:p>
    <w:p w:rsidR="007F4918" w:rsidRDefault="007F4918" w:rsidP="007F4918">
      <w:pPr>
        <w:pStyle w:val="SangriaFrancesaArticulo"/>
      </w:pPr>
      <w:r w:rsidRPr="007F4918">
        <w:rPr>
          <w:rStyle w:val="TextoNormalNegritaCaracter"/>
        </w:rPr>
        <w:t>Artículo 18.</w:t>
      </w:r>
      <w:r w:rsidRPr="007F4918">
        <w:rPr>
          <w:rStyle w:val="TextoNormalCaracter"/>
        </w:rPr>
        <w:t>-</w:t>
      </w:r>
      <w:r>
        <w:t xml:space="preserve"> Sentencia </w:t>
      </w:r>
      <w:hyperlink w:anchor="SENTENCIA_2002_53" w:history="1">
        <w:r w:rsidRPr="007F4918">
          <w:rPr>
            <w:rStyle w:val="TextoNormalCaracter"/>
          </w:rPr>
          <w:t>53/2002</w:t>
        </w:r>
      </w:hyperlink>
      <w:r>
        <w:t>, f. 14.</w:t>
      </w:r>
    </w:p>
    <w:p w:rsidR="007F4918" w:rsidRDefault="007F4918" w:rsidP="007F4918">
      <w:pPr>
        <w:pStyle w:val="SangriaFrancesaArticulo"/>
      </w:pPr>
      <w:r w:rsidRPr="007F4918">
        <w:rPr>
          <w:rStyle w:val="TextoNormalNegritaCaracter"/>
        </w:rPr>
        <w:t>Artículo 18.2.</w:t>
      </w:r>
      <w:r w:rsidRPr="007F4918">
        <w:rPr>
          <w:rStyle w:val="TextoNormalCaracter"/>
        </w:rPr>
        <w:t>-</w:t>
      </w:r>
      <w:r>
        <w:t xml:space="preserve"> Sentencia </w:t>
      </w:r>
      <w:hyperlink w:anchor="SENTENCIA_2002_53" w:history="1">
        <w:r w:rsidRPr="007F4918">
          <w:rPr>
            <w:rStyle w:val="TextoNormalCaracter"/>
          </w:rPr>
          <w:t>53/2002</w:t>
        </w:r>
      </w:hyperlink>
      <w:r>
        <w:t>, f. 14.</w:t>
      </w:r>
    </w:p>
    <w:p w:rsidR="007F4918" w:rsidRDefault="007F4918" w:rsidP="007F4918">
      <w:pPr>
        <w:pStyle w:val="SangriaFrancesaArticulo"/>
      </w:pPr>
      <w:r w:rsidRPr="007F4918">
        <w:rPr>
          <w:rStyle w:val="TextoNormalNegritaCaracter"/>
        </w:rPr>
        <w:t>Artículo 21.1.</w:t>
      </w:r>
      <w:r w:rsidRPr="007F4918">
        <w:rPr>
          <w:rStyle w:val="TextoNormalCaracter"/>
        </w:rPr>
        <w:t>-</w:t>
      </w:r>
      <w:r>
        <w:t xml:space="preserve"> Sentencia </w:t>
      </w:r>
      <w:hyperlink w:anchor="SENTENCIA_2002_53" w:history="1">
        <w:r w:rsidRPr="007F4918">
          <w:rPr>
            <w:rStyle w:val="TextoNormalCaracter"/>
          </w:rPr>
          <w:t>53/2002</w:t>
        </w:r>
      </w:hyperlink>
      <w:r>
        <w:t>, f. 11.</w:t>
      </w:r>
    </w:p>
    <w:p w:rsidR="007F4918" w:rsidRDefault="007F4918" w:rsidP="007F4918">
      <w:pPr>
        <w:pStyle w:val="SangriaFrancesaArticulo"/>
      </w:pPr>
      <w:r w:rsidRPr="007F4918">
        <w:rPr>
          <w:rStyle w:val="TextoNormalNegritaCaracter"/>
        </w:rPr>
        <w:t>Artículo 21.2.</w:t>
      </w:r>
      <w:r w:rsidRPr="007F4918">
        <w:rPr>
          <w:rStyle w:val="TextoNormalCaracter"/>
        </w:rPr>
        <w:t>-</w:t>
      </w:r>
      <w:r>
        <w:t xml:space="preserve"> Sentencia </w:t>
      </w:r>
      <w:hyperlink w:anchor="SENTENCIA_2002_53" w:history="1">
        <w:r w:rsidRPr="007F4918">
          <w:rPr>
            <w:rStyle w:val="TextoNormalCaracter"/>
          </w:rPr>
          <w:t>53/2002</w:t>
        </w:r>
      </w:hyperlink>
      <w:r>
        <w:t>, f. 11.</w:t>
      </w:r>
    </w:p>
    <w:p w:rsidR="007F4918" w:rsidRDefault="007F4918" w:rsidP="007F4918">
      <w:pPr>
        <w:pStyle w:val="SangriaFrancesaArticulo"/>
      </w:pPr>
      <w:r w:rsidRPr="007F4918">
        <w:rPr>
          <w:rStyle w:val="TextoNormalNegritaCaracter"/>
        </w:rPr>
        <w:t>Artículo 21.2</w:t>
      </w:r>
      <w:r>
        <w:t xml:space="preserve"> </w:t>
      </w:r>
      <w:r w:rsidRPr="007F4918">
        <w:rPr>
          <w:rStyle w:val="TextoNormalCaracter"/>
        </w:rPr>
        <w:t>(redactado por la Ley 9/1994, de 19 de mayo)</w:t>
      </w:r>
      <w:r w:rsidRPr="007F4918">
        <w:rPr>
          <w:rStyle w:val="TextoNormalNegritaCaracter"/>
        </w:rPr>
        <w:t>.</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p>
    <w:p w:rsidR="007F4918" w:rsidRDefault="007F4918" w:rsidP="007F4918">
      <w:pPr>
        <w:pStyle w:val="TextoNormalNegritaCursivandice"/>
      </w:pPr>
      <w:r>
        <w:t>Ley 27/1984, de 26 de julio. Reconversión y reindustrialización</w:t>
      </w:r>
    </w:p>
    <w:p w:rsidR="007F4918" w:rsidRDefault="007F4918" w:rsidP="007F4918">
      <w:pPr>
        <w:pStyle w:val="SangriaFrancesaArticulo"/>
      </w:pPr>
      <w:r w:rsidRPr="007F4918">
        <w:rPr>
          <w:rStyle w:val="TextoNormalNegritaCaracter"/>
        </w:rPr>
        <w:t>Artículo 22.</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p>
    <w:p w:rsidR="007F4918" w:rsidRDefault="007F4918" w:rsidP="007F4918">
      <w:pPr>
        <w:pStyle w:val="TextoNormalNegritaCursivandice"/>
      </w:pPr>
      <w:r>
        <w:t>Ley 30/1984, de 2 de agosto. Medidas para la reforma de la función pública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r w:rsidRPr="007F4918">
        <w:rPr>
          <w:rStyle w:val="TextoNormalNegritaCaracter"/>
        </w:rPr>
        <w:t>Exposición de motivos.</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r w:rsidRPr="007F4918">
        <w:rPr>
          <w:rStyle w:val="TextoNormalNegritaCaracter"/>
        </w:rPr>
        <w:t>Artículo 1.3.</w:t>
      </w:r>
      <w:r w:rsidRPr="007F4918">
        <w:rPr>
          <w:rStyle w:val="TextoNormalCaracter"/>
        </w:rPr>
        <w:t>-</w:t>
      </w:r>
      <w:r>
        <w:t xml:space="preserve"> Sentencia </w:t>
      </w:r>
      <w:hyperlink w:anchor="SENTENCIA_2002_37" w:history="1">
        <w:r w:rsidRPr="007F4918">
          <w:rPr>
            <w:rStyle w:val="TextoNormalCaracter"/>
          </w:rPr>
          <w:t>37/2002</w:t>
        </w:r>
      </w:hyperlink>
      <w:r>
        <w:t>, ff. 7, 9, 13.</w:t>
      </w:r>
    </w:p>
    <w:p w:rsidR="007F4918" w:rsidRDefault="007F4918" w:rsidP="007F4918">
      <w:pPr>
        <w:pStyle w:val="SangriaFrancesaArticulo"/>
      </w:pPr>
      <w:r w:rsidRPr="007F4918">
        <w:rPr>
          <w:rStyle w:val="TextoNormalNegritaCaracter"/>
        </w:rPr>
        <w:t>Artículo 15.1.</w:t>
      </w:r>
      <w:r w:rsidRPr="007F4918">
        <w:rPr>
          <w:rStyle w:val="TextoNormalCaracter"/>
        </w:rPr>
        <w:t>-</w:t>
      </w:r>
      <w:r>
        <w:t xml:space="preserve"> Sentencia </w:t>
      </w:r>
      <w:hyperlink w:anchor="SENTENCIA_2002_37" w:history="1">
        <w:r w:rsidRPr="007F4918">
          <w:rPr>
            <w:rStyle w:val="TextoNormalCaracter"/>
          </w:rPr>
          <w:t>37/2002</w:t>
        </w:r>
      </w:hyperlink>
      <w:r>
        <w:t>, f. 5.</w:t>
      </w:r>
    </w:p>
    <w:p w:rsidR="007F4918" w:rsidRDefault="007F4918" w:rsidP="007F4918">
      <w:pPr>
        <w:pStyle w:val="SangriaFrancesaArticulo"/>
      </w:pPr>
      <w:r w:rsidRPr="007F4918">
        <w:rPr>
          <w:rStyle w:val="TextoNormalNegritaCaracter"/>
        </w:rPr>
        <w:t>Artículo 15.1</w:t>
      </w:r>
      <w:r>
        <w:t xml:space="preserve"> </w:t>
      </w:r>
      <w:r w:rsidRPr="007F4918">
        <w:rPr>
          <w:rStyle w:val="TextoNormalCaracter"/>
        </w:rPr>
        <w:t>(redactado por la Ley 23/1988, de 28 de julio)</w:t>
      </w:r>
      <w:r w:rsidRPr="007F4918">
        <w:rPr>
          <w:rStyle w:val="TextoNormalNegritaCaracter"/>
        </w:rPr>
        <w:t>.</w:t>
      </w:r>
      <w:r w:rsidRPr="007F4918">
        <w:rPr>
          <w:rStyle w:val="TextoNormalCaracter"/>
        </w:rPr>
        <w:t>-</w:t>
      </w:r>
      <w:r>
        <w:t xml:space="preserve"> Sentencia </w:t>
      </w:r>
      <w:hyperlink w:anchor="SENTENCIA_2002_37" w:history="1">
        <w:r w:rsidRPr="007F4918">
          <w:rPr>
            <w:rStyle w:val="TextoNormalCaracter"/>
          </w:rPr>
          <w:t>37/2002</w:t>
        </w:r>
      </w:hyperlink>
      <w:r>
        <w:t>, f. 6.</w:t>
      </w:r>
    </w:p>
    <w:p w:rsidR="007F4918" w:rsidRDefault="007F4918" w:rsidP="007F4918">
      <w:pPr>
        <w:pStyle w:val="SangriaFrancesaArticulo"/>
      </w:pPr>
      <w:r w:rsidRPr="007F4918">
        <w:rPr>
          <w:rStyle w:val="TextoNormalNegritaCaracter"/>
        </w:rPr>
        <w:t>Artículo 19.</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r w:rsidRPr="007F4918">
        <w:rPr>
          <w:rStyle w:val="TextoNormalNegritaCaracter"/>
        </w:rPr>
        <w:t>Artículo 31.</w:t>
      </w:r>
      <w:r w:rsidRPr="007F4918">
        <w:rPr>
          <w:rStyle w:val="TextoNormalCaracter"/>
        </w:rPr>
        <w:t>-</w:t>
      </w:r>
      <w:r>
        <w:t xml:space="preserve"> Sentencia </w:t>
      </w:r>
      <w:hyperlink w:anchor="SENTENCIA_2002_37" w:history="1">
        <w:r w:rsidRPr="007F4918">
          <w:rPr>
            <w:rStyle w:val="TextoNormalCaracter"/>
          </w:rPr>
          <w:t>37/2002</w:t>
        </w:r>
      </w:hyperlink>
      <w:r>
        <w:t>, ff. 9, 10.</w:t>
      </w:r>
    </w:p>
    <w:p w:rsidR="007F4918" w:rsidRDefault="007F4918" w:rsidP="007F4918">
      <w:pPr>
        <w:pStyle w:val="SangriaFrancesaArticulo"/>
      </w:pPr>
      <w:r w:rsidRPr="007F4918">
        <w:rPr>
          <w:rStyle w:val="TextoNormalNegritaCaracter"/>
        </w:rPr>
        <w:t>Artículo 31.1.</w:t>
      </w:r>
      <w:r w:rsidRPr="007F4918">
        <w:rPr>
          <w:rStyle w:val="TextoNormalCaracter"/>
        </w:rPr>
        <w:t>-</w:t>
      </w:r>
      <w:r>
        <w:t xml:space="preserve"> Sentencia </w:t>
      </w:r>
      <w:hyperlink w:anchor="SENTENCIA_2002_37" w:history="1">
        <w:r w:rsidRPr="007F4918">
          <w:rPr>
            <w:rStyle w:val="TextoNormalCaracter"/>
          </w:rPr>
          <w:t>37/2002</w:t>
        </w:r>
      </w:hyperlink>
      <w:r>
        <w:t>, ff. 7, 9, 13.</w:t>
      </w:r>
    </w:p>
    <w:p w:rsidR="007F4918" w:rsidRDefault="007F4918" w:rsidP="007F4918">
      <w:pPr>
        <w:pStyle w:val="SangriaFrancesaArticulo"/>
      </w:pPr>
      <w:r w:rsidRPr="007F4918">
        <w:rPr>
          <w:rStyle w:val="TextoNormalNegritaCaracter"/>
        </w:rPr>
        <w:t>Artículo 31.2.</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r w:rsidRPr="007F4918">
        <w:rPr>
          <w:rStyle w:val="TextoNormalNegritaCaracter"/>
        </w:rPr>
        <w:t>Artículo 31.2</w:t>
      </w:r>
      <w:r>
        <w:t xml:space="preserve"> </w:t>
      </w:r>
      <w:r w:rsidRPr="007F4918">
        <w:rPr>
          <w:rStyle w:val="TextoNormalCaracter"/>
        </w:rPr>
        <w:t>(redactado por la Ley 31/1991, de 30 de diciembre)</w:t>
      </w:r>
      <w:r w:rsidRPr="007F4918">
        <w:rPr>
          <w:rStyle w:val="TextoNormalNegritaCaracter"/>
        </w:rPr>
        <w:t>.</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p>
    <w:p w:rsidR="007F4918" w:rsidRDefault="007F4918" w:rsidP="007F4918">
      <w:pPr>
        <w:pStyle w:val="TextoNormalNegritaCursivandice"/>
      </w:pPr>
      <w:r>
        <w:t>Ley 34/1984, de 6 de agosto. Reforma de la Ley de enjuiciamiento civil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62" w:history="1">
        <w:r w:rsidRPr="007F4918">
          <w:rPr>
            <w:rStyle w:val="TextoNormalCaracter"/>
          </w:rPr>
          <w:t>62/2002</w:t>
        </w:r>
      </w:hyperlink>
      <w:r>
        <w:t>, f. 4.</w:t>
      </w:r>
    </w:p>
    <w:p w:rsidR="007F4918" w:rsidRDefault="007F4918" w:rsidP="007F4918">
      <w:pPr>
        <w:pStyle w:val="SangriaFrancesaArticulo"/>
      </w:pPr>
    </w:p>
    <w:p w:rsidR="007F4918" w:rsidRDefault="007F4918" w:rsidP="007F4918">
      <w:pPr>
        <w:pStyle w:val="TextoNormalNegritaCursivandice"/>
      </w:pPr>
      <w:r>
        <w:t>Ley 53/1984, de 26 de diciembre. Incompatibilidades del personal al servicio de las Administraciones públicas</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Sentencias </w:t>
      </w:r>
      <w:hyperlink w:anchor="SENTENCIA_2002_37" w:history="1">
        <w:r w:rsidRPr="007F4918">
          <w:rPr>
            <w:rStyle w:val="TextoNormalCaracter"/>
          </w:rPr>
          <w:t>37/2002</w:t>
        </w:r>
      </w:hyperlink>
      <w:r>
        <w:t xml:space="preserve">, f. 9; </w:t>
      </w:r>
      <w:hyperlink w:anchor="SENTENCIA_2002_67" w:history="1">
        <w:r w:rsidRPr="007F4918">
          <w:rPr>
            <w:rStyle w:val="TextoNormalCaracter"/>
          </w:rPr>
          <w:t>67/2002</w:t>
        </w:r>
      </w:hyperlink>
      <w:r>
        <w:t>, f. 5, VP.</w:t>
      </w:r>
    </w:p>
    <w:p w:rsidR="007F4918" w:rsidRDefault="007F4918" w:rsidP="007F4918">
      <w:pPr>
        <w:pStyle w:val="SangriaFrancesaArticulo"/>
      </w:pPr>
      <w:r w:rsidRPr="007F4918">
        <w:rPr>
          <w:rStyle w:val="TextoNormalNegritaCaracter"/>
        </w:rPr>
        <w:t>Artículo 1.11.</w:t>
      </w:r>
      <w:r w:rsidRPr="007F4918">
        <w:rPr>
          <w:rStyle w:val="TextoNormalCaracter"/>
        </w:rPr>
        <w:t>-</w:t>
      </w:r>
      <w:r>
        <w:t xml:space="preserve"> Sentencia </w:t>
      </w:r>
      <w:hyperlink w:anchor="SENTENCIA_2002_67" w:history="1">
        <w:r w:rsidRPr="007F4918">
          <w:rPr>
            <w:rStyle w:val="TextoNormalCaracter"/>
          </w:rPr>
          <w:t>67/2002</w:t>
        </w:r>
      </w:hyperlink>
      <w:r>
        <w:t>, f. 1.</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Sentencia </w:t>
      </w:r>
      <w:hyperlink w:anchor="SENTENCIA_2002_67" w:history="1">
        <w:r w:rsidRPr="007F4918">
          <w:rPr>
            <w:rStyle w:val="TextoNormalCaracter"/>
          </w:rPr>
          <w:t>67/2002</w:t>
        </w:r>
      </w:hyperlink>
      <w:r>
        <w:t>, f. 1.</w:t>
      </w:r>
    </w:p>
    <w:p w:rsidR="007F4918" w:rsidRDefault="007F4918" w:rsidP="007F4918">
      <w:pPr>
        <w:pStyle w:val="SangriaFrancesaArticulo"/>
      </w:pPr>
      <w:r w:rsidRPr="007F4918">
        <w:rPr>
          <w:rStyle w:val="TextoNormalNegritaCaracter"/>
        </w:rPr>
        <w:t>Artículo 13.</w:t>
      </w:r>
      <w:r w:rsidRPr="007F4918">
        <w:rPr>
          <w:rStyle w:val="TextoNormalCaracter"/>
        </w:rPr>
        <w:t>-</w:t>
      </w:r>
      <w:r>
        <w:t xml:space="preserve"> Sentencia </w:t>
      </w:r>
      <w:hyperlink w:anchor="SENTENCIA_2002_67" w:history="1">
        <w:r w:rsidRPr="007F4918">
          <w:rPr>
            <w:rStyle w:val="TextoNormalCaracter"/>
          </w:rPr>
          <w:t>67/2002</w:t>
        </w:r>
      </w:hyperlink>
      <w:r>
        <w:t>, f. 1.</w:t>
      </w:r>
    </w:p>
    <w:p w:rsidR="007F4918" w:rsidRDefault="007F4918" w:rsidP="007F4918">
      <w:pPr>
        <w:pStyle w:val="SangriaFrancesaArticulo"/>
      </w:pPr>
      <w:r w:rsidRPr="007F4918">
        <w:rPr>
          <w:rStyle w:val="TextoNormalNegritaCaracter"/>
        </w:rPr>
        <w:t>Artículo 16.</w:t>
      </w:r>
      <w:r w:rsidRPr="007F4918">
        <w:rPr>
          <w:rStyle w:val="TextoNormalCaracter"/>
        </w:rPr>
        <w:t>-</w:t>
      </w:r>
      <w:r>
        <w:t xml:space="preserve"> Sentencia </w:t>
      </w:r>
      <w:hyperlink w:anchor="SENTENCIA_2002_67" w:history="1">
        <w:r w:rsidRPr="007F4918">
          <w:rPr>
            <w:rStyle w:val="TextoNormalCaracter"/>
          </w:rPr>
          <w:t>67/2002</w:t>
        </w:r>
      </w:hyperlink>
      <w:r>
        <w:t>, VP.</w:t>
      </w:r>
    </w:p>
    <w:p w:rsidR="007F4918" w:rsidRDefault="007F4918" w:rsidP="007F4918">
      <w:pPr>
        <w:pStyle w:val="SangriaFrancesaArticulo"/>
      </w:pPr>
      <w:r w:rsidRPr="007F4918">
        <w:rPr>
          <w:rStyle w:val="TextoNormalNegritaCaracter"/>
        </w:rPr>
        <w:t>Artículo 16.1.</w:t>
      </w:r>
      <w:r w:rsidRPr="007F4918">
        <w:rPr>
          <w:rStyle w:val="TextoNormalCaracter"/>
        </w:rPr>
        <w:t>-</w:t>
      </w:r>
      <w:r>
        <w:t xml:space="preserve"> Sentencia </w:t>
      </w:r>
      <w:hyperlink w:anchor="SENTENCIA_2002_67" w:history="1">
        <w:r w:rsidRPr="007F4918">
          <w:rPr>
            <w:rStyle w:val="TextoNormalCaracter"/>
          </w:rPr>
          <w:t>67/2002</w:t>
        </w:r>
      </w:hyperlink>
      <w:r>
        <w:t>, VP.</w:t>
      </w:r>
    </w:p>
    <w:p w:rsidR="007F4918" w:rsidRDefault="007F4918" w:rsidP="007F4918">
      <w:pPr>
        <w:pStyle w:val="SangriaFrancesaArticulo"/>
      </w:pPr>
      <w:r w:rsidRPr="007F4918">
        <w:rPr>
          <w:rStyle w:val="TextoNormalNegritaCaracter"/>
        </w:rPr>
        <w:t>Artículo 16.4.</w:t>
      </w:r>
      <w:r w:rsidRPr="007F4918">
        <w:rPr>
          <w:rStyle w:val="TextoNormalCaracter"/>
        </w:rPr>
        <w:t>-</w:t>
      </w:r>
      <w:r>
        <w:t xml:space="preserve"> Sentencia </w:t>
      </w:r>
      <w:hyperlink w:anchor="SENTENCIA_2002_67" w:history="1">
        <w:r w:rsidRPr="007F4918">
          <w:rPr>
            <w:rStyle w:val="TextoNormalCaracter"/>
          </w:rPr>
          <w:t>67/2002</w:t>
        </w:r>
      </w:hyperlink>
      <w:r>
        <w:t>, ff. 1, 2, 4, VP.</w:t>
      </w:r>
    </w:p>
    <w:p w:rsidR="007F4918" w:rsidRDefault="007F4918" w:rsidP="007F4918">
      <w:pPr>
        <w:pStyle w:val="SangriaFrancesaArticulo"/>
      </w:pPr>
      <w:r w:rsidRPr="007F4918">
        <w:rPr>
          <w:rStyle w:val="TextoNormalNegritaCaracter"/>
        </w:rPr>
        <w:t>Artículo 16.4</w:t>
      </w:r>
      <w:r>
        <w:t xml:space="preserve"> </w:t>
      </w:r>
      <w:r w:rsidRPr="007F4918">
        <w:rPr>
          <w:rStyle w:val="TextoNormalCaracter"/>
        </w:rPr>
        <w:t>(redactado por la Ley 31/1991, de 30 de diciembre)</w:t>
      </w:r>
      <w:r w:rsidRPr="007F4918">
        <w:rPr>
          <w:rStyle w:val="TextoNormalNegritaCaracter"/>
        </w:rPr>
        <w:t>.</w:t>
      </w:r>
      <w:r w:rsidRPr="007F4918">
        <w:rPr>
          <w:rStyle w:val="TextoNormalCaracter"/>
        </w:rPr>
        <w:t>-</w:t>
      </w:r>
      <w:r>
        <w:t xml:space="preserve"> Sentencia </w:t>
      </w:r>
      <w:hyperlink w:anchor="SENTENCIA_2002_67" w:history="1">
        <w:r w:rsidRPr="007F4918">
          <w:rPr>
            <w:rStyle w:val="TextoNormalCaracter"/>
          </w:rPr>
          <w:t>67/2002</w:t>
        </w:r>
      </w:hyperlink>
      <w:r>
        <w:t>, f. 4, VP.</w:t>
      </w:r>
    </w:p>
    <w:p w:rsidR="007F4918" w:rsidRDefault="007F4918" w:rsidP="007F4918">
      <w:pPr>
        <w:pStyle w:val="SangriaFrancesaArticulo"/>
      </w:pPr>
      <w:r w:rsidRPr="007F4918">
        <w:rPr>
          <w:rStyle w:val="TextoNormalNegritaCaracter"/>
        </w:rPr>
        <w:t>Disposición adicional primera.</w:t>
      </w:r>
      <w:r w:rsidRPr="007F4918">
        <w:rPr>
          <w:rStyle w:val="TextoNormalCaracter"/>
        </w:rPr>
        <w:t>-</w:t>
      </w:r>
      <w:r>
        <w:t xml:space="preserve"> Sentencia </w:t>
      </w:r>
      <w:hyperlink w:anchor="SENTENCIA_2002_67" w:history="1">
        <w:r w:rsidRPr="007F4918">
          <w:rPr>
            <w:rStyle w:val="TextoNormalCaracter"/>
          </w:rPr>
          <w:t>67/2002</w:t>
        </w:r>
      </w:hyperlink>
      <w:r>
        <w:t>, VP.</w:t>
      </w:r>
    </w:p>
    <w:p w:rsidR="007F4918" w:rsidRDefault="007F4918" w:rsidP="007F4918">
      <w:pPr>
        <w:pStyle w:val="SangriaFrancesaArticulo"/>
      </w:pPr>
      <w:r w:rsidRPr="007F4918">
        <w:rPr>
          <w:rStyle w:val="TextoNormalNegritaCaracter"/>
        </w:rPr>
        <w:t>Disposición adicional segunda.</w:t>
      </w:r>
      <w:r w:rsidRPr="007F4918">
        <w:rPr>
          <w:rStyle w:val="TextoNormalCaracter"/>
        </w:rPr>
        <w:t>-</w:t>
      </w:r>
      <w:r>
        <w:t xml:space="preserve"> Sentencia </w:t>
      </w:r>
      <w:hyperlink w:anchor="SENTENCIA_2002_67" w:history="1">
        <w:r w:rsidRPr="007F4918">
          <w:rPr>
            <w:rStyle w:val="TextoNormalCaracter"/>
          </w:rPr>
          <w:t>67/2002</w:t>
        </w:r>
      </w:hyperlink>
      <w:r>
        <w:t>, VP.</w:t>
      </w:r>
    </w:p>
    <w:p w:rsidR="007F4918" w:rsidRDefault="007F4918" w:rsidP="007F4918">
      <w:pPr>
        <w:pStyle w:val="SangriaFrancesaArticulo"/>
      </w:pPr>
      <w:r w:rsidRPr="007F4918">
        <w:rPr>
          <w:rStyle w:val="TextoNormalNegritaCaracter"/>
        </w:rPr>
        <w:t>Disposición adicional cuarta</w:t>
      </w:r>
      <w:r>
        <w:t xml:space="preserve"> </w:t>
      </w:r>
      <w:r w:rsidRPr="007F4918">
        <w:rPr>
          <w:rStyle w:val="TextoNormalCaracter"/>
        </w:rPr>
        <w:t>(redactado por la Ley 31/1991, de 30 de diciembre)</w:t>
      </w:r>
      <w:r w:rsidRPr="007F4918">
        <w:rPr>
          <w:rStyle w:val="TextoNormalNegritaCaracter"/>
        </w:rPr>
        <w:t>.</w:t>
      </w:r>
      <w:r w:rsidRPr="007F4918">
        <w:rPr>
          <w:rStyle w:val="TextoNormalCaracter"/>
        </w:rPr>
        <w:t>-</w:t>
      </w:r>
      <w:r>
        <w:t xml:space="preserve"> Sentencia </w:t>
      </w:r>
      <w:hyperlink w:anchor="SENTENCIA_2002_67" w:history="1">
        <w:r w:rsidRPr="007F4918">
          <w:rPr>
            <w:rStyle w:val="TextoNormalCaracter"/>
          </w:rPr>
          <w:t>67/2002</w:t>
        </w:r>
      </w:hyperlink>
      <w:r>
        <w:t>, VP.</w:t>
      </w:r>
    </w:p>
    <w:p w:rsidR="007F4918" w:rsidRDefault="007F4918" w:rsidP="007F4918">
      <w:pPr>
        <w:pStyle w:val="SangriaFrancesaArticulo"/>
      </w:pPr>
      <w:r w:rsidRPr="007F4918">
        <w:rPr>
          <w:rStyle w:val="TextoNormalNegritaCaracter"/>
        </w:rPr>
        <w:t>Disposición adicional sexta.</w:t>
      </w:r>
      <w:r w:rsidRPr="007F4918">
        <w:rPr>
          <w:rStyle w:val="TextoNormalCaracter"/>
        </w:rPr>
        <w:t>-</w:t>
      </w:r>
      <w:r>
        <w:t xml:space="preserve"> Sentencia </w:t>
      </w:r>
      <w:hyperlink w:anchor="SENTENCIA_2002_67" w:history="1">
        <w:r w:rsidRPr="007F4918">
          <w:rPr>
            <w:rStyle w:val="TextoNormalCaracter"/>
          </w:rPr>
          <w:t>67/2002</w:t>
        </w:r>
      </w:hyperlink>
      <w:r>
        <w:t>, VP.</w:t>
      </w:r>
    </w:p>
    <w:p w:rsidR="007F4918" w:rsidRDefault="007F4918" w:rsidP="007F4918">
      <w:pPr>
        <w:pStyle w:val="SangriaFrancesaArticulo"/>
      </w:pPr>
    </w:p>
    <w:p w:rsidR="007F4918" w:rsidRDefault="007F4918" w:rsidP="007F4918">
      <w:pPr>
        <w:pStyle w:val="TextoNormalNegritaCursivandice"/>
      </w:pPr>
      <w:r>
        <w:t>Ley 50/1984, de 30 de diciembre. Presupuestos generales del Estado para 1985</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p>
    <w:p w:rsidR="007F4918" w:rsidRDefault="007F4918" w:rsidP="007F4918">
      <w:pPr>
        <w:pStyle w:val="TextoNormalNegritaCursivandice"/>
      </w:pPr>
      <w:r>
        <w:t>Ley 2/1985, de 21 de enero. Protección Civil</w:t>
      </w:r>
    </w:p>
    <w:p w:rsidR="007F4918" w:rsidRDefault="007F4918" w:rsidP="007F4918">
      <w:pPr>
        <w:pStyle w:val="SangriaFrancesaArticulo"/>
      </w:pPr>
      <w:r w:rsidRPr="007F4918">
        <w:rPr>
          <w:rStyle w:val="TextoNormalNegritaCaracter"/>
        </w:rPr>
        <w:t>Artículo 8.</w:t>
      </w:r>
      <w:r w:rsidRPr="007F4918">
        <w:rPr>
          <w:rStyle w:val="TextoNormalCaracter"/>
        </w:rPr>
        <w:t>-</w:t>
      </w:r>
      <w:r>
        <w:t xml:space="preserve"> Sentencia </w:t>
      </w:r>
      <w:hyperlink w:anchor="SENTENCIA_2002_25" w:history="1">
        <w:r w:rsidRPr="007F4918">
          <w:rPr>
            <w:rStyle w:val="TextoNormalCaracter"/>
          </w:rPr>
          <w:t>25/2002</w:t>
        </w:r>
      </w:hyperlink>
      <w:r>
        <w:t>, f. 3.</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 </w:t>
      </w:r>
      <w:hyperlink w:anchor="SENTENCIA_2002_25" w:history="1">
        <w:r w:rsidRPr="007F4918">
          <w:rPr>
            <w:rStyle w:val="TextoNormalCaracter"/>
          </w:rPr>
          <w:t>25/2002</w:t>
        </w:r>
      </w:hyperlink>
      <w:r>
        <w:t>, f. 3.</w:t>
      </w:r>
    </w:p>
    <w:p w:rsidR="007F4918" w:rsidRDefault="007F4918" w:rsidP="007F4918">
      <w:pPr>
        <w:pStyle w:val="SangriaFrancesaArticulo"/>
      </w:pPr>
    </w:p>
    <w:p w:rsidR="007F4918" w:rsidRDefault="007F4918" w:rsidP="007F4918">
      <w:pPr>
        <w:pStyle w:val="TextoNormalNegritaCursivandice"/>
      </w:pPr>
      <w:r>
        <w:t>Ley 7/1985, de 2 de abril. Reguladora de bases del régimen local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ff. 6, 7, 10.</w:t>
      </w:r>
    </w:p>
    <w:p w:rsidR="007F4918" w:rsidRDefault="007F4918" w:rsidP="007F4918">
      <w:pPr>
        <w:pStyle w:val="SangriaFrancesaArticulo"/>
      </w:pPr>
      <w:r w:rsidRPr="007F4918">
        <w:rPr>
          <w:rStyle w:val="TextoNormalNegritaCaracter"/>
        </w:rPr>
        <w:t>Título VI.</w:t>
      </w:r>
      <w:r w:rsidRPr="007F4918">
        <w:rPr>
          <w:rStyle w:val="TextoNormalCaracter"/>
        </w:rPr>
        <w:t>-</w:t>
      </w:r>
      <w:r>
        <w:t xml:space="preserve"> Sentencia </w:t>
      </w:r>
      <w:hyperlink w:anchor="SENTENCIA_2002_37" w:history="1">
        <w:r w:rsidRPr="007F4918">
          <w:rPr>
            <w:rStyle w:val="TextoNormalCaracter"/>
          </w:rPr>
          <w:t>37/2002</w:t>
        </w:r>
      </w:hyperlink>
      <w:r>
        <w:t>, f. 10.</w:t>
      </w:r>
    </w:p>
    <w:p w:rsidR="007F4918" w:rsidRDefault="007F4918" w:rsidP="007F4918">
      <w:pPr>
        <w:pStyle w:val="SangriaFrancesaArticulo"/>
      </w:pPr>
      <w:r w:rsidRPr="007F4918">
        <w:rPr>
          <w:rStyle w:val="TextoNormalNegritaCaracter"/>
        </w:rPr>
        <w:t>Título VII.</w:t>
      </w:r>
      <w:r w:rsidRPr="007F4918">
        <w:rPr>
          <w:rStyle w:val="TextoNormalCaracter"/>
        </w:rPr>
        <w:t>-</w:t>
      </w:r>
      <w:r>
        <w:t xml:space="preserve"> Sentencia </w:t>
      </w:r>
      <w:hyperlink w:anchor="SENTENCIA_2002_37" w:history="1">
        <w:r w:rsidRPr="007F4918">
          <w:rPr>
            <w:rStyle w:val="TextoNormalCaracter"/>
          </w:rPr>
          <w:t>37/2002</w:t>
        </w:r>
      </w:hyperlink>
      <w:r>
        <w:t>, f. 10.</w:t>
      </w:r>
    </w:p>
    <w:p w:rsidR="007F4918" w:rsidRDefault="007F4918" w:rsidP="007F4918">
      <w:pPr>
        <w:pStyle w:val="SangriaFrancesaArticulo"/>
      </w:pPr>
      <w:r w:rsidRPr="007F4918">
        <w:rPr>
          <w:rStyle w:val="TextoNormalNegritaCaracter"/>
        </w:rPr>
        <w:t>Artículo 92.2.</w:t>
      </w:r>
      <w:r w:rsidRPr="007F4918">
        <w:rPr>
          <w:rStyle w:val="TextoNormalCaracter"/>
        </w:rPr>
        <w:t>-</w:t>
      </w:r>
      <w:r>
        <w:t xml:space="preserve"> Sentencia </w:t>
      </w:r>
      <w:hyperlink w:anchor="SENTENCIA_2002_37" w:history="1">
        <w:r w:rsidRPr="007F4918">
          <w:rPr>
            <w:rStyle w:val="TextoNormalCaracter"/>
          </w:rPr>
          <w:t>37/2002</w:t>
        </w:r>
      </w:hyperlink>
      <w:r>
        <w:t>, ff. 1, 4, 6.</w:t>
      </w:r>
    </w:p>
    <w:p w:rsidR="007F4918" w:rsidRDefault="007F4918" w:rsidP="007F4918">
      <w:pPr>
        <w:pStyle w:val="SangriaFrancesaArticulo"/>
      </w:pPr>
      <w:r w:rsidRPr="007F4918">
        <w:rPr>
          <w:rStyle w:val="TextoNormalNegritaCaracter"/>
        </w:rPr>
        <w:t>Artículo 92.3.</w:t>
      </w:r>
      <w:r w:rsidRPr="007F4918">
        <w:rPr>
          <w:rStyle w:val="TextoNormalCaracter"/>
        </w:rPr>
        <w:t>-</w:t>
      </w:r>
      <w:r>
        <w:t xml:space="preserve"> Sentencia </w:t>
      </w:r>
      <w:hyperlink w:anchor="SENTENCIA_2002_37" w:history="1">
        <w:r w:rsidRPr="007F4918">
          <w:rPr>
            <w:rStyle w:val="TextoNormalCaracter"/>
          </w:rPr>
          <w:t>37/2002</w:t>
        </w:r>
      </w:hyperlink>
      <w:r>
        <w:t>, f. 6.</w:t>
      </w:r>
    </w:p>
    <w:p w:rsidR="007F4918" w:rsidRDefault="007F4918" w:rsidP="007F4918">
      <w:pPr>
        <w:pStyle w:val="SangriaFrancesaArticulo"/>
      </w:pPr>
      <w:r w:rsidRPr="007F4918">
        <w:rPr>
          <w:rStyle w:val="TextoNormalNegritaCaracter"/>
        </w:rPr>
        <w:t>Disposición transitoria primera.</w:t>
      </w:r>
      <w:r w:rsidRPr="007F4918">
        <w:rPr>
          <w:rStyle w:val="TextoNormalCaracter"/>
        </w:rPr>
        <w:t>-</w:t>
      </w:r>
      <w:r>
        <w:t xml:space="preserve"> Sentencia </w:t>
      </w:r>
      <w:hyperlink w:anchor="SENTENCIA_2002_37" w:history="1">
        <w:r w:rsidRPr="007F4918">
          <w:rPr>
            <w:rStyle w:val="TextoNormalCaracter"/>
          </w:rPr>
          <w:t>37/2002</w:t>
        </w:r>
      </w:hyperlink>
      <w:r>
        <w:t>, f. 10.</w:t>
      </w:r>
    </w:p>
    <w:p w:rsidR="007F4918" w:rsidRDefault="007F4918" w:rsidP="007F4918">
      <w:pPr>
        <w:pStyle w:val="SangriaFrancesaArticulo"/>
      </w:pPr>
    </w:p>
    <w:p w:rsidR="007F4918" w:rsidRDefault="007F4918" w:rsidP="007F4918">
      <w:pPr>
        <w:pStyle w:val="TextoNormalNegritaCursivandice"/>
      </w:pPr>
      <w:r>
        <w:t>Ley 9/1987, de 12 de junio. Órganos de representación, determinación de las condiciones de trabajo y participación del personal al servicio de las   Administraciones públicas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r w:rsidRPr="007F4918">
        <w:rPr>
          <w:rStyle w:val="TextoNormalNegritaCaracter"/>
        </w:rPr>
        <w:t>Artículo 18.1 a).</w:t>
      </w:r>
      <w:r w:rsidRPr="007F4918">
        <w:rPr>
          <w:rStyle w:val="TextoNormalCaracter"/>
        </w:rPr>
        <w:t>-</w:t>
      </w:r>
      <w:r>
        <w:t xml:space="preserve"> Auto </w:t>
      </w:r>
      <w:hyperlink w:anchor="AUTO_2002_12" w:history="1">
        <w:r w:rsidRPr="007F4918">
          <w:rPr>
            <w:rStyle w:val="TextoNormalCaracter"/>
          </w:rPr>
          <w:t>12/2002</w:t>
        </w:r>
      </w:hyperlink>
      <w:r>
        <w:t>.</w:t>
      </w:r>
    </w:p>
    <w:p w:rsidR="007F4918" w:rsidRDefault="007F4918" w:rsidP="007F4918">
      <w:pPr>
        <w:pStyle w:val="SangriaFrancesaArticulo"/>
      </w:pPr>
    </w:p>
    <w:p w:rsidR="007F4918" w:rsidRDefault="007F4918" w:rsidP="007F4918">
      <w:pPr>
        <w:pStyle w:val="TextoNormalNegritaCursivandice"/>
      </w:pPr>
      <w:r>
        <w:t>Ley 33/1987, de 23 de diciembre. Presupuestos generales del Estado para 1988</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ff. 3, 5, 6.</w:t>
      </w:r>
    </w:p>
    <w:p w:rsidR="007F4918" w:rsidRDefault="007F4918" w:rsidP="007F4918">
      <w:pPr>
        <w:pStyle w:val="SangriaFrancesaArticulo"/>
      </w:pPr>
    </w:p>
    <w:p w:rsidR="007F4918" w:rsidRDefault="007F4918" w:rsidP="007F4918">
      <w:pPr>
        <w:pStyle w:val="TextoNormalNegritaCursivandice"/>
      </w:pPr>
      <w:r>
        <w:t>Ley 8/1988, de 7 de abril. Infracciones y sanciones en el orden social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Capítulo IV, sección primera.</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25.</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p>
    <w:p w:rsidR="007F4918" w:rsidRDefault="007F4918" w:rsidP="007F4918">
      <w:pPr>
        <w:pStyle w:val="TextoNormalNegritaCursivandice"/>
      </w:pPr>
      <w:r>
        <w:t>Ley 23/1988, de 28 de julio. Modifica la Ley 30/1984, de 2 de agosto, de medidas para la reforma de la función pública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 6.</w:t>
      </w:r>
    </w:p>
    <w:p w:rsidR="007F4918" w:rsidRDefault="007F4918" w:rsidP="007F4918">
      <w:pPr>
        <w:pStyle w:val="SangriaFrancesaArticulo"/>
      </w:pPr>
    </w:p>
    <w:p w:rsidR="007F4918" w:rsidRDefault="007F4918" w:rsidP="007F4918">
      <w:pPr>
        <w:pStyle w:val="TextoNormalNegritaCursivandice"/>
      </w:pPr>
      <w:r>
        <w:t>Ley 26/1988, de 29 de julio. Disciplina e intervención de las entidades de crédito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7.</w:t>
      </w:r>
    </w:p>
    <w:p w:rsidR="007F4918" w:rsidRDefault="007F4918" w:rsidP="007F4918">
      <w:pPr>
        <w:pStyle w:val="SangriaFrancesaArticulo"/>
      </w:pPr>
    </w:p>
    <w:p w:rsidR="007F4918" w:rsidRDefault="007F4918" w:rsidP="007F4918">
      <w:pPr>
        <w:pStyle w:val="TextoNormalNegritaCursivandice"/>
      </w:pPr>
      <w:r>
        <w:t>Ley 36/1988, de 5 de diciembre. Regulación del arbitraje de Derecho privado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2" w:history="1">
        <w:r w:rsidRPr="007F4918">
          <w:rPr>
            <w:rStyle w:val="TextoNormalCaracter"/>
          </w:rPr>
          <w:t>32/2002</w:t>
        </w:r>
      </w:hyperlink>
      <w:r>
        <w:t>, f. 4.</w:t>
      </w:r>
    </w:p>
    <w:p w:rsidR="007F4918" w:rsidRDefault="007F4918" w:rsidP="007F4918">
      <w:pPr>
        <w:pStyle w:val="SangriaFrancesaArticulo"/>
      </w:pPr>
      <w:r w:rsidRPr="007F4918">
        <w:rPr>
          <w:rStyle w:val="TextoNormalNegritaCaracter"/>
        </w:rPr>
        <w:t>Artículo 45.</w:t>
      </w:r>
      <w:r w:rsidRPr="007F4918">
        <w:rPr>
          <w:rStyle w:val="TextoNormalCaracter"/>
        </w:rPr>
        <w:t>-</w:t>
      </w:r>
      <w:r>
        <w:t xml:space="preserve"> Sentencia </w:t>
      </w:r>
      <w:hyperlink w:anchor="SENTENCIA_2002_32" w:history="1">
        <w:r w:rsidRPr="007F4918">
          <w:rPr>
            <w:rStyle w:val="TextoNormalCaracter"/>
          </w:rPr>
          <w:t>32/2002</w:t>
        </w:r>
      </w:hyperlink>
      <w:r>
        <w:t>, f. 4.</w:t>
      </w:r>
    </w:p>
    <w:p w:rsidR="007F4918" w:rsidRDefault="007F4918" w:rsidP="007F4918">
      <w:pPr>
        <w:pStyle w:val="SangriaFrancesaArticulo"/>
      </w:pPr>
      <w:r w:rsidRPr="007F4918">
        <w:rPr>
          <w:rStyle w:val="TextoNormalNegritaCaracter"/>
        </w:rPr>
        <w:t>Artículo 45.1.</w:t>
      </w:r>
      <w:r w:rsidRPr="007F4918">
        <w:rPr>
          <w:rStyle w:val="TextoNormalCaracter"/>
        </w:rPr>
        <w:t>-</w:t>
      </w:r>
      <w:r>
        <w:t xml:space="preserve"> Sentencia </w:t>
      </w:r>
      <w:hyperlink w:anchor="SENTENCIA_2002_32" w:history="1">
        <w:r w:rsidRPr="007F4918">
          <w:rPr>
            <w:rStyle w:val="TextoNormalCaracter"/>
          </w:rPr>
          <w:t>32/2002</w:t>
        </w:r>
      </w:hyperlink>
      <w:r>
        <w:t>, f. 4.</w:t>
      </w:r>
    </w:p>
    <w:p w:rsidR="007F4918" w:rsidRDefault="007F4918" w:rsidP="007F4918">
      <w:pPr>
        <w:pStyle w:val="SangriaFrancesaArticulo"/>
      </w:pPr>
      <w:r w:rsidRPr="007F4918">
        <w:rPr>
          <w:rStyle w:val="TextoNormalNegritaCaracter"/>
        </w:rPr>
        <w:t>Artículo 45.4.</w:t>
      </w:r>
      <w:r w:rsidRPr="007F4918">
        <w:rPr>
          <w:rStyle w:val="TextoNormalCaracter"/>
        </w:rPr>
        <w:t>-</w:t>
      </w:r>
      <w:r>
        <w:t xml:space="preserve"> Sentencia </w:t>
      </w:r>
      <w:hyperlink w:anchor="SENTENCIA_2002_32" w:history="1">
        <w:r w:rsidRPr="007F4918">
          <w:rPr>
            <w:rStyle w:val="TextoNormalCaracter"/>
          </w:rPr>
          <w:t>32/2002</w:t>
        </w:r>
      </w:hyperlink>
      <w:r>
        <w:t>, f. 4.</w:t>
      </w:r>
    </w:p>
    <w:p w:rsidR="007F4918" w:rsidRDefault="007F4918" w:rsidP="007F4918">
      <w:pPr>
        <w:pStyle w:val="SangriaFrancesaArticulo"/>
      </w:pPr>
      <w:r w:rsidRPr="007F4918">
        <w:rPr>
          <w:rStyle w:val="TextoNormalNegritaCaracter"/>
        </w:rPr>
        <w:t>Artículo 46.2.</w:t>
      </w:r>
      <w:r w:rsidRPr="007F4918">
        <w:rPr>
          <w:rStyle w:val="TextoNormalCaracter"/>
        </w:rPr>
        <w:t>-</w:t>
      </w:r>
      <w:r>
        <w:t xml:space="preserve"> Sentencia </w:t>
      </w:r>
      <w:hyperlink w:anchor="SENTENCIA_2002_32" w:history="1">
        <w:r w:rsidRPr="007F4918">
          <w:rPr>
            <w:rStyle w:val="TextoNormalCaracter"/>
          </w:rPr>
          <w:t>32/2002</w:t>
        </w:r>
      </w:hyperlink>
      <w:r>
        <w:t>, f. 3.</w:t>
      </w:r>
    </w:p>
    <w:p w:rsidR="007F4918" w:rsidRDefault="007F4918" w:rsidP="007F4918">
      <w:pPr>
        <w:pStyle w:val="SangriaFrancesaArticulo"/>
      </w:pPr>
    </w:p>
    <w:p w:rsidR="007F4918" w:rsidRDefault="007F4918" w:rsidP="007F4918">
      <w:pPr>
        <w:pStyle w:val="TextoNormalNegritaCursivandice"/>
      </w:pPr>
      <w:r>
        <w:t>Ley 37/1988, de 28 de diciembre. Presupuestos generales del Estado para 1989</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ff. 3, 5.</w:t>
      </w:r>
    </w:p>
    <w:p w:rsidR="007F4918" w:rsidRDefault="007F4918" w:rsidP="007F4918">
      <w:pPr>
        <w:pStyle w:val="SangriaFrancesaArticulo"/>
      </w:pPr>
    </w:p>
    <w:p w:rsidR="007F4918" w:rsidRDefault="007F4918" w:rsidP="007F4918">
      <w:pPr>
        <w:pStyle w:val="TextoNormalNegritaCursivandice"/>
      </w:pPr>
      <w:r>
        <w:t>Ley 39/1988, de 28 de diciembre. Haciendas locales</w:t>
      </w:r>
    </w:p>
    <w:p w:rsidR="007F4918" w:rsidRDefault="007F4918" w:rsidP="007F4918">
      <w:pPr>
        <w:pStyle w:val="SangriaFrancesaArticulo"/>
      </w:pPr>
      <w:r w:rsidRPr="007F4918">
        <w:rPr>
          <w:rStyle w:val="TextoNormalNegritaCaracter"/>
        </w:rPr>
        <w:t>Artículo 64 a).</w:t>
      </w:r>
      <w:r w:rsidRPr="007F4918">
        <w:rPr>
          <w:rStyle w:val="TextoNormalCaracter"/>
        </w:rPr>
        <w:t>-</w:t>
      </w:r>
      <w:r>
        <w:t xml:space="preserve"> Sentencia </w:t>
      </w:r>
      <w:hyperlink w:anchor="SENTENCIA_2002_69" w:history="1">
        <w:r w:rsidRPr="007F4918">
          <w:rPr>
            <w:rStyle w:val="TextoNormalCaracter"/>
          </w:rPr>
          <w:t>69/2002</w:t>
        </w:r>
      </w:hyperlink>
      <w:r>
        <w:t>, ff. 1, 2.</w:t>
      </w:r>
    </w:p>
    <w:p w:rsidR="007F4918" w:rsidRDefault="007F4918" w:rsidP="007F4918">
      <w:pPr>
        <w:pStyle w:val="SangriaFrancesaArticulo"/>
      </w:pPr>
    </w:p>
    <w:p w:rsidR="007F4918" w:rsidRDefault="007F4918" w:rsidP="007F4918">
      <w:pPr>
        <w:pStyle w:val="TextoNormalNegritaCursivandice"/>
      </w:pPr>
      <w:r>
        <w:t>Ley 4/1989, de 27 de marzo. Conservación de los espacios naturales y de la flora y fauna silvestres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38" w:history="1">
        <w:r w:rsidRPr="007F4918">
          <w:rPr>
            <w:rStyle w:val="TextoNormalCaracter"/>
          </w:rPr>
          <w:t>38/2002</w:t>
        </w:r>
      </w:hyperlink>
      <w:r>
        <w:t xml:space="preserve">, ff. 3, 7; </w:t>
      </w:r>
      <w:hyperlink w:anchor="SENTENCIA_2002_97" w:history="1">
        <w:r w:rsidRPr="007F4918">
          <w:rPr>
            <w:rStyle w:val="TextoNormalCaracter"/>
          </w:rPr>
          <w:t>97/2002</w:t>
        </w:r>
      </w:hyperlink>
      <w:r>
        <w:t>, f. 8.</w:t>
      </w:r>
    </w:p>
    <w:p w:rsidR="007F4918" w:rsidRDefault="007F4918" w:rsidP="007F4918">
      <w:pPr>
        <w:pStyle w:val="SangriaFrancesaArticulo"/>
      </w:pPr>
      <w:r w:rsidRPr="007F4918">
        <w:rPr>
          <w:rStyle w:val="TextoNormalNegritaCaracter"/>
        </w:rPr>
        <w:t>Artículo 10.1.</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SangriaFrancesaArticulo"/>
      </w:pPr>
      <w:r w:rsidRPr="007F4918">
        <w:rPr>
          <w:rStyle w:val="TextoNormalNegritaCaracter"/>
        </w:rPr>
        <w:t>Artículo 13.</w:t>
      </w:r>
      <w:r w:rsidRPr="007F4918">
        <w:rPr>
          <w:rStyle w:val="TextoNormalCaracter"/>
        </w:rPr>
        <w:t>-</w:t>
      </w:r>
      <w:r>
        <w:t xml:space="preserve"> Auto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14.</w:t>
      </w:r>
      <w:r w:rsidRPr="007F4918">
        <w:rPr>
          <w:rStyle w:val="TextoNormalCaracter"/>
        </w:rPr>
        <w:t>-</w:t>
      </w:r>
      <w:r>
        <w:t xml:space="preserve"> Sentencia </w:t>
      </w:r>
      <w:hyperlink w:anchor="SENTENCIA_2002_97" w:history="1">
        <w:r w:rsidRPr="007F4918">
          <w:rPr>
            <w:rStyle w:val="TextoNormalCaracter"/>
          </w:rPr>
          <w:t>97/2002</w:t>
        </w:r>
      </w:hyperlink>
      <w:r>
        <w:t>, ff. 7, 8.</w:t>
      </w:r>
    </w:p>
    <w:p w:rsidR="007F4918" w:rsidRDefault="007F4918" w:rsidP="007F4918">
      <w:pPr>
        <w:pStyle w:val="SangriaFrancesaArticulo"/>
      </w:pPr>
      <w:r w:rsidRPr="007F4918">
        <w:rPr>
          <w:rStyle w:val="TextoNormalNegritaCaracter"/>
        </w:rPr>
        <w:t>Artículo 15.</w:t>
      </w:r>
      <w:r w:rsidRPr="007F4918">
        <w:rPr>
          <w:rStyle w:val="TextoNormalCaracter"/>
        </w:rPr>
        <w:t>-</w:t>
      </w:r>
      <w:r>
        <w:t xml:space="preserve"> Auto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15.2.</w:t>
      </w:r>
      <w:r w:rsidRPr="007F4918">
        <w:rPr>
          <w:rStyle w:val="TextoNormalCaracter"/>
        </w:rPr>
        <w:t>-</w:t>
      </w:r>
      <w:r>
        <w:t xml:space="preserve"> Auto </w:t>
      </w:r>
      <w:hyperlink w:anchor="AUTO_2002_72" w:history="1">
        <w:r w:rsidRPr="007F4918">
          <w:rPr>
            <w:rStyle w:val="TextoNormalCaracter"/>
          </w:rPr>
          <w:t>72/2002</w:t>
        </w:r>
      </w:hyperlink>
      <w:r>
        <w:t>.</w:t>
      </w:r>
    </w:p>
    <w:p w:rsidR="007F4918" w:rsidRDefault="007F4918" w:rsidP="007F4918">
      <w:pPr>
        <w:pStyle w:val="SangriaFrancesaArticulo"/>
      </w:pPr>
      <w:r w:rsidRPr="007F4918">
        <w:rPr>
          <w:rStyle w:val="TextoNormalNegritaCaracter"/>
        </w:rPr>
        <w:t>Artículo 21.3.</w:t>
      </w:r>
      <w:r w:rsidRPr="007F4918">
        <w:rPr>
          <w:rStyle w:val="TextoNormalCaracter"/>
        </w:rPr>
        <w:t>-</w:t>
      </w:r>
      <w:r>
        <w:t xml:space="preserve"> Sentencia </w:t>
      </w:r>
      <w:hyperlink w:anchor="SENTENCIA_2002_97" w:history="1">
        <w:r w:rsidRPr="007F4918">
          <w:rPr>
            <w:rStyle w:val="TextoNormalCaracter"/>
          </w:rPr>
          <w:t>97/2002</w:t>
        </w:r>
      </w:hyperlink>
      <w:r>
        <w:t>, ff. 7, 8.</w:t>
      </w:r>
    </w:p>
    <w:p w:rsidR="007F4918" w:rsidRDefault="007F4918" w:rsidP="007F4918">
      <w:pPr>
        <w:pStyle w:val="SangriaFrancesaArticulo"/>
      </w:pPr>
      <w:r w:rsidRPr="007F4918">
        <w:rPr>
          <w:rStyle w:val="TextoNormalNegritaCaracter"/>
        </w:rPr>
        <w:t>Artículo 29.</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r w:rsidRPr="007F4918">
        <w:rPr>
          <w:rStyle w:val="TextoNormalNegritaCaracter"/>
        </w:rPr>
        <w:t>Artículo 30.</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r w:rsidRPr="007F4918">
        <w:rPr>
          <w:rStyle w:val="TextoNormalNegritaCaracter"/>
        </w:rPr>
        <w:t>Artículo 31.5.</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r w:rsidRPr="007F4918">
        <w:rPr>
          <w:rStyle w:val="TextoNormalNegritaCaracter"/>
        </w:rPr>
        <w:t>Disposición adicional quinta.</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SangriaFrancesaArticulo"/>
      </w:pPr>
    </w:p>
    <w:p w:rsidR="007F4918" w:rsidRDefault="007F4918" w:rsidP="007F4918">
      <w:pPr>
        <w:pStyle w:val="TextoNormalNegritaCursivandice"/>
      </w:pPr>
      <w:r>
        <w:t>Ley 7/1989, de 12 de abril. Bases de procedimiento laboral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13" w:history="1">
        <w:r w:rsidRPr="007F4918">
          <w:rPr>
            <w:rStyle w:val="TextoNormalCaracter"/>
          </w:rPr>
          <w:t>13/2002</w:t>
        </w:r>
      </w:hyperlink>
      <w:r>
        <w:t>.</w:t>
      </w:r>
    </w:p>
    <w:p w:rsidR="007F4918" w:rsidRDefault="007F4918" w:rsidP="007F4918">
      <w:pPr>
        <w:pStyle w:val="SangriaFrancesaArticulo"/>
      </w:pPr>
    </w:p>
    <w:p w:rsidR="007F4918" w:rsidRDefault="007F4918" w:rsidP="007F4918">
      <w:pPr>
        <w:pStyle w:val="TextoNormalNegritaCursivandice"/>
      </w:pPr>
      <w:r>
        <w:t>Ley 4/1990, de 29 de junio. Presupuestos generales del Estado para 1990</w:t>
      </w:r>
    </w:p>
    <w:p w:rsidR="007F4918" w:rsidRDefault="007F4918" w:rsidP="007F4918">
      <w:pPr>
        <w:pStyle w:val="SangriaFrancesaArticulo"/>
      </w:pPr>
      <w:r w:rsidRPr="007F4918">
        <w:rPr>
          <w:rStyle w:val="TextoNormalNegritaCaracter"/>
        </w:rPr>
        <w:t>Disposición adicional trigésima.</w:t>
      </w:r>
      <w:r w:rsidRPr="007F4918">
        <w:rPr>
          <w:rStyle w:val="TextoNormalCaracter"/>
        </w:rPr>
        <w:t>-</w:t>
      </w:r>
      <w:r>
        <w:t xml:space="preserve"> Sentencia </w:t>
      </w:r>
      <w:hyperlink w:anchor="SENTENCIA_2002_11" w:history="1">
        <w:r w:rsidRPr="007F4918">
          <w:rPr>
            <w:rStyle w:val="TextoNormalCaracter"/>
          </w:rPr>
          <w:t>11/2002</w:t>
        </w:r>
      </w:hyperlink>
      <w:r>
        <w:t>, f. 3.</w:t>
      </w:r>
    </w:p>
    <w:p w:rsidR="007F4918" w:rsidRDefault="007F4918" w:rsidP="007F4918">
      <w:pPr>
        <w:pStyle w:val="SangriaFrancesaArticulo"/>
      </w:pPr>
      <w:r w:rsidRPr="007F4918">
        <w:rPr>
          <w:rStyle w:val="TextoNormalNegritaCaracter"/>
        </w:rPr>
        <w:t>Disposición final décima.</w:t>
      </w:r>
      <w:r w:rsidRPr="007F4918">
        <w:rPr>
          <w:rStyle w:val="TextoNormalCaracter"/>
        </w:rPr>
        <w:t>-</w:t>
      </w:r>
      <w:r>
        <w:t xml:space="preserve"> Sentencia </w:t>
      </w:r>
      <w:hyperlink w:anchor="SENTENCIA_2002_11" w:history="1">
        <w:r w:rsidRPr="007F4918">
          <w:rPr>
            <w:rStyle w:val="TextoNormalCaracter"/>
          </w:rPr>
          <w:t>11/2002</w:t>
        </w:r>
      </w:hyperlink>
      <w:r>
        <w:t>, ff. 3, 5, 6, 9, VP II.</w:t>
      </w:r>
    </w:p>
    <w:p w:rsidR="007F4918" w:rsidRDefault="007F4918" w:rsidP="007F4918">
      <w:pPr>
        <w:pStyle w:val="SangriaFrancesaArticulo"/>
      </w:pPr>
      <w:r w:rsidRPr="007F4918">
        <w:rPr>
          <w:rStyle w:val="TextoNormalNegritaCaracter"/>
        </w:rPr>
        <w:t>Disposición final décima, apartado 3.</w:t>
      </w:r>
      <w:r w:rsidRPr="007F4918">
        <w:rPr>
          <w:rStyle w:val="TextoNormalCaracter"/>
        </w:rPr>
        <w:t>-</w:t>
      </w:r>
      <w:r>
        <w:t xml:space="preserve"> Sentencia </w:t>
      </w:r>
      <w:hyperlink w:anchor="SENTENCIA_2002_11" w:history="1">
        <w:r w:rsidRPr="007F4918">
          <w:rPr>
            <w:rStyle w:val="TextoNormalCaracter"/>
          </w:rPr>
          <w:t>11/2002</w:t>
        </w:r>
      </w:hyperlink>
      <w:r>
        <w:t>, f. 3, VP II.</w:t>
      </w:r>
    </w:p>
    <w:p w:rsidR="007F4918" w:rsidRDefault="007F4918" w:rsidP="007F4918">
      <w:pPr>
        <w:pStyle w:val="SangriaFrancesaArticulo"/>
      </w:pPr>
    </w:p>
    <w:p w:rsidR="007F4918" w:rsidRDefault="007F4918" w:rsidP="007F4918">
      <w:pPr>
        <w:pStyle w:val="TextoNormalNegritaCursivandice"/>
      </w:pPr>
      <w:r>
        <w:t>Ley 8/1990, de 25 de julio. Reforma del régimen urbanístico y valoraciones del suelo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2.</w:t>
      </w:r>
    </w:p>
    <w:p w:rsidR="007F4918" w:rsidRDefault="007F4918" w:rsidP="007F4918">
      <w:pPr>
        <w:pStyle w:val="SangriaFrancesaArticulo"/>
      </w:pPr>
    </w:p>
    <w:p w:rsidR="007F4918" w:rsidRDefault="007F4918" w:rsidP="007F4918">
      <w:pPr>
        <w:pStyle w:val="TextoNormalNegritaCursivandice"/>
      </w:pPr>
      <w:r>
        <w:t>Ley 11/1990, de 15 de octubre. Modifica varios artículos del Código civil, en aplicación del principio de no discriminación por razón de sexo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39" w:history="1">
        <w:r w:rsidRPr="007F4918">
          <w:rPr>
            <w:rStyle w:val="TextoNormalCaracter"/>
          </w:rPr>
          <w:t>39/2002</w:t>
        </w:r>
      </w:hyperlink>
      <w:r>
        <w:t xml:space="preserve">, f. 2; </w:t>
      </w:r>
      <w:hyperlink w:anchor="SENTENCIA_2002_39" w:history="1">
        <w:r w:rsidRPr="007F4918">
          <w:rPr>
            <w:rStyle w:val="TextoNormalCaracter"/>
          </w:rPr>
          <w:t>39/2002</w:t>
        </w:r>
      </w:hyperlink>
      <w:r>
        <w:t>, ff. 1, 2.</w:t>
      </w:r>
    </w:p>
    <w:p w:rsidR="007F4918" w:rsidRDefault="007F4918" w:rsidP="007F4918">
      <w:pPr>
        <w:pStyle w:val="SangriaFrancesaArticulo"/>
      </w:pPr>
      <w:r w:rsidRPr="007F4918">
        <w:rPr>
          <w:rStyle w:val="TextoNormalNegritaCaracter"/>
        </w:rPr>
        <w:t>Disposiciones transitorias.</w:t>
      </w:r>
      <w:r w:rsidRPr="007F4918">
        <w:rPr>
          <w:rStyle w:val="TextoNormalCaracter"/>
        </w:rPr>
        <w:t>-</w:t>
      </w:r>
      <w:r>
        <w:t xml:space="preserve"> Sentencia </w:t>
      </w:r>
      <w:hyperlink w:anchor="SENTENCIA_2002_39" w:history="1">
        <w:r w:rsidRPr="007F4918">
          <w:rPr>
            <w:rStyle w:val="TextoNormalCaracter"/>
          </w:rPr>
          <w:t>39/2002</w:t>
        </w:r>
      </w:hyperlink>
      <w:r>
        <w:t>, f. 1.</w:t>
      </w:r>
    </w:p>
    <w:p w:rsidR="007F4918" w:rsidRDefault="007F4918" w:rsidP="007F4918">
      <w:pPr>
        <w:pStyle w:val="SangriaFrancesaArticulo"/>
      </w:pPr>
    </w:p>
    <w:p w:rsidR="007F4918" w:rsidRDefault="007F4918" w:rsidP="007F4918">
      <w:pPr>
        <w:pStyle w:val="TextoNormalNegritaCursivandice"/>
      </w:pPr>
      <w:r>
        <w:t>Ley 28/1990, de 26 de diciembre. Aprueba el Convenio económico entre el Estado y la Comunidad Foral de Navarra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2, VP I.</w:t>
      </w:r>
    </w:p>
    <w:p w:rsidR="007F4918" w:rsidRDefault="007F4918" w:rsidP="007F4918">
      <w:pPr>
        <w:pStyle w:val="SangriaFrancesaArticulo"/>
      </w:pPr>
    </w:p>
    <w:p w:rsidR="007F4918" w:rsidRDefault="007F4918" w:rsidP="007F4918">
      <w:pPr>
        <w:pStyle w:val="TextoNormalNegritaCursivandice"/>
      </w:pPr>
      <w:r>
        <w:t>Ley 3/1991, de 10 de enero. Competencia desleal</w:t>
      </w:r>
    </w:p>
    <w:p w:rsidR="007F4918" w:rsidRDefault="007F4918" w:rsidP="007F4918">
      <w:pPr>
        <w:pStyle w:val="SangriaFrancesaArticulo"/>
      </w:pPr>
      <w:r w:rsidRPr="007F4918">
        <w:rPr>
          <w:rStyle w:val="TextoNormalNegritaCaracter"/>
        </w:rPr>
        <w:t>Artículo 6.</w:t>
      </w:r>
      <w:r w:rsidRPr="007F4918">
        <w:rPr>
          <w:rStyle w:val="TextoNormalCaracter"/>
        </w:rPr>
        <w:t>-</w:t>
      </w:r>
      <w:r>
        <w:t xml:space="preserve"> Auto </w:t>
      </w:r>
      <w:hyperlink w:anchor="AUTO_2002_17" w:history="1">
        <w:r w:rsidRPr="007F4918">
          <w:rPr>
            <w:rStyle w:val="TextoNormalCaracter"/>
          </w:rPr>
          <w:t>17/2002</w:t>
        </w:r>
      </w:hyperlink>
      <w:r>
        <w:t>.</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Auto </w:t>
      </w:r>
      <w:hyperlink w:anchor="AUTO_2002_17" w:history="1">
        <w:r w:rsidRPr="007F4918">
          <w:rPr>
            <w:rStyle w:val="TextoNormalCaracter"/>
          </w:rPr>
          <w:t>17/2002</w:t>
        </w:r>
      </w:hyperlink>
      <w:r>
        <w:t>.</w:t>
      </w:r>
    </w:p>
    <w:p w:rsidR="007F4918" w:rsidRDefault="007F4918" w:rsidP="007F4918">
      <w:pPr>
        <w:pStyle w:val="SangriaFrancesaArticulo"/>
      </w:pPr>
    </w:p>
    <w:p w:rsidR="007F4918" w:rsidRDefault="007F4918" w:rsidP="007F4918">
      <w:pPr>
        <w:pStyle w:val="TextoNormalNegritaCursivandice"/>
      </w:pPr>
      <w:r>
        <w:t>Ley 18/1991, de 6 de junio. Impuesto sobre la renta de las personas físicas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1" w:history="1">
        <w:r w:rsidRPr="007F4918">
          <w:rPr>
            <w:rStyle w:val="TextoNormalCaracter"/>
          </w:rPr>
          <w:t>21/2002</w:t>
        </w:r>
      </w:hyperlink>
      <w:r>
        <w:t>, ff. 3, 4.</w:t>
      </w:r>
    </w:p>
    <w:p w:rsidR="007F4918" w:rsidRDefault="007F4918" w:rsidP="007F4918">
      <w:pPr>
        <w:pStyle w:val="SangriaFrancesaArticulo"/>
      </w:pPr>
      <w:r w:rsidRPr="007F4918">
        <w:rPr>
          <w:rStyle w:val="TextoNormalNegritaCaracter"/>
        </w:rPr>
        <w:t>Artículo 87.</w:t>
      </w:r>
      <w:r w:rsidRPr="007F4918">
        <w:rPr>
          <w:rStyle w:val="TextoNormalCaracter"/>
        </w:rPr>
        <w:t>-</w:t>
      </w:r>
      <w:r>
        <w:t xml:space="preserve"> Sentencia </w:t>
      </w:r>
      <w:hyperlink w:anchor="SENTENCIA_2002_21" w:history="1">
        <w:r w:rsidRPr="007F4918">
          <w:rPr>
            <w:rStyle w:val="TextoNormalCaracter"/>
          </w:rPr>
          <w:t>21/2002</w:t>
        </w:r>
      </w:hyperlink>
      <w:r>
        <w:t>, ff. 3, 4.</w:t>
      </w:r>
    </w:p>
    <w:p w:rsidR="007F4918" w:rsidRDefault="007F4918" w:rsidP="007F4918">
      <w:pPr>
        <w:pStyle w:val="SangriaFrancesaArticulo"/>
      </w:pPr>
      <w:r w:rsidRPr="007F4918">
        <w:rPr>
          <w:rStyle w:val="TextoNormalNegritaCaracter"/>
        </w:rPr>
        <w:t>Artículo 87.1.</w:t>
      </w:r>
      <w:r w:rsidRPr="007F4918">
        <w:rPr>
          <w:rStyle w:val="TextoNormalCaracter"/>
        </w:rPr>
        <w:t>-</w:t>
      </w:r>
      <w:r>
        <w:t xml:space="preserve"> Sentencia </w:t>
      </w:r>
      <w:hyperlink w:anchor="SENTENCIA_2002_21" w:history="1">
        <w:r w:rsidRPr="007F4918">
          <w:rPr>
            <w:rStyle w:val="TextoNormalCaracter"/>
          </w:rPr>
          <w:t>21/2002</w:t>
        </w:r>
      </w:hyperlink>
      <w:r>
        <w:t>, ff. 1, 3.</w:t>
      </w:r>
    </w:p>
    <w:p w:rsidR="007F4918" w:rsidRDefault="007F4918" w:rsidP="007F4918">
      <w:pPr>
        <w:pStyle w:val="SangriaFrancesaArticulo"/>
      </w:pPr>
      <w:r w:rsidRPr="007F4918">
        <w:rPr>
          <w:rStyle w:val="TextoNormalNegritaCaracter"/>
        </w:rPr>
        <w:t>Artículo 87.2.</w:t>
      </w:r>
      <w:r w:rsidRPr="007F4918">
        <w:rPr>
          <w:rStyle w:val="TextoNormalCaracter"/>
        </w:rPr>
        <w:t>-</w:t>
      </w:r>
      <w:r>
        <w:t xml:space="preserve"> Sentencia </w:t>
      </w:r>
      <w:hyperlink w:anchor="SENTENCIA_2002_21" w:history="1">
        <w:r w:rsidRPr="007F4918">
          <w:rPr>
            <w:rStyle w:val="TextoNormalCaracter"/>
          </w:rPr>
          <w:t>21/2002</w:t>
        </w:r>
      </w:hyperlink>
      <w:r>
        <w:t>, ff. 1, 3.</w:t>
      </w:r>
    </w:p>
    <w:p w:rsidR="007F4918" w:rsidRDefault="007F4918" w:rsidP="007F4918">
      <w:pPr>
        <w:pStyle w:val="SangriaFrancesaArticulo"/>
      </w:pPr>
      <w:r w:rsidRPr="007F4918">
        <w:rPr>
          <w:rStyle w:val="TextoNormalNegritaCaracter"/>
        </w:rPr>
        <w:t>Artículo 88.</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p>
    <w:p w:rsidR="007F4918" w:rsidRDefault="007F4918" w:rsidP="007F4918">
      <w:pPr>
        <w:pStyle w:val="TextoNormalNegritaCursivandice"/>
      </w:pPr>
      <w:r>
        <w:t>Ley 31/1991, de 30 de diciembre. Presupuestos generales del Estado para 1992</w:t>
      </w:r>
    </w:p>
    <w:p w:rsidR="007F4918" w:rsidRDefault="007F4918" w:rsidP="007F4918">
      <w:pPr>
        <w:pStyle w:val="SangriaFrancesaArticulo"/>
      </w:pPr>
      <w:r w:rsidRPr="007F4918">
        <w:rPr>
          <w:rStyle w:val="TextoNormalNegritaCaracter"/>
        </w:rPr>
        <w:t>Artículo 34.</w:t>
      </w:r>
      <w:r w:rsidRPr="007F4918">
        <w:rPr>
          <w:rStyle w:val="TextoNormalCaracter"/>
        </w:rPr>
        <w:t>-</w:t>
      </w:r>
      <w:r>
        <w:t xml:space="preserve"> Sentencia </w:t>
      </w:r>
      <w:hyperlink w:anchor="SENTENCIA_2002_67" w:history="1">
        <w:r w:rsidRPr="007F4918">
          <w:rPr>
            <w:rStyle w:val="TextoNormalCaracter"/>
          </w:rPr>
          <w:t>67/2002</w:t>
        </w:r>
      </w:hyperlink>
      <w:r>
        <w:t>, ff. 1, 4, VP.</w:t>
      </w:r>
    </w:p>
    <w:p w:rsidR="007F4918" w:rsidRDefault="007F4918" w:rsidP="007F4918">
      <w:pPr>
        <w:pStyle w:val="SangriaFrancesaArticulo"/>
      </w:pPr>
      <w:r w:rsidRPr="007F4918">
        <w:rPr>
          <w:rStyle w:val="TextoNormalNegritaCaracter"/>
        </w:rPr>
        <w:t>Artículo 36.</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p>
    <w:p w:rsidR="007F4918" w:rsidRDefault="007F4918" w:rsidP="007F4918">
      <w:pPr>
        <w:pStyle w:val="TextoNormalNegritaCursivandice"/>
      </w:pPr>
      <w:r>
        <w:t>Ley 6/1992, de 27 de marzo. Declara reserva natural a las Marismas de Santoña y Noja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ff. 8, 9, 11.</w:t>
      </w:r>
    </w:p>
    <w:p w:rsidR="007F4918" w:rsidRDefault="007F4918" w:rsidP="007F4918">
      <w:pPr>
        <w:pStyle w:val="SangriaFrancesaArticulo"/>
      </w:pPr>
    </w:p>
    <w:p w:rsidR="007F4918" w:rsidRDefault="007F4918" w:rsidP="007F4918">
      <w:pPr>
        <w:pStyle w:val="TextoNormalNegritaCursivandice"/>
      </w:pPr>
      <w:r>
        <w:t>Ley 10/1992, de 30 de abril. Medidas urgentes de reforma procesal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31" w:history="1">
        <w:r w:rsidRPr="007F4918">
          <w:rPr>
            <w:rStyle w:val="TextoNormalCaracter"/>
          </w:rPr>
          <w:t>31/2002</w:t>
        </w:r>
      </w:hyperlink>
      <w:r>
        <w:t xml:space="preserve">, f. 4; </w:t>
      </w:r>
      <w:hyperlink w:anchor="SENTENCIA_2002_71" w:history="1">
        <w:r w:rsidRPr="007F4918">
          <w:rPr>
            <w:rStyle w:val="TextoNormalCaracter"/>
          </w:rPr>
          <w:t>71/2002</w:t>
        </w:r>
      </w:hyperlink>
      <w:r>
        <w:t xml:space="preserve">, VP; </w:t>
      </w:r>
      <w:hyperlink w:anchor="SENTENCIA_2002_87" w:history="1">
        <w:r w:rsidRPr="007F4918">
          <w:rPr>
            <w:rStyle w:val="TextoNormalCaracter"/>
          </w:rPr>
          <w:t>87/2002</w:t>
        </w:r>
      </w:hyperlink>
      <w:r>
        <w:t xml:space="preserve">, f. 3; </w:t>
      </w:r>
      <w:hyperlink w:anchor="SENTENCIA_2002_89" w:history="1">
        <w:r w:rsidRPr="007F4918">
          <w:rPr>
            <w:rStyle w:val="TextoNormalCaracter"/>
          </w:rPr>
          <w:t>89/2002</w:t>
        </w:r>
      </w:hyperlink>
      <w:r>
        <w:t>, ff. 2, 3.</w:t>
      </w:r>
    </w:p>
    <w:p w:rsidR="007F4918" w:rsidRDefault="007F4918" w:rsidP="007F4918">
      <w:pPr>
        <w:pStyle w:val="SangriaFrancesaArticulo"/>
      </w:pPr>
    </w:p>
    <w:p w:rsidR="007F4918" w:rsidRDefault="007F4918" w:rsidP="007F4918">
      <w:pPr>
        <w:pStyle w:val="TextoNormalNegritaCursivandice"/>
      </w:pPr>
      <w:r>
        <w:t>Ley 30/1992, de 26 de noviembre. Régimen jurídico de las Administraciones públicas y del procedimiento administrativo común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r w:rsidRPr="007F4918">
        <w:rPr>
          <w:rStyle w:val="TextoNormalNegritaCaracter"/>
        </w:rPr>
        <w:t>Artículo 54.1.</w:t>
      </w:r>
      <w:r w:rsidRPr="007F4918">
        <w:rPr>
          <w:rStyle w:val="TextoNormalCaracter"/>
        </w:rPr>
        <w:t>-</w:t>
      </w:r>
      <w:r>
        <w:t xml:space="preserve"> Sentencia </w:t>
      </w:r>
      <w:hyperlink w:anchor="SENTENCIA_2002_53" w:history="1">
        <w:r w:rsidRPr="007F4918">
          <w:rPr>
            <w:rStyle w:val="TextoNormalCaracter"/>
          </w:rPr>
          <w:t>53/2002</w:t>
        </w:r>
      </w:hyperlink>
      <w:r>
        <w:t>, f. 8.</w:t>
      </w:r>
    </w:p>
    <w:p w:rsidR="007F4918" w:rsidRDefault="007F4918" w:rsidP="007F4918">
      <w:pPr>
        <w:pStyle w:val="SangriaFrancesaArticulo"/>
      </w:pPr>
      <w:r w:rsidRPr="007F4918">
        <w:rPr>
          <w:rStyle w:val="TextoNormalNegritaCaracter"/>
        </w:rPr>
        <w:t>Artículo 59.</w:t>
      </w:r>
      <w:r w:rsidRPr="007F4918">
        <w:rPr>
          <w:rStyle w:val="TextoNormalCaracter"/>
        </w:rPr>
        <w:t>-</w:t>
      </w:r>
      <w:r>
        <w:t xml:space="preserve"> Sentencias </w:t>
      </w:r>
      <w:hyperlink w:anchor="SENTENCIA_2002_53" w:history="1">
        <w:r w:rsidRPr="007F4918">
          <w:rPr>
            <w:rStyle w:val="TextoNormalCaracter"/>
          </w:rPr>
          <w:t>53/2002</w:t>
        </w:r>
      </w:hyperlink>
      <w:r>
        <w:t xml:space="preserve">, f. 8; </w:t>
      </w:r>
      <w:hyperlink w:anchor="SENTENCIA_2002_60" w:history="1">
        <w:r w:rsidRPr="007F4918">
          <w:rPr>
            <w:rStyle w:val="TextoNormalCaracter"/>
          </w:rPr>
          <w:t>60/2002</w:t>
        </w:r>
      </w:hyperlink>
      <w:r>
        <w:t>, f. 4.</w:t>
      </w:r>
    </w:p>
    <w:p w:rsidR="007F4918" w:rsidRDefault="007F4918" w:rsidP="007F4918">
      <w:pPr>
        <w:pStyle w:val="SangriaFrancesaArticulo"/>
      </w:pPr>
      <w:r w:rsidRPr="007F4918">
        <w:rPr>
          <w:rStyle w:val="TextoNormalNegritaCaracter"/>
        </w:rPr>
        <w:t>Artículo 59.2.</w:t>
      </w:r>
      <w:r w:rsidRPr="007F4918">
        <w:rPr>
          <w:rStyle w:val="TextoNormalCaracter"/>
        </w:rPr>
        <w:t>-</w:t>
      </w:r>
      <w:r>
        <w:t xml:space="preserve"> Sentencia </w:t>
      </w:r>
      <w:hyperlink w:anchor="SENTENCIA_2002_31" w:history="1">
        <w:r w:rsidRPr="007F4918">
          <w:rPr>
            <w:rStyle w:val="TextoNormalCaracter"/>
          </w:rPr>
          <w:t>31/2002</w:t>
        </w:r>
      </w:hyperlink>
      <w:r>
        <w:t>, f. 6.</w:t>
      </w:r>
    </w:p>
    <w:p w:rsidR="007F4918" w:rsidRDefault="007F4918" w:rsidP="007F4918">
      <w:pPr>
        <w:pStyle w:val="SangriaFrancesaArticulo"/>
      </w:pPr>
      <w:r w:rsidRPr="007F4918">
        <w:rPr>
          <w:rStyle w:val="TextoNormalNegritaCaracter"/>
        </w:rPr>
        <w:t>Artículo 87.1.</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r w:rsidRPr="007F4918">
        <w:rPr>
          <w:rStyle w:val="TextoNormalNegritaCaracter"/>
        </w:rPr>
        <w:t>Artículo 105.2.</w:t>
      </w:r>
      <w:r w:rsidRPr="007F4918">
        <w:rPr>
          <w:rStyle w:val="TextoNormalCaracter"/>
        </w:rPr>
        <w:t>-</w:t>
      </w:r>
      <w:r>
        <w:t xml:space="preserve"> Sentencia </w:t>
      </w:r>
      <w:hyperlink w:anchor="SENTENCIA_2002_80" w:history="1">
        <w:r w:rsidRPr="007F4918">
          <w:rPr>
            <w:rStyle w:val="TextoNormalCaracter"/>
          </w:rPr>
          <w:t>80/2002</w:t>
        </w:r>
      </w:hyperlink>
      <w:r>
        <w:t>, ff. 3, 5.</w:t>
      </w:r>
    </w:p>
    <w:p w:rsidR="007F4918" w:rsidRDefault="007F4918" w:rsidP="007F4918">
      <w:pPr>
        <w:pStyle w:val="SangriaFrancesaArticulo"/>
      </w:pPr>
      <w:r w:rsidRPr="007F4918">
        <w:rPr>
          <w:rStyle w:val="TextoNormalNegritaCaracter"/>
        </w:rPr>
        <w:t>Artículo 110.3.</w:t>
      </w:r>
      <w:r w:rsidRPr="007F4918">
        <w:rPr>
          <w:rStyle w:val="TextoNormalCaracter"/>
        </w:rPr>
        <w:t>-</w:t>
      </w:r>
      <w:r>
        <w:t xml:space="preserve"> Sentencia </w:t>
      </w:r>
      <w:hyperlink w:anchor="SENTENCIA_2002_72" w:history="1">
        <w:r w:rsidRPr="007F4918">
          <w:rPr>
            <w:rStyle w:val="TextoNormalCaracter"/>
          </w:rPr>
          <w:t>72/2002</w:t>
        </w:r>
      </w:hyperlink>
      <w:r>
        <w:t>, f. 3.</w:t>
      </w:r>
    </w:p>
    <w:p w:rsidR="007F4918" w:rsidRDefault="007F4918" w:rsidP="007F4918">
      <w:pPr>
        <w:pStyle w:val="SangriaFrancesaArticulo"/>
      </w:pPr>
      <w:r w:rsidRPr="007F4918">
        <w:rPr>
          <w:rStyle w:val="TextoNormalNegritaCaracter"/>
        </w:rPr>
        <w:t>Artículo 111.1.</w:t>
      </w:r>
      <w:r w:rsidRPr="007F4918">
        <w:rPr>
          <w:rStyle w:val="TextoNormalCaracter"/>
        </w:rPr>
        <w:t>-</w:t>
      </w:r>
      <w:r>
        <w:t xml:space="preserve"> Sentencia </w:t>
      </w:r>
      <w:hyperlink w:anchor="SENTENCIA_2002_53" w:history="1">
        <w:r w:rsidRPr="007F4918">
          <w:rPr>
            <w:rStyle w:val="TextoNormalCaracter"/>
          </w:rPr>
          <w:t>53/2002</w:t>
        </w:r>
      </w:hyperlink>
      <w:r>
        <w:t>, f. 7.</w:t>
      </w:r>
    </w:p>
    <w:p w:rsidR="007F4918" w:rsidRDefault="007F4918" w:rsidP="007F4918">
      <w:pPr>
        <w:pStyle w:val="SangriaFrancesaArticulo"/>
      </w:pPr>
      <w:r w:rsidRPr="007F4918">
        <w:rPr>
          <w:rStyle w:val="TextoNormalNegritaCaracter"/>
        </w:rPr>
        <w:t>Artículo 134.1.</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p>
    <w:p w:rsidR="007F4918" w:rsidRDefault="007F4918" w:rsidP="007F4918">
      <w:pPr>
        <w:pStyle w:val="TextoNormalNegritaCursivandice"/>
      </w:pPr>
      <w:r>
        <w:t>Ley 38/1992, de 28 de diciembre. Impuestos especiales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82" w:history="1">
        <w:r w:rsidRPr="007F4918">
          <w:rPr>
            <w:rStyle w:val="TextoNormalCaracter"/>
          </w:rPr>
          <w:t>82/2002</w:t>
        </w:r>
      </w:hyperlink>
      <w:r>
        <w:t>, f. 4.</w:t>
      </w:r>
    </w:p>
    <w:p w:rsidR="007F4918" w:rsidRDefault="007F4918" w:rsidP="007F4918">
      <w:pPr>
        <w:pStyle w:val="SangriaFrancesaArticulo"/>
      </w:pPr>
    </w:p>
    <w:p w:rsidR="007F4918" w:rsidRDefault="007F4918" w:rsidP="007F4918">
      <w:pPr>
        <w:pStyle w:val="TextoNormalNegritaCursivandice"/>
      </w:pPr>
      <w:r>
        <w:t>Ley 39/1992, de 29 de diciembre. Presupuestos generales del Estado para 1993</w:t>
      </w:r>
    </w:p>
    <w:p w:rsidR="007F4918" w:rsidRDefault="007F4918" w:rsidP="007F4918">
      <w:pPr>
        <w:pStyle w:val="SangriaFrancesaArticulo"/>
      </w:pPr>
      <w:r w:rsidRPr="007F4918">
        <w:rPr>
          <w:rStyle w:val="TextoNormalNegritaCaracter"/>
        </w:rPr>
        <w:t>Artículo 98, ocho, 2.3.</w:t>
      </w:r>
      <w:r w:rsidRPr="007F4918">
        <w:rPr>
          <w:rStyle w:val="TextoNormalCaracter"/>
        </w:rPr>
        <w:t>-</w:t>
      </w:r>
      <w:r>
        <w:t xml:space="preserve"> Sentencia </w:t>
      </w:r>
      <w:hyperlink w:anchor="SENTENCIA_2002_95" w:history="1">
        <w:r w:rsidRPr="007F4918">
          <w:rPr>
            <w:rStyle w:val="TextoNormalCaracter"/>
          </w:rPr>
          <w:t>95/2002</w:t>
        </w:r>
      </w:hyperlink>
      <w:r>
        <w:t>, f. 19, VP III.</w:t>
      </w:r>
    </w:p>
    <w:p w:rsidR="007F4918" w:rsidRDefault="007F4918" w:rsidP="007F4918">
      <w:pPr>
        <w:pStyle w:val="SangriaFrancesaArticulo"/>
      </w:pPr>
      <w:r w:rsidRPr="007F4918">
        <w:rPr>
          <w:rStyle w:val="TextoNormalNegritaCaracter"/>
        </w:rPr>
        <w:t>Disposición adicional vigesimotercera.</w:t>
      </w:r>
      <w:r w:rsidRPr="007F4918">
        <w:rPr>
          <w:rStyle w:val="TextoNormalCaracter"/>
        </w:rPr>
        <w:t>-</w:t>
      </w:r>
      <w:r>
        <w:t xml:space="preserve"> Sentencia </w:t>
      </w:r>
      <w:hyperlink w:anchor="SENTENCIA_2002_95" w:history="1">
        <w:r w:rsidRPr="007F4918">
          <w:rPr>
            <w:rStyle w:val="TextoNormalCaracter"/>
          </w:rPr>
          <w:t>95/2002</w:t>
        </w:r>
      </w:hyperlink>
      <w:r>
        <w:t>, ff. 1, 19, 20, 22, VP II, VP III, VP IV.</w:t>
      </w:r>
    </w:p>
    <w:p w:rsidR="007F4918" w:rsidRDefault="007F4918" w:rsidP="007F4918">
      <w:pPr>
        <w:pStyle w:val="SangriaFrancesaArticulo"/>
      </w:pPr>
      <w:r w:rsidRPr="007F4918">
        <w:rPr>
          <w:rStyle w:val="TextoNormalNegritaCaracter"/>
        </w:rPr>
        <w:t>Disposición adicional vigesimotercera, apartado 1.</w:t>
      </w:r>
      <w:r w:rsidRPr="007F4918">
        <w:rPr>
          <w:rStyle w:val="TextoNormalCaracter"/>
        </w:rPr>
        <w:t>-</w:t>
      </w:r>
      <w:r>
        <w:t xml:space="preserve"> Sentencia </w:t>
      </w:r>
      <w:hyperlink w:anchor="SENTENCIA_2002_95" w:history="1">
        <w:r w:rsidRPr="007F4918">
          <w:rPr>
            <w:rStyle w:val="TextoNormalCaracter"/>
          </w:rPr>
          <w:t>95/2002</w:t>
        </w:r>
      </w:hyperlink>
      <w:r>
        <w:t>, f. 19.</w:t>
      </w:r>
    </w:p>
    <w:p w:rsidR="007F4918" w:rsidRDefault="007F4918" w:rsidP="007F4918">
      <w:pPr>
        <w:pStyle w:val="SangriaFrancesaArticulo"/>
      </w:pPr>
      <w:r w:rsidRPr="007F4918">
        <w:rPr>
          <w:rStyle w:val="TextoNormalNegritaCaracter"/>
        </w:rPr>
        <w:lastRenderedPageBreak/>
        <w:t>Disposición adicional vigesimotercera, apartado 2.</w:t>
      </w:r>
      <w:r w:rsidRPr="007F4918">
        <w:rPr>
          <w:rStyle w:val="TextoNormalCaracter"/>
        </w:rPr>
        <w:t>-</w:t>
      </w:r>
      <w:r>
        <w:t xml:space="preserve"> Sentencia </w:t>
      </w:r>
      <w:hyperlink w:anchor="SENTENCIA_2002_95" w:history="1">
        <w:r w:rsidRPr="007F4918">
          <w:rPr>
            <w:rStyle w:val="TextoNormalCaracter"/>
          </w:rPr>
          <w:t>95/2002</w:t>
        </w:r>
      </w:hyperlink>
      <w:r>
        <w:t>, ff. 19, 20.</w:t>
      </w:r>
    </w:p>
    <w:p w:rsidR="007F4918" w:rsidRDefault="007F4918" w:rsidP="007F4918">
      <w:pPr>
        <w:pStyle w:val="SangriaFrancesaArticulo"/>
      </w:pPr>
    </w:p>
    <w:p w:rsidR="007F4918" w:rsidRDefault="007F4918" w:rsidP="007F4918">
      <w:pPr>
        <w:pStyle w:val="TextoNormalNegritaCursivandice"/>
      </w:pPr>
      <w:r>
        <w:t>Ley 21/1993, de 29 de diciembre. Presupuestos generales del Estado para 1994</w:t>
      </w:r>
    </w:p>
    <w:p w:rsidR="007F4918" w:rsidRDefault="007F4918" w:rsidP="007F4918">
      <w:pPr>
        <w:pStyle w:val="SangriaFrancesaArticulo"/>
      </w:pPr>
      <w:r w:rsidRPr="007F4918">
        <w:rPr>
          <w:rStyle w:val="TextoNormalNegritaCaracter"/>
        </w:rPr>
        <w:t>Disposición adicional segunda.</w:t>
      </w:r>
      <w:r w:rsidRPr="007F4918">
        <w:rPr>
          <w:rStyle w:val="TextoNormalCaracter"/>
        </w:rPr>
        <w:t>-</w:t>
      </w:r>
      <w:r>
        <w:t xml:space="preserve"> Sentencia </w:t>
      </w:r>
      <w:hyperlink w:anchor="SENTENCIA_2002_95" w:history="1">
        <w:r w:rsidRPr="007F4918">
          <w:rPr>
            <w:rStyle w:val="TextoNormalCaracter"/>
          </w:rPr>
          <w:t>95/2002</w:t>
        </w:r>
      </w:hyperlink>
      <w:r>
        <w:t>, ff. 13, 19, VP II.</w:t>
      </w:r>
    </w:p>
    <w:p w:rsidR="007F4918" w:rsidRDefault="007F4918" w:rsidP="007F4918">
      <w:pPr>
        <w:pStyle w:val="SangriaFrancesaArticulo"/>
      </w:pPr>
    </w:p>
    <w:p w:rsidR="007F4918" w:rsidRDefault="007F4918" w:rsidP="007F4918">
      <w:pPr>
        <w:pStyle w:val="TextoNormalNegritaCursivandice"/>
      </w:pPr>
      <w:r>
        <w:t>Ley 9/1994, de 19 de mayo. Modificación de la Ley 5/1984, de 26 de marzo, reguladora del derecho de asilo y de la condición de refugiado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f. 2, VP I, VP II.</w:t>
      </w:r>
    </w:p>
    <w:p w:rsidR="007F4918" w:rsidRDefault="007F4918" w:rsidP="007F4918">
      <w:pPr>
        <w:pStyle w:val="SangriaFrancesaArticulo"/>
      </w:pPr>
      <w:r w:rsidRPr="007F4918">
        <w:rPr>
          <w:rStyle w:val="TextoNormalNegritaCaracter"/>
        </w:rPr>
        <w:t>Artículo único, 8.</w:t>
      </w:r>
      <w:r w:rsidRPr="007F4918">
        <w:rPr>
          <w:rStyle w:val="TextoNormalCaracter"/>
        </w:rPr>
        <w:t>-</w:t>
      </w:r>
      <w:r>
        <w:t xml:space="preserve"> Sentencia </w:t>
      </w:r>
      <w:hyperlink w:anchor="SENTENCIA_2002_53" w:history="1">
        <w:r w:rsidRPr="007F4918">
          <w:rPr>
            <w:rStyle w:val="TextoNormalCaracter"/>
          </w:rPr>
          <w:t>53/2002</w:t>
        </w:r>
      </w:hyperlink>
      <w:r>
        <w:t>, f. 1, VP I, VP II.</w:t>
      </w:r>
    </w:p>
    <w:p w:rsidR="007F4918" w:rsidRDefault="007F4918" w:rsidP="007F4918">
      <w:pPr>
        <w:pStyle w:val="SangriaFrancesaArticulo"/>
      </w:pPr>
    </w:p>
    <w:p w:rsidR="007F4918" w:rsidRDefault="007F4918" w:rsidP="007F4918">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7F4918" w:rsidRDefault="007F4918" w:rsidP="007F4918">
      <w:pPr>
        <w:pStyle w:val="SangriaFrancesaArticulo"/>
      </w:pPr>
      <w:r w:rsidRPr="007F4918">
        <w:rPr>
          <w:rStyle w:val="TextoNormalNegritaCaracter"/>
        </w:rPr>
        <w:t>Artículo 26.</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27.</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28.1.</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28.2.</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28.4.</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Disposición adicional segunda.</w:t>
      </w:r>
      <w:r w:rsidRPr="007F4918">
        <w:rPr>
          <w:rStyle w:val="TextoNormalCaracter"/>
        </w:rPr>
        <w:t>-</w:t>
      </w:r>
      <w:r>
        <w:t xml:space="preserve"> Sentencia </w:t>
      </w:r>
      <w:hyperlink w:anchor="SENTENCIA_2002_43" w:history="1">
        <w:r w:rsidRPr="007F4918">
          <w:rPr>
            <w:rStyle w:val="TextoNormalCaracter"/>
          </w:rPr>
          <w:t>43/2002</w:t>
        </w:r>
      </w:hyperlink>
      <w:r>
        <w:t>, f. 4.</w:t>
      </w:r>
    </w:p>
    <w:p w:rsidR="007F4918" w:rsidRDefault="007F4918" w:rsidP="007F4918">
      <w:pPr>
        <w:pStyle w:val="SangriaFrancesaArticulo"/>
      </w:pPr>
    </w:p>
    <w:p w:rsidR="007F4918" w:rsidRDefault="007F4918" w:rsidP="007F4918">
      <w:pPr>
        <w:pStyle w:val="TextoNormalNegritaCursivandice"/>
      </w:pPr>
      <w:r>
        <w:t>Ley 20/1994, de 6 de julio. Reforma del artículo 54 de la Ley del Registro Civil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9" w:history="1">
        <w:r w:rsidRPr="007F4918">
          <w:rPr>
            <w:rStyle w:val="TextoNormalCaracter"/>
          </w:rPr>
          <w:t>39/2002</w:t>
        </w:r>
      </w:hyperlink>
      <w:r>
        <w:t>, f. 2.</w:t>
      </w:r>
    </w:p>
    <w:p w:rsidR="007F4918" w:rsidRDefault="007F4918" w:rsidP="007F4918">
      <w:pPr>
        <w:pStyle w:val="SangriaFrancesaArticulo"/>
      </w:pPr>
    </w:p>
    <w:p w:rsidR="007F4918" w:rsidRDefault="007F4918" w:rsidP="007F4918">
      <w:pPr>
        <w:pStyle w:val="TextoNormalNegritaCursivandice"/>
      </w:pPr>
      <w:r>
        <w:t>Ley 29/1994, de 24 de noviembre. Arrendamientos urbanos</w:t>
      </w:r>
    </w:p>
    <w:p w:rsidR="007F4918" w:rsidRDefault="007F4918" w:rsidP="007F4918">
      <w:pPr>
        <w:pStyle w:val="SangriaFrancesaArticulo"/>
      </w:pPr>
      <w:r w:rsidRPr="007F4918">
        <w:rPr>
          <w:rStyle w:val="TextoNormalNegritaCaracter"/>
        </w:rPr>
        <w:t>Disposición adicional quinta, apartado 2.</w:t>
      </w:r>
      <w:r w:rsidRPr="007F4918">
        <w:rPr>
          <w:rStyle w:val="TextoNormalCaracter"/>
        </w:rPr>
        <w:t>-</w:t>
      </w:r>
      <w:r>
        <w:t xml:space="preserve"> Sentencia </w:t>
      </w:r>
      <w:hyperlink w:anchor="SENTENCIA_2002_22" w:history="1">
        <w:r w:rsidRPr="007F4918">
          <w:rPr>
            <w:rStyle w:val="TextoNormalCaracter"/>
          </w:rPr>
          <w:t>22/2002</w:t>
        </w:r>
      </w:hyperlink>
      <w:r>
        <w:t>, f. 5.</w:t>
      </w:r>
    </w:p>
    <w:p w:rsidR="007F4918" w:rsidRDefault="007F4918" w:rsidP="007F4918">
      <w:pPr>
        <w:pStyle w:val="SangriaFrancesaArticulo"/>
      </w:pPr>
    </w:p>
    <w:p w:rsidR="007F4918" w:rsidRDefault="007F4918" w:rsidP="007F4918">
      <w:pPr>
        <w:pStyle w:val="TextoNormalNegritaCursivandice"/>
      </w:pPr>
      <w:r>
        <w:t>Ley 30/1994, de 24 de noviembre. Fundaciones e incentivos fiscales a la  participación privada en actividades de interés general</w:t>
      </w:r>
    </w:p>
    <w:p w:rsidR="007F4918" w:rsidRDefault="007F4918" w:rsidP="007F4918">
      <w:pPr>
        <w:pStyle w:val="SangriaFrancesaArticulo"/>
      </w:pPr>
      <w:r w:rsidRPr="007F4918">
        <w:rPr>
          <w:rStyle w:val="TextoNormalNegritaCaracter"/>
        </w:rPr>
        <w:t>Artículo 58.1.</w:t>
      </w:r>
      <w:r w:rsidRPr="007F4918">
        <w:rPr>
          <w:rStyle w:val="TextoNormalCaracter"/>
        </w:rPr>
        <w:t>-</w:t>
      </w:r>
      <w:r>
        <w:t xml:space="preserve"> Sentencia </w:t>
      </w:r>
      <w:hyperlink w:anchor="SENTENCIA_2002_69" w:history="1">
        <w:r w:rsidRPr="007F4918">
          <w:rPr>
            <w:rStyle w:val="TextoNormalCaracter"/>
          </w:rPr>
          <w:t>69/2002</w:t>
        </w:r>
      </w:hyperlink>
      <w:r>
        <w:t>, f. 1.</w:t>
      </w:r>
    </w:p>
    <w:p w:rsidR="007F4918" w:rsidRDefault="007F4918" w:rsidP="007F4918">
      <w:pPr>
        <w:pStyle w:val="SangriaFrancesaArticulo"/>
      </w:pPr>
    </w:p>
    <w:p w:rsidR="007F4918" w:rsidRDefault="007F4918" w:rsidP="007F4918">
      <w:pPr>
        <w:pStyle w:val="TextoNormalNegritaCursivandice"/>
      </w:pPr>
      <w:r>
        <w:t>Ley 40/1994, de 30 de diciembre. Ordenación del sistema eléctrico nacional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5" w:history="1">
        <w:r w:rsidRPr="007F4918">
          <w:rPr>
            <w:rStyle w:val="TextoNormalCaracter"/>
          </w:rPr>
          <w:t>25/2002</w:t>
        </w:r>
      </w:hyperlink>
      <w:r>
        <w:t>, f. 1.</w:t>
      </w:r>
    </w:p>
    <w:p w:rsidR="007F4918" w:rsidRDefault="007F4918" w:rsidP="007F4918">
      <w:pPr>
        <w:pStyle w:val="SangriaFrancesaArticulo"/>
      </w:pPr>
    </w:p>
    <w:p w:rsidR="007F4918" w:rsidRDefault="007F4918" w:rsidP="007F4918">
      <w:pPr>
        <w:pStyle w:val="TextoNormalNegritaCursivandice"/>
      </w:pPr>
      <w:r>
        <w:t>Ley 41/1994, de 30 de diciembre.  Presupuestos generales del Estado para 1995</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ff. 3, 6.</w:t>
      </w:r>
    </w:p>
    <w:p w:rsidR="007F4918" w:rsidRDefault="007F4918" w:rsidP="007F4918">
      <w:pPr>
        <w:pStyle w:val="SangriaFrancesaArticulo"/>
      </w:pPr>
      <w:r w:rsidRPr="007F4918">
        <w:rPr>
          <w:rStyle w:val="TextoNormalNegritaCaracter"/>
        </w:rPr>
        <w:t>Preámbulo.</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r w:rsidRPr="007F4918">
        <w:rPr>
          <w:rStyle w:val="TextoNormalNegritaCaracter"/>
        </w:rPr>
        <w:t>Artículo 18.</w:t>
      </w:r>
      <w:r w:rsidRPr="007F4918">
        <w:rPr>
          <w:rStyle w:val="TextoNormalCaracter"/>
        </w:rPr>
        <w:t>-</w:t>
      </w:r>
      <w:r>
        <w:t xml:space="preserve"> Sentencia </w:t>
      </w:r>
      <w:hyperlink w:anchor="SENTENCIA_2002_24" w:history="1">
        <w:r w:rsidRPr="007F4918">
          <w:rPr>
            <w:rStyle w:val="TextoNormalCaracter"/>
          </w:rPr>
          <w:t>24/2002</w:t>
        </w:r>
      </w:hyperlink>
      <w:r>
        <w:t>, ff. 6, 7.</w:t>
      </w:r>
    </w:p>
    <w:p w:rsidR="007F4918" w:rsidRDefault="007F4918" w:rsidP="007F4918">
      <w:pPr>
        <w:pStyle w:val="SangriaFrancesaArticulo"/>
      </w:pPr>
      <w:r w:rsidRPr="007F4918">
        <w:rPr>
          <w:rStyle w:val="TextoNormalNegritaCaracter"/>
        </w:rPr>
        <w:t>Artículo 18.1.</w:t>
      </w:r>
      <w:r w:rsidRPr="007F4918">
        <w:rPr>
          <w:rStyle w:val="TextoNormalCaracter"/>
        </w:rPr>
        <w:t>-</w:t>
      </w:r>
      <w:r>
        <w:t xml:space="preserve"> Sentencia </w:t>
      </w:r>
      <w:hyperlink w:anchor="SENTENCIA_2002_24" w:history="1">
        <w:r w:rsidRPr="007F4918">
          <w:rPr>
            <w:rStyle w:val="TextoNormalCaracter"/>
          </w:rPr>
          <w:t>24/2002</w:t>
        </w:r>
      </w:hyperlink>
      <w:r>
        <w:t>, f. 6.</w:t>
      </w:r>
    </w:p>
    <w:p w:rsidR="007F4918" w:rsidRDefault="007F4918" w:rsidP="007F4918">
      <w:pPr>
        <w:pStyle w:val="SangriaFrancesaArticulo"/>
      </w:pPr>
      <w:r w:rsidRPr="007F4918">
        <w:rPr>
          <w:rStyle w:val="TextoNormalNegritaCaracter"/>
        </w:rPr>
        <w:t>Artículo 18.2.</w:t>
      </w:r>
      <w:r w:rsidRPr="007F4918">
        <w:rPr>
          <w:rStyle w:val="TextoNormalCaracter"/>
        </w:rPr>
        <w:t>-</w:t>
      </w:r>
      <w:r>
        <w:t xml:space="preserve"> Sentencia </w:t>
      </w:r>
      <w:hyperlink w:anchor="SENTENCIA_2002_24" w:history="1">
        <w:r w:rsidRPr="007F4918">
          <w:rPr>
            <w:rStyle w:val="TextoNormalCaracter"/>
          </w:rPr>
          <w:t>24/2002</w:t>
        </w:r>
      </w:hyperlink>
      <w:r>
        <w:t>, f. 6.</w:t>
      </w:r>
    </w:p>
    <w:p w:rsidR="007F4918" w:rsidRDefault="007F4918" w:rsidP="007F4918">
      <w:pPr>
        <w:pStyle w:val="SangriaFrancesaArticulo"/>
      </w:pPr>
      <w:r w:rsidRPr="007F4918">
        <w:rPr>
          <w:rStyle w:val="TextoNormalNegritaCaracter"/>
        </w:rPr>
        <w:t>Artículo 18.2.2.</w:t>
      </w:r>
      <w:r w:rsidRPr="007F4918">
        <w:rPr>
          <w:rStyle w:val="TextoNormalCaracter"/>
        </w:rPr>
        <w:t>-</w:t>
      </w:r>
      <w:r>
        <w:t xml:space="preserve"> Sentencia </w:t>
      </w:r>
      <w:hyperlink w:anchor="SENTENCIA_2002_24" w:history="1">
        <w:r w:rsidRPr="007F4918">
          <w:rPr>
            <w:rStyle w:val="TextoNormalCaracter"/>
          </w:rPr>
          <w:t>24/2002</w:t>
        </w:r>
      </w:hyperlink>
      <w:r>
        <w:t>, f. 7.</w:t>
      </w:r>
    </w:p>
    <w:p w:rsidR="007F4918" w:rsidRDefault="007F4918" w:rsidP="007F4918">
      <w:pPr>
        <w:pStyle w:val="SangriaFrancesaArticulo"/>
      </w:pPr>
    </w:p>
    <w:p w:rsidR="007F4918" w:rsidRDefault="007F4918" w:rsidP="007F4918">
      <w:pPr>
        <w:pStyle w:val="TextoNormalNegritaCursivandice"/>
      </w:pPr>
      <w:r>
        <w:t>Ley 42/1994, de 30 de diciembre. Medidas fiscales, administrativas y de orden social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r w:rsidRPr="007F4918">
        <w:rPr>
          <w:rStyle w:val="TextoNormalNegritaCaracter"/>
        </w:rPr>
        <w:t>Disposición adicional octava.</w:t>
      </w:r>
      <w:r w:rsidRPr="007F4918">
        <w:rPr>
          <w:rStyle w:val="TextoNormalCaracter"/>
        </w:rPr>
        <w:t>-</w:t>
      </w:r>
      <w:r>
        <w:t xml:space="preserve"> Sentencia </w:t>
      </w:r>
      <w:hyperlink w:anchor="SENTENCIA_2002_96" w:history="1">
        <w:r w:rsidRPr="007F4918">
          <w:rPr>
            <w:rStyle w:val="TextoNormalCaracter"/>
          </w:rPr>
          <w:t>96/2002</w:t>
        </w:r>
      </w:hyperlink>
      <w:r>
        <w:t>, ff. 1, 2, 5, 9, 12, VP I, VP II.</w:t>
      </w:r>
    </w:p>
    <w:p w:rsidR="007F4918" w:rsidRDefault="007F4918" w:rsidP="007F4918">
      <w:pPr>
        <w:pStyle w:val="SangriaFrancesaArticulo"/>
      </w:pPr>
    </w:p>
    <w:p w:rsidR="007F4918" w:rsidRDefault="007F4918" w:rsidP="007F4918">
      <w:pPr>
        <w:pStyle w:val="TextoNormalNegritaCursivandice"/>
      </w:pPr>
      <w:r>
        <w:lastRenderedPageBreak/>
        <w:t>Ley 26/1995, de 31 de julio. Declara Reserva Natural las Salinas de Ibiza (Ses Salines), las Islas des Freus y las Salinas de Formentera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ff. 1, 3, 7 a 9, 11.</w:t>
      </w:r>
    </w:p>
    <w:p w:rsidR="007F4918" w:rsidRDefault="007F4918" w:rsidP="007F4918">
      <w:pPr>
        <w:pStyle w:val="SangriaFrancesaArticulo"/>
      </w:pPr>
      <w:r w:rsidRPr="007F4918">
        <w:rPr>
          <w:rStyle w:val="TextoNormalNegritaCaracter"/>
        </w:rPr>
        <w:t>Preámbulo.</w:t>
      </w:r>
      <w:r w:rsidRPr="007F4918">
        <w:rPr>
          <w:rStyle w:val="TextoNormalCaracter"/>
        </w:rPr>
        <w:t>-</w:t>
      </w:r>
      <w:r>
        <w:t xml:space="preserve"> Sentencia </w:t>
      </w:r>
      <w:hyperlink w:anchor="SENTENCIA_2002_97" w:history="1">
        <w:r w:rsidRPr="007F4918">
          <w:rPr>
            <w:rStyle w:val="TextoNormalCaracter"/>
          </w:rPr>
          <w:t>97/2002</w:t>
        </w:r>
      </w:hyperlink>
      <w:r>
        <w:t>, f. 7.</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 </w:t>
      </w:r>
      <w:hyperlink w:anchor="SENTENCIA_2002_97" w:history="1">
        <w:r w:rsidRPr="007F4918">
          <w:rPr>
            <w:rStyle w:val="TextoNormalCaracter"/>
          </w:rPr>
          <w:t>97/2002</w:t>
        </w:r>
      </w:hyperlink>
      <w:r>
        <w:t>, f. 7.</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3.</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4.</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5.</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6.</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7.</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8.</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9.</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10.</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Disposición adicional primera.</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Disposición adicional segunda.</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Disposición adicional tercera.</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r w:rsidRPr="007F4918">
        <w:rPr>
          <w:rStyle w:val="TextoNormalNegritaCaracter"/>
        </w:rPr>
        <w:t>Disposición final primera.</w:t>
      </w:r>
      <w:r w:rsidRPr="007F4918">
        <w:rPr>
          <w:rStyle w:val="TextoNormalCaracter"/>
        </w:rPr>
        <w:t>-</w:t>
      </w:r>
      <w:r>
        <w:t xml:space="preserve"> Sentencia </w:t>
      </w:r>
      <w:hyperlink w:anchor="SENTENCIA_2002_97" w:history="1">
        <w:r w:rsidRPr="007F4918">
          <w:rPr>
            <w:rStyle w:val="TextoNormalCaracter"/>
          </w:rPr>
          <w:t>97/2002</w:t>
        </w:r>
      </w:hyperlink>
      <w:r>
        <w:t>, f. 10.</w:t>
      </w:r>
    </w:p>
    <w:p w:rsidR="007F4918" w:rsidRDefault="007F4918" w:rsidP="007F4918">
      <w:pPr>
        <w:pStyle w:val="SangriaFrancesaArticulo"/>
      </w:pPr>
    </w:p>
    <w:p w:rsidR="007F4918" w:rsidRDefault="007F4918" w:rsidP="007F4918">
      <w:pPr>
        <w:pStyle w:val="TextoNormalNegritaCursivandice"/>
      </w:pPr>
      <w:r>
        <w:t>Ley 30/1995, de 8 de noviembre. Ordenación y supervisión de los seguros privados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6" w:history="1">
        <w:r w:rsidRPr="007F4918">
          <w:rPr>
            <w:rStyle w:val="TextoNormalCaracter"/>
          </w:rPr>
          <w:t>6/2002</w:t>
        </w:r>
      </w:hyperlink>
      <w:r>
        <w:t xml:space="preserve">, f. 1; </w:t>
      </w:r>
      <w:hyperlink w:anchor="SENTENCIA_2002_9" w:history="1">
        <w:r w:rsidRPr="007F4918">
          <w:rPr>
            <w:rStyle w:val="TextoNormalCaracter"/>
          </w:rPr>
          <w:t>9/2002</w:t>
        </w:r>
      </w:hyperlink>
      <w:r>
        <w:t xml:space="preserve">, ff. 3, 4; </w:t>
      </w:r>
      <w:hyperlink w:anchor="SENTENCIA_2002_19" w:history="1">
        <w:r w:rsidRPr="007F4918">
          <w:rPr>
            <w:rStyle w:val="TextoNormalCaracter"/>
          </w:rPr>
          <w:t>19/2002</w:t>
        </w:r>
      </w:hyperlink>
      <w:r>
        <w:t xml:space="preserve">, f. 4; </w:t>
      </w:r>
      <w:hyperlink w:anchor="SENTENCIA_2002_49" w:history="1">
        <w:r w:rsidRPr="007F4918">
          <w:rPr>
            <w:rStyle w:val="TextoNormalCaracter"/>
          </w:rPr>
          <w:t>49/2002</w:t>
        </w:r>
      </w:hyperlink>
      <w:r>
        <w:t>, f. 2.</w:t>
      </w:r>
    </w:p>
    <w:p w:rsidR="007F4918" w:rsidRDefault="007F4918" w:rsidP="007F4918">
      <w:pPr>
        <w:pStyle w:val="SangriaFrancesaArticulo"/>
      </w:pPr>
      <w:r w:rsidRPr="007F4918">
        <w:rPr>
          <w:rStyle w:val="TextoNormalNegritaCaracter"/>
        </w:rPr>
        <w:t>Disposición adicional octava.</w:t>
      </w:r>
      <w:r w:rsidRPr="007F4918">
        <w:rPr>
          <w:rStyle w:val="TextoNormalCaracter"/>
        </w:rPr>
        <w:t>-</w:t>
      </w:r>
      <w:r>
        <w:t xml:space="preserve"> Sentencias </w:t>
      </w:r>
      <w:hyperlink w:anchor="SENTENCIA_2002_6" w:history="1">
        <w:r w:rsidRPr="007F4918">
          <w:rPr>
            <w:rStyle w:val="TextoNormalCaracter"/>
          </w:rPr>
          <w:t>6/2002</w:t>
        </w:r>
      </w:hyperlink>
      <w:r>
        <w:t xml:space="preserve">, f. 3; </w:t>
      </w:r>
      <w:hyperlink w:anchor="SENTENCIA_2002_9" w:history="1">
        <w:r w:rsidRPr="007F4918">
          <w:rPr>
            <w:rStyle w:val="TextoNormalCaracter"/>
          </w:rPr>
          <w:t>9/2002</w:t>
        </w:r>
      </w:hyperlink>
      <w:r>
        <w:t xml:space="preserve">, ff. 1, 2; </w:t>
      </w:r>
      <w:hyperlink w:anchor="SENTENCIA_2002_19" w:history="1">
        <w:r w:rsidRPr="007F4918">
          <w:rPr>
            <w:rStyle w:val="TextoNormalCaracter"/>
          </w:rPr>
          <w:t>19/2002</w:t>
        </w:r>
      </w:hyperlink>
      <w:r>
        <w:t>, f. 4.</w:t>
      </w:r>
    </w:p>
    <w:p w:rsidR="007F4918" w:rsidRDefault="007F4918" w:rsidP="007F4918">
      <w:pPr>
        <w:pStyle w:val="SangriaFrancesaArticulo"/>
      </w:pPr>
      <w:r w:rsidRPr="007F4918">
        <w:rPr>
          <w:rStyle w:val="TextoNormalNegritaCaracter"/>
        </w:rPr>
        <w:t>Disposición transitoria duodécima.</w:t>
      </w:r>
      <w:r w:rsidRPr="007F4918">
        <w:rPr>
          <w:rStyle w:val="TextoNormalCaracter"/>
        </w:rPr>
        <w:t>-</w:t>
      </w:r>
      <w:r>
        <w:t xml:space="preserve"> Sentencia </w:t>
      </w:r>
      <w:hyperlink w:anchor="SENTENCIA_2002_19" w:history="1">
        <w:r w:rsidRPr="007F4918">
          <w:rPr>
            <w:rStyle w:val="TextoNormalCaracter"/>
          </w:rPr>
          <w:t>19/2002</w:t>
        </w:r>
      </w:hyperlink>
      <w:r>
        <w:t>, f. 3.</w:t>
      </w:r>
    </w:p>
    <w:p w:rsidR="007F4918" w:rsidRDefault="007F4918" w:rsidP="007F4918">
      <w:pPr>
        <w:pStyle w:val="SangriaFrancesaArticulo"/>
      </w:pPr>
      <w:r w:rsidRPr="007F4918">
        <w:rPr>
          <w:rStyle w:val="TextoNormalNegritaCaracter"/>
        </w:rPr>
        <w:t>Anexo.</w:t>
      </w:r>
      <w:r w:rsidRPr="007F4918">
        <w:rPr>
          <w:rStyle w:val="TextoNormalCaracter"/>
        </w:rPr>
        <w:t>-</w:t>
      </w:r>
      <w:r>
        <w:t xml:space="preserve"> Sentencia </w:t>
      </w:r>
      <w:hyperlink w:anchor="SENTENCIA_2002_19" w:history="1">
        <w:r w:rsidRPr="007F4918">
          <w:rPr>
            <w:rStyle w:val="TextoNormalCaracter"/>
          </w:rPr>
          <w:t>19/2002</w:t>
        </w:r>
      </w:hyperlink>
      <w:r>
        <w:t>, f. 4.</w:t>
      </w:r>
    </w:p>
    <w:p w:rsidR="007F4918" w:rsidRDefault="007F4918" w:rsidP="007F4918">
      <w:pPr>
        <w:pStyle w:val="SangriaFrancesaArticulo"/>
      </w:pPr>
      <w:r w:rsidRPr="007F4918">
        <w:rPr>
          <w:rStyle w:val="TextoNormalNegritaCaracter"/>
        </w:rPr>
        <w:t>Anexo, tabla V, A).</w:t>
      </w:r>
      <w:r w:rsidRPr="007F4918">
        <w:rPr>
          <w:rStyle w:val="TextoNormalCaracter"/>
        </w:rPr>
        <w:t>-</w:t>
      </w:r>
      <w:r>
        <w:t xml:space="preserve"> Sentencia </w:t>
      </w:r>
      <w:hyperlink w:anchor="SENTENCIA_2002_49" w:history="1">
        <w:r w:rsidRPr="007F4918">
          <w:rPr>
            <w:rStyle w:val="TextoNormalCaracter"/>
          </w:rPr>
          <w:t>49/2002</w:t>
        </w:r>
      </w:hyperlink>
      <w:r>
        <w:t>, f. 1.</w:t>
      </w:r>
    </w:p>
    <w:p w:rsidR="007F4918" w:rsidRDefault="007F4918" w:rsidP="007F4918">
      <w:pPr>
        <w:pStyle w:val="SangriaFrancesaArticulo"/>
      </w:pPr>
      <w:r w:rsidRPr="007F4918">
        <w:rPr>
          <w:rStyle w:val="TextoNormalNegritaCaracter"/>
        </w:rPr>
        <w:t>Anexo, tabla V, B.</w:t>
      </w:r>
      <w:r w:rsidRPr="007F4918">
        <w:rPr>
          <w:rStyle w:val="TextoNormalCaracter"/>
        </w:rPr>
        <w:t>-</w:t>
      </w:r>
      <w:r>
        <w:t xml:space="preserve"> Sentencia </w:t>
      </w:r>
      <w:hyperlink w:anchor="SENTENCIA_2002_49" w:history="1">
        <w:r w:rsidRPr="007F4918">
          <w:rPr>
            <w:rStyle w:val="TextoNormalCaracter"/>
          </w:rPr>
          <w:t>49/2002</w:t>
        </w:r>
      </w:hyperlink>
      <w:r>
        <w:t>, ff. 1, 3, 4.</w:t>
      </w:r>
    </w:p>
    <w:p w:rsidR="007F4918" w:rsidRDefault="007F4918" w:rsidP="007F4918">
      <w:pPr>
        <w:pStyle w:val="SangriaFrancesaArticulo"/>
      </w:pPr>
    </w:p>
    <w:p w:rsidR="007F4918" w:rsidRDefault="007F4918" w:rsidP="007F4918">
      <w:pPr>
        <w:pStyle w:val="TextoNormalNegritaCursivandice"/>
      </w:pPr>
      <w:r>
        <w:t>Ley 42/1995, de 22 de diciembre. Telecomunicaciones por cable</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5" w:history="1">
        <w:r w:rsidRPr="007F4918">
          <w:rPr>
            <w:rStyle w:val="TextoNormalCaracter"/>
          </w:rPr>
          <w:t>35/2002</w:t>
        </w:r>
      </w:hyperlink>
      <w:r>
        <w:t>, f. 2.</w:t>
      </w:r>
    </w:p>
    <w:p w:rsidR="007F4918" w:rsidRDefault="007F4918" w:rsidP="007F4918">
      <w:pPr>
        <w:pStyle w:val="SangriaFrancesaArticulo"/>
      </w:pPr>
      <w:r w:rsidRPr="007F4918">
        <w:rPr>
          <w:rStyle w:val="TextoNormalNegritaCaracter"/>
        </w:rPr>
        <w:t>Disposición transitoria primera, 4.</w:t>
      </w:r>
      <w:r w:rsidRPr="007F4918">
        <w:rPr>
          <w:rStyle w:val="TextoNormalCaracter"/>
        </w:rPr>
        <w:t>-</w:t>
      </w:r>
      <w:r>
        <w:t xml:space="preserve"> Auto </w:t>
      </w:r>
      <w:hyperlink w:anchor="AUTO_2002_38" w:history="1">
        <w:r w:rsidRPr="007F4918">
          <w:rPr>
            <w:rStyle w:val="TextoNormalCaracter"/>
          </w:rPr>
          <w:t>38/2002</w:t>
        </w:r>
      </w:hyperlink>
      <w:r>
        <w:t>.</w:t>
      </w:r>
    </w:p>
    <w:p w:rsidR="007F4918" w:rsidRDefault="007F4918" w:rsidP="007F4918">
      <w:pPr>
        <w:pStyle w:val="SangriaFrancesaArticulo"/>
      </w:pPr>
      <w:r w:rsidRPr="007F4918">
        <w:rPr>
          <w:rStyle w:val="TextoNormalNegritaCaracter"/>
        </w:rPr>
        <w:t>Disposición final tercera.</w:t>
      </w:r>
      <w:r w:rsidRPr="007F4918">
        <w:rPr>
          <w:rStyle w:val="TextoNormalCaracter"/>
        </w:rPr>
        <w:t>-</w:t>
      </w:r>
      <w:r>
        <w:t xml:space="preserve"> Auto </w:t>
      </w:r>
      <w:hyperlink w:anchor="AUTO_2002_38" w:history="1">
        <w:r w:rsidRPr="007F4918">
          <w:rPr>
            <w:rStyle w:val="TextoNormalCaracter"/>
          </w:rPr>
          <w:t>38/2002</w:t>
        </w:r>
      </w:hyperlink>
      <w:r>
        <w:t>.</w:t>
      </w:r>
    </w:p>
    <w:p w:rsidR="007F4918" w:rsidRDefault="007F4918" w:rsidP="007F4918">
      <w:pPr>
        <w:pStyle w:val="SangriaFrancesaArticulo"/>
      </w:pPr>
    </w:p>
    <w:p w:rsidR="007F4918" w:rsidRDefault="007F4918" w:rsidP="007F4918">
      <w:pPr>
        <w:pStyle w:val="TextoNormalNegritaCursivandice"/>
      </w:pPr>
      <w:r>
        <w:t>Ley 1/1996, de 10 de enero. Asistencia jurídica gratuita</w:t>
      </w:r>
    </w:p>
    <w:p w:rsidR="007F4918" w:rsidRDefault="007F4918" w:rsidP="007F4918">
      <w:pPr>
        <w:pStyle w:val="SangriaFrancesaArticulo"/>
      </w:pPr>
      <w:r w:rsidRPr="007F4918">
        <w:rPr>
          <w:rStyle w:val="TextoNormalNegritaCaracter"/>
        </w:rPr>
        <w:t>Artículo 3.2.</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r w:rsidRPr="007F4918">
        <w:rPr>
          <w:rStyle w:val="TextoNormalNegritaCaracter"/>
        </w:rPr>
        <w:t>Artículo 6.</w:t>
      </w:r>
      <w:r w:rsidRPr="007F4918">
        <w:rPr>
          <w:rStyle w:val="TextoNormalCaracter"/>
        </w:rPr>
        <w:t>-</w:t>
      </w:r>
      <w:r>
        <w:t xml:space="preserve"> Sentencia </w:t>
      </w:r>
      <w:hyperlink w:anchor="SENTENCIA_2002_45" w:history="1">
        <w:r w:rsidRPr="007F4918">
          <w:rPr>
            <w:rStyle w:val="TextoNormalCaracter"/>
          </w:rPr>
          <w:t>45/2002</w:t>
        </w:r>
      </w:hyperlink>
      <w:r>
        <w:t>, f. 4.</w:t>
      </w:r>
    </w:p>
    <w:p w:rsidR="007F4918" w:rsidRDefault="007F4918" w:rsidP="007F4918">
      <w:pPr>
        <w:pStyle w:val="SangriaFrancesaArticulo"/>
      </w:pPr>
      <w:r w:rsidRPr="007F4918">
        <w:rPr>
          <w:rStyle w:val="TextoNormalNegritaCaracter"/>
        </w:rPr>
        <w:t>Artículo 6.5.</w:t>
      </w:r>
      <w:r w:rsidRPr="007F4918">
        <w:rPr>
          <w:rStyle w:val="TextoNormalCaracter"/>
        </w:rPr>
        <w:t>-</w:t>
      </w:r>
      <w:r>
        <w:t xml:space="preserve"> Sentencia </w:t>
      </w:r>
      <w:hyperlink w:anchor="SENTENCIA_2002_45" w:history="1">
        <w:r w:rsidRPr="007F4918">
          <w:rPr>
            <w:rStyle w:val="TextoNormalCaracter"/>
          </w:rPr>
          <w:t>45/2002</w:t>
        </w:r>
      </w:hyperlink>
      <w:r>
        <w:t>, f. 4.</w:t>
      </w:r>
    </w:p>
    <w:p w:rsidR="007F4918" w:rsidRDefault="007F4918" w:rsidP="007F4918">
      <w:pPr>
        <w:pStyle w:val="SangriaFrancesaArticulo"/>
      </w:pPr>
    </w:p>
    <w:p w:rsidR="007F4918" w:rsidRDefault="007F4918" w:rsidP="007F4918">
      <w:pPr>
        <w:pStyle w:val="TextoNormalNegritaCursivandice"/>
      </w:pPr>
      <w:r>
        <w:t>Ley 7/1996, de 15 de enero. Ordenación del comercio minorista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6.2.</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27.</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Disposición final única.</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p>
    <w:p w:rsidR="007F4918" w:rsidRDefault="007F4918" w:rsidP="007F4918">
      <w:pPr>
        <w:pStyle w:val="TextoNormalNegritaCursivandice"/>
      </w:pPr>
      <w:r>
        <w:lastRenderedPageBreak/>
        <w:t>Ley 7/1997, de 14 de abril. Medidas liberalizadoras en materia de suelo y colegios profesionales</w:t>
      </w:r>
    </w:p>
    <w:p w:rsidR="007F4918" w:rsidRDefault="007F4918" w:rsidP="007F4918">
      <w:pPr>
        <w:pStyle w:val="SangriaFrancesaArticulo"/>
      </w:pPr>
      <w:r w:rsidRPr="007F4918">
        <w:rPr>
          <w:rStyle w:val="TextoNormalNegritaCaracter"/>
        </w:rPr>
        <w:t>Artículo 2.1.</w:t>
      </w:r>
      <w:r w:rsidRPr="007F4918">
        <w:rPr>
          <w:rStyle w:val="TextoNormalCaracter"/>
        </w:rPr>
        <w:t>-</w:t>
      </w:r>
      <w:r>
        <w:t xml:space="preserve"> Sentencia </w:t>
      </w:r>
      <w:hyperlink w:anchor="SENTENCIA_2002_54" w:history="1">
        <w:r w:rsidRPr="007F4918">
          <w:rPr>
            <w:rStyle w:val="TextoNormalCaracter"/>
          </w:rPr>
          <w:t>54/2002</w:t>
        </w:r>
      </w:hyperlink>
      <w:r>
        <w:t>, ff. 2, 5.</w:t>
      </w:r>
    </w:p>
    <w:p w:rsidR="007F4918" w:rsidRDefault="007F4918" w:rsidP="007F4918">
      <w:pPr>
        <w:pStyle w:val="SangriaFrancesaArticulo"/>
      </w:pPr>
    </w:p>
    <w:p w:rsidR="007F4918" w:rsidRDefault="007F4918" w:rsidP="007F4918">
      <w:pPr>
        <w:pStyle w:val="TextoNormalNegritaCursivandice"/>
      </w:pPr>
      <w:r>
        <w:t>Ley 38/1997, de 4 de agosto. Modificación del concierto económico con la Comunidad Autónoma del País Vasco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2.</w:t>
      </w:r>
    </w:p>
    <w:p w:rsidR="007F4918" w:rsidRDefault="007F4918" w:rsidP="007F4918">
      <w:pPr>
        <w:pStyle w:val="SangriaFrancesaArticulo"/>
      </w:pPr>
    </w:p>
    <w:p w:rsidR="007F4918" w:rsidRDefault="007F4918" w:rsidP="007F4918">
      <w:pPr>
        <w:pStyle w:val="TextoNormalNegritaCursivandice"/>
      </w:pPr>
      <w:r>
        <w:t>Ley 41/1997, de 5 de noviembre. Modificación de la Ley 4/1989, de 27 de marzo, de conservación de los espacios naturales y de la flora y fauna silvestres</w:t>
      </w:r>
    </w:p>
    <w:p w:rsidR="007F4918" w:rsidRDefault="007F4918" w:rsidP="007F4918">
      <w:pPr>
        <w:pStyle w:val="SangriaFrancesaArticulo"/>
      </w:pPr>
      <w:r w:rsidRPr="007F4918">
        <w:rPr>
          <w:rStyle w:val="TextoNormalNegritaCaracter"/>
        </w:rPr>
        <w:t>Disposición derogatoria primera.</w:t>
      </w:r>
      <w:r w:rsidRPr="007F4918">
        <w:rPr>
          <w:rStyle w:val="TextoNormalCaracter"/>
        </w:rPr>
        <w:t>-</w:t>
      </w:r>
      <w:r>
        <w:t xml:space="preserve"> Sentencia </w:t>
      </w:r>
      <w:hyperlink w:anchor="SENTENCIA_2002_97" w:history="1">
        <w:r w:rsidRPr="007F4918">
          <w:rPr>
            <w:rStyle w:val="TextoNormalCaracter"/>
          </w:rPr>
          <w:t>97/2002</w:t>
        </w:r>
      </w:hyperlink>
      <w:r>
        <w:t>, f. 8.</w:t>
      </w:r>
    </w:p>
    <w:p w:rsidR="007F4918" w:rsidRDefault="007F4918" w:rsidP="007F4918">
      <w:pPr>
        <w:pStyle w:val="SangriaFrancesaArticulo"/>
      </w:pPr>
    </w:p>
    <w:p w:rsidR="007F4918" w:rsidRDefault="007F4918" w:rsidP="007F4918">
      <w:pPr>
        <w:pStyle w:val="TextoNormalNegritaCursivandice"/>
      </w:pPr>
      <w:r>
        <w:t>Ley 66/1997, de 30 de diciembre. Medidas fiscales, administrativas y del orden social</w:t>
      </w:r>
    </w:p>
    <w:p w:rsidR="007F4918" w:rsidRDefault="007F4918" w:rsidP="007F4918">
      <w:pPr>
        <w:pStyle w:val="SangriaFrancesaArticulo"/>
      </w:pPr>
      <w:r w:rsidRPr="007F4918">
        <w:rPr>
          <w:rStyle w:val="TextoNormalNegritaCaracter"/>
        </w:rPr>
        <w:t>Disposición adicional trigésima.</w:t>
      </w:r>
      <w:r w:rsidRPr="007F4918">
        <w:rPr>
          <w:rStyle w:val="TextoNormalCaracter"/>
        </w:rPr>
        <w:t>-</w:t>
      </w:r>
      <w:r>
        <w:t xml:space="preserve"> Sentencia </w:t>
      </w:r>
      <w:hyperlink w:anchor="SENTENCIA_2002_11" w:history="1">
        <w:r w:rsidRPr="007F4918">
          <w:rPr>
            <w:rStyle w:val="TextoNormalCaracter"/>
          </w:rPr>
          <w:t>11/2002</w:t>
        </w:r>
      </w:hyperlink>
      <w:r>
        <w:t>, f. 3.</w:t>
      </w:r>
    </w:p>
    <w:p w:rsidR="007F4918" w:rsidRDefault="007F4918" w:rsidP="007F4918">
      <w:pPr>
        <w:pStyle w:val="SangriaFrancesaArticulo"/>
      </w:pPr>
    </w:p>
    <w:p w:rsidR="007F4918" w:rsidRDefault="007F4918" w:rsidP="007F4918">
      <w:pPr>
        <w:pStyle w:val="TextoNormalNegritaCursivandice"/>
      </w:pPr>
      <w:r>
        <w:t>Ley 6/1998, de 13 de abril. Régimen del suelo y valoraciones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ff. 1, 3.</w:t>
      </w:r>
    </w:p>
    <w:p w:rsidR="007F4918" w:rsidRDefault="007F4918" w:rsidP="007F4918">
      <w:pPr>
        <w:pStyle w:val="SangriaFrancesaArticulo"/>
      </w:pPr>
      <w:r w:rsidRPr="007F4918">
        <w:rPr>
          <w:rStyle w:val="TextoNormalNegritaCaracter"/>
        </w:rPr>
        <w:t>Artículo 14.</w:t>
      </w:r>
      <w:r w:rsidRPr="007F4918">
        <w:rPr>
          <w:rStyle w:val="TextoNormalCaracter"/>
        </w:rPr>
        <w:t>-</w:t>
      </w:r>
      <w:r>
        <w:t xml:space="preserve"> Sentencia </w:t>
      </w:r>
      <w:hyperlink w:anchor="SENTENCIA_2002_54" w:history="1">
        <w:r w:rsidRPr="007F4918">
          <w:rPr>
            <w:rStyle w:val="TextoNormalCaracter"/>
          </w:rPr>
          <w:t>54/2002</w:t>
        </w:r>
      </w:hyperlink>
      <w:r>
        <w:t>, ff. 1, 3 a 5.</w:t>
      </w:r>
    </w:p>
    <w:p w:rsidR="007F4918" w:rsidRDefault="007F4918" w:rsidP="007F4918">
      <w:pPr>
        <w:pStyle w:val="SangriaFrancesaArticulo"/>
      </w:pPr>
      <w:r w:rsidRPr="007F4918">
        <w:rPr>
          <w:rStyle w:val="TextoNormalNegritaCaracter"/>
        </w:rPr>
        <w:t>Artículo 14.1.</w:t>
      </w:r>
      <w:r w:rsidRPr="007F4918">
        <w:rPr>
          <w:rStyle w:val="TextoNormalCaracter"/>
        </w:rPr>
        <w:t>-</w:t>
      </w:r>
      <w:r>
        <w:t xml:space="preserve"> Sentencia </w:t>
      </w:r>
      <w:hyperlink w:anchor="SENTENCIA_2002_54" w:history="1">
        <w:r w:rsidRPr="007F4918">
          <w:rPr>
            <w:rStyle w:val="TextoNormalCaracter"/>
          </w:rPr>
          <w:t>54/2002</w:t>
        </w:r>
      </w:hyperlink>
      <w:r>
        <w:t>, ff. 2, 4, 5.</w:t>
      </w:r>
    </w:p>
    <w:p w:rsidR="007F4918" w:rsidRDefault="007F4918" w:rsidP="007F4918">
      <w:pPr>
        <w:pStyle w:val="SangriaFrancesaArticulo"/>
      </w:pPr>
      <w:r w:rsidRPr="007F4918">
        <w:rPr>
          <w:rStyle w:val="TextoNormalNegritaCaracter"/>
        </w:rPr>
        <w:t>Artículo 14.2 c).</w:t>
      </w:r>
      <w:r w:rsidRPr="007F4918">
        <w:rPr>
          <w:rStyle w:val="TextoNormalCaracter"/>
        </w:rPr>
        <w:t>-</w:t>
      </w:r>
      <w:r>
        <w:t xml:space="preserve"> Sentencia </w:t>
      </w:r>
      <w:hyperlink w:anchor="SENTENCIA_2002_54" w:history="1">
        <w:r w:rsidRPr="007F4918">
          <w:rPr>
            <w:rStyle w:val="TextoNormalCaracter"/>
          </w:rPr>
          <w:t>54/2002</w:t>
        </w:r>
      </w:hyperlink>
      <w:r>
        <w:t>, ff. 2, 5.</w:t>
      </w:r>
    </w:p>
    <w:p w:rsidR="007F4918" w:rsidRDefault="007F4918" w:rsidP="007F4918">
      <w:pPr>
        <w:pStyle w:val="SangriaFrancesaArticulo"/>
      </w:pPr>
      <w:r w:rsidRPr="007F4918">
        <w:rPr>
          <w:rStyle w:val="TextoNormalNegritaCaracter"/>
        </w:rPr>
        <w:t>Artículo 28.</w:t>
      </w:r>
      <w:r w:rsidRPr="007F4918">
        <w:rPr>
          <w:rStyle w:val="TextoNormalCaracter"/>
        </w:rPr>
        <w:t>-</w:t>
      </w:r>
      <w:r>
        <w:t xml:space="preserve"> Sentencia </w:t>
      </w:r>
      <w:hyperlink w:anchor="SENTENCIA_2002_54" w:history="1">
        <w:r w:rsidRPr="007F4918">
          <w:rPr>
            <w:rStyle w:val="TextoNormalCaracter"/>
          </w:rPr>
          <w:t>54/2002</w:t>
        </w:r>
      </w:hyperlink>
      <w:r>
        <w:t>, ff. 1 a 4, 6.</w:t>
      </w:r>
    </w:p>
    <w:p w:rsidR="007F4918" w:rsidRDefault="007F4918" w:rsidP="007F4918">
      <w:pPr>
        <w:pStyle w:val="SangriaFrancesaArticulo"/>
      </w:pPr>
      <w:r w:rsidRPr="007F4918">
        <w:rPr>
          <w:rStyle w:val="TextoNormalNegritaCaracter"/>
        </w:rPr>
        <w:t>Artículo 28.3.</w:t>
      </w:r>
      <w:r w:rsidRPr="007F4918">
        <w:rPr>
          <w:rStyle w:val="TextoNormalCaracter"/>
        </w:rPr>
        <w:t>-</w:t>
      </w:r>
      <w:r>
        <w:t xml:space="preserve"> Sentencia </w:t>
      </w:r>
      <w:hyperlink w:anchor="SENTENCIA_2002_54" w:history="1">
        <w:r w:rsidRPr="007F4918">
          <w:rPr>
            <w:rStyle w:val="TextoNormalCaracter"/>
          </w:rPr>
          <w:t>54/2002</w:t>
        </w:r>
      </w:hyperlink>
      <w:r>
        <w:t>, f. 6.</w:t>
      </w:r>
    </w:p>
    <w:p w:rsidR="007F4918" w:rsidRDefault="007F4918" w:rsidP="007F4918">
      <w:pPr>
        <w:pStyle w:val="SangriaFrancesaArticulo"/>
      </w:pPr>
    </w:p>
    <w:p w:rsidR="007F4918" w:rsidRDefault="007F4918" w:rsidP="007F4918">
      <w:pPr>
        <w:pStyle w:val="TextoNormalNegritaCursivandice"/>
      </w:pPr>
      <w:r>
        <w:t>Ley 19/1998, de 15 de junio. Aprueba la modificación del convenio económico entre el Estado y la Comunidad Foral de Navarra, aprobado por Ley 28/1990, de 26 de diciembre de 1990</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2.</w:t>
      </w:r>
    </w:p>
    <w:p w:rsidR="007F4918" w:rsidRDefault="007F4918" w:rsidP="007F4918">
      <w:pPr>
        <w:pStyle w:val="SangriaFrancesaArticulo"/>
      </w:pPr>
    </w:p>
    <w:p w:rsidR="007F4918" w:rsidRDefault="007F4918" w:rsidP="007F4918">
      <w:pPr>
        <w:pStyle w:val="TextoNormalNegritaCursivandice"/>
      </w:pPr>
      <w:r>
        <w:t>Ley 29/1998, de 13 de julio. Jurisdicción contencioso-administrativa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87" w:history="1">
        <w:r w:rsidRPr="007F4918">
          <w:rPr>
            <w:rStyle w:val="TextoNormalCaracter"/>
          </w:rPr>
          <w:t>87/2002</w:t>
        </w:r>
      </w:hyperlink>
      <w:r>
        <w:t>, f. 3.</w:t>
      </w:r>
    </w:p>
    <w:p w:rsidR="007F4918" w:rsidRDefault="007F4918" w:rsidP="007F4918">
      <w:pPr>
        <w:pStyle w:val="SangriaFrancesaArticulo"/>
      </w:pPr>
      <w:r w:rsidRPr="007F4918">
        <w:rPr>
          <w:rStyle w:val="TextoNormalNegritaCaracter"/>
        </w:rPr>
        <w:t>Artículo 86.2 b).</w:t>
      </w:r>
      <w:r w:rsidRPr="007F4918">
        <w:rPr>
          <w:rStyle w:val="TextoNormalCaracter"/>
        </w:rPr>
        <w:t>-</w:t>
      </w:r>
      <w:r>
        <w:t xml:space="preserve"> Sentencia </w:t>
      </w:r>
      <w:hyperlink w:anchor="SENTENCIA_2002_69" w:history="1">
        <w:r w:rsidRPr="007F4918">
          <w:rPr>
            <w:rStyle w:val="TextoNormalCaracter"/>
          </w:rPr>
          <w:t>69/2002</w:t>
        </w:r>
      </w:hyperlink>
      <w:r>
        <w:t>, f. 1.</w:t>
      </w:r>
    </w:p>
    <w:p w:rsidR="007F4918" w:rsidRDefault="007F4918" w:rsidP="007F4918">
      <w:pPr>
        <w:pStyle w:val="SangriaFrancesaArticulo"/>
      </w:pPr>
      <w:r w:rsidRPr="007F4918">
        <w:rPr>
          <w:rStyle w:val="TextoNormalNegritaCaracter"/>
        </w:rPr>
        <w:t>Artículo 86.4.</w:t>
      </w:r>
      <w:r w:rsidRPr="007F4918">
        <w:rPr>
          <w:rStyle w:val="TextoNormalCaracter"/>
        </w:rPr>
        <w:t>-</w:t>
      </w:r>
      <w:r>
        <w:t xml:space="preserve"> Sentencia </w:t>
      </w:r>
      <w:hyperlink w:anchor="SENTENCIA_2002_89" w:history="1">
        <w:r w:rsidRPr="007F4918">
          <w:rPr>
            <w:rStyle w:val="TextoNormalCaracter"/>
          </w:rPr>
          <w:t>89/2002</w:t>
        </w:r>
      </w:hyperlink>
      <w:r>
        <w:t>, f. 3.</w:t>
      </w:r>
    </w:p>
    <w:p w:rsidR="007F4918" w:rsidRDefault="007F4918" w:rsidP="007F4918">
      <w:pPr>
        <w:pStyle w:val="SangriaFrancesaArticulo"/>
      </w:pPr>
      <w:r w:rsidRPr="007F4918">
        <w:rPr>
          <w:rStyle w:val="TextoNormalNegritaCaracter"/>
        </w:rPr>
        <w:t>Artículo 88.</w:t>
      </w:r>
      <w:r w:rsidRPr="007F4918">
        <w:rPr>
          <w:rStyle w:val="TextoNormalCaracter"/>
        </w:rPr>
        <w:t>-</w:t>
      </w:r>
      <w:r>
        <w:t xml:space="preserve"> Sentencia </w:t>
      </w:r>
      <w:hyperlink w:anchor="SENTENCIA_2002_69" w:history="1">
        <w:r w:rsidRPr="007F4918">
          <w:rPr>
            <w:rStyle w:val="TextoNormalCaracter"/>
          </w:rPr>
          <w:t>69/2002</w:t>
        </w:r>
      </w:hyperlink>
      <w:r>
        <w:t>, f. 1.</w:t>
      </w:r>
    </w:p>
    <w:p w:rsidR="007F4918" w:rsidRDefault="007F4918" w:rsidP="007F4918">
      <w:pPr>
        <w:pStyle w:val="SangriaFrancesaArticulo"/>
      </w:pPr>
      <w:r w:rsidRPr="007F4918">
        <w:rPr>
          <w:rStyle w:val="TextoNormalNegritaCaracter"/>
        </w:rPr>
        <w:t>Artículo 89.</w:t>
      </w:r>
      <w:r w:rsidRPr="007F4918">
        <w:rPr>
          <w:rStyle w:val="TextoNormalCaracter"/>
        </w:rPr>
        <w:t>-</w:t>
      </w:r>
      <w:r>
        <w:t xml:space="preserve"> Sentencia </w:t>
      </w:r>
      <w:hyperlink w:anchor="SENTENCIA_2002_69" w:history="1">
        <w:r w:rsidRPr="007F4918">
          <w:rPr>
            <w:rStyle w:val="TextoNormalCaracter"/>
          </w:rPr>
          <w:t>69/2002</w:t>
        </w:r>
      </w:hyperlink>
      <w:r>
        <w:t>, f. 1.</w:t>
      </w:r>
    </w:p>
    <w:p w:rsidR="007F4918" w:rsidRDefault="007F4918" w:rsidP="007F4918">
      <w:pPr>
        <w:pStyle w:val="SangriaFrancesaArticulo"/>
      </w:pPr>
      <w:r w:rsidRPr="007F4918">
        <w:rPr>
          <w:rStyle w:val="TextoNormalNegritaCaracter"/>
        </w:rPr>
        <w:t>Artículo 96.</w:t>
      </w:r>
      <w:r w:rsidRPr="007F4918">
        <w:rPr>
          <w:rStyle w:val="TextoNormalCaracter"/>
        </w:rPr>
        <w:t>-</w:t>
      </w:r>
      <w:r>
        <w:t xml:space="preserve"> Sentencia </w:t>
      </w:r>
      <w:hyperlink w:anchor="SENTENCIA_2002_69" w:history="1">
        <w:r w:rsidRPr="007F4918">
          <w:rPr>
            <w:rStyle w:val="TextoNormalCaracter"/>
          </w:rPr>
          <w:t>69/2002</w:t>
        </w:r>
      </w:hyperlink>
      <w:r>
        <w:t>, ff. 2, 4.</w:t>
      </w:r>
    </w:p>
    <w:p w:rsidR="007F4918" w:rsidRDefault="007F4918" w:rsidP="007F4918">
      <w:pPr>
        <w:pStyle w:val="SangriaFrancesaArticulo"/>
      </w:pPr>
      <w:r w:rsidRPr="007F4918">
        <w:rPr>
          <w:rStyle w:val="TextoNormalNegritaCaracter"/>
        </w:rPr>
        <w:t>Artículo 96.3.</w:t>
      </w:r>
      <w:r w:rsidRPr="007F4918">
        <w:rPr>
          <w:rStyle w:val="TextoNormalCaracter"/>
        </w:rPr>
        <w:t>-</w:t>
      </w:r>
      <w:r>
        <w:t xml:space="preserve"> Sentencia </w:t>
      </w:r>
      <w:hyperlink w:anchor="SENTENCIA_2002_69" w:history="1">
        <w:r w:rsidRPr="007F4918">
          <w:rPr>
            <w:rStyle w:val="TextoNormalCaracter"/>
          </w:rPr>
          <w:t>69/2002</w:t>
        </w:r>
      </w:hyperlink>
      <w:r>
        <w:t>, f. 4.</w:t>
      </w:r>
    </w:p>
    <w:p w:rsidR="007F4918" w:rsidRDefault="007F4918" w:rsidP="007F4918">
      <w:pPr>
        <w:pStyle w:val="SangriaFrancesaArticulo"/>
      </w:pPr>
      <w:r w:rsidRPr="007F4918">
        <w:rPr>
          <w:rStyle w:val="TextoNormalNegritaCaracter"/>
        </w:rPr>
        <w:t>Disposición transitoria tercera, apartado 1.</w:t>
      </w:r>
      <w:r w:rsidRPr="007F4918">
        <w:rPr>
          <w:rStyle w:val="TextoNormalCaracter"/>
        </w:rPr>
        <w:t>-</w:t>
      </w:r>
      <w:r>
        <w:t xml:space="preserve"> Sentencia </w:t>
      </w:r>
      <w:hyperlink w:anchor="SENTENCIA_2002_69" w:history="1">
        <w:r w:rsidRPr="007F4918">
          <w:rPr>
            <w:rStyle w:val="TextoNormalCaracter"/>
          </w:rPr>
          <w:t>69/2002</w:t>
        </w:r>
      </w:hyperlink>
      <w:r>
        <w:t>, f. 4.</w:t>
      </w:r>
    </w:p>
    <w:p w:rsidR="007F4918" w:rsidRDefault="007F4918" w:rsidP="007F4918">
      <w:pPr>
        <w:pStyle w:val="SangriaFrancesaArticulo"/>
      </w:pPr>
    </w:p>
    <w:p w:rsidR="007F4918" w:rsidRDefault="007F4918" w:rsidP="007F4918">
      <w:pPr>
        <w:pStyle w:val="TextoNormalNegritaCursivandice"/>
      </w:pPr>
      <w:r>
        <w:t>Ley 40/1998, de 9 de diciembre. Impuesto sobre la renta de las personas físicas y otras normas tributarias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7.</w:t>
      </w:r>
    </w:p>
    <w:p w:rsidR="007F4918" w:rsidRDefault="007F4918" w:rsidP="007F4918">
      <w:pPr>
        <w:pStyle w:val="SangriaFrancesaArticulo"/>
      </w:pPr>
    </w:p>
    <w:p w:rsidR="007F4918" w:rsidRDefault="007F4918" w:rsidP="007F4918">
      <w:pPr>
        <w:pStyle w:val="TextoNormalNegritaCursivandice"/>
      </w:pPr>
      <w:r>
        <w:t>Ley 41/1998, de 9 de diciembre. Normas reguladoras de la renta de no residentes y normas tributarias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ff. 2, 8.</w:t>
      </w:r>
    </w:p>
    <w:p w:rsidR="007F4918" w:rsidRDefault="007F4918" w:rsidP="007F4918">
      <w:pPr>
        <w:pStyle w:val="SangriaFrancesaArticulo"/>
      </w:pPr>
    </w:p>
    <w:p w:rsidR="007F4918" w:rsidRDefault="007F4918" w:rsidP="007F4918">
      <w:pPr>
        <w:pStyle w:val="TextoNormalNegritaCursivandice"/>
      </w:pPr>
      <w:r>
        <w:lastRenderedPageBreak/>
        <w:t>Ley 50/1998, de 30 de diciembre. Medidas fiscales, administrativas y del orden social</w:t>
      </w:r>
    </w:p>
    <w:p w:rsidR="007F4918" w:rsidRDefault="007F4918" w:rsidP="007F4918">
      <w:pPr>
        <w:pStyle w:val="SangriaFrancesaArticulo"/>
      </w:pPr>
      <w:r w:rsidRPr="007F4918">
        <w:rPr>
          <w:rStyle w:val="TextoNormalNegritaCaracter"/>
        </w:rPr>
        <w:t>Disposición adicional cuadragésima cuarta.</w:t>
      </w:r>
      <w:r w:rsidRPr="007F4918">
        <w:rPr>
          <w:rStyle w:val="TextoNormalCaracter"/>
        </w:rPr>
        <w:t>-</w:t>
      </w:r>
      <w:r>
        <w:t xml:space="preserve"> Auto </w:t>
      </w:r>
      <w:hyperlink w:anchor="AUTO_2002_38" w:history="1">
        <w:r w:rsidRPr="007F4918">
          <w:rPr>
            <w:rStyle w:val="TextoNormalCaracter"/>
          </w:rPr>
          <w:t>38/2002</w:t>
        </w:r>
      </w:hyperlink>
      <w:r>
        <w:t>.</w:t>
      </w:r>
    </w:p>
    <w:p w:rsidR="007F4918" w:rsidRDefault="007F4918" w:rsidP="007F4918">
      <w:pPr>
        <w:pStyle w:val="SangriaFrancesaArticulo"/>
      </w:pPr>
      <w:r w:rsidRPr="007F4918">
        <w:rPr>
          <w:rStyle w:val="TextoNormalNegritaCaracter"/>
        </w:rPr>
        <w:t>Disposición final sexta.</w:t>
      </w:r>
      <w:r w:rsidRPr="007F4918">
        <w:rPr>
          <w:rStyle w:val="TextoNormalCaracter"/>
        </w:rPr>
        <w:t>-</w:t>
      </w:r>
      <w:r>
        <w:t xml:space="preserve"> Auto </w:t>
      </w:r>
      <w:hyperlink w:anchor="AUTO_2002_38" w:history="1">
        <w:r w:rsidRPr="007F4918">
          <w:rPr>
            <w:rStyle w:val="TextoNormalCaracter"/>
          </w:rPr>
          <w:t>38/2002</w:t>
        </w:r>
      </w:hyperlink>
      <w:r>
        <w:t>.</w:t>
      </w:r>
    </w:p>
    <w:p w:rsidR="007F4918" w:rsidRDefault="007F4918" w:rsidP="007F4918">
      <w:pPr>
        <w:pStyle w:val="SangriaFrancesaArticulo"/>
      </w:pPr>
    </w:p>
    <w:p w:rsidR="007F4918" w:rsidRDefault="007F4918" w:rsidP="007F4918">
      <w:pPr>
        <w:pStyle w:val="TextoNormalNegritaCursivandice"/>
      </w:pPr>
      <w:r>
        <w:t>Ley 1/2000, de 7 de enero. Enjuiciamiento civil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62" w:history="1">
        <w:r w:rsidRPr="007F4918">
          <w:rPr>
            <w:rStyle w:val="TextoNormalCaracter"/>
          </w:rPr>
          <w:t>62/2002</w:t>
        </w:r>
      </w:hyperlink>
      <w:r>
        <w:t xml:space="preserve">, f. 4; </w:t>
      </w:r>
      <w:hyperlink w:anchor="SENTENCIA_2002_79" w:history="1">
        <w:r w:rsidRPr="007F4918">
          <w:rPr>
            <w:rStyle w:val="TextoNormalCaracter"/>
          </w:rPr>
          <w:t>79/2002</w:t>
        </w:r>
      </w:hyperlink>
      <w:r>
        <w:t>, VP.</w:t>
      </w:r>
    </w:p>
    <w:p w:rsidR="007F4918" w:rsidRDefault="007F4918" w:rsidP="007F4918">
      <w:pPr>
        <w:pStyle w:val="SangriaIzquierdaArticulo"/>
      </w:pPr>
      <w:r>
        <w:t xml:space="preserve">Auto </w:t>
      </w:r>
      <w:hyperlink w:anchor="AUTO_2002_33" w:history="1">
        <w:r w:rsidRPr="007F4918">
          <w:rPr>
            <w:rStyle w:val="TextoNormalCaracter"/>
          </w:rPr>
          <w:t>33/2002</w:t>
        </w:r>
      </w:hyperlink>
      <w:r>
        <w:t>.</w:t>
      </w:r>
    </w:p>
    <w:p w:rsidR="007F4918" w:rsidRDefault="007F4918" w:rsidP="007F4918">
      <w:pPr>
        <w:pStyle w:val="SangriaFrancesaArticulo"/>
      </w:pPr>
      <w:r w:rsidRPr="007F4918">
        <w:rPr>
          <w:rStyle w:val="TextoNormalNegritaCaracter"/>
        </w:rPr>
        <w:t>Artículo 8.</w:t>
      </w:r>
      <w:r w:rsidRPr="007F4918">
        <w:rPr>
          <w:rStyle w:val="TextoNormalCaracter"/>
        </w:rPr>
        <w:t>-</w:t>
      </w:r>
      <w:r>
        <w:t xml:space="preserve"> Auto </w:t>
      </w:r>
      <w:hyperlink w:anchor="AUTO_2002_42" w:history="1">
        <w:r w:rsidRPr="007F4918">
          <w:rPr>
            <w:rStyle w:val="TextoNormalCaracter"/>
          </w:rPr>
          <w:t>42/2002</w:t>
        </w:r>
      </w:hyperlink>
      <w:r>
        <w:t>.</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Auto </w:t>
      </w:r>
      <w:hyperlink w:anchor="AUTO_2002_42" w:history="1">
        <w:r w:rsidRPr="007F4918">
          <w:rPr>
            <w:rStyle w:val="TextoNormalCaracter"/>
          </w:rPr>
          <w:t>42/2002</w:t>
        </w:r>
      </w:hyperlink>
      <w:r>
        <w:t>.</w:t>
      </w:r>
    </w:p>
    <w:p w:rsidR="007F4918" w:rsidRDefault="007F4918" w:rsidP="007F4918">
      <w:pPr>
        <w:pStyle w:val="SangriaFrancesaArticulo"/>
      </w:pPr>
      <w:r w:rsidRPr="007F4918">
        <w:rPr>
          <w:rStyle w:val="TextoNormalNegritaCaracter"/>
        </w:rPr>
        <w:t>Artículo 64.2.</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84.</w:t>
      </w:r>
      <w:r w:rsidRPr="007F4918">
        <w:rPr>
          <w:rStyle w:val="TextoNormalCaracter"/>
        </w:rPr>
        <w:t>-</w:t>
      </w:r>
      <w:r>
        <w:t xml:space="preserve"> Auto </w:t>
      </w:r>
      <w:hyperlink w:anchor="AUTO_2002_32" w:history="1">
        <w:r w:rsidRPr="007F4918">
          <w:rPr>
            <w:rStyle w:val="TextoNormalCaracter"/>
          </w:rPr>
          <w:t>32/2002</w:t>
        </w:r>
      </w:hyperlink>
      <w:r>
        <w:t>.</w:t>
      </w:r>
    </w:p>
    <w:p w:rsidR="007F4918" w:rsidRDefault="007F4918" w:rsidP="007F4918">
      <w:pPr>
        <w:pStyle w:val="SangriaFrancesaArticulo"/>
      </w:pPr>
      <w:r w:rsidRPr="007F4918">
        <w:rPr>
          <w:rStyle w:val="TextoNormalNegritaCaracter"/>
        </w:rPr>
        <w:t>Artículo 152.</w:t>
      </w:r>
      <w:r w:rsidRPr="007F4918">
        <w:rPr>
          <w:rStyle w:val="TextoNormalCaracter"/>
        </w:rPr>
        <w:t>-</w:t>
      </w:r>
      <w:r>
        <w:t xml:space="preserve"> Sentencia </w:t>
      </w:r>
      <w:hyperlink w:anchor="SENTENCIA_2002_42" w:history="1">
        <w:r w:rsidRPr="007F4918">
          <w:rPr>
            <w:rStyle w:val="TextoNormalCaracter"/>
          </w:rPr>
          <w:t>42/2002</w:t>
        </w:r>
      </w:hyperlink>
      <w:r>
        <w:t>, f. 2.</w:t>
      </w:r>
    </w:p>
    <w:p w:rsidR="007F4918" w:rsidRDefault="007F4918" w:rsidP="007F4918">
      <w:pPr>
        <w:pStyle w:val="SangriaFrancesaArticulo"/>
      </w:pPr>
      <w:r w:rsidRPr="007F4918">
        <w:rPr>
          <w:rStyle w:val="TextoNormalNegritaCaracter"/>
        </w:rPr>
        <w:t>Artículo 160.</w:t>
      </w:r>
      <w:r w:rsidRPr="007F4918">
        <w:rPr>
          <w:rStyle w:val="TextoNormalCaracter"/>
        </w:rPr>
        <w:t>-</w:t>
      </w:r>
      <w:r>
        <w:t xml:space="preserve"> Sentencia </w:t>
      </w:r>
      <w:hyperlink w:anchor="SENTENCIA_2002_42" w:history="1">
        <w:r w:rsidRPr="007F4918">
          <w:rPr>
            <w:rStyle w:val="TextoNormalCaracter"/>
          </w:rPr>
          <w:t>42/2002</w:t>
        </w:r>
      </w:hyperlink>
      <w:r>
        <w:t>, f. 2.</w:t>
      </w:r>
    </w:p>
    <w:p w:rsidR="007F4918" w:rsidRDefault="007F4918" w:rsidP="007F4918">
      <w:pPr>
        <w:pStyle w:val="SangriaFrancesaArticulo"/>
      </w:pPr>
      <w:r w:rsidRPr="007F4918">
        <w:rPr>
          <w:rStyle w:val="TextoNormalNegritaCaracter"/>
        </w:rPr>
        <w:t>Artículo 207.3.</w:t>
      </w:r>
      <w:r w:rsidRPr="007F4918">
        <w:rPr>
          <w:rStyle w:val="TextoNormalCaracter"/>
        </w:rPr>
        <w:t>-</w:t>
      </w:r>
      <w:r>
        <w:t xml:space="preserve"> Sentencia </w:t>
      </w:r>
      <w:hyperlink w:anchor="SENTENCIA_2002_56" w:history="1">
        <w:r w:rsidRPr="007F4918">
          <w:rPr>
            <w:rStyle w:val="TextoNormalCaracter"/>
          </w:rPr>
          <w:t>56/2002</w:t>
        </w:r>
      </w:hyperlink>
      <w:r>
        <w:t>, f. 3.</w:t>
      </w:r>
    </w:p>
    <w:p w:rsidR="007F4918" w:rsidRDefault="007F4918" w:rsidP="007F4918">
      <w:pPr>
        <w:pStyle w:val="SangriaFrancesaArticulo"/>
      </w:pPr>
      <w:r w:rsidRPr="007F4918">
        <w:rPr>
          <w:rStyle w:val="TextoNormalNegritaCaracter"/>
        </w:rPr>
        <w:t>Artículo 207.4.</w:t>
      </w:r>
      <w:r w:rsidRPr="007F4918">
        <w:rPr>
          <w:rStyle w:val="TextoNormalCaracter"/>
        </w:rPr>
        <w:t>-</w:t>
      </w:r>
      <w:r>
        <w:t xml:space="preserve"> Sentencia </w:t>
      </w:r>
      <w:hyperlink w:anchor="SENTENCIA_2002_56" w:history="1">
        <w:r w:rsidRPr="007F4918">
          <w:rPr>
            <w:rStyle w:val="TextoNormalCaracter"/>
          </w:rPr>
          <w:t>56/2002</w:t>
        </w:r>
      </w:hyperlink>
      <w:r>
        <w:t>, f. 3.</w:t>
      </w:r>
    </w:p>
    <w:p w:rsidR="007F4918" w:rsidRDefault="007F4918" w:rsidP="007F4918">
      <w:pPr>
        <w:pStyle w:val="SangriaFrancesaArticulo"/>
      </w:pPr>
      <w:r w:rsidRPr="007F4918">
        <w:rPr>
          <w:rStyle w:val="TextoNormalNegritaCaracter"/>
        </w:rPr>
        <w:t>Artículo 214.</w:t>
      </w:r>
      <w:r w:rsidRPr="007F4918">
        <w:rPr>
          <w:rStyle w:val="TextoNormalCaracter"/>
        </w:rPr>
        <w:t>-</w:t>
      </w:r>
      <w:r>
        <w:t xml:space="preserve"> Auto </w:t>
      </w:r>
      <w:hyperlink w:anchor="AUTO_2002_53" w:history="1">
        <w:r w:rsidRPr="007F4918">
          <w:rPr>
            <w:rStyle w:val="TextoNormalCaracter"/>
          </w:rPr>
          <w:t>53/2002</w:t>
        </w:r>
      </w:hyperlink>
      <w:r>
        <w:t>.</w:t>
      </w:r>
    </w:p>
    <w:p w:rsidR="007F4918" w:rsidRDefault="007F4918" w:rsidP="007F4918">
      <w:pPr>
        <w:pStyle w:val="SangriaFrancesaArticulo"/>
      </w:pPr>
      <w:r w:rsidRPr="007F4918">
        <w:rPr>
          <w:rStyle w:val="TextoNormalNegritaCaracter"/>
        </w:rPr>
        <w:t>Artículo 250.7.</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279.</w:t>
      </w:r>
      <w:r w:rsidRPr="007F4918">
        <w:rPr>
          <w:rStyle w:val="TextoNormalCaracter"/>
        </w:rPr>
        <w:t>-</w:t>
      </w:r>
      <w:r>
        <w:t xml:space="preserve"> Sentencia </w:t>
      </w:r>
      <w:hyperlink w:anchor="SENTENCIA_2002_40" w:history="1">
        <w:r w:rsidRPr="007F4918">
          <w:rPr>
            <w:rStyle w:val="TextoNormalCaracter"/>
          </w:rPr>
          <w:t>40/2002</w:t>
        </w:r>
      </w:hyperlink>
      <w:r>
        <w:t>, f. 9.</w:t>
      </w:r>
    </w:p>
    <w:p w:rsidR="007F4918" w:rsidRDefault="007F4918" w:rsidP="007F4918">
      <w:pPr>
        <w:pStyle w:val="SangriaFrancesaArticulo"/>
      </w:pPr>
      <w:r w:rsidRPr="007F4918">
        <w:rPr>
          <w:rStyle w:val="TextoNormalNegritaCaracter"/>
        </w:rPr>
        <w:t>Artículo 281.</w:t>
      </w:r>
      <w:r w:rsidRPr="007F4918">
        <w:rPr>
          <w:rStyle w:val="TextoNormalCaracter"/>
        </w:rPr>
        <w:t>-</w:t>
      </w:r>
      <w:r>
        <w:t xml:space="preserve"> Sentencia </w:t>
      </w:r>
      <w:hyperlink w:anchor="SENTENCIA_2002_33" w:history="1">
        <w:r w:rsidRPr="007F4918">
          <w:rPr>
            <w:rStyle w:val="TextoNormalCaracter"/>
          </w:rPr>
          <w:t>33/2002</w:t>
        </w:r>
      </w:hyperlink>
      <w:r>
        <w:t>, f. 6, VP.</w:t>
      </w:r>
    </w:p>
    <w:p w:rsidR="007F4918" w:rsidRDefault="007F4918" w:rsidP="007F4918">
      <w:pPr>
        <w:pStyle w:val="SangriaFrancesaArticulo"/>
      </w:pPr>
      <w:r w:rsidRPr="007F4918">
        <w:rPr>
          <w:rStyle w:val="TextoNormalNegritaCaracter"/>
        </w:rPr>
        <w:t>Artículo 303.</w:t>
      </w:r>
      <w:r w:rsidRPr="007F4918">
        <w:rPr>
          <w:rStyle w:val="TextoNormalCaracter"/>
        </w:rPr>
        <w:t>-</w:t>
      </w:r>
      <w:r>
        <w:t xml:space="preserve"> Sentencia </w:t>
      </w:r>
      <w:hyperlink w:anchor="SENTENCIA_2002_40" w:history="1">
        <w:r w:rsidRPr="007F4918">
          <w:rPr>
            <w:rStyle w:val="TextoNormalCaracter"/>
          </w:rPr>
          <w:t>40/2002</w:t>
        </w:r>
      </w:hyperlink>
      <w:r>
        <w:t>, f. 7.</w:t>
      </w:r>
    </w:p>
    <w:p w:rsidR="007F4918" w:rsidRDefault="007F4918" w:rsidP="007F4918">
      <w:pPr>
        <w:pStyle w:val="SangriaFrancesaArticulo"/>
      </w:pPr>
      <w:r w:rsidRPr="007F4918">
        <w:rPr>
          <w:rStyle w:val="TextoNormalNegritaCaracter"/>
        </w:rPr>
        <w:t>Artículo 305.</w:t>
      </w:r>
      <w:r w:rsidRPr="007F4918">
        <w:rPr>
          <w:rStyle w:val="TextoNormalCaracter"/>
        </w:rPr>
        <w:t>-</w:t>
      </w:r>
      <w:r>
        <w:t xml:space="preserve"> Sentencia </w:t>
      </w:r>
      <w:hyperlink w:anchor="SENTENCIA_2002_79" w:history="1">
        <w:r w:rsidRPr="007F4918">
          <w:rPr>
            <w:rStyle w:val="TextoNormalCaracter"/>
          </w:rPr>
          <w:t>79/2002</w:t>
        </w:r>
      </w:hyperlink>
      <w:r>
        <w:t>, VP.</w:t>
      </w:r>
    </w:p>
    <w:p w:rsidR="007F4918" w:rsidRDefault="007F4918" w:rsidP="007F4918">
      <w:pPr>
        <w:pStyle w:val="SangriaFrancesaArticulo"/>
      </w:pPr>
      <w:r w:rsidRPr="007F4918">
        <w:rPr>
          <w:rStyle w:val="TextoNormalNegritaCaracter"/>
        </w:rPr>
        <w:t>Artículo 306.</w:t>
      </w:r>
      <w:r w:rsidRPr="007F4918">
        <w:rPr>
          <w:rStyle w:val="TextoNormalCaracter"/>
        </w:rPr>
        <w:t>-</w:t>
      </w:r>
      <w:r>
        <w:t xml:space="preserve"> Sentencias </w:t>
      </w:r>
      <w:hyperlink w:anchor="SENTENCIA_2002_40" w:history="1">
        <w:r w:rsidRPr="007F4918">
          <w:rPr>
            <w:rStyle w:val="TextoNormalCaracter"/>
          </w:rPr>
          <w:t>40/2002</w:t>
        </w:r>
      </w:hyperlink>
      <w:r>
        <w:t xml:space="preserve">, f. 7; </w:t>
      </w:r>
      <w:hyperlink w:anchor="SENTENCIA_2002_79" w:history="1">
        <w:r w:rsidRPr="007F4918">
          <w:rPr>
            <w:rStyle w:val="TextoNormalCaracter"/>
          </w:rPr>
          <w:t>79/2002</w:t>
        </w:r>
      </w:hyperlink>
      <w:r>
        <w:t>, VP.</w:t>
      </w:r>
    </w:p>
    <w:p w:rsidR="007F4918" w:rsidRDefault="007F4918" w:rsidP="007F4918">
      <w:pPr>
        <w:pStyle w:val="SangriaFrancesaArticulo"/>
      </w:pPr>
      <w:r w:rsidRPr="007F4918">
        <w:rPr>
          <w:rStyle w:val="TextoNormalNegritaCaracter"/>
        </w:rPr>
        <w:t>Artículo 385.</w:t>
      </w:r>
      <w:r w:rsidRPr="007F4918">
        <w:rPr>
          <w:rStyle w:val="TextoNormalCaracter"/>
        </w:rPr>
        <w:t>-</w:t>
      </w:r>
      <w:r>
        <w:t xml:space="preserve"> Sentencia </w:t>
      </w:r>
      <w:hyperlink w:anchor="SENTENCIA_2002_40" w:history="1">
        <w:r w:rsidRPr="007F4918">
          <w:rPr>
            <w:rStyle w:val="TextoNormalCaracter"/>
          </w:rPr>
          <w:t>40/2002</w:t>
        </w:r>
      </w:hyperlink>
      <w:r>
        <w:t>, f. 7.</w:t>
      </w:r>
    </w:p>
    <w:p w:rsidR="007F4918" w:rsidRDefault="007F4918" w:rsidP="007F4918">
      <w:pPr>
        <w:pStyle w:val="SangriaFrancesaArticulo"/>
      </w:pPr>
      <w:r w:rsidRPr="007F4918">
        <w:rPr>
          <w:rStyle w:val="TextoNormalNegritaCaracter"/>
        </w:rPr>
        <w:t>Artículo 421.</w:t>
      </w:r>
      <w:r w:rsidRPr="007F4918">
        <w:rPr>
          <w:rStyle w:val="TextoNormalCaracter"/>
        </w:rPr>
        <w:t>-</w:t>
      </w:r>
      <w:r>
        <w:t xml:space="preserve"> Auto </w:t>
      </w:r>
      <w:hyperlink w:anchor="AUTO_2002_42" w:history="1">
        <w:r w:rsidRPr="007F4918">
          <w:rPr>
            <w:rStyle w:val="TextoNormalCaracter"/>
          </w:rPr>
          <w:t>42/2002</w:t>
        </w:r>
      </w:hyperlink>
      <w:r>
        <w:t>.</w:t>
      </w:r>
    </w:p>
    <w:p w:rsidR="007F4918" w:rsidRDefault="007F4918" w:rsidP="007F4918">
      <w:pPr>
        <w:pStyle w:val="SangriaFrancesaArticulo"/>
      </w:pPr>
      <w:r w:rsidRPr="007F4918">
        <w:rPr>
          <w:rStyle w:val="TextoNormalNegritaCaracter"/>
        </w:rPr>
        <w:t>Artículo 439.2.</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439.2.1.</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439.2.2.</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440.2.</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441.3.</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444.2.</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447.3.</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449.1.</w:t>
      </w:r>
      <w:r w:rsidRPr="007F4918">
        <w:rPr>
          <w:rStyle w:val="TextoNormalCaracter"/>
        </w:rPr>
        <w:t>-</w:t>
      </w:r>
      <w:r>
        <w:t xml:space="preserve"> Sentencia </w:t>
      </w:r>
      <w:hyperlink w:anchor="SENTENCIA_2002_22" w:history="1">
        <w:r w:rsidRPr="007F4918">
          <w:rPr>
            <w:rStyle w:val="TextoNormalCaracter"/>
          </w:rPr>
          <w:t>22/2002</w:t>
        </w:r>
      </w:hyperlink>
      <w:r>
        <w:t>, f. 4.</w:t>
      </w:r>
    </w:p>
    <w:p w:rsidR="007F4918" w:rsidRDefault="007F4918" w:rsidP="007F4918">
      <w:pPr>
        <w:pStyle w:val="SangriaFrancesaArticulo"/>
      </w:pPr>
      <w:r w:rsidRPr="007F4918">
        <w:rPr>
          <w:rStyle w:val="TextoNormalNegritaCaracter"/>
        </w:rPr>
        <w:t>Artículo 449.2.</w:t>
      </w:r>
      <w:r w:rsidRPr="007F4918">
        <w:rPr>
          <w:rStyle w:val="TextoNormalCaracter"/>
        </w:rPr>
        <w:t>-</w:t>
      </w:r>
      <w:r>
        <w:t xml:space="preserve"> Sentencia </w:t>
      </w:r>
      <w:hyperlink w:anchor="SENTENCIA_2002_22" w:history="1">
        <w:r w:rsidRPr="007F4918">
          <w:rPr>
            <w:rStyle w:val="TextoNormalCaracter"/>
          </w:rPr>
          <w:t>22/2002</w:t>
        </w:r>
      </w:hyperlink>
      <w:r>
        <w:t>, f. 4.</w:t>
      </w:r>
    </w:p>
    <w:p w:rsidR="007F4918" w:rsidRDefault="007F4918" w:rsidP="007F4918">
      <w:pPr>
        <w:pStyle w:val="SangriaFrancesaArticulo"/>
      </w:pPr>
      <w:r w:rsidRPr="007F4918">
        <w:rPr>
          <w:rStyle w:val="TextoNormalNegritaCaracter"/>
        </w:rPr>
        <w:t>Artículo 704.</w:t>
      </w:r>
      <w:r w:rsidRPr="007F4918">
        <w:rPr>
          <w:rStyle w:val="TextoNormalCaracter"/>
        </w:rPr>
        <w:t>-</w:t>
      </w:r>
      <w:r>
        <w:t xml:space="preserve"> Sentencia </w:t>
      </w:r>
      <w:hyperlink w:anchor="SENTENCIA_2002_40" w:history="1">
        <w:r w:rsidRPr="007F4918">
          <w:rPr>
            <w:rStyle w:val="TextoNormalCaracter"/>
          </w:rPr>
          <w:t>40/2002</w:t>
        </w:r>
      </w:hyperlink>
      <w:r>
        <w:t>, f. 7.</w:t>
      </w:r>
    </w:p>
    <w:p w:rsidR="007F4918" w:rsidRDefault="007F4918" w:rsidP="007F4918">
      <w:pPr>
        <w:pStyle w:val="SangriaFrancesaArticulo"/>
      </w:pPr>
      <w:r w:rsidRPr="007F4918">
        <w:rPr>
          <w:rStyle w:val="TextoNormalNegritaCaracter"/>
        </w:rPr>
        <w:t>Artículo 840.</w:t>
      </w:r>
      <w:r w:rsidRPr="007F4918">
        <w:rPr>
          <w:rStyle w:val="TextoNormalCaracter"/>
        </w:rPr>
        <w:t>-</w:t>
      </w:r>
      <w:r>
        <w:t xml:space="preserve"> Sentencia </w:t>
      </w:r>
      <w:hyperlink w:anchor="SENTENCIA_2002_40" w:history="1">
        <w:r w:rsidRPr="007F4918">
          <w:rPr>
            <w:rStyle w:val="TextoNormalCaracter"/>
          </w:rPr>
          <w:t>40/2002</w:t>
        </w:r>
      </w:hyperlink>
      <w:r>
        <w:t>, f. 7.</w:t>
      </w:r>
    </w:p>
    <w:p w:rsidR="007F4918" w:rsidRDefault="007F4918" w:rsidP="007F4918">
      <w:pPr>
        <w:pStyle w:val="SangriaFrancesaArticulo"/>
      </w:pPr>
    </w:p>
    <w:p w:rsidR="007F4918" w:rsidRDefault="007F4918" w:rsidP="007F4918">
      <w:pPr>
        <w:pStyle w:val="TextoNormalNegritaCursivandice"/>
      </w:pPr>
      <w:r>
        <w:t>Ley 3/2001, de 26 de marzo.  Pesca marítima del Estado</w:t>
      </w:r>
    </w:p>
    <w:p w:rsidR="007F4918" w:rsidRDefault="007F4918" w:rsidP="007F4918">
      <w:pPr>
        <w:pStyle w:val="SangriaFrancesaArticulo"/>
      </w:pPr>
      <w:r w:rsidRPr="007F4918">
        <w:rPr>
          <w:rStyle w:val="TextoNormalNegritaCaracter"/>
        </w:rPr>
        <w:t>Título I, capítulo III.</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Preámbulo.</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SangriaFrancesaArticulo"/>
      </w:pPr>
      <w:r w:rsidRPr="007F4918">
        <w:rPr>
          <w:rStyle w:val="TextoNormalNegritaCaracter"/>
        </w:rPr>
        <w:t>Artículo 13.</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13.2.</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SangriaFrancesaArticulo"/>
      </w:pPr>
      <w:r w:rsidRPr="007F4918">
        <w:rPr>
          <w:rStyle w:val="TextoNormalNegritaCaracter"/>
        </w:rPr>
        <w:t>Artículo 14.</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Disposición adicional segunda, apartado 1.</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t>Ley 23/2001, de 27 de diciembre. Presupuestos generales del Estado para 2002</w:t>
      </w:r>
    </w:p>
    <w:p w:rsidR="007F4918" w:rsidRDefault="007F4918" w:rsidP="007F4918">
      <w:pPr>
        <w:pStyle w:val="SangriaFrancesaArticulo"/>
      </w:pPr>
      <w:r w:rsidRPr="007F4918">
        <w:rPr>
          <w:rStyle w:val="TextoNormalNegritaCaracter"/>
        </w:rPr>
        <w:t>Disposición adicional vigesimocuarta.</w:t>
      </w:r>
      <w:r w:rsidRPr="007F4918">
        <w:rPr>
          <w:rStyle w:val="TextoNormalCaracter"/>
        </w:rPr>
        <w:t>-</w:t>
      </w:r>
      <w:r>
        <w:t xml:space="preserve"> Sentencia </w:t>
      </w:r>
      <w:hyperlink w:anchor="SENTENCIA_2002_95" w:history="1">
        <w:r w:rsidRPr="007F4918">
          <w:rPr>
            <w:rStyle w:val="TextoNormalCaracter"/>
          </w:rPr>
          <w:t>95/2002</w:t>
        </w:r>
      </w:hyperlink>
      <w:r>
        <w:t>, f. 13, VP II.</w:t>
      </w:r>
    </w:p>
    <w:p w:rsidR="007F4918" w:rsidRDefault="007F4918" w:rsidP="007F4918">
      <w:pPr>
        <w:pStyle w:val="TextoNormal"/>
      </w:pPr>
    </w:p>
    <w:p w:rsidR="007F4918" w:rsidRDefault="007F4918" w:rsidP="007F4918">
      <w:pPr>
        <w:pStyle w:val="SangriaFrancesaArticulo"/>
      </w:pPr>
      <w:bookmarkStart w:id="183" w:name="INDICE22847"/>
    </w:p>
    <w:bookmarkEnd w:id="183"/>
    <w:p w:rsidR="007F4918" w:rsidRDefault="007F4918" w:rsidP="007F4918">
      <w:pPr>
        <w:pStyle w:val="TextoIndiceNivel2"/>
        <w:suppressAutoHyphens/>
      </w:pPr>
      <w:r>
        <w:t>F) Reales Decretos Legislativos</w:t>
      </w:r>
    </w:p>
    <w:p w:rsidR="007F4918" w:rsidRDefault="007F4918" w:rsidP="007F4918">
      <w:pPr>
        <w:pStyle w:val="TextoIndiceNivel2"/>
      </w:pPr>
    </w:p>
    <w:p w:rsidR="007F4918" w:rsidRDefault="007F4918" w:rsidP="007F4918">
      <w:pPr>
        <w:pStyle w:val="TextoNormalNegritaCursivandice"/>
      </w:pPr>
      <w:r>
        <w:t>Real Decreto Legislativo 1568/1980, de 13 de junio. Texto refundido de la Ley de procedimiento laboral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7.</w:t>
      </w:r>
    </w:p>
    <w:p w:rsidR="007F4918" w:rsidRDefault="007F4918" w:rsidP="007F4918">
      <w:pPr>
        <w:pStyle w:val="SangriaFrancesaArticulo"/>
      </w:pPr>
      <w:r w:rsidRPr="007F4918">
        <w:rPr>
          <w:rStyle w:val="TextoNormalNegritaCaracter"/>
        </w:rPr>
        <w:t>Artículo 170.</w:t>
      </w:r>
      <w:r w:rsidRPr="007F4918">
        <w:rPr>
          <w:rStyle w:val="TextoNormalCaracter"/>
        </w:rPr>
        <w:t>-</w:t>
      </w:r>
      <w:r>
        <w:t xml:space="preserve"> Auto </w:t>
      </w:r>
      <w:hyperlink w:anchor="AUTO_2002_13" w:history="1">
        <w:r w:rsidRPr="007F4918">
          <w:rPr>
            <w:rStyle w:val="TextoNormalCaracter"/>
          </w:rPr>
          <w:t>13/2002</w:t>
        </w:r>
      </w:hyperlink>
      <w:r>
        <w:t>.</w:t>
      </w:r>
    </w:p>
    <w:p w:rsidR="007F4918" w:rsidRDefault="007F4918" w:rsidP="007F4918">
      <w:pPr>
        <w:pStyle w:val="SangriaFrancesaArticulo"/>
      </w:pPr>
    </w:p>
    <w:p w:rsidR="007F4918" w:rsidRDefault="007F4918" w:rsidP="007F4918">
      <w:pPr>
        <w:pStyle w:val="TextoNormalNegritaCursivandice"/>
      </w:pPr>
      <w:r>
        <w:t>Real Decreto Legislativo 781/1986, de 18 de abril. Texto refundido de las disposiciones legales vigentes en materia de régimen local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ff. 7, 9 a 11.</w:t>
      </w:r>
    </w:p>
    <w:p w:rsidR="007F4918" w:rsidRDefault="007F4918" w:rsidP="007F4918">
      <w:pPr>
        <w:pStyle w:val="SangriaFrancesaArticulo"/>
      </w:pPr>
      <w:r w:rsidRPr="007F4918">
        <w:rPr>
          <w:rStyle w:val="TextoNormalNegritaCaracter"/>
        </w:rPr>
        <w:t>Título VI.</w:t>
      </w:r>
      <w:r w:rsidRPr="007F4918">
        <w:rPr>
          <w:rStyle w:val="TextoNormalCaracter"/>
        </w:rPr>
        <w:t>-</w:t>
      </w:r>
      <w:r>
        <w:t xml:space="preserve"> Sentencia </w:t>
      </w:r>
      <w:hyperlink w:anchor="SENTENCIA_2002_37" w:history="1">
        <w:r w:rsidRPr="007F4918">
          <w:rPr>
            <w:rStyle w:val="TextoNormalCaracter"/>
          </w:rPr>
          <w:t>37/2002</w:t>
        </w:r>
      </w:hyperlink>
      <w:r>
        <w:t>, f. 7.</w:t>
      </w:r>
    </w:p>
    <w:p w:rsidR="007F4918" w:rsidRDefault="007F4918" w:rsidP="007F4918">
      <w:pPr>
        <w:pStyle w:val="SangriaFrancesaArticulo"/>
      </w:pPr>
      <w:r w:rsidRPr="007F4918">
        <w:rPr>
          <w:rStyle w:val="TextoNormalNegritaCaracter"/>
        </w:rPr>
        <w:t>Título VII.</w:t>
      </w:r>
      <w:r w:rsidRPr="007F4918">
        <w:rPr>
          <w:rStyle w:val="TextoNormalCaracter"/>
        </w:rPr>
        <w:t>-</w:t>
      </w:r>
      <w:r>
        <w:t xml:space="preserve"> Sentencia </w:t>
      </w:r>
      <w:hyperlink w:anchor="SENTENCIA_2002_37" w:history="1">
        <w:r w:rsidRPr="007F4918">
          <w:rPr>
            <w:rStyle w:val="TextoNormalCaracter"/>
          </w:rPr>
          <w:t>37/2002</w:t>
        </w:r>
      </w:hyperlink>
      <w:r>
        <w:t>, f. 7.</w:t>
      </w:r>
    </w:p>
    <w:p w:rsidR="007F4918" w:rsidRDefault="007F4918" w:rsidP="007F4918">
      <w:pPr>
        <w:pStyle w:val="SangriaFrancesaArticulo"/>
      </w:pPr>
      <w:r w:rsidRPr="007F4918">
        <w:rPr>
          <w:rStyle w:val="TextoNormalNegritaCaracter"/>
        </w:rPr>
        <w:t>Título VII, capítulo II.</w:t>
      </w:r>
      <w:r w:rsidRPr="007F4918">
        <w:rPr>
          <w:rStyle w:val="TextoNormalCaracter"/>
        </w:rPr>
        <w:t>-</w:t>
      </w:r>
      <w:r>
        <w:t xml:space="preserve"> Sentencia </w:t>
      </w:r>
      <w:hyperlink w:anchor="SENTENCIA_2002_37" w:history="1">
        <w:r w:rsidRPr="007F4918">
          <w:rPr>
            <w:rStyle w:val="TextoNormalCaracter"/>
          </w:rPr>
          <w:t>37/2002</w:t>
        </w:r>
      </w:hyperlink>
      <w:r>
        <w:t>, f. 10.</w:t>
      </w:r>
    </w:p>
    <w:p w:rsidR="007F4918" w:rsidRDefault="007F4918" w:rsidP="007F4918">
      <w:pPr>
        <w:pStyle w:val="SangriaFrancesaArticulo"/>
      </w:pPr>
      <w:r w:rsidRPr="007F4918">
        <w:rPr>
          <w:rStyle w:val="TextoNormalNegritaCaracter"/>
        </w:rPr>
        <w:t>Artículo 146.2.</w:t>
      </w:r>
      <w:r w:rsidRPr="007F4918">
        <w:rPr>
          <w:rStyle w:val="TextoNormalCaracter"/>
        </w:rPr>
        <w:t>-</w:t>
      </w:r>
      <w:r>
        <w:t xml:space="preserve"> Sentencia </w:t>
      </w:r>
      <w:hyperlink w:anchor="SENTENCIA_2002_37" w:history="1">
        <w:r w:rsidRPr="007F4918">
          <w:rPr>
            <w:rStyle w:val="TextoNormalCaracter"/>
          </w:rPr>
          <w:t>37/2002</w:t>
        </w:r>
      </w:hyperlink>
      <w:r>
        <w:t>, ff. 7, 10, 15.</w:t>
      </w:r>
    </w:p>
    <w:p w:rsidR="007F4918" w:rsidRDefault="007F4918" w:rsidP="007F4918">
      <w:pPr>
        <w:pStyle w:val="SangriaFrancesaArticulo"/>
      </w:pPr>
      <w:r w:rsidRPr="007F4918">
        <w:rPr>
          <w:rStyle w:val="TextoNormalNegritaCaracter"/>
        </w:rPr>
        <w:t>Artículo 148.</w:t>
      </w:r>
      <w:r w:rsidRPr="007F4918">
        <w:rPr>
          <w:rStyle w:val="TextoNormalCaracter"/>
        </w:rPr>
        <w:t>-</w:t>
      </w:r>
      <w:r>
        <w:t xml:space="preserve"> Sentencia </w:t>
      </w:r>
      <w:hyperlink w:anchor="SENTENCIA_2002_37" w:history="1">
        <w:r w:rsidRPr="007F4918">
          <w:rPr>
            <w:rStyle w:val="TextoNormalCaracter"/>
          </w:rPr>
          <w:t>37/2002</w:t>
        </w:r>
      </w:hyperlink>
      <w:r>
        <w:t>, ff. 10, 15.</w:t>
      </w:r>
    </w:p>
    <w:p w:rsidR="007F4918" w:rsidRDefault="007F4918" w:rsidP="007F4918">
      <w:pPr>
        <w:pStyle w:val="SangriaFrancesaArticulo"/>
      </w:pPr>
      <w:r w:rsidRPr="007F4918">
        <w:rPr>
          <w:rStyle w:val="TextoNormalNegritaCaracter"/>
        </w:rPr>
        <w:t>Artículo 148.2.</w:t>
      </w:r>
      <w:r w:rsidRPr="007F4918">
        <w:rPr>
          <w:rStyle w:val="TextoNormalCaracter"/>
        </w:rPr>
        <w:t>-</w:t>
      </w:r>
      <w:r>
        <w:t xml:space="preserve"> Sentencia </w:t>
      </w:r>
      <w:hyperlink w:anchor="SENTENCIA_2002_37" w:history="1">
        <w:r w:rsidRPr="007F4918">
          <w:rPr>
            <w:rStyle w:val="TextoNormalCaracter"/>
          </w:rPr>
          <w:t>37/2002</w:t>
        </w:r>
      </w:hyperlink>
      <w:r>
        <w:t>, f. 7.</w:t>
      </w:r>
    </w:p>
    <w:p w:rsidR="007F4918" w:rsidRDefault="007F4918" w:rsidP="007F4918">
      <w:pPr>
        <w:pStyle w:val="SangriaFrancesaArticulo"/>
      </w:pPr>
      <w:r w:rsidRPr="007F4918">
        <w:rPr>
          <w:rStyle w:val="TextoNormalNegritaCaracter"/>
        </w:rPr>
        <w:t>Artículo 150.2.</w:t>
      </w:r>
      <w:r w:rsidRPr="007F4918">
        <w:rPr>
          <w:rStyle w:val="TextoNormalCaracter"/>
        </w:rPr>
        <w:t>-</w:t>
      </w:r>
      <w:r>
        <w:t xml:space="preserve"> Sentencia </w:t>
      </w:r>
      <w:hyperlink w:anchor="SENTENCIA_2002_37" w:history="1">
        <w:r w:rsidRPr="007F4918">
          <w:rPr>
            <w:rStyle w:val="TextoNormalCaracter"/>
          </w:rPr>
          <w:t>37/2002</w:t>
        </w:r>
      </w:hyperlink>
      <w:r>
        <w:t>, ff. 7, 10, 15.</w:t>
      </w:r>
    </w:p>
    <w:p w:rsidR="007F4918" w:rsidRDefault="007F4918" w:rsidP="007F4918">
      <w:pPr>
        <w:pStyle w:val="SangriaFrancesaArticulo"/>
      </w:pPr>
      <w:r w:rsidRPr="007F4918">
        <w:rPr>
          <w:rStyle w:val="TextoNormalNegritaCaracter"/>
        </w:rPr>
        <w:t>Disposición final séptima, apartado 1 b).</w:t>
      </w:r>
      <w:r w:rsidRPr="007F4918">
        <w:rPr>
          <w:rStyle w:val="TextoNormalCaracter"/>
        </w:rPr>
        <w:t>-</w:t>
      </w:r>
      <w:r>
        <w:t xml:space="preserve"> Sentencia </w:t>
      </w:r>
      <w:hyperlink w:anchor="SENTENCIA_2002_37" w:history="1">
        <w:r w:rsidRPr="007F4918">
          <w:rPr>
            <w:rStyle w:val="TextoNormalCaracter"/>
          </w:rPr>
          <w:t>37/2002</w:t>
        </w:r>
      </w:hyperlink>
      <w:r>
        <w:t>, ff. 7, 10.</w:t>
      </w:r>
    </w:p>
    <w:p w:rsidR="007F4918" w:rsidRDefault="007F4918" w:rsidP="007F4918">
      <w:pPr>
        <w:pStyle w:val="SangriaFrancesaArticulo"/>
      </w:pPr>
    </w:p>
    <w:p w:rsidR="007F4918" w:rsidRDefault="007F4918" w:rsidP="007F4918">
      <w:pPr>
        <w:pStyle w:val="TextoNormalNegritaCursivandice"/>
      </w:pPr>
      <w:r>
        <w:t>Real Decreto Legislativo 1091/1988, de 23 de septiembre. Texto refundido de  la Ley general presupuestaria</w:t>
      </w:r>
    </w:p>
    <w:p w:rsidR="007F4918" w:rsidRDefault="007F4918" w:rsidP="007F4918">
      <w:pPr>
        <w:pStyle w:val="SangriaFrancesaArticulo"/>
      </w:pPr>
      <w:r w:rsidRPr="007F4918">
        <w:rPr>
          <w:rStyle w:val="TextoNormalNegritaCaracter"/>
        </w:rPr>
        <w:t>Artículo 81.</w:t>
      </w:r>
      <w:r w:rsidRPr="007F4918">
        <w:rPr>
          <w:rStyle w:val="TextoNormalCaracter"/>
        </w:rPr>
        <w:t>-</w:t>
      </w:r>
      <w:r>
        <w:t xml:space="preserve"> Sentencia </w:t>
      </w:r>
      <w:hyperlink w:anchor="SENTENCIA_2002_95" w:history="1">
        <w:r w:rsidRPr="007F4918">
          <w:rPr>
            <w:rStyle w:val="TextoNormalCaracter"/>
          </w:rPr>
          <w:t>95/2002</w:t>
        </w:r>
      </w:hyperlink>
      <w:r>
        <w:t>, VP IV.</w:t>
      </w:r>
    </w:p>
    <w:p w:rsidR="007F4918" w:rsidRDefault="007F4918" w:rsidP="007F4918">
      <w:pPr>
        <w:pStyle w:val="SangriaFrancesaArticulo"/>
      </w:pPr>
      <w:r w:rsidRPr="007F4918">
        <w:rPr>
          <w:rStyle w:val="TextoNormalNegritaCaracter"/>
        </w:rPr>
        <w:t>Artículo 81.1.</w:t>
      </w:r>
      <w:r w:rsidRPr="007F4918">
        <w:rPr>
          <w:rStyle w:val="TextoNormalCaracter"/>
        </w:rPr>
        <w:t>-</w:t>
      </w:r>
      <w:r>
        <w:t xml:space="preserve"> Sentencia </w:t>
      </w:r>
      <w:hyperlink w:anchor="SENTENCIA_2002_95" w:history="1">
        <w:r w:rsidRPr="007F4918">
          <w:rPr>
            <w:rStyle w:val="TextoNormalCaracter"/>
          </w:rPr>
          <w:t>95/2002</w:t>
        </w:r>
      </w:hyperlink>
      <w:r>
        <w:t>, f. 18.</w:t>
      </w:r>
    </w:p>
    <w:p w:rsidR="007F4918" w:rsidRDefault="007F4918" w:rsidP="007F4918">
      <w:pPr>
        <w:pStyle w:val="SangriaFrancesaArticulo"/>
      </w:pPr>
      <w:r w:rsidRPr="007F4918">
        <w:rPr>
          <w:rStyle w:val="TextoNormalNegritaCaracter"/>
        </w:rPr>
        <w:t>Artículo 81.5 d).</w:t>
      </w:r>
      <w:r w:rsidRPr="007F4918">
        <w:rPr>
          <w:rStyle w:val="TextoNormalCaracter"/>
        </w:rPr>
        <w:t>-</w:t>
      </w:r>
      <w:r>
        <w:t xml:space="preserve"> Sentencia </w:t>
      </w:r>
      <w:hyperlink w:anchor="SENTENCIA_2002_95" w:history="1">
        <w:r w:rsidRPr="007F4918">
          <w:rPr>
            <w:rStyle w:val="TextoNormalCaracter"/>
          </w:rPr>
          <w:t>95/2002</w:t>
        </w:r>
      </w:hyperlink>
      <w:r>
        <w:t>, f. 18.</w:t>
      </w:r>
    </w:p>
    <w:p w:rsidR="007F4918" w:rsidRDefault="007F4918" w:rsidP="007F4918">
      <w:pPr>
        <w:pStyle w:val="SangriaFrancesaArticulo"/>
      </w:pPr>
      <w:r w:rsidRPr="007F4918">
        <w:rPr>
          <w:rStyle w:val="TextoNormalNegritaCaracter"/>
        </w:rPr>
        <w:t>Artículo 153.2.6.</w:t>
      </w:r>
      <w:r w:rsidRPr="007F4918">
        <w:rPr>
          <w:rStyle w:val="TextoNormalCaracter"/>
        </w:rPr>
        <w:t>-</w:t>
      </w:r>
      <w:r>
        <w:t xml:space="preserve"> Sentencia </w:t>
      </w:r>
      <w:hyperlink w:anchor="SENTENCIA_2002_95" w:history="1">
        <w:r w:rsidRPr="007F4918">
          <w:rPr>
            <w:rStyle w:val="TextoNormalCaracter"/>
          </w:rPr>
          <w:t>95/2002</w:t>
        </w:r>
      </w:hyperlink>
      <w:r>
        <w:t>, f. 18.</w:t>
      </w:r>
    </w:p>
    <w:p w:rsidR="007F4918" w:rsidRDefault="007F4918" w:rsidP="007F4918">
      <w:pPr>
        <w:pStyle w:val="SangriaFrancesaArticulo"/>
      </w:pPr>
    </w:p>
    <w:p w:rsidR="007F4918" w:rsidRDefault="007F4918" w:rsidP="007F4918">
      <w:pPr>
        <w:pStyle w:val="TextoNormalNegritaCursivandice"/>
      </w:pPr>
      <w:r>
        <w:t>Real Decreto Legislativo 339/1990, de 2 de marzo. Texto articulado de la Ley de bases sobre tráfico, circulación de vehículos a motor y seguridad vial</w:t>
      </w:r>
    </w:p>
    <w:p w:rsidR="007F4918" w:rsidRDefault="007F4918" w:rsidP="007F4918">
      <w:pPr>
        <w:pStyle w:val="SangriaFrancesaArticulo"/>
      </w:pPr>
      <w:r w:rsidRPr="007F4918">
        <w:rPr>
          <w:rStyle w:val="TextoNormalNegritaCaracter"/>
        </w:rPr>
        <w:t>Artículo 65.</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r w:rsidRPr="007F4918">
        <w:rPr>
          <w:rStyle w:val="TextoNormalNegritaCaracter"/>
        </w:rPr>
        <w:t>Artículo 67.</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p>
    <w:p w:rsidR="007F4918" w:rsidRDefault="007F4918" w:rsidP="007F4918">
      <w:pPr>
        <w:pStyle w:val="TextoNormalNegritaCursivandice"/>
      </w:pPr>
      <w:r>
        <w:t>Real Decreto Legislativo 521/1990, de 27 de abril. Texto articulado de la  Ley de procedimiento laboral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13" w:history="1">
        <w:r w:rsidRPr="007F4918">
          <w:rPr>
            <w:rStyle w:val="TextoNormalCaracter"/>
          </w:rPr>
          <w:t>13/2002</w:t>
        </w:r>
      </w:hyperlink>
      <w:r>
        <w:t>.</w:t>
      </w:r>
    </w:p>
    <w:p w:rsidR="007F4918" w:rsidRDefault="007F4918" w:rsidP="007F4918">
      <w:pPr>
        <w:pStyle w:val="SangriaFrancesaArticulo"/>
      </w:pPr>
    </w:p>
    <w:p w:rsidR="007F4918" w:rsidRDefault="007F4918" w:rsidP="007F4918">
      <w:pPr>
        <w:pStyle w:val="TextoNormalNegritaCursivandice"/>
      </w:pPr>
      <w:r>
        <w:t>Real Decreto Legislativo 1/1992, de 26 de junio. Texto refundido de la Ley sobre el régimen del suelo y ordenación urbana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ff. 2, 3.</w:t>
      </w:r>
    </w:p>
    <w:p w:rsidR="007F4918" w:rsidRDefault="007F4918" w:rsidP="007F4918">
      <w:pPr>
        <w:pStyle w:val="SangriaFrancesaArticulo"/>
      </w:pPr>
      <w:r w:rsidRPr="007F4918">
        <w:rPr>
          <w:rStyle w:val="TextoNormalNegritaCaracter"/>
        </w:rPr>
        <w:t>Artículo 27.1.</w:t>
      </w:r>
      <w:r w:rsidRPr="007F4918">
        <w:rPr>
          <w:rStyle w:val="TextoNormalCaracter"/>
        </w:rPr>
        <w:t>-</w:t>
      </w:r>
      <w:r>
        <w:t xml:space="preserve"> Sentencia </w:t>
      </w:r>
      <w:hyperlink w:anchor="SENTENCIA_2002_54" w:history="1">
        <w:r w:rsidRPr="007F4918">
          <w:rPr>
            <w:rStyle w:val="TextoNormalCaracter"/>
          </w:rPr>
          <w:t>54/2002</w:t>
        </w:r>
      </w:hyperlink>
      <w:r>
        <w:t>, f. 2.</w:t>
      </w:r>
    </w:p>
    <w:p w:rsidR="007F4918" w:rsidRDefault="007F4918" w:rsidP="007F4918">
      <w:pPr>
        <w:pStyle w:val="SangriaFrancesaArticulo"/>
      </w:pPr>
      <w:r w:rsidRPr="007F4918">
        <w:rPr>
          <w:rStyle w:val="TextoNormalNegritaCaracter"/>
        </w:rPr>
        <w:t>Artículo 27.4.</w:t>
      </w:r>
      <w:r w:rsidRPr="007F4918">
        <w:rPr>
          <w:rStyle w:val="TextoNormalCaracter"/>
        </w:rPr>
        <w:t>-</w:t>
      </w:r>
      <w:r>
        <w:t xml:space="preserve"> Sentencia </w:t>
      </w:r>
      <w:hyperlink w:anchor="SENTENCIA_2002_54" w:history="1">
        <w:r w:rsidRPr="007F4918">
          <w:rPr>
            <w:rStyle w:val="TextoNormalCaracter"/>
          </w:rPr>
          <w:t>54/2002</w:t>
        </w:r>
      </w:hyperlink>
      <w:r>
        <w:t>, f. 2.</w:t>
      </w:r>
    </w:p>
    <w:p w:rsidR="007F4918" w:rsidRDefault="007F4918" w:rsidP="007F4918">
      <w:pPr>
        <w:pStyle w:val="SangriaFrancesaArticulo"/>
      </w:pPr>
    </w:p>
    <w:p w:rsidR="007F4918" w:rsidRDefault="007F4918" w:rsidP="007F4918">
      <w:pPr>
        <w:pStyle w:val="TextoNormalNegritaCursivandice"/>
      </w:pPr>
      <w:r>
        <w:t>Real Decreto Legislativo 1/1994, de 20 de junio. Texto refundido de la Ley general de la Seguridad Social</w:t>
      </w:r>
    </w:p>
    <w:p w:rsidR="007F4918" w:rsidRDefault="007F4918" w:rsidP="007F4918">
      <w:pPr>
        <w:pStyle w:val="SangriaFrancesaArticulo"/>
      </w:pPr>
      <w:r w:rsidRPr="007F4918">
        <w:rPr>
          <w:rStyle w:val="TextoNormalNegritaCaracter"/>
        </w:rPr>
        <w:t>Artículo 143.</w:t>
      </w:r>
      <w:r w:rsidRPr="007F4918">
        <w:rPr>
          <w:rStyle w:val="TextoNormalCaracter"/>
        </w:rPr>
        <w:t>-</w:t>
      </w:r>
      <w:r>
        <w:t xml:space="preserve"> Sentencia </w:t>
      </w:r>
      <w:hyperlink w:anchor="SENTENCIA_2002_3" w:history="1">
        <w:r w:rsidRPr="007F4918">
          <w:rPr>
            <w:rStyle w:val="TextoNormalCaracter"/>
          </w:rPr>
          <w:t>3/2002</w:t>
        </w:r>
      </w:hyperlink>
      <w:r>
        <w:t>, f. 4.</w:t>
      </w:r>
    </w:p>
    <w:p w:rsidR="007F4918" w:rsidRDefault="007F4918" w:rsidP="007F4918">
      <w:pPr>
        <w:pStyle w:val="SangriaFrancesaArticulo"/>
      </w:pPr>
    </w:p>
    <w:p w:rsidR="007F4918" w:rsidRDefault="007F4918" w:rsidP="007F4918">
      <w:pPr>
        <w:pStyle w:val="TextoNormalNegritaCursivandice"/>
      </w:pPr>
      <w:r>
        <w:lastRenderedPageBreak/>
        <w:t>Real Decreto Legislativo 1/1995, de 24 de marzo. Texto refundido de la Ley del estatuto de los trabajadores</w:t>
      </w:r>
    </w:p>
    <w:p w:rsidR="007F4918" w:rsidRDefault="007F4918" w:rsidP="007F4918">
      <w:pPr>
        <w:pStyle w:val="SangriaFrancesaArticulo"/>
      </w:pPr>
      <w:r w:rsidRPr="007F4918">
        <w:rPr>
          <w:rStyle w:val="TextoNormalNegritaCaracter"/>
        </w:rPr>
        <w:t>Artículo 4.2.</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23.</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44.</w:t>
      </w:r>
      <w:r w:rsidRPr="007F4918">
        <w:rPr>
          <w:rStyle w:val="TextoNormalCaracter"/>
        </w:rPr>
        <w:t>-</w:t>
      </w:r>
      <w:r>
        <w:t xml:space="preserve"> Sentencia </w:t>
      </w:r>
      <w:hyperlink w:anchor="SENTENCIA_2002_62" w:history="1">
        <w:r w:rsidRPr="007F4918">
          <w:rPr>
            <w:rStyle w:val="TextoNormalCaracter"/>
          </w:rPr>
          <w:t>62/2002</w:t>
        </w:r>
      </w:hyperlink>
      <w:r>
        <w:t>, ff. 1, 3.</w:t>
      </w:r>
    </w:p>
    <w:p w:rsidR="007F4918" w:rsidRDefault="007F4918" w:rsidP="007F4918">
      <w:pPr>
        <w:pStyle w:val="SangriaFrancesaArticulo"/>
      </w:pPr>
      <w:r w:rsidRPr="007F4918">
        <w:rPr>
          <w:rStyle w:val="TextoNormalNegritaCaracter"/>
        </w:rPr>
        <w:t>Artículo 49.1 c).</w:t>
      </w:r>
      <w:r w:rsidRPr="007F4918">
        <w:rPr>
          <w:rStyle w:val="TextoNormalCaracter"/>
        </w:rPr>
        <w:t>-</w:t>
      </w:r>
      <w:r>
        <w:t xml:space="preserve"> Sentencias </w:t>
      </w:r>
      <w:hyperlink w:anchor="SENTENCIA_2002_29" w:history="1">
        <w:r w:rsidRPr="007F4918">
          <w:rPr>
            <w:rStyle w:val="TextoNormalCaracter"/>
          </w:rPr>
          <w:t>29/2002</w:t>
        </w:r>
      </w:hyperlink>
      <w:r>
        <w:t xml:space="preserve">, f. 7; </w:t>
      </w:r>
      <w:hyperlink w:anchor="SENTENCIA_2002_30" w:history="1">
        <w:r w:rsidRPr="007F4918">
          <w:rPr>
            <w:rStyle w:val="TextoNormalCaracter"/>
          </w:rPr>
          <w:t>30/2002</w:t>
        </w:r>
      </w:hyperlink>
      <w:r>
        <w:t>, f. 7.</w:t>
      </w:r>
    </w:p>
    <w:p w:rsidR="007F4918" w:rsidRDefault="007F4918" w:rsidP="007F4918">
      <w:pPr>
        <w:pStyle w:val="SangriaFrancesaArticulo"/>
      </w:pPr>
      <w:r w:rsidRPr="007F4918">
        <w:rPr>
          <w:rStyle w:val="TextoNormalNegritaCaracter"/>
        </w:rPr>
        <w:t>Artículo 51.11.</w:t>
      </w:r>
      <w:r w:rsidRPr="007F4918">
        <w:rPr>
          <w:rStyle w:val="TextoNormalCaracter"/>
        </w:rPr>
        <w:t>-</w:t>
      </w:r>
      <w:r>
        <w:t xml:space="preserve"> Sentencia </w:t>
      </w:r>
      <w:hyperlink w:anchor="SENTENCIA_2002_62" w:history="1">
        <w:r w:rsidRPr="007F4918">
          <w:rPr>
            <w:rStyle w:val="TextoNormalCaracter"/>
          </w:rPr>
          <w:t>62/2002</w:t>
        </w:r>
      </w:hyperlink>
      <w:r>
        <w:t>, ff. 1, 3.</w:t>
      </w:r>
    </w:p>
    <w:p w:rsidR="007F4918" w:rsidRDefault="007F4918" w:rsidP="007F4918">
      <w:pPr>
        <w:pStyle w:val="SangriaFrancesaArticulo"/>
      </w:pPr>
      <w:r w:rsidRPr="007F4918">
        <w:rPr>
          <w:rStyle w:val="TextoNormalNegritaCaracter"/>
        </w:rPr>
        <w:t>Artículo 52 c).</w:t>
      </w:r>
      <w:r w:rsidRPr="007F4918">
        <w:rPr>
          <w:rStyle w:val="TextoNormalCaracter"/>
        </w:rPr>
        <w:t>-</w:t>
      </w:r>
      <w:r>
        <w:t xml:space="preserve"> Sentencia </w:t>
      </w:r>
      <w:hyperlink w:anchor="SENTENCIA_2002_48" w:history="1">
        <w:r w:rsidRPr="007F4918">
          <w:rPr>
            <w:rStyle w:val="TextoNormalCaracter"/>
          </w:rPr>
          <w:t>48/2002</w:t>
        </w:r>
      </w:hyperlink>
      <w:r>
        <w:t>, ff. 4, 6 a 9.</w:t>
      </w:r>
    </w:p>
    <w:p w:rsidR="007F4918" w:rsidRDefault="007F4918" w:rsidP="007F4918">
      <w:pPr>
        <w:pStyle w:val="SangriaFrancesaArticulo"/>
      </w:pPr>
      <w:r w:rsidRPr="007F4918">
        <w:rPr>
          <w:rStyle w:val="TextoNormalNegritaCaracter"/>
        </w:rPr>
        <w:t>Artículo 54.1 d).</w:t>
      </w:r>
      <w:r w:rsidRPr="007F4918">
        <w:rPr>
          <w:rStyle w:val="TextoNormalCaracter"/>
        </w:rPr>
        <w:t>-</w:t>
      </w:r>
      <w:r>
        <w:t xml:space="preserve"> Sentencia </w:t>
      </w:r>
      <w:hyperlink w:anchor="SENTENCIA_2002_20" w:history="1">
        <w:r w:rsidRPr="007F4918">
          <w:rPr>
            <w:rStyle w:val="TextoNormalCaracter"/>
          </w:rPr>
          <w:t>20/2002</w:t>
        </w:r>
      </w:hyperlink>
      <w:r>
        <w:t>, f. 7.</w:t>
      </w:r>
    </w:p>
    <w:p w:rsidR="007F4918" w:rsidRDefault="007F4918" w:rsidP="007F4918">
      <w:pPr>
        <w:pStyle w:val="SangriaFrancesaArticulo"/>
      </w:pPr>
      <w:r w:rsidRPr="007F4918">
        <w:rPr>
          <w:rStyle w:val="TextoNormalNegritaCaracter"/>
        </w:rPr>
        <w:t>Artículo 54.2 d).</w:t>
      </w:r>
      <w:r w:rsidRPr="007F4918">
        <w:rPr>
          <w:rStyle w:val="TextoNormalCaracter"/>
        </w:rPr>
        <w:t>-</w:t>
      </w:r>
      <w:r>
        <w:t xml:space="preserve"> Sentencia </w:t>
      </w:r>
      <w:hyperlink w:anchor="SENTENCIA_2002_20" w:history="1">
        <w:r w:rsidRPr="007F4918">
          <w:rPr>
            <w:rStyle w:val="TextoNormalCaracter"/>
          </w:rPr>
          <w:t>20/2002</w:t>
        </w:r>
      </w:hyperlink>
      <w:r>
        <w:t>, f. 1.</w:t>
      </w:r>
    </w:p>
    <w:p w:rsidR="007F4918" w:rsidRDefault="007F4918" w:rsidP="007F4918">
      <w:pPr>
        <w:pStyle w:val="SangriaFrancesaArticulo"/>
      </w:pPr>
      <w:r w:rsidRPr="007F4918">
        <w:rPr>
          <w:rStyle w:val="TextoNormalNegritaCaracter"/>
        </w:rPr>
        <w:t>Artículo 55.4.</w:t>
      </w:r>
      <w:r w:rsidRPr="007F4918">
        <w:rPr>
          <w:rStyle w:val="TextoNormalCaracter"/>
        </w:rPr>
        <w:t>-</w:t>
      </w:r>
      <w:r>
        <w:t xml:space="preserve"> Sentencia </w:t>
      </w:r>
      <w:hyperlink w:anchor="SENTENCIA_2002_20" w:history="1">
        <w:r w:rsidRPr="007F4918">
          <w:rPr>
            <w:rStyle w:val="TextoNormalCaracter"/>
          </w:rPr>
          <w:t>20/2002</w:t>
        </w:r>
      </w:hyperlink>
      <w:r>
        <w:t>, f. 7.</w:t>
      </w:r>
    </w:p>
    <w:p w:rsidR="007F4918" w:rsidRDefault="007F4918" w:rsidP="007F4918">
      <w:pPr>
        <w:pStyle w:val="SangriaFrancesaArticulo"/>
      </w:pPr>
      <w:r w:rsidRPr="007F4918">
        <w:rPr>
          <w:rStyle w:val="TextoNormalNegritaCaracter"/>
        </w:rPr>
        <w:t>Artículo 56.5.</w:t>
      </w:r>
      <w:r w:rsidRPr="007F4918">
        <w:rPr>
          <w:rStyle w:val="TextoNormalCaracter"/>
        </w:rPr>
        <w:t>-</w:t>
      </w:r>
      <w:r>
        <w:t xml:space="preserve"> Sentencia </w:t>
      </w:r>
      <w:hyperlink w:anchor="SENTENCIA_2002_20" w:history="1">
        <w:r w:rsidRPr="007F4918">
          <w:rPr>
            <w:rStyle w:val="TextoNormalCaracter"/>
          </w:rPr>
          <w:t>20/2002</w:t>
        </w:r>
      </w:hyperlink>
      <w:r>
        <w:t>, f. 8.</w:t>
      </w:r>
    </w:p>
    <w:p w:rsidR="007F4918" w:rsidRDefault="007F4918" w:rsidP="007F4918">
      <w:pPr>
        <w:pStyle w:val="SangriaFrancesaArticulo"/>
      </w:pPr>
      <w:r w:rsidRPr="007F4918">
        <w:rPr>
          <w:rStyle w:val="TextoNormalNegritaCaracter"/>
        </w:rPr>
        <w:t>Artículo 59.3.</w:t>
      </w:r>
      <w:r w:rsidRPr="007F4918">
        <w:rPr>
          <w:rStyle w:val="TextoNormalCaracter"/>
        </w:rPr>
        <w:t>-</w:t>
      </w:r>
      <w:r>
        <w:t xml:space="preserve"> Sentencia </w:t>
      </w:r>
      <w:hyperlink w:anchor="SENTENCIA_2002_58" w:history="1">
        <w:r w:rsidRPr="007F4918">
          <w:rPr>
            <w:rStyle w:val="TextoNormalCaracter"/>
          </w:rPr>
          <w:t>58/2002</w:t>
        </w:r>
      </w:hyperlink>
      <w:r>
        <w:t>, f. 1.</w:t>
      </w:r>
    </w:p>
    <w:p w:rsidR="007F4918" w:rsidRDefault="007F4918" w:rsidP="007F4918">
      <w:pPr>
        <w:pStyle w:val="SangriaFrancesaArticulo"/>
      </w:pPr>
    </w:p>
    <w:p w:rsidR="007F4918" w:rsidRDefault="007F4918" w:rsidP="007F4918">
      <w:pPr>
        <w:pStyle w:val="TextoNormalNegritaCursivandice"/>
      </w:pPr>
      <w:r>
        <w:t>Real Decreto Legislativo 2/1995, de 7 de abril. Texto refundido de la Ley de  procedimiento laboral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62" w:history="1">
        <w:r w:rsidRPr="007F4918">
          <w:rPr>
            <w:rStyle w:val="TextoNormalCaracter"/>
          </w:rPr>
          <w:t>62/2002</w:t>
        </w:r>
      </w:hyperlink>
      <w:r>
        <w:t xml:space="preserve">, ff. 1, 3 a 5;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44.</w:t>
      </w:r>
      <w:r w:rsidRPr="007F4918">
        <w:rPr>
          <w:rStyle w:val="TextoNormalCaracter"/>
        </w:rPr>
        <w:t>-</w:t>
      </w:r>
      <w:r>
        <w:t xml:space="preserve"> Sentencia </w:t>
      </w:r>
      <w:hyperlink w:anchor="SENTENCIA_2002_90" w:history="1">
        <w:r w:rsidRPr="007F4918">
          <w:rPr>
            <w:rStyle w:val="TextoNormalCaracter"/>
          </w:rPr>
          <w:t>90/2002</w:t>
        </w:r>
      </w:hyperlink>
      <w:r>
        <w:t>, f. 4.</w:t>
      </w:r>
    </w:p>
    <w:p w:rsidR="007F4918" w:rsidRDefault="007F4918" w:rsidP="007F4918">
      <w:pPr>
        <w:pStyle w:val="SangriaFrancesaArticulo"/>
      </w:pPr>
      <w:r w:rsidRPr="007F4918">
        <w:rPr>
          <w:rStyle w:val="TextoNormalNegritaCaracter"/>
        </w:rPr>
        <w:t>Artículo 45.</w:t>
      </w:r>
      <w:r w:rsidRPr="007F4918">
        <w:rPr>
          <w:rStyle w:val="TextoNormalCaracter"/>
        </w:rPr>
        <w:t>-</w:t>
      </w:r>
      <w:r>
        <w:t xml:space="preserve"> Sentencia </w:t>
      </w:r>
      <w:hyperlink w:anchor="SENTENCIA_2002_90" w:history="1">
        <w:r w:rsidRPr="007F4918">
          <w:rPr>
            <w:rStyle w:val="TextoNormalCaracter"/>
          </w:rPr>
          <w:t>90/2002</w:t>
        </w:r>
      </w:hyperlink>
      <w:r>
        <w:t>, f. 4.</w:t>
      </w:r>
    </w:p>
    <w:p w:rsidR="007F4918" w:rsidRDefault="007F4918" w:rsidP="007F4918">
      <w:pPr>
        <w:pStyle w:val="SangriaFrancesaArticulo"/>
      </w:pPr>
      <w:r w:rsidRPr="007F4918">
        <w:rPr>
          <w:rStyle w:val="TextoNormalNegritaCaracter"/>
        </w:rPr>
        <w:t>Artículo 53.3.</w:t>
      </w:r>
      <w:r w:rsidRPr="007F4918">
        <w:rPr>
          <w:rStyle w:val="TextoNormalCaracter"/>
        </w:rPr>
        <w:t>-</w:t>
      </w:r>
      <w:r>
        <w:t xml:space="preserve"> Sentencia </w:t>
      </w:r>
      <w:hyperlink w:anchor="SENTENCIA_2002_42" w:history="1">
        <w:r w:rsidRPr="007F4918">
          <w:rPr>
            <w:rStyle w:val="TextoNormalCaracter"/>
          </w:rPr>
          <w:t>42/2002</w:t>
        </w:r>
      </w:hyperlink>
      <w:r>
        <w:t>, f. 1.</w:t>
      </w:r>
    </w:p>
    <w:p w:rsidR="007F4918" w:rsidRDefault="007F4918" w:rsidP="007F4918">
      <w:pPr>
        <w:pStyle w:val="SangriaFrancesaArticulo"/>
      </w:pPr>
      <w:r w:rsidRPr="007F4918">
        <w:rPr>
          <w:rStyle w:val="TextoNormalNegritaCaracter"/>
        </w:rPr>
        <w:t>Artículo 56.</w:t>
      </w:r>
      <w:r w:rsidRPr="007F4918">
        <w:rPr>
          <w:rStyle w:val="TextoNormalCaracter"/>
        </w:rPr>
        <w:t>-</w:t>
      </w:r>
      <w:r>
        <w:t xml:space="preserve"> Sentencia </w:t>
      </w:r>
      <w:hyperlink w:anchor="SENTENCIA_2002_42" w:history="1">
        <w:r w:rsidRPr="007F4918">
          <w:rPr>
            <w:rStyle w:val="TextoNormalCaracter"/>
          </w:rPr>
          <w:t>42/2002</w:t>
        </w:r>
      </w:hyperlink>
      <w:r>
        <w:t>, f. 2.</w:t>
      </w:r>
    </w:p>
    <w:p w:rsidR="007F4918" w:rsidRDefault="007F4918" w:rsidP="007F4918">
      <w:pPr>
        <w:pStyle w:val="SangriaFrancesaArticulo"/>
      </w:pPr>
      <w:r w:rsidRPr="007F4918">
        <w:rPr>
          <w:rStyle w:val="TextoNormalNegritaCaracter"/>
        </w:rPr>
        <w:t>Artículo 63.</w:t>
      </w:r>
      <w:r w:rsidRPr="007F4918">
        <w:rPr>
          <w:rStyle w:val="TextoNormalCaracter"/>
        </w:rPr>
        <w:t>-</w:t>
      </w:r>
      <w:r>
        <w:t xml:space="preserve"> Sentencia </w:t>
      </w:r>
      <w:hyperlink w:anchor="SENTENCIA_2002_58" w:history="1">
        <w:r w:rsidRPr="007F4918">
          <w:rPr>
            <w:rStyle w:val="TextoNormalCaracter"/>
          </w:rPr>
          <w:t>58/2002</w:t>
        </w:r>
      </w:hyperlink>
      <w:r>
        <w:t>, ff. 1, 3.</w:t>
      </w:r>
    </w:p>
    <w:p w:rsidR="007F4918" w:rsidRDefault="007F4918" w:rsidP="007F4918">
      <w:pPr>
        <w:pStyle w:val="SangriaFrancesaArticulo"/>
      </w:pPr>
      <w:r w:rsidRPr="007F4918">
        <w:rPr>
          <w:rStyle w:val="TextoNormalNegritaCaracter"/>
        </w:rPr>
        <w:t>Artículo 64.</w:t>
      </w:r>
      <w:r w:rsidRPr="007F4918">
        <w:rPr>
          <w:rStyle w:val="TextoNormalCaracter"/>
        </w:rPr>
        <w:t>-</w:t>
      </w:r>
      <w:r>
        <w:t xml:space="preserve"> Sentencia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70.</w:t>
      </w:r>
      <w:r w:rsidRPr="007F4918">
        <w:rPr>
          <w:rStyle w:val="TextoNormalCaracter"/>
        </w:rPr>
        <w:t>-</w:t>
      </w:r>
      <w:r>
        <w:t xml:space="preserve"> Sentencia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94.2.</w:t>
      </w:r>
      <w:r w:rsidRPr="007F4918">
        <w:rPr>
          <w:rStyle w:val="TextoNormalCaracter"/>
        </w:rPr>
        <w:t>-</w:t>
      </w:r>
      <w:r>
        <w:t xml:space="preserve"> Sentencia </w:t>
      </w:r>
      <w:hyperlink w:anchor="SENTENCIA_2002_61" w:history="1">
        <w:r w:rsidRPr="007F4918">
          <w:rPr>
            <w:rStyle w:val="TextoNormalCaracter"/>
          </w:rPr>
          <w:t>61/2002</w:t>
        </w:r>
      </w:hyperlink>
      <w:r>
        <w:t>, f. 5.</w:t>
      </w:r>
    </w:p>
    <w:p w:rsidR="007F4918" w:rsidRDefault="007F4918" w:rsidP="007F4918">
      <w:pPr>
        <w:pStyle w:val="SangriaFrancesaArticulo"/>
      </w:pPr>
      <w:r w:rsidRPr="007F4918">
        <w:rPr>
          <w:rStyle w:val="TextoNormalNegritaCaracter"/>
        </w:rPr>
        <w:t>Artículo 96.</w:t>
      </w:r>
      <w:r w:rsidRPr="007F4918">
        <w:rPr>
          <w:rStyle w:val="TextoNormalCaracter"/>
        </w:rPr>
        <w:t>-</w:t>
      </w:r>
      <w:r>
        <w:t xml:space="preserve"> Sentencias </w:t>
      </w:r>
      <w:hyperlink w:anchor="SENTENCIA_2002_29" w:history="1">
        <w:r w:rsidRPr="007F4918">
          <w:rPr>
            <w:rStyle w:val="TextoNormalCaracter"/>
          </w:rPr>
          <w:t>29/2002</w:t>
        </w:r>
      </w:hyperlink>
      <w:r>
        <w:t xml:space="preserve">, f. 3; </w:t>
      </w:r>
      <w:hyperlink w:anchor="SENTENCIA_2002_30" w:history="1">
        <w:r w:rsidRPr="007F4918">
          <w:rPr>
            <w:rStyle w:val="TextoNormalCaracter"/>
          </w:rPr>
          <w:t>30/2002</w:t>
        </w:r>
      </w:hyperlink>
      <w:r>
        <w:t xml:space="preserve">, f. 3; </w:t>
      </w:r>
      <w:hyperlink w:anchor="SENTENCIA_2002_66" w:history="1">
        <w:r w:rsidRPr="007F4918">
          <w:rPr>
            <w:rStyle w:val="TextoNormalCaracter"/>
          </w:rPr>
          <w:t>66/2002</w:t>
        </w:r>
      </w:hyperlink>
      <w:r>
        <w:t>, f. 3.</w:t>
      </w:r>
    </w:p>
    <w:p w:rsidR="007F4918" w:rsidRDefault="007F4918" w:rsidP="007F4918">
      <w:pPr>
        <w:pStyle w:val="SangriaFrancesaArticulo"/>
      </w:pPr>
      <w:r w:rsidRPr="007F4918">
        <w:rPr>
          <w:rStyle w:val="TextoNormalNegritaCaracter"/>
        </w:rPr>
        <w:t>Artículo 103.</w:t>
      </w:r>
      <w:r w:rsidRPr="007F4918">
        <w:rPr>
          <w:rStyle w:val="TextoNormalCaracter"/>
        </w:rPr>
        <w:t>-</w:t>
      </w:r>
      <w:r>
        <w:t xml:space="preserve"> Sentencia </w:t>
      </w:r>
      <w:hyperlink w:anchor="SENTENCIA_2002_58" w:history="1">
        <w:r w:rsidRPr="007F4918">
          <w:rPr>
            <w:rStyle w:val="TextoNormalCaracter"/>
          </w:rPr>
          <w:t>58/2002</w:t>
        </w:r>
      </w:hyperlink>
      <w:r>
        <w:t>, f. 1.</w:t>
      </w:r>
    </w:p>
    <w:p w:rsidR="007F4918" w:rsidRDefault="007F4918" w:rsidP="007F4918">
      <w:pPr>
        <w:pStyle w:val="SangriaFrancesaArticulo"/>
      </w:pPr>
      <w:r w:rsidRPr="007F4918">
        <w:rPr>
          <w:rStyle w:val="TextoNormalNegritaCaracter"/>
        </w:rPr>
        <w:t>Artículo 145.</w:t>
      </w:r>
      <w:r w:rsidRPr="007F4918">
        <w:rPr>
          <w:rStyle w:val="TextoNormalCaracter"/>
        </w:rPr>
        <w:t>-</w:t>
      </w:r>
      <w:r>
        <w:t xml:space="preserve"> Sentencia </w:t>
      </w:r>
      <w:hyperlink w:anchor="SENTENCIA_2002_3" w:history="1">
        <w:r w:rsidRPr="007F4918">
          <w:rPr>
            <w:rStyle w:val="TextoNormalCaracter"/>
          </w:rPr>
          <w:t>3/2002</w:t>
        </w:r>
      </w:hyperlink>
      <w:r>
        <w:t>, f. 4.</w:t>
      </w:r>
    </w:p>
    <w:p w:rsidR="007F4918" w:rsidRDefault="007F4918" w:rsidP="007F4918">
      <w:pPr>
        <w:pStyle w:val="SangriaFrancesaArticulo"/>
      </w:pPr>
      <w:r w:rsidRPr="007F4918">
        <w:rPr>
          <w:rStyle w:val="TextoNormalNegritaCaracter"/>
        </w:rPr>
        <w:t>Artículo 145.1.</w:t>
      </w:r>
      <w:r w:rsidRPr="007F4918">
        <w:rPr>
          <w:rStyle w:val="TextoNormalCaracter"/>
        </w:rPr>
        <w:t>-</w:t>
      </w:r>
      <w:r>
        <w:t xml:space="preserve"> Sentencia </w:t>
      </w:r>
      <w:hyperlink w:anchor="SENTENCIA_2002_3" w:history="1">
        <w:r w:rsidRPr="007F4918">
          <w:rPr>
            <w:rStyle w:val="TextoNormalCaracter"/>
          </w:rPr>
          <w:t>3/2002</w:t>
        </w:r>
      </w:hyperlink>
      <w:r>
        <w:t>, f. 3.</w:t>
      </w:r>
    </w:p>
    <w:p w:rsidR="007F4918" w:rsidRDefault="007F4918" w:rsidP="007F4918">
      <w:pPr>
        <w:pStyle w:val="SangriaFrancesaArticulo"/>
      </w:pPr>
      <w:r w:rsidRPr="007F4918">
        <w:rPr>
          <w:rStyle w:val="TextoNormalNegritaCaracter"/>
        </w:rPr>
        <w:t>Artículo 145.2.</w:t>
      </w:r>
      <w:r w:rsidRPr="007F4918">
        <w:rPr>
          <w:rStyle w:val="TextoNormalCaracter"/>
        </w:rPr>
        <w:t>-</w:t>
      </w:r>
      <w:r>
        <w:t xml:space="preserve"> Sentencia </w:t>
      </w:r>
      <w:hyperlink w:anchor="SENTENCIA_2002_3" w:history="1">
        <w:r w:rsidRPr="007F4918">
          <w:rPr>
            <w:rStyle w:val="TextoNormalCaracter"/>
          </w:rPr>
          <w:t>3/2002</w:t>
        </w:r>
      </w:hyperlink>
      <w:r>
        <w:t>, ff. 1, 3, 4.</w:t>
      </w:r>
    </w:p>
    <w:p w:rsidR="007F4918" w:rsidRDefault="007F4918" w:rsidP="007F4918">
      <w:pPr>
        <w:pStyle w:val="SangriaFrancesaArticulo"/>
      </w:pPr>
      <w:r w:rsidRPr="007F4918">
        <w:rPr>
          <w:rStyle w:val="TextoNormalNegritaCaracter"/>
        </w:rPr>
        <w:t>Artículo 177.1.</w:t>
      </w:r>
      <w:r w:rsidRPr="007F4918">
        <w:rPr>
          <w:rStyle w:val="TextoNormalCaracter"/>
        </w:rPr>
        <w:t>-</w:t>
      </w:r>
      <w:r>
        <w:t xml:space="preserve"> Sentencia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178.</w:t>
      </w:r>
      <w:r w:rsidRPr="007F4918">
        <w:rPr>
          <w:rStyle w:val="TextoNormalCaracter"/>
        </w:rPr>
        <w:t>-</w:t>
      </w:r>
      <w:r>
        <w:t xml:space="preserve"> Sentencia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179.1.</w:t>
      </w:r>
      <w:r w:rsidRPr="007F4918">
        <w:rPr>
          <w:rStyle w:val="TextoNormalCaracter"/>
        </w:rPr>
        <w:t>-</w:t>
      </w:r>
      <w:r>
        <w:t xml:space="preserve"> Sentencia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179.2.</w:t>
      </w:r>
      <w:r w:rsidRPr="007F4918">
        <w:rPr>
          <w:rStyle w:val="TextoNormalCaracter"/>
        </w:rPr>
        <w:t>-</w:t>
      </w:r>
      <w:r>
        <w:t xml:space="preserve"> Sentencias </w:t>
      </w:r>
      <w:hyperlink w:anchor="SENTENCIA_2002_29" w:history="1">
        <w:r w:rsidRPr="007F4918">
          <w:rPr>
            <w:rStyle w:val="TextoNormalCaracter"/>
          </w:rPr>
          <w:t>29/2002</w:t>
        </w:r>
      </w:hyperlink>
      <w:r>
        <w:t xml:space="preserve">, f. 3; </w:t>
      </w:r>
      <w:hyperlink w:anchor="SENTENCIA_2002_30" w:history="1">
        <w:r w:rsidRPr="007F4918">
          <w:rPr>
            <w:rStyle w:val="TextoNormalCaracter"/>
          </w:rPr>
          <w:t>30/2002</w:t>
        </w:r>
      </w:hyperlink>
      <w:r>
        <w:t xml:space="preserve">, f. 3; </w:t>
      </w:r>
      <w:hyperlink w:anchor="SENTENCIA_2002_66" w:history="1">
        <w:r w:rsidRPr="007F4918">
          <w:rPr>
            <w:rStyle w:val="TextoNormalCaracter"/>
          </w:rPr>
          <w:t>66/2002</w:t>
        </w:r>
      </w:hyperlink>
      <w:r>
        <w:t xml:space="preserve">, f. 3; </w:t>
      </w:r>
      <w:hyperlink w:anchor="SENTENCIA_2002_84" w:history="1">
        <w:r w:rsidRPr="007F4918">
          <w:rPr>
            <w:rStyle w:val="TextoNormalCaracter"/>
          </w:rPr>
          <w:t>84/2002</w:t>
        </w:r>
      </w:hyperlink>
      <w:r>
        <w:t>, f. 3.</w:t>
      </w:r>
    </w:p>
    <w:p w:rsidR="007F4918" w:rsidRDefault="007F4918" w:rsidP="007F4918">
      <w:pPr>
        <w:pStyle w:val="SangriaFrancesaArticulo"/>
      </w:pPr>
      <w:r w:rsidRPr="007F4918">
        <w:rPr>
          <w:rStyle w:val="TextoNormalNegritaCaracter"/>
        </w:rPr>
        <w:t>Artículo 179.3.</w:t>
      </w:r>
      <w:r w:rsidRPr="007F4918">
        <w:rPr>
          <w:rStyle w:val="TextoNormalCaracter"/>
        </w:rPr>
        <w:t>-</w:t>
      </w:r>
      <w:r>
        <w:t xml:space="preserve"> Sentencia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182.</w:t>
      </w:r>
      <w:r w:rsidRPr="007F4918">
        <w:rPr>
          <w:rStyle w:val="TextoNormalCaracter"/>
        </w:rPr>
        <w:t>-</w:t>
      </w:r>
      <w:r>
        <w:t xml:space="preserve"> Sentencia </w:t>
      </w:r>
      <w:hyperlink w:anchor="SENTENCIA_2002_66" w:history="1">
        <w:r w:rsidRPr="007F4918">
          <w:rPr>
            <w:rStyle w:val="TextoNormalCaracter"/>
          </w:rPr>
          <w:t>66/2002</w:t>
        </w:r>
      </w:hyperlink>
      <w:r>
        <w:t>, f. 2.</w:t>
      </w:r>
    </w:p>
    <w:p w:rsidR="007F4918" w:rsidRDefault="007F4918" w:rsidP="007F4918">
      <w:pPr>
        <w:pStyle w:val="SangriaFrancesaArticulo"/>
      </w:pPr>
      <w:r w:rsidRPr="007F4918">
        <w:rPr>
          <w:rStyle w:val="TextoNormalNegritaCaracter"/>
        </w:rPr>
        <w:t>Artículo 184.1.</w:t>
      </w:r>
      <w:r w:rsidRPr="007F4918">
        <w:rPr>
          <w:rStyle w:val="TextoNormalCaracter"/>
        </w:rPr>
        <w:t>-</w:t>
      </w:r>
      <w:r>
        <w:t xml:space="preserve"> Sentencia </w:t>
      </w:r>
      <w:hyperlink w:anchor="SENTENCIA_2002_62" w:history="1">
        <w:r w:rsidRPr="007F4918">
          <w:rPr>
            <w:rStyle w:val="TextoNormalCaracter"/>
          </w:rPr>
          <w:t>62/2002</w:t>
        </w:r>
      </w:hyperlink>
      <w:r>
        <w:t>, f. 1.</w:t>
      </w:r>
    </w:p>
    <w:p w:rsidR="007F4918" w:rsidRDefault="007F4918" w:rsidP="007F4918">
      <w:pPr>
        <w:pStyle w:val="SangriaFrancesaArticulo"/>
      </w:pPr>
      <w:r w:rsidRPr="007F4918">
        <w:rPr>
          <w:rStyle w:val="TextoNormalNegritaCaracter"/>
        </w:rPr>
        <w:t>Artículo 186.</w:t>
      </w:r>
      <w:r w:rsidRPr="007F4918">
        <w:rPr>
          <w:rStyle w:val="TextoNormalCaracter"/>
        </w:rPr>
        <w:t>-</w:t>
      </w:r>
      <w:r>
        <w:t xml:space="preserve"> Sentencia </w:t>
      </w:r>
      <w:hyperlink w:anchor="SENTENCIA_2002_62" w:history="1">
        <w:r w:rsidRPr="007F4918">
          <w:rPr>
            <w:rStyle w:val="TextoNormalCaracter"/>
          </w:rPr>
          <w:t>62/2002</w:t>
        </w:r>
      </w:hyperlink>
      <w:r>
        <w:t>, f. 1.</w:t>
      </w:r>
    </w:p>
    <w:p w:rsidR="007F4918" w:rsidRDefault="007F4918" w:rsidP="007F4918">
      <w:pPr>
        <w:pStyle w:val="SangriaFrancesaArticulo"/>
      </w:pPr>
      <w:r w:rsidRPr="007F4918">
        <w:rPr>
          <w:rStyle w:val="TextoNormalNegritaCaracter"/>
        </w:rPr>
        <w:t>Artículo 187.</w:t>
      </w:r>
      <w:r w:rsidRPr="007F4918">
        <w:rPr>
          <w:rStyle w:val="TextoNormalCaracter"/>
        </w:rPr>
        <w:t>-</w:t>
      </w:r>
      <w:r>
        <w:t xml:space="preserve"> Sentencia </w:t>
      </w:r>
      <w:hyperlink w:anchor="SENTENCIA_2002_88" w:history="1">
        <w:r w:rsidRPr="007F4918">
          <w:rPr>
            <w:rStyle w:val="TextoNormalCaracter"/>
          </w:rPr>
          <w:t>88/2002</w:t>
        </w:r>
      </w:hyperlink>
      <w:r>
        <w:t>, f. 3.</w:t>
      </w:r>
    </w:p>
    <w:p w:rsidR="007F4918" w:rsidRDefault="007F4918" w:rsidP="007F4918">
      <w:pPr>
        <w:pStyle w:val="SangriaFrancesaArticulo"/>
      </w:pPr>
      <w:r w:rsidRPr="007F4918">
        <w:rPr>
          <w:rStyle w:val="TextoNormalNegritaCaracter"/>
        </w:rPr>
        <w:t>Artículo 191.</w:t>
      </w:r>
      <w:r w:rsidRPr="007F4918">
        <w:rPr>
          <w:rStyle w:val="TextoNormalCaracter"/>
        </w:rPr>
        <w:t>-</w:t>
      </w:r>
      <w:r>
        <w:t xml:space="preserve"> Sentencia </w:t>
      </w:r>
      <w:hyperlink w:anchor="SENTENCIA_2002_71" w:history="1">
        <w:r w:rsidRPr="007F4918">
          <w:rPr>
            <w:rStyle w:val="TextoNormalCaracter"/>
          </w:rPr>
          <w:t>71/2002</w:t>
        </w:r>
      </w:hyperlink>
      <w:r>
        <w:t>, f. 6.</w:t>
      </w:r>
    </w:p>
    <w:p w:rsidR="007F4918" w:rsidRDefault="007F4918" w:rsidP="007F4918">
      <w:pPr>
        <w:pStyle w:val="SangriaFrancesaArticulo"/>
      </w:pPr>
      <w:r w:rsidRPr="007F4918">
        <w:rPr>
          <w:rStyle w:val="TextoNormalNegritaCaracter"/>
        </w:rPr>
        <w:t>Artículo 192.1.</w:t>
      </w:r>
      <w:r w:rsidRPr="007F4918">
        <w:rPr>
          <w:rStyle w:val="TextoNormalCaracter"/>
        </w:rPr>
        <w:t>-</w:t>
      </w:r>
      <w:r>
        <w:t xml:space="preserve"> Sentencia </w:t>
      </w:r>
      <w:hyperlink w:anchor="SENTENCIA_2002_90" w:history="1">
        <w:r w:rsidRPr="007F4918">
          <w:rPr>
            <w:rStyle w:val="TextoNormalCaracter"/>
          </w:rPr>
          <w:t>90/2002</w:t>
        </w:r>
      </w:hyperlink>
      <w:r>
        <w:t>, f. 4.</w:t>
      </w:r>
    </w:p>
    <w:p w:rsidR="007F4918" w:rsidRDefault="007F4918" w:rsidP="007F4918">
      <w:pPr>
        <w:pStyle w:val="SangriaFrancesaArticulo"/>
      </w:pPr>
      <w:r w:rsidRPr="007F4918">
        <w:rPr>
          <w:rStyle w:val="TextoNormalNegritaCaracter"/>
        </w:rPr>
        <w:t>Artículo 193.2.</w:t>
      </w:r>
      <w:r w:rsidRPr="007F4918">
        <w:rPr>
          <w:rStyle w:val="TextoNormalCaracter"/>
        </w:rPr>
        <w:t>-</w:t>
      </w:r>
      <w:r>
        <w:t xml:space="preserve"> Sentencia </w:t>
      </w:r>
      <w:hyperlink w:anchor="SENTENCIA_2002_90" w:history="1">
        <w:r w:rsidRPr="007F4918">
          <w:rPr>
            <w:rStyle w:val="TextoNormalCaracter"/>
          </w:rPr>
          <w:t>90/2002</w:t>
        </w:r>
      </w:hyperlink>
      <w:r>
        <w:t>, f. 4.</w:t>
      </w:r>
    </w:p>
    <w:p w:rsidR="007F4918" w:rsidRDefault="007F4918" w:rsidP="007F4918">
      <w:pPr>
        <w:pStyle w:val="SangriaFrancesaArticulo"/>
      </w:pPr>
      <w:r w:rsidRPr="007F4918">
        <w:rPr>
          <w:rStyle w:val="TextoNormalNegritaCaracter"/>
        </w:rPr>
        <w:t>Artículo 194.2.</w:t>
      </w:r>
      <w:r w:rsidRPr="007F4918">
        <w:rPr>
          <w:rStyle w:val="TextoNormalCaracter"/>
        </w:rPr>
        <w:t>-</w:t>
      </w:r>
      <w:r>
        <w:t xml:space="preserve"> Sentencia </w:t>
      </w:r>
      <w:hyperlink w:anchor="SENTENCIA_2002_71" w:history="1">
        <w:r w:rsidRPr="007F4918">
          <w:rPr>
            <w:rStyle w:val="TextoNormalCaracter"/>
          </w:rPr>
          <w:t>71/2002</w:t>
        </w:r>
      </w:hyperlink>
      <w:r>
        <w:t>, f. 6.</w:t>
      </w:r>
    </w:p>
    <w:p w:rsidR="007F4918" w:rsidRDefault="007F4918" w:rsidP="007F4918">
      <w:pPr>
        <w:pStyle w:val="SangriaFrancesaArticulo"/>
      </w:pPr>
      <w:r w:rsidRPr="007F4918">
        <w:rPr>
          <w:rStyle w:val="TextoNormalNegritaCaracter"/>
        </w:rPr>
        <w:t>Artículo 217.</w:t>
      </w:r>
      <w:r w:rsidRPr="007F4918">
        <w:rPr>
          <w:rStyle w:val="TextoNormalCaracter"/>
        </w:rPr>
        <w:t>-</w:t>
      </w:r>
      <w:r>
        <w:t xml:space="preserve"> Sentencias </w:t>
      </w:r>
      <w:hyperlink w:anchor="SENTENCIA_2002_48" w:history="1">
        <w:r w:rsidRPr="007F4918">
          <w:rPr>
            <w:rStyle w:val="TextoNormalCaracter"/>
          </w:rPr>
          <w:t>48/2002</w:t>
        </w:r>
      </w:hyperlink>
      <w:r>
        <w:t xml:space="preserve">, ff. 1, 3; </w:t>
      </w:r>
      <w:hyperlink w:anchor="SENTENCIA_2002_61" w:history="1">
        <w:r w:rsidRPr="007F4918">
          <w:rPr>
            <w:rStyle w:val="TextoNormalCaracter"/>
          </w:rPr>
          <w:t>61/2002</w:t>
        </w:r>
      </w:hyperlink>
      <w:r>
        <w:t>, f. 2.</w:t>
      </w:r>
    </w:p>
    <w:p w:rsidR="007F4918" w:rsidRDefault="007F4918" w:rsidP="007F4918">
      <w:pPr>
        <w:pStyle w:val="SangriaFrancesaArticulo"/>
      </w:pPr>
      <w:r w:rsidRPr="007F4918">
        <w:rPr>
          <w:rStyle w:val="TextoNormalNegritaCaracter"/>
        </w:rPr>
        <w:t>Artículo 222.</w:t>
      </w:r>
      <w:r w:rsidRPr="007F4918">
        <w:rPr>
          <w:rStyle w:val="TextoNormalCaracter"/>
        </w:rPr>
        <w:t>-</w:t>
      </w:r>
      <w:r>
        <w:t xml:space="preserve"> Sentencia </w:t>
      </w:r>
      <w:hyperlink w:anchor="SENTENCIA_2002_61" w:history="1">
        <w:r w:rsidRPr="007F4918">
          <w:rPr>
            <w:rStyle w:val="TextoNormalCaracter"/>
          </w:rPr>
          <w:t>61/2002</w:t>
        </w:r>
      </w:hyperlink>
      <w:r>
        <w:t>, f. 2.</w:t>
      </w:r>
    </w:p>
    <w:p w:rsidR="007F4918" w:rsidRDefault="007F4918" w:rsidP="007F4918">
      <w:pPr>
        <w:pStyle w:val="SangriaFrancesaArticulo"/>
      </w:pPr>
      <w:r w:rsidRPr="007F4918">
        <w:rPr>
          <w:rStyle w:val="TextoNormalNegritaCaracter"/>
        </w:rPr>
        <w:t>Artículo 223.</w:t>
      </w:r>
      <w:r w:rsidRPr="007F4918">
        <w:rPr>
          <w:rStyle w:val="TextoNormalCaracter"/>
        </w:rPr>
        <w:t>-</w:t>
      </w:r>
      <w:r>
        <w:t xml:space="preserve"> Sentencia </w:t>
      </w:r>
      <w:hyperlink w:anchor="SENTENCIA_2002_48" w:history="1">
        <w:r w:rsidRPr="007F4918">
          <w:rPr>
            <w:rStyle w:val="TextoNormalCaracter"/>
          </w:rPr>
          <w:t>48/2002</w:t>
        </w:r>
      </w:hyperlink>
      <w:r>
        <w:t>, f. 3.</w:t>
      </w:r>
    </w:p>
    <w:p w:rsidR="007F4918" w:rsidRDefault="007F4918" w:rsidP="007F4918">
      <w:pPr>
        <w:pStyle w:val="TextoNormal"/>
      </w:pPr>
    </w:p>
    <w:p w:rsidR="007F4918" w:rsidRDefault="007F4918" w:rsidP="007F4918">
      <w:pPr>
        <w:pStyle w:val="SangriaFrancesaArticulo"/>
      </w:pPr>
      <w:bookmarkStart w:id="184" w:name="INDICE22848"/>
    </w:p>
    <w:bookmarkEnd w:id="184"/>
    <w:p w:rsidR="007F4918" w:rsidRDefault="007F4918" w:rsidP="007F4918">
      <w:pPr>
        <w:pStyle w:val="TextoIndiceNivel2"/>
        <w:suppressAutoHyphens/>
      </w:pPr>
      <w:r>
        <w:t>G) Reales Decretos-leyes</w:t>
      </w:r>
    </w:p>
    <w:p w:rsidR="007F4918" w:rsidRDefault="007F4918" w:rsidP="007F4918">
      <w:pPr>
        <w:pStyle w:val="TextoIndiceNivel2"/>
      </w:pPr>
    </w:p>
    <w:p w:rsidR="007F4918" w:rsidRDefault="007F4918" w:rsidP="007F4918">
      <w:pPr>
        <w:pStyle w:val="TextoNormalNegritaCursivandice"/>
      </w:pPr>
      <w:r>
        <w:t>Real Decreto-ley 8/1994, de 5 de agosto. Supresión de las Cámaras Oficiales de la Propiedad Urbana y su Consejo Superior como Corporaciones de derecho público y régimen y destino de su patrimonio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ff. 1, 3 a 6, 8 a 11.</w:t>
      </w:r>
    </w:p>
    <w:p w:rsidR="007F4918" w:rsidRDefault="007F4918" w:rsidP="007F4918">
      <w:pPr>
        <w:pStyle w:val="SangriaFrancesaArticulo"/>
      </w:pPr>
      <w:r w:rsidRPr="007F4918">
        <w:rPr>
          <w:rStyle w:val="TextoNormalNegritaCaracter"/>
        </w:rPr>
        <w:t>Exposición de motivos.</w:t>
      </w:r>
      <w:r w:rsidRPr="007F4918">
        <w:rPr>
          <w:rStyle w:val="TextoNormalCaracter"/>
        </w:rPr>
        <w:t>-</w:t>
      </w:r>
      <w:r>
        <w:t xml:space="preserve"> Sentencia </w:t>
      </w:r>
      <w:hyperlink w:anchor="SENTENCIA_2002_11" w:history="1">
        <w:r w:rsidRPr="007F4918">
          <w:rPr>
            <w:rStyle w:val="TextoNormalCaracter"/>
          </w:rPr>
          <w:t>11/2002</w:t>
        </w:r>
      </w:hyperlink>
      <w:r>
        <w:t>, ff. 4 a 6, VP II.</w:t>
      </w:r>
    </w:p>
    <w:p w:rsidR="007F4918" w:rsidRDefault="007F4918" w:rsidP="007F4918">
      <w:pPr>
        <w:pStyle w:val="SangriaFrancesaArticulo"/>
      </w:pPr>
      <w:r w:rsidRPr="007F4918">
        <w:rPr>
          <w:rStyle w:val="TextoNormalNegritaCaracter"/>
        </w:rPr>
        <w:t>Artículo único.</w:t>
      </w:r>
      <w:r w:rsidRPr="007F4918">
        <w:rPr>
          <w:rStyle w:val="TextoNormalCaracter"/>
        </w:rPr>
        <w:t>-</w:t>
      </w:r>
      <w:r>
        <w:t xml:space="preserve"> Sentencia </w:t>
      </w:r>
      <w:hyperlink w:anchor="SENTENCIA_2002_11" w:history="1">
        <w:r w:rsidRPr="007F4918">
          <w:rPr>
            <w:rStyle w:val="TextoNormalCaracter"/>
          </w:rPr>
          <w:t>11/2002</w:t>
        </w:r>
      </w:hyperlink>
      <w:r>
        <w:t>, f. 1.</w:t>
      </w:r>
    </w:p>
    <w:p w:rsidR="007F4918" w:rsidRDefault="007F4918" w:rsidP="007F4918">
      <w:pPr>
        <w:pStyle w:val="SangriaFrancesaArticulo"/>
      </w:pPr>
      <w:r w:rsidRPr="007F4918">
        <w:rPr>
          <w:rStyle w:val="TextoNormalNegritaCaracter"/>
        </w:rPr>
        <w:t>Disposición adicional única.</w:t>
      </w:r>
      <w:r w:rsidRPr="007F4918">
        <w:rPr>
          <w:rStyle w:val="TextoNormalCaracter"/>
        </w:rPr>
        <w:t>-</w:t>
      </w:r>
      <w:r>
        <w:t xml:space="preserve"> Sentencia </w:t>
      </w:r>
      <w:hyperlink w:anchor="SENTENCIA_2002_11" w:history="1">
        <w:r w:rsidRPr="007F4918">
          <w:rPr>
            <w:rStyle w:val="TextoNormalCaracter"/>
          </w:rPr>
          <w:t>11/2002</w:t>
        </w:r>
      </w:hyperlink>
      <w:r>
        <w:t>, ff. 1, 3, 7, 9, 10, VP I.</w:t>
      </w:r>
    </w:p>
    <w:p w:rsidR="007F4918" w:rsidRDefault="007F4918" w:rsidP="007F4918">
      <w:pPr>
        <w:pStyle w:val="SangriaFrancesaArticulo"/>
      </w:pPr>
      <w:r w:rsidRPr="007F4918">
        <w:rPr>
          <w:rStyle w:val="TextoNormalNegritaCaracter"/>
        </w:rPr>
        <w:t>Disposición adicional única, apartado 1.</w:t>
      </w:r>
      <w:r w:rsidRPr="007F4918">
        <w:rPr>
          <w:rStyle w:val="TextoNormalCaracter"/>
        </w:rPr>
        <w:t>-</w:t>
      </w:r>
      <w:r>
        <w:t xml:space="preserve"> Sentencia </w:t>
      </w:r>
      <w:hyperlink w:anchor="SENTENCIA_2002_11" w:history="1">
        <w:r w:rsidRPr="007F4918">
          <w:rPr>
            <w:rStyle w:val="TextoNormalCaracter"/>
          </w:rPr>
          <w:t>11/2002</w:t>
        </w:r>
      </w:hyperlink>
      <w:r>
        <w:t>, f. 9.</w:t>
      </w:r>
    </w:p>
    <w:p w:rsidR="007F4918" w:rsidRDefault="007F4918" w:rsidP="007F4918">
      <w:pPr>
        <w:pStyle w:val="SangriaFrancesaArticulo"/>
      </w:pPr>
      <w:r w:rsidRPr="007F4918">
        <w:rPr>
          <w:rStyle w:val="TextoNormalNegritaCaracter"/>
        </w:rPr>
        <w:t>Disposición transitoria única.</w:t>
      </w:r>
      <w:r w:rsidRPr="007F4918">
        <w:rPr>
          <w:rStyle w:val="TextoNormalCaracter"/>
        </w:rPr>
        <w:t>-</w:t>
      </w:r>
      <w:r>
        <w:t xml:space="preserve"> Sentencia </w:t>
      </w:r>
      <w:hyperlink w:anchor="SENTENCIA_2002_11" w:history="1">
        <w:r w:rsidRPr="007F4918">
          <w:rPr>
            <w:rStyle w:val="TextoNormalCaracter"/>
          </w:rPr>
          <w:t>11/2002</w:t>
        </w:r>
      </w:hyperlink>
      <w:r>
        <w:t>, ff. 1, 7, VP II.</w:t>
      </w:r>
    </w:p>
    <w:p w:rsidR="007F4918" w:rsidRDefault="007F4918" w:rsidP="007F4918">
      <w:pPr>
        <w:pStyle w:val="SangriaFrancesaArticulo"/>
      </w:pPr>
      <w:r w:rsidRPr="007F4918">
        <w:rPr>
          <w:rStyle w:val="TextoNormalNegritaCaracter"/>
        </w:rPr>
        <w:t>Disposición final primera.</w:t>
      </w:r>
      <w:r w:rsidRPr="007F4918">
        <w:rPr>
          <w:rStyle w:val="TextoNormalCaracter"/>
        </w:rPr>
        <w:t>-</w:t>
      </w:r>
      <w:r>
        <w:t xml:space="preserve"> Sentencia </w:t>
      </w:r>
      <w:hyperlink w:anchor="SENTENCIA_2002_11" w:history="1">
        <w:r w:rsidRPr="007F4918">
          <w:rPr>
            <w:rStyle w:val="TextoNormalCaracter"/>
          </w:rPr>
          <w:t>11/2002</w:t>
        </w:r>
      </w:hyperlink>
      <w:r>
        <w:t>, ff. 1, 3.</w:t>
      </w:r>
    </w:p>
    <w:p w:rsidR="007F4918" w:rsidRDefault="007F4918" w:rsidP="007F4918">
      <w:pPr>
        <w:pStyle w:val="SangriaFrancesaArticulo"/>
      </w:pPr>
      <w:r w:rsidRPr="007F4918">
        <w:rPr>
          <w:rStyle w:val="TextoNormalNegritaCaracter"/>
        </w:rPr>
        <w:t>Disposición final segunda.</w:t>
      </w:r>
      <w:r w:rsidRPr="007F4918">
        <w:rPr>
          <w:rStyle w:val="TextoNormalCaracter"/>
        </w:rPr>
        <w:t>-</w:t>
      </w:r>
      <w:r>
        <w:t xml:space="preserve"> Sentencia </w:t>
      </w:r>
      <w:hyperlink w:anchor="SENTENCIA_2002_11" w:history="1">
        <w:r w:rsidRPr="007F4918">
          <w:rPr>
            <w:rStyle w:val="TextoNormalCaracter"/>
          </w:rPr>
          <w:t>11/2002</w:t>
        </w:r>
      </w:hyperlink>
      <w:r>
        <w:t>, f. 1.</w:t>
      </w:r>
    </w:p>
    <w:p w:rsidR="007F4918" w:rsidRDefault="007F4918" w:rsidP="007F4918">
      <w:pPr>
        <w:pStyle w:val="SangriaFrancesaArticulo"/>
      </w:pPr>
    </w:p>
    <w:p w:rsidR="007F4918" w:rsidRDefault="007F4918" w:rsidP="007F4918">
      <w:pPr>
        <w:pStyle w:val="TextoNormalNegritaCursivandice"/>
      </w:pPr>
      <w:r>
        <w:t>Real Decreto-ley 12/1995, de 28 de diciembre. Medidas urgentes en materia presupuestaria, tributaria y financiera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ff. 3, 6, 7.</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24" w:history="1">
        <w:r w:rsidRPr="007F4918">
          <w:rPr>
            <w:rStyle w:val="TextoNormalCaracter"/>
          </w:rPr>
          <w:t>24/2002</w:t>
        </w:r>
      </w:hyperlink>
      <w:r>
        <w:t>, f. 7.</w:t>
      </w:r>
    </w:p>
    <w:p w:rsidR="007F4918" w:rsidRDefault="007F4918" w:rsidP="007F4918">
      <w:pPr>
        <w:pStyle w:val="SangriaFrancesaArticulo"/>
      </w:pPr>
      <w:r w:rsidRPr="007F4918">
        <w:rPr>
          <w:rStyle w:val="TextoNormalNegritaCaracter"/>
        </w:rPr>
        <w:t>Artículo 4.</w:t>
      </w:r>
      <w:r w:rsidRPr="007F4918">
        <w:rPr>
          <w:rStyle w:val="TextoNormalCaracter"/>
        </w:rPr>
        <w:t>-</w:t>
      </w:r>
      <w:r>
        <w:t xml:space="preserve"> Sentencia </w:t>
      </w:r>
      <w:hyperlink w:anchor="SENTENCIA_2002_24" w:history="1">
        <w:r w:rsidRPr="007F4918">
          <w:rPr>
            <w:rStyle w:val="TextoNormalCaracter"/>
          </w:rPr>
          <w:t>24/2002</w:t>
        </w:r>
      </w:hyperlink>
      <w:r>
        <w:t>, ff. 2 a 4.</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 </w:t>
      </w:r>
      <w:hyperlink w:anchor="SENTENCIA_2002_24" w:history="1">
        <w:r w:rsidRPr="007F4918">
          <w:rPr>
            <w:rStyle w:val="TextoNormalCaracter"/>
          </w:rPr>
          <w:t>24/2002</w:t>
        </w:r>
      </w:hyperlink>
      <w:r>
        <w:t>, ff. 6, 7.</w:t>
      </w:r>
    </w:p>
    <w:p w:rsidR="007F4918" w:rsidRDefault="007F4918" w:rsidP="007F4918">
      <w:pPr>
        <w:pStyle w:val="SangriaFrancesaArticulo"/>
      </w:pPr>
      <w:r w:rsidRPr="007F4918">
        <w:rPr>
          <w:rStyle w:val="TextoNormalNegritaCaracter"/>
        </w:rPr>
        <w:t>Artículo 4.2.</w:t>
      </w:r>
      <w:r w:rsidRPr="007F4918">
        <w:rPr>
          <w:rStyle w:val="TextoNormalCaracter"/>
        </w:rPr>
        <w:t>-</w:t>
      </w:r>
      <w:r>
        <w:t xml:space="preserve"> Sentencia </w:t>
      </w:r>
      <w:hyperlink w:anchor="SENTENCIA_2002_24" w:history="1">
        <w:r w:rsidRPr="007F4918">
          <w:rPr>
            <w:rStyle w:val="TextoNormalCaracter"/>
          </w:rPr>
          <w:t>24/2002</w:t>
        </w:r>
      </w:hyperlink>
      <w:r>
        <w:t>, ff. 1, 3.</w:t>
      </w:r>
    </w:p>
    <w:p w:rsidR="007F4918" w:rsidRDefault="007F4918" w:rsidP="007F4918">
      <w:pPr>
        <w:pStyle w:val="SangriaFrancesaArticulo"/>
      </w:pPr>
    </w:p>
    <w:p w:rsidR="007F4918" w:rsidRDefault="007F4918" w:rsidP="007F4918">
      <w:pPr>
        <w:pStyle w:val="TextoNormalNegritaCursivandice"/>
      </w:pPr>
      <w:r>
        <w:t>Real Decreto-ley 5/1996, de 7 de junio. Medidas liberalizadoras en materia de suelo y de colegios profesionales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2.</w:t>
      </w:r>
    </w:p>
    <w:p w:rsidR="007F4918" w:rsidRDefault="007F4918" w:rsidP="007F4918">
      <w:pPr>
        <w:pStyle w:val="SangriaFrancesaArticulo"/>
      </w:pPr>
      <w:r w:rsidRPr="007F4918">
        <w:rPr>
          <w:rStyle w:val="TextoNormalNegritaCaracter"/>
        </w:rPr>
        <w:t>Artículo 2.1.</w:t>
      </w:r>
      <w:r w:rsidRPr="007F4918">
        <w:rPr>
          <w:rStyle w:val="TextoNormalCaracter"/>
        </w:rPr>
        <w:t>-</w:t>
      </w:r>
      <w:r>
        <w:t xml:space="preserve"> Sentencia </w:t>
      </w:r>
      <w:hyperlink w:anchor="SENTENCIA_2002_54" w:history="1">
        <w:r w:rsidRPr="007F4918">
          <w:rPr>
            <w:rStyle w:val="TextoNormalCaracter"/>
          </w:rPr>
          <w:t>54/2002</w:t>
        </w:r>
      </w:hyperlink>
      <w:r>
        <w:t>, ff. 2, 5.</w:t>
      </w:r>
    </w:p>
    <w:p w:rsidR="007F4918" w:rsidRDefault="007F4918" w:rsidP="007F4918">
      <w:pPr>
        <w:pStyle w:val="SangriaFrancesaArticulo"/>
      </w:pPr>
    </w:p>
    <w:p w:rsidR="007F4918" w:rsidRDefault="007F4918" w:rsidP="007F4918">
      <w:pPr>
        <w:pStyle w:val="TextoNormalNegritaCursivandice"/>
      </w:pPr>
      <w:r>
        <w:t>Real Decreto-ley 6/2000, de 23 de junio.  Medidas urgentes de intensificación de la competencia en mercados de bienes y servicios</w:t>
      </w:r>
    </w:p>
    <w:p w:rsidR="007F4918" w:rsidRDefault="007F4918" w:rsidP="007F4918">
      <w:pPr>
        <w:pStyle w:val="SangriaFrancesaArticulo"/>
      </w:pPr>
      <w:r w:rsidRPr="007F4918">
        <w:rPr>
          <w:rStyle w:val="TextoNormalNegritaCaracter"/>
        </w:rPr>
        <w:t>Artículo 43.</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43.2.</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43.4.</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TextoNormal"/>
      </w:pPr>
    </w:p>
    <w:p w:rsidR="007F4918" w:rsidRDefault="007F4918" w:rsidP="007F4918">
      <w:pPr>
        <w:pStyle w:val="SangriaFrancesaArticulo"/>
      </w:pPr>
      <w:bookmarkStart w:id="185" w:name="INDICE22849"/>
    </w:p>
    <w:bookmarkEnd w:id="185"/>
    <w:p w:rsidR="007F4918" w:rsidRDefault="007F4918" w:rsidP="007F4918">
      <w:pPr>
        <w:pStyle w:val="TextoIndiceNivel2"/>
        <w:suppressAutoHyphens/>
      </w:pPr>
      <w:r>
        <w:t>H) Reales Decretos y otras disposiciones generales del Estado</w:t>
      </w:r>
    </w:p>
    <w:p w:rsidR="007F4918" w:rsidRDefault="007F4918" w:rsidP="007F4918">
      <w:pPr>
        <w:pStyle w:val="TextoIndiceNivel2"/>
      </w:pPr>
    </w:p>
    <w:p w:rsidR="007F4918" w:rsidRDefault="007F4918" w:rsidP="007F4918">
      <w:pPr>
        <w:pStyle w:val="TextoNormalNegritaCursivandice"/>
      </w:pPr>
      <w:r>
        <w:t>Real Decreto 681/1980, de 28 de marzo. Ordenación de la actividad pesquera marítima nacional</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3 g).</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lastRenderedPageBreak/>
        <w:t>Orden del Ministerio de Agricultura, Pesca y Alimentación, de 11 de mayo de 1982.  Regula la actividad de repoblación marítima.</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18.</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19.</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20.</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t>Real Decreto 3256/1982, de 15 de octubre. Traspaso de servicios del Estado a la Comunidad Autónoma del País Vasco en materia de ejecución de la legislación del Estado sobre tráfico y circulación de vehículos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p>
    <w:p w:rsidR="007F4918" w:rsidRDefault="007F4918" w:rsidP="007F4918">
      <w:pPr>
        <w:pStyle w:val="TextoNormalNegritaCursivandice"/>
      </w:pPr>
      <w:r>
        <w:t>Real Decreto 335/1984, de 8 de febrero. Regulación de los fondos de promoción de empleo</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p>
    <w:p w:rsidR="007F4918" w:rsidRDefault="007F4918" w:rsidP="007F4918">
      <w:pPr>
        <w:pStyle w:val="TextoNormalNegritaCursivandice"/>
      </w:pPr>
      <w:r>
        <w:t>Real Decreto 1314/1984, de 20 de junio. Regulación de la estructura y competencias de la Tesorería General de la Seguridad Social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61" w:history="1">
        <w:r w:rsidRPr="007F4918">
          <w:rPr>
            <w:rStyle w:val="TextoNormalCaracter"/>
          </w:rPr>
          <w:t>61/2002</w:t>
        </w:r>
      </w:hyperlink>
      <w:r>
        <w:t>, f. 5.</w:t>
      </w:r>
    </w:p>
    <w:p w:rsidR="007F4918" w:rsidRDefault="007F4918" w:rsidP="007F4918">
      <w:pPr>
        <w:pStyle w:val="SangriaFrancesaArticulo"/>
      </w:pPr>
    </w:p>
    <w:p w:rsidR="007F4918" w:rsidRDefault="007F4918" w:rsidP="007F4918">
      <w:pPr>
        <w:pStyle w:val="TextoNormalNegritaCursivandice"/>
      </w:pPr>
      <w:r>
        <w:t>Real Decreto 180/1985, de 13 de febrero. Regulación del fondo de solidaridad que se crea en la disposición adicional decimonovena de la Ley 50/1984, de 30 de diciembre, de presupuestos generales del Estado para 1985</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p>
    <w:p w:rsidR="007F4918" w:rsidRDefault="007F4918" w:rsidP="007F4918">
      <w:pPr>
        <w:pStyle w:val="TextoNormalNegritaCursivandice"/>
      </w:pPr>
      <w:r>
        <w:t>Real Decreto 598/1985, de 30 de abril. Incompatibilidades del personal al servicio de las Administraciones públicas: Desarrolla parcialmente la Ley 53/1984, de 26 de diciembre</w:t>
      </w:r>
    </w:p>
    <w:p w:rsidR="007F4918" w:rsidRDefault="007F4918" w:rsidP="007F4918">
      <w:pPr>
        <w:pStyle w:val="SangriaFrancesaArticulo"/>
      </w:pPr>
      <w:r w:rsidRPr="007F4918">
        <w:rPr>
          <w:rStyle w:val="TextoNormalNegritaCaracter"/>
        </w:rPr>
        <w:t>Artículo 15.1.</w:t>
      </w:r>
      <w:r w:rsidRPr="007F4918">
        <w:rPr>
          <w:rStyle w:val="TextoNormalCaracter"/>
        </w:rPr>
        <w:t>-</w:t>
      </w:r>
      <w:r>
        <w:t xml:space="preserve"> Sentencia </w:t>
      </w:r>
      <w:hyperlink w:anchor="SENTENCIA_2002_67" w:history="1">
        <w:r w:rsidRPr="007F4918">
          <w:rPr>
            <w:rStyle w:val="TextoNormalCaracter"/>
          </w:rPr>
          <w:t>67/2002</w:t>
        </w:r>
      </w:hyperlink>
      <w:r>
        <w:t>, f. 2.</w:t>
      </w:r>
    </w:p>
    <w:p w:rsidR="007F4918" w:rsidRDefault="007F4918" w:rsidP="007F4918">
      <w:pPr>
        <w:pStyle w:val="SangriaFrancesaArticulo"/>
      </w:pPr>
      <w:r w:rsidRPr="007F4918">
        <w:rPr>
          <w:rStyle w:val="TextoNormalNegritaCaracter"/>
        </w:rPr>
        <w:t>Artículo 16.1.</w:t>
      </w:r>
      <w:r w:rsidRPr="007F4918">
        <w:rPr>
          <w:rStyle w:val="TextoNormalCaracter"/>
        </w:rPr>
        <w:t>-</w:t>
      </w:r>
      <w:r>
        <w:t xml:space="preserve"> Sentencia </w:t>
      </w:r>
      <w:hyperlink w:anchor="SENTENCIA_2002_67" w:history="1">
        <w:r w:rsidRPr="007F4918">
          <w:rPr>
            <w:rStyle w:val="TextoNormalCaracter"/>
          </w:rPr>
          <w:t>67/2002</w:t>
        </w:r>
      </w:hyperlink>
      <w:r>
        <w:t>, f. 2.</w:t>
      </w:r>
    </w:p>
    <w:p w:rsidR="007F4918" w:rsidRDefault="007F4918" w:rsidP="007F4918">
      <w:pPr>
        <w:pStyle w:val="SangriaFrancesaArticulo"/>
      </w:pPr>
    </w:p>
    <w:p w:rsidR="007F4918" w:rsidRDefault="007F4918" w:rsidP="007F4918">
      <w:pPr>
        <w:pStyle w:val="TextoNormalNegritaCursivandice"/>
      </w:pPr>
      <w:r>
        <w:t>Orden del Ministerio de Agricultura, Pesca y Alimentación, de 4 de abril de 1986.  Establece una reserva marina en la Isla de Tabarca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t>Orden del Ministerio del Interior, de 29 de marzo de 1989. Plan básico de emergencia nuclear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5" w:history="1">
        <w:r w:rsidRPr="007F4918">
          <w:rPr>
            <w:rStyle w:val="TextoNormalCaracter"/>
          </w:rPr>
          <w:t>25/2002</w:t>
        </w:r>
      </w:hyperlink>
      <w:r>
        <w:t>, ff. 1 a 3.</w:t>
      </w:r>
    </w:p>
    <w:p w:rsidR="007F4918" w:rsidRDefault="007F4918" w:rsidP="007F4918">
      <w:pPr>
        <w:pStyle w:val="SangriaFrancesaArticulo"/>
      </w:pPr>
      <w:r w:rsidRPr="007F4918">
        <w:rPr>
          <w:rStyle w:val="TextoNormalNegritaCaracter"/>
        </w:rPr>
        <w:t>Anexo II, I. Bases.</w:t>
      </w:r>
      <w:r w:rsidRPr="007F4918">
        <w:rPr>
          <w:rStyle w:val="TextoNormalCaracter"/>
        </w:rPr>
        <w:t>-</w:t>
      </w:r>
      <w:r>
        <w:t xml:space="preserve"> Sentencia </w:t>
      </w:r>
      <w:hyperlink w:anchor="SENTENCIA_2002_25" w:history="1">
        <w:r w:rsidRPr="007F4918">
          <w:rPr>
            <w:rStyle w:val="TextoNormalCaracter"/>
          </w:rPr>
          <w:t>25/2002</w:t>
        </w:r>
      </w:hyperlink>
      <w:r>
        <w:t>, f. 5.</w:t>
      </w:r>
    </w:p>
    <w:p w:rsidR="007F4918" w:rsidRDefault="007F4918" w:rsidP="007F4918">
      <w:pPr>
        <w:pStyle w:val="SangriaFrancesaArticulo"/>
      </w:pPr>
      <w:r w:rsidRPr="007F4918">
        <w:rPr>
          <w:rStyle w:val="TextoNormalNegritaCaracter"/>
        </w:rPr>
        <w:t>Anexo II, I.3 A).</w:t>
      </w:r>
      <w:r w:rsidRPr="007F4918">
        <w:rPr>
          <w:rStyle w:val="TextoNormalCaracter"/>
        </w:rPr>
        <w:t>-</w:t>
      </w:r>
      <w:r>
        <w:t xml:space="preserve"> Sentencia </w:t>
      </w:r>
      <w:hyperlink w:anchor="SENTENCIA_2002_25" w:history="1">
        <w:r w:rsidRPr="007F4918">
          <w:rPr>
            <w:rStyle w:val="TextoNormalCaracter"/>
          </w:rPr>
          <w:t>25/2002</w:t>
        </w:r>
      </w:hyperlink>
      <w:r>
        <w:t>, f. 5.</w:t>
      </w:r>
    </w:p>
    <w:p w:rsidR="007F4918" w:rsidRDefault="007F4918" w:rsidP="007F4918">
      <w:pPr>
        <w:pStyle w:val="SangriaFrancesaArticulo"/>
      </w:pPr>
      <w:r w:rsidRPr="007F4918">
        <w:rPr>
          <w:rStyle w:val="TextoNormalNegritaCaracter"/>
        </w:rPr>
        <w:t>Anexo II, III.</w:t>
      </w:r>
      <w:r w:rsidRPr="007F4918">
        <w:rPr>
          <w:rStyle w:val="TextoNormalCaracter"/>
        </w:rPr>
        <w:t>-</w:t>
      </w:r>
      <w:r>
        <w:t xml:space="preserve"> Sentencia </w:t>
      </w:r>
      <w:hyperlink w:anchor="SENTENCIA_2002_25" w:history="1">
        <w:r w:rsidRPr="007F4918">
          <w:rPr>
            <w:rStyle w:val="TextoNormalCaracter"/>
          </w:rPr>
          <w:t>25/2002</w:t>
        </w:r>
      </w:hyperlink>
      <w:r>
        <w:t>, f. 5.</w:t>
      </w:r>
    </w:p>
    <w:p w:rsidR="007F4918" w:rsidRDefault="007F4918" w:rsidP="007F4918">
      <w:pPr>
        <w:pStyle w:val="SangriaFrancesaArticulo"/>
      </w:pPr>
      <w:r w:rsidRPr="007F4918">
        <w:rPr>
          <w:rStyle w:val="TextoNormalNegritaCaracter"/>
        </w:rPr>
        <w:t>Anexo II, III.1.1.</w:t>
      </w:r>
      <w:r w:rsidRPr="007F4918">
        <w:rPr>
          <w:rStyle w:val="TextoNormalCaracter"/>
        </w:rPr>
        <w:t>-</w:t>
      </w:r>
      <w:r>
        <w:t xml:space="preserve"> Sentencia </w:t>
      </w:r>
      <w:hyperlink w:anchor="SENTENCIA_2002_25" w:history="1">
        <w:r w:rsidRPr="007F4918">
          <w:rPr>
            <w:rStyle w:val="TextoNormalCaracter"/>
          </w:rPr>
          <w:t>25/2002</w:t>
        </w:r>
      </w:hyperlink>
      <w:r>
        <w:t>, ff. 3, 5.</w:t>
      </w:r>
    </w:p>
    <w:p w:rsidR="007F4918" w:rsidRDefault="007F4918" w:rsidP="007F4918">
      <w:pPr>
        <w:pStyle w:val="SangriaFrancesaArticulo"/>
      </w:pPr>
    </w:p>
    <w:p w:rsidR="007F4918" w:rsidRDefault="007F4918" w:rsidP="007F4918">
      <w:pPr>
        <w:pStyle w:val="TextoNormalNegritaCursivandice"/>
      </w:pPr>
      <w:r>
        <w:t>Real Decreto 1618/1990, de 14 de diciembre. Regulación del plan nacional de formación e inserción profesional</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p>
    <w:p w:rsidR="007F4918" w:rsidRDefault="007F4918" w:rsidP="007F4918">
      <w:pPr>
        <w:pStyle w:val="TextoNormalNegritaCursivandice"/>
      </w:pPr>
      <w:r>
        <w:t>Real Decreto 1577/1991, de 18 de octubre. Traspaso de la gestión de la formación profesional ocupacional a la Generalidad de Cataluña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14.</w:t>
      </w:r>
    </w:p>
    <w:p w:rsidR="007F4918" w:rsidRDefault="007F4918" w:rsidP="007F4918">
      <w:pPr>
        <w:pStyle w:val="SangriaFrancesaArticulo"/>
      </w:pPr>
      <w:r w:rsidRPr="007F4918">
        <w:rPr>
          <w:rStyle w:val="TextoNormalNegritaCaracter"/>
        </w:rPr>
        <w:t>Anexo B), apartado 1.</w:t>
      </w:r>
      <w:r w:rsidRPr="007F4918">
        <w:rPr>
          <w:rStyle w:val="TextoNormalCaracter"/>
        </w:rPr>
        <w:t>-</w:t>
      </w:r>
      <w:r>
        <w:t xml:space="preserve"> Sentencia </w:t>
      </w:r>
      <w:hyperlink w:anchor="SENTENCIA_2002_95" w:history="1">
        <w:r w:rsidRPr="007F4918">
          <w:rPr>
            <w:rStyle w:val="TextoNormalCaracter"/>
          </w:rPr>
          <w:t>95/2002</w:t>
        </w:r>
      </w:hyperlink>
      <w:r>
        <w:t>, f. 14.</w:t>
      </w:r>
    </w:p>
    <w:p w:rsidR="007F4918" w:rsidRDefault="007F4918" w:rsidP="007F4918">
      <w:pPr>
        <w:pStyle w:val="SangriaFrancesaArticulo"/>
      </w:pPr>
      <w:r w:rsidRPr="007F4918">
        <w:rPr>
          <w:rStyle w:val="TextoNormalNegritaCaracter"/>
        </w:rPr>
        <w:t>Anexo B), apartado 2.</w:t>
      </w:r>
      <w:r w:rsidRPr="007F4918">
        <w:rPr>
          <w:rStyle w:val="TextoNormalCaracter"/>
        </w:rPr>
        <w:t>-</w:t>
      </w:r>
      <w:r>
        <w:t xml:space="preserve"> Sentencia </w:t>
      </w:r>
      <w:hyperlink w:anchor="SENTENCIA_2002_95" w:history="1">
        <w:r w:rsidRPr="007F4918">
          <w:rPr>
            <w:rStyle w:val="TextoNormalCaracter"/>
          </w:rPr>
          <w:t>95/2002</w:t>
        </w:r>
      </w:hyperlink>
      <w:r>
        <w:t>, f. 16.</w:t>
      </w:r>
    </w:p>
    <w:p w:rsidR="007F4918" w:rsidRDefault="007F4918" w:rsidP="007F4918">
      <w:pPr>
        <w:pStyle w:val="SangriaFrancesaArticulo"/>
      </w:pPr>
    </w:p>
    <w:p w:rsidR="007F4918" w:rsidRDefault="007F4918" w:rsidP="007F4918">
      <w:pPr>
        <w:pStyle w:val="TextoNormalNegritaCursivandice"/>
      </w:pPr>
      <w:r>
        <w:t>Real Decreto 1816/1991, de 20 de diciembre. Transacciones económicas con el exterior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5" w:history="1">
        <w:r w:rsidRPr="007F4918">
          <w:rPr>
            <w:rStyle w:val="TextoNormalCaracter"/>
          </w:rPr>
          <w:t>75/2002</w:t>
        </w:r>
      </w:hyperlink>
      <w:r>
        <w:t>, f. 5.</w:t>
      </w:r>
    </w:p>
    <w:p w:rsidR="007F4918" w:rsidRDefault="007F4918" w:rsidP="007F4918">
      <w:pPr>
        <w:pStyle w:val="SangriaFrancesaArticulo"/>
      </w:pPr>
      <w:r w:rsidRPr="007F4918">
        <w:rPr>
          <w:rStyle w:val="TextoNormalNegritaCaracter"/>
        </w:rPr>
        <w:t>Artículo 4</w:t>
      </w:r>
      <w:r>
        <w:t xml:space="preserve"> </w:t>
      </w:r>
      <w:r w:rsidRPr="007F4918">
        <w:rPr>
          <w:rStyle w:val="TextoNormalCaracter"/>
        </w:rPr>
        <w:t>(redactado por el Real Decreto 1638/1996, de 5 de julio)</w:t>
      </w:r>
      <w:r w:rsidRPr="007F4918">
        <w:rPr>
          <w:rStyle w:val="TextoNormalNegritaCaracter"/>
        </w:rPr>
        <w:t>.</w:t>
      </w:r>
      <w:r w:rsidRPr="007F4918">
        <w:rPr>
          <w:rStyle w:val="TextoNormalCaracter"/>
        </w:rPr>
        <w:t>-</w:t>
      </w:r>
      <w:r>
        <w:t xml:space="preserve"> Sentencia </w:t>
      </w:r>
      <w:hyperlink w:anchor="SENTENCIA_2002_75" w:history="1">
        <w:r w:rsidRPr="007F4918">
          <w:rPr>
            <w:rStyle w:val="TextoNormalCaracter"/>
          </w:rPr>
          <w:t>75/2002</w:t>
        </w:r>
      </w:hyperlink>
      <w:r>
        <w:t>, f. 5.</w:t>
      </w:r>
    </w:p>
    <w:p w:rsidR="007F4918" w:rsidRDefault="007F4918" w:rsidP="007F4918">
      <w:pPr>
        <w:pStyle w:val="SangriaFrancesaArticulo"/>
      </w:pPr>
      <w:r w:rsidRPr="007F4918">
        <w:rPr>
          <w:rStyle w:val="TextoNormalNegritaCaracter"/>
        </w:rPr>
        <w:t>Artículo 5.1.</w:t>
      </w:r>
      <w:r w:rsidRPr="007F4918">
        <w:rPr>
          <w:rStyle w:val="TextoNormalCaracter"/>
        </w:rPr>
        <w:t>-</w:t>
      </w:r>
      <w:r>
        <w:t xml:space="preserve"> Sentencia </w:t>
      </w:r>
      <w:hyperlink w:anchor="SENTENCIA_2002_75" w:history="1">
        <w:r w:rsidRPr="007F4918">
          <w:rPr>
            <w:rStyle w:val="TextoNormalCaracter"/>
          </w:rPr>
          <w:t>75/2002</w:t>
        </w:r>
      </w:hyperlink>
      <w:r>
        <w:t>, ff. 5, 6.</w:t>
      </w:r>
    </w:p>
    <w:p w:rsidR="007F4918" w:rsidRDefault="007F4918" w:rsidP="007F4918">
      <w:pPr>
        <w:pStyle w:val="SangriaFrancesaArticulo"/>
      </w:pPr>
    </w:p>
    <w:p w:rsidR="007F4918" w:rsidRDefault="007F4918" w:rsidP="007F4918">
      <w:pPr>
        <w:pStyle w:val="TextoNormalNegritaCursivandice"/>
      </w:pPr>
      <w:r>
        <w:t>Real Decreto 13/1992, de 17 de enero. Reglamento general de circulación para  la aplicación y desarrollo del texto articulado de la Ley de tráfico, circulación de vehículos a motor y seguridad vial</w:t>
      </w:r>
    </w:p>
    <w:p w:rsidR="007F4918" w:rsidRDefault="007F4918" w:rsidP="007F4918">
      <w:pPr>
        <w:pStyle w:val="SangriaFrancesaArticulo"/>
      </w:pPr>
      <w:r w:rsidRPr="007F4918">
        <w:rPr>
          <w:rStyle w:val="TextoNormalNegritaCaracter"/>
        </w:rPr>
        <w:t>Artículo 20.1.</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p>
    <w:p w:rsidR="007F4918" w:rsidRDefault="007F4918" w:rsidP="007F4918">
      <w:pPr>
        <w:pStyle w:val="TextoNormalNegritaCursivandice"/>
      </w:pPr>
      <w:r>
        <w:t>Real Decreto 47/1993, de 15 de enero. Ampliación y modificación de medios adscritos a los servicios de la Administración de Estado traspasados a la Generalidad de Cataluña por el Real Decreto 1577/1991, de 18 de octubre, en materia de gestión de la formación profesional ocupacional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14.</w:t>
      </w:r>
    </w:p>
    <w:p w:rsidR="007F4918" w:rsidRDefault="007F4918" w:rsidP="007F4918">
      <w:pPr>
        <w:pStyle w:val="SangriaFrancesaArticulo"/>
      </w:pPr>
    </w:p>
    <w:p w:rsidR="007F4918" w:rsidRDefault="007F4918" w:rsidP="007F4918">
      <w:pPr>
        <w:pStyle w:val="TextoNormalNegritaCursivandice"/>
      </w:pPr>
      <w:r>
        <w:t>Real Decreto 631/1993, de 3 de mayo. Plan nacional de formación e inserción profesional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ff. 14, 15.</w:t>
      </w:r>
    </w:p>
    <w:p w:rsidR="007F4918" w:rsidRDefault="007F4918" w:rsidP="007F4918">
      <w:pPr>
        <w:pStyle w:val="SangriaFrancesaArticulo"/>
      </w:pPr>
      <w:r w:rsidRPr="007F4918">
        <w:rPr>
          <w:rStyle w:val="TextoNormalNegritaCaracter"/>
        </w:rPr>
        <w:t>Preámbulo.</w:t>
      </w:r>
      <w:r w:rsidRPr="007F4918">
        <w:rPr>
          <w:rStyle w:val="TextoNormalCaracter"/>
        </w:rPr>
        <w:t>-</w:t>
      </w:r>
      <w:r>
        <w:t xml:space="preserve"> Sentencia </w:t>
      </w:r>
      <w:hyperlink w:anchor="SENTENCIA_2002_95" w:history="1">
        <w:r w:rsidRPr="007F4918">
          <w:rPr>
            <w:rStyle w:val="TextoNormalCaracter"/>
          </w:rPr>
          <w:t>95/2002</w:t>
        </w:r>
      </w:hyperlink>
      <w:r>
        <w:t>, f. 15.</w:t>
      </w:r>
    </w:p>
    <w:p w:rsidR="007F4918" w:rsidRDefault="007F4918" w:rsidP="007F4918">
      <w:pPr>
        <w:pStyle w:val="SangriaFrancesaArticulo"/>
      </w:pPr>
    </w:p>
    <w:p w:rsidR="007F4918" w:rsidRDefault="007F4918" w:rsidP="007F4918">
      <w:pPr>
        <w:pStyle w:val="TextoNormalNegritaCursivandice"/>
      </w:pPr>
      <w:r>
        <w:t>Orden del Ministerio de Trabajo y Seguridad Social, de 4 de junio de 1993. Bases para concesión de ayudas para financiar las acciones formativas acogidas al Acuerdo nacional para la formación profesional continua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VP IV.</w:t>
      </w:r>
    </w:p>
    <w:p w:rsidR="007F4918" w:rsidRDefault="007F4918" w:rsidP="007F4918">
      <w:pPr>
        <w:pStyle w:val="SangriaFrancesaArticulo"/>
      </w:pPr>
    </w:p>
    <w:p w:rsidR="007F4918" w:rsidRDefault="007F4918" w:rsidP="007F4918">
      <w:pPr>
        <w:pStyle w:val="TextoNormalNegritaCursivandice"/>
      </w:pPr>
      <w:r>
        <w:t>Real Decreto 1846/1994, de 9 de septiembre. Aprueba el Reglamento de elecciones a los órganos de representación del personal al servicio de la Administración General del Estado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 7.</w:t>
      </w:r>
    </w:p>
    <w:p w:rsidR="007F4918" w:rsidRDefault="007F4918" w:rsidP="007F4918">
      <w:pPr>
        <w:pStyle w:val="SangriaFrancesaArticulo"/>
      </w:pPr>
      <w:r w:rsidRPr="007F4918">
        <w:rPr>
          <w:rStyle w:val="TextoNormalNegritaCaracter"/>
        </w:rPr>
        <w:t>Artículo 16.3.</w:t>
      </w:r>
      <w:r w:rsidRPr="007F4918">
        <w:rPr>
          <w:rStyle w:val="TextoNormalCaracter"/>
        </w:rPr>
        <w:t>-</w:t>
      </w:r>
      <w:r>
        <w:t xml:space="preserve"> Auto </w:t>
      </w:r>
      <w:hyperlink w:anchor="AUTO_2002_12" w:history="1">
        <w:r w:rsidRPr="007F4918">
          <w:rPr>
            <w:rStyle w:val="TextoNormalCaracter"/>
          </w:rPr>
          <w:t>12/2002</w:t>
        </w:r>
      </w:hyperlink>
      <w:r>
        <w:t>.</w:t>
      </w:r>
    </w:p>
    <w:p w:rsidR="007F4918" w:rsidRDefault="007F4918" w:rsidP="007F4918">
      <w:pPr>
        <w:pStyle w:val="SangriaFrancesaArticulo"/>
      </w:pPr>
    </w:p>
    <w:p w:rsidR="007F4918" w:rsidRDefault="007F4918" w:rsidP="007F4918">
      <w:pPr>
        <w:pStyle w:val="TextoNormalNegritaCursivandice"/>
      </w:pPr>
      <w:r>
        <w:t>Resolución de la Secretaría de Estado para la Administración Pública, de 19 de septiembre de 1994. Publicación del Acuerdo del Consejo de Ministros, de 16 de septiembre de 1994, por el que se aprueba el acuerdo administración-sindicatos para el periodo 1995-1997 sobre condiciones de trabajo en la función pública.</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Sentencia </w:t>
      </w:r>
      <w:hyperlink w:anchor="SENTENCIA_2002_24" w:history="1">
        <w:r w:rsidRPr="007F4918">
          <w:rPr>
            <w:rStyle w:val="TextoNormalCaracter"/>
          </w:rPr>
          <w:t>24/2002</w:t>
        </w:r>
      </w:hyperlink>
      <w:r>
        <w:t>, f. 7.</w:t>
      </w:r>
    </w:p>
    <w:p w:rsidR="007F4918" w:rsidRDefault="007F4918" w:rsidP="007F4918">
      <w:pPr>
        <w:pStyle w:val="SangriaFrancesaArticulo"/>
      </w:pPr>
    </w:p>
    <w:p w:rsidR="007F4918" w:rsidRDefault="007F4918" w:rsidP="007F4918">
      <w:pPr>
        <w:pStyle w:val="TextoNormalNegritaCursivandice"/>
      </w:pPr>
      <w:r>
        <w:t>Real Decreto 2308/1994, de 2 de diciembre. Régimen y destino del patrimonio y personal de las Cámaras oficiales de la propiedad urbana y su Consejo superior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ff. 3, 5, 7.</w:t>
      </w:r>
    </w:p>
    <w:p w:rsidR="007F4918" w:rsidRDefault="007F4918" w:rsidP="007F4918">
      <w:pPr>
        <w:pStyle w:val="SangriaFrancesaArticulo"/>
      </w:pPr>
    </w:p>
    <w:p w:rsidR="007F4918" w:rsidRDefault="007F4918" w:rsidP="007F4918">
      <w:pPr>
        <w:pStyle w:val="TextoNormalNegritaCursivandice"/>
      </w:pPr>
      <w:r>
        <w:t>Real Decreto 2546/1994, de 29 de diciembre.  Desarrolla el artículo 15 del estatuto de los trabajadores.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66" w:history="1">
        <w:r w:rsidRPr="007F4918">
          <w:rPr>
            <w:rStyle w:val="TextoNormalCaracter"/>
          </w:rPr>
          <w:t>66/2002</w:t>
        </w:r>
      </w:hyperlink>
      <w:r>
        <w:t>, f. 7.</w:t>
      </w:r>
    </w:p>
    <w:p w:rsidR="007F4918" w:rsidRDefault="007F4918" w:rsidP="007F4918">
      <w:pPr>
        <w:pStyle w:val="SangriaFrancesaArticulo"/>
      </w:pPr>
    </w:p>
    <w:p w:rsidR="007F4918" w:rsidRDefault="007F4918" w:rsidP="007F4918">
      <w:pPr>
        <w:pStyle w:val="TextoNormalNegritaCursivandice"/>
      </w:pPr>
      <w:r>
        <w:t>Real Decreto 203/1995, de 10 de febrero.  Aprueba el reglamento de aplicación de la Ley 5/1984, de 26 de marzo, reguladora del derecho de asilo y de la condición de refugiado, modificada por la Ley 9/1994, de 19 de mayo.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r w:rsidRPr="007F4918">
        <w:rPr>
          <w:rStyle w:val="TextoNormalNegritaCaracter"/>
        </w:rPr>
        <w:t>Artículo 5.</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Artículo 8.2.</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Artículo 8.4.</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Artículo 19.2.</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Artículo 20.1 b).</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Artículo 23.</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r w:rsidRPr="007F4918">
        <w:rPr>
          <w:rStyle w:val="TextoNormalNegritaCaracter"/>
        </w:rPr>
        <w:t>Artículo 39.2.</w:t>
      </w:r>
      <w:r w:rsidRPr="007F4918">
        <w:rPr>
          <w:rStyle w:val="TextoNormalCaracter"/>
        </w:rPr>
        <w:t>-</w:t>
      </w:r>
      <w:r>
        <w:t xml:space="preserve"> Sentencia </w:t>
      </w:r>
      <w:hyperlink w:anchor="SENTENCIA_2002_53" w:history="1">
        <w:r w:rsidRPr="007F4918">
          <w:rPr>
            <w:rStyle w:val="TextoNormalCaracter"/>
          </w:rPr>
          <w:t>53/2002</w:t>
        </w:r>
      </w:hyperlink>
      <w:r>
        <w:t>, VP II.</w:t>
      </w:r>
    </w:p>
    <w:p w:rsidR="007F4918" w:rsidRDefault="007F4918" w:rsidP="007F4918">
      <w:pPr>
        <w:pStyle w:val="SangriaFrancesaArticulo"/>
      </w:pPr>
    </w:p>
    <w:p w:rsidR="007F4918" w:rsidRDefault="007F4918" w:rsidP="007F4918">
      <w:pPr>
        <w:pStyle w:val="TextoNormalNegritaCursivandice"/>
      </w:pPr>
      <w:r>
        <w:t>Real Decreto 798/1995, de 19 de mayo. Define los criterios y condiciones de las intervenciones con finalidad estructural en el sector de la pesca, de la acuicultura y de la comercialización, la transformación y la promoción de sus productos</w:t>
      </w:r>
    </w:p>
    <w:p w:rsidR="007F4918" w:rsidRDefault="007F4918" w:rsidP="007F4918">
      <w:pPr>
        <w:pStyle w:val="SangriaFrancesaArticulo"/>
      </w:pPr>
      <w:r w:rsidRPr="007F4918">
        <w:rPr>
          <w:rStyle w:val="TextoNormalNegritaCaracter"/>
        </w:rPr>
        <w:t>Artículo 37.</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r w:rsidRPr="007F4918">
        <w:rPr>
          <w:rStyle w:val="TextoNormalNegritaCaracter"/>
        </w:rPr>
        <w:t>Artículo 38.</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p>
    <w:p w:rsidR="007F4918" w:rsidRDefault="007F4918" w:rsidP="007F4918">
      <w:pPr>
        <w:pStyle w:val="TextoNormalNegritaCursivandice"/>
      </w:pPr>
      <w:r>
        <w:t>Orden del Ministerio de  Agricultura, Pesca y Alimentación, de 3 de julio de 1995.  Establece la reserva marina de Cabo de Gata-Níjar.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ff. 1, 10., 11, VP.</w:t>
      </w:r>
    </w:p>
    <w:p w:rsidR="007F4918" w:rsidRDefault="007F4918" w:rsidP="007F4918">
      <w:pPr>
        <w:pStyle w:val="SangriaFrancesaArticulo"/>
      </w:pPr>
      <w:r w:rsidRPr="007F4918">
        <w:rPr>
          <w:rStyle w:val="TextoNormalNegritaCaracter"/>
        </w:rPr>
        <w:t>Preámbulo.</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38" w:history="1">
        <w:r w:rsidRPr="007F4918">
          <w:rPr>
            <w:rStyle w:val="TextoNormalCaracter"/>
          </w:rPr>
          <w:t>38/2002</w:t>
        </w:r>
      </w:hyperlink>
      <w:r>
        <w:t>, ff. 3, 11.</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38" w:history="1">
        <w:r w:rsidRPr="007F4918">
          <w:rPr>
            <w:rStyle w:val="TextoNormalCaracter"/>
          </w:rPr>
          <w:t>38/2002</w:t>
        </w:r>
      </w:hyperlink>
      <w:r>
        <w:t>, f. 11, VP.</w:t>
      </w:r>
    </w:p>
    <w:p w:rsidR="007F4918" w:rsidRDefault="007F4918" w:rsidP="007F4918">
      <w:pPr>
        <w:pStyle w:val="SangriaFrancesaArticulo"/>
      </w:pPr>
      <w:r w:rsidRPr="007F4918">
        <w:rPr>
          <w:rStyle w:val="TextoNormalNegritaCaracter"/>
        </w:rPr>
        <w:t>Artículo 2</w:t>
      </w:r>
      <w:r>
        <w:t xml:space="preserve"> </w:t>
      </w:r>
      <w:r w:rsidRPr="007F4918">
        <w:rPr>
          <w:rStyle w:val="TextoNormalCaracter"/>
        </w:rPr>
        <w:t>(redactado por la Orden de 31 de julio de 1996)</w:t>
      </w:r>
      <w:r w:rsidRPr="007F4918">
        <w:rPr>
          <w:rStyle w:val="TextoNormalNegritaCaracter"/>
        </w:rPr>
        <w:t>.</w:t>
      </w:r>
      <w:r w:rsidRPr="007F4918">
        <w:rPr>
          <w:rStyle w:val="TextoNormalCaracter"/>
        </w:rPr>
        <w:t>-</w:t>
      </w:r>
      <w:r>
        <w:t xml:space="preserve"> Sentencia </w:t>
      </w:r>
      <w:hyperlink w:anchor="SENTENCIA_2002_38" w:history="1">
        <w:r w:rsidRPr="007F4918">
          <w:rPr>
            <w:rStyle w:val="TextoNormalCaracter"/>
          </w:rPr>
          <w:t>38/2002</w:t>
        </w:r>
      </w:hyperlink>
      <w:r>
        <w:t>, f. 10.</w:t>
      </w:r>
    </w:p>
    <w:p w:rsidR="007F4918" w:rsidRDefault="007F4918" w:rsidP="007F4918">
      <w:pPr>
        <w:pStyle w:val="SangriaFrancesaArticulo"/>
      </w:pPr>
      <w:r w:rsidRPr="007F4918">
        <w:rPr>
          <w:rStyle w:val="TextoNormalNegritaCaracter"/>
        </w:rPr>
        <w:t>Artículo 3.</w:t>
      </w:r>
      <w:r w:rsidRPr="007F4918">
        <w:rPr>
          <w:rStyle w:val="TextoNormalCaracter"/>
        </w:rPr>
        <w:t>-</w:t>
      </w:r>
      <w:r>
        <w:t xml:space="preserve"> Sentencia </w:t>
      </w:r>
      <w:hyperlink w:anchor="SENTENCIA_2002_38" w:history="1">
        <w:r w:rsidRPr="007F4918">
          <w:rPr>
            <w:rStyle w:val="TextoNormalCaracter"/>
          </w:rPr>
          <w:t>38/2002</w:t>
        </w:r>
      </w:hyperlink>
      <w:r>
        <w:t>, ff. 3, 11, VP.</w:t>
      </w:r>
    </w:p>
    <w:p w:rsidR="007F4918" w:rsidRDefault="007F4918" w:rsidP="007F4918">
      <w:pPr>
        <w:pStyle w:val="SangriaFrancesaArticulo"/>
      </w:pPr>
      <w:r w:rsidRPr="007F4918">
        <w:rPr>
          <w:rStyle w:val="TextoNormalNegritaCaracter"/>
        </w:rPr>
        <w:t>Artículo 4.</w:t>
      </w:r>
      <w:r w:rsidRPr="007F4918">
        <w:rPr>
          <w:rStyle w:val="TextoNormalCaracter"/>
        </w:rPr>
        <w:t>-</w:t>
      </w:r>
      <w:r>
        <w:t xml:space="preserve"> Sentencia </w:t>
      </w:r>
      <w:hyperlink w:anchor="SENTENCIA_2002_38" w:history="1">
        <w:r w:rsidRPr="007F4918">
          <w:rPr>
            <w:rStyle w:val="TextoNormalCaracter"/>
          </w:rPr>
          <w:t>38/2002</w:t>
        </w:r>
      </w:hyperlink>
      <w:r>
        <w:t>, ff. 3, 11, VP.</w:t>
      </w:r>
    </w:p>
    <w:p w:rsidR="007F4918" w:rsidRDefault="007F4918" w:rsidP="007F4918">
      <w:pPr>
        <w:pStyle w:val="SangriaFrancesaArticulo"/>
      </w:pPr>
      <w:r w:rsidRPr="007F4918">
        <w:rPr>
          <w:rStyle w:val="TextoNormalNegritaCaracter"/>
        </w:rPr>
        <w:t>Artículo 5.</w:t>
      </w:r>
      <w:r w:rsidRPr="007F4918">
        <w:rPr>
          <w:rStyle w:val="TextoNormalCaracter"/>
        </w:rPr>
        <w:t>-</w:t>
      </w:r>
      <w:r>
        <w:t xml:space="preserve"> Sentencia </w:t>
      </w:r>
      <w:hyperlink w:anchor="SENTENCIA_2002_38" w:history="1">
        <w:r w:rsidRPr="007F4918">
          <w:rPr>
            <w:rStyle w:val="TextoNormalCaracter"/>
          </w:rPr>
          <w:t>38/2002</w:t>
        </w:r>
      </w:hyperlink>
      <w:r>
        <w:t>, ff. 3, 11.</w:t>
      </w:r>
    </w:p>
    <w:p w:rsidR="007F4918" w:rsidRDefault="007F4918" w:rsidP="007F4918">
      <w:pPr>
        <w:pStyle w:val="SangriaFrancesaArticulo"/>
      </w:pPr>
      <w:r w:rsidRPr="007F4918">
        <w:rPr>
          <w:rStyle w:val="TextoNormalNegritaCaracter"/>
        </w:rPr>
        <w:t>Artículo 6.</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Disposición transitoria única.</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t>Real Decreto 190/1996, de 9 de febrero. Reglamento penitenciario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1" w:history="1">
        <w:r w:rsidRPr="007F4918">
          <w:rPr>
            <w:rStyle w:val="TextoNormalCaracter"/>
          </w:rPr>
          <w:t>71/2002</w:t>
        </w:r>
      </w:hyperlink>
      <w:r>
        <w:t>, f. 1.</w:t>
      </w:r>
    </w:p>
    <w:p w:rsidR="007F4918" w:rsidRDefault="007F4918" w:rsidP="007F4918">
      <w:pPr>
        <w:pStyle w:val="SangriaFrancesaArticulo"/>
      </w:pPr>
      <w:r w:rsidRPr="007F4918">
        <w:rPr>
          <w:rStyle w:val="TextoNormalNegritaCaracter"/>
        </w:rPr>
        <w:t>Artículo 108 d).</w:t>
      </w:r>
      <w:r w:rsidRPr="007F4918">
        <w:rPr>
          <w:rStyle w:val="TextoNormalCaracter"/>
        </w:rPr>
        <w:t>-</w:t>
      </w:r>
      <w:r>
        <w:t xml:space="preserve"> Auto </w:t>
      </w:r>
      <w:hyperlink w:anchor="AUTO_2002_50" w:history="1">
        <w:r w:rsidRPr="007F4918">
          <w:rPr>
            <w:rStyle w:val="TextoNormalCaracter"/>
          </w:rPr>
          <w:t>50/2002</w:t>
        </w:r>
      </w:hyperlink>
      <w:r>
        <w:t>.</w:t>
      </w:r>
    </w:p>
    <w:p w:rsidR="007F4918" w:rsidRDefault="007F4918" w:rsidP="007F4918">
      <w:pPr>
        <w:pStyle w:val="SangriaFrancesaArticulo"/>
      </w:pPr>
      <w:r w:rsidRPr="007F4918">
        <w:rPr>
          <w:rStyle w:val="TextoNormalNegritaCaracter"/>
        </w:rPr>
        <w:t>Artículo 108 f).</w:t>
      </w:r>
      <w:r w:rsidRPr="007F4918">
        <w:rPr>
          <w:rStyle w:val="TextoNormalCaracter"/>
        </w:rPr>
        <w:t>-</w:t>
      </w:r>
      <w:r>
        <w:t xml:space="preserve"> Auto </w:t>
      </w:r>
      <w:hyperlink w:anchor="AUTO_2002_50" w:history="1">
        <w:r w:rsidRPr="007F4918">
          <w:rPr>
            <w:rStyle w:val="TextoNormalCaracter"/>
          </w:rPr>
          <w:t>50/2002</w:t>
        </w:r>
      </w:hyperlink>
      <w:r>
        <w:t>.</w:t>
      </w:r>
    </w:p>
    <w:p w:rsidR="007F4918" w:rsidRDefault="007F4918" w:rsidP="007F4918">
      <w:pPr>
        <w:pStyle w:val="SangriaFrancesaArticulo"/>
      </w:pPr>
      <w:r w:rsidRPr="007F4918">
        <w:rPr>
          <w:rStyle w:val="TextoNormalNegritaCaracter"/>
        </w:rPr>
        <w:t>Artículo 162.</w:t>
      </w:r>
      <w:r w:rsidRPr="007F4918">
        <w:rPr>
          <w:rStyle w:val="TextoNormalCaracter"/>
        </w:rPr>
        <w:t>-</w:t>
      </w:r>
      <w:r>
        <w:t xml:space="preserve"> Sentencia </w:t>
      </w:r>
      <w:hyperlink w:anchor="SENTENCIA_2002_65" w:history="1">
        <w:r w:rsidRPr="007F4918">
          <w:rPr>
            <w:rStyle w:val="TextoNormalCaracter"/>
          </w:rPr>
          <w:t>65/2002</w:t>
        </w:r>
      </w:hyperlink>
      <w:r>
        <w:t>, f. 4.</w:t>
      </w:r>
    </w:p>
    <w:p w:rsidR="007F4918" w:rsidRDefault="007F4918" w:rsidP="007F4918">
      <w:pPr>
        <w:pStyle w:val="SangriaFrancesaArticulo"/>
      </w:pPr>
      <w:r w:rsidRPr="007F4918">
        <w:rPr>
          <w:rStyle w:val="TextoNormalNegritaCaracter"/>
        </w:rPr>
        <w:t>Artículo 202.</w:t>
      </w:r>
      <w:r w:rsidRPr="007F4918">
        <w:rPr>
          <w:rStyle w:val="TextoNormalCaracter"/>
        </w:rPr>
        <w:t>-</w:t>
      </w:r>
      <w:r>
        <w:t xml:space="preserve"> Autos </w:t>
      </w:r>
      <w:hyperlink w:anchor="AUTO_2002_15" w:history="1">
        <w:r w:rsidRPr="007F4918">
          <w:rPr>
            <w:rStyle w:val="TextoNormalCaracter"/>
          </w:rPr>
          <w:t>15/2002</w:t>
        </w:r>
      </w:hyperlink>
      <w:r>
        <w:t xml:space="preserve">; </w:t>
      </w:r>
      <w:hyperlink w:anchor="AUTO_2002_34" w:history="1">
        <w:r w:rsidRPr="007F4918">
          <w:rPr>
            <w:rStyle w:val="TextoNormalCaracter"/>
          </w:rPr>
          <w:t>34/2002</w:t>
        </w:r>
      </w:hyperlink>
      <w:r>
        <w:t xml:space="preserve">; </w:t>
      </w:r>
      <w:hyperlink w:anchor="AUTO_2002_40" w:history="1">
        <w:r w:rsidRPr="007F4918">
          <w:rPr>
            <w:rStyle w:val="TextoNormalCaracter"/>
          </w:rPr>
          <w:t>40/2002</w:t>
        </w:r>
      </w:hyperlink>
      <w:r>
        <w:t>.</w:t>
      </w:r>
    </w:p>
    <w:p w:rsidR="007F4918" w:rsidRDefault="007F4918" w:rsidP="007F4918">
      <w:pPr>
        <w:pStyle w:val="SangriaFrancesaArticulo"/>
      </w:pPr>
      <w:r w:rsidRPr="007F4918">
        <w:rPr>
          <w:rStyle w:val="TextoNormalNegritaCaracter"/>
        </w:rPr>
        <w:lastRenderedPageBreak/>
        <w:t>Artículo 204.</w:t>
      </w:r>
      <w:r w:rsidRPr="007F4918">
        <w:rPr>
          <w:rStyle w:val="TextoNormalCaracter"/>
        </w:rPr>
        <w:t>-</w:t>
      </w:r>
      <w:r>
        <w:t xml:space="preserve"> Autos </w:t>
      </w:r>
      <w:hyperlink w:anchor="AUTO_2002_15" w:history="1">
        <w:r w:rsidRPr="007F4918">
          <w:rPr>
            <w:rStyle w:val="TextoNormalCaracter"/>
          </w:rPr>
          <w:t>15/2002</w:t>
        </w:r>
      </w:hyperlink>
      <w:r>
        <w:t xml:space="preserve">; </w:t>
      </w:r>
      <w:hyperlink w:anchor="AUTO_2002_34" w:history="1">
        <w:r w:rsidRPr="007F4918">
          <w:rPr>
            <w:rStyle w:val="TextoNormalCaracter"/>
          </w:rPr>
          <w:t>34/2002</w:t>
        </w:r>
      </w:hyperlink>
      <w:r>
        <w:t xml:space="preserve">; </w:t>
      </w:r>
      <w:hyperlink w:anchor="AUTO_2002_40" w:history="1">
        <w:r w:rsidRPr="007F4918">
          <w:rPr>
            <w:rStyle w:val="TextoNormalCaracter"/>
          </w:rPr>
          <w:t>40/2002</w:t>
        </w:r>
      </w:hyperlink>
      <w:r>
        <w:t>.</w:t>
      </w:r>
    </w:p>
    <w:p w:rsidR="007F4918" w:rsidRDefault="007F4918" w:rsidP="007F4918">
      <w:pPr>
        <w:pStyle w:val="SangriaFrancesaArticulo"/>
      </w:pPr>
      <w:r w:rsidRPr="007F4918">
        <w:rPr>
          <w:rStyle w:val="TextoNormalNegritaCaracter"/>
        </w:rPr>
        <w:t>Artículo 205.</w:t>
      </w:r>
      <w:r w:rsidRPr="007F4918">
        <w:rPr>
          <w:rStyle w:val="TextoNormalCaracter"/>
        </w:rPr>
        <w:t>-</w:t>
      </w:r>
      <w:r>
        <w:t xml:space="preserve"> Autos </w:t>
      </w:r>
      <w:hyperlink w:anchor="AUTO_2002_15" w:history="1">
        <w:r w:rsidRPr="007F4918">
          <w:rPr>
            <w:rStyle w:val="TextoNormalCaracter"/>
          </w:rPr>
          <w:t>15/2002</w:t>
        </w:r>
      </w:hyperlink>
      <w:r>
        <w:t xml:space="preserve">; </w:t>
      </w:r>
      <w:hyperlink w:anchor="AUTO_2002_34" w:history="1">
        <w:r w:rsidRPr="007F4918">
          <w:rPr>
            <w:rStyle w:val="TextoNormalCaracter"/>
          </w:rPr>
          <w:t>34/2002</w:t>
        </w:r>
      </w:hyperlink>
      <w:r>
        <w:t xml:space="preserve">; </w:t>
      </w:r>
      <w:hyperlink w:anchor="AUTO_2002_40" w:history="1">
        <w:r w:rsidRPr="007F4918">
          <w:rPr>
            <w:rStyle w:val="TextoNormalCaracter"/>
          </w:rPr>
          <w:t>40/2002</w:t>
        </w:r>
      </w:hyperlink>
      <w:r>
        <w:t>.</w:t>
      </w:r>
    </w:p>
    <w:p w:rsidR="007F4918" w:rsidRDefault="007F4918" w:rsidP="007F4918">
      <w:pPr>
        <w:pStyle w:val="SangriaFrancesaArticulo"/>
      </w:pPr>
      <w:r w:rsidRPr="007F4918">
        <w:rPr>
          <w:rStyle w:val="TextoNormalNegritaCaracter"/>
        </w:rPr>
        <w:t>Artículo 206.</w:t>
      </w:r>
      <w:r w:rsidRPr="007F4918">
        <w:rPr>
          <w:rStyle w:val="TextoNormalCaracter"/>
        </w:rPr>
        <w:t>-</w:t>
      </w:r>
      <w:r>
        <w:t xml:space="preserve"> Autos </w:t>
      </w:r>
      <w:hyperlink w:anchor="AUTO_2002_15" w:history="1">
        <w:r w:rsidRPr="007F4918">
          <w:rPr>
            <w:rStyle w:val="TextoNormalCaracter"/>
          </w:rPr>
          <w:t>15/2002</w:t>
        </w:r>
      </w:hyperlink>
      <w:r>
        <w:t xml:space="preserve">; </w:t>
      </w:r>
      <w:hyperlink w:anchor="AUTO_2002_34" w:history="1">
        <w:r w:rsidRPr="007F4918">
          <w:rPr>
            <w:rStyle w:val="TextoNormalCaracter"/>
          </w:rPr>
          <w:t>34/2002</w:t>
        </w:r>
      </w:hyperlink>
      <w:r>
        <w:t xml:space="preserve">; </w:t>
      </w:r>
      <w:hyperlink w:anchor="AUTO_2002_40" w:history="1">
        <w:r w:rsidRPr="007F4918">
          <w:rPr>
            <w:rStyle w:val="TextoNormalCaracter"/>
          </w:rPr>
          <w:t>40/2002</w:t>
        </w:r>
      </w:hyperlink>
      <w:r>
        <w:t>.</w:t>
      </w:r>
    </w:p>
    <w:p w:rsidR="007F4918" w:rsidRDefault="007F4918" w:rsidP="007F4918">
      <w:pPr>
        <w:pStyle w:val="SangriaFrancesaArticulo"/>
      </w:pPr>
      <w:r w:rsidRPr="007F4918">
        <w:rPr>
          <w:rStyle w:val="TextoNormalNegritaCaracter"/>
        </w:rPr>
        <w:t>Artículo 260.</w:t>
      </w:r>
      <w:r w:rsidRPr="007F4918">
        <w:rPr>
          <w:rStyle w:val="TextoNormalCaracter"/>
        </w:rPr>
        <w:t>-</w:t>
      </w:r>
      <w:r>
        <w:t xml:space="preserve"> Autos </w:t>
      </w:r>
      <w:hyperlink w:anchor="AUTO_2002_15" w:history="1">
        <w:r w:rsidRPr="007F4918">
          <w:rPr>
            <w:rStyle w:val="TextoNormalCaracter"/>
          </w:rPr>
          <w:t>15/2002</w:t>
        </w:r>
      </w:hyperlink>
      <w:r>
        <w:t xml:space="preserve">; </w:t>
      </w:r>
      <w:hyperlink w:anchor="AUTO_2002_34" w:history="1">
        <w:r w:rsidRPr="007F4918">
          <w:rPr>
            <w:rStyle w:val="TextoNormalCaracter"/>
          </w:rPr>
          <w:t>34/2002</w:t>
        </w:r>
      </w:hyperlink>
      <w:r>
        <w:t xml:space="preserve">; </w:t>
      </w:r>
      <w:hyperlink w:anchor="AUTO_2002_40" w:history="1">
        <w:r w:rsidRPr="007F4918">
          <w:rPr>
            <w:rStyle w:val="TextoNormalCaracter"/>
          </w:rPr>
          <w:t>40/2002</w:t>
        </w:r>
      </w:hyperlink>
      <w:r>
        <w:t>.</w:t>
      </w:r>
    </w:p>
    <w:p w:rsidR="007F4918" w:rsidRDefault="007F4918" w:rsidP="007F4918">
      <w:pPr>
        <w:pStyle w:val="SangriaFrancesaArticulo"/>
      </w:pPr>
      <w:r w:rsidRPr="007F4918">
        <w:rPr>
          <w:rStyle w:val="TextoNormalNegritaCaracter"/>
        </w:rPr>
        <w:t>Artículo 262.</w:t>
      </w:r>
      <w:r w:rsidRPr="007F4918">
        <w:rPr>
          <w:rStyle w:val="TextoNormalCaracter"/>
        </w:rPr>
        <w:t>-</w:t>
      </w:r>
      <w:r>
        <w:t xml:space="preserve"> Autos </w:t>
      </w:r>
      <w:hyperlink w:anchor="AUTO_2002_34" w:history="1">
        <w:r w:rsidRPr="007F4918">
          <w:rPr>
            <w:rStyle w:val="TextoNormalCaracter"/>
          </w:rPr>
          <w:t>34/2002</w:t>
        </w:r>
      </w:hyperlink>
      <w:r>
        <w:t xml:space="preserve">; </w:t>
      </w:r>
      <w:hyperlink w:anchor="AUTO_2002_40" w:history="1">
        <w:r w:rsidRPr="007F4918">
          <w:rPr>
            <w:rStyle w:val="TextoNormalCaracter"/>
          </w:rPr>
          <w:t>40/2002</w:t>
        </w:r>
      </w:hyperlink>
      <w:r>
        <w:t>.</w:t>
      </w:r>
    </w:p>
    <w:p w:rsidR="007F4918" w:rsidRDefault="007F4918" w:rsidP="007F4918">
      <w:pPr>
        <w:pStyle w:val="SangriaFrancesaArticulo"/>
      </w:pPr>
    </w:p>
    <w:p w:rsidR="007F4918" w:rsidRDefault="007F4918" w:rsidP="007F4918">
      <w:pPr>
        <w:pStyle w:val="TextoNormalNegritaCursivandice"/>
      </w:pPr>
      <w:r>
        <w:t>Real Decreto 1638/1996, de 5 de julio.  Modifica el Real Decreto 1816/1991, de 20 de diciembre, sobre transacciones económicas con el exterior.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5" w:history="1">
        <w:r w:rsidRPr="007F4918">
          <w:rPr>
            <w:rStyle w:val="TextoNormalCaracter"/>
          </w:rPr>
          <w:t>75/2002</w:t>
        </w:r>
      </w:hyperlink>
      <w:r>
        <w:t>, f. 5.</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75" w:history="1">
        <w:r w:rsidRPr="007F4918">
          <w:rPr>
            <w:rStyle w:val="TextoNormalCaracter"/>
          </w:rPr>
          <w:t>75/2002</w:t>
        </w:r>
      </w:hyperlink>
      <w:r>
        <w:t>, f. 5.</w:t>
      </w:r>
    </w:p>
    <w:p w:rsidR="007F4918" w:rsidRDefault="007F4918" w:rsidP="007F4918">
      <w:pPr>
        <w:pStyle w:val="SangriaFrancesaArticulo"/>
      </w:pPr>
    </w:p>
    <w:p w:rsidR="007F4918" w:rsidRDefault="007F4918" w:rsidP="007F4918">
      <w:pPr>
        <w:pStyle w:val="TextoNormalNegritaCursivandice"/>
      </w:pPr>
      <w:r>
        <w:t>Orden del Ministerio de Agricultura, Pesca y Alimentación, de 31 de julio de 1996.  Modifica la Orden de 3 de julio de 1995, que establece la reserva marina de Cabo de Gata-Níjar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ff. 10, 11.</w:t>
      </w:r>
    </w:p>
    <w:p w:rsidR="007F4918" w:rsidRDefault="007F4918" w:rsidP="007F4918">
      <w:pPr>
        <w:pStyle w:val="SangriaFrancesaArticulo"/>
      </w:pPr>
    </w:p>
    <w:p w:rsidR="007F4918" w:rsidRDefault="007F4918" w:rsidP="007F4918">
      <w:pPr>
        <w:pStyle w:val="TextoNormalNegritaCursivandice"/>
      </w:pPr>
      <w:r>
        <w:t>Real Decreto 391/1998, de 13 de marzo. Traspaso de servicios y funciones de la Administración del Estado a la Generalidad de Cataluña en materia de tráfico y circulación de vehículos a motor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r w:rsidRPr="007F4918">
        <w:rPr>
          <w:rStyle w:val="TextoNormalNegritaCaracter"/>
        </w:rPr>
        <w:t>Anexo B.1 b).</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r w:rsidRPr="007F4918">
        <w:rPr>
          <w:rStyle w:val="TextoNormalNegritaCaracter"/>
        </w:rPr>
        <w:t>Anexo B.1 g).</w:t>
      </w:r>
      <w:r w:rsidRPr="007F4918">
        <w:rPr>
          <w:rStyle w:val="TextoNormalCaracter"/>
        </w:rPr>
        <w:t>-</w:t>
      </w:r>
      <w:r>
        <w:t xml:space="preserve"> Auto </w:t>
      </w:r>
      <w:hyperlink w:anchor="AUTO_2002_26" w:history="1">
        <w:r w:rsidRPr="007F4918">
          <w:rPr>
            <w:rStyle w:val="TextoNormalCaracter"/>
          </w:rPr>
          <w:t>26/2002</w:t>
        </w:r>
      </w:hyperlink>
      <w:r>
        <w:t>.</w:t>
      </w:r>
    </w:p>
    <w:p w:rsidR="007F4918" w:rsidRDefault="007F4918" w:rsidP="007F4918">
      <w:pPr>
        <w:pStyle w:val="SangriaFrancesaArticulo"/>
      </w:pPr>
    </w:p>
    <w:p w:rsidR="007F4918" w:rsidRDefault="007F4918" w:rsidP="007F4918">
      <w:pPr>
        <w:pStyle w:val="TextoNormalNegritaCursivandice"/>
      </w:pPr>
      <w:r>
        <w:t>Real Decreto 7/2001, de 12 de enero. Aprueba el reglamento sobre la responsabilidad civil y seguro en la circulación de vehículos a motor</w:t>
      </w:r>
    </w:p>
    <w:p w:rsidR="007F4918" w:rsidRDefault="007F4918" w:rsidP="007F4918">
      <w:pPr>
        <w:pStyle w:val="SangriaFrancesaArticulo"/>
      </w:pPr>
      <w:r w:rsidRPr="007F4918">
        <w:rPr>
          <w:rStyle w:val="TextoNormalNegritaCaracter"/>
        </w:rPr>
        <w:t>Artículo 9.4.</w:t>
      </w:r>
      <w:r w:rsidRPr="007F4918">
        <w:rPr>
          <w:rStyle w:val="TextoNormalCaracter"/>
        </w:rPr>
        <w:t>-</w:t>
      </w:r>
      <w:r>
        <w:t xml:space="preserve"> Sentencia </w:t>
      </w:r>
      <w:hyperlink w:anchor="SENTENCIA_2002_19" w:history="1">
        <w:r w:rsidRPr="007F4918">
          <w:rPr>
            <w:rStyle w:val="TextoNormalCaracter"/>
          </w:rPr>
          <w:t>19/2002</w:t>
        </w:r>
      </w:hyperlink>
      <w:r>
        <w:t>, f. 3.</w:t>
      </w:r>
    </w:p>
    <w:p w:rsidR="007F4918" w:rsidRDefault="007F4918" w:rsidP="007F4918">
      <w:pPr>
        <w:pStyle w:val="SangriaFrancesaArticulo"/>
      </w:pPr>
      <w:r w:rsidRPr="007F4918">
        <w:rPr>
          <w:rStyle w:val="TextoNormalNegritaCaracter"/>
        </w:rPr>
        <w:t>Artículo 11.1.</w:t>
      </w:r>
      <w:r w:rsidRPr="007F4918">
        <w:rPr>
          <w:rStyle w:val="TextoNormalCaracter"/>
        </w:rPr>
        <w:t>-</w:t>
      </w:r>
      <w:r>
        <w:t xml:space="preserve"> Sentencia </w:t>
      </w:r>
      <w:hyperlink w:anchor="SENTENCIA_2002_19" w:history="1">
        <w:r w:rsidRPr="007F4918">
          <w:rPr>
            <w:rStyle w:val="TextoNormalCaracter"/>
          </w:rPr>
          <w:t>19/2002</w:t>
        </w:r>
      </w:hyperlink>
      <w:r>
        <w:t>, f. 3.</w:t>
      </w:r>
    </w:p>
    <w:p w:rsidR="007F4918" w:rsidRDefault="007F4918" w:rsidP="007F4918">
      <w:pPr>
        <w:pStyle w:val="TextoNormal"/>
      </w:pPr>
    </w:p>
    <w:p w:rsidR="007F4918" w:rsidRDefault="007F4918" w:rsidP="007F4918">
      <w:pPr>
        <w:pStyle w:val="SangriaFrancesaArticulo"/>
      </w:pPr>
      <w:bookmarkStart w:id="186" w:name="INDICE22850"/>
    </w:p>
    <w:bookmarkEnd w:id="186"/>
    <w:p w:rsidR="007F4918" w:rsidRDefault="007F4918" w:rsidP="007F4918">
      <w:pPr>
        <w:pStyle w:val="TextoIndiceNivel2"/>
        <w:suppressAutoHyphens/>
      </w:pPr>
      <w:r>
        <w:t>I) Legislación preconstitucional</w:t>
      </w:r>
    </w:p>
    <w:p w:rsidR="007F4918" w:rsidRDefault="007F4918" w:rsidP="007F4918">
      <w:pPr>
        <w:pStyle w:val="TextoIndiceNivel2"/>
      </w:pPr>
    </w:p>
    <w:p w:rsidR="007F4918" w:rsidRDefault="007F4918" w:rsidP="007F4918">
      <w:pPr>
        <w:pStyle w:val="TextoNormalNegritaCursivandice"/>
      </w:pPr>
      <w:r>
        <w:t>Ley de 8 de febrero de 1861. Hipotecaria</w:t>
      </w:r>
    </w:p>
    <w:p w:rsidR="007F4918" w:rsidRDefault="007F4918" w:rsidP="007F4918">
      <w:pPr>
        <w:pStyle w:val="SangriaFrancesaArticulo"/>
      </w:pPr>
      <w:r w:rsidRPr="007F4918">
        <w:rPr>
          <w:rStyle w:val="TextoNormalNegritaCaracter"/>
        </w:rPr>
        <w:t>Artículo 38.</w:t>
      </w:r>
      <w:r w:rsidRPr="007F4918">
        <w:rPr>
          <w:rStyle w:val="TextoNormalCaracter"/>
        </w:rPr>
        <w:t>-</w:t>
      </w:r>
      <w:r>
        <w:t xml:space="preserve"> Sentencia </w:t>
      </w:r>
      <w:hyperlink w:anchor="SENTENCIA_2002_45" w:history="1">
        <w:r w:rsidRPr="007F4918">
          <w:rPr>
            <w:rStyle w:val="TextoNormalCaracter"/>
          </w:rPr>
          <w:t>45/2002</w:t>
        </w:r>
      </w:hyperlink>
      <w:r>
        <w:t>, f. 4.</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 </w:t>
      </w:r>
      <w:hyperlink w:anchor="SENTENCIA_2002_45" w:history="1">
        <w:r w:rsidRPr="007F4918">
          <w:rPr>
            <w:rStyle w:val="TextoNormalCaracter"/>
          </w:rPr>
          <w:t>45/2002</w:t>
        </w:r>
      </w:hyperlink>
      <w:r>
        <w:t>, ff. 1, 3 a 5.</w:t>
      </w:r>
    </w:p>
    <w:p w:rsidR="007F4918" w:rsidRDefault="007F4918" w:rsidP="007F4918">
      <w:pPr>
        <w:pStyle w:val="SangriaFrancesaArticulo"/>
      </w:pPr>
      <w:r w:rsidRPr="007F4918">
        <w:rPr>
          <w:rStyle w:val="TextoNormalNegritaCaracter"/>
        </w:rPr>
        <w:t>Artículo 41.4.</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41.6.2.</w:t>
      </w:r>
      <w:r w:rsidRPr="007F4918">
        <w:rPr>
          <w:rStyle w:val="TextoNormalCaracter"/>
        </w:rPr>
        <w:t>-</w:t>
      </w:r>
      <w:r>
        <w:t xml:space="preserve"> Sentencia </w:t>
      </w:r>
      <w:hyperlink w:anchor="SENTENCIA_2002_45" w:history="1">
        <w:r w:rsidRPr="007F4918">
          <w:rPr>
            <w:rStyle w:val="TextoNormalCaracter"/>
          </w:rPr>
          <w:t>45/2002</w:t>
        </w:r>
      </w:hyperlink>
      <w:r>
        <w:t>, f. 5.</w:t>
      </w:r>
    </w:p>
    <w:p w:rsidR="007F4918" w:rsidRDefault="007F4918" w:rsidP="007F4918">
      <w:pPr>
        <w:pStyle w:val="SangriaFrancesaArticulo"/>
      </w:pPr>
    </w:p>
    <w:p w:rsidR="007F4918" w:rsidRDefault="007F4918" w:rsidP="007F4918">
      <w:pPr>
        <w:pStyle w:val="TextoNormalNegritaCursivandice"/>
      </w:pPr>
      <w:r>
        <w:t>Real Decreto de 3 de febrero de 1881. Ley de enjuiciamiento civil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13" w:history="1">
        <w:r w:rsidRPr="007F4918">
          <w:rPr>
            <w:rStyle w:val="TextoNormalCaracter"/>
          </w:rPr>
          <w:t>13/2002</w:t>
        </w:r>
      </w:hyperlink>
      <w:r>
        <w:t xml:space="preserve">, f. 6; </w:t>
      </w:r>
      <w:hyperlink w:anchor="SENTENCIA_2002_62" w:history="1">
        <w:r w:rsidRPr="007F4918">
          <w:rPr>
            <w:rStyle w:val="TextoNormalCaracter"/>
          </w:rPr>
          <w:t>62/2002</w:t>
        </w:r>
      </w:hyperlink>
      <w:r>
        <w:t xml:space="preserve">, ff. 1, 3 a 5; </w:t>
      </w:r>
      <w:hyperlink w:anchor="SENTENCIA_2002_79" w:history="1">
        <w:r w:rsidRPr="007F4918">
          <w:rPr>
            <w:rStyle w:val="TextoNormalCaracter"/>
          </w:rPr>
          <w:t>79/2002</w:t>
        </w:r>
      </w:hyperlink>
      <w:r>
        <w:t>, VP.</w:t>
      </w:r>
    </w:p>
    <w:p w:rsidR="007F4918" w:rsidRDefault="007F4918" w:rsidP="007F4918">
      <w:pPr>
        <w:pStyle w:val="SangriaFrancesaArticulo"/>
      </w:pPr>
      <w:r w:rsidRPr="007F4918">
        <w:rPr>
          <w:rStyle w:val="TextoNormalNegritaCaracter"/>
        </w:rPr>
        <w:t>Artículo 249.</w:t>
      </w:r>
      <w:r w:rsidRPr="007F4918">
        <w:rPr>
          <w:rStyle w:val="TextoNormalCaracter"/>
        </w:rPr>
        <w:t>-</w:t>
      </w:r>
      <w:r>
        <w:t xml:space="preserve"> Sentencia </w:t>
      </w:r>
      <w:hyperlink w:anchor="SENTENCIA_2002_79" w:history="1">
        <w:r w:rsidRPr="007F4918">
          <w:rPr>
            <w:rStyle w:val="TextoNormalCaracter"/>
          </w:rPr>
          <w:t>79/2002</w:t>
        </w:r>
      </w:hyperlink>
      <w:r>
        <w:t>, f. 7.</w:t>
      </w:r>
    </w:p>
    <w:p w:rsidR="007F4918" w:rsidRDefault="007F4918" w:rsidP="007F4918">
      <w:pPr>
        <w:pStyle w:val="SangriaFrancesaArticulo"/>
      </w:pPr>
      <w:r w:rsidRPr="007F4918">
        <w:rPr>
          <w:rStyle w:val="TextoNormalNegritaCaracter"/>
        </w:rPr>
        <w:t>Artículo 252.</w:t>
      </w:r>
      <w:r w:rsidRPr="007F4918">
        <w:rPr>
          <w:rStyle w:val="TextoNormalCaracter"/>
        </w:rPr>
        <w:t>-</w:t>
      </w:r>
      <w:r>
        <w:t xml:space="preserve"> Sentencia </w:t>
      </w:r>
      <w:hyperlink w:anchor="SENTENCIA_2002_79" w:history="1">
        <w:r w:rsidRPr="007F4918">
          <w:rPr>
            <w:rStyle w:val="TextoNormalCaracter"/>
          </w:rPr>
          <w:t>79/2002</w:t>
        </w:r>
      </w:hyperlink>
      <w:r>
        <w:t>, f. 7.</w:t>
      </w:r>
    </w:p>
    <w:p w:rsidR="007F4918" w:rsidRDefault="007F4918" w:rsidP="007F4918">
      <w:pPr>
        <w:pStyle w:val="SangriaFrancesaArticulo"/>
      </w:pPr>
      <w:r w:rsidRPr="007F4918">
        <w:rPr>
          <w:rStyle w:val="TextoNormalNegritaCaracter"/>
        </w:rPr>
        <w:t>Artículo 261.</w:t>
      </w:r>
      <w:r w:rsidRPr="007F4918">
        <w:rPr>
          <w:rStyle w:val="TextoNormalCaracter"/>
        </w:rPr>
        <w:t>-</w:t>
      </w:r>
      <w:r>
        <w:t xml:space="preserve"> Sentencia </w:t>
      </w:r>
      <w:hyperlink w:anchor="SENTENCIA_2002_42" w:history="1">
        <w:r w:rsidRPr="007F4918">
          <w:rPr>
            <w:rStyle w:val="TextoNormalCaracter"/>
          </w:rPr>
          <w:t>42/2002</w:t>
        </w:r>
      </w:hyperlink>
      <w:r>
        <w:t>, f. 2.</w:t>
      </w:r>
    </w:p>
    <w:p w:rsidR="007F4918" w:rsidRDefault="007F4918" w:rsidP="007F4918">
      <w:pPr>
        <w:pStyle w:val="SangriaFrancesaArticulo"/>
      </w:pPr>
      <w:r w:rsidRPr="007F4918">
        <w:rPr>
          <w:rStyle w:val="TextoNormalNegritaCaracter"/>
        </w:rPr>
        <w:t>Artículo 362.</w:t>
      </w:r>
      <w:r w:rsidRPr="007F4918">
        <w:rPr>
          <w:rStyle w:val="TextoNormalCaracter"/>
        </w:rPr>
        <w:t>-</w:t>
      </w:r>
      <w:r>
        <w:t xml:space="preserve"> Sentencia </w:t>
      </w:r>
      <w:hyperlink w:anchor="SENTENCIA_2002_77" w:history="1">
        <w:r w:rsidRPr="007F4918">
          <w:rPr>
            <w:rStyle w:val="TextoNormalCaracter"/>
          </w:rPr>
          <w:t>77/2002</w:t>
        </w:r>
      </w:hyperlink>
      <w:r>
        <w:t>, f. 4.</w:t>
      </w:r>
    </w:p>
    <w:p w:rsidR="007F4918" w:rsidRDefault="007F4918" w:rsidP="007F4918">
      <w:pPr>
        <w:pStyle w:val="SangriaFrancesaArticulo"/>
      </w:pPr>
      <w:r w:rsidRPr="007F4918">
        <w:rPr>
          <w:rStyle w:val="TextoNormalNegritaCaracter"/>
        </w:rPr>
        <w:t>Artículo 363.</w:t>
      </w:r>
      <w:r w:rsidRPr="007F4918">
        <w:rPr>
          <w:rStyle w:val="TextoNormalCaracter"/>
        </w:rPr>
        <w:t>-</w:t>
      </w:r>
      <w:r>
        <w:t xml:space="preserve"> Auto </w:t>
      </w:r>
      <w:hyperlink w:anchor="AUTO_2002_53" w:history="1">
        <w:r w:rsidRPr="007F4918">
          <w:rPr>
            <w:rStyle w:val="TextoNormalCaracter"/>
          </w:rPr>
          <w:t>53/2002</w:t>
        </w:r>
      </w:hyperlink>
      <w:r>
        <w:t>.</w:t>
      </w:r>
    </w:p>
    <w:p w:rsidR="007F4918" w:rsidRDefault="007F4918" w:rsidP="007F4918">
      <w:pPr>
        <w:pStyle w:val="SangriaFrancesaArticulo"/>
      </w:pPr>
      <w:r w:rsidRPr="007F4918">
        <w:rPr>
          <w:rStyle w:val="TextoNormalNegritaCaracter"/>
        </w:rPr>
        <w:t>Artículo 369.</w:t>
      </w:r>
      <w:r w:rsidRPr="007F4918">
        <w:rPr>
          <w:rStyle w:val="TextoNormalCaracter"/>
        </w:rPr>
        <w:t>-</w:t>
      </w:r>
      <w:r>
        <w:t xml:space="preserve"> Sentencia </w:t>
      </w:r>
      <w:hyperlink w:anchor="SENTENCIA_2002_62" w:history="1">
        <w:r w:rsidRPr="007F4918">
          <w:rPr>
            <w:rStyle w:val="TextoNormalCaracter"/>
          </w:rPr>
          <w:t>62/2002</w:t>
        </w:r>
      </w:hyperlink>
      <w:r>
        <w:t>, f. 4.</w:t>
      </w:r>
    </w:p>
    <w:p w:rsidR="007F4918" w:rsidRDefault="007F4918" w:rsidP="007F4918">
      <w:pPr>
        <w:pStyle w:val="SangriaFrancesaArticulo"/>
      </w:pPr>
      <w:r w:rsidRPr="007F4918">
        <w:rPr>
          <w:rStyle w:val="TextoNormalNegritaCaracter"/>
        </w:rPr>
        <w:t>Artículo 376.</w:t>
      </w:r>
      <w:r w:rsidRPr="007F4918">
        <w:rPr>
          <w:rStyle w:val="TextoNormalCaracter"/>
        </w:rPr>
        <w:t>-</w:t>
      </w:r>
      <w:r>
        <w:t xml:space="preserve"> Sentencia </w:t>
      </w:r>
      <w:hyperlink w:anchor="SENTENCIA_2002_62" w:history="1">
        <w:r w:rsidRPr="007F4918">
          <w:rPr>
            <w:rStyle w:val="TextoNormalCaracter"/>
          </w:rPr>
          <w:t>62/2002</w:t>
        </w:r>
      </w:hyperlink>
      <w:r>
        <w:t>, f. 4.</w:t>
      </w:r>
    </w:p>
    <w:p w:rsidR="007F4918" w:rsidRDefault="007F4918" w:rsidP="007F4918">
      <w:pPr>
        <w:pStyle w:val="SangriaFrancesaArticulo"/>
      </w:pPr>
      <w:r w:rsidRPr="007F4918">
        <w:rPr>
          <w:rStyle w:val="TextoNormalNegritaCaracter"/>
        </w:rPr>
        <w:lastRenderedPageBreak/>
        <w:t>Artículo 376.1.</w:t>
      </w:r>
      <w:r w:rsidRPr="007F4918">
        <w:rPr>
          <w:rStyle w:val="TextoNormalCaracter"/>
        </w:rPr>
        <w:t>-</w:t>
      </w:r>
      <w:r>
        <w:t xml:space="preserve"> Sentencia </w:t>
      </w:r>
      <w:hyperlink w:anchor="SENTENCIA_2002_62" w:history="1">
        <w:r w:rsidRPr="007F4918">
          <w:rPr>
            <w:rStyle w:val="TextoNormalCaracter"/>
          </w:rPr>
          <w:t>62/2002</w:t>
        </w:r>
      </w:hyperlink>
      <w:r>
        <w:t>, f. 4.</w:t>
      </w:r>
    </w:p>
    <w:p w:rsidR="007F4918" w:rsidRDefault="007F4918" w:rsidP="007F4918">
      <w:pPr>
        <w:pStyle w:val="SangriaFrancesaArticulo"/>
      </w:pPr>
      <w:r w:rsidRPr="007F4918">
        <w:rPr>
          <w:rStyle w:val="TextoNormalNegritaCaracter"/>
        </w:rPr>
        <w:t>Artículo 376.2.</w:t>
      </w:r>
      <w:r w:rsidRPr="007F4918">
        <w:rPr>
          <w:rStyle w:val="TextoNormalCaracter"/>
        </w:rPr>
        <w:t>-</w:t>
      </w:r>
      <w:r>
        <w:t xml:space="preserve"> Sentencia </w:t>
      </w:r>
      <w:hyperlink w:anchor="SENTENCIA_2002_62" w:history="1">
        <w:r w:rsidRPr="007F4918">
          <w:rPr>
            <w:rStyle w:val="TextoNormalCaracter"/>
          </w:rPr>
          <w:t>62/2002</w:t>
        </w:r>
      </w:hyperlink>
      <w:r>
        <w:t>, f. 4.</w:t>
      </w:r>
    </w:p>
    <w:p w:rsidR="007F4918" w:rsidRDefault="007F4918" w:rsidP="007F4918">
      <w:pPr>
        <w:pStyle w:val="SangriaFrancesaArticulo"/>
      </w:pPr>
      <w:r w:rsidRPr="007F4918">
        <w:rPr>
          <w:rStyle w:val="TextoNormalNegritaCaracter"/>
        </w:rPr>
        <w:t>Artículo 377.</w:t>
      </w:r>
      <w:r w:rsidRPr="007F4918">
        <w:rPr>
          <w:rStyle w:val="TextoNormalCaracter"/>
        </w:rPr>
        <w:t>-</w:t>
      </w:r>
      <w:r>
        <w:t xml:space="preserve"> Sentencia </w:t>
      </w:r>
      <w:hyperlink w:anchor="SENTENCIA_2002_62" w:history="1">
        <w:r w:rsidRPr="007F4918">
          <w:rPr>
            <w:rStyle w:val="TextoNormalCaracter"/>
          </w:rPr>
          <w:t>62/2002</w:t>
        </w:r>
      </w:hyperlink>
      <w:r>
        <w:t>, ff. 1 a 4.</w:t>
      </w:r>
    </w:p>
    <w:p w:rsidR="007F4918" w:rsidRDefault="007F4918" w:rsidP="007F4918">
      <w:pPr>
        <w:pStyle w:val="SangriaFrancesaArticulo"/>
      </w:pPr>
      <w:r w:rsidRPr="007F4918">
        <w:rPr>
          <w:rStyle w:val="TextoNormalNegritaCaracter"/>
        </w:rPr>
        <w:t>Artículo 408.</w:t>
      </w:r>
      <w:r w:rsidRPr="007F4918">
        <w:rPr>
          <w:rStyle w:val="TextoNormalCaracter"/>
        </w:rPr>
        <w:t>-</w:t>
      </w:r>
      <w:r>
        <w:t xml:space="preserve"> Sentencia </w:t>
      </w:r>
      <w:hyperlink w:anchor="SENTENCIA_2002_56" w:history="1">
        <w:r w:rsidRPr="007F4918">
          <w:rPr>
            <w:rStyle w:val="TextoNormalCaracter"/>
          </w:rPr>
          <w:t>56/2002</w:t>
        </w:r>
      </w:hyperlink>
      <w:r>
        <w:t>, f. 3.</w:t>
      </w:r>
    </w:p>
    <w:p w:rsidR="007F4918" w:rsidRDefault="007F4918" w:rsidP="007F4918">
      <w:pPr>
        <w:pStyle w:val="SangriaFrancesaArticulo"/>
      </w:pPr>
      <w:r w:rsidRPr="007F4918">
        <w:rPr>
          <w:rStyle w:val="TextoNormalNegritaCaracter"/>
        </w:rPr>
        <w:t>Artículo 489.1.</w:t>
      </w:r>
      <w:r w:rsidRPr="007F4918">
        <w:rPr>
          <w:rStyle w:val="TextoNormalCaracter"/>
        </w:rPr>
        <w:t>-</w:t>
      </w:r>
      <w:r>
        <w:t xml:space="preserve"> Sentencia </w:t>
      </w:r>
      <w:hyperlink w:anchor="SENTENCIA_2002_78" w:history="1">
        <w:r w:rsidRPr="007F4918">
          <w:rPr>
            <w:rStyle w:val="TextoNormalCaracter"/>
          </w:rPr>
          <w:t>78/2002</w:t>
        </w:r>
      </w:hyperlink>
      <w:r>
        <w:t>, f. 4.</w:t>
      </w:r>
    </w:p>
    <w:p w:rsidR="007F4918" w:rsidRDefault="007F4918" w:rsidP="007F4918">
      <w:pPr>
        <w:pStyle w:val="SangriaFrancesaArticulo"/>
      </w:pPr>
      <w:r w:rsidRPr="007F4918">
        <w:rPr>
          <w:rStyle w:val="TextoNormalNegritaCaracter"/>
        </w:rPr>
        <w:t>Artículo 489.4.</w:t>
      </w:r>
      <w:r w:rsidRPr="007F4918">
        <w:rPr>
          <w:rStyle w:val="TextoNormalCaracter"/>
        </w:rPr>
        <w:t>-</w:t>
      </w:r>
      <w:r>
        <w:t xml:space="preserve"> Sentencia </w:t>
      </w:r>
      <w:hyperlink w:anchor="SENTENCIA_2002_78" w:history="1">
        <w:r w:rsidRPr="007F4918">
          <w:rPr>
            <w:rStyle w:val="TextoNormalCaracter"/>
          </w:rPr>
          <w:t>78/2002</w:t>
        </w:r>
      </w:hyperlink>
      <w:r>
        <w:t>, f. 4.</w:t>
      </w:r>
    </w:p>
    <w:p w:rsidR="007F4918" w:rsidRDefault="007F4918" w:rsidP="007F4918">
      <w:pPr>
        <w:pStyle w:val="SangriaFrancesaArticulo"/>
      </w:pPr>
      <w:r w:rsidRPr="007F4918">
        <w:rPr>
          <w:rStyle w:val="TextoNormalNegritaCaracter"/>
        </w:rPr>
        <w:t>Artículo 490.</w:t>
      </w:r>
      <w:r w:rsidRPr="007F4918">
        <w:rPr>
          <w:rStyle w:val="TextoNormalCaracter"/>
        </w:rPr>
        <w:t>-</w:t>
      </w:r>
      <w:r>
        <w:t xml:space="preserve"> Sentencia </w:t>
      </w:r>
      <w:hyperlink w:anchor="SENTENCIA_2002_78" w:history="1">
        <w:r w:rsidRPr="007F4918">
          <w:rPr>
            <w:rStyle w:val="TextoNormalCaracter"/>
          </w:rPr>
          <w:t>78/2002</w:t>
        </w:r>
      </w:hyperlink>
      <w:r>
        <w:t>, f. 4.</w:t>
      </w:r>
    </w:p>
    <w:p w:rsidR="007F4918" w:rsidRDefault="007F4918" w:rsidP="007F4918">
      <w:pPr>
        <w:pStyle w:val="SangriaFrancesaArticulo"/>
      </w:pPr>
      <w:r w:rsidRPr="007F4918">
        <w:rPr>
          <w:rStyle w:val="TextoNormalNegritaCaracter"/>
        </w:rPr>
        <w:t>Artículo 586.</w:t>
      </w:r>
      <w:r w:rsidRPr="007F4918">
        <w:rPr>
          <w:rStyle w:val="TextoNormalCaracter"/>
        </w:rPr>
        <w:t>-</w:t>
      </w:r>
      <w:r>
        <w:t xml:space="preserve"> Sentencia </w:t>
      </w:r>
      <w:hyperlink w:anchor="SENTENCIA_2002_79" w:history="1">
        <w:r w:rsidRPr="007F4918">
          <w:rPr>
            <w:rStyle w:val="TextoNormalCaracter"/>
          </w:rPr>
          <w:t>79/2002</w:t>
        </w:r>
      </w:hyperlink>
      <w:r>
        <w:t>, VP.</w:t>
      </w:r>
    </w:p>
    <w:p w:rsidR="007F4918" w:rsidRDefault="007F4918" w:rsidP="007F4918">
      <w:pPr>
        <w:pStyle w:val="SangriaFrancesaArticulo"/>
      </w:pPr>
      <w:r w:rsidRPr="007F4918">
        <w:rPr>
          <w:rStyle w:val="TextoNormalNegritaCaracter"/>
        </w:rPr>
        <w:t>Artículo 589.</w:t>
      </w:r>
      <w:r w:rsidRPr="007F4918">
        <w:rPr>
          <w:rStyle w:val="TextoNormalCaracter"/>
        </w:rPr>
        <w:t>-</w:t>
      </w:r>
      <w:r>
        <w:t xml:space="preserve"> Sentencia </w:t>
      </w:r>
      <w:hyperlink w:anchor="SENTENCIA_2002_79" w:history="1">
        <w:r w:rsidRPr="007F4918">
          <w:rPr>
            <w:rStyle w:val="TextoNormalCaracter"/>
          </w:rPr>
          <w:t>79/2002</w:t>
        </w:r>
      </w:hyperlink>
      <w:r>
        <w:t>, f. 7.</w:t>
      </w:r>
    </w:p>
    <w:p w:rsidR="007F4918" w:rsidRDefault="007F4918" w:rsidP="007F4918">
      <w:pPr>
        <w:pStyle w:val="SangriaFrancesaArticulo"/>
      </w:pPr>
      <w:r w:rsidRPr="007F4918">
        <w:rPr>
          <w:rStyle w:val="TextoNormalNegritaCaracter"/>
        </w:rPr>
        <w:t>Artículo 691.</w:t>
      </w:r>
      <w:r w:rsidRPr="007F4918">
        <w:rPr>
          <w:rStyle w:val="TextoNormalCaracter"/>
        </w:rPr>
        <w:t>-</w:t>
      </w:r>
      <w:r>
        <w:t xml:space="preserve"> Sentencia </w:t>
      </w:r>
      <w:hyperlink w:anchor="SENTENCIA_2002_13" w:history="1">
        <w:r w:rsidRPr="007F4918">
          <w:rPr>
            <w:rStyle w:val="TextoNormalCaracter"/>
          </w:rPr>
          <w:t>13/2002</w:t>
        </w:r>
      </w:hyperlink>
      <w:r>
        <w:t>, ff. 4, 6, 8.</w:t>
      </w:r>
    </w:p>
    <w:p w:rsidR="007F4918" w:rsidRDefault="007F4918" w:rsidP="007F4918">
      <w:pPr>
        <w:pStyle w:val="SangriaFrancesaArticulo"/>
      </w:pPr>
      <w:r w:rsidRPr="007F4918">
        <w:rPr>
          <w:rStyle w:val="TextoNormalNegritaCaracter"/>
        </w:rPr>
        <w:t>Artículo 1566.</w:t>
      </w:r>
      <w:r w:rsidRPr="007F4918">
        <w:rPr>
          <w:rStyle w:val="TextoNormalCaracter"/>
        </w:rPr>
        <w:t>-</w:t>
      </w:r>
      <w:r>
        <w:t xml:space="preserve"> Sentencia </w:t>
      </w:r>
      <w:hyperlink w:anchor="SENTENCIA_2002_22" w:history="1">
        <w:r w:rsidRPr="007F4918">
          <w:rPr>
            <w:rStyle w:val="TextoNormalCaracter"/>
          </w:rPr>
          <w:t>22/2002</w:t>
        </w:r>
      </w:hyperlink>
      <w:r>
        <w:t>, ff. 1, 4, 5, 7.</w:t>
      </w:r>
    </w:p>
    <w:p w:rsidR="007F4918" w:rsidRDefault="007F4918" w:rsidP="007F4918">
      <w:pPr>
        <w:pStyle w:val="SangriaFrancesaArticulo"/>
      </w:pPr>
      <w:r w:rsidRPr="007F4918">
        <w:rPr>
          <w:rStyle w:val="TextoNormalNegritaCaracter"/>
        </w:rPr>
        <w:t>Artículo 1567.</w:t>
      </w:r>
      <w:r w:rsidRPr="007F4918">
        <w:rPr>
          <w:rStyle w:val="TextoNormalCaracter"/>
        </w:rPr>
        <w:t>-</w:t>
      </w:r>
      <w:r>
        <w:t xml:space="preserve"> Sentencia </w:t>
      </w:r>
      <w:hyperlink w:anchor="SENTENCIA_2002_22" w:history="1">
        <w:r w:rsidRPr="007F4918">
          <w:rPr>
            <w:rStyle w:val="TextoNormalCaracter"/>
          </w:rPr>
          <w:t>22/2002</w:t>
        </w:r>
      </w:hyperlink>
      <w:r>
        <w:t>, ff. 1, 4, 5, 7.</w:t>
      </w:r>
    </w:p>
    <w:p w:rsidR="007F4918" w:rsidRDefault="007F4918" w:rsidP="007F4918">
      <w:pPr>
        <w:pStyle w:val="SangriaFrancesaArticulo"/>
      </w:pPr>
      <w:r w:rsidRPr="007F4918">
        <w:rPr>
          <w:rStyle w:val="TextoNormalNegritaCaracter"/>
        </w:rPr>
        <w:t>Artículo 1647.1.</w:t>
      </w:r>
      <w:r w:rsidRPr="007F4918">
        <w:rPr>
          <w:rStyle w:val="TextoNormalCaracter"/>
        </w:rPr>
        <w:t>-</w:t>
      </w:r>
      <w:r>
        <w:t xml:space="preserve"> Sentencia </w:t>
      </w:r>
      <w:hyperlink w:anchor="SENTENCIA_2002_36" w:history="1">
        <w:r w:rsidRPr="007F4918">
          <w:rPr>
            <w:rStyle w:val="TextoNormalCaracter"/>
          </w:rPr>
          <w:t>36/2002</w:t>
        </w:r>
      </w:hyperlink>
      <w:r>
        <w:t>, f. 7.</w:t>
      </w:r>
    </w:p>
    <w:p w:rsidR="007F4918" w:rsidRDefault="007F4918" w:rsidP="007F4918">
      <w:pPr>
        <w:pStyle w:val="SangriaFrancesaArticulo"/>
      </w:pPr>
      <w:r w:rsidRPr="007F4918">
        <w:rPr>
          <w:rStyle w:val="TextoNormalNegritaCaracter"/>
        </w:rPr>
        <w:t>Artículo 1647.4.</w:t>
      </w:r>
      <w:r w:rsidRPr="007F4918">
        <w:rPr>
          <w:rStyle w:val="TextoNormalCaracter"/>
        </w:rPr>
        <w:t>-</w:t>
      </w:r>
      <w:r>
        <w:t xml:space="preserve"> Sentencia </w:t>
      </w:r>
      <w:hyperlink w:anchor="SENTENCIA_2002_36" w:history="1">
        <w:r w:rsidRPr="007F4918">
          <w:rPr>
            <w:rStyle w:val="TextoNormalCaracter"/>
          </w:rPr>
          <w:t>36/2002</w:t>
        </w:r>
      </w:hyperlink>
      <w:r>
        <w:t>, f. 7.</w:t>
      </w:r>
    </w:p>
    <w:p w:rsidR="007F4918" w:rsidRDefault="007F4918" w:rsidP="007F4918">
      <w:pPr>
        <w:pStyle w:val="SangriaFrancesaArticulo"/>
      </w:pPr>
      <w:r w:rsidRPr="007F4918">
        <w:rPr>
          <w:rStyle w:val="TextoNormalNegritaCaracter"/>
        </w:rPr>
        <w:t>Artículo 1687.1 b).</w:t>
      </w:r>
      <w:r w:rsidRPr="007F4918">
        <w:rPr>
          <w:rStyle w:val="TextoNormalCaracter"/>
        </w:rPr>
        <w:t>-</w:t>
      </w:r>
      <w:r>
        <w:t xml:space="preserve"> Sentencia </w:t>
      </w:r>
      <w:hyperlink w:anchor="SENTENCIA_2002_78" w:history="1">
        <w:r w:rsidRPr="007F4918">
          <w:rPr>
            <w:rStyle w:val="TextoNormalCaracter"/>
          </w:rPr>
          <w:t>78/2002</w:t>
        </w:r>
      </w:hyperlink>
      <w:r>
        <w:t>, ff. 1, 4.</w:t>
      </w:r>
    </w:p>
    <w:p w:rsidR="007F4918" w:rsidRDefault="007F4918" w:rsidP="007F4918">
      <w:pPr>
        <w:pStyle w:val="SangriaFrancesaArticulo"/>
      </w:pPr>
      <w:r w:rsidRPr="007F4918">
        <w:rPr>
          <w:rStyle w:val="TextoNormalNegritaCaracter"/>
        </w:rPr>
        <w:t>Artículo 1694.</w:t>
      </w:r>
      <w:r w:rsidRPr="007F4918">
        <w:rPr>
          <w:rStyle w:val="TextoNormalCaracter"/>
        </w:rPr>
        <w:t>-</w:t>
      </w:r>
      <w:r>
        <w:t xml:space="preserve"> Sentencia </w:t>
      </w:r>
      <w:hyperlink w:anchor="SENTENCIA_2002_13" w:history="1">
        <w:r w:rsidRPr="007F4918">
          <w:rPr>
            <w:rStyle w:val="TextoNormalCaracter"/>
          </w:rPr>
          <w:t>13/2002</w:t>
        </w:r>
      </w:hyperlink>
      <w:r>
        <w:t>, f. 4.</w:t>
      </w:r>
    </w:p>
    <w:p w:rsidR="007F4918" w:rsidRDefault="007F4918" w:rsidP="007F4918">
      <w:pPr>
        <w:pStyle w:val="SangriaFrancesaArticulo"/>
      </w:pPr>
      <w:r w:rsidRPr="007F4918">
        <w:rPr>
          <w:rStyle w:val="TextoNormalNegritaCaracter"/>
        </w:rPr>
        <w:t>Artículo 1698.</w:t>
      </w:r>
      <w:r w:rsidRPr="007F4918">
        <w:rPr>
          <w:rStyle w:val="TextoNormalCaracter"/>
        </w:rPr>
        <w:t>-</w:t>
      </w:r>
      <w:r>
        <w:t xml:space="preserve"> Sentencia </w:t>
      </w:r>
      <w:hyperlink w:anchor="SENTENCIA_2002_88" w:history="1">
        <w:r w:rsidRPr="007F4918">
          <w:rPr>
            <w:rStyle w:val="TextoNormalCaracter"/>
          </w:rPr>
          <w:t>88/2002</w:t>
        </w:r>
      </w:hyperlink>
      <w:r>
        <w:t>, f. 3.</w:t>
      </w:r>
    </w:p>
    <w:p w:rsidR="007F4918" w:rsidRDefault="007F4918" w:rsidP="007F4918">
      <w:pPr>
        <w:pStyle w:val="SangriaFrancesaArticulo"/>
      </w:pPr>
      <w:r w:rsidRPr="007F4918">
        <w:rPr>
          <w:rStyle w:val="TextoNormalNegritaCaracter"/>
        </w:rPr>
        <w:t>Artículo 1709.</w:t>
      </w:r>
      <w:r w:rsidRPr="007F4918">
        <w:rPr>
          <w:rStyle w:val="TextoNormalCaracter"/>
        </w:rPr>
        <w:t>-</w:t>
      </w:r>
      <w:r>
        <w:t xml:space="preserve"> Sentencia </w:t>
      </w:r>
      <w:hyperlink w:anchor="SENTENCIA_2002_13" w:history="1">
        <w:r w:rsidRPr="007F4918">
          <w:rPr>
            <w:rStyle w:val="TextoNormalCaracter"/>
          </w:rPr>
          <w:t>13/2002</w:t>
        </w:r>
      </w:hyperlink>
      <w:r>
        <w:t>, f. 8.</w:t>
      </w:r>
    </w:p>
    <w:p w:rsidR="007F4918" w:rsidRDefault="007F4918" w:rsidP="007F4918">
      <w:pPr>
        <w:pStyle w:val="SangriaFrancesaArticulo"/>
      </w:pPr>
      <w:r w:rsidRPr="007F4918">
        <w:rPr>
          <w:rStyle w:val="TextoNormalNegritaCaracter"/>
        </w:rPr>
        <w:t>Artículo 1710.</w:t>
      </w:r>
      <w:r w:rsidRPr="007F4918">
        <w:rPr>
          <w:rStyle w:val="TextoNormalCaracter"/>
        </w:rPr>
        <w:t>-</w:t>
      </w:r>
      <w:r>
        <w:t xml:space="preserve"> Sentencia </w:t>
      </w:r>
      <w:hyperlink w:anchor="SENTENCIA_2002_13" w:history="1">
        <w:r w:rsidRPr="007F4918">
          <w:rPr>
            <w:rStyle w:val="TextoNormalCaracter"/>
          </w:rPr>
          <w:t>13/2002</w:t>
        </w:r>
      </w:hyperlink>
      <w:r>
        <w:t>, f. 8.</w:t>
      </w:r>
    </w:p>
    <w:p w:rsidR="007F4918" w:rsidRDefault="007F4918" w:rsidP="007F4918">
      <w:pPr>
        <w:pStyle w:val="SangriaFrancesaArticulo"/>
      </w:pPr>
      <w:r w:rsidRPr="007F4918">
        <w:rPr>
          <w:rStyle w:val="TextoNormalNegritaCaracter"/>
        </w:rPr>
        <w:t>Artículo 1710.1.</w:t>
      </w:r>
      <w:r w:rsidRPr="007F4918">
        <w:rPr>
          <w:rStyle w:val="TextoNormalCaracter"/>
        </w:rPr>
        <w:t>-</w:t>
      </w:r>
      <w:r>
        <w:t xml:space="preserve"> Sentencia </w:t>
      </w:r>
      <w:hyperlink w:anchor="SENTENCIA_2002_86" w:history="1">
        <w:r w:rsidRPr="007F4918">
          <w:rPr>
            <w:rStyle w:val="TextoNormalCaracter"/>
          </w:rPr>
          <w:t>86/2002</w:t>
        </w:r>
      </w:hyperlink>
      <w:r>
        <w:t>, f. 2.</w:t>
      </w:r>
    </w:p>
    <w:p w:rsidR="007F4918" w:rsidRDefault="007F4918" w:rsidP="007F4918">
      <w:pPr>
        <w:pStyle w:val="SangriaFrancesaArticulo"/>
      </w:pPr>
      <w:r w:rsidRPr="007F4918">
        <w:rPr>
          <w:rStyle w:val="TextoNormalNegritaCaracter"/>
        </w:rPr>
        <w:t>Artículo 1710.4.</w:t>
      </w:r>
      <w:r w:rsidRPr="007F4918">
        <w:rPr>
          <w:rStyle w:val="TextoNormalCaracter"/>
        </w:rPr>
        <w:t>-</w:t>
      </w:r>
      <w:r>
        <w:t xml:space="preserve"> Sentencia </w:t>
      </w:r>
      <w:hyperlink w:anchor="SENTENCIA_2002_86" w:history="1">
        <w:r w:rsidRPr="007F4918">
          <w:rPr>
            <w:rStyle w:val="TextoNormalCaracter"/>
          </w:rPr>
          <w:t>86/2002</w:t>
        </w:r>
      </w:hyperlink>
      <w:r>
        <w:t>, f. 2.</w:t>
      </w:r>
    </w:p>
    <w:p w:rsidR="007F4918" w:rsidRDefault="007F4918" w:rsidP="007F4918">
      <w:pPr>
        <w:pStyle w:val="SangriaFrancesaArticulo"/>
      </w:pPr>
      <w:r w:rsidRPr="007F4918">
        <w:rPr>
          <w:rStyle w:val="TextoNormalNegritaCaracter"/>
        </w:rPr>
        <w:t>Artículo 1867.1 c).</w:t>
      </w:r>
      <w:r w:rsidRPr="007F4918">
        <w:rPr>
          <w:rStyle w:val="TextoNormalCaracter"/>
        </w:rPr>
        <w:t>-</w:t>
      </w:r>
      <w:r>
        <w:t xml:space="preserve"> Sentencia </w:t>
      </w:r>
      <w:hyperlink w:anchor="SENTENCIA_2002_86" w:history="1">
        <w:r w:rsidRPr="007F4918">
          <w:rPr>
            <w:rStyle w:val="TextoNormalCaracter"/>
          </w:rPr>
          <w:t>86/2002</w:t>
        </w:r>
      </w:hyperlink>
      <w:r>
        <w:t>, f. 2.</w:t>
      </w:r>
    </w:p>
    <w:p w:rsidR="007F4918" w:rsidRDefault="007F4918" w:rsidP="007F4918">
      <w:pPr>
        <w:pStyle w:val="SangriaFrancesaArticulo"/>
      </w:pPr>
    </w:p>
    <w:p w:rsidR="007F4918" w:rsidRDefault="007F4918" w:rsidP="007F4918">
      <w:pPr>
        <w:pStyle w:val="TextoNormalNegritaCursivandice"/>
      </w:pPr>
      <w:r>
        <w:t>Real Decreto de 14 de septiembre de 1882. Ley de enjuiciamiento criminal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10" w:history="1">
        <w:r w:rsidRPr="007F4918">
          <w:rPr>
            <w:rStyle w:val="TextoNormalCaracter"/>
          </w:rPr>
          <w:t>10/2002</w:t>
        </w:r>
      </w:hyperlink>
      <w:r>
        <w:t xml:space="preserve">, ff. 1, 9; </w:t>
      </w:r>
      <w:hyperlink w:anchor="SENTENCIA_2002_82" w:history="1">
        <w:r w:rsidRPr="007F4918">
          <w:rPr>
            <w:rStyle w:val="TextoNormalCaracter"/>
          </w:rPr>
          <w:t>82/2002</w:t>
        </w:r>
      </w:hyperlink>
      <w:r>
        <w:t>, ff. 7, 8.</w:t>
      </w:r>
    </w:p>
    <w:p w:rsidR="007F4918" w:rsidRDefault="007F4918" w:rsidP="007F4918">
      <w:pPr>
        <w:pStyle w:val="SangriaFrancesaArticulo"/>
      </w:pPr>
      <w:r w:rsidRPr="007F4918">
        <w:rPr>
          <w:rStyle w:val="TextoNormalNegritaCaracter"/>
        </w:rPr>
        <w:t>Libro II, título VIII.</w:t>
      </w:r>
      <w:r w:rsidRPr="007F4918">
        <w:rPr>
          <w:rStyle w:val="TextoNormalCaracter"/>
        </w:rPr>
        <w:t>-</w:t>
      </w:r>
      <w:r>
        <w:t xml:space="preserve"> Sentencia </w:t>
      </w:r>
      <w:hyperlink w:anchor="SENTENCIA_2002_10" w:history="1">
        <w:r w:rsidRPr="007F4918">
          <w:rPr>
            <w:rStyle w:val="TextoNormalCaracter"/>
          </w:rPr>
          <w:t>10/2002</w:t>
        </w:r>
      </w:hyperlink>
      <w:r>
        <w:t>, f. 9.</w:t>
      </w:r>
    </w:p>
    <w:p w:rsidR="007F4918" w:rsidRDefault="007F4918" w:rsidP="007F4918">
      <w:pPr>
        <w:pStyle w:val="SangriaFrancesaArticulo"/>
      </w:pPr>
      <w:r w:rsidRPr="007F4918">
        <w:rPr>
          <w:rStyle w:val="TextoNormalNegritaCaracter"/>
        </w:rPr>
        <w:t>Artículo 14.</w:t>
      </w:r>
      <w:r w:rsidRPr="007F4918">
        <w:rPr>
          <w:rStyle w:val="TextoNormalCaracter"/>
        </w:rPr>
        <w:t>-</w:t>
      </w:r>
      <w:r>
        <w:t xml:space="preserve"> Sentencia </w:t>
      </w:r>
      <w:hyperlink w:anchor="SENTENCIA_2002_51" w:history="1">
        <w:r w:rsidRPr="007F4918">
          <w:rPr>
            <w:rStyle w:val="TextoNormalCaracter"/>
          </w:rPr>
          <w:t>51/2002</w:t>
        </w:r>
      </w:hyperlink>
      <w:r>
        <w:t>, f. 3.</w:t>
      </w:r>
    </w:p>
    <w:p w:rsidR="007F4918" w:rsidRDefault="007F4918" w:rsidP="007F4918">
      <w:pPr>
        <w:pStyle w:val="SangriaFrancesaArticulo"/>
      </w:pPr>
      <w:r w:rsidRPr="007F4918">
        <w:rPr>
          <w:rStyle w:val="TextoNormalNegritaCaracter"/>
        </w:rPr>
        <w:t>Artículos 100 a 117.</w:t>
      </w:r>
      <w:r w:rsidRPr="007F4918">
        <w:rPr>
          <w:rStyle w:val="TextoNormalCaracter"/>
        </w:rPr>
        <w:t>-</w:t>
      </w:r>
      <w:r>
        <w:t xml:space="preserve"> Sentencia </w:t>
      </w:r>
      <w:hyperlink w:anchor="SENTENCIA_2002_77" w:history="1">
        <w:r w:rsidRPr="007F4918">
          <w:rPr>
            <w:rStyle w:val="TextoNormalCaracter"/>
          </w:rPr>
          <w:t>77/2002</w:t>
        </w:r>
      </w:hyperlink>
      <w:r>
        <w:t>, f. 5.</w:t>
      </w:r>
    </w:p>
    <w:p w:rsidR="007F4918" w:rsidRDefault="007F4918" w:rsidP="007F4918">
      <w:pPr>
        <w:pStyle w:val="SangriaFrancesaArticulo"/>
      </w:pPr>
      <w:r w:rsidRPr="007F4918">
        <w:rPr>
          <w:rStyle w:val="TextoNormalNegritaCaracter"/>
        </w:rPr>
        <w:t>Artículo 108.</w:t>
      </w:r>
      <w:r w:rsidRPr="007F4918">
        <w:rPr>
          <w:rStyle w:val="TextoNormalCaracter"/>
        </w:rPr>
        <w:t>-</w:t>
      </w:r>
      <w:r>
        <w:t xml:space="preserve"> Sentencia </w:t>
      </w:r>
      <w:hyperlink w:anchor="SENTENCIA_2002_15" w:history="1">
        <w:r w:rsidRPr="007F4918">
          <w:rPr>
            <w:rStyle w:val="TextoNormalCaracter"/>
          </w:rPr>
          <w:t>15/2002</w:t>
        </w:r>
      </w:hyperlink>
      <w:r>
        <w:t>, f. 4.</w:t>
      </w:r>
    </w:p>
    <w:p w:rsidR="007F4918" w:rsidRDefault="007F4918" w:rsidP="007F4918">
      <w:pPr>
        <w:pStyle w:val="SangriaIzquierdaArticulo"/>
      </w:pPr>
      <w:r>
        <w:t xml:space="preserve">Auto </w:t>
      </w:r>
      <w:hyperlink w:anchor="AUTO_2002_14" w:history="1">
        <w:r w:rsidRPr="007F4918">
          <w:rPr>
            <w:rStyle w:val="TextoNormalCaracter"/>
          </w:rPr>
          <w:t>14/2002</w:t>
        </w:r>
      </w:hyperlink>
      <w:r>
        <w:t>.</w:t>
      </w:r>
    </w:p>
    <w:p w:rsidR="007F4918" w:rsidRDefault="007F4918" w:rsidP="007F4918">
      <w:pPr>
        <w:pStyle w:val="SangriaFrancesaArticulo"/>
      </w:pPr>
      <w:r w:rsidRPr="007F4918">
        <w:rPr>
          <w:rStyle w:val="TextoNormalNegritaCaracter"/>
        </w:rPr>
        <w:t>Artículos 110 a 117.</w:t>
      </w:r>
      <w:r w:rsidRPr="007F4918">
        <w:rPr>
          <w:rStyle w:val="TextoNormalCaracter"/>
        </w:rPr>
        <w:t>-</w:t>
      </w:r>
      <w:r>
        <w:t xml:space="preserve"> Sentencia </w:t>
      </w:r>
      <w:hyperlink w:anchor="SENTENCIA_2002_77" w:history="1">
        <w:r w:rsidRPr="007F4918">
          <w:rPr>
            <w:rStyle w:val="TextoNormalCaracter"/>
          </w:rPr>
          <w:t>77/2002</w:t>
        </w:r>
      </w:hyperlink>
      <w:r>
        <w:t>, f. 4.</w:t>
      </w:r>
    </w:p>
    <w:p w:rsidR="007F4918" w:rsidRDefault="007F4918" w:rsidP="007F4918">
      <w:pPr>
        <w:pStyle w:val="SangriaFrancesaArticulo"/>
      </w:pPr>
      <w:r w:rsidRPr="007F4918">
        <w:rPr>
          <w:rStyle w:val="TextoNormalNegritaCaracter"/>
        </w:rPr>
        <w:t>Artículo 112.</w:t>
      </w:r>
      <w:r w:rsidRPr="007F4918">
        <w:rPr>
          <w:rStyle w:val="TextoNormalCaracter"/>
        </w:rPr>
        <w:t>-</w:t>
      </w:r>
      <w:r>
        <w:t xml:space="preserve"> Sentencia </w:t>
      </w:r>
      <w:hyperlink w:anchor="SENTENCIA_2002_15" w:history="1">
        <w:r w:rsidRPr="007F4918">
          <w:rPr>
            <w:rStyle w:val="TextoNormalCaracter"/>
          </w:rPr>
          <w:t>15/2002</w:t>
        </w:r>
      </w:hyperlink>
      <w:r>
        <w:t>, f. 4.</w:t>
      </w:r>
    </w:p>
    <w:p w:rsidR="007F4918" w:rsidRDefault="007F4918" w:rsidP="007F4918">
      <w:pPr>
        <w:pStyle w:val="SangriaIzquierdaArticulo"/>
      </w:pPr>
      <w:r>
        <w:t xml:space="preserve">Auto </w:t>
      </w:r>
      <w:hyperlink w:anchor="AUTO_2002_14" w:history="1">
        <w:r w:rsidRPr="007F4918">
          <w:rPr>
            <w:rStyle w:val="TextoNormalCaracter"/>
          </w:rPr>
          <w:t>14/2002</w:t>
        </w:r>
      </w:hyperlink>
      <w:r>
        <w:t>.</w:t>
      </w:r>
    </w:p>
    <w:p w:rsidR="007F4918" w:rsidRDefault="007F4918" w:rsidP="007F4918">
      <w:pPr>
        <w:pStyle w:val="SangriaFrancesaArticulo"/>
      </w:pPr>
      <w:r w:rsidRPr="007F4918">
        <w:rPr>
          <w:rStyle w:val="TextoNormalNegritaCaracter"/>
        </w:rPr>
        <w:t>Artículo 114.</w:t>
      </w:r>
      <w:r w:rsidRPr="007F4918">
        <w:rPr>
          <w:rStyle w:val="TextoNormalCaracter"/>
        </w:rPr>
        <w:t>-</w:t>
      </w:r>
      <w:r>
        <w:t xml:space="preserve"> Sentencia </w:t>
      </w:r>
      <w:hyperlink w:anchor="SENTENCIA_2002_77" w:history="1">
        <w:r w:rsidRPr="007F4918">
          <w:rPr>
            <w:rStyle w:val="TextoNormalCaracter"/>
          </w:rPr>
          <w:t>77/2002</w:t>
        </w:r>
      </w:hyperlink>
      <w:r>
        <w:t>, ff. 4, 5.</w:t>
      </w:r>
    </w:p>
    <w:p w:rsidR="007F4918" w:rsidRDefault="007F4918" w:rsidP="007F4918">
      <w:pPr>
        <w:pStyle w:val="SangriaFrancesaArticulo"/>
      </w:pPr>
      <w:r w:rsidRPr="007F4918">
        <w:rPr>
          <w:rStyle w:val="TextoNormalNegritaCaracter"/>
        </w:rPr>
        <w:t>Artículo 116.</w:t>
      </w:r>
      <w:r w:rsidRPr="007F4918">
        <w:rPr>
          <w:rStyle w:val="TextoNormalCaracter"/>
        </w:rPr>
        <w:t>-</w:t>
      </w:r>
      <w:r>
        <w:t xml:space="preserve"> Sentencias </w:t>
      </w:r>
      <w:hyperlink w:anchor="SENTENCIA_2002_15" w:history="1">
        <w:r w:rsidRPr="007F4918">
          <w:rPr>
            <w:rStyle w:val="TextoNormalCaracter"/>
          </w:rPr>
          <w:t>15/2002</w:t>
        </w:r>
      </w:hyperlink>
      <w:r>
        <w:t xml:space="preserve">, ff. 4, 5; </w:t>
      </w:r>
      <w:hyperlink w:anchor="SENTENCIA_2002_76" w:history="1">
        <w:r w:rsidRPr="007F4918">
          <w:rPr>
            <w:rStyle w:val="TextoNormalCaracter"/>
          </w:rPr>
          <w:t>76/2002</w:t>
        </w:r>
      </w:hyperlink>
      <w:r>
        <w:t>, ff. 1, 6.</w:t>
      </w:r>
    </w:p>
    <w:p w:rsidR="007F4918" w:rsidRDefault="007F4918" w:rsidP="007F4918">
      <w:pPr>
        <w:pStyle w:val="SangriaIzquierdaArticulo"/>
      </w:pPr>
      <w:r>
        <w:t xml:space="preserve">Auto </w:t>
      </w:r>
      <w:hyperlink w:anchor="AUTO_2002_14" w:history="1">
        <w:r w:rsidRPr="007F4918">
          <w:rPr>
            <w:rStyle w:val="TextoNormalCaracter"/>
          </w:rPr>
          <w:t>14/2002</w:t>
        </w:r>
      </w:hyperlink>
      <w:r>
        <w:t>.</w:t>
      </w:r>
    </w:p>
    <w:p w:rsidR="007F4918" w:rsidRDefault="007F4918" w:rsidP="007F4918">
      <w:pPr>
        <w:pStyle w:val="SangriaFrancesaArticulo"/>
      </w:pPr>
      <w:r w:rsidRPr="007F4918">
        <w:rPr>
          <w:rStyle w:val="TextoNormalNegritaCaracter"/>
        </w:rPr>
        <w:t>Artículo 142.2.</w:t>
      </w:r>
      <w:r w:rsidRPr="007F4918">
        <w:rPr>
          <w:rStyle w:val="TextoNormalCaracter"/>
        </w:rPr>
        <w:t>-</w:t>
      </w:r>
      <w:r>
        <w:t xml:space="preserve"> Sentencia </w:t>
      </w:r>
      <w:hyperlink w:anchor="SENTENCIA_2002_68" w:history="1">
        <w:r w:rsidRPr="007F4918">
          <w:rPr>
            <w:rStyle w:val="TextoNormalCaracter"/>
          </w:rPr>
          <w:t>68/2002</w:t>
        </w:r>
      </w:hyperlink>
      <w:r>
        <w:t>, f. 4.</w:t>
      </w:r>
    </w:p>
    <w:p w:rsidR="007F4918" w:rsidRDefault="007F4918" w:rsidP="007F4918">
      <w:pPr>
        <w:pStyle w:val="SangriaFrancesaArticulo"/>
      </w:pPr>
      <w:r w:rsidRPr="007F4918">
        <w:rPr>
          <w:rStyle w:val="TextoNormalNegritaCaracter"/>
        </w:rPr>
        <w:t>Artículo 160.</w:t>
      </w:r>
      <w:r w:rsidRPr="007F4918">
        <w:rPr>
          <w:rStyle w:val="TextoNormalCaracter"/>
        </w:rPr>
        <w:t>-</w:t>
      </w:r>
      <w:r>
        <w:t xml:space="preserve"> Sentencia </w:t>
      </w:r>
      <w:hyperlink w:anchor="SENTENCIA_2002_91" w:history="1">
        <w:r w:rsidRPr="007F4918">
          <w:rPr>
            <w:rStyle w:val="TextoNormalCaracter"/>
          </w:rPr>
          <w:t>91/2002</w:t>
        </w:r>
      </w:hyperlink>
      <w:r>
        <w:t>, ff. 1, 4.</w:t>
      </w:r>
    </w:p>
    <w:p w:rsidR="007F4918" w:rsidRDefault="007F4918" w:rsidP="007F4918">
      <w:pPr>
        <w:pStyle w:val="SangriaFrancesaArticulo"/>
      </w:pPr>
      <w:r w:rsidRPr="007F4918">
        <w:rPr>
          <w:rStyle w:val="TextoNormalNegritaCaracter"/>
        </w:rPr>
        <w:t>Artículo 160.1.</w:t>
      </w:r>
      <w:r w:rsidRPr="007F4918">
        <w:rPr>
          <w:rStyle w:val="TextoNormalCaracter"/>
        </w:rPr>
        <w:t>-</w:t>
      </w:r>
      <w:r>
        <w:t xml:space="preserve"> Sentencia </w:t>
      </w:r>
      <w:hyperlink w:anchor="SENTENCIA_2002_91" w:history="1">
        <w:r w:rsidRPr="007F4918">
          <w:rPr>
            <w:rStyle w:val="TextoNormalCaracter"/>
          </w:rPr>
          <w:t>91/2002</w:t>
        </w:r>
      </w:hyperlink>
      <w:r>
        <w:t>, f. 4.</w:t>
      </w:r>
    </w:p>
    <w:p w:rsidR="007F4918" w:rsidRDefault="007F4918" w:rsidP="007F4918">
      <w:pPr>
        <w:pStyle w:val="SangriaFrancesaArticulo"/>
      </w:pPr>
      <w:r w:rsidRPr="007F4918">
        <w:rPr>
          <w:rStyle w:val="TextoNormalNegritaCaracter"/>
        </w:rPr>
        <w:t>Artículo 160.2.</w:t>
      </w:r>
      <w:r w:rsidRPr="007F4918">
        <w:rPr>
          <w:rStyle w:val="TextoNormalCaracter"/>
        </w:rPr>
        <w:t>-</w:t>
      </w:r>
      <w:r>
        <w:t xml:space="preserve"> Sentencia </w:t>
      </w:r>
      <w:hyperlink w:anchor="SENTENCIA_2002_91" w:history="1">
        <w:r w:rsidRPr="007F4918">
          <w:rPr>
            <w:rStyle w:val="TextoNormalCaracter"/>
          </w:rPr>
          <w:t>91/2002</w:t>
        </w:r>
      </w:hyperlink>
      <w:r>
        <w:t>, f. 4.</w:t>
      </w:r>
    </w:p>
    <w:p w:rsidR="007F4918" w:rsidRDefault="007F4918" w:rsidP="007F4918">
      <w:pPr>
        <w:pStyle w:val="SangriaFrancesaArticulo"/>
      </w:pPr>
      <w:r w:rsidRPr="007F4918">
        <w:rPr>
          <w:rStyle w:val="TextoNormalNegritaCaracter"/>
        </w:rPr>
        <w:t>Artículo 161.</w:t>
      </w:r>
      <w:r w:rsidRPr="007F4918">
        <w:rPr>
          <w:rStyle w:val="TextoNormalCaracter"/>
        </w:rPr>
        <w:t>-</w:t>
      </w:r>
      <w:r>
        <w:t xml:space="preserve"> Sentencia </w:t>
      </w:r>
      <w:hyperlink w:anchor="SENTENCIA_2002_55" w:history="1">
        <w:r w:rsidRPr="007F4918">
          <w:rPr>
            <w:rStyle w:val="TextoNormalCaracter"/>
          </w:rPr>
          <w:t>55/2002</w:t>
        </w:r>
      </w:hyperlink>
      <w:r>
        <w:t>, ff. 1 a 3, 5.</w:t>
      </w:r>
    </w:p>
    <w:p w:rsidR="007F4918" w:rsidRDefault="007F4918" w:rsidP="007F4918">
      <w:pPr>
        <w:pStyle w:val="SangriaFrancesaArticulo"/>
      </w:pPr>
      <w:r w:rsidRPr="007F4918">
        <w:rPr>
          <w:rStyle w:val="TextoNormalNegritaCaracter"/>
        </w:rPr>
        <w:t>Artículo 182.1.</w:t>
      </w:r>
      <w:r w:rsidRPr="007F4918">
        <w:rPr>
          <w:rStyle w:val="TextoNormalCaracter"/>
        </w:rPr>
        <w:t>-</w:t>
      </w:r>
      <w:r>
        <w:t xml:space="preserve"> Sentencia </w:t>
      </w:r>
      <w:hyperlink w:anchor="SENTENCIA_2002_91" w:history="1">
        <w:r w:rsidRPr="007F4918">
          <w:rPr>
            <w:rStyle w:val="TextoNormalCaracter"/>
          </w:rPr>
          <w:t>91/2002</w:t>
        </w:r>
      </w:hyperlink>
      <w:r>
        <w:t>, f. 4.</w:t>
      </w:r>
    </w:p>
    <w:p w:rsidR="007F4918" w:rsidRDefault="007F4918" w:rsidP="007F4918">
      <w:pPr>
        <w:pStyle w:val="SangriaFrancesaArticulo"/>
      </w:pPr>
      <w:r w:rsidRPr="007F4918">
        <w:rPr>
          <w:rStyle w:val="TextoNormalNegritaCaracter"/>
        </w:rPr>
        <w:t>Artículo 212.</w:t>
      </w:r>
      <w:r w:rsidRPr="007F4918">
        <w:rPr>
          <w:rStyle w:val="TextoNormalCaracter"/>
        </w:rPr>
        <w:t>-</w:t>
      </w:r>
      <w:r>
        <w:t xml:space="preserve"> Sentencia </w:t>
      </w:r>
      <w:hyperlink w:anchor="SENTENCIA_2002_91" w:history="1">
        <w:r w:rsidRPr="007F4918">
          <w:rPr>
            <w:rStyle w:val="TextoNormalCaracter"/>
          </w:rPr>
          <w:t>91/2002</w:t>
        </w:r>
      </w:hyperlink>
      <w:r>
        <w:t>, f. 1.</w:t>
      </w:r>
    </w:p>
    <w:p w:rsidR="007F4918" w:rsidRDefault="007F4918" w:rsidP="007F4918">
      <w:pPr>
        <w:pStyle w:val="SangriaFrancesaArticulo"/>
      </w:pPr>
      <w:r w:rsidRPr="007F4918">
        <w:rPr>
          <w:rStyle w:val="TextoNormalNegritaCaracter"/>
        </w:rPr>
        <w:t>Artículo 212.1.</w:t>
      </w:r>
      <w:r w:rsidRPr="007F4918">
        <w:rPr>
          <w:rStyle w:val="TextoNormalCaracter"/>
        </w:rPr>
        <w:t>-</w:t>
      </w:r>
      <w:r>
        <w:t xml:space="preserve"> Sentencia </w:t>
      </w:r>
      <w:hyperlink w:anchor="SENTENCIA_2002_91" w:history="1">
        <w:r w:rsidRPr="007F4918">
          <w:rPr>
            <w:rStyle w:val="TextoNormalCaracter"/>
          </w:rPr>
          <w:t>91/2002</w:t>
        </w:r>
      </w:hyperlink>
      <w:r>
        <w:t>, f. 4.</w:t>
      </w:r>
    </w:p>
    <w:p w:rsidR="007F4918" w:rsidRDefault="007F4918" w:rsidP="007F4918">
      <w:pPr>
        <w:pStyle w:val="SangriaFrancesaArticulo"/>
      </w:pPr>
      <w:r w:rsidRPr="007F4918">
        <w:rPr>
          <w:rStyle w:val="TextoNormalNegritaCaracter"/>
        </w:rPr>
        <w:t>Artículo 218.</w:t>
      </w:r>
      <w:r w:rsidRPr="007F4918">
        <w:rPr>
          <w:rStyle w:val="TextoNormalCaracter"/>
        </w:rPr>
        <w:t>-</w:t>
      </w:r>
      <w:r>
        <w:t xml:space="preserve"> Sentencia </w:t>
      </w:r>
      <w:hyperlink w:anchor="SENTENCIA_2002_65" w:history="1">
        <w:r w:rsidRPr="007F4918">
          <w:rPr>
            <w:rStyle w:val="TextoNormalCaracter"/>
          </w:rPr>
          <w:t>65/2002</w:t>
        </w:r>
      </w:hyperlink>
      <w:r>
        <w:t>, f. 6.</w:t>
      </w:r>
    </w:p>
    <w:p w:rsidR="007F4918" w:rsidRDefault="007F4918" w:rsidP="007F4918">
      <w:pPr>
        <w:pStyle w:val="SangriaFrancesaArticulo"/>
      </w:pPr>
      <w:r w:rsidRPr="007F4918">
        <w:rPr>
          <w:rStyle w:val="TextoNormalNegritaCaracter"/>
        </w:rPr>
        <w:t>Artículo 219.</w:t>
      </w:r>
      <w:r w:rsidRPr="007F4918">
        <w:rPr>
          <w:rStyle w:val="TextoNormalCaracter"/>
        </w:rPr>
        <w:t>-</w:t>
      </w:r>
      <w:r>
        <w:t xml:space="preserve"> Sentencia </w:t>
      </w:r>
      <w:hyperlink w:anchor="SENTENCIA_2002_65" w:history="1">
        <w:r w:rsidRPr="007F4918">
          <w:rPr>
            <w:rStyle w:val="TextoNormalCaracter"/>
          </w:rPr>
          <w:t>65/2002</w:t>
        </w:r>
      </w:hyperlink>
      <w:r>
        <w:t>, f. 6.</w:t>
      </w:r>
    </w:p>
    <w:p w:rsidR="007F4918" w:rsidRDefault="007F4918" w:rsidP="007F4918">
      <w:pPr>
        <w:pStyle w:val="SangriaFrancesaArticulo"/>
      </w:pPr>
      <w:r w:rsidRPr="007F4918">
        <w:rPr>
          <w:rStyle w:val="TextoNormalNegritaCaracter"/>
        </w:rPr>
        <w:t>Artículo 236.</w:t>
      </w:r>
      <w:r w:rsidRPr="007F4918">
        <w:rPr>
          <w:rStyle w:val="TextoNormalCaracter"/>
        </w:rPr>
        <w:t>-</w:t>
      </w:r>
      <w:r>
        <w:t xml:space="preserve"> Auto </w:t>
      </w:r>
      <w:hyperlink w:anchor="AUTO_2002_51" w:history="1">
        <w:r w:rsidRPr="007F4918">
          <w:rPr>
            <w:rStyle w:val="TextoNormalCaracter"/>
          </w:rPr>
          <w:t>51/2002</w:t>
        </w:r>
      </w:hyperlink>
      <w:r>
        <w:t>.</w:t>
      </w:r>
    </w:p>
    <w:p w:rsidR="007F4918" w:rsidRDefault="007F4918" w:rsidP="007F4918">
      <w:pPr>
        <w:pStyle w:val="SangriaFrancesaArticulo"/>
      </w:pPr>
      <w:r w:rsidRPr="007F4918">
        <w:rPr>
          <w:rStyle w:val="TextoNormalNegritaCaracter"/>
        </w:rPr>
        <w:t>Artículo 280.</w:t>
      </w:r>
      <w:r w:rsidRPr="007F4918">
        <w:rPr>
          <w:rStyle w:val="TextoNormalCaracter"/>
        </w:rPr>
        <w:t>-</w:t>
      </w:r>
      <w:r>
        <w:t xml:space="preserve"> Sentencia </w:t>
      </w:r>
      <w:hyperlink w:anchor="SENTENCIA_2002_63" w:history="1">
        <w:r w:rsidRPr="007F4918">
          <w:rPr>
            <w:rStyle w:val="TextoNormalCaracter"/>
          </w:rPr>
          <w:t>63/2002</w:t>
        </w:r>
      </w:hyperlink>
      <w:r>
        <w:t>, f. 2.</w:t>
      </w:r>
    </w:p>
    <w:p w:rsidR="007F4918" w:rsidRDefault="007F4918" w:rsidP="007F4918">
      <w:pPr>
        <w:pStyle w:val="SangriaFrancesaArticulo"/>
      </w:pPr>
      <w:r w:rsidRPr="007F4918">
        <w:rPr>
          <w:rStyle w:val="TextoNormalNegritaCaracter"/>
        </w:rPr>
        <w:lastRenderedPageBreak/>
        <w:t>Artículo 281.</w:t>
      </w:r>
      <w:r w:rsidRPr="007F4918">
        <w:rPr>
          <w:rStyle w:val="TextoNormalCaracter"/>
        </w:rPr>
        <w:t>-</w:t>
      </w:r>
      <w:r>
        <w:t xml:space="preserve"> Sentencia </w:t>
      </w:r>
      <w:hyperlink w:anchor="SENTENCIA_2002_63" w:history="1">
        <w:r w:rsidRPr="007F4918">
          <w:rPr>
            <w:rStyle w:val="TextoNormalCaracter"/>
          </w:rPr>
          <w:t>63/2002</w:t>
        </w:r>
      </w:hyperlink>
      <w:r>
        <w:t>, f. 2.</w:t>
      </w:r>
    </w:p>
    <w:p w:rsidR="007F4918" w:rsidRDefault="007F4918" w:rsidP="007F4918">
      <w:pPr>
        <w:pStyle w:val="SangriaFrancesaArticulo"/>
      </w:pPr>
      <w:r w:rsidRPr="007F4918">
        <w:rPr>
          <w:rStyle w:val="TextoNormalNegritaCaracter"/>
        </w:rPr>
        <w:t>Artículo 282.</w:t>
      </w:r>
      <w:r w:rsidRPr="007F4918">
        <w:rPr>
          <w:rStyle w:val="TextoNormalCaracter"/>
        </w:rPr>
        <w:t>-</w:t>
      </w:r>
      <w:r>
        <w:t xml:space="preserve"> Sentencia </w:t>
      </w:r>
      <w:hyperlink w:anchor="SENTENCIA_2002_70" w:history="1">
        <w:r w:rsidRPr="007F4918">
          <w:rPr>
            <w:rStyle w:val="TextoNormalCaracter"/>
          </w:rPr>
          <w:t>70/2002</w:t>
        </w:r>
      </w:hyperlink>
      <w:r>
        <w:t>, f. 10.</w:t>
      </w:r>
    </w:p>
    <w:p w:rsidR="007F4918" w:rsidRDefault="007F4918" w:rsidP="007F4918">
      <w:pPr>
        <w:pStyle w:val="SangriaFrancesaArticulo"/>
      </w:pPr>
      <w:r w:rsidRPr="007F4918">
        <w:rPr>
          <w:rStyle w:val="TextoNormalNegritaCaracter"/>
        </w:rPr>
        <w:t>Artículo 299.</w:t>
      </w:r>
      <w:r w:rsidRPr="007F4918">
        <w:rPr>
          <w:rStyle w:val="TextoNormalCaracter"/>
        </w:rPr>
        <w:t>-</w:t>
      </w:r>
      <w:r>
        <w:t xml:space="preserve"> Sentencia </w:t>
      </w:r>
      <w:hyperlink w:anchor="SENTENCIA_2002_94" w:history="1">
        <w:r w:rsidRPr="007F4918">
          <w:rPr>
            <w:rStyle w:val="TextoNormalCaracter"/>
          </w:rPr>
          <w:t>94/2002</w:t>
        </w:r>
      </w:hyperlink>
      <w:r>
        <w:t>, f. 3.</w:t>
      </w:r>
    </w:p>
    <w:p w:rsidR="007F4918" w:rsidRDefault="007F4918" w:rsidP="007F4918">
      <w:pPr>
        <w:pStyle w:val="SangriaFrancesaArticulo"/>
      </w:pPr>
      <w:r w:rsidRPr="007F4918">
        <w:rPr>
          <w:rStyle w:val="TextoNormalNegritaCaracter"/>
        </w:rPr>
        <w:t>Artículo 448.</w:t>
      </w:r>
      <w:r w:rsidRPr="007F4918">
        <w:rPr>
          <w:rStyle w:val="TextoNormalCaracter"/>
        </w:rPr>
        <w:t>-</w:t>
      </w:r>
      <w:r>
        <w:t xml:space="preserve"> Sentencia </w:t>
      </w:r>
      <w:hyperlink w:anchor="SENTENCIA_2002_94" w:history="1">
        <w:r w:rsidRPr="007F4918">
          <w:rPr>
            <w:rStyle w:val="TextoNormalCaracter"/>
          </w:rPr>
          <w:t>94/2002</w:t>
        </w:r>
      </w:hyperlink>
      <w:r>
        <w:t>, f. 1.</w:t>
      </w:r>
    </w:p>
    <w:p w:rsidR="007F4918" w:rsidRDefault="007F4918" w:rsidP="007F4918">
      <w:pPr>
        <w:pStyle w:val="SangriaFrancesaArticulo"/>
      </w:pPr>
      <w:r w:rsidRPr="007F4918">
        <w:rPr>
          <w:rStyle w:val="TextoNormalNegritaCaracter"/>
        </w:rPr>
        <w:t>Artículo 503.</w:t>
      </w:r>
      <w:r w:rsidRPr="007F4918">
        <w:rPr>
          <w:rStyle w:val="TextoNormalCaracter"/>
        </w:rPr>
        <w:t>-</w:t>
      </w:r>
      <w:r>
        <w:t xml:space="preserve"> Sentencias </w:t>
      </w:r>
      <w:hyperlink w:anchor="SENTENCIA_2002_8" w:history="1">
        <w:r w:rsidRPr="007F4918">
          <w:rPr>
            <w:rStyle w:val="TextoNormalCaracter"/>
          </w:rPr>
          <w:t>8/2002</w:t>
        </w:r>
      </w:hyperlink>
      <w:r>
        <w:t xml:space="preserve">, f. 6; </w:t>
      </w:r>
      <w:hyperlink w:anchor="SENTENCIA_2002_23" w:history="1">
        <w:r w:rsidRPr="007F4918">
          <w:rPr>
            <w:rStyle w:val="TextoNormalCaracter"/>
          </w:rPr>
          <w:t>23/2002</w:t>
        </w:r>
      </w:hyperlink>
      <w:r>
        <w:t>, f. 4.</w:t>
      </w:r>
    </w:p>
    <w:p w:rsidR="007F4918" w:rsidRDefault="007F4918" w:rsidP="007F4918">
      <w:pPr>
        <w:pStyle w:val="SangriaFrancesaArticulo"/>
      </w:pPr>
      <w:r w:rsidRPr="007F4918">
        <w:rPr>
          <w:rStyle w:val="TextoNormalNegritaCaracter"/>
        </w:rPr>
        <w:t>Artículo 504.</w:t>
      </w:r>
      <w:r w:rsidRPr="007F4918">
        <w:rPr>
          <w:rStyle w:val="TextoNormalCaracter"/>
        </w:rPr>
        <w:t>-</w:t>
      </w:r>
      <w:r>
        <w:t xml:space="preserve"> Sentencias </w:t>
      </w:r>
      <w:hyperlink w:anchor="SENTENCIA_2002_8" w:history="1">
        <w:r w:rsidRPr="007F4918">
          <w:rPr>
            <w:rStyle w:val="TextoNormalCaracter"/>
          </w:rPr>
          <w:t>8/2002</w:t>
        </w:r>
      </w:hyperlink>
      <w:r>
        <w:t xml:space="preserve">, f. 6; </w:t>
      </w:r>
      <w:hyperlink w:anchor="SENTENCIA_2002_98" w:history="1">
        <w:r w:rsidRPr="007F4918">
          <w:rPr>
            <w:rStyle w:val="TextoNormalCaracter"/>
          </w:rPr>
          <w:t>98/2002</w:t>
        </w:r>
      </w:hyperlink>
      <w:r>
        <w:t>, f. 4.</w:t>
      </w:r>
    </w:p>
    <w:p w:rsidR="007F4918" w:rsidRDefault="007F4918" w:rsidP="007F4918">
      <w:pPr>
        <w:pStyle w:val="SangriaFrancesaArticulo"/>
      </w:pPr>
      <w:r w:rsidRPr="007F4918">
        <w:rPr>
          <w:rStyle w:val="TextoNormalNegritaCaracter"/>
        </w:rPr>
        <w:t>Artículo 504 bis 2.</w:t>
      </w:r>
      <w:r w:rsidRPr="007F4918">
        <w:rPr>
          <w:rStyle w:val="TextoNormalCaracter"/>
        </w:rPr>
        <w:t>-</w:t>
      </w:r>
      <w:r>
        <w:t xml:space="preserve"> Sentencia </w:t>
      </w:r>
      <w:hyperlink w:anchor="SENTENCIA_2002_23" w:history="1">
        <w:r w:rsidRPr="007F4918">
          <w:rPr>
            <w:rStyle w:val="TextoNormalCaracter"/>
          </w:rPr>
          <w:t>23/2002</w:t>
        </w:r>
      </w:hyperlink>
      <w:r>
        <w:t>, f. 4.</w:t>
      </w:r>
    </w:p>
    <w:p w:rsidR="007F4918" w:rsidRDefault="007F4918" w:rsidP="007F4918">
      <w:pPr>
        <w:pStyle w:val="SangriaFrancesaArticulo"/>
      </w:pPr>
      <w:r w:rsidRPr="007F4918">
        <w:rPr>
          <w:rStyle w:val="TextoNormalNegritaCaracter"/>
        </w:rPr>
        <w:t>Artículo 504.1.</w:t>
      </w:r>
      <w:r w:rsidRPr="007F4918">
        <w:rPr>
          <w:rStyle w:val="TextoNormalCaracter"/>
        </w:rPr>
        <w:t>-</w:t>
      </w:r>
      <w:r>
        <w:t xml:space="preserve"> Sentencia </w:t>
      </w:r>
      <w:hyperlink w:anchor="SENTENCIA_2002_8" w:history="1">
        <w:r w:rsidRPr="007F4918">
          <w:rPr>
            <w:rStyle w:val="TextoNormalCaracter"/>
          </w:rPr>
          <w:t>8/2002</w:t>
        </w:r>
      </w:hyperlink>
      <w:r>
        <w:t>, f. 6.</w:t>
      </w:r>
    </w:p>
    <w:p w:rsidR="007F4918" w:rsidRDefault="007F4918" w:rsidP="007F4918">
      <w:pPr>
        <w:pStyle w:val="SangriaFrancesaArticulo"/>
      </w:pPr>
      <w:r w:rsidRPr="007F4918">
        <w:rPr>
          <w:rStyle w:val="TextoNormalNegritaCaracter"/>
        </w:rPr>
        <w:t>Artículo 504.2.</w:t>
      </w:r>
      <w:r w:rsidRPr="007F4918">
        <w:rPr>
          <w:rStyle w:val="TextoNormalCaracter"/>
        </w:rPr>
        <w:t>-</w:t>
      </w:r>
      <w:r>
        <w:t xml:space="preserve"> Sentencia </w:t>
      </w:r>
      <w:hyperlink w:anchor="SENTENCIA_2002_8" w:history="1">
        <w:r w:rsidRPr="007F4918">
          <w:rPr>
            <w:rStyle w:val="TextoNormalCaracter"/>
          </w:rPr>
          <w:t>8/2002</w:t>
        </w:r>
      </w:hyperlink>
      <w:r>
        <w:t>, f. 6.</w:t>
      </w:r>
    </w:p>
    <w:p w:rsidR="007F4918" w:rsidRDefault="007F4918" w:rsidP="007F4918">
      <w:pPr>
        <w:pStyle w:val="SangriaFrancesaArticulo"/>
      </w:pPr>
      <w:r w:rsidRPr="007F4918">
        <w:rPr>
          <w:rStyle w:val="TextoNormalNegritaCaracter"/>
        </w:rPr>
        <w:t>Artículo 504.3.</w:t>
      </w:r>
      <w:r w:rsidRPr="007F4918">
        <w:rPr>
          <w:rStyle w:val="TextoNormalCaracter"/>
        </w:rPr>
        <w:t>-</w:t>
      </w:r>
      <w:r>
        <w:t xml:space="preserve"> Sentencia </w:t>
      </w:r>
      <w:hyperlink w:anchor="SENTENCIA_2002_98" w:history="1">
        <w:r w:rsidRPr="007F4918">
          <w:rPr>
            <w:rStyle w:val="TextoNormalCaracter"/>
          </w:rPr>
          <w:t>98/2002</w:t>
        </w:r>
      </w:hyperlink>
      <w:r>
        <w:t>, ff. 4, 6.</w:t>
      </w:r>
    </w:p>
    <w:p w:rsidR="007F4918" w:rsidRDefault="007F4918" w:rsidP="007F4918">
      <w:pPr>
        <w:pStyle w:val="SangriaFrancesaArticulo"/>
      </w:pPr>
      <w:r w:rsidRPr="007F4918">
        <w:rPr>
          <w:rStyle w:val="TextoNormalNegritaCaracter"/>
        </w:rPr>
        <w:t>Artículo 504.4.</w:t>
      </w:r>
      <w:r w:rsidRPr="007F4918">
        <w:rPr>
          <w:rStyle w:val="TextoNormalCaracter"/>
        </w:rPr>
        <w:t>-</w:t>
      </w:r>
      <w:r>
        <w:t xml:space="preserve"> Sentencia </w:t>
      </w:r>
      <w:hyperlink w:anchor="SENTENCIA_2002_98" w:history="1">
        <w:r w:rsidRPr="007F4918">
          <w:rPr>
            <w:rStyle w:val="TextoNormalCaracter"/>
          </w:rPr>
          <w:t>98/2002</w:t>
        </w:r>
      </w:hyperlink>
      <w:r>
        <w:t>, ff. 4, 6.</w:t>
      </w:r>
    </w:p>
    <w:p w:rsidR="007F4918" w:rsidRDefault="007F4918" w:rsidP="007F4918">
      <w:pPr>
        <w:pStyle w:val="SangriaFrancesaArticulo"/>
      </w:pPr>
      <w:r w:rsidRPr="007F4918">
        <w:rPr>
          <w:rStyle w:val="TextoNormalNegritaCaracter"/>
        </w:rPr>
        <w:t>Artículo 504.6.</w:t>
      </w:r>
      <w:r w:rsidRPr="007F4918">
        <w:rPr>
          <w:rStyle w:val="TextoNormalCaracter"/>
        </w:rPr>
        <w:t>-</w:t>
      </w:r>
      <w:r>
        <w:t xml:space="preserve"> Sentencia </w:t>
      </w:r>
      <w:hyperlink w:anchor="SENTENCIA_2002_98" w:history="1">
        <w:r w:rsidRPr="007F4918">
          <w:rPr>
            <w:rStyle w:val="TextoNormalCaracter"/>
          </w:rPr>
          <w:t>98/2002</w:t>
        </w:r>
      </w:hyperlink>
      <w:r>
        <w:t>, ff. 2, 4, 6.</w:t>
      </w:r>
    </w:p>
    <w:p w:rsidR="007F4918" w:rsidRDefault="007F4918" w:rsidP="007F4918">
      <w:pPr>
        <w:pStyle w:val="SangriaFrancesaArticulo"/>
      </w:pPr>
      <w:r w:rsidRPr="007F4918">
        <w:rPr>
          <w:rStyle w:val="TextoNormalNegritaCaracter"/>
        </w:rPr>
        <w:t>Artículo 545.</w:t>
      </w:r>
      <w:r w:rsidRPr="007F4918">
        <w:rPr>
          <w:rStyle w:val="TextoNormalCaracter"/>
        </w:rPr>
        <w:t>-</w:t>
      </w:r>
      <w:r>
        <w:t xml:space="preserve"> Sentencia </w:t>
      </w:r>
      <w:hyperlink w:anchor="SENTENCIA_2002_10" w:history="1">
        <w:r w:rsidRPr="007F4918">
          <w:rPr>
            <w:rStyle w:val="TextoNormalCaracter"/>
          </w:rPr>
          <w:t>10/2002</w:t>
        </w:r>
      </w:hyperlink>
      <w:r>
        <w:t>, f. 2.</w:t>
      </w:r>
    </w:p>
    <w:p w:rsidR="007F4918" w:rsidRDefault="007F4918" w:rsidP="007F4918">
      <w:pPr>
        <w:pStyle w:val="SangriaFrancesaArticulo"/>
      </w:pPr>
      <w:r w:rsidRPr="007F4918">
        <w:rPr>
          <w:rStyle w:val="TextoNormalNegritaCaracter"/>
        </w:rPr>
        <w:t>Artículo 546.</w:t>
      </w:r>
      <w:r w:rsidRPr="007F4918">
        <w:rPr>
          <w:rStyle w:val="TextoNormalCaracter"/>
        </w:rPr>
        <w:t>-</w:t>
      </w:r>
      <w:r>
        <w:t xml:space="preserve"> Sentencia </w:t>
      </w:r>
      <w:hyperlink w:anchor="SENTENCIA_2002_82" w:history="1">
        <w:r w:rsidRPr="007F4918">
          <w:rPr>
            <w:rStyle w:val="TextoNormalCaracter"/>
          </w:rPr>
          <w:t>82/2002</w:t>
        </w:r>
      </w:hyperlink>
      <w:r>
        <w:t>, ff. 7, 8.</w:t>
      </w:r>
    </w:p>
    <w:p w:rsidR="007F4918" w:rsidRDefault="007F4918" w:rsidP="007F4918">
      <w:pPr>
        <w:pStyle w:val="SangriaFrancesaArticulo"/>
      </w:pPr>
      <w:r w:rsidRPr="007F4918">
        <w:rPr>
          <w:rStyle w:val="TextoNormalNegritaCaracter"/>
        </w:rPr>
        <w:t>Artículo 546 a 549.</w:t>
      </w:r>
      <w:r w:rsidRPr="007F4918">
        <w:rPr>
          <w:rStyle w:val="TextoNormalCaracter"/>
        </w:rPr>
        <w:t>-</w:t>
      </w:r>
      <w:r>
        <w:t xml:space="preserve"> Sentencia </w:t>
      </w:r>
      <w:hyperlink w:anchor="SENTENCIA_2002_10" w:history="1">
        <w:r w:rsidRPr="007F4918">
          <w:rPr>
            <w:rStyle w:val="TextoNormalCaracter"/>
          </w:rPr>
          <w:t>10/2002</w:t>
        </w:r>
      </w:hyperlink>
      <w:r>
        <w:t>, f. 9.</w:t>
      </w:r>
    </w:p>
    <w:p w:rsidR="007F4918" w:rsidRDefault="007F4918" w:rsidP="007F4918">
      <w:pPr>
        <w:pStyle w:val="SangriaFrancesaArticulo"/>
      </w:pPr>
      <w:r w:rsidRPr="007F4918">
        <w:rPr>
          <w:rStyle w:val="TextoNormalNegritaCaracter"/>
        </w:rPr>
        <w:t>Artículo 547.</w:t>
      </w:r>
      <w:r w:rsidRPr="007F4918">
        <w:rPr>
          <w:rStyle w:val="TextoNormalCaracter"/>
        </w:rPr>
        <w:t>-</w:t>
      </w:r>
      <w:r>
        <w:t xml:space="preserve"> Sentencia </w:t>
      </w:r>
      <w:hyperlink w:anchor="SENTENCIA_2002_82" w:history="1">
        <w:r w:rsidRPr="007F4918">
          <w:rPr>
            <w:rStyle w:val="TextoNormalCaracter"/>
          </w:rPr>
          <w:t>82/2002</w:t>
        </w:r>
      </w:hyperlink>
      <w:r>
        <w:t>, f. 8.</w:t>
      </w:r>
    </w:p>
    <w:p w:rsidR="007F4918" w:rsidRDefault="007F4918" w:rsidP="007F4918">
      <w:pPr>
        <w:pStyle w:val="SangriaFrancesaArticulo"/>
      </w:pPr>
      <w:r w:rsidRPr="007F4918">
        <w:rPr>
          <w:rStyle w:val="TextoNormalNegritaCaracter"/>
        </w:rPr>
        <w:t>Artículo 547.3.</w:t>
      </w:r>
      <w:r w:rsidRPr="007F4918">
        <w:rPr>
          <w:rStyle w:val="TextoNormalCaracter"/>
        </w:rPr>
        <w:t>-</w:t>
      </w:r>
      <w:r>
        <w:t xml:space="preserve"> Sentencia </w:t>
      </w:r>
      <w:hyperlink w:anchor="SENTENCIA_2002_82" w:history="1">
        <w:r w:rsidRPr="007F4918">
          <w:rPr>
            <w:rStyle w:val="TextoNormalCaracter"/>
          </w:rPr>
          <w:t>82/2002</w:t>
        </w:r>
      </w:hyperlink>
      <w:r>
        <w:t>, ff. 7, 8.</w:t>
      </w:r>
    </w:p>
    <w:p w:rsidR="007F4918" w:rsidRDefault="007F4918" w:rsidP="007F4918">
      <w:pPr>
        <w:pStyle w:val="SangriaFrancesaArticulo"/>
      </w:pPr>
      <w:r w:rsidRPr="007F4918">
        <w:rPr>
          <w:rStyle w:val="TextoNormalNegritaCaracter"/>
        </w:rPr>
        <w:t>Artículo 550.</w:t>
      </w:r>
      <w:r w:rsidRPr="007F4918">
        <w:rPr>
          <w:rStyle w:val="TextoNormalCaracter"/>
        </w:rPr>
        <w:t>-</w:t>
      </w:r>
      <w:r>
        <w:t xml:space="preserve"> Sentencia </w:t>
      </w:r>
      <w:hyperlink w:anchor="SENTENCIA_2002_10" w:history="1">
        <w:r w:rsidRPr="007F4918">
          <w:rPr>
            <w:rStyle w:val="TextoNormalCaracter"/>
          </w:rPr>
          <w:t>10/2002</w:t>
        </w:r>
      </w:hyperlink>
      <w:r>
        <w:t>, f. 9.</w:t>
      </w:r>
    </w:p>
    <w:p w:rsidR="007F4918" w:rsidRDefault="007F4918" w:rsidP="007F4918">
      <w:pPr>
        <w:pStyle w:val="SangriaFrancesaArticulo"/>
      </w:pPr>
      <w:r w:rsidRPr="007F4918">
        <w:rPr>
          <w:rStyle w:val="TextoNormalNegritaCaracter"/>
        </w:rPr>
        <w:t>Artículo 554.</w:t>
      </w:r>
      <w:r w:rsidRPr="007F4918">
        <w:rPr>
          <w:rStyle w:val="TextoNormalCaracter"/>
        </w:rPr>
        <w:t>-</w:t>
      </w:r>
      <w:r>
        <w:t xml:space="preserve"> Sentencias </w:t>
      </w:r>
      <w:hyperlink w:anchor="SENTENCIA_2002_10" w:history="1">
        <w:r w:rsidRPr="007F4918">
          <w:rPr>
            <w:rStyle w:val="TextoNormalCaracter"/>
          </w:rPr>
          <w:t>10/2002</w:t>
        </w:r>
      </w:hyperlink>
      <w:r>
        <w:t xml:space="preserve">, f. 9; </w:t>
      </w:r>
      <w:hyperlink w:anchor="SENTENCIA_2002_82" w:history="1">
        <w:r w:rsidRPr="007F4918">
          <w:rPr>
            <w:rStyle w:val="TextoNormalCaracter"/>
          </w:rPr>
          <w:t>82/2002</w:t>
        </w:r>
      </w:hyperlink>
      <w:r>
        <w:t>, f. 8.</w:t>
      </w:r>
    </w:p>
    <w:p w:rsidR="007F4918" w:rsidRDefault="007F4918" w:rsidP="007F4918">
      <w:pPr>
        <w:pStyle w:val="SangriaFrancesaArticulo"/>
      </w:pPr>
      <w:r w:rsidRPr="007F4918">
        <w:rPr>
          <w:rStyle w:val="TextoNormalNegritaCaracter"/>
        </w:rPr>
        <w:t>Artículo 554.2.</w:t>
      </w:r>
      <w:r w:rsidRPr="007F4918">
        <w:rPr>
          <w:rStyle w:val="TextoNormalCaracter"/>
        </w:rPr>
        <w:t>-</w:t>
      </w:r>
      <w:r>
        <w:t xml:space="preserve"> Sentencia </w:t>
      </w:r>
      <w:hyperlink w:anchor="SENTENCIA_2002_10" w:history="1">
        <w:r w:rsidRPr="007F4918">
          <w:rPr>
            <w:rStyle w:val="TextoNormalCaracter"/>
          </w:rPr>
          <w:t>10/2002</w:t>
        </w:r>
      </w:hyperlink>
      <w:r>
        <w:t>, f. 10.</w:t>
      </w:r>
    </w:p>
    <w:p w:rsidR="007F4918" w:rsidRDefault="007F4918" w:rsidP="007F4918">
      <w:pPr>
        <w:pStyle w:val="SangriaFrancesaArticulo"/>
      </w:pPr>
      <w:r w:rsidRPr="007F4918">
        <w:rPr>
          <w:rStyle w:val="TextoNormalNegritaCaracter"/>
        </w:rPr>
        <w:t>Artículo 557.</w:t>
      </w:r>
      <w:r w:rsidRPr="007F4918">
        <w:rPr>
          <w:rStyle w:val="TextoNormalCaracter"/>
        </w:rPr>
        <w:t>-</w:t>
      </w:r>
      <w:r>
        <w:t xml:space="preserve"> Sentencia </w:t>
      </w:r>
      <w:hyperlink w:anchor="SENTENCIA_2002_10" w:history="1">
        <w:r w:rsidRPr="007F4918">
          <w:rPr>
            <w:rStyle w:val="TextoNormalCaracter"/>
          </w:rPr>
          <w:t>10/2002</w:t>
        </w:r>
      </w:hyperlink>
      <w:r>
        <w:t>, ff. 1 a 5, 9, 10.</w:t>
      </w:r>
    </w:p>
    <w:p w:rsidR="007F4918" w:rsidRDefault="007F4918" w:rsidP="007F4918">
      <w:pPr>
        <w:pStyle w:val="SangriaFrancesaArticulo"/>
      </w:pPr>
      <w:r w:rsidRPr="007F4918">
        <w:rPr>
          <w:rStyle w:val="TextoNormalNegritaCaracter"/>
        </w:rPr>
        <w:t>Artículo 558.</w:t>
      </w:r>
      <w:r w:rsidRPr="007F4918">
        <w:rPr>
          <w:rStyle w:val="TextoNormalCaracter"/>
        </w:rPr>
        <w:t>-</w:t>
      </w:r>
      <w:r>
        <w:t xml:space="preserve"> Sentencia </w:t>
      </w:r>
      <w:hyperlink w:anchor="SENTENCIA_2002_10" w:history="1">
        <w:r w:rsidRPr="007F4918">
          <w:rPr>
            <w:rStyle w:val="TextoNormalCaracter"/>
          </w:rPr>
          <w:t>10/2002</w:t>
        </w:r>
      </w:hyperlink>
      <w:r>
        <w:t>, f. 9.</w:t>
      </w:r>
    </w:p>
    <w:p w:rsidR="007F4918" w:rsidRDefault="007F4918" w:rsidP="007F4918">
      <w:pPr>
        <w:pStyle w:val="SangriaFrancesaArticulo"/>
      </w:pPr>
      <w:r w:rsidRPr="007F4918">
        <w:rPr>
          <w:rStyle w:val="TextoNormalNegritaCaracter"/>
        </w:rPr>
        <w:t>Artículo 567.</w:t>
      </w:r>
      <w:r w:rsidRPr="007F4918">
        <w:rPr>
          <w:rStyle w:val="TextoNormalCaracter"/>
        </w:rPr>
        <w:t>-</w:t>
      </w:r>
      <w:r>
        <w:t xml:space="preserve"> Sentencia </w:t>
      </w:r>
      <w:hyperlink w:anchor="SENTENCIA_2002_82" w:history="1">
        <w:r w:rsidRPr="007F4918">
          <w:rPr>
            <w:rStyle w:val="TextoNormalCaracter"/>
          </w:rPr>
          <w:t>82/2002</w:t>
        </w:r>
      </w:hyperlink>
      <w:r>
        <w:t>, f. 7.</w:t>
      </w:r>
    </w:p>
    <w:p w:rsidR="007F4918" w:rsidRDefault="007F4918" w:rsidP="007F4918">
      <w:pPr>
        <w:pStyle w:val="SangriaFrancesaArticulo"/>
      </w:pPr>
      <w:r w:rsidRPr="007F4918">
        <w:rPr>
          <w:rStyle w:val="TextoNormalNegritaCaracter"/>
        </w:rPr>
        <w:t>Artículo 568.</w:t>
      </w:r>
      <w:r w:rsidRPr="007F4918">
        <w:rPr>
          <w:rStyle w:val="TextoNormalCaracter"/>
        </w:rPr>
        <w:t>-</w:t>
      </w:r>
      <w:r>
        <w:t xml:space="preserve"> Sentencia </w:t>
      </w:r>
      <w:hyperlink w:anchor="SENTENCIA_2002_82" w:history="1">
        <w:r w:rsidRPr="007F4918">
          <w:rPr>
            <w:rStyle w:val="TextoNormalCaracter"/>
          </w:rPr>
          <w:t>82/2002</w:t>
        </w:r>
      </w:hyperlink>
      <w:r>
        <w:t>, f. 7.</w:t>
      </w:r>
    </w:p>
    <w:p w:rsidR="007F4918" w:rsidRDefault="007F4918" w:rsidP="007F4918">
      <w:pPr>
        <w:pStyle w:val="SangriaFrancesaArticulo"/>
      </w:pPr>
      <w:r w:rsidRPr="007F4918">
        <w:rPr>
          <w:rStyle w:val="TextoNormalNegritaCaracter"/>
        </w:rPr>
        <w:t>Artículo 569.</w:t>
      </w:r>
      <w:r w:rsidRPr="007F4918">
        <w:rPr>
          <w:rStyle w:val="TextoNormalCaracter"/>
        </w:rPr>
        <w:t>-</w:t>
      </w:r>
      <w:r>
        <w:t xml:space="preserve"> Sentencia </w:t>
      </w:r>
      <w:hyperlink w:anchor="SENTENCIA_2002_82" w:history="1">
        <w:r w:rsidRPr="007F4918">
          <w:rPr>
            <w:rStyle w:val="TextoNormalCaracter"/>
          </w:rPr>
          <w:t>82/2002</w:t>
        </w:r>
      </w:hyperlink>
      <w:r>
        <w:t>, ff. 7, 8.</w:t>
      </w:r>
    </w:p>
    <w:p w:rsidR="007F4918" w:rsidRDefault="007F4918" w:rsidP="007F4918">
      <w:pPr>
        <w:pStyle w:val="SangriaFrancesaArticulo"/>
      </w:pPr>
      <w:r w:rsidRPr="007F4918">
        <w:rPr>
          <w:rStyle w:val="TextoNormalNegritaCaracter"/>
        </w:rPr>
        <w:t>Artículo 579.</w:t>
      </w:r>
      <w:r w:rsidRPr="007F4918">
        <w:rPr>
          <w:rStyle w:val="TextoNormalCaracter"/>
        </w:rPr>
        <w:t>-</w:t>
      </w:r>
      <w:r>
        <w:t xml:space="preserve"> Sentencia </w:t>
      </w:r>
      <w:hyperlink w:anchor="SENTENCIA_2002_70" w:history="1">
        <w:r w:rsidRPr="007F4918">
          <w:rPr>
            <w:rStyle w:val="TextoNormalCaracter"/>
          </w:rPr>
          <w:t>70/2002</w:t>
        </w:r>
      </w:hyperlink>
      <w:r>
        <w:t>, f. 8.</w:t>
      </w:r>
    </w:p>
    <w:p w:rsidR="007F4918" w:rsidRDefault="007F4918" w:rsidP="007F4918">
      <w:pPr>
        <w:pStyle w:val="SangriaFrancesaArticulo"/>
      </w:pPr>
      <w:r w:rsidRPr="007F4918">
        <w:rPr>
          <w:rStyle w:val="TextoNormalNegritaCaracter"/>
        </w:rPr>
        <w:t>Artículo 637.</w:t>
      </w:r>
      <w:r w:rsidRPr="007F4918">
        <w:rPr>
          <w:rStyle w:val="TextoNormalCaracter"/>
        </w:rPr>
        <w:t>-</w:t>
      </w:r>
      <w:r>
        <w:t xml:space="preserve"> Sentencia </w:t>
      </w:r>
      <w:hyperlink w:anchor="SENTENCIA_2002_63" w:history="1">
        <w:r w:rsidRPr="007F4918">
          <w:rPr>
            <w:rStyle w:val="TextoNormalCaracter"/>
          </w:rPr>
          <w:t>63/2002</w:t>
        </w:r>
      </w:hyperlink>
      <w:r>
        <w:t>, ff. 3, 4.</w:t>
      </w:r>
    </w:p>
    <w:p w:rsidR="007F4918" w:rsidRDefault="007F4918" w:rsidP="007F4918">
      <w:pPr>
        <w:pStyle w:val="SangriaFrancesaArticulo"/>
      </w:pPr>
      <w:r w:rsidRPr="007F4918">
        <w:rPr>
          <w:rStyle w:val="TextoNormalNegritaCaracter"/>
        </w:rPr>
        <w:t>Artículo 641.</w:t>
      </w:r>
      <w:r w:rsidRPr="007F4918">
        <w:rPr>
          <w:rStyle w:val="TextoNormalCaracter"/>
        </w:rPr>
        <w:t>-</w:t>
      </w:r>
      <w:r>
        <w:t xml:space="preserve"> Sentencia </w:t>
      </w:r>
      <w:hyperlink w:anchor="SENTENCIA_2002_63" w:history="1">
        <w:r w:rsidRPr="007F4918">
          <w:rPr>
            <w:rStyle w:val="TextoNormalCaracter"/>
          </w:rPr>
          <w:t>63/2002</w:t>
        </w:r>
      </w:hyperlink>
      <w:r>
        <w:t>, ff. 3, 4.</w:t>
      </w:r>
    </w:p>
    <w:p w:rsidR="007F4918" w:rsidRDefault="007F4918" w:rsidP="007F4918">
      <w:pPr>
        <w:pStyle w:val="SangriaFrancesaArticulo"/>
      </w:pPr>
      <w:r w:rsidRPr="007F4918">
        <w:rPr>
          <w:rStyle w:val="TextoNormalNegritaCaracter"/>
        </w:rPr>
        <w:t>Artículo 657.3.</w:t>
      </w:r>
      <w:r w:rsidRPr="007F4918">
        <w:rPr>
          <w:rStyle w:val="TextoNormalCaracter"/>
        </w:rPr>
        <w:t>-</w:t>
      </w:r>
      <w:r>
        <w:t xml:space="preserve"> Sentencia </w:t>
      </w:r>
      <w:hyperlink w:anchor="SENTENCIA_2002_2" w:history="1">
        <w:r w:rsidRPr="007F4918">
          <w:rPr>
            <w:rStyle w:val="TextoNormalCaracter"/>
          </w:rPr>
          <w:t>2/2002</w:t>
        </w:r>
      </w:hyperlink>
      <w:r>
        <w:t>, f. 6.</w:t>
      </w:r>
    </w:p>
    <w:p w:rsidR="007F4918" w:rsidRDefault="007F4918" w:rsidP="007F4918">
      <w:pPr>
        <w:pStyle w:val="SangriaFrancesaArticulo"/>
      </w:pPr>
      <w:r w:rsidRPr="007F4918">
        <w:rPr>
          <w:rStyle w:val="TextoNormalNegritaCaracter"/>
        </w:rPr>
        <w:t>Artículo 709.</w:t>
      </w:r>
      <w:r w:rsidRPr="007F4918">
        <w:rPr>
          <w:rStyle w:val="TextoNormalCaracter"/>
        </w:rPr>
        <w:t>-</w:t>
      </w:r>
      <w:r>
        <w:t xml:space="preserve"> Sentencia </w:t>
      </w:r>
      <w:hyperlink w:anchor="SENTENCIA_2002_70" w:history="1">
        <w:r w:rsidRPr="007F4918">
          <w:rPr>
            <w:rStyle w:val="TextoNormalCaracter"/>
          </w:rPr>
          <w:t>70/2002</w:t>
        </w:r>
      </w:hyperlink>
      <w:r>
        <w:t>, f. 5.</w:t>
      </w:r>
    </w:p>
    <w:p w:rsidR="007F4918" w:rsidRDefault="007F4918" w:rsidP="007F4918">
      <w:pPr>
        <w:pStyle w:val="SangriaFrancesaArticulo"/>
      </w:pPr>
      <w:r w:rsidRPr="007F4918">
        <w:rPr>
          <w:rStyle w:val="TextoNormalNegritaCaracter"/>
        </w:rPr>
        <w:t>Artículo 714.</w:t>
      </w:r>
      <w:r w:rsidRPr="007F4918">
        <w:rPr>
          <w:rStyle w:val="TextoNormalCaracter"/>
        </w:rPr>
        <w:t>-</w:t>
      </w:r>
      <w:r>
        <w:t xml:space="preserve"> Sentencias </w:t>
      </w:r>
      <w:hyperlink w:anchor="SENTENCIA_2002_2" w:history="1">
        <w:r w:rsidRPr="007F4918">
          <w:rPr>
            <w:rStyle w:val="TextoNormalCaracter"/>
          </w:rPr>
          <w:t>2/2002</w:t>
        </w:r>
      </w:hyperlink>
      <w:r>
        <w:t xml:space="preserve">, ff. 6, 7; </w:t>
      </w:r>
      <w:hyperlink w:anchor="SENTENCIA_2002_57" w:history="1">
        <w:r w:rsidRPr="007F4918">
          <w:rPr>
            <w:rStyle w:val="TextoNormalCaracter"/>
          </w:rPr>
          <w:t>57/2002</w:t>
        </w:r>
      </w:hyperlink>
      <w:r>
        <w:t>, ff. 2, 3.</w:t>
      </w:r>
    </w:p>
    <w:p w:rsidR="007F4918" w:rsidRDefault="007F4918" w:rsidP="007F4918">
      <w:pPr>
        <w:pStyle w:val="SangriaFrancesaArticulo"/>
      </w:pPr>
      <w:r w:rsidRPr="007F4918">
        <w:rPr>
          <w:rStyle w:val="TextoNormalNegritaCaracter"/>
        </w:rPr>
        <w:t>Artículo 730.</w:t>
      </w:r>
      <w:r w:rsidRPr="007F4918">
        <w:rPr>
          <w:rStyle w:val="TextoNormalCaracter"/>
        </w:rPr>
        <w:t>-</w:t>
      </w:r>
      <w:r>
        <w:t xml:space="preserve"> Sentencias </w:t>
      </w:r>
      <w:hyperlink w:anchor="SENTENCIA_2002_2" w:history="1">
        <w:r w:rsidRPr="007F4918">
          <w:rPr>
            <w:rStyle w:val="TextoNormalCaracter"/>
          </w:rPr>
          <w:t>2/2002</w:t>
        </w:r>
      </w:hyperlink>
      <w:r>
        <w:t xml:space="preserve">, ff. 6, 7; </w:t>
      </w:r>
      <w:hyperlink w:anchor="SENTENCIA_2002_12" w:history="1">
        <w:r w:rsidRPr="007F4918">
          <w:rPr>
            <w:rStyle w:val="TextoNormalCaracter"/>
          </w:rPr>
          <w:t>12/2002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IzquierdaArticulo"/>
      </w:pPr>
      <w:r>
        <w:t xml:space="preserve">Auto </w:t>
      </w:r>
      <w:hyperlink w:anchor="AUTO_2002_8" w:history="1">
        <w:r w:rsidRPr="007F4918">
          <w:rPr>
            <w:rStyle w:val="TextoNormalCaracter"/>
          </w:rPr>
          <w:t>8/2002</w:t>
        </w:r>
      </w:hyperlink>
      <w:r>
        <w:t>.</w:t>
      </w:r>
    </w:p>
    <w:p w:rsidR="007F4918" w:rsidRDefault="007F4918" w:rsidP="007F4918">
      <w:pPr>
        <w:pStyle w:val="SangriaFrancesaArticulo"/>
      </w:pPr>
      <w:r w:rsidRPr="007F4918">
        <w:rPr>
          <w:rStyle w:val="TextoNormalNegritaCaracter"/>
        </w:rPr>
        <w:t>Artículo 739.</w:t>
      </w:r>
      <w:r w:rsidRPr="007F4918">
        <w:rPr>
          <w:rStyle w:val="TextoNormalCaracter"/>
        </w:rPr>
        <w:t>-</w:t>
      </w:r>
      <w:r>
        <w:t xml:space="preserve"> Sentencia </w:t>
      </w:r>
      <w:hyperlink w:anchor="SENTENCIA_2002_2" w:history="1">
        <w:r w:rsidRPr="007F4918">
          <w:rPr>
            <w:rStyle w:val="TextoNormalCaracter"/>
          </w:rPr>
          <w:t>2/2002</w:t>
        </w:r>
      </w:hyperlink>
      <w:r>
        <w:t>, ff. 3, 5.</w:t>
      </w:r>
    </w:p>
    <w:p w:rsidR="007F4918" w:rsidRDefault="007F4918" w:rsidP="007F4918">
      <w:pPr>
        <w:pStyle w:val="SangriaFrancesaArticulo"/>
      </w:pPr>
      <w:r w:rsidRPr="007F4918">
        <w:rPr>
          <w:rStyle w:val="TextoNormalNegritaCaracter"/>
        </w:rPr>
        <w:t>Artículo 741.</w:t>
      </w:r>
      <w:r w:rsidRPr="007F4918">
        <w:rPr>
          <w:rStyle w:val="TextoNormalCaracter"/>
        </w:rPr>
        <w:t>-</w:t>
      </w:r>
      <w:r>
        <w:t xml:space="preserve"> Sentencia </w:t>
      </w:r>
      <w:hyperlink w:anchor="SENTENCIA_2002_17" w:history="1">
        <w:r w:rsidRPr="007F4918">
          <w:rPr>
            <w:rStyle w:val="TextoNormalCaracter"/>
          </w:rPr>
          <w:t>17/2002</w:t>
        </w:r>
      </w:hyperlink>
      <w:r>
        <w:t>, f. 4.</w:t>
      </w:r>
    </w:p>
    <w:p w:rsidR="007F4918" w:rsidRDefault="007F4918" w:rsidP="007F4918">
      <w:pPr>
        <w:pStyle w:val="SangriaFrancesaArticulo"/>
      </w:pPr>
      <w:r w:rsidRPr="007F4918">
        <w:rPr>
          <w:rStyle w:val="TextoNormalNegritaCaracter"/>
        </w:rPr>
        <w:t>Artículo 759.3.</w:t>
      </w:r>
      <w:r w:rsidRPr="007F4918">
        <w:rPr>
          <w:rStyle w:val="TextoNormalCaracter"/>
        </w:rPr>
        <w:t>-</w:t>
      </w:r>
      <w:r>
        <w:t xml:space="preserve"> Sentencia </w:t>
      </w:r>
      <w:hyperlink w:anchor="SENTENCIA_2002_81" w:history="1">
        <w:r w:rsidRPr="007F4918">
          <w:rPr>
            <w:rStyle w:val="TextoNormalCaracter"/>
          </w:rPr>
          <w:t>81/2002</w:t>
        </w:r>
      </w:hyperlink>
      <w:r>
        <w:t>, f. 4.</w:t>
      </w:r>
    </w:p>
    <w:p w:rsidR="007F4918" w:rsidRDefault="007F4918" w:rsidP="007F4918">
      <w:pPr>
        <w:pStyle w:val="SangriaFrancesaArticulo"/>
      </w:pPr>
      <w:r w:rsidRPr="007F4918">
        <w:rPr>
          <w:rStyle w:val="TextoNormalNegritaCaracter"/>
        </w:rPr>
        <w:t>Artículo 759.4.</w:t>
      </w:r>
      <w:r w:rsidRPr="007F4918">
        <w:rPr>
          <w:rStyle w:val="TextoNormalCaracter"/>
        </w:rPr>
        <w:t>-</w:t>
      </w:r>
      <w:r>
        <w:t xml:space="preserve"> Sentencia </w:t>
      </w:r>
      <w:hyperlink w:anchor="SENTENCIA_2002_81" w:history="1">
        <w:r w:rsidRPr="007F4918">
          <w:rPr>
            <w:rStyle w:val="TextoNormalCaracter"/>
          </w:rPr>
          <w:t>81/2002</w:t>
        </w:r>
      </w:hyperlink>
      <w:r>
        <w:t>, f. 4.</w:t>
      </w:r>
    </w:p>
    <w:p w:rsidR="007F4918" w:rsidRDefault="007F4918" w:rsidP="007F4918">
      <w:pPr>
        <w:pStyle w:val="SangriaFrancesaArticulo"/>
      </w:pPr>
      <w:r w:rsidRPr="007F4918">
        <w:rPr>
          <w:rStyle w:val="TextoNormalNegritaCaracter"/>
        </w:rPr>
        <w:t>Artículo 784.</w:t>
      </w:r>
      <w:r w:rsidRPr="007F4918">
        <w:rPr>
          <w:rStyle w:val="TextoNormalCaracter"/>
        </w:rPr>
        <w:t>-</w:t>
      </w:r>
      <w:r>
        <w:t xml:space="preserve"> Sentencia </w:t>
      </w:r>
      <w:hyperlink w:anchor="SENTENCIA_2002_19" w:history="1">
        <w:r w:rsidRPr="007F4918">
          <w:rPr>
            <w:rStyle w:val="TextoNormalCaracter"/>
          </w:rPr>
          <w:t>19/2002</w:t>
        </w:r>
      </w:hyperlink>
      <w:r>
        <w:t>, f. 3.</w:t>
      </w:r>
    </w:p>
    <w:p w:rsidR="007F4918" w:rsidRDefault="007F4918" w:rsidP="007F4918">
      <w:pPr>
        <w:pStyle w:val="SangriaFrancesaArticulo"/>
      </w:pPr>
      <w:r w:rsidRPr="007F4918">
        <w:rPr>
          <w:rStyle w:val="TextoNormalNegritaCaracter"/>
        </w:rPr>
        <w:t>Artículo 784.5.</w:t>
      </w:r>
      <w:r w:rsidRPr="007F4918">
        <w:rPr>
          <w:rStyle w:val="TextoNormalCaracter"/>
        </w:rPr>
        <w:t>-</w:t>
      </w:r>
      <w:r>
        <w:t xml:space="preserve"> Sentencia </w:t>
      </w:r>
      <w:hyperlink w:anchor="SENTENCIA_2002_19" w:history="1">
        <w:r w:rsidRPr="007F4918">
          <w:rPr>
            <w:rStyle w:val="TextoNormalCaracter"/>
          </w:rPr>
          <w:t>19/2002</w:t>
        </w:r>
      </w:hyperlink>
      <w:r>
        <w:t>, ff. 2, 3.</w:t>
      </w:r>
    </w:p>
    <w:p w:rsidR="007F4918" w:rsidRDefault="007F4918" w:rsidP="007F4918">
      <w:pPr>
        <w:pStyle w:val="SangriaFrancesaArticulo"/>
      </w:pPr>
      <w:r w:rsidRPr="007F4918">
        <w:rPr>
          <w:rStyle w:val="TextoNormalNegritaCaracter"/>
        </w:rPr>
        <w:t>Artículo 789.5.1.</w:t>
      </w:r>
      <w:r w:rsidRPr="007F4918">
        <w:rPr>
          <w:rStyle w:val="TextoNormalCaracter"/>
        </w:rPr>
        <w:t>-</w:t>
      </w:r>
      <w:r>
        <w:t xml:space="preserve"> Sentencia </w:t>
      </w:r>
      <w:hyperlink w:anchor="SENTENCIA_2002_63" w:history="1">
        <w:r w:rsidRPr="007F4918">
          <w:rPr>
            <w:rStyle w:val="TextoNormalCaracter"/>
          </w:rPr>
          <w:t>63/2002</w:t>
        </w:r>
      </w:hyperlink>
      <w:r>
        <w:t>, ff. 3, 4, 6.</w:t>
      </w:r>
    </w:p>
    <w:p w:rsidR="007F4918" w:rsidRDefault="007F4918" w:rsidP="007F4918">
      <w:pPr>
        <w:pStyle w:val="SangriaFrancesaArticulo"/>
      </w:pPr>
      <w:r w:rsidRPr="007F4918">
        <w:rPr>
          <w:rStyle w:val="TextoNormalNegritaCaracter"/>
        </w:rPr>
        <w:t>Artículo 790.5.</w:t>
      </w:r>
      <w:r w:rsidRPr="007F4918">
        <w:rPr>
          <w:rStyle w:val="TextoNormalCaracter"/>
        </w:rPr>
        <w:t>-</w:t>
      </w:r>
      <w:r>
        <w:t xml:space="preserve"> Sentencia </w:t>
      </w:r>
      <w:hyperlink w:anchor="SENTENCIA_2002_2" w:history="1">
        <w:r w:rsidRPr="007F4918">
          <w:rPr>
            <w:rStyle w:val="TextoNormalCaracter"/>
          </w:rPr>
          <w:t>2/2002</w:t>
        </w:r>
      </w:hyperlink>
      <w:r>
        <w:t>, f. 6.</w:t>
      </w:r>
    </w:p>
    <w:p w:rsidR="007F4918" w:rsidRDefault="007F4918" w:rsidP="007F4918">
      <w:pPr>
        <w:pStyle w:val="SangriaIzquierdaArticulo"/>
      </w:pPr>
      <w:r>
        <w:t xml:space="preserve">Auto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790.6.</w:t>
      </w:r>
      <w:r w:rsidRPr="007F4918">
        <w:rPr>
          <w:rStyle w:val="TextoNormalCaracter"/>
        </w:rPr>
        <w:t>-</w:t>
      </w:r>
      <w:r>
        <w:t xml:space="preserve"> Auto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791.1.3.</w:t>
      </w:r>
      <w:r w:rsidRPr="007F4918">
        <w:rPr>
          <w:rStyle w:val="TextoNormalCaracter"/>
        </w:rPr>
        <w:t>-</w:t>
      </w:r>
      <w:r>
        <w:t xml:space="preserve"> Auto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791.2.</w:t>
      </w:r>
      <w:r w:rsidRPr="007F4918">
        <w:rPr>
          <w:rStyle w:val="TextoNormalCaracter"/>
        </w:rPr>
        <w:t>-</w:t>
      </w:r>
      <w:r>
        <w:t xml:space="preserve"> Sentencia </w:t>
      </w:r>
      <w:hyperlink w:anchor="SENTENCIA_2002_2" w:history="1">
        <w:r w:rsidRPr="007F4918">
          <w:rPr>
            <w:rStyle w:val="TextoNormalCaracter"/>
          </w:rPr>
          <w:t>2/2002</w:t>
        </w:r>
      </w:hyperlink>
      <w:r>
        <w:t>, f. 6.</w:t>
      </w:r>
    </w:p>
    <w:p w:rsidR="007F4918" w:rsidRDefault="007F4918" w:rsidP="007F4918">
      <w:pPr>
        <w:pStyle w:val="SangriaFrancesaArticulo"/>
      </w:pPr>
      <w:r w:rsidRPr="007F4918">
        <w:rPr>
          <w:rStyle w:val="TextoNormalNegritaCaracter"/>
        </w:rPr>
        <w:t>Artículo 792.1.</w:t>
      </w:r>
      <w:r w:rsidRPr="007F4918">
        <w:rPr>
          <w:rStyle w:val="TextoNormalCaracter"/>
        </w:rPr>
        <w:t>-</w:t>
      </w:r>
      <w:r>
        <w:t xml:space="preserve"> Sentencia </w:t>
      </w:r>
      <w:hyperlink w:anchor="SENTENCIA_2002_2" w:history="1">
        <w:r w:rsidRPr="007F4918">
          <w:rPr>
            <w:rStyle w:val="TextoNormalCaracter"/>
          </w:rPr>
          <w:t>2/2002</w:t>
        </w:r>
      </w:hyperlink>
      <w:r>
        <w:t>, f. 6.</w:t>
      </w:r>
    </w:p>
    <w:p w:rsidR="007F4918" w:rsidRDefault="007F4918" w:rsidP="007F4918">
      <w:pPr>
        <w:pStyle w:val="SangriaFrancesaArticulo"/>
      </w:pPr>
      <w:r w:rsidRPr="007F4918">
        <w:rPr>
          <w:rStyle w:val="TextoNormalNegritaCaracter"/>
        </w:rPr>
        <w:t>Artículo 795.</w:t>
      </w:r>
      <w:r w:rsidRPr="007F4918">
        <w:rPr>
          <w:rStyle w:val="TextoNormalCaracter"/>
        </w:rPr>
        <w:t>-</w:t>
      </w:r>
      <w:r>
        <w:t xml:space="preserve"> Sentencia </w:t>
      </w:r>
      <w:hyperlink w:anchor="SENTENCIA_2002_81" w:history="1">
        <w:r w:rsidRPr="007F4918">
          <w:rPr>
            <w:rStyle w:val="TextoNormalCaracter"/>
          </w:rPr>
          <w:t>81/2002</w:t>
        </w:r>
      </w:hyperlink>
      <w:r>
        <w:t>, f. 5.</w:t>
      </w:r>
    </w:p>
    <w:p w:rsidR="007F4918" w:rsidRDefault="007F4918" w:rsidP="007F4918">
      <w:pPr>
        <w:pStyle w:val="SangriaFrancesaArticulo"/>
      </w:pPr>
      <w:r w:rsidRPr="007F4918">
        <w:rPr>
          <w:rStyle w:val="TextoNormalNegritaCaracter"/>
        </w:rPr>
        <w:t>Artículo 795.3.</w:t>
      </w:r>
      <w:r w:rsidRPr="007F4918">
        <w:rPr>
          <w:rStyle w:val="TextoNormalCaracter"/>
        </w:rPr>
        <w:t>-</w:t>
      </w:r>
      <w:r>
        <w:t xml:space="preserve"> Sentencia </w:t>
      </w:r>
      <w:hyperlink w:anchor="SENTENCIA_2002_81" w:history="1">
        <w:r w:rsidRPr="007F4918">
          <w:rPr>
            <w:rStyle w:val="TextoNormalCaracter"/>
          </w:rPr>
          <w:t>81/2002</w:t>
        </w:r>
      </w:hyperlink>
      <w:r>
        <w:t>, ff. 4, 5.</w:t>
      </w:r>
    </w:p>
    <w:p w:rsidR="007F4918" w:rsidRDefault="007F4918" w:rsidP="007F4918">
      <w:pPr>
        <w:pStyle w:val="SangriaIzquierdaArticulo"/>
      </w:pPr>
      <w:r>
        <w:lastRenderedPageBreak/>
        <w:t xml:space="preserve">Auto </w:t>
      </w:r>
      <w:hyperlink w:anchor="AUTO_2002_52" w:history="1">
        <w:r w:rsidRPr="007F4918">
          <w:rPr>
            <w:rStyle w:val="TextoNormalCaracter"/>
          </w:rPr>
          <w:t>52/2002</w:t>
        </w:r>
      </w:hyperlink>
      <w:r>
        <w:t>.</w:t>
      </w:r>
    </w:p>
    <w:p w:rsidR="007F4918" w:rsidRDefault="007F4918" w:rsidP="007F4918">
      <w:pPr>
        <w:pStyle w:val="SangriaFrancesaArticulo"/>
      </w:pPr>
      <w:r w:rsidRPr="007F4918">
        <w:rPr>
          <w:rStyle w:val="TextoNormalNegritaCaracter"/>
        </w:rPr>
        <w:t>Artículo 795.4.</w:t>
      </w:r>
      <w:r w:rsidRPr="007F4918">
        <w:rPr>
          <w:rStyle w:val="TextoNormalCaracter"/>
        </w:rPr>
        <w:t>-</w:t>
      </w:r>
      <w:r>
        <w:t xml:space="preserve"> Sentencia </w:t>
      </w:r>
      <w:hyperlink w:anchor="SENTENCIA_2002_81" w:history="1">
        <w:r w:rsidRPr="007F4918">
          <w:rPr>
            <w:rStyle w:val="TextoNormalCaracter"/>
          </w:rPr>
          <w:t>81/2002</w:t>
        </w:r>
      </w:hyperlink>
      <w:r>
        <w:t>, ff. 4, 5.</w:t>
      </w:r>
    </w:p>
    <w:p w:rsidR="007F4918" w:rsidRDefault="007F4918" w:rsidP="007F4918">
      <w:pPr>
        <w:pStyle w:val="SangriaFrancesaArticulo"/>
      </w:pPr>
      <w:r w:rsidRPr="007F4918">
        <w:rPr>
          <w:rStyle w:val="TextoNormalNegritaCaracter"/>
        </w:rPr>
        <w:t>Artículo 795.7.</w:t>
      </w:r>
      <w:r w:rsidRPr="007F4918">
        <w:rPr>
          <w:rStyle w:val="TextoNormalCaracter"/>
        </w:rPr>
        <w:t>-</w:t>
      </w:r>
      <w:r>
        <w:t xml:space="preserve"> Sentencia </w:t>
      </w:r>
      <w:hyperlink w:anchor="SENTENCIA_2002_81" w:history="1">
        <w:r w:rsidRPr="007F4918">
          <w:rPr>
            <w:rStyle w:val="TextoNormalCaracter"/>
          </w:rPr>
          <w:t>81/2002</w:t>
        </w:r>
      </w:hyperlink>
      <w:r>
        <w:t>, f. 5.</w:t>
      </w:r>
    </w:p>
    <w:p w:rsidR="007F4918" w:rsidRDefault="007F4918" w:rsidP="007F4918">
      <w:pPr>
        <w:pStyle w:val="SangriaFrancesaArticulo"/>
      </w:pPr>
      <w:r w:rsidRPr="007F4918">
        <w:rPr>
          <w:rStyle w:val="TextoNormalNegritaCaracter"/>
        </w:rPr>
        <w:t>Artículo 813.</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r w:rsidRPr="007F4918">
        <w:rPr>
          <w:rStyle w:val="TextoNormalNegritaCaracter"/>
        </w:rPr>
        <w:t>Artículo 849.</w:t>
      </w:r>
      <w:r w:rsidRPr="007F4918">
        <w:rPr>
          <w:rStyle w:val="TextoNormalCaracter"/>
        </w:rPr>
        <w:t>-</w:t>
      </w:r>
      <w:r>
        <w:t xml:space="preserve"> Sentencia </w:t>
      </w:r>
      <w:hyperlink w:anchor="SENTENCIA_2002_2" w:history="1">
        <w:r w:rsidRPr="007F4918">
          <w:rPr>
            <w:rStyle w:val="TextoNormalCaracter"/>
          </w:rPr>
          <w:t>2/2002</w:t>
        </w:r>
      </w:hyperlink>
      <w:r>
        <w:t>, f. 2.</w:t>
      </w:r>
    </w:p>
    <w:p w:rsidR="007F4918" w:rsidRDefault="007F4918" w:rsidP="007F4918">
      <w:pPr>
        <w:pStyle w:val="SangriaFrancesaArticulo"/>
      </w:pPr>
      <w:r w:rsidRPr="007F4918">
        <w:rPr>
          <w:rStyle w:val="TextoNormalNegritaCaracter"/>
        </w:rPr>
        <w:t>Artículo 849.1.</w:t>
      </w:r>
      <w:r w:rsidRPr="007F4918">
        <w:rPr>
          <w:rStyle w:val="TextoNormalCaracter"/>
        </w:rPr>
        <w:t>-</w:t>
      </w:r>
      <w:r>
        <w:t xml:space="preserve"> Sentencia </w:t>
      </w:r>
      <w:hyperlink w:anchor="SENTENCIA_2002_50" w:history="1">
        <w:r w:rsidRPr="007F4918">
          <w:rPr>
            <w:rStyle w:val="TextoNormalCaracter"/>
          </w:rPr>
          <w:t>50/2002</w:t>
        </w:r>
      </w:hyperlink>
      <w:r>
        <w:t>, ff. 3, 4.</w:t>
      </w:r>
    </w:p>
    <w:p w:rsidR="007F4918" w:rsidRDefault="007F4918" w:rsidP="007F4918">
      <w:pPr>
        <w:pStyle w:val="SangriaFrancesaArticulo"/>
      </w:pPr>
      <w:r w:rsidRPr="007F4918">
        <w:rPr>
          <w:rStyle w:val="TextoNormalNegritaCaracter"/>
        </w:rPr>
        <w:t>Artículo 849.2.</w:t>
      </w:r>
      <w:r w:rsidRPr="007F4918">
        <w:rPr>
          <w:rStyle w:val="TextoNormalCaracter"/>
        </w:rPr>
        <w:t>-</w:t>
      </w:r>
      <w:r>
        <w:t xml:space="preserve"> Sentencias </w:t>
      </w:r>
      <w:hyperlink w:anchor="SENTENCIA_2002_2" w:history="1">
        <w:r w:rsidRPr="007F4918">
          <w:rPr>
            <w:rStyle w:val="TextoNormalCaracter"/>
          </w:rPr>
          <w:t>2/2002</w:t>
        </w:r>
      </w:hyperlink>
      <w:r>
        <w:t xml:space="preserve">, f. 2; </w:t>
      </w:r>
      <w:hyperlink w:anchor="SENTENCIA_2002_50" w:history="1">
        <w:r w:rsidRPr="007F4918">
          <w:rPr>
            <w:rStyle w:val="TextoNormalCaracter"/>
          </w:rPr>
          <w:t>50/2002</w:t>
        </w:r>
      </w:hyperlink>
      <w:r>
        <w:t xml:space="preserve">, ff. 1, 3, VP; </w:t>
      </w:r>
      <w:hyperlink w:anchor="SENTENCIA_2002_70" w:history="1">
        <w:r w:rsidRPr="007F4918">
          <w:rPr>
            <w:rStyle w:val="TextoNormalCaracter"/>
          </w:rPr>
          <w:t>70/2002</w:t>
        </w:r>
      </w:hyperlink>
      <w:r>
        <w:t>, ff. 1, 7.</w:t>
      </w:r>
    </w:p>
    <w:p w:rsidR="007F4918" w:rsidRDefault="007F4918" w:rsidP="007F4918">
      <w:pPr>
        <w:pStyle w:val="SangriaFrancesaArticulo"/>
      </w:pPr>
      <w:r w:rsidRPr="007F4918">
        <w:rPr>
          <w:rStyle w:val="TextoNormalNegritaCaracter"/>
        </w:rPr>
        <w:t>Artículo 850.4.</w:t>
      </w:r>
      <w:r w:rsidRPr="007F4918">
        <w:rPr>
          <w:rStyle w:val="TextoNormalCaracter"/>
        </w:rPr>
        <w:t>-</w:t>
      </w:r>
      <w:r>
        <w:t xml:space="preserve"> Sentencia </w:t>
      </w:r>
      <w:hyperlink w:anchor="SENTENCIA_2002_70" w:history="1">
        <w:r w:rsidRPr="007F4918">
          <w:rPr>
            <w:rStyle w:val="TextoNormalCaracter"/>
          </w:rPr>
          <w:t>70/2002</w:t>
        </w:r>
      </w:hyperlink>
      <w:r>
        <w:t>, f. 5.</w:t>
      </w:r>
    </w:p>
    <w:p w:rsidR="007F4918" w:rsidRDefault="007F4918" w:rsidP="007F4918">
      <w:pPr>
        <w:pStyle w:val="SangriaFrancesaArticulo"/>
      </w:pPr>
      <w:r w:rsidRPr="007F4918">
        <w:rPr>
          <w:rStyle w:val="TextoNormalNegritaCaracter"/>
        </w:rPr>
        <w:t>Artículo 852.</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854.</w:t>
      </w:r>
      <w:r w:rsidRPr="007F4918">
        <w:rPr>
          <w:rStyle w:val="TextoNormalCaracter"/>
        </w:rPr>
        <w:t>-</w:t>
      </w:r>
      <w:r>
        <w:t xml:space="preserve"> Sentencia </w:t>
      </w:r>
      <w:hyperlink w:anchor="SENTENCIA_2002_50" w:history="1">
        <w:r w:rsidRPr="007F4918">
          <w:rPr>
            <w:rStyle w:val="TextoNormalCaracter"/>
          </w:rPr>
          <w:t>50/2002</w:t>
        </w:r>
      </w:hyperlink>
      <w:r>
        <w:t>, VP.</w:t>
      </w:r>
    </w:p>
    <w:p w:rsidR="007F4918" w:rsidRDefault="007F4918" w:rsidP="007F4918">
      <w:pPr>
        <w:pStyle w:val="SangriaFrancesaArticulo"/>
      </w:pPr>
      <w:r w:rsidRPr="007F4918">
        <w:rPr>
          <w:rStyle w:val="TextoNormalNegritaCaracter"/>
        </w:rPr>
        <w:t>Artículo 861.</w:t>
      </w:r>
      <w:r w:rsidRPr="007F4918">
        <w:rPr>
          <w:rStyle w:val="TextoNormalCaracter"/>
        </w:rPr>
        <w:t>-</w:t>
      </w:r>
      <w:r>
        <w:t xml:space="preserve"> Sentencia </w:t>
      </w:r>
      <w:hyperlink w:anchor="SENTENCIA_2002_50" w:history="1">
        <w:r w:rsidRPr="007F4918">
          <w:rPr>
            <w:rStyle w:val="TextoNormalCaracter"/>
          </w:rPr>
          <w:t>50/2002</w:t>
        </w:r>
      </w:hyperlink>
      <w:r>
        <w:t>, f. 3, VP.</w:t>
      </w:r>
    </w:p>
    <w:p w:rsidR="007F4918" w:rsidRDefault="007F4918" w:rsidP="007F4918">
      <w:pPr>
        <w:pStyle w:val="SangriaFrancesaArticulo"/>
      </w:pPr>
      <w:r w:rsidRPr="007F4918">
        <w:rPr>
          <w:rStyle w:val="TextoNormalNegritaCaracter"/>
        </w:rPr>
        <w:t>Artículo 874.</w:t>
      </w:r>
      <w:r w:rsidRPr="007F4918">
        <w:rPr>
          <w:rStyle w:val="TextoNormalCaracter"/>
        </w:rPr>
        <w:t>-</w:t>
      </w:r>
      <w:r>
        <w:t xml:space="preserve"> Sentencia </w:t>
      </w:r>
      <w:hyperlink w:anchor="SENTENCIA_2002_50" w:history="1">
        <w:r w:rsidRPr="007F4918">
          <w:rPr>
            <w:rStyle w:val="TextoNormalCaracter"/>
          </w:rPr>
          <w:t>50/2002</w:t>
        </w:r>
      </w:hyperlink>
      <w:r>
        <w:t>, VP.</w:t>
      </w:r>
    </w:p>
    <w:p w:rsidR="007F4918" w:rsidRDefault="007F4918" w:rsidP="007F4918">
      <w:pPr>
        <w:pStyle w:val="SangriaFrancesaArticulo"/>
      </w:pPr>
      <w:r w:rsidRPr="007F4918">
        <w:rPr>
          <w:rStyle w:val="TextoNormalNegritaCaracter"/>
        </w:rPr>
        <w:t>Artículo 876.2.</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884.3.</w:t>
      </w:r>
      <w:r w:rsidRPr="007F4918">
        <w:rPr>
          <w:rStyle w:val="TextoNormalCaracter"/>
        </w:rPr>
        <w:t>-</w:t>
      </w:r>
      <w:r>
        <w:t xml:space="preserve"> Sentencia </w:t>
      </w:r>
      <w:hyperlink w:anchor="SENTENCIA_2002_50" w:history="1">
        <w:r w:rsidRPr="007F4918">
          <w:rPr>
            <w:rStyle w:val="TextoNormalCaracter"/>
          </w:rPr>
          <w:t>50/2002</w:t>
        </w:r>
      </w:hyperlink>
      <w:r>
        <w:t>, f. 3.</w:t>
      </w:r>
    </w:p>
    <w:p w:rsidR="007F4918" w:rsidRDefault="007F4918" w:rsidP="007F4918">
      <w:pPr>
        <w:pStyle w:val="SangriaFrancesaArticulo"/>
      </w:pPr>
      <w:r w:rsidRPr="007F4918">
        <w:rPr>
          <w:rStyle w:val="TextoNormalNegritaCaracter"/>
        </w:rPr>
        <w:t>Artículo 885.1.</w:t>
      </w:r>
      <w:r w:rsidRPr="007F4918">
        <w:rPr>
          <w:rStyle w:val="TextoNormalCaracter"/>
        </w:rPr>
        <w:t>-</w:t>
      </w:r>
      <w:r>
        <w:t xml:space="preserve"> Sentencia </w:t>
      </w:r>
      <w:hyperlink w:anchor="SENTENCIA_2002_12" w:history="1">
        <w:r w:rsidRPr="007F4918">
          <w:rPr>
            <w:rStyle w:val="TextoNormalCaracter"/>
          </w:rPr>
          <w:t>12/2002</w:t>
        </w:r>
      </w:hyperlink>
      <w:r>
        <w:t>, f. 2.</w:t>
      </w:r>
    </w:p>
    <w:p w:rsidR="007F4918" w:rsidRDefault="007F4918" w:rsidP="007F4918">
      <w:pPr>
        <w:pStyle w:val="SangriaFrancesaArticulo"/>
      </w:pPr>
      <w:r w:rsidRPr="007F4918">
        <w:rPr>
          <w:rStyle w:val="TextoNormalNegritaCaracter"/>
        </w:rPr>
        <w:t>Artículo 885.2.</w:t>
      </w:r>
      <w:r w:rsidRPr="007F4918">
        <w:rPr>
          <w:rStyle w:val="TextoNormalCaracter"/>
        </w:rPr>
        <w:t>-</w:t>
      </w:r>
      <w:r>
        <w:t xml:space="preserve"> Sentencia </w:t>
      </w:r>
      <w:hyperlink w:anchor="SENTENCIA_2002_12" w:history="1">
        <w:r w:rsidRPr="007F4918">
          <w:rPr>
            <w:rStyle w:val="TextoNormalCaracter"/>
          </w:rPr>
          <w:t>12/2002</w:t>
        </w:r>
      </w:hyperlink>
      <w:r>
        <w:t>, f. 2.</w:t>
      </w:r>
    </w:p>
    <w:p w:rsidR="007F4918" w:rsidRDefault="007F4918" w:rsidP="007F4918">
      <w:pPr>
        <w:pStyle w:val="SangriaFrancesaArticulo"/>
      </w:pPr>
      <w:r w:rsidRPr="007F4918">
        <w:rPr>
          <w:rStyle w:val="TextoNormalNegritaCaracter"/>
        </w:rPr>
        <w:t>Artículo 893 bis a).</w:t>
      </w:r>
      <w:r w:rsidRPr="007F4918">
        <w:rPr>
          <w:rStyle w:val="TextoNormalCaracter"/>
        </w:rPr>
        <w:t>-</w:t>
      </w:r>
      <w:r>
        <w:t xml:space="preserve"> Sentencia </w:t>
      </w:r>
      <w:hyperlink w:anchor="SENTENCIA_2002_70" w:history="1">
        <w:r w:rsidRPr="007F4918">
          <w:rPr>
            <w:rStyle w:val="TextoNormalCaracter"/>
          </w:rPr>
          <w:t>70/2002</w:t>
        </w:r>
      </w:hyperlink>
      <w:r>
        <w:t>, ff. 6, 8.</w:t>
      </w:r>
    </w:p>
    <w:p w:rsidR="007F4918" w:rsidRDefault="007F4918" w:rsidP="007F4918">
      <w:pPr>
        <w:pStyle w:val="SangriaFrancesaArticulo"/>
      </w:pPr>
      <w:r w:rsidRPr="007F4918">
        <w:rPr>
          <w:rStyle w:val="TextoNormalNegritaCaracter"/>
        </w:rPr>
        <w:t>Artículo 954.</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976.</w:t>
      </w:r>
      <w:r w:rsidRPr="007F4918">
        <w:rPr>
          <w:rStyle w:val="TextoNormalCaracter"/>
        </w:rPr>
        <w:t>-</w:t>
      </w:r>
      <w:r>
        <w:t xml:space="preserve"> Sentencia </w:t>
      </w:r>
      <w:hyperlink w:anchor="SENTENCIA_2002_91" w:history="1">
        <w:r w:rsidRPr="007F4918">
          <w:rPr>
            <w:rStyle w:val="TextoNormalCaracter"/>
          </w:rPr>
          <w:t>91/2002</w:t>
        </w:r>
      </w:hyperlink>
      <w:r>
        <w:t>, ff. 1, 4.</w:t>
      </w:r>
    </w:p>
    <w:p w:rsidR="007F4918" w:rsidRDefault="007F4918" w:rsidP="007F4918">
      <w:pPr>
        <w:pStyle w:val="SangriaFrancesaArticulo"/>
      </w:pPr>
      <w:r w:rsidRPr="007F4918">
        <w:rPr>
          <w:rStyle w:val="TextoNormalNegritaCaracter"/>
        </w:rPr>
        <w:t>Artículo 976.1.</w:t>
      </w:r>
      <w:r w:rsidRPr="007F4918">
        <w:rPr>
          <w:rStyle w:val="TextoNormalCaracter"/>
        </w:rPr>
        <w:t>-</w:t>
      </w:r>
      <w:r>
        <w:t xml:space="preserve"> Sentencia </w:t>
      </w:r>
      <w:hyperlink w:anchor="SENTENCIA_2002_91" w:history="1">
        <w:r w:rsidRPr="007F4918">
          <w:rPr>
            <w:rStyle w:val="TextoNormalCaracter"/>
          </w:rPr>
          <w:t>91/2002</w:t>
        </w:r>
      </w:hyperlink>
      <w:r>
        <w:t>, f. 4.</w:t>
      </w:r>
    </w:p>
    <w:p w:rsidR="007F4918" w:rsidRDefault="007F4918" w:rsidP="007F4918">
      <w:pPr>
        <w:pStyle w:val="SangriaFrancesaArticulo"/>
      </w:pPr>
    </w:p>
    <w:p w:rsidR="007F4918" w:rsidRDefault="007F4918" w:rsidP="007F4918">
      <w:pPr>
        <w:pStyle w:val="TextoNormalNegritaCursivandice"/>
      </w:pPr>
      <w:r>
        <w:t>Real Decreto de 24 de julio de 1889. Código civil</w:t>
      </w:r>
    </w:p>
    <w:p w:rsidR="007F4918" w:rsidRDefault="007F4918" w:rsidP="007F4918">
      <w:pPr>
        <w:pStyle w:val="SangriaFrancesaArticulo"/>
      </w:pPr>
      <w:r w:rsidRPr="007F4918">
        <w:rPr>
          <w:rStyle w:val="TextoNormalNegritaCaracter"/>
        </w:rPr>
        <w:t>Artículo 1.6.</w:t>
      </w:r>
      <w:r w:rsidRPr="007F4918">
        <w:rPr>
          <w:rStyle w:val="TextoNormalCaracter"/>
        </w:rPr>
        <w:t>-</w:t>
      </w:r>
      <w:r>
        <w:t xml:space="preserve"> Sentencia </w:t>
      </w:r>
      <w:hyperlink w:anchor="SENTENCIA_2002_89" w:history="1">
        <w:r w:rsidRPr="007F4918">
          <w:rPr>
            <w:rStyle w:val="TextoNormalCaracter"/>
          </w:rPr>
          <w:t>89/2002</w:t>
        </w:r>
      </w:hyperlink>
      <w:r>
        <w:t>, f. 2.</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 </w:t>
      </w:r>
      <w:hyperlink w:anchor="SENTENCIA_2002_45" w:history="1">
        <w:r w:rsidRPr="007F4918">
          <w:rPr>
            <w:rStyle w:val="TextoNormalCaracter"/>
          </w:rPr>
          <w:t>45/2002</w:t>
        </w:r>
      </w:hyperlink>
      <w:r>
        <w:t>, f. 4.</w:t>
      </w:r>
    </w:p>
    <w:p w:rsidR="007F4918" w:rsidRDefault="007F4918" w:rsidP="007F4918">
      <w:pPr>
        <w:pStyle w:val="SangriaFrancesaArticulo"/>
      </w:pPr>
      <w:r w:rsidRPr="007F4918">
        <w:rPr>
          <w:rStyle w:val="TextoNormalNegritaCaracter"/>
        </w:rPr>
        <w:t>Artículo 9.2.</w:t>
      </w:r>
      <w:r w:rsidRPr="007F4918">
        <w:rPr>
          <w:rStyle w:val="TextoNormalCaracter"/>
        </w:rPr>
        <w:t>-</w:t>
      </w:r>
      <w:r>
        <w:t xml:space="preserve"> Sentencia </w:t>
      </w:r>
      <w:hyperlink w:anchor="SENTENCIA_2002_39" w:history="1">
        <w:r w:rsidRPr="007F4918">
          <w:rPr>
            <w:rStyle w:val="TextoNormalCaracter"/>
          </w:rPr>
          <w:t>39/2002</w:t>
        </w:r>
      </w:hyperlink>
      <w:r>
        <w:t>, ff. 1, 3 a 5.</w:t>
      </w:r>
    </w:p>
    <w:p w:rsidR="007F4918" w:rsidRDefault="007F4918" w:rsidP="007F4918">
      <w:pPr>
        <w:pStyle w:val="SangriaFrancesaArticulo"/>
      </w:pPr>
      <w:r w:rsidRPr="007F4918">
        <w:rPr>
          <w:rStyle w:val="TextoNormalNegritaCaracter"/>
        </w:rPr>
        <w:t>Artículo 9.2</w:t>
      </w:r>
      <w:r>
        <w:t xml:space="preserve"> </w:t>
      </w:r>
      <w:r w:rsidRPr="007F4918">
        <w:rPr>
          <w:rStyle w:val="TextoNormalCaracter"/>
        </w:rPr>
        <w:t>(redactado por la Ley 11/1990, de 15 de octubre)</w:t>
      </w:r>
      <w:r w:rsidRPr="007F4918">
        <w:rPr>
          <w:rStyle w:val="TextoNormalNegritaCaracter"/>
        </w:rPr>
        <w:t>.</w:t>
      </w:r>
      <w:r w:rsidRPr="007F4918">
        <w:rPr>
          <w:rStyle w:val="TextoNormalCaracter"/>
        </w:rPr>
        <w:t>-</w:t>
      </w:r>
      <w:r>
        <w:t xml:space="preserve"> Sentencia </w:t>
      </w:r>
      <w:hyperlink w:anchor="SENTENCIA_2002_39" w:history="1">
        <w:r w:rsidRPr="007F4918">
          <w:rPr>
            <w:rStyle w:val="TextoNormalCaracter"/>
          </w:rPr>
          <w:t>39/2002</w:t>
        </w:r>
      </w:hyperlink>
      <w:r>
        <w:t>, f. 2.</w:t>
      </w:r>
    </w:p>
    <w:p w:rsidR="007F4918" w:rsidRDefault="007F4918" w:rsidP="007F4918">
      <w:pPr>
        <w:pStyle w:val="SangriaFrancesaArticulo"/>
      </w:pPr>
      <w:r w:rsidRPr="007F4918">
        <w:rPr>
          <w:rStyle w:val="TextoNormalNegritaCaracter"/>
        </w:rPr>
        <w:t>Artículo 12.6.</w:t>
      </w:r>
      <w:r w:rsidRPr="007F4918">
        <w:rPr>
          <w:rStyle w:val="TextoNormalCaracter"/>
        </w:rPr>
        <w:t>-</w:t>
      </w:r>
      <w:r>
        <w:t xml:space="preserve"> Sentencia </w:t>
      </w:r>
      <w:hyperlink w:anchor="SENTENCIA_2002_33" w:history="1">
        <w:r w:rsidRPr="007F4918">
          <w:rPr>
            <w:rStyle w:val="TextoNormalCaracter"/>
          </w:rPr>
          <w:t>33/2002</w:t>
        </w:r>
      </w:hyperlink>
      <w:r>
        <w:t>, f. 6, VP.</w:t>
      </w:r>
    </w:p>
    <w:p w:rsidR="007F4918" w:rsidRDefault="007F4918" w:rsidP="007F4918">
      <w:pPr>
        <w:pStyle w:val="SangriaFrancesaArticulo"/>
      </w:pPr>
      <w:r w:rsidRPr="007F4918">
        <w:rPr>
          <w:rStyle w:val="TextoNormalNegritaCaracter"/>
        </w:rPr>
        <w:t>Artículo 40.</w:t>
      </w:r>
      <w:r w:rsidRPr="007F4918">
        <w:rPr>
          <w:rStyle w:val="TextoNormalCaracter"/>
        </w:rPr>
        <w:t>-</w:t>
      </w:r>
      <w:r>
        <w:t xml:space="preserve"> Sentencia </w:t>
      </w:r>
      <w:hyperlink w:anchor="SENTENCIA_2002_10" w:history="1">
        <w:r w:rsidRPr="007F4918">
          <w:rPr>
            <w:rStyle w:val="TextoNormalCaracter"/>
          </w:rPr>
          <w:t>10/2002</w:t>
        </w:r>
      </w:hyperlink>
      <w:r>
        <w:t>, ff. 1, 6.</w:t>
      </w:r>
    </w:p>
    <w:p w:rsidR="007F4918" w:rsidRDefault="007F4918" w:rsidP="007F4918">
      <w:pPr>
        <w:pStyle w:val="SangriaFrancesaArticulo"/>
      </w:pPr>
      <w:r w:rsidRPr="007F4918">
        <w:rPr>
          <w:rStyle w:val="TextoNormalNegritaCaracter"/>
        </w:rPr>
        <w:t>Artículo 68.</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r w:rsidRPr="007F4918">
        <w:rPr>
          <w:rStyle w:val="TextoNormalNegritaCaracter"/>
        </w:rPr>
        <w:t>Artículo 69.</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r w:rsidRPr="007F4918">
        <w:rPr>
          <w:rStyle w:val="TextoNormalNegritaCaracter"/>
        </w:rPr>
        <w:t>Artículo 83.</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r w:rsidRPr="007F4918">
        <w:rPr>
          <w:rStyle w:val="TextoNormalNegritaCaracter"/>
        </w:rPr>
        <w:t>Artículo 91.</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r w:rsidRPr="007F4918">
        <w:rPr>
          <w:rStyle w:val="TextoNormalNegritaCaracter"/>
        </w:rPr>
        <w:t>Artículo 154.1.</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r w:rsidRPr="007F4918">
        <w:rPr>
          <w:rStyle w:val="TextoNormalNegritaCaracter"/>
        </w:rPr>
        <w:t>Artículo 156.</w:t>
      </w:r>
      <w:r w:rsidRPr="007F4918">
        <w:rPr>
          <w:rStyle w:val="TextoNormalCaracter"/>
        </w:rPr>
        <w:t>-</w:t>
      </w:r>
      <w:r>
        <w:t xml:space="preserve"> Sentencia </w:t>
      </w:r>
      <w:hyperlink w:anchor="SENTENCIA_2002_21" w:history="1">
        <w:r w:rsidRPr="007F4918">
          <w:rPr>
            <w:rStyle w:val="TextoNormalCaracter"/>
          </w:rPr>
          <w:t>21/2002</w:t>
        </w:r>
      </w:hyperlink>
      <w:r>
        <w:t>, f. 3.</w:t>
      </w:r>
    </w:p>
    <w:p w:rsidR="007F4918" w:rsidRDefault="007F4918" w:rsidP="007F4918">
      <w:pPr>
        <w:pStyle w:val="SangriaFrancesaArticulo"/>
      </w:pPr>
      <w:r w:rsidRPr="007F4918">
        <w:rPr>
          <w:rStyle w:val="TextoNormalNegritaCaracter"/>
        </w:rPr>
        <w:t>Artículo 159.</w:t>
      </w:r>
      <w:r w:rsidRPr="007F4918">
        <w:rPr>
          <w:rStyle w:val="TextoNormalCaracter"/>
        </w:rPr>
        <w:t>-</w:t>
      </w:r>
      <w:r>
        <w:t xml:space="preserve"> Sentencia </w:t>
      </w:r>
      <w:hyperlink w:anchor="SENTENCIA_2002_39" w:history="1">
        <w:r w:rsidRPr="007F4918">
          <w:rPr>
            <w:rStyle w:val="TextoNormalCaracter"/>
          </w:rPr>
          <w:t>39/2002</w:t>
        </w:r>
      </w:hyperlink>
      <w:r>
        <w:t>, f. 2.</w:t>
      </w:r>
    </w:p>
    <w:p w:rsidR="007F4918" w:rsidRDefault="007F4918" w:rsidP="007F4918">
      <w:pPr>
        <w:pStyle w:val="SangriaFrancesaArticulo"/>
      </w:pPr>
      <w:r w:rsidRPr="007F4918">
        <w:rPr>
          <w:rStyle w:val="TextoNormalNegritaCaracter"/>
        </w:rPr>
        <w:t>Artículo 1228.</w:t>
      </w:r>
      <w:r w:rsidRPr="007F4918">
        <w:rPr>
          <w:rStyle w:val="TextoNormalCaracter"/>
        </w:rPr>
        <w:t>-</w:t>
      </w:r>
      <w:r>
        <w:t xml:space="preserve"> Sentencia </w:t>
      </w:r>
      <w:hyperlink w:anchor="SENTENCIA_2002_16" w:history="1">
        <w:r w:rsidRPr="007F4918">
          <w:rPr>
            <w:rStyle w:val="TextoNormalCaracter"/>
          </w:rPr>
          <w:t>16/2002</w:t>
        </w:r>
      </w:hyperlink>
      <w:r>
        <w:t>, f. 3.</w:t>
      </w:r>
    </w:p>
    <w:p w:rsidR="007F4918" w:rsidRDefault="007F4918" w:rsidP="007F4918">
      <w:pPr>
        <w:pStyle w:val="SangriaFrancesaArticulo"/>
      </w:pPr>
      <w:r w:rsidRPr="007F4918">
        <w:rPr>
          <w:rStyle w:val="TextoNormalNegritaCaracter"/>
        </w:rPr>
        <w:t>Artículo 1252.</w:t>
      </w:r>
      <w:r w:rsidRPr="007F4918">
        <w:rPr>
          <w:rStyle w:val="TextoNormalCaracter"/>
        </w:rPr>
        <w:t>-</w:t>
      </w:r>
      <w:r>
        <w:t xml:space="preserve"> Sentencia </w:t>
      </w:r>
      <w:hyperlink w:anchor="SENTENCIA_2002_43" w:history="1">
        <w:r w:rsidRPr="007F4918">
          <w:rPr>
            <w:rStyle w:val="TextoNormalCaracter"/>
          </w:rPr>
          <w:t>43/2002</w:t>
        </w:r>
      </w:hyperlink>
      <w:r>
        <w:t>, f. 4.</w:t>
      </w:r>
    </w:p>
    <w:p w:rsidR="007F4918" w:rsidRDefault="007F4918" w:rsidP="007F4918">
      <w:pPr>
        <w:pStyle w:val="SangriaFrancesaArticulo"/>
      </w:pPr>
      <w:r w:rsidRPr="007F4918">
        <w:rPr>
          <w:rStyle w:val="TextoNormalNegritaCaracter"/>
        </w:rPr>
        <w:t>Artículo 1902.</w:t>
      </w:r>
      <w:r w:rsidRPr="007F4918">
        <w:rPr>
          <w:rStyle w:val="TextoNormalCaracter"/>
        </w:rPr>
        <w:t>-</w:t>
      </w:r>
      <w:r>
        <w:t xml:space="preserve"> Sentencia </w:t>
      </w:r>
      <w:hyperlink w:anchor="SENTENCIA_2002_15" w:history="1">
        <w:r w:rsidRPr="007F4918">
          <w:rPr>
            <w:rStyle w:val="TextoNormalCaracter"/>
          </w:rPr>
          <w:t>15/2002</w:t>
        </w:r>
      </w:hyperlink>
      <w:r>
        <w:t>, f. 5.</w:t>
      </w:r>
    </w:p>
    <w:p w:rsidR="007F4918" w:rsidRDefault="007F4918" w:rsidP="007F4918">
      <w:pPr>
        <w:pStyle w:val="SangriaFrancesaArticulo"/>
      </w:pPr>
      <w:r w:rsidRPr="007F4918">
        <w:rPr>
          <w:rStyle w:val="TextoNormalNegritaCaracter"/>
        </w:rPr>
        <w:t>Artículo 1968.</w:t>
      </w:r>
      <w:r w:rsidRPr="007F4918">
        <w:rPr>
          <w:rStyle w:val="TextoNormalCaracter"/>
        </w:rPr>
        <w:t>-</w:t>
      </w:r>
      <w:r>
        <w:t xml:space="preserve"> Sentencia </w:t>
      </w:r>
      <w:hyperlink w:anchor="SENTENCIA_2002_77" w:history="1">
        <w:r w:rsidRPr="007F4918">
          <w:rPr>
            <w:rStyle w:val="TextoNormalCaracter"/>
          </w:rPr>
          <w:t>77/2002</w:t>
        </w:r>
      </w:hyperlink>
      <w:r>
        <w:t>, f. 5.</w:t>
      </w:r>
    </w:p>
    <w:p w:rsidR="007F4918" w:rsidRDefault="007F4918" w:rsidP="007F4918">
      <w:pPr>
        <w:pStyle w:val="SangriaFrancesaArticulo"/>
      </w:pPr>
      <w:r w:rsidRPr="007F4918">
        <w:rPr>
          <w:rStyle w:val="TextoNormalNegritaCaracter"/>
        </w:rPr>
        <w:t>Artículo 1973.</w:t>
      </w:r>
      <w:r w:rsidRPr="007F4918">
        <w:rPr>
          <w:rStyle w:val="TextoNormalCaracter"/>
        </w:rPr>
        <w:t>-</w:t>
      </w:r>
      <w:r>
        <w:t xml:space="preserve"> Sentencia </w:t>
      </w:r>
      <w:hyperlink w:anchor="SENTENCIA_2002_77" w:history="1">
        <w:r w:rsidRPr="007F4918">
          <w:rPr>
            <w:rStyle w:val="TextoNormalCaracter"/>
          </w:rPr>
          <w:t>77/2002</w:t>
        </w:r>
      </w:hyperlink>
      <w:r>
        <w:t>, f. 1.</w:t>
      </w:r>
    </w:p>
    <w:p w:rsidR="007F4918" w:rsidRDefault="007F4918" w:rsidP="007F4918">
      <w:pPr>
        <w:pStyle w:val="SangriaFrancesaArticulo"/>
      </w:pPr>
    </w:p>
    <w:p w:rsidR="007F4918" w:rsidRDefault="007F4918" w:rsidP="007F4918">
      <w:pPr>
        <w:pStyle w:val="TextoNormalNegritaCursivandice"/>
      </w:pPr>
      <w:r>
        <w:t>Decreto de 14 de febrero de 1947. Reglamento hipotecario</w:t>
      </w:r>
    </w:p>
    <w:p w:rsidR="007F4918" w:rsidRDefault="007F4918" w:rsidP="007F4918">
      <w:pPr>
        <w:pStyle w:val="SangriaFrancesaArticulo"/>
      </w:pPr>
      <w:r w:rsidRPr="007F4918">
        <w:rPr>
          <w:rStyle w:val="TextoNormalNegritaCaracter"/>
        </w:rPr>
        <w:t>Artículo 137.</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137.2.</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137.3.</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137.6.</w:t>
      </w:r>
      <w:r w:rsidRPr="007F4918">
        <w:rPr>
          <w:rStyle w:val="TextoNormalCaracter"/>
        </w:rPr>
        <w:t>-</w:t>
      </w:r>
      <w:r>
        <w:t xml:space="preserve"> Sentencia </w:t>
      </w:r>
      <w:hyperlink w:anchor="SENTENCIA_2002_45" w:history="1">
        <w:r w:rsidRPr="007F4918">
          <w:rPr>
            <w:rStyle w:val="TextoNormalCaracter"/>
          </w:rPr>
          <w:t>45/2002</w:t>
        </w:r>
      </w:hyperlink>
      <w:r>
        <w:t>, f. 3.</w:t>
      </w:r>
    </w:p>
    <w:p w:rsidR="007F4918" w:rsidRDefault="007F4918" w:rsidP="007F4918">
      <w:pPr>
        <w:pStyle w:val="SangriaFrancesaArticulo"/>
      </w:pPr>
      <w:r w:rsidRPr="007F4918">
        <w:rPr>
          <w:rStyle w:val="TextoNormalNegritaCaracter"/>
        </w:rPr>
        <w:t>Artículo 139.</w:t>
      </w:r>
      <w:r w:rsidRPr="007F4918">
        <w:rPr>
          <w:rStyle w:val="TextoNormalCaracter"/>
        </w:rPr>
        <w:t>-</w:t>
      </w:r>
      <w:r>
        <w:t xml:space="preserve"> Sentencia </w:t>
      </w:r>
      <w:hyperlink w:anchor="SENTENCIA_2002_45" w:history="1">
        <w:r w:rsidRPr="007F4918">
          <w:rPr>
            <w:rStyle w:val="TextoNormalCaracter"/>
          </w:rPr>
          <w:t>45/2002</w:t>
        </w:r>
      </w:hyperlink>
      <w:r>
        <w:t>, f. 4.</w:t>
      </w:r>
    </w:p>
    <w:p w:rsidR="007F4918" w:rsidRDefault="007F4918" w:rsidP="007F4918">
      <w:pPr>
        <w:pStyle w:val="SangriaFrancesaArticulo"/>
      </w:pPr>
    </w:p>
    <w:p w:rsidR="007F4918" w:rsidRDefault="007F4918" w:rsidP="007F4918">
      <w:pPr>
        <w:pStyle w:val="TextoNormalNegritaCursivandice"/>
      </w:pPr>
      <w:r>
        <w:t>Ley de 27 de diciembre de 1956. Jurisdicción contencioso-administrativa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7" w:history="1">
        <w:r w:rsidRPr="007F4918">
          <w:rPr>
            <w:rStyle w:val="TextoNormalCaracter"/>
          </w:rPr>
          <w:t>7/2002</w:t>
        </w:r>
      </w:hyperlink>
      <w:r>
        <w:t xml:space="preserve">, f. 10; </w:t>
      </w:r>
      <w:hyperlink w:anchor="SENTENCIA_2002_31" w:history="1">
        <w:r w:rsidRPr="007F4918">
          <w:rPr>
            <w:rStyle w:val="TextoNormalCaracter"/>
          </w:rPr>
          <w:t>31/2002</w:t>
        </w:r>
      </w:hyperlink>
      <w:r>
        <w:t xml:space="preserve">, f. 1; </w:t>
      </w:r>
      <w:hyperlink w:anchor="SENTENCIA_2002_72" w:history="1">
        <w:r w:rsidRPr="007F4918">
          <w:rPr>
            <w:rStyle w:val="TextoNormalCaracter"/>
          </w:rPr>
          <w:t>72/2002</w:t>
        </w:r>
      </w:hyperlink>
      <w:r>
        <w:t xml:space="preserve">, f. 3; </w:t>
      </w:r>
      <w:hyperlink w:anchor="SENTENCIA_2002_89" w:history="1">
        <w:r w:rsidRPr="007F4918">
          <w:rPr>
            <w:rStyle w:val="TextoNormalCaracter"/>
          </w:rPr>
          <w:t>89/2002</w:t>
        </w:r>
      </w:hyperlink>
      <w:r>
        <w:t>, f. 2.</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Sentencias </w:t>
      </w:r>
      <w:hyperlink w:anchor="SENTENCIA_2002_89" w:history="1">
        <w:r w:rsidRPr="007F4918">
          <w:rPr>
            <w:rStyle w:val="TextoNormalCaracter"/>
          </w:rPr>
          <w:t>89/2002</w:t>
        </w:r>
      </w:hyperlink>
      <w:r>
        <w:t xml:space="preserve">, f. 3; </w:t>
      </w:r>
      <w:hyperlink w:anchor="SENTENCIA_2002_92" w:history="1">
        <w:r w:rsidRPr="007F4918">
          <w:rPr>
            <w:rStyle w:val="TextoNormalCaracter"/>
          </w:rPr>
          <w:t>92/2002</w:t>
        </w:r>
      </w:hyperlink>
      <w:r>
        <w:t>, f. 3.</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89" w:history="1">
        <w:r w:rsidRPr="007F4918">
          <w:rPr>
            <w:rStyle w:val="TextoNormalCaracter"/>
          </w:rPr>
          <w:t>89/2002</w:t>
        </w:r>
      </w:hyperlink>
      <w:r>
        <w:t>, f. 3.</w:t>
      </w:r>
    </w:p>
    <w:p w:rsidR="007F4918" w:rsidRDefault="007F4918" w:rsidP="007F4918">
      <w:pPr>
        <w:pStyle w:val="SangriaFrancesaArticulo"/>
      </w:pPr>
      <w:r w:rsidRPr="007F4918">
        <w:rPr>
          <w:rStyle w:val="TextoNormalNegritaCaracter"/>
        </w:rPr>
        <w:t>Artículo 29.1 b).</w:t>
      </w:r>
      <w:r w:rsidRPr="007F4918">
        <w:rPr>
          <w:rStyle w:val="TextoNormalCaracter"/>
        </w:rPr>
        <w:t>-</w:t>
      </w:r>
      <w:r>
        <w:t xml:space="preserve"> Sentencia </w:t>
      </w:r>
      <w:hyperlink w:anchor="SENTENCIA_2002_87" w:history="1">
        <w:r w:rsidRPr="007F4918">
          <w:rPr>
            <w:rStyle w:val="TextoNormalCaracter"/>
          </w:rPr>
          <w:t>87/2002</w:t>
        </w:r>
      </w:hyperlink>
      <w:r>
        <w:t>, f. 4.</w:t>
      </w:r>
    </w:p>
    <w:p w:rsidR="007F4918" w:rsidRDefault="007F4918" w:rsidP="007F4918">
      <w:pPr>
        <w:pStyle w:val="SangriaFrancesaArticulo"/>
      </w:pPr>
      <w:r w:rsidRPr="007F4918">
        <w:rPr>
          <w:rStyle w:val="TextoNormalNegritaCaracter"/>
        </w:rPr>
        <w:t>Artículo 40 a).</w:t>
      </w:r>
      <w:r w:rsidRPr="007F4918">
        <w:rPr>
          <w:rStyle w:val="TextoNormalCaracter"/>
        </w:rPr>
        <w:t>-</w:t>
      </w:r>
      <w:r>
        <w:t xml:space="preserve"> Sentencia </w:t>
      </w:r>
      <w:hyperlink w:anchor="SENTENCIA_2002_60" w:history="1">
        <w:r w:rsidRPr="007F4918">
          <w:rPr>
            <w:rStyle w:val="TextoNormalCaracter"/>
          </w:rPr>
          <w:t>60/2002</w:t>
        </w:r>
      </w:hyperlink>
      <w:r>
        <w:t>, f. 4.</w:t>
      </w:r>
    </w:p>
    <w:p w:rsidR="007F4918" w:rsidRDefault="007F4918" w:rsidP="007F4918">
      <w:pPr>
        <w:pStyle w:val="SangriaFrancesaArticulo"/>
      </w:pPr>
      <w:r w:rsidRPr="007F4918">
        <w:rPr>
          <w:rStyle w:val="TextoNormalNegritaCaracter"/>
        </w:rPr>
        <w:t>Artículo 64.</w:t>
      </w:r>
      <w:r w:rsidRPr="007F4918">
        <w:rPr>
          <w:rStyle w:val="TextoNormalCaracter"/>
        </w:rPr>
        <w:t>-</w:t>
      </w:r>
      <w:r>
        <w:t xml:space="preserve"> Sentencia </w:t>
      </w:r>
      <w:hyperlink w:anchor="SENTENCIA_2002_31" w:history="1">
        <w:r w:rsidRPr="007F4918">
          <w:rPr>
            <w:rStyle w:val="TextoNormalCaracter"/>
          </w:rPr>
          <w:t>31/2002</w:t>
        </w:r>
      </w:hyperlink>
      <w:r>
        <w:t>, ff. 1, 4, 6.</w:t>
      </w:r>
    </w:p>
    <w:p w:rsidR="007F4918" w:rsidRDefault="007F4918" w:rsidP="007F4918">
      <w:pPr>
        <w:pStyle w:val="SangriaFrancesaArticulo"/>
      </w:pPr>
      <w:r w:rsidRPr="007F4918">
        <w:rPr>
          <w:rStyle w:val="TextoNormalNegritaCaracter"/>
        </w:rPr>
        <w:t>Artículo 64</w:t>
      </w:r>
      <w:r>
        <w:t xml:space="preserve"> </w:t>
      </w:r>
      <w:r w:rsidRPr="007F4918">
        <w:rPr>
          <w:rStyle w:val="TextoNormalCaracter"/>
        </w:rPr>
        <w:t>(redactado por la Ley 10/1992, de 30 de abril)</w:t>
      </w:r>
      <w:r w:rsidRPr="007F4918">
        <w:rPr>
          <w:rStyle w:val="TextoNormalNegritaCaracter"/>
        </w:rPr>
        <w:t>.</w:t>
      </w:r>
      <w:r w:rsidRPr="007F4918">
        <w:rPr>
          <w:rStyle w:val="TextoNormalCaracter"/>
        </w:rPr>
        <w:t>-</w:t>
      </w:r>
      <w:r>
        <w:t xml:space="preserve"> Sentencias </w:t>
      </w:r>
      <w:hyperlink w:anchor="SENTENCIA_2002_31" w:history="1">
        <w:r w:rsidRPr="007F4918">
          <w:rPr>
            <w:rStyle w:val="TextoNormalCaracter"/>
          </w:rPr>
          <w:t>31/2002</w:t>
        </w:r>
      </w:hyperlink>
      <w:r>
        <w:t xml:space="preserve">, f. 4; </w:t>
      </w:r>
      <w:hyperlink w:anchor="SENTENCIA_2002_87" w:history="1">
        <w:r w:rsidRPr="007F4918">
          <w:rPr>
            <w:rStyle w:val="TextoNormalCaracter"/>
          </w:rPr>
          <w:t>87/2002</w:t>
        </w:r>
      </w:hyperlink>
      <w:r>
        <w:t>, f. 3.</w:t>
      </w:r>
    </w:p>
    <w:p w:rsidR="007F4918" w:rsidRDefault="007F4918" w:rsidP="007F4918">
      <w:pPr>
        <w:pStyle w:val="SangriaFrancesaArticulo"/>
      </w:pPr>
      <w:r w:rsidRPr="007F4918">
        <w:rPr>
          <w:rStyle w:val="TextoNormalNegritaCaracter"/>
        </w:rPr>
        <w:t>Artículo 93.1.</w:t>
      </w:r>
      <w:r w:rsidRPr="007F4918">
        <w:rPr>
          <w:rStyle w:val="TextoNormalCaracter"/>
        </w:rPr>
        <w:t>-</w:t>
      </w:r>
      <w:r>
        <w:t xml:space="preserve"> Sentencia </w:t>
      </w:r>
      <w:hyperlink w:anchor="SENTENCIA_2002_18" w:history="1">
        <w:r w:rsidRPr="007F4918">
          <w:rPr>
            <w:rStyle w:val="TextoNormalCaracter"/>
          </w:rPr>
          <w:t>18/2002</w:t>
        </w:r>
      </w:hyperlink>
      <w:r>
        <w:t>, f. 5.</w:t>
      </w:r>
    </w:p>
    <w:p w:rsidR="007F4918" w:rsidRDefault="007F4918" w:rsidP="007F4918">
      <w:pPr>
        <w:pStyle w:val="SangriaFrancesaArticulo"/>
      </w:pPr>
      <w:r w:rsidRPr="007F4918">
        <w:rPr>
          <w:rStyle w:val="TextoNormalNegritaCaracter"/>
        </w:rPr>
        <w:t>Artículo 93.2 b).</w:t>
      </w:r>
      <w:r w:rsidRPr="007F4918">
        <w:rPr>
          <w:rStyle w:val="TextoNormalCaracter"/>
        </w:rPr>
        <w:t>-</w:t>
      </w:r>
      <w:r>
        <w:t xml:space="preserve"> Sentencias </w:t>
      </w:r>
      <w:hyperlink w:anchor="SENTENCIA_2002_60" w:history="1">
        <w:r w:rsidRPr="007F4918">
          <w:rPr>
            <w:rStyle w:val="TextoNormalCaracter"/>
          </w:rPr>
          <w:t>60/2002</w:t>
        </w:r>
      </w:hyperlink>
      <w:r>
        <w:t xml:space="preserve">, f. 1; </w:t>
      </w:r>
      <w:hyperlink w:anchor="SENTENCIA_2002_89" w:history="1">
        <w:r w:rsidRPr="007F4918">
          <w:rPr>
            <w:rStyle w:val="TextoNormalCaracter"/>
          </w:rPr>
          <w:t>89/2002</w:t>
        </w:r>
      </w:hyperlink>
      <w:r>
        <w:t>, f. 1.</w:t>
      </w:r>
    </w:p>
    <w:p w:rsidR="007F4918" w:rsidRDefault="007F4918" w:rsidP="007F4918">
      <w:pPr>
        <w:pStyle w:val="SangriaFrancesaArticulo"/>
      </w:pPr>
      <w:r w:rsidRPr="007F4918">
        <w:rPr>
          <w:rStyle w:val="TextoNormalNegritaCaracter"/>
        </w:rPr>
        <w:t>Artículo 93.4.</w:t>
      </w:r>
      <w:r w:rsidRPr="007F4918">
        <w:rPr>
          <w:rStyle w:val="TextoNormalCaracter"/>
        </w:rPr>
        <w:t>-</w:t>
      </w:r>
      <w:r>
        <w:t xml:space="preserve"> Sentencias </w:t>
      </w:r>
      <w:hyperlink w:anchor="SENTENCIA_2002_71" w:history="1">
        <w:r w:rsidRPr="007F4918">
          <w:rPr>
            <w:rStyle w:val="TextoNormalCaracter"/>
          </w:rPr>
          <w:t>71/2002</w:t>
        </w:r>
      </w:hyperlink>
      <w:r>
        <w:t xml:space="preserve">, VP; </w:t>
      </w:r>
      <w:hyperlink w:anchor="SENTENCIA_2002_89" w:history="1">
        <w:r w:rsidRPr="007F4918">
          <w:rPr>
            <w:rStyle w:val="TextoNormalCaracter"/>
          </w:rPr>
          <w:t>89/2002</w:t>
        </w:r>
      </w:hyperlink>
      <w:r>
        <w:t>, ff. 2 a 4.</w:t>
      </w:r>
    </w:p>
    <w:p w:rsidR="007F4918" w:rsidRDefault="007F4918" w:rsidP="007F4918">
      <w:pPr>
        <w:pStyle w:val="SangriaFrancesaArticulo"/>
      </w:pPr>
      <w:r w:rsidRPr="007F4918">
        <w:rPr>
          <w:rStyle w:val="TextoNormalNegritaCaracter"/>
        </w:rPr>
        <w:t>Artículo 93.4</w:t>
      </w:r>
      <w:r>
        <w:t xml:space="preserve"> </w:t>
      </w:r>
      <w:r w:rsidRPr="007F4918">
        <w:rPr>
          <w:rStyle w:val="TextoNormalCaracter"/>
        </w:rPr>
        <w:t>(redactado por la Ley 10/1992, de 30 de abril)</w:t>
      </w:r>
      <w:r w:rsidRPr="007F4918">
        <w:rPr>
          <w:rStyle w:val="TextoNormalNegritaCaracter"/>
        </w:rPr>
        <w:t>.</w:t>
      </w:r>
      <w:r w:rsidRPr="007F4918">
        <w:rPr>
          <w:rStyle w:val="TextoNormalCaracter"/>
        </w:rPr>
        <w:t>-</w:t>
      </w:r>
      <w:r>
        <w:t xml:space="preserve"> Sentencia </w:t>
      </w:r>
      <w:hyperlink w:anchor="SENTENCIA_2002_89" w:history="1">
        <w:r w:rsidRPr="007F4918">
          <w:rPr>
            <w:rStyle w:val="TextoNormalCaracter"/>
          </w:rPr>
          <w:t>89/2002</w:t>
        </w:r>
      </w:hyperlink>
      <w:r>
        <w:t>, f. 2.</w:t>
      </w:r>
    </w:p>
    <w:p w:rsidR="007F4918" w:rsidRDefault="007F4918" w:rsidP="007F4918">
      <w:pPr>
        <w:pStyle w:val="SangriaFrancesaArticulo"/>
      </w:pPr>
      <w:r w:rsidRPr="007F4918">
        <w:rPr>
          <w:rStyle w:val="TextoNormalNegritaCaracter"/>
        </w:rPr>
        <w:t>Artículo 95.1.</w:t>
      </w:r>
      <w:r w:rsidRPr="007F4918">
        <w:rPr>
          <w:rStyle w:val="TextoNormalCaracter"/>
        </w:rPr>
        <w:t>-</w:t>
      </w:r>
      <w:r>
        <w:t xml:space="preserve"> Sentencia </w:t>
      </w:r>
      <w:hyperlink w:anchor="SENTENCIA_2002_18" w:history="1">
        <w:r w:rsidRPr="007F4918">
          <w:rPr>
            <w:rStyle w:val="TextoNormalCaracter"/>
          </w:rPr>
          <w:t>18/2002</w:t>
        </w:r>
      </w:hyperlink>
      <w:r>
        <w:t>, f. 5.</w:t>
      </w:r>
    </w:p>
    <w:p w:rsidR="007F4918" w:rsidRDefault="007F4918" w:rsidP="007F4918">
      <w:pPr>
        <w:pStyle w:val="SangriaFrancesaArticulo"/>
      </w:pPr>
      <w:r w:rsidRPr="007F4918">
        <w:rPr>
          <w:rStyle w:val="TextoNormalNegritaCaracter"/>
        </w:rPr>
        <w:t>Artículo 96.2.</w:t>
      </w:r>
      <w:r w:rsidRPr="007F4918">
        <w:rPr>
          <w:rStyle w:val="TextoNormalCaracter"/>
        </w:rPr>
        <w:t>-</w:t>
      </w:r>
      <w:r>
        <w:t xml:space="preserve"> Sentencia </w:t>
      </w:r>
      <w:hyperlink w:anchor="SENTENCIA_2002_89" w:history="1">
        <w:r w:rsidRPr="007F4918">
          <w:rPr>
            <w:rStyle w:val="TextoNormalCaracter"/>
          </w:rPr>
          <w:t>89/2002</w:t>
        </w:r>
      </w:hyperlink>
      <w:r>
        <w:t>, ff. 1, 2, 4.</w:t>
      </w:r>
    </w:p>
    <w:p w:rsidR="007F4918" w:rsidRDefault="007F4918" w:rsidP="007F4918">
      <w:pPr>
        <w:pStyle w:val="SangriaFrancesaArticulo"/>
      </w:pPr>
      <w:r w:rsidRPr="007F4918">
        <w:rPr>
          <w:rStyle w:val="TextoNormalNegritaCaracter"/>
        </w:rPr>
        <w:t>Artículo 96.2</w:t>
      </w:r>
      <w:r>
        <w:t xml:space="preserve"> </w:t>
      </w:r>
      <w:r w:rsidRPr="007F4918">
        <w:rPr>
          <w:rStyle w:val="TextoNormalCaracter"/>
        </w:rPr>
        <w:t>(redactado por la Ley 10/1992, de 30 de abril)</w:t>
      </w:r>
      <w:r w:rsidRPr="007F4918">
        <w:rPr>
          <w:rStyle w:val="TextoNormalNegritaCaracter"/>
        </w:rPr>
        <w:t>.</w:t>
      </w:r>
      <w:r w:rsidRPr="007F4918">
        <w:rPr>
          <w:rStyle w:val="TextoNormalCaracter"/>
        </w:rPr>
        <w:t>-</w:t>
      </w:r>
      <w:r>
        <w:t xml:space="preserve"> Sentencia </w:t>
      </w:r>
      <w:hyperlink w:anchor="SENTENCIA_2002_89" w:history="1">
        <w:r w:rsidRPr="007F4918">
          <w:rPr>
            <w:rStyle w:val="TextoNormalCaracter"/>
          </w:rPr>
          <w:t>89/2002</w:t>
        </w:r>
      </w:hyperlink>
      <w:r>
        <w:t>, ff. 2, 3.</w:t>
      </w:r>
    </w:p>
    <w:p w:rsidR="007F4918" w:rsidRDefault="007F4918" w:rsidP="007F4918">
      <w:pPr>
        <w:pStyle w:val="SangriaFrancesaArticulo"/>
      </w:pPr>
      <w:r w:rsidRPr="007F4918">
        <w:rPr>
          <w:rStyle w:val="TextoNormalNegritaCaracter"/>
        </w:rPr>
        <w:t>Artículo 97.</w:t>
      </w:r>
      <w:r w:rsidRPr="007F4918">
        <w:rPr>
          <w:rStyle w:val="TextoNormalCaracter"/>
        </w:rPr>
        <w:t>-</w:t>
      </w:r>
      <w:r>
        <w:t xml:space="preserve"> Sentencia </w:t>
      </w:r>
      <w:hyperlink w:anchor="SENTENCIA_2002_18" w:history="1">
        <w:r w:rsidRPr="007F4918">
          <w:rPr>
            <w:rStyle w:val="TextoNormalCaracter"/>
          </w:rPr>
          <w:t>18/2002</w:t>
        </w:r>
      </w:hyperlink>
      <w:r>
        <w:t>, f. 8.</w:t>
      </w:r>
    </w:p>
    <w:p w:rsidR="007F4918" w:rsidRDefault="007F4918" w:rsidP="007F4918">
      <w:pPr>
        <w:pStyle w:val="SangriaFrancesaArticulo"/>
      </w:pPr>
      <w:r w:rsidRPr="007F4918">
        <w:rPr>
          <w:rStyle w:val="TextoNormalNegritaCaracter"/>
        </w:rPr>
        <w:t>Artículo 100.2 b).</w:t>
      </w:r>
      <w:r w:rsidRPr="007F4918">
        <w:rPr>
          <w:rStyle w:val="TextoNormalCaracter"/>
        </w:rPr>
        <w:t>-</w:t>
      </w:r>
      <w:r>
        <w:t xml:space="preserve"> Sentencia </w:t>
      </w:r>
      <w:hyperlink w:anchor="SENTENCIA_2002_89" w:history="1">
        <w:r w:rsidRPr="007F4918">
          <w:rPr>
            <w:rStyle w:val="TextoNormalCaracter"/>
          </w:rPr>
          <w:t>89/2002</w:t>
        </w:r>
      </w:hyperlink>
      <w:r>
        <w:t>, f. 4.</w:t>
      </w:r>
    </w:p>
    <w:p w:rsidR="007F4918" w:rsidRDefault="007F4918" w:rsidP="007F4918">
      <w:pPr>
        <w:pStyle w:val="SangriaFrancesaArticulo"/>
      </w:pPr>
      <w:r w:rsidRPr="007F4918">
        <w:rPr>
          <w:rStyle w:val="TextoNormalNegritaCaracter"/>
        </w:rPr>
        <w:t>Artículo 100.2 c).</w:t>
      </w:r>
      <w:r w:rsidRPr="007F4918">
        <w:rPr>
          <w:rStyle w:val="TextoNormalCaracter"/>
        </w:rPr>
        <w:t>-</w:t>
      </w:r>
      <w:r>
        <w:t xml:space="preserve"> Sentencia </w:t>
      </w:r>
      <w:hyperlink w:anchor="SENTENCIA_2002_89" w:history="1">
        <w:r w:rsidRPr="007F4918">
          <w:rPr>
            <w:rStyle w:val="TextoNormalCaracter"/>
          </w:rPr>
          <w:t>89/2002</w:t>
        </w:r>
      </w:hyperlink>
      <w:r>
        <w:t>, f. 4.</w:t>
      </w:r>
    </w:p>
    <w:p w:rsidR="007F4918" w:rsidRDefault="007F4918" w:rsidP="007F4918">
      <w:pPr>
        <w:pStyle w:val="SangriaFrancesaArticulo"/>
      </w:pPr>
      <w:r w:rsidRPr="007F4918">
        <w:rPr>
          <w:rStyle w:val="TextoNormalNegritaCaracter"/>
        </w:rPr>
        <w:t>Artículo 105.1 a).</w:t>
      </w:r>
      <w:r w:rsidRPr="007F4918">
        <w:rPr>
          <w:rStyle w:val="TextoNormalCaracter"/>
        </w:rPr>
        <w:t>-</w:t>
      </w:r>
      <w:r>
        <w:t xml:space="preserve"> Sentencia </w:t>
      </w:r>
      <w:hyperlink w:anchor="SENTENCIA_2002_7" w:history="1">
        <w:r w:rsidRPr="007F4918">
          <w:rPr>
            <w:rStyle w:val="TextoNormalCaracter"/>
          </w:rPr>
          <w:t>7/2002</w:t>
        </w:r>
      </w:hyperlink>
      <w:r>
        <w:t>, f. 10.</w:t>
      </w:r>
    </w:p>
    <w:p w:rsidR="007F4918" w:rsidRDefault="007F4918" w:rsidP="007F4918">
      <w:pPr>
        <w:pStyle w:val="SangriaFrancesaArticulo"/>
      </w:pPr>
      <w:r w:rsidRPr="007F4918">
        <w:rPr>
          <w:rStyle w:val="TextoNormalNegritaCaracter"/>
        </w:rPr>
        <w:t>Artículo 110.2.</w:t>
      </w:r>
      <w:r w:rsidRPr="007F4918">
        <w:rPr>
          <w:rStyle w:val="TextoNormalCaracter"/>
        </w:rPr>
        <w:t>-</w:t>
      </w:r>
      <w:r>
        <w:t xml:space="preserve"> Sentencia </w:t>
      </w:r>
      <w:hyperlink w:anchor="SENTENCIA_2002_7" w:history="1">
        <w:r w:rsidRPr="007F4918">
          <w:rPr>
            <w:rStyle w:val="TextoNormalCaracter"/>
          </w:rPr>
          <w:t>7/2002</w:t>
        </w:r>
      </w:hyperlink>
      <w:r>
        <w:t>, f. 10.</w:t>
      </w:r>
    </w:p>
    <w:p w:rsidR="007F4918" w:rsidRDefault="007F4918" w:rsidP="007F4918">
      <w:pPr>
        <w:pStyle w:val="SangriaFrancesaArticulo"/>
      </w:pPr>
      <w:r w:rsidRPr="007F4918">
        <w:rPr>
          <w:rStyle w:val="TextoNormalNegritaCaracter"/>
        </w:rPr>
        <w:t>Artículo 129.</w:t>
      </w:r>
      <w:r w:rsidRPr="007F4918">
        <w:rPr>
          <w:rStyle w:val="TextoNormalCaracter"/>
        </w:rPr>
        <w:t>-</w:t>
      </w:r>
      <w:r>
        <w:t xml:space="preserve"> Sentencia </w:t>
      </w:r>
      <w:hyperlink w:anchor="SENTENCIA_2002_89" w:history="1">
        <w:r w:rsidRPr="007F4918">
          <w:rPr>
            <w:rStyle w:val="TextoNormalCaracter"/>
          </w:rPr>
          <w:t>89/2002</w:t>
        </w:r>
      </w:hyperlink>
      <w:r>
        <w:t>, f. 3.</w:t>
      </w:r>
    </w:p>
    <w:p w:rsidR="007F4918" w:rsidRDefault="007F4918" w:rsidP="007F4918">
      <w:pPr>
        <w:pStyle w:val="SangriaFrancesaArticulo"/>
      </w:pPr>
    </w:p>
    <w:p w:rsidR="007F4918" w:rsidRDefault="007F4918" w:rsidP="007F4918">
      <w:pPr>
        <w:pStyle w:val="TextoNormalNegritaCursivandice"/>
      </w:pPr>
      <w:r>
        <w:t>Ley de 8 de junio de 1957. Registro Civil</w:t>
      </w:r>
    </w:p>
    <w:p w:rsidR="007F4918" w:rsidRDefault="007F4918" w:rsidP="007F4918">
      <w:pPr>
        <w:pStyle w:val="SangriaFrancesaArticulo"/>
      </w:pPr>
      <w:r w:rsidRPr="007F4918">
        <w:rPr>
          <w:rStyle w:val="TextoNormalNegritaCaracter"/>
        </w:rPr>
        <w:t>Artículo 54.</w:t>
      </w:r>
      <w:r w:rsidRPr="007F4918">
        <w:rPr>
          <w:rStyle w:val="TextoNormalCaracter"/>
        </w:rPr>
        <w:t>-</w:t>
      </w:r>
      <w:r>
        <w:t xml:space="preserve"> Sentencia </w:t>
      </w:r>
      <w:hyperlink w:anchor="SENTENCIA_2002_39" w:history="1">
        <w:r w:rsidRPr="007F4918">
          <w:rPr>
            <w:rStyle w:val="TextoNormalCaracter"/>
          </w:rPr>
          <w:t>39/2002</w:t>
        </w:r>
      </w:hyperlink>
      <w:r>
        <w:t>, f. 2.</w:t>
      </w:r>
    </w:p>
    <w:p w:rsidR="007F4918" w:rsidRDefault="007F4918" w:rsidP="007F4918">
      <w:pPr>
        <w:pStyle w:val="SangriaFrancesaArticulo"/>
      </w:pPr>
    </w:p>
    <w:p w:rsidR="007F4918" w:rsidRDefault="007F4918" w:rsidP="007F4918">
      <w:pPr>
        <w:pStyle w:val="TextoNormalNegritaCursivandice"/>
      </w:pPr>
      <w:r>
        <w:t>Ley 45/1960, de 21 de julio. Creación de fondos nacionales para la aplicación social del impuesto y del ahorro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p>
    <w:p w:rsidR="007F4918" w:rsidRDefault="007F4918" w:rsidP="007F4918">
      <w:pPr>
        <w:pStyle w:val="TextoNormalNegritaCursivandice"/>
      </w:pPr>
      <w:r>
        <w:t>Ley 230/1963, de 28 de diciembre. General tributaria</w:t>
      </w:r>
    </w:p>
    <w:p w:rsidR="007F4918" w:rsidRDefault="007F4918" w:rsidP="007F4918">
      <w:pPr>
        <w:pStyle w:val="SangriaFrancesaArticulo"/>
      </w:pPr>
      <w:r w:rsidRPr="007F4918">
        <w:rPr>
          <w:rStyle w:val="TextoNormalNegritaCaracter"/>
        </w:rPr>
        <w:t>Artículo 21.</w:t>
      </w:r>
      <w:r w:rsidRPr="007F4918">
        <w:rPr>
          <w:rStyle w:val="TextoNormalCaracter"/>
        </w:rPr>
        <w:t>-</w:t>
      </w:r>
      <w:r>
        <w:t xml:space="preserve"> Sentencia </w:t>
      </w:r>
      <w:hyperlink w:anchor="SENTENCIA_2002_96" w:history="1">
        <w:r w:rsidRPr="007F4918">
          <w:rPr>
            <w:rStyle w:val="TextoNormalCaracter"/>
          </w:rPr>
          <w:t>96/2002</w:t>
        </w:r>
      </w:hyperlink>
      <w:r>
        <w:t>, f. 8.</w:t>
      </w:r>
    </w:p>
    <w:p w:rsidR="007F4918" w:rsidRDefault="007F4918" w:rsidP="007F4918">
      <w:pPr>
        <w:pStyle w:val="SangriaFrancesaArticulo"/>
      </w:pPr>
    </w:p>
    <w:p w:rsidR="007F4918" w:rsidRDefault="007F4918" w:rsidP="007F4918">
      <w:pPr>
        <w:pStyle w:val="TextoNormalNegritaCursivandice"/>
      </w:pPr>
      <w:r>
        <w:t>Decreto 315/1964, de 7 de febrero. Ley articulada de funcionarios civiles del Estado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ff. 7, 9, 11.</w:t>
      </w:r>
    </w:p>
    <w:p w:rsidR="007F4918" w:rsidRDefault="007F4918" w:rsidP="007F4918">
      <w:pPr>
        <w:pStyle w:val="SangriaFrancesaArticulo"/>
      </w:pPr>
      <w:r w:rsidRPr="007F4918">
        <w:rPr>
          <w:rStyle w:val="TextoNormalNegritaCaracter"/>
        </w:rPr>
        <w:t>Artículo 47.</w:t>
      </w:r>
      <w:r w:rsidRPr="007F4918">
        <w:rPr>
          <w:rStyle w:val="TextoNormalCaracter"/>
        </w:rPr>
        <w:t>-</w:t>
      </w:r>
      <w:r>
        <w:t xml:space="preserve"> Sentencia </w:t>
      </w:r>
      <w:hyperlink w:anchor="SENTENCIA_2002_37" w:history="1">
        <w:r w:rsidRPr="007F4918">
          <w:rPr>
            <w:rStyle w:val="TextoNormalCaracter"/>
          </w:rPr>
          <w:t>37/2002</w:t>
        </w:r>
      </w:hyperlink>
      <w:r>
        <w:t>, ff. 7, 15.</w:t>
      </w:r>
    </w:p>
    <w:p w:rsidR="007F4918" w:rsidRDefault="007F4918" w:rsidP="007F4918">
      <w:pPr>
        <w:pStyle w:val="SangriaFrancesaArticulo"/>
      </w:pPr>
      <w:r w:rsidRPr="007F4918">
        <w:rPr>
          <w:rStyle w:val="TextoNormalNegritaCaracter"/>
        </w:rPr>
        <w:t>Artículo 48.</w:t>
      </w:r>
      <w:r w:rsidRPr="007F4918">
        <w:rPr>
          <w:rStyle w:val="TextoNormalCaracter"/>
        </w:rPr>
        <w:t>-</w:t>
      </w:r>
      <w:r>
        <w:t xml:space="preserve"> Sentencia </w:t>
      </w:r>
      <w:hyperlink w:anchor="SENTENCIA_2002_37" w:history="1">
        <w:r w:rsidRPr="007F4918">
          <w:rPr>
            <w:rStyle w:val="TextoNormalCaracter"/>
          </w:rPr>
          <w:t>37/2002</w:t>
        </w:r>
      </w:hyperlink>
      <w:r>
        <w:t>, ff. 7, 15.</w:t>
      </w:r>
    </w:p>
    <w:p w:rsidR="007F4918" w:rsidRDefault="007F4918" w:rsidP="007F4918">
      <w:pPr>
        <w:pStyle w:val="SangriaFrancesaArticulo"/>
      </w:pPr>
      <w:r w:rsidRPr="007F4918">
        <w:rPr>
          <w:rStyle w:val="TextoNormalNegritaCaracter"/>
        </w:rPr>
        <w:t>Artículo 49.</w:t>
      </w:r>
      <w:r w:rsidRPr="007F4918">
        <w:rPr>
          <w:rStyle w:val="TextoNormalCaracter"/>
        </w:rPr>
        <w:t>-</w:t>
      </w:r>
      <w:r>
        <w:t xml:space="preserve"> Sentencia </w:t>
      </w:r>
      <w:hyperlink w:anchor="SENTENCIA_2002_37" w:history="1">
        <w:r w:rsidRPr="007F4918">
          <w:rPr>
            <w:rStyle w:val="TextoNormalCaracter"/>
          </w:rPr>
          <w:t>37/2002</w:t>
        </w:r>
      </w:hyperlink>
      <w:r>
        <w:t>, ff. 7, 15.</w:t>
      </w:r>
    </w:p>
    <w:p w:rsidR="007F4918" w:rsidRDefault="007F4918" w:rsidP="007F4918">
      <w:pPr>
        <w:pStyle w:val="SangriaFrancesaArticulo"/>
      </w:pPr>
      <w:r w:rsidRPr="007F4918">
        <w:rPr>
          <w:rStyle w:val="TextoNormalNegritaCaracter"/>
        </w:rPr>
        <w:t>Artículo 87.2.</w:t>
      </w:r>
      <w:r w:rsidRPr="007F4918">
        <w:rPr>
          <w:rStyle w:val="TextoNormalCaracter"/>
        </w:rPr>
        <w:t>-</w:t>
      </w:r>
      <w:r>
        <w:t xml:space="preserve"> Sentencia </w:t>
      </w:r>
      <w:hyperlink w:anchor="SENTENCIA_2002_37" w:history="1">
        <w:r w:rsidRPr="007F4918">
          <w:rPr>
            <w:rStyle w:val="TextoNormalCaracter"/>
          </w:rPr>
          <w:t>37/2002</w:t>
        </w:r>
      </w:hyperlink>
      <w:r>
        <w:t>, ff. 7, 15.</w:t>
      </w:r>
    </w:p>
    <w:p w:rsidR="007F4918" w:rsidRDefault="007F4918" w:rsidP="007F4918">
      <w:pPr>
        <w:pStyle w:val="SangriaFrancesaArticulo"/>
      </w:pPr>
      <w:r w:rsidRPr="007F4918">
        <w:rPr>
          <w:rStyle w:val="TextoNormalNegritaCaracter"/>
        </w:rPr>
        <w:t>Artículo 91.</w:t>
      </w:r>
      <w:r w:rsidRPr="007F4918">
        <w:rPr>
          <w:rStyle w:val="TextoNormalCaracter"/>
        </w:rPr>
        <w:t>-</w:t>
      </w:r>
      <w:r>
        <w:t xml:space="preserve"> Sentencia </w:t>
      </w:r>
      <w:hyperlink w:anchor="SENTENCIA_2002_37" w:history="1">
        <w:r w:rsidRPr="007F4918">
          <w:rPr>
            <w:rStyle w:val="TextoNormalCaracter"/>
          </w:rPr>
          <w:t>37/2002</w:t>
        </w:r>
      </w:hyperlink>
      <w:r>
        <w:t>, f. 15.</w:t>
      </w:r>
    </w:p>
    <w:p w:rsidR="007F4918" w:rsidRDefault="007F4918" w:rsidP="007F4918">
      <w:pPr>
        <w:pStyle w:val="SangriaFrancesaArticulo"/>
      </w:pPr>
    </w:p>
    <w:p w:rsidR="007F4918" w:rsidRDefault="007F4918" w:rsidP="007F4918">
      <w:pPr>
        <w:pStyle w:val="TextoNormalNegritaCursivandice"/>
      </w:pPr>
      <w:r>
        <w:t>Ley 25/1964, de 29 de abril. Energía nuclear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5" w:history="1">
        <w:r w:rsidRPr="007F4918">
          <w:rPr>
            <w:rStyle w:val="TextoNormalCaracter"/>
          </w:rPr>
          <w:t>25/2002</w:t>
        </w:r>
      </w:hyperlink>
      <w:r>
        <w:t>, f. 1.</w:t>
      </w:r>
    </w:p>
    <w:p w:rsidR="007F4918" w:rsidRDefault="007F4918" w:rsidP="007F4918">
      <w:pPr>
        <w:pStyle w:val="SangriaFrancesaArticulo"/>
      </w:pPr>
      <w:r w:rsidRPr="007F4918">
        <w:rPr>
          <w:rStyle w:val="TextoNormalNegritaCaracter"/>
        </w:rPr>
        <w:t>Artículo 1 b).</w:t>
      </w:r>
      <w:r w:rsidRPr="007F4918">
        <w:rPr>
          <w:rStyle w:val="TextoNormalCaracter"/>
        </w:rPr>
        <w:t>-</w:t>
      </w:r>
      <w:r>
        <w:t xml:space="preserve"> Sentencia </w:t>
      </w:r>
      <w:hyperlink w:anchor="SENTENCIA_2002_25" w:history="1">
        <w:r w:rsidRPr="007F4918">
          <w:rPr>
            <w:rStyle w:val="TextoNormalCaracter"/>
          </w:rPr>
          <w:t>25/2002</w:t>
        </w:r>
      </w:hyperlink>
      <w:r>
        <w:t>, f. 5.</w:t>
      </w:r>
    </w:p>
    <w:p w:rsidR="007F4918" w:rsidRDefault="007F4918" w:rsidP="007F4918">
      <w:pPr>
        <w:pStyle w:val="SangriaFrancesaArticulo"/>
      </w:pPr>
      <w:r w:rsidRPr="007F4918">
        <w:rPr>
          <w:rStyle w:val="TextoNormalNegritaCaracter"/>
        </w:rPr>
        <w:t>Artículo 91.</w:t>
      </w:r>
      <w:r w:rsidRPr="007F4918">
        <w:rPr>
          <w:rStyle w:val="TextoNormalCaracter"/>
        </w:rPr>
        <w:t>-</w:t>
      </w:r>
      <w:r>
        <w:t xml:space="preserve"> Sentencia </w:t>
      </w:r>
      <w:hyperlink w:anchor="SENTENCIA_2002_25" w:history="1">
        <w:r w:rsidRPr="007F4918">
          <w:rPr>
            <w:rStyle w:val="TextoNormalCaracter"/>
          </w:rPr>
          <w:t>25/2002</w:t>
        </w:r>
      </w:hyperlink>
      <w:r>
        <w:t>, ff. 1 a 3, 5.</w:t>
      </w:r>
    </w:p>
    <w:p w:rsidR="007F4918" w:rsidRDefault="007F4918" w:rsidP="007F4918">
      <w:pPr>
        <w:pStyle w:val="SangriaFrancesaArticulo"/>
      </w:pPr>
      <w:r w:rsidRPr="007F4918">
        <w:rPr>
          <w:rStyle w:val="TextoNormalNegritaCaracter"/>
        </w:rPr>
        <w:lastRenderedPageBreak/>
        <w:t>Artículo 91</w:t>
      </w:r>
      <w:r>
        <w:t xml:space="preserve"> </w:t>
      </w:r>
      <w:r w:rsidRPr="007F4918">
        <w:rPr>
          <w:rStyle w:val="TextoNormalCaracter"/>
        </w:rPr>
        <w:t>(redactado por la Ley 40/1994, de 30 de diciembre)</w:t>
      </w:r>
      <w:r w:rsidRPr="007F4918">
        <w:rPr>
          <w:rStyle w:val="TextoNormalNegritaCaracter"/>
        </w:rPr>
        <w:t>.</w:t>
      </w:r>
      <w:r w:rsidRPr="007F4918">
        <w:rPr>
          <w:rStyle w:val="TextoNormalCaracter"/>
        </w:rPr>
        <w:t>-</w:t>
      </w:r>
      <w:r>
        <w:t xml:space="preserve"> Sentencia </w:t>
      </w:r>
      <w:hyperlink w:anchor="SENTENCIA_2002_25" w:history="1">
        <w:r w:rsidRPr="007F4918">
          <w:rPr>
            <w:rStyle w:val="TextoNormalCaracter"/>
          </w:rPr>
          <w:t>25/2002</w:t>
        </w:r>
      </w:hyperlink>
      <w:r>
        <w:t>, f. 1.</w:t>
      </w:r>
    </w:p>
    <w:p w:rsidR="007F4918" w:rsidRDefault="007F4918" w:rsidP="007F4918">
      <w:pPr>
        <w:pStyle w:val="SangriaFrancesaArticulo"/>
      </w:pPr>
      <w:r w:rsidRPr="007F4918">
        <w:rPr>
          <w:rStyle w:val="TextoNormalNegritaCaracter"/>
        </w:rPr>
        <w:t>Artículos 91 a 93</w:t>
      </w:r>
      <w:r>
        <w:t xml:space="preserve"> </w:t>
      </w:r>
      <w:r w:rsidRPr="007F4918">
        <w:rPr>
          <w:rStyle w:val="TextoNormalCaracter"/>
        </w:rPr>
        <w:t>(redactado por la Ley 15/1980, de 22 de abril)</w:t>
      </w:r>
      <w:r w:rsidRPr="007F4918">
        <w:rPr>
          <w:rStyle w:val="TextoNormalNegritaCaracter"/>
        </w:rPr>
        <w:t>.</w:t>
      </w:r>
      <w:r w:rsidRPr="007F4918">
        <w:rPr>
          <w:rStyle w:val="TextoNormalCaracter"/>
        </w:rPr>
        <w:t>-</w:t>
      </w:r>
      <w:r>
        <w:t xml:space="preserve"> Sentencia </w:t>
      </w:r>
      <w:hyperlink w:anchor="SENTENCIA_2002_25" w:history="1">
        <w:r w:rsidRPr="007F4918">
          <w:rPr>
            <w:rStyle w:val="TextoNormalCaracter"/>
          </w:rPr>
          <w:t>25/2002</w:t>
        </w:r>
      </w:hyperlink>
      <w:r>
        <w:t>, f. 1.</w:t>
      </w:r>
    </w:p>
    <w:p w:rsidR="007F4918" w:rsidRDefault="007F4918" w:rsidP="007F4918">
      <w:pPr>
        <w:pStyle w:val="SangriaFrancesaArticulo"/>
      </w:pPr>
      <w:r w:rsidRPr="007F4918">
        <w:rPr>
          <w:rStyle w:val="TextoNormalNegritaCaracter"/>
        </w:rPr>
        <w:t>Artículo 92.</w:t>
      </w:r>
      <w:r w:rsidRPr="007F4918">
        <w:rPr>
          <w:rStyle w:val="TextoNormalCaracter"/>
        </w:rPr>
        <w:t>-</w:t>
      </w:r>
      <w:r>
        <w:t xml:space="preserve"> Sentencia </w:t>
      </w:r>
      <w:hyperlink w:anchor="SENTENCIA_2002_25" w:history="1">
        <w:r w:rsidRPr="007F4918">
          <w:rPr>
            <w:rStyle w:val="TextoNormalCaracter"/>
          </w:rPr>
          <w:t>25/2002</w:t>
        </w:r>
      </w:hyperlink>
      <w:r>
        <w:t>, f. 7.</w:t>
      </w:r>
    </w:p>
    <w:p w:rsidR="007F4918" w:rsidRDefault="007F4918" w:rsidP="007F4918">
      <w:pPr>
        <w:pStyle w:val="SangriaFrancesaArticulo"/>
      </w:pPr>
      <w:r w:rsidRPr="007F4918">
        <w:rPr>
          <w:rStyle w:val="TextoNormalNegritaCaracter"/>
        </w:rPr>
        <w:t>Artículo 92</w:t>
      </w:r>
      <w:r>
        <w:t xml:space="preserve"> </w:t>
      </w:r>
      <w:r w:rsidRPr="007F4918">
        <w:rPr>
          <w:rStyle w:val="TextoNormalCaracter"/>
        </w:rPr>
        <w:t>(redactado por la Ley 15/1980, de 22 de abril)</w:t>
      </w:r>
      <w:r w:rsidRPr="007F4918">
        <w:rPr>
          <w:rStyle w:val="TextoNormalNegritaCaracter"/>
        </w:rPr>
        <w:t>.</w:t>
      </w:r>
      <w:r w:rsidRPr="007F4918">
        <w:rPr>
          <w:rStyle w:val="TextoNormalCaracter"/>
        </w:rPr>
        <w:t>-</w:t>
      </w:r>
      <w:r>
        <w:t xml:space="preserve"> Sentencia </w:t>
      </w:r>
      <w:hyperlink w:anchor="SENTENCIA_2002_25" w:history="1">
        <w:r w:rsidRPr="007F4918">
          <w:rPr>
            <w:rStyle w:val="TextoNormalCaracter"/>
          </w:rPr>
          <w:t>25/2002</w:t>
        </w:r>
      </w:hyperlink>
      <w:r>
        <w:t>, ff. 3, 6.</w:t>
      </w:r>
    </w:p>
    <w:p w:rsidR="007F4918" w:rsidRDefault="007F4918" w:rsidP="007F4918">
      <w:pPr>
        <w:pStyle w:val="SangriaFrancesaArticulo"/>
      </w:pPr>
      <w:r w:rsidRPr="007F4918">
        <w:rPr>
          <w:rStyle w:val="TextoNormalNegritaCaracter"/>
        </w:rPr>
        <w:t>Artículo 92</w:t>
      </w:r>
      <w:r>
        <w:t xml:space="preserve"> </w:t>
      </w:r>
      <w:r w:rsidRPr="007F4918">
        <w:rPr>
          <w:rStyle w:val="TextoNormalCaracter"/>
        </w:rPr>
        <w:t>(redactado por la Ley 40/1994, de 30 de diciembre)</w:t>
      </w:r>
      <w:r w:rsidRPr="007F4918">
        <w:rPr>
          <w:rStyle w:val="TextoNormalNegritaCaracter"/>
        </w:rPr>
        <w:t>.</w:t>
      </w:r>
      <w:r w:rsidRPr="007F4918">
        <w:rPr>
          <w:rStyle w:val="TextoNormalCaracter"/>
        </w:rPr>
        <w:t>-</w:t>
      </w:r>
      <w:r>
        <w:t xml:space="preserve"> Sentencia </w:t>
      </w:r>
      <w:hyperlink w:anchor="SENTENCIA_2002_25" w:history="1">
        <w:r w:rsidRPr="007F4918">
          <w:rPr>
            <w:rStyle w:val="TextoNormalCaracter"/>
          </w:rPr>
          <w:t>25/2002</w:t>
        </w:r>
      </w:hyperlink>
      <w:r>
        <w:t>, f. 1.</w:t>
      </w:r>
    </w:p>
    <w:p w:rsidR="007F4918" w:rsidRDefault="007F4918" w:rsidP="007F4918">
      <w:pPr>
        <w:pStyle w:val="SangriaFrancesaArticulo"/>
      </w:pPr>
      <w:r w:rsidRPr="007F4918">
        <w:rPr>
          <w:rStyle w:val="TextoNormalNegritaCaracter"/>
        </w:rPr>
        <w:t>Artículo 93.</w:t>
      </w:r>
      <w:r w:rsidRPr="007F4918">
        <w:rPr>
          <w:rStyle w:val="TextoNormalCaracter"/>
        </w:rPr>
        <w:t>-</w:t>
      </w:r>
      <w:r>
        <w:t xml:space="preserve"> Sentencia </w:t>
      </w:r>
      <w:hyperlink w:anchor="SENTENCIA_2002_25" w:history="1">
        <w:r w:rsidRPr="007F4918">
          <w:rPr>
            <w:rStyle w:val="TextoNormalCaracter"/>
          </w:rPr>
          <w:t>25/2002</w:t>
        </w:r>
      </w:hyperlink>
      <w:r>
        <w:t>, f. 7.</w:t>
      </w:r>
    </w:p>
    <w:p w:rsidR="007F4918" w:rsidRDefault="007F4918" w:rsidP="007F4918">
      <w:pPr>
        <w:pStyle w:val="SangriaFrancesaArticulo"/>
      </w:pPr>
      <w:r w:rsidRPr="007F4918">
        <w:rPr>
          <w:rStyle w:val="TextoNormalNegritaCaracter"/>
        </w:rPr>
        <w:t>Artículo 93</w:t>
      </w:r>
      <w:r>
        <w:t xml:space="preserve"> </w:t>
      </w:r>
      <w:r w:rsidRPr="007F4918">
        <w:rPr>
          <w:rStyle w:val="TextoNormalCaracter"/>
        </w:rPr>
        <w:t>(redactado por la Ley 15/1980, de 22 de abril)</w:t>
      </w:r>
      <w:r w:rsidRPr="007F4918">
        <w:rPr>
          <w:rStyle w:val="TextoNormalNegritaCaracter"/>
        </w:rPr>
        <w:t>.</w:t>
      </w:r>
      <w:r w:rsidRPr="007F4918">
        <w:rPr>
          <w:rStyle w:val="TextoNormalCaracter"/>
        </w:rPr>
        <w:t>-</w:t>
      </w:r>
      <w:r>
        <w:t xml:space="preserve"> Sentencia </w:t>
      </w:r>
      <w:hyperlink w:anchor="SENTENCIA_2002_25" w:history="1">
        <w:r w:rsidRPr="007F4918">
          <w:rPr>
            <w:rStyle w:val="TextoNormalCaracter"/>
          </w:rPr>
          <w:t>25/2002</w:t>
        </w:r>
      </w:hyperlink>
      <w:r>
        <w:t>, ff. 3, 6.</w:t>
      </w:r>
    </w:p>
    <w:p w:rsidR="007F4918" w:rsidRDefault="007F4918" w:rsidP="007F4918">
      <w:pPr>
        <w:pStyle w:val="SangriaFrancesaArticulo"/>
      </w:pPr>
    </w:p>
    <w:p w:rsidR="007F4918" w:rsidRDefault="007F4918" w:rsidP="007F4918">
      <w:pPr>
        <w:pStyle w:val="TextoNormalNegritaCursivandice"/>
      </w:pPr>
      <w:r>
        <w:t>Decreto 923/1965, de 8 de abril. Texto articulado de la Ley de contratos del Estado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VP IV.</w:t>
      </w:r>
    </w:p>
    <w:p w:rsidR="007F4918" w:rsidRDefault="007F4918" w:rsidP="007F4918">
      <w:pPr>
        <w:pStyle w:val="SangriaFrancesaArticulo"/>
      </w:pPr>
    </w:p>
    <w:p w:rsidR="007F4918" w:rsidRDefault="007F4918" w:rsidP="007F4918">
      <w:pPr>
        <w:pStyle w:val="TextoNormalNegritaCursivandice"/>
      </w:pPr>
      <w:r>
        <w:t>Decreto 632/1968, de 21 de marzo. Texto refundido de la Ley sobre uso y circulación de vehículos de motor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9" w:history="1">
        <w:r w:rsidRPr="007F4918">
          <w:rPr>
            <w:rStyle w:val="TextoNormalCaracter"/>
          </w:rPr>
          <w:t>19/2002</w:t>
        </w:r>
      </w:hyperlink>
      <w:r>
        <w:t>, ff. 3, 4.</w:t>
      </w:r>
    </w:p>
    <w:p w:rsidR="007F4918" w:rsidRDefault="007F4918" w:rsidP="007F4918">
      <w:pPr>
        <w:pStyle w:val="SangriaFrancesaArticulo"/>
      </w:pPr>
      <w:r w:rsidRPr="007F4918">
        <w:rPr>
          <w:rStyle w:val="TextoNormalNegritaCaracter"/>
        </w:rPr>
        <w:t>Artículo 5.</w:t>
      </w:r>
      <w:r w:rsidRPr="007F4918">
        <w:rPr>
          <w:rStyle w:val="TextoNormalCaracter"/>
        </w:rPr>
        <w:t>-</w:t>
      </w:r>
      <w:r>
        <w:t xml:space="preserve"> Sentencia </w:t>
      </w:r>
      <w:hyperlink w:anchor="SENTENCIA_2002_19" w:history="1">
        <w:r w:rsidRPr="007F4918">
          <w:rPr>
            <w:rStyle w:val="TextoNormalCaracter"/>
          </w:rPr>
          <w:t>19/2002</w:t>
        </w:r>
      </w:hyperlink>
      <w:r>
        <w:t>, f. 3.</w:t>
      </w:r>
    </w:p>
    <w:p w:rsidR="007F4918" w:rsidRDefault="007F4918" w:rsidP="007F4918">
      <w:pPr>
        <w:pStyle w:val="SangriaFrancesaArticulo"/>
      </w:pPr>
      <w:r w:rsidRPr="007F4918">
        <w:rPr>
          <w:rStyle w:val="TextoNormalNegritaCaracter"/>
        </w:rPr>
        <w:t>Artículo 7 a).</w:t>
      </w:r>
      <w:r w:rsidRPr="007F4918">
        <w:rPr>
          <w:rStyle w:val="TextoNormalCaracter"/>
        </w:rPr>
        <w:t>-</w:t>
      </w:r>
      <w:r>
        <w:t xml:space="preserve"> Sentencia </w:t>
      </w:r>
      <w:hyperlink w:anchor="SENTENCIA_2002_19" w:history="1">
        <w:r w:rsidRPr="007F4918">
          <w:rPr>
            <w:rStyle w:val="TextoNormalCaracter"/>
          </w:rPr>
          <w:t>19/2002</w:t>
        </w:r>
      </w:hyperlink>
      <w:r>
        <w:t>, f. 3.</w:t>
      </w:r>
    </w:p>
    <w:p w:rsidR="007F4918" w:rsidRDefault="007F4918" w:rsidP="007F4918">
      <w:pPr>
        <w:pStyle w:val="SangriaFrancesaArticulo"/>
      </w:pPr>
    </w:p>
    <w:p w:rsidR="007F4918" w:rsidRDefault="007F4918" w:rsidP="007F4918">
      <w:pPr>
        <w:pStyle w:val="TextoNormalNegritaCursivandice"/>
      </w:pPr>
      <w:r>
        <w:t>Ley 14/1970, de 4 de agosto. General de educación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25" w:history="1">
        <w:r w:rsidRPr="007F4918">
          <w:rPr>
            <w:rStyle w:val="TextoNormalCaracter"/>
          </w:rPr>
          <w:t>25/2002</w:t>
        </w:r>
      </w:hyperlink>
      <w:r>
        <w:t xml:space="preserve">, f. 1; </w:t>
      </w:r>
      <w:hyperlink w:anchor="SENTENCIA_2002_34" w:history="1">
        <w:r w:rsidRPr="007F4918">
          <w:rPr>
            <w:rStyle w:val="TextoNormalCaracter"/>
          </w:rPr>
          <w:t>34/2002</w:t>
        </w:r>
      </w:hyperlink>
      <w:r>
        <w:t>, f. 6.</w:t>
      </w:r>
    </w:p>
    <w:p w:rsidR="007F4918" w:rsidRDefault="007F4918" w:rsidP="007F4918">
      <w:pPr>
        <w:pStyle w:val="SangriaFrancesaArticulo"/>
      </w:pPr>
      <w:r w:rsidRPr="007F4918">
        <w:rPr>
          <w:rStyle w:val="TextoNormalNegritaCaracter"/>
        </w:rPr>
        <w:t>Artículo 12.1.</w:t>
      </w:r>
      <w:r w:rsidRPr="007F4918">
        <w:rPr>
          <w:rStyle w:val="TextoNormalCaracter"/>
        </w:rPr>
        <w:t>-</w:t>
      </w:r>
      <w:r>
        <w:t xml:space="preserve"> Sentencia </w:t>
      </w:r>
      <w:hyperlink w:anchor="SENTENCIA_2002_34" w:history="1">
        <w:r w:rsidRPr="007F4918">
          <w:rPr>
            <w:rStyle w:val="TextoNormalCaracter"/>
          </w:rPr>
          <w:t>34/2002</w:t>
        </w:r>
      </w:hyperlink>
      <w:r>
        <w:t>, f. 5.</w:t>
      </w:r>
    </w:p>
    <w:p w:rsidR="007F4918" w:rsidRDefault="007F4918" w:rsidP="007F4918">
      <w:pPr>
        <w:pStyle w:val="SangriaFrancesaArticulo"/>
      </w:pPr>
      <w:r w:rsidRPr="007F4918">
        <w:rPr>
          <w:rStyle w:val="TextoNormalNegritaCaracter"/>
        </w:rPr>
        <w:t>Artículo 21.1.</w:t>
      </w:r>
      <w:r w:rsidRPr="007F4918">
        <w:rPr>
          <w:rStyle w:val="TextoNormalCaracter"/>
        </w:rPr>
        <w:t>-</w:t>
      </w:r>
      <w:r>
        <w:t xml:space="preserve"> Sentencia </w:t>
      </w:r>
      <w:hyperlink w:anchor="SENTENCIA_2002_34" w:history="1">
        <w:r w:rsidRPr="007F4918">
          <w:rPr>
            <w:rStyle w:val="TextoNormalCaracter"/>
          </w:rPr>
          <w:t>34/2002</w:t>
        </w:r>
      </w:hyperlink>
      <w:r>
        <w:t>, f. 5.</w:t>
      </w:r>
    </w:p>
    <w:p w:rsidR="007F4918" w:rsidRDefault="007F4918" w:rsidP="007F4918">
      <w:pPr>
        <w:pStyle w:val="SangriaFrancesaArticulo"/>
      </w:pPr>
      <w:r w:rsidRPr="007F4918">
        <w:rPr>
          <w:rStyle w:val="TextoNormalNegritaCaracter"/>
        </w:rPr>
        <w:t>Artículo 21.2.</w:t>
      </w:r>
      <w:r w:rsidRPr="007F4918">
        <w:rPr>
          <w:rStyle w:val="TextoNormalCaracter"/>
        </w:rPr>
        <w:t>-</w:t>
      </w:r>
      <w:r>
        <w:t xml:space="preserve"> Sentencia </w:t>
      </w:r>
      <w:hyperlink w:anchor="SENTENCIA_2002_34" w:history="1">
        <w:r w:rsidRPr="007F4918">
          <w:rPr>
            <w:rStyle w:val="TextoNormalCaracter"/>
          </w:rPr>
          <w:t>34/2002</w:t>
        </w:r>
      </w:hyperlink>
      <w:r>
        <w:t>, f. 5.</w:t>
      </w:r>
    </w:p>
    <w:p w:rsidR="007F4918" w:rsidRDefault="007F4918" w:rsidP="007F4918">
      <w:pPr>
        <w:pStyle w:val="SangriaFrancesaArticulo"/>
      </w:pPr>
      <w:r w:rsidRPr="007F4918">
        <w:rPr>
          <w:rStyle w:val="TextoNormalNegritaCaracter"/>
        </w:rPr>
        <w:t>Artículo 29.</w:t>
      </w:r>
      <w:r w:rsidRPr="007F4918">
        <w:rPr>
          <w:rStyle w:val="TextoNormalCaracter"/>
        </w:rPr>
        <w:t>-</w:t>
      </w:r>
      <w:r>
        <w:t xml:space="preserve"> Sentencia </w:t>
      </w:r>
      <w:hyperlink w:anchor="SENTENCIA_2002_34" w:history="1">
        <w:r w:rsidRPr="007F4918">
          <w:rPr>
            <w:rStyle w:val="TextoNormalCaracter"/>
          </w:rPr>
          <w:t>34/2002</w:t>
        </w:r>
      </w:hyperlink>
      <w:r>
        <w:t>, f. 5.</w:t>
      </w:r>
    </w:p>
    <w:p w:rsidR="007F4918" w:rsidRDefault="007F4918" w:rsidP="007F4918">
      <w:pPr>
        <w:pStyle w:val="SangriaFrancesaArticulo"/>
      </w:pPr>
    </w:p>
    <w:p w:rsidR="007F4918" w:rsidRDefault="007F4918" w:rsidP="007F4918">
      <w:pPr>
        <w:pStyle w:val="TextoNormalNegritaCursivandice"/>
      </w:pPr>
      <w:r>
        <w:t>Decreto 2869/1972, de 21 de julio. Reglamento sobre instalaciones nucleares y radiactivas</w:t>
      </w:r>
    </w:p>
    <w:p w:rsidR="007F4918" w:rsidRDefault="007F4918" w:rsidP="007F4918">
      <w:pPr>
        <w:pStyle w:val="SangriaFrancesaArticulo"/>
      </w:pPr>
      <w:r w:rsidRPr="007F4918">
        <w:rPr>
          <w:rStyle w:val="TextoNormalNegritaCaracter"/>
        </w:rPr>
        <w:t>Título V.</w:t>
      </w:r>
      <w:r w:rsidRPr="007F4918">
        <w:rPr>
          <w:rStyle w:val="TextoNormalCaracter"/>
        </w:rPr>
        <w:t>-</w:t>
      </w:r>
      <w:r>
        <w:t xml:space="preserve"> Sentencia </w:t>
      </w:r>
      <w:hyperlink w:anchor="SENTENCIA_2002_25" w:history="1">
        <w:r w:rsidRPr="007F4918">
          <w:rPr>
            <w:rStyle w:val="TextoNormalCaracter"/>
          </w:rPr>
          <w:t>25/2002</w:t>
        </w:r>
      </w:hyperlink>
      <w:r>
        <w:t>, f. 5.</w:t>
      </w:r>
    </w:p>
    <w:p w:rsidR="007F4918" w:rsidRDefault="007F4918" w:rsidP="007F4918">
      <w:pPr>
        <w:pStyle w:val="SangriaFrancesaArticulo"/>
      </w:pPr>
    </w:p>
    <w:p w:rsidR="007F4918" w:rsidRDefault="007F4918" w:rsidP="007F4918">
      <w:pPr>
        <w:pStyle w:val="TextoNormalNegritaCursivandice"/>
      </w:pPr>
      <w:r>
        <w:t>Decreto 3096/1973, de 14 de septiembre. Texto refundido del Código penal conforme a la Ley 44/1971, de 15 de noviembre</w:t>
      </w:r>
    </w:p>
    <w:p w:rsidR="007F4918" w:rsidRDefault="007F4918" w:rsidP="007F4918">
      <w:pPr>
        <w:pStyle w:val="SangriaFrancesaArticulo"/>
      </w:pPr>
      <w:r w:rsidRPr="007F4918">
        <w:rPr>
          <w:rStyle w:val="TextoNormalNegritaCaracter"/>
        </w:rPr>
        <w:t>Artículo 69 bis.</w:t>
      </w:r>
      <w:r w:rsidRPr="007F4918">
        <w:rPr>
          <w:rStyle w:val="TextoNormalCaracter"/>
        </w:rPr>
        <w:t>-</w:t>
      </w:r>
      <w:r>
        <w:t xml:space="preserve"> Sentencia </w:t>
      </w:r>
      <w:hyperlink w:anchor="SENTENCIA_2002_17" w:history="1">
        <w:r w:rsidRPr="007F4918">
          <w:rPr>
            <w:rStyle w:val="TextoNormalCaracter"/>
          </w:rPr>
          <w:t>17/2002</w:t>
        </w:r>
      </w:hyperlink>
      <w:r>
        <w:t>, f. 4.</w:t>
      </w:r>
    </w:p>
    <w:p w:rsidR="007F4918" w:rsidRDefault="007F4918" w:rsidP="007F4918">
      <w:pPr>
        <w:pStyle w:val="SangriaFrancesaArticulo"/>
      </w:pPr>
      <w:r w:rsidRPr="007F4918">
        <w:rPr>
          <w:rStyle w:val="TextoNormalNegritaCaracter"/>
        </w:rPr>
        <w:t>Artículo 113.</w:t>
      </w:r>
      <w:r w:rsidRPr="007F4918">
        <w:rPr>
          <w:rStyle w:val="TextoNormalCaracter"/>
        </w:rPr>
        <w:t>-</w:t>
      </w:r>
      <w:r>
        <w:t xml:space="preserve"> Sentencia </w:t>
      </w:r>
      <w:hyperlink w:anchor="SENTENCIA_2002_77" w:history="1">
        <w:r w:rsidRPr="007F4918">
          <w:rPr>
            <w:rStyle w:val="TextoNormalCaracter"/>
          </w:rPr>
          <w:t>77/2002</w:t>
        </w:r>
      </w:hyperlink>
      <w:r>
        <w:t>, f. 5.</w:t>
      </w:r>
    </w:p>
    <w:p w:rsidR="007F4918" w:rsidRDefault="007F4918" w:rsidP="007F4918">
      <w:pPr>
        <w:pStyle w:val="SangriaFrancesaArticulo"/>
      </w:pPr>
      <w:r w:rsidRPr="007F4918">
        <w:rPr>
          <w:rStyle w:val="TextoNormalNegritaCaracter"/>
        </w:rPr>
        <w:t>Artículo 191.</w:t>
      </w:r>
      <w:r w:rsidRPr="007F4918">
        <w:rPr>
          <w:rStyle w:val="TextoNormalCaracter"/>
        </w:rPr>
        <w:t>-</w:t>
      </w:r>
      <w:r>
        <w:t xml:space="preserve"> Sentencia </w:t>
      </w:r>
      <w:hyperlink w:anchor="SENTENCIA_2002_10" w:history="1">
        <w:r w:rsidRPr="007F4918">
          <w:rPr>
            <w:rStyle w:val="TextoNormalCaracter"/>
          </w:rPr>
          <w:t>10/2002</w:t>
        </w:r>
      </w:hyperlink>
      <w:r>
        <w:t>, ff. 2, 3.</w:t>
      </w:r>
    </w:p>
    <w:p w:rsidR="007F4918" w:rsidRDefault="007F4918" w:rsidP="007F4918">
      <w:pPr>
        <w:pStyle w:val="SangriaFrancesaArticulo"/>
      </w:pPr>
      <w:r w:rsidRPr="007F4918">
        <w:rPr>
          <w:rStyle w:val="TextoNormalNegritaCaracter"/>
        </w:rPr>
        <w:t>Artículo 191.1.</w:t>
      </w:r>
      <w:r w:rsidRPr="007F4918">
        <w:rPr>
          <w:rStyle w:val="TextoNormalCaracter"/>
        </w:rPr>
        <w:t>-</w:t>
      </w:r>
      <w:r>
        <w:t xml:space="preserve"> Sentencia </w:t>
      </w:r>
      <w:hyperlink w:anchor="SENTENCIA_2002_10" w:history="1">
        <w:r w:rsidRPr="007F4918">
          <w:rPr>
            <w:rStyle w:val="TextoNormalCaracter"/>
          </w:rPr>
          <w:t>10/2002</w:t>
        </w:r>
      </w:hyperlink>
      <w:r>
        <w:t>, f. 2.</w:t>
      </w:r>
    </w:p>
    <w:p w:rsidR="007F4918" w:rsidRDefault="007F4918" w:rsidP="007F4918">
      <w:pPr>
        <w:pStyle w:val="SangriaFrancesaArticulo"/>
      </w:pPr>
      <w:r w:rsidRPr="007F4918">
        <w:rPr>
          <w:rStyle w:val="TextoNormalNegritaCaracter"/>
        </w:rPr>
        <w:t>Artículo 191.2.</w:t>
      </w:r>
      <w:r w:rsidRPr="007F4918">
        <w:rPr>
          <w:rStyle w:val="TextoNormalCaracter"/>
        </w:rPr>
        <w:t>-</w:t>
      </w:r>
      <w:r>
        <w:t xml:space="preserve"> Sentencia </w:t>
      </w:r>
      <w:hyperlink w:anchor="SENTENCIA_2002_10" w:history="1">
        <w:r w:rsidRPr="007F4918">
          <w:rPr>
            <w:rStyle w:val="TextoNormalCaracter"/>
          </w:rPr>
          <w:t>10/2002</w:t>
        </w:r>
      </w:hyperlink>
      <w:r>
        <w:t>, f. 2.</w:t>
      </w:r>
    </w:p>
    <w:p w:rsidR="007F4918" w:rsidRDefault="007F4918" w:rsidP="007F4918">
      <w:pPr>
        <w:pStyle w:val="SangriaFrancesaArticulo"/>
      </w:pPr>
      <w:r w:rsidRPr="007F4918">
        <w:rPr>
          <w:rStyle w:val="TextoNormalNegritaCaracter"/>
        </w:rPr>
        <w:t>Artículo 340 bis a).</w:t>
      </w:r>
      <w:r w:rsidRPr="007F4918">
        <w:rPr>
          <w:rStyle w:val="TextoNormalCaracter"/>
        </w:rPr>
        <w:t>-</w:t>
      </w:r>
      <w:r>
        <w:t xml:space="preserve"> Auto </w:t>
      </w:r>
      <w:hyperlink w:anchor="AUTO_2002_62" w:history="1">
        <w:r w:rsidRPr="007F4918">
          <w:rPr>
            <w:rStyle w:val="TextoNormalCaracter"/>
          </w:rPr>
          <w:t>62/2002</w:t>
        </w:r>
      </w:hyperlink>
      <w:r>
        <w:t>.</w:t>
      </w:r>
    </w:p>
    <w:p w:rsidR="007F4918" w:rsidRDefault="007F4918" w:rsidP="007F4918">
      <w:pPr>
        <w:pStyle w:val="SangriaFrancesaArticulo"/>
      </w:pPr>
      <w:r w:rsidRPr="007F4918">
        <w:rPr>
          <w:rStyle w:val="TextoNormalNegritaCaracter"/>
        </w:rPr>
        <w:t>Artículo 429.</w:t>
      </w:r>
      <w:r w:rsidRPr="007F4918">
        <w:rPr>
          <w:rStyle w:val="TextoNormalCaracter"/>
        </w:rPr>
        <w:t>-</w:t>
      </w:r>
      <w:r>
        <w:t xml:space="preserve"> Sentencia </w:t>
      </w:r>
      <w:hyperlink w:anchor="SENTENCIA_2002_12" w:history="1">
        <w:r w:rsidRPr="007F4918">
          <w:rPr>
            <w:rStyle w:val="TextoNormalCaracter"/>
          </w:rPr>
          <w:t>12/2002</w:t>
        </w:r>
      </w:hyperlink>
      <w:r>
        <w:t>, f. 6.</w:t>
      </w:r>
    </w:p>
    <w:p w:rsidR="007F4918" w:rsidRDefault="007F4918" w:rsidP="007F4918">
      <w:pPr>
        <w:pStyle w:val="SangriaFrancesaArticulo"/>
      </w:pPr>
      <w:r w:rsidRPr="007F4918">
        <w:rPr>
          <w:rStyle w:val="TextoNormalNegritaCaracter"/>
        </w:rPr>
        <w:t>Artículo 429.1.</w:t>
      </w:r>
      <w:r w:rsidRPr="007F4918">
        <w:rPr>
          <w:rStyle w:val="TextoNormalCaracter"/>
        </w:rPr>
        <w:t>-</w:t>
      </w:r>
      <w:r>
        <w:t xml:space="preserve"> Sentencia </w:t>
      </w:r>
      <w:hyperlink w:anchor="SENTENCIA_2002_12" w:history="1">
        <w:r w:rsidRPr="007F4918">
          <w:rPr>
            <w:rStyle w:val="TextoNormalCaracter"/>
          </w:rPr>
          <w:t>12/2002</w:t>
        </w:r>
      </w:hyperlink>
      <w:r>
        <w:t>, f. 6.</w:t>
      </w:r>
    </w:p>
    <w:p w:rsidR="007F4918" w:rsidRDefault="007F4918" w:rsidP="007F4918">
      <w:pPr>
        <w:pStyle w:val="SangriaFrancesaArticulo"/>
      </w:pPr>
      <w:r w:rsidRPr="007F4918">
        <w:rPr>
          <w:rStyle w:val="TextoNormalNegritaCaracter"/>
        </w:rPr>
        <w:t>Artículo 480.1.</w:t>
      </w:r>
      <w:r w:rsidRPr="007F4918">
        <w:rPr>
          <w:rStyle w:val="TextoNormalCaracter"/>
        </w:rPr>
        <w:t>-</w:t>
      </w:r>
      <w:r>
        <w:t xml:space="preserve"> Sentencia </w:t>
      </w:r>
      <w:hyperlink w:anchor="SENTENCIA_2002_94" w:history="1">
        <w:r w:rsidRPr="007F4918">
          <w:rPr>
            <w:rStyle w:val="TextoNormalCaracter"/>
          </w:rPr>
          <w:t>94/2002</w:t>
        </w:r>
      </w:hyperlink>
      <w:r>
        <w:t>, f. 1.</w:t>
      </w:r>
    </w:p>
    <w:p w:rsidR="007F4918" w:rsidRDefault="007F4918" w:rsidP="007F4918">
      <w:pPr>
        <w:pStyle w:val="SangriaFrancesaArticulo"/>
      </w:pPr>
      <w:r w:rsidRPr="007F4918">
        <w:rPr>
          <w:rStyle w:val="TextoNormalNegritaCaracter"/>
        </w:rPr>
        <w:t>Artículo 496.</w:t>
      </w:r>
      <w:r w:rsidRPr="007F4918">
        <w:rPr>
          <w:rStyle w:val="TextoNormalCaracter"/>
        </w:rPr>
        <w:t>-</w:t>
      </w:r>
      <w:r>
        <w:t xml:space="preserve"> Sentencia </w:t>
      </w:r>
      <w:hyperlink w:anchor="SENTENCIA_2002_4" w:history="1">
        <w:r w:rsidRPr="007F4918">
          <w:rPr>
            <w:rStyle w:val="TextoNormalCaracter"/>
          </w:rPr>
          <w:t>4/2002</w:t>
        </w:r>
      </w:hyperlink>
      <w:r>
        <w:t>, f. 4.</w:t>
      </w:r>
    </w:p>
    <w:p w:rsidR="007F4918" w:rsidRDefault="007F4918" w:rsidP="007F4918">
      <w:pPr>
        <w:pStyle w:val="SangriaFrancesaArticulo"/>
      </w:pPr>
      <w:r w:rsidRPr="007F4918">
        <w:rPr>
          <w:rStyle w:val="TextoNormalNegritaCaracter"/>
        </w:rPr>
        <w:t>Artículo 500.</w:t>
      </w:r>
      <w:r w:rsidRPr="007F4918">
        <w:rPr>
          <w:rStyle w:val="TextoNormalCaracter"/>
        </w:rPr>
        <w:t>-</w:t>
      </w:r>
      <w:r>
        <w:t xml:space="preserve"> Sentencia </w:t>
      </w:r>
      <w:hyperlink w:anchor="SENTENCIA_2002_17" w:history="1">
        <w:r w:rsidRPr="007F4918">
          <w:rPr>
            <w:rStyle w:val="TextoNormalCaracter"/>
          </w:rPr>
          <w:t>17/2002</w:t>
        </w:r>
      </w:hyperlink>
      <w:r>
        <w:t>, f. 4.</w:t>
      </w:r>
    </w:p>
    <w:p w:rsidR="007F4918" w:rsidRDefault="007F4918" w:rsidP="007F4918">
      <w:pPr>
        <w:pStyle w:val="SangriaFrancesaArticulo"/>
      </w:pPr>
      <w:r w:rsidRPr="007F4918">
        <w:rPr>
          <w:rStyle w:val="TextoNormalNegritaCaracter"/>
        </w:rPr>
        <w:t>Artículo 504.2.</w:t>
      </w:r>
      <w:r w:rsidRPr="007F4918">
        <w:rPr>
          <w:rStyle w:val="TextoNormalCaracter"/>
        </w:rPr>
        <w:t>-</w:t>
      </w:r>
      <w:r>
        <w:t xml:space="preserve"> Sentencia </w:t>
      </w:r>
      <w:hyperlink w:anchor="SENTENCIA_2002_17" w:history="1">
        <w:r w:rsidRPr="007F4918">
          <w:rPr>
            <w:rStyle w:val="TextoNormalCaracter"/>
          </w:rPr>
          <w:t>17/2002</w:t>
        </w:r>
      </w:hyperlink>
      <w:r>
        <w:t>, f. 4.</w:t>
      </w:r>
    </w:p>
    <w:p w:rsidR="007F4918" w:rsidRDefault="007F4918" w:rsidP="007F4918">
      <w:pPr>
        <w:pStyle w:val="SangriaFrancesaArticulo"/>
      </w:pPr>
      <w:r w:rsidRPr="007F4918">
        <w:rPr>
          <w:rStyle w:val="TextoNormalNegritaCaracter"/>
        </w:rPr>
        <w:t>Artículo 506.2.</w:t>
      </w:r>
      <w:r w:rsidRPr="007F4918">
        <w:rPr>
          <w:rStyle w:val="TextoNormalCaracter"/>
        </w:rPr>
        <w:t>-</w:t>
      </w:r>
      <w:r>
        <w:t xml:space="preserve"> Sentencia </w:t>
      </w:r>
      <w:hyperlink w:anchor="SENTENCIA_2002_17" w:history="1">
        <w:r w:rsidRPr="007F4918">
          <w:rPr>
            <w:rStyle w:val="TextoNormalCaracter"/>
          </w:rPr>
          <w:t>17/2002</w:t>
        </w:r>
      </w:hyperlink>
      <w:r>
        <w:t>, f. 4.</w:t>
      </w:r>
    </w:p>
    <w:p w:rsidR="007F4918" w:rsidRDefault="007F4918" w:rsidP="007F4918">
      <w:pPr>
        <w:pStyle w:val="SangriaFrancesaArticulo"/>
      </w:pPr>
      <w:r w:rsidRPr="007F4918">
        <w:rPr>
          <w:rStyle w:val="TextoNormalNegritaCaracter"/>
        </w:rPr>
        <w:lastRenderedPageBreak/>
        <w:t>Artículo 516 bis.</w:t>
      </w:r>
      <w:r w:rsidRPr="007F4918">
        <w:rPr>
          <w:rStyle w:val="TextoNormalCaracter"/>
        </w:rPr>
        <w:t>-</w:t>
      </w:r>
      <w:r>
        <w:t xml:space="preserve"> Sentencia </w:t>
      </w:r>
      <w:hyperlink w:anchor="SENTENCIA_2002_17" w:history="1">
        <w:r w:rsidRPr="007F4918">
          <w:rPr>
            <w:rStyle w:val="TextoNormalCaracter"/>
          </w:rPr>
          <w:t>17/2002</w:t>
        </w:r>
      </w:hyperlink>
      <w:r>
        <w:t>, ff. 4, 6.</w:t>
      </w:r>
    </w:p>
    <w:p w:rsidR="007F4918" w:rsidRDefault="007F4918" w:rsidP="007F4918">
      <w:pPr>
        <w:pStyle w:val="SangriaFrancesaArticulo"/>
      </w:pPr>
      <w:r w:rsidRPr="007F4918">
        <w:rPr>
          <w:rStyle w:val="TextoNormalNegritaCaracter"/>
        </w:rPr>
        <w:t>Artículo 529.5.</w:t>
      </w:r>
      <w:r w:rsidRPr="007F4918">
        <w:rPr>
          <w:rStyle w:val="TextoNormalCaracter"/>
        </w:rPr>
        <w:t>-</w:t>
      </w:r>
      <w:r>
        <w:t xml:space="preserve"> Sentencia </w:t>
      </w:r>
      <w:hyperlink w:anchor="SENTENCIA_2002_4" w:history="1">
        <w:r w:rsidRPr="007F4918">
          <w:rPr>
            <w:rStyle w:val="TextoNormalCaracter"/>
          </w:rPr>
          <w:t>4/2002</w:t>
        </w:r>
      </w:hyperlink>
      <w:r>
        <w:t>, f. 2.</w:t>
      </w:r>
    </w:p>
    <w:p w:rsidR="007F4918" w:rsidRDefault="007F4918" w:rsidP="007F4918">
      <w:pPr>
        <w:pStyle w:val="SangriaFrancesaArticulo"/>
      </w:pPr>
      <w:r w:rsidRPr="007F4918">
        <w:rPr>
          <w:rStyle w:val="TextoNormalNegritaCaracter"/>
        </w:rPr>
        <w:t>Artículo 535.</w:t>
      </w:r>
      <w:r w:rsidRPr="007F4918">
        <w:rPr>
          <w:rStyle w:val="TextoNormalCaracter"/>
        </w:rPr>
        <w:t>-</w:t>
      </w:r>
      <w:r>
        <w:t xml:space="preserve"> Sentencia </w:t>
      </w:r>
      <w:hyperlink w:anchor="SENTENCIA_2002_4" w:history="1">
        <w:r w:rsidRPr="007F4918">
          <w:rPr>
            <w:rStyle w:val="TextoNormalCaracter"/>
          </w:rPr>
          <w:t>4/2002</w:t>
        </w:r>
      </w:hyperlink>
      <w:r>
        <w:t>, f. 2.</w:t>
      </w:r>
    </w:p>
    <w:p w:rsidR="007F4918" w:rsidRDefault="007F4918" w:rsidP="007F4918">
      <w:pPr>
        <w:pStyle w:val="SangriaFrancesaArticulo"/>
      </w:pPr>
      <w:r w:rsidRPr="007F4918">
        <w:rPr>
          <w:rStyle w:val="TextoNormalNegritaCaracter"/>
        </w:rPr>
        <w:t>Artículo 585.4.</w:t>
      </w:r>
      <w:r w:rsidRPr="007F4918">
        <w:rPr>
          <w:rStyle w:val="TextoNormalCaracter"/>
        </w:rPr>
        <w:t>-</w:t>
      </w:r>
      <w:r>
        <w:t xml:space="preserve"> Sentencia </w:t>
      </w:r>
      <w:hyperlink w:anchor="SENTENCIA_2002_4" w:history="1">
        <w:r w:rsidRPr="007F4918">
          <w:rPr>
            <w:rStyle w:val="TextoNormalCaracter"/>
          </w:rPr>
          <w:t>4/2002</w:t>
        </w:r>
      </w:hyperlink>
      <w:r>
        <w:t>, f. 2.</w:t>
      </w:r>
    </w:p>
    <w:p w:rsidR="007F4918" w:rsidRDefault="007F4918" w:rsidP="007F4918">
      <w:pPr>
        <w:pStyle w:val="SangriaFrancesaArticulo"/>
      </w:pPr>
    </w:p>
    <w:p w:rsidR="007F4918" w:rsidRDefault="007F4918" w:rsidP="007F4918">
      <w:pPr>
        <w:pStyle w:val="TextoNormalNegritaCursivandice"/>
      </w:pPr>
      <w:r>
        <w:t>Decreto 375/1974, de 7 de febrero. Acceso al Cuerpo de Profesores de Educación General Básica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 9.</w:t>
      </w:r>
    </w:p>
    <w:p w:rsidR="007F4918" w:rsidRDefault="007F4918" w:rsidP="007F4918">
      <w:pPr>
        <w:pStyle w:val="SangriaFrancesaArticulo"/>
      </w:pPr>
    </w:p>
    <w:p w:rsidR="007F4918" w:rsidRDefault="007F4918" w:rsidP="007F4918">
      <w:pPr>
        <w:pStyle w:val="TextoNormalNegritaCursivandice"/>
      </w:pPr>
      <w:r>
        <w:t>Ley 2/1974, de 13 de febrero. Colegios profesionales</w:t>
      </w:r>
    </w:p>
    <w:p w:rsidR="007F4918" w:rsidRDefault="007F4918" w:rsidP="007F4918">
      <w:pPr>
        <w:pStyle w:val="SangriaFrancesaArticulo"/>
      </w:pPr>
      <w:r w:rsidRPr="007F4918">
        <w:rPr>
          <w:rStyle w:val="TextoNormalNegritaCaracter"/>
        </w:rPr>
        <w:t>Artículo 5.</w:t>
      </w:r>
      <w:r w:rsidRPr="007F4918">
        <w:rPr>
          <w:rStyle w:val="TextoNormalCaracter"/>
        </w:rPr>
        <w:t>-</w:t>
      </w:r>
      <w:r>
        <w:t xml:space="preserve"> Sentencia </w:t>
      </w:r>
      <w:hyperlink w:anchor="SENTENCIA_2002_63" w:history="1">
        <w:r w:rsidRPr="007F4918">
          <w:rPr>
            <w:rStyle w:val="TextoNormalCaracter"/>
          </w:rPr>
          <w:t>63/2002</w:t>
        </w:r>
      </w:hyperlink>
      <w:r>
        <w:t>, f. 2.</w:t>
      </w:r>
    </w:p>
    <w:p w:rsidR="007F4918" w:rsidRDefault="007F4918" w:rsidP="007F4918">
      <w:pPr>
        <w:pStyle w:val="SangriaFrancesaArticulo"/>
      </w:pPr>
      <w:r w:rsidRPr="007F4918">
        <w:rPr>
          <w:rStyle w:val="TextoNormalNegritaCaracter"/>
        </w:rPr>
        <w:t>Artículo 9.1.</w:t>
      </w:r>
      <w:r w:rsidRPr="007F4918">
        <w:rPr>
          <w:rStyle w:val="TextoNormalCaracter"/>
        </w:rPr>
        <w:t>-</w:t>
      </w:r>
      <w:r>
        <w:t xml:space="preserve"> Sentencia </w:t>
      </w:r>
      <w:hyperlink w:anchor="SENTENCIA_2002_63" w:history="1">
        <w:r w:rsidRPr="007F4918">
          <w:rPr>
            <w:rStyle w:val="TextoNormalCaracter"/>
          </w:rPr>
          <w:t>63/2002</w:t>
        </w:r>
      </w:hyperlink>
      <w:r>
        <w:t>, f. 2.</w:t>
      </w:r>
    </w:p>
    <w:p w:rsidR="007F4918" w:rsidRDefault="007F4918" w:rsidP="007F4918">
      <w:pPr>
        <w:pStyle w:val="SangriaFrancesaArticulo"/>
      </w:pPr>
    </w:p>
    <w:p w:rsidR="007F4918" w:rsidRDefault="007F4918" w:rsidP="007F4918">
      <w:pPr>
        <w:pStyle w:val="TextoNormalNegritaCursivandice"/>
      </w:pPr>
      <w:r>
        <w:t>Decreto 160/1975, de 23 de enero.  Aprueba el plan de estudios del bachillerato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4" w:history="1">
        <w:r w:rsidRPr="007F4918">
          <w:rPr>
            <w:rStyle w:val="TextoNormalCaracter"/>
          </w:rPr>
          <w:t>34/2002</w:t>
        </w:r>
      </w:hyperlink>
      <w:r>
        <w:t>, f. 5.</w:t>
      </w:r>
    </w:p>
    <w:p w:rsidR="007F4918" w:rsidRDefault="007F4918" w:rsidP="007F4918">
      <w:pPr>
        <w:pStyle w:val="SangriaFrancesaArticulo"/>
      </w:pPr>
      <w:r w:rsidRPr="007F4918">
        <w:rPr>
          <w:rStyle w:val="TextoNormalNegritaCaracter"/>
        </w:rPr>
        <w:t>Artículo 9.</w:t>
      </w:r>
      <w:r w:rsidRPr="007F4918">
        <w:rPr>
          <w:rStyle w:val="TextoNormalCaracter"/>
        </w:rPr>
        <w:t>-</w:t>
      </w:r>
      <w:r>
        <w:t xml:space="preserve"> Sentencia </w:t>
      </w:r>
      <w:hyperlink w:anchor="SENTENCIA_2002_34" w:history="1">
        <w:r w:rsidRPr="007F4918">
          <w:rPr>
            <w:rStyle w:val="TextoNormalCaracter"/>
          </w:rPr>
          <w:t>34/2002</w:t>
        </w:r>
      </w:hyperlink>
      <w:r>
        <w:t>, f. 5.</w:t>
      </w:r>
    </w:p>
    <w:p w:rsidR="007F4918" w:rsidRDefault="007F4918" w:rsidP="007F4918">
      <w:pPr>
        <w:pStyle w:val="SangriaFrancesaArticulo"/>
      </w:pPr>
    </w:p>
    <w:p w:rsidR="007F4918" w:rsidRDefault="007F4918" w:rsidP="007F4918">
      <w:pPr>
        <w:pStyle w:val="TextoNormalNegritaCursivandice"/>
      </w:pPr>
      <w:r>
        <w:t>Orden del Ministerio de Educación y Ciencia, de 22 de marzo de 1975.  Desarrolla el Decreto 160/1975, de 23 de enero, que aprueba el plan de estudios del bachillerato y se regula el curso de orientación universitaria</w:t>
      </w:r>
    </w:p>
    <w:p w:rsidR="007F4918" w:rsidRDefault="007F4918" w:rsidP="007F4918">
      <w:pPr>
        <w:pStyle w:val="SangriaFrancesaArticulo"/>
      </w:pPr>
      <w:r w:rsidRPr="007F4918">
        <w:rPr>
          <w:rStyle w:val="TextoNormalNegritaCaracter"/>
        </w:rPr>
        <w:t>Artículo 8.</w:t>
      </w:r>
      <w:r w:rsidRPr="007F4918">
        <w:rPr>
          <w:rStyle w:val="TextoNormalCaracter"/>
        </w:rPr>
        <w:t>-</w:t>
      </w:r>
      <w:r>
        <w:t xml:space="preserve"> Sentencia </w:t>
      </w:r>
      <w:hyperlink w:anchor="SENTENCIA_2002_34" w:history="1">
        <w:r w:rsidRPr="007F4918">
          <w:rPr>
            <w:rStyle w:val="TextoNormalCaracter"/>
          </w:rPr>
          <w:t>34/2002</w:t>
        </w:r>
      </w:hyperlink>
      <w:r>
        <w:t>, f. 5.</w:t>
      </w:r>
    </w:p>
    <w:p w:rsidR="007F4918" w:rsidRDefault="007F4918" w:rsidP="007F4918">
      <w:pPr>
        <w:pStyle w:val="SangriaFrancesaArticulo"/>
      </w:pPr>
    </w:p>
    <w:p w:rsidR="007F4918" w:rsidRDefault="007F4918" w:rsidP="007F4918">
      <w:pPr>
        <w:pStyle w:val="TextoNormalNegritaCursivandice"/>
      </w:pPr>
      <w:r>
        <w:t>Ley 17/1977, de 4 de enero. Modifica el artículo 54 de la Ley reguladora del Registro Civil: inscripción de nombres en lenguas españolas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9" w:history="1">
        <w:r w:rsidRPr="007F4918">
          <w:rPr>
            <w:rStyle w:val="TextoNormalCaracter"/>
          </w:rPr>
          <w:t>39/2002</w:t>
        </w:r>
      </w:hyperlink>
      <w:r>
        <w:t>, f. 2.</w:t>
      </w:r>
    </w:p>
    <w:p w:rsidR="007F4918" w:rsidRDefault="007F4918" w:rsidP="007F4918">
      <w:pPr>
        <w:pStyle w:val="SangriaFrancesaArticulo"/>
      </w:pPr>
    </w:p>
    <w:p w:rsidR="007F4918" w:rsidRDefault="007F4918" w:rsidP="007F4918">
      <w:pPr>
        <w:pStyle w:val="TextoNormalNegritaCursivandice"/>
      </w:pPr>
      <w:r>
        <w:t>Real Decreto 1649/1977, de 2 de junio. Reglamento de las Cámaras Oficiales de la Propiedad Urbana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 1.</w:t>
      </w:r>
    </w:p>
    <w:p w:rsidR="007F4918" w:rsidRDefault="007F4918" w:rsidP="007F4918">
      <w:pPr>
        <w:pStyle w:val="SangriaFrancesaArticulo"/>
      </w:pPr>
    </w:p>
    <w:p w:rsidR="007F4918" w:rsidRDefault="007F4918" w:rsidP="007F4918">
      <w:pPr>
        <w:pStyle w:val="TextoNormalNegritaCursivandice"/>
      </w:pPr>
      <w:r>
        <w:t>Ley 62/1978, de 26 de diciembre. Protección jurisdiccional de los derechos fundamentales de la persona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44" w:history="1">
        <w:r w:rsidRPr="007F4918">
          <w:rPr>
            <w:rStyle w:val="TextoNormalCaracter"/>
          </w:rPr>
          <w:t>44/2002</w:t>
        </w:r>
      </w:hyperlink>
      <w:r>
        <w:t xml:space="preserve">, f. 2; </w:t>
      </w:r>
      <w:hyperlink w:anchor="SENTENCIA_2002_63" w:history="1">
        <w:r w:rsidRPr="007F4918">
          <w:rPr>
            <w:rStyle w:val="TextoNormalCaracter"/>
          </w:rPr>
          <w:t>63/2002</w:t>
        </w:r>
      </w:hyperlink>
      <w:r>
        <w:t xml:space="preserve">, f. 4; </w:t>
      </w:r>
      <w:hyperlink w:anchor="SENTENCIA_2002_71" w:history="1">
        <w:r w:rsidRPr="007F4918">
          <w:rPr>
            <w:rStyle w:val="TextoNormalCaracter"/>
          </w:rPr>
          <w:t>71/2002</w:t>
        </w:r>
      </w:hyperlink>
      <w:r>
        <w:t xml:space="preserve">, f. 4; </w:t>
      </w:r>
      <w:hyperlink w:anchor="SENTENCIA_2002_72" w:history="1">
        <w:r w:rsidRPr="007F4918">
          <w:rPr>
            <w:rStyle w:val="TextoNormalCaracter"/>
          </w:rPr>
          <w:t>72/2002</w:t>
        </w:r>
      </w:hyperlink>
      <w:r>
        <w:t>, ff. 1, 3.</w:t>
      </w:r>
    </w:p>
    <w:p w:rsidR="007F4918" w:rsidRDefault="007F4918" w:rsidP="007F4918">
      <w:pPr>
        <w:pStyle w:val="TextoNormal"/>
      </w:pPr>
    </w:p>
    <w:p w:rsidR="007F4918" w:rsidRDefault="007F4918" w:rsidP="007F4918">
      <w:pPr>
        <w:pStyle w:val="SangriaFrancesaArticulo"/>
      </w:pPr>
      <w:bookmarkStart w:id="187" w:name="INDICE22851"/>
    </w:p>
    <w:bookmarkEnd w:id="187"/>
    <w:p w:rsidR="007F4918" w:rsidRDefault="007F4918" w:rsidP="007F4918">
      <w:pPr>
        <w:pStyle w:val="TextoIndiceNivel2"/>
        <w:suppressAutoHyphens/>
      </w:pPr>
      <w:r>
        <w:t>J) Comunidades y Ciudades Autónomas</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J.1) Andalucía</w:t>
      </w:r>
    </w:p>
    <w:p w:rsidR="007F4918" w:rsidRDefault="007F4918" w:rsidP="007F4918">
      <w:pPr>
        <w:pStyle w:val="TextoNormal"/>
      </w:pPr>
    </w:p>
    <w:p w:rsidR="007F4918" w:rsidRDefault="007F4918" w:rsidP="007F4918">
      <w:pPr>
        <w:pStyle w:val="TextoNormalNegritaCentradoSubrayado"/>
        <w:suppressAutoHyphens/>
      </w:pPr>
      <w:r>
        <w:t>J.1.a) Estatuto de Autonomía</w:t>
      </w:r>
    </w:p>
    <w:p w:rsidR="007F4918" w:rsidRDefault="007F4918" w:rsidP="007F4918">
      <w:pPr>
        <w:pStyle w:val="TextoNormalNegritaCentradoSubrayado"/>
      </w:pPr>
    </w:p>
    <w:p w:rsidR="007F4918" w:rsidRDefault="007F4918" w:rsidP="007F4918">
      <w:pPr>
        <w:pStyle w:val="TextoNormalNegritaCursivandice"/>
      </w:pPr>
      <w:r>
        <w:t>Ley Orgánica 6/1981, de 30 de diciembre. Estatuto de Autonomía de Andalucía</w:t>
      </w:r>
    </w:p>
    <w:p w:rsidR="007F4918" w:rsidRDefault="007F4918" w:rsidP="007F4918">
      <w:pPr>
        <w:pStyle w:val="SangriaFrancesaArticulo"/>
      </w:pPr>
      <w:r w:rsidRPr="007F4918">
        <w:rPr>
          <w:rStyle w:val="TextoNormalNegritaCaracter"/>
        </w:rPr>
        <w:t>Artículo 9.</w:t>
      </w:r>
      <w:r w:rsidRPr="007F4918">
        <w:rPr>
          <w:rStyle w:val="TextoNormalCaracter"/>
        </w:rPr>
        <w:t>-</w:t>
      </w:r>
      <w:r>
        <w:t xml:space="preserve"> Sentencia </w:t>
      </w:r>
      <w:hyperlink w:anchor="SENTENCIA_2002_38" w:history="1">
        <w:r w:rsidRPr="007F4918">
          <w:rPr>
            <w:rStyle w:val="TextoNormalCaracter"/>
          </w:rPr>
          <w:t>38/2002</w:t>
        </w:r>
      </w:hyperlink>
      <w:r>
        <w:t>, ff. 5, 6.</w:t>
      </w:r>
    </w:p>
    <w:p w:rsidR="007F4918" w:rsidRDefault="007F4918" w:rsidP="007F4918">
      <w:pPr>
        <w:pStyle w:val="SangriaFrancesaArticulo"/>
      </w:pPr>
      <w:r w:rsidRPr="007F4918">
        <w:rPr>
          <w:rStyle w:val="TextoNormalNegritaCaracter"/>
        </w:rPr>
        <w:t>Artículo 13.7.</w:t>
      </w:r>
      <w:r w:rsidRPr="007F4918">
        <w:rPr>
          <w:rStyle w:val="TextoNormalCaracter"/>
        </w:rPr>
        <w:t>-</w:t>
      </w:r>
      <w:r>
        <w:t xml:space="preserve"> Sentencia </w:t>
      </w:r>
      <w:hyperlink w:anchor="SENTENCIA_2002_38" w:history="1">
        <w:r w:rsidRPr="007F4918">
          <w:rPr>
            <w:rStyle w:val="TextoNormalCaracter"/>
          </w:rPr>
          <w:t>38/2002</w:t>
        </w:r>
      </w:hyperlink>
      <w:r>
        <w:t>, f. 4, VP.</w:t>
      </w:r>
    </w:p>
    <w:p w:rsidR="007F4918" w:rsidRDefault="007F4918" w:rsidP="007F4918">
      <w:pPr>
        <w:pStyle w:val="SangriaFrancesaArticulo"/>
      </w:pPr>
      <w:r w:rsidRPr="007F4918">
        <w:rPr>
          <w:rStyle w:val="TextoNormalNegritaCaracter"/>
        </w:rPr>
        <w:t>Artículo 13.18.</w:t>
      </w:r>
      <w:r w:rsidRPr="007F4918">
        <w:rPr>
          <w:rStyle w:val="TextoNormalCaracter"/>
        </w:rPr>
        <w:t>-</w:t>
      </w:r>
      <w:r>
        <w:t xml:space="preserve"> Sentencia </w:t>
      </w:r>
      <w:hyperlink w:anchor="SENTENCIA_2002_38" w:history="1">
        <w:r w:rsidRPr="007F4918">
          <w:rPr>
            <w:rStyle w:val="TextoNormalCaracter"/>
          </w:rPr>
          <w:t>38/2002</w:t>
        </w:r>
      </w:hyperlink>
      <w:r>
        <w:t>, ff. 2, 4, VP.</w:t>
      </w:r>
    </w:p>
    <w:p w:rsidR="007F4918" w:rsidRDefault="007F4918" w:rsidP="007F4918">
      <w:pPr>
        <w:pStyle w:val="SangriaFrancesaArticulo"/>
      </w:pPr>
      <w:r w:rsidRPr="007F4918">
        <w:rPr>
          <w:rStyle w:val="TextoNormalNegritaCaracter"/>
        </w:rPr>
        <w:lastRenderedPageBreak/>
        <w:t>Artículo 15.1.6.</w:t>
      </w:r>
      <w:r w:rsidRPr="007F4918">
        <w:rPr>
          <w:rStyle w:val="TextoNormalCaracter"/>
        </w:rPr>
        <w:t>-</w:t>
      </w:r>
      <w:r>
        <w:t xml:space="preserve"> Sentencia </w:t>
      </w:r>
      <w:hyperlink w:anchor="SENTENCIA_2002_38" w:history="1">
        <w:r w:rsidRPr="007F4918">
          <w:rPr>
            <w:rStyle w:val="TextoNormalCaracter"/>
          </w:rPr>
          <w:t>38/2002</w:t>
        </w:r>
      </w:hyperlink>
      <w:r>
        <w:t>, f. 4.</w:t>
      </w:r>
    </w:p>
    <w:p w:rsidR="007F4918" w:rsidRDefault="007F4918" w:rsidP="007F4918">
      <w:pPr>
        <w:pStyle w:val="SangriaFrancesaArticulo"/>
      </w:pPr>
      <w:r w:rsidRPr="007F4918">
        <w:rPr>
          <w:rStyle w:val="TextoNormalNegritaCaracter"/>
        </w:rPr>
        <w:t>Artículo 15.1.7.</w:t>
      </w:r>
      <w:r w:rsidRPr="007F4918">
        <w:rPr>
          <w:rStyle w:val="TextoNormalCaracter"/>
        </w:rPr>
        <w:t>-</w:t>
      </w:r>
      <w:r>
        <w:t xml:space="preserve"> Sentencia </w:t>
      </w:r>
      <w:hyperlink w:anchor="SENTENCIA_2002_38" w:history="1">
        <w:r w:rsidRPr="007F4918">
          <w:rPr>
            <w:rStyle w:val="TextoNormalCaracter"/>
          </w:rPr>
          <w:t>38/2002</w:t>
        </w:r>
      </w:hyperlink>
      <w:r>
        <w:t>, f. 4, VP.</w:t>
      </w:r>
    </w:p>
    <w:p w:rsidR="007F4918" w:rsidRDefault="007F4918" w:rsidP="007F4918">
      <w:pPr>
        <w:pStyle w:val="SangriaFrancesaArticulo"/>
      </w:pPr>
      <w:r w:rsidRPr="007F4918">
        <w:rPr>
          <w:rStyle w:val="TextoNormalNegritaCaracter"/>
        </w:rPr>
        <w:t>Artículo 17.6.</w:t>
      </w:r>
      <w:r w:rsidRPr="007F4918">
        <w:rPr>
          <w:rStyle w:val="TextoNormalCaracter"/>
        </w:rPr>
        <w:t>-</w:t>
      </w:r>
      <w:r>
        <w:t xml:space="preserve"> Sentencia </w:t>
      </w:r>
      <w:hyperlink w:anchor="SENTENCIA_2002_38" w:history="1">
        <w:r w:rsidRPr="007F4918">
          <w:rPr>
            <w:rStyle w:val="TextoNormalCaracter"/>
          </w:rPr>
          <w:t>38/2002</w:t>
        </w:r>
      </w:hyperlink>
      <w:r>
        <w:t>, f. 6.</w:t>
      </w:r>
    </w:p>
    <w:p w:rsidR="007F4918" w:rsidRDefault="007F4918" w:rsidP="007F4918">
      <w:pPr>
        <w:pStyle w:val="SangriaFrancesaArticulo"/>
      </w:pPr>
      <w:r w:rsidRPr="007F4918">
        <w:rPr>
          <w:rStyle w:val="TextoNormalNegritaCaracter"/>
        </w:rPr>
        <w:t>Artículo 17.11.</w:t>
      </w:r>
      <w:r w:rsidRPr="007F4918">
        <w:rPr>
          <w:rStyle w:val="TextoNormalCaracter"/>
        </w:rPr>
        <w:t>-</w:t>
      </w:r>
      <w:r>
        <w:t xml:space="preserve"> Sentencia </w:t>
      </w:r>
      <w:hyperlink w:anchor="SENTENCIA_2002_38" w:history="1">
        <w:r w:rsidRPr="007F4918">
          <w:rPr>
            <w:rStyle w:val="TextoNormalCaracter"/>
          </w:rPr>
          <w:t>38/2002</w:t>
        </w:r>
      </w:hyperlink>
      <w:r>
        <w:t>, f. 6.</w:t>
      </w:r>
    </w:p>
    <w:p w:rsidR="007F4918" w:rsidRDefault="007F4918" w:rsidP="007F4918">
      <w:pPr>
        <w:pStyle w:val="TextoNormal"/>
      </w:pPr>
    </w:p>
    <w:p w:rsidR="007F4918" w:rsidRDefault="007F4918" w:rsidP="007F4918">
      <w:pPr>
        <w:pStyle w:val="TextoNormalNegritaCentradoSubrayado"/>
        <w:suppressAutoHyphens/>
      </w:pPr>
      <w:r>
        <w:t>J.1.b)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del Parlamento de Andalucía 2/1989, de 18 de julio. Inventario de espacios naturales protegidos de Andalucía y establecimiento de medidas adicionales para su protección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ff. 2, 3.</w:t>
      </w:r>
    </w:p>
    <w:p w:rsidR="007F4918" w:rsidRDefault="007F4918" w:rsidP="007F4918">
      <w:pPr>
        <w:pStyle w:val="SangriaFrancesaArticulo"/>
      </w:pPr>
      <w:r w:rsidRPr="007F4918">
        <w:rPr>
          <w:rStyle w:val="TextoNormalNegritaCaracter"/>
        </w:rPr>
        <w:t>Anexo I, apartado 60.</w:t>
      </w:r>
      <w:r w:rsidRPr="007F4918">
        <w:rPr>
          <w:rStyle w:val="TextoNormalCaracter"/>
        </w:rPr>
        <w:t>-</w:t>
      </w:r>
      <w:r>
        <w:t xml:space="preserve"> Sentencia </w:t>
      </w:r>
      <w:hyperlink w:anchor="SENTENCIA_2002_38" w:history="1">
        <w:r w:rsidRPr="007F4918">
          <w:rPr>
            <w:rStyle w:val="TextoNormalCaracter"/>
          </w:rPr>
          <w:t>38/2002</w:t>
        </w:r>
      </w:hyperlink>
      <w:r>
        <w:t>, f. 2.</w:t>
      </w:r>
    </w:p>
    <w:p w:rsidR="007F4918" w:rsidRDefault="007F4918" w:rsidP="007F4918">
      <w:pPr>
        <w:pStyle w:val="TextoNormal"/>
      </w:pPr>
    </w:p>
    <w:p w:rsidR="007F4918" w:rsidRDefault="007F4918" w:rsidP="007F4918">
      <w:pPr>
        <w:pStyle w:val="TextoNormalNegritaCentradoSubrayado"/>
        <w:suppressAutoHyphens/>
      </w:pPr>
      <w:r>
        <w:t>J.1.c) Decretos y otras disposiciones reglamentarias</w:t>
      </w:r>
    </w:p>
    <w:p w:rsidR="007F4918" w:rsidRDefault="007F4918" w:rsidP="007F4918">
      <w:pPr>
        <w:pStyle w:val="TextoNormalNegritaCentradoSubrayado"/>
      </w:pPr>
    </w:p>
    <w:p w:rsidR="007F4918" w:rsidRDefault="007F4918" w:rsidP="007F4918">
      <w:pPr>
        <w:pStyle w:val="TextoNormalNegritaCursivandice"/>
      </w:pPr>
      <w:r>
        <w:t>Decreto de la Junta de Andalucía 91/1983, de 6 de abril.  Desarrolla la estructura orgánica de las Delegaciones Provinciales de Trabajo y Seguridad Social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8" w:history="1">
        <w:r w:rsidRPr="007F4918">
          <w:rPr>
            <w:rStyle w:val="TextoNormalCaracter"/>
          </w:rPr>
          <w:t>58/2002</w:t>
        </w:r>
      </w:hyperlink>
      <w:r>
        <w:t>, f. 1.</w:t>
      </w:r>
    </w:p>
    <w:p w:rsidR="007F4918" w:rsidRDefault="007F4918" w:rsidP="007F4918">
      <w:pPr>
        <w:pStyle w:val="SangriaFrancesaArticulo"/>
      </w:pPr>
    </w:p>
    <w:p w:rsidR="007F4918" w:rsidRDefault="007F4918" w:rsidP="007F4918">
      <w:pPr>
        <w:pStyle w:val="TextoNormalNegritaCursivandice"/>
      </w:pPr>
      <w:r>
        <w:t>Decreto de la Junta de Andalucía 314/1987, de 23 de diciembre.  Declara parque natural al Cabo de Gata-Níjar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f. 3.</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38" w:history="1">
        <w:r w:rsidRPr="007F4918">
          <w:rPr>
            <w:rStyle w:val="TextoNormalCaracter"/>
          </w:rPr>
          <w:t>38/2002</w:t>
        </w:r>
      </w:hyperlink>
      <w:r>
        <w:t>, f. 2.</w:t>
      </w:r>
    </w:p>
    <w:p w:rsidR="007F4918" w:rsidRDefault="007F4918" w:rsidP="007F4918">
      <w:pPr>
        <w:pStyle w:val="SangriaFrancesaArticulo"/>
      </w:pPr>
      <w:r w:rsidRPr="007F4918">
        <w:rPr>
          <w:rStyle w:val="TextoNormalNegritaCaracter"/>
        </w:rPr>
        <w:t>Anexo.</w:t>
      </w:r>
      <w:r w:rsidRPr="007F4918">
        <w:rPr>
          <w:rStyle w:val="TextoNormalCaracter"/>
        </w:rPr>
        <w:t>-</w:t>
      </w:r>
      <w:r>
        <w:t xml:space="preserve"> Sentencia </w:t>
      </w:r>
      <w:hyperlink w:anchor="SENTENCIA_2002_38" w:history="1">
        <w:r w:rsidRPr="007F4918">
          <w:rPr>
            <w:rStyle w:val="TextoNormalCaracter"/>
          </w:rPr>
          <w:t>38/2002</w:t>
        </w:r>
      </w:hyperlink>
      <w:r>
        <w:t>, f. 2.</w:t>
      </w:r>
    </w:p>
    <w:p w:rsidR="007F4918" w:rsidRDefault="007F4918" w:rsidP="007F4918">
      <w:pPr>
        <w:pStyle w:val="SangriaFrancesaArticulo"/>
      </w:pPr>
    </w:p>
    <w:p w:rsidR="007F4918" w:rsidRDefault="007F4918" w:rsidP="007F4918">
      <w:pPr>
        <w:pStyle w:val="TextoNormalNegritaCursivandice"/>
      </w:pPr>
      <w:r>
        <w:t>Decreto de la Junta de Andalucía 418/1994, de 25 de octubre. Plan de ordenación de los recursos naturales y el Plan rector de uso y gestión del Parque natural Cabo de Gata-Níjar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ff. 1 a 5, 10, VP.</w:t>
      </w:r>
    </w:p>
    <w:p w:rsidR="007F4918" w:rsidRDefault="007F4918" w:rsidP="007F4918">
      <w:pPr>
        <w:pStyle w:val="SangriaFrancesaArticulo"/>
      </w:pPr>
      <w:r w:rsidRPr="007F4918">
        <w:rPr>
          <w:rStyle w:val="TextoNormalNegritaCaracter"/>
        </w:rPr>
        <w:t>Artículos 4; 18.5; 24.2; 60.1; 137 a 140; 142; 145; 147; 148; 151 a 154; 156; 254.2.</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r w:rsidRPr="007F4918">
        <w:rPr>
          <w:rStyle w:val="TextoNormalNegritaCaracter"/>
        </w:rPr>
        <w:t>Artículos 45 a 47.</w:t>
      </w:r>
      <w:r w:rsidRPr="007F4918">
        <w:rPr>
          <w:rStyle w:val="TextoNormalCaracter"/>
        </w:rPr>
        <w:t>-</w:t>
      </w:r>
      <w:r>
        <w:t xml:space="preserve"> Sentencia </w:t>
      </w:r>
      <w:hyperlink w:anchor="SENTENCIA_2002_38" w:history="1">
        <w:r w:rsidRPr="007F4918">
          <w:rPr>
            <w:rStyle w:val="TextoNormalCaracter"/>
          </w:rPr>
          <w:t>38/2002</w:t>
        </w:r>
      </w:hyperlink>
      <w:r>
        <w:t>, f. 3.</w:t>
      </w:r>
    </w:p>
    <w:p w:rsidR="007F4918" w:rsidRDefault="007F4918" w:rsidP="007F4918">
      <w:pPr>
        <w:pStyle w:val="SangriaFrancesaArticulo"/>
      </w:pPr>
      <w:r w:rsidRPr="007F4918">
        <w:rPr>
          <w:rStyle w:val="TextoNormalNegritaCaracter"/>
        </w:rPr>
        <w:t>Artículos 45; 46.2; 73 apartados a), c).</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r w:rsidRPr="007F4918">
        <w:rPr>
          <w:rStyle w:val="TextoNormalNegritaCaracter"/>
        </w:rPr>
        <w:t>Artículos 137 a 156.</w:t>
      </w:r>
      <w:r w:rsidRPr="007F4918">
        <w:rPr>
          <w:rStyle w:val="TextoNormalCaracter"/>
        </w:rPr>
        <w:t>-</w:t>
      </w:r>
      <w:r>
        <w:t xml:space="preserve"> Sentencia </w:t>
      </w:r>
      <w:hyperlink w:anchor="SENTENCIA_2002_38" w:history="1">
        <w:r w:rsidRPr="007F4918">
          <w:rPr>
            <w:rStyle w:val="TextoNormalCaracter"/>
          </w:rPr>
          <w:t>38/2002</w:t>
        </w:r>
      </w:hyperlink>
      <w:r>
        <w:t>, f. 3.</w:t>
      </w:r>
    </w:p>
    <w:p w:rsidR="007F4918" w:rsidRDefault="007F4918" w:rsidP="007F4918">
      <w:pPr>
        <w:pStyle w:val="SangriaFrancesaArticulo"/>
      </w:pPr>
      <w:r w:rsidRPr="007F4918">
        <w:rPr>
          <w:rStyle w:val="TextoNormalNegritaCaracter"/>
        </w:rPr>
        <w:t>Artículo 139.1.</w:t>
      </w:r>
      <w:r w:rsidRPr="007F4918">
        <w:rPr>
          <w:rStyle w:val="TextoNormalCaracter"/>
        </w:rPr>
        <w:t>-</w:t>
      </w:r>
      <w:r>
        <w:t xml:space="preserve"> Sentencia </w:t>
      </w:r>
      <w:hyperlink w:anchor="SENTENCIA_2002_38" w:history="1">
        <w:r w:rsidRPr="007F4918">
          <w:rPr>
            <w:rStyle w:val="TextoNormalCaracter"/>
          </w:rPr>
          <w:t>38/2002</w:t>
        </w:r>
      </w:hyperlink>
      <w:r>
        <w:t>, ff. 8, 11.</w:t>
      </w:r>
    </w:p>
    <w:p w:rsidR="007F4918" w:rsidRDefault="007F4918" w:rsidP="007F4918">
      <w:pPr>
        <w:pStyle w:val="SangriaFrancesaArticulo"/>
      </w:pPr>
      <w:r w:rsidRPr="007F4918">
        <w:rPr>
          <w:rStyle w:val="TextoNormalNegritaCaracter"/>
        </w:rPr>
        <w:t>Artículo 139.2.</w:t>
      </w:r>
      <w:r w:rsidRPr="007F4918">
        <w:rPr>
          <w:rStyle w:val="TextoNormalCaracter"/>
        </w:rPr>
        <w:t>-</w:t>
      </w:r>
      <w:r>
        <w:t xml:space="preserve"> Sentencia </w:t>
      </w:r>
      <w:hyperlink w:anchor="SENTENCIA_2002_38" w:history="1">
        <w:r w:rsidRPr="007F4918">
          <w:rPr>
            <w:rStyle w:val="TextoNormalCaracter"/>
          </w:rPr>
          <w:t>38/2002</w:t>
        </w:r>
      </w:hyperlink>
      <w:r>
        <w:t>, ff. 8, 11.</w:t>
      </w:r>
    </w:p>
    <w:p w:rsidR="007F4918" w:rsidRDefault="007F4918" w:rsidP="007F4918">
      <w:pPr>
        <w:pStyle w:val="SangriaFrancesaArticulo"/>
      </w:pPr>
      <w:r w:rsidRPr="007F4918">
        <w:rPr>
          <w:rStyle w:val="TextoNormalNegritaCaracter"/>
        </w:rPr>
        <w:t>Anexo I.</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r w:rsidRPr="007F4918">
        <w:rPr>
          <w:rStyle w:val="TextoNormalNegritaCaracter"/>
        </w:rPr>
        <w:t>Anexo II.</w:t>
      </w:r>
      <w:r w:rsidRPr="007F4918">
        <w:rPr>
          <w:rStyle w:val="TextoNormalCaracter"/>
        </w:rPr>
        <w:t>-</w:t>
      </w:r>
      <w:r>
        <w:t xml:space="preserve"> Sentencia </w:t>
      </w:r>
      <w:hyperlink w:anchor="SENTENCIA_2002_38" w:history="1">
        <w:r w:rsidRPr="007F4918">
          <w:rPr>
            <w:rStyle w:val="TextoNormalCaracter"/>
          </w:rPr>
          <w:t>38/2002</w:t>
        </w:r>
      </w:hyperlink>
      <w:r>
        <w:t>, f. 9.</w:t>
      </w:r>
    </w:p>
    <w:p w:rsidR="007F4918" w:rsidRDefault="007F4918" w:rsidP="007F4918">
      <w:pPr>
        <w:pStyle w:val="SangriaFrancesaArticulo"/>
      </w:pPr>
      <w:r w:rsidRPr="007F4918">
        <w:rPr>
          <w:rStyle w:val="TextoNormalNegritaCaracter"/>
        </w:rPr>
        <w:t>Anexo III.</w:t>
      </w:r>
      <w:r w:rsidRPr="007F4918">
        <w:rPr>
          <w:rStyle w:val="TextoNormalCaracter"/>
        </w:rPr>
        <w:t>-</w:t>
      </w:r>
      <w:r>
        <w:t xml:space="preserve"> Sentencia </w:t>
      </w:r>
      <w:hyperlink w:anchor="SENTENCIA_2002_38" w:history="1">
        <w:r w:rsidRPr="007F4918">
          <w:rPr>
            <w:rStyle w:val="TextoNormalCaracter"/>
          </w:rPr>
          <w:t>38/2002</w:t>
        </w:r>
      </w:hyperlink>
      <w:r>
        <w:t>, f. 3.</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J.2) Asturias</w:t>
      </w:r>
    </w:p>
    <w:p w:rsidR="007F4918" w:rsidRDefault="007F4918" w:rsidP="007F4918">
      <w:pPr>
        <w:pStyle w:val="TextoNormal"/>
      </w:pPr>
    </w:p>
    <w:p w:rsidR="007F4918" w:rsidRDefault="007F4918" w:rsidP="007F4918">
      <w:pPr>
        <w:pStyle w:val="TextoNormalNegritaCentradoSubrayado"/>
        <w:suppressAutoHyphens/>
      </w:pPr>
      <w:r>
        <w:t>J.2.b) Leyes y disposiciones con fuerza de Ley</w:t>
      </w:r>
    </w:p>
    <w:p w:rsidR="007F4918" w:rsidRDefault="007F4918" w:rsidP="007F4918">
      <w:pPr>
        <w:pStyle w:val="TextoNormalNegritaCentradoSubrayado"/>
      </w:pPr>
    </w:p>
    <w:p w:rsidR="007F4918" w:rsidRDefault="007F4918" w:rsidP="007F4918">
      <w:pPr>
        <w:pStyle w:val="TextoNormalNegritaCursivandice"/>
      </w:pPr>
      <w:r>
        <w:lastRenderedPageBreak/>
        <w:t>Ley de la Junta General del Principado de Asturias 6/1986, de 31 de mayo.  Régimen económico y presupuestario.</w:t>
      </w:r>
    </w:p>
    <w:p w:rsidR="007F4918" w:rsidRDefault="007F4918" w:rsidP="007F4918">
      <w:pPr>
        <w:pStyle w:val="SangriaFrancesaArticulo"/>
      </w:pPr>
      <w:r w:rsidRPr="007F4918">
        <w:rPr>
          <w:rStyle w:val="TextoNormalNegritaCaracter"/>
        </w:rPr>
        <w:t>Artículo 31.1.</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p>
    <w:p w:rsidR="007F4918" w:rsidRDefault="007F4918" w:rsidP="007F4918">
      <w:pPr>
        <w:pStyle w:val="TextoNormalNegritaCursivandice"/>
      </w:pPr>
      <w:r>
        <w:t>Ley de la Junta General del Principado de Asturias 3/1987, de 8 de abril. Reguladora de la disciplina urbanística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7.</w:t>
      </w:r>
    </w:p>
    <w:p w:rsidR="007F4918" w:rsidRDefault="007F4918" w:rsidP="007F4918">
      <w:pPr>
        <w:pStyle w:val="SangriaFrancesaArticulo"/>
      </w:pPr>
    </w:p>
    <w:p w:rsidR="007F4918" w:rsidRDefault="007F4918" w:rsidP="007F4918">
      <w:pPr>
        <w:pStyle w:val="TextoNormalNegritaCursivandice"/>
      </w:pPr>
      <w:r>
        <w:t>Ley de la Junta General del Principado de Asturias 3/1994, de 29 de diciembre.  Presupuestos generales para 1995.</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p>
    <w:p w:rsidR="007F4918" w:rsidRDefault="007F4918" w:rsidP="007F4918">
      <w:pPr>
        <w:pStyle w:val="TextoNormalNegritaCursivandice"/>
      </w:pPr>
      <w:r>
        <w:t>Ley de la Junta General del Principado de Asturias 1/1996, de 26 de abril. Concesión de créditos extraordinarios y suplemento de créditos destinados a atender la actualización de retribuciones, modificación de plantillas y otras obligaciones de personal al servicio de la administración, organismos autónomos y Servicio de salud del Principado de Asturias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ff. 2 a 4, 7 a 9.</w:t>
      </w:r>
    </w:p>
    <w:p w:rsidR="007F4918" w:rsidRDefault="007F4918" w:rsidP="007F4918">
      <w:pPr>
        <w:pStyle w:val="SangriaFrancesaArticulo"/>
      </w:pPr>
      <w:r w:rsidRPr="007F4918">
        <w:rPr>
          <w:rStyle w:val="TextoNormalNegritaCaracter"/>
        </w:rPr>
        <w:t>Preámbulo.</w:t>
      </w:r>
      <w:r w:rsidRPr="007F4918">
        <w:rPr>
          <w:rStyle w:val="TextoNormalCaracter"/>
        </w:rPr>
        <w:t>-</w:t>
      </w:r>
      <w:r>
        <w:t xml:space="preserve"> Sentencia </w:t>
      </w:r>
      <w:hyperlink w:anchor="SENTENCIA_2002_24" w:history="1">
        <w:r w:rsidRPr="007F4918">
          <w:rPr>
            <w:rStyle w:val="TextoNormalCaracter"/>
          </w:rPr>
          <w:t>24/2002</w:t>
        </w:r>
      </w:hyperlink>
      <w:r>
        <w:t>, ff. 3, 4, 6, 9.</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24" w:history="1">
        <w:r w:rsidRPr="007F4918">
          <w:rPr>
            <w:rStyle w:val="TextoNormalCaracter"/>
          </w:rPr>
          <w:t>24/2002</w:t>
        </w:r>
      </w:hyperlink>
      <w:r>
        <w:t>, ff. 1, 3, 10.</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r w:rsidRPr="007F4918">
        <w:rPr>
          <w:rStyle w:val="TextoNormalNegritaCaracter"/>
        </w:rPr>
        <w:t>Artículo 2.1 a).</w:t>
      </w:r>
      <w:r w:rsidRPr="007F4918">
        <w:rPr>
          <w:rStyle w:val="TextoNormalCaracter"/>
        </w:rPr>
        <w:t>-</w:t>
      </w:r>
      <w:r>
        <w:t xml:space="preserve"> Sentencia </w:t>
      </w:r>
      <w:hyperlink w:anchor="SENTENCIA_2002_24" w:history="1">
        <w:r w:rsidRPr="007F4918">
          <w:rPr>
            <w:rStyle w:val="TextoNormalCaracter"/>
          </w:rPr>
          <w:t>24/2002</w:t>
        </w:r>
      </w:hyperlink>
      <w:r>
        <w:t>, ff. 1, 3, 4, 7, 9, 10.</w:t>
      </w:r>
    </w:p>
    <w:p w:rsidR="007F4918" w:rsidRDefault="007F4918" w:rsidP="007F4918">
      <w:pPr>
        <w:pStyle w:val="SangriaFrancesaArticulo"/>
      </w:pPr>
      <w:r w:rsidRPr="007F4918">
        <w:rPr>
          <w:rStyle w:val="TextoNormalNegritaCaracter"/>
        </w:rPr>
        <w:t>Artículo 3.</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p>
    <w:p w:rsidR="007F4918" w:rsidRDefault="007F4918" w:rsidP="007F4918">
      <w:pPr>
        <w:pStyle w:val="TextoNormalNegritaCursivandice"/>
      </w:pPr>
      <w:r>
        <w:t>Ley de la Junta General del Principado de Asturias 2/1996, de 25 de junio.  Presupuestos generales para 1996.</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ff. 2 a 4, 9.</w:t>
      </w:r>
    </w:p>
    <w:p w:rsidR="007F4918" w:rsidRDefault="007F4918" w:rsidP="007F4918">
      <w:pPr>
        <w:pStyle w:val="SangriaFrancesaArticulo"/>
      </w:pPr>
      <w:r w:rsidRPr="007F4918">
        <w:rPr>
          <w:rStyle w:val="TextoNormalNegritaCaracter"/>
        </w:rPr>
        <w:t>Artículo 17.1.</w:t>
      </w:r>
      <w:r w:rsidRPr="007F4918">
        <w:rPr>
          <w:rStyle w:val="TextoNormalCaracter"/>
        </w:rPr>
        <w:t>-</w:t>
      </w:r>
      <w:r>
        <w:t xml:space="preserve"> Sentencia </w:t>
      </w:r>
      <w:hyperlink w:anchor="SENTENCIA_2002_24" w:history="1">
        <w:r w:rsidRPr="007F4918">
          <w:rPr>
            <w:rStyle w:val="TextoNormalCaracter"/>
          </w:rPr>
          <w:t>24/2002</w:t>
        </w:r>
      </w:hyperlink>
      <w:r>
        <w:t>, ff. 2, 4.</w:t>
      </w:r>
    </w:p>
    <w:p w:rsidR="007F4918" w:rsidRDefault="007F4918" w:rsidP="007F4918">
      <w:pPr>
        <w:pStyle w:val="SangriaFrancesaArticulo"/>
      </w:pPr>
      <w:r w:rsidRPr="007F4918">
        <w:rPr>
          <w:rStyle w:val="TextoNormalNegritaCaracter"/>
        </w:rPr>
        <w:t>Artículo 18.1.</w:t>
      </w:r>
      <w:r w:rsidRPr="007F4918">
        <w:rPr>
          <w:rStyle w:val="TextoNormalCaracter"/>
        </w:rPr>
        <w:t>-</w:t>
      </w:r>
      <w:r>
        <w:t xml:space="preserve"> Sentencia </w:t>
      </w:r>
      <w:hyperlink w:anchor="SENTENCIA_2002_24" w:history="1">
        <w:r w:rsidRPr="007F4918">
          <w:rPr>
            <w:rStyle w:val="TextoNormalCaracter"/>
          </w:rPr>
          <w:t>24/2002</w:t>
        </w:r>
      </w:hyperlink>
      <w:r>
        <w:t>, ff. 2, 4.</w:t>
      </w:r>
    </w:p>
    <w:p w:rsidR="007F4918" w:rsidRDefault="007F4918" w:rsidP="007F4918">
      <w:pPr>
        <w:pStyle w:val="TextoNormal"/>
      </w:pPr>
    </w:p>
    <w:p w:rsidR="007F4918" w:rsidRDefault="007F4918" w:rsidP="007F4918">
      <w:pPr>
        <w:pStyle w:val="TextoNormalNegritaCentradoSubrayado"/>
        <w:suppressAutoHyphens/>
      </w:pPr>
      <w:r>
        <w:t>J.2.c) Decretos y otras disposiciones reglamentarias</w:t>
      </w:r>
    </w:p>
    <w:p w:rsidR="007F4918" w:rsidRDefault="007F4918" w:rsidP="007F4918">
      <w:pPr>
        <w:pStyle w:val="TextoNormalNegritaCentradoSubrayado"/>
      </w:pPr>
    </w:p>
    <w:p w:rsidR="007F4918" w:rsidRDefault="007F4918" w:rsidP="007F4918">
      <w:pPr>
        <w:pStyle w:val="TextoNormalNegritaCursivandice"/>
      </w:pPr>
      <w:r>
        <w:t>Resolución de la Consejería de Interior y Administraciones Públicas del Consejo de Gobierno del Principado de Asturias, de 20 de marzo de 1995.  Acuerdo con las organizaciones sindicales sobre condiciones de trabajo de los empleados públicos para el periodo 1995-1997</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ff. 1, 3, 8, 10.</w:t>
      </w:r>
    </w:p>
    <w:p w:rsidR="007F4918" w:rsidRDefault="007F4918" w:rsidP="007F4918">
      <w:pPr>
        <w:pStyle w:val="SangriaFrancesaArticulo"/>
      </w:pPr>
      <w:r w:rsidRPr="007F4918">
        <w:rPr>
          <w:rStyle w:val="TextoNormalNegritaCaracter"/>
        </w:rPr>
        <w:t>Artículo 3.</w:t>
      </w:r>
      <w:r w:rsidRPr="007F4918">
        <w:rPr>
          <w:rStyle w:val="TextoNormalCaracter"/>
        </w:rPr>
        <w:t>-</w:t>
      </w:r>
      <w:r>
        <w:t xml:space="preserve"> Sentencia </w:t>
      </w:r>
      <w:hyperlink w:anchor="SENTENCIA_2002_24" w:history="1">
        <w:r w:rsidRPr="007F4918">
          <w:rPr>
            <w:rStyle w:val="TextoNormalCaracter"/>
          </w:rPr>
          <w:t>24/2002</w:t>
        </w:r>
      </w:hyperlink>
      <w:r>
        <w:t>, ff. 7, 8.</w:t>
      </w:r>
    </w:p>
    <w:p w:rsidR="007F4918" w:rsidRDefault="007F4918" w:rsidP="007F4918">
      <w:pPr>
        <w:pStyle w:val="SangriaFrancesaArticulo"/>
      </w:pPr>
      <w:r w:rsidRPr="007F4918">
        <w:rPr>
          <w:rStyle w:val="TextoNormalNegritaCaracter"/>
        </w:rPr>
        <w:t>Artículo 3.1.</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r w:rsidRPr="007F4918">
        <w:rPr>
          <w:rStyle w:val="TextoNormalNegritaCaracter"/>
        </w:rPr>
        <w:t>Artículo 3.3.</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r w:rsidRPr="007F4918">
        <w:rPr>
          <w:rStyle w:val="TextoNormalNegritaCaracter"/>
        </w:rPr>
        <w:t>Artículo 5.</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p>
    <w:p w:rsidR="007F4918" w:rsidRDefault="007F4918" w:rsidP="007F4918">
      <w:pPr>
        <w:pStyle w:val="TextoNormalNegritaCursivandice"/>
      </w:pPr>
      <w:r>
        <w:t>Decreto del Consejo de Gobierno del Principado de Asturias 188/1995, de 28 de diciembre. Prórroga de los presupuestos generales del Principado de Asturias para 1996.</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 3.</w:t>
      </w:r>
    </w:p>
    <w:p w:rsidR="007F4918" w:rsidRDefault="007F4918" w:rsidP="007F4918">
      <w:pPr>
        <w:pStyle w:val="SangriaFrancesaArticulo"/>
      </w:pPr>
    </w:p>
    <w:p w:rsidR="007F4918" w:rsidRDefault="007F4918" w:rsidP="007F4918">
      <w:pPr>
        <w:pStyle w:val="TextoNormalNegritaCursivandice"/>
      </w:pPr>
      <w:r>
        <w:t>Decreto del Consejo de Gobierno del Principado de Asturias 17/1996, de 16 de mayo.  Retribuciones del personal funcionario incluido en las relaciones de puestos de trabajo.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4" w:history="1">
        <w:r w:rsidRPr="007F4918">
          <w:rPr>
            <w:rStyle w:val="TextoNormalCaracter"/>
          </w:rPr>
          <w:t>24/2002</w:t>
        </w:r>
      </w:hyperlink>
      <w:r>
        <w:t>, f. 9.</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J.3) Baleares</w:t>
      </w:r>
    </w:p>
    <w:p w:rsidR="007F4918" w:rsidRDefault="007F4918" w:rsidP="007F4918">
      <w:pPr>
        <w:pStyle w:val="TextoNormal"/>
      </w:pPr>
    </w:p>
    <w:p w:rsidR="007F4918" w:rsidRDefault="007F4918" w:rsidP="007F4918">
      <w:pPr>
        <w:pStyle w:val="TextoNormalNegritaCentradoSubrayado"/>
        <w:suppressAutoHyphens/>
      </w:pPr>
      <w:r>
        <w:t>J.3.a) Estatuto de Autonomía</w:t>
      </w:r>
    </w:p>
    <w:p w:rsidR="007F4918" w:rsidRDefault="007F4918" w:rsidP="007F4918">
      <w:pPr>
        <w:pStyle w:val="TextoNormalNegritaCentradoSubrayado"/>
      </w:pPr>
    </w:p>
    <w:p w:rsidR="007F4918" w:rsidRDefault="007F4918" w:rsidP="007F4918">
      <w:pPr>
        <w:pStyle w:val="TextoNormalNegritaCursivandice"/>
      </w:pPr>
      <w:r>
        <w:t>Ley Orgánica 2/1983, de 25 de febrero. Estatuto de Autonomía de las Illes Balears</w:t>
      </w:r>
    </w:p>
    <w:p w:rsidR="007F4918" w:rsidRDefault="007F4918" w:rsidP="007F4918">
      <w:pPr>
        <w:pStyle w:val="SangriaFrancesaArticulo"/>
      </w:pPr>
      <w:r w:rsidRPr="007F4918">
        <w:rPr>
          <w:rStyle w:val="TextoNormalNegritaCaracter"/>
        </w:rPr>
        <w:t>Artículo 11.5.</w:t>
      </w:r>
      <w:r w:rsidRPr="007F4918">
        <w:rPr>
          <w:rStyle w:val="TextoNormalCaracter"/>
        </w:rPr>
        <w:t>-</w:t>
      </w:r>
      <w:r>
        <w:t xml:space="preserve"> Sentencia </w:t>
      </w:r>
      <w:hyperlink w:anchor="SENTENCIA_2002_97" w:history="1">
        <w:r w:rsidRPr="007F4918">
          <w:rPr>
            <w:rStyle w:val="TextoNormalCaracter"/>
          </w:rPr>
          <w:t>97/2002</w:t>
        </w:r>
      </w:hyperlink>
      <w:r>
        <w:t>, ff. 7, 10.</w:t>
      </w:r>
    </w:p>
    <w:p w:rsidR="007F4918" w:rsidRDefault="007F4918" w:rsidP="007F4918">
      <w:pPr>
        <w:pStyle w:val="SangriaFrancesaArticulo"/>
      </w:pPr>
      <w:r w:rsidRPr="007F4918">
        <w:rPr>
          <w:rStyle w:val="TextoNormalNegritaCaracter"/>
        </w:rPr>
        <w:t>Artículo 11.13.</w:t>
      </w:r>
      <w:r w:rsidRPr="007F4918">
        <w:rPr>
          <w:rStyle w:val="TextoNormalCaracter"/>
        </w:rPr>
        <w:t>-</w:t>
      </w:r>
      <w:r>
        <w:t xml:space="preserve"> Sentencia </w:t>
      </w:r>
      <w:hyperlink w:anchor="SENTENCIA_2002_97" w:history="1">
        <w:r w:rsidRPr="007F4918">
          <w:rPr>
            <w:rStyle w:val="TextoNormalCaracter"/>
          </w:rPr>
          <w:t>97/2002</w:t>
        </w:r>
      </w:hyperlink>
      <w:r>
        <w:t>, ff. 7, 10.</w:t>
      </w:r>
    </w:p>
    <w:p w:rsidR="007F4918" w:rsidRDefault="007F4918" w:rsidP="007F4918">
      <w:pPr>
        <w:pStyle w:val="SangriaFrancesaArticulo"/>
      </w:pPr>
    </w:p>
    <w:p w:rsidR="007F4918" w:rsidRDefault="007F4918" w:rsidP="007F4918">
      <w:pPr>
        <w:pStyle w:val="TextoNormalNegritaCursivandice"/>
      </w:pPr>
      <w:r>
        <w:t>Ley Orgánica 3/1999, de 8 de enero. Reforma la Ley Orgánica 2/1983, de Estatuto de Autonomía de las Illes Balears</w:t>
      </w:r>
    </w:p>
    <w:p w:rsidR="007F4918" w:rsidRDefault="007F4918" w:rsidP="007F4918">
      <w:pPr>
        <w:pStyle w:val="SangriaFrancesaArticulo"/>
      </w:pPr>
      <w:r w:rsidRPr="007F4918">
        <w:rPr>
          <w:rStyle w:val="TextoNormalNegritaCaracter"/>
        </w:rPr>
        <w:t>Artículo 11.7.</w:t>
      </w:r>
      <w:r w:rsidRPr="007F4918">
        <w:rPr>
          <w:rStyle w:val="TextoNormalCaracter"/>
        </w:rPr>
        <w:t>-</w:t>
      </w:r>
      <w:r>
        <w:t xml:space="preserve"> Sentencia </w:t>
      </w:r>
      <w:hyperlink w:anchor="SENTENCIA_2002_97" w:history="1">
        <w:r w:rsidRPr="007F4918">
          <w:rPr>
            <w:rStyle w:val="TextoNormalCaracter"/>
          </w:rPr>
          <w:t>97/2002</w:t>
        </w:r>
      </w:hyperlink>
      <w:r>
        <w:t>, ff. 7, 10.</w:t>
      </w:r>
    </w:p>
    <w:p w:rsidR="007F4918" w:rsidRDefault="007F4918" w:rsidP="007F4918">
      <w:pPr>
        <w:pStyle w:val="TextoNormal"/>
      </w:pPr>
    </w:p>
    <w:p w:rsidR="007F4918" w:rsidRDefault="007F4918" w:rsidP="007F4918">
      <w:pPr>
        <w:pStyle w:val="TextoNormalNegritaCentradoSubrayado"/>
        <w:suppressAutoHyphens/>
      </w:pPr>
      <w:r>
        <w:t>J.3.b)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del Parlamento de las Illes Balears 5/1985, de 2 de mayo. Declaración de Ses Salines de Ibiza y Formentera Islotes intermedios como área natural de interés especial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f. 11.</w:t>
      </w:r>
    </w:p>
    <w:p w:rsidR="007F4918" w:rsidRDefault="007F4918" w:rsidP="007F4918">
      <w:pPr>
        <w:pStyle w:val="SangriaFrancesaArticulo"/>
      </w:pPr>
    </w:p>
    <w:p w:rsidR="007F4918" w:rsidRDefault="007F4918" w:rsidP="007F4918">
      <w:pPr>
        <w:pStyle w:val="TextoNormalNegritaCursivandice"/>
      </w:pPr>
      <w:r>
        <w:t>Ley del Parlamento de las Illes Balears 5/1988, de 11 de mayo. Declaración de S`Estany D`es Peix, de Formentera como área natural de especial interés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f. 11.</w:t>
      </w:r>
    </w:p>
    <w:p w:rsidR="007F4918" w:rsidRDefault="007F4918" w:rsidP="007F4918">
      <w:pPr>
        <w:pStyle w:val="SangriaFrancesaArticulo"/>
      </w:pPr>
    </w:p>
    <w:p w:rsidR="007F4918" w:rsidRDefault="007F4918" w:rsidP="007F4918">
      <w:pPr>
        <w:pStyle w:val="TextoNormalNegritaCursivandice"/>
      </w:pPr>
      <w:r>
        <w:t>Ley del Parlamento de las Illes Balears 1/1991, de 30 de enero. Espacios naturales y régimen urbanístico de las áreas de especial protección de las Illes Balears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f. 11.</w:t>
      </w:r>
    </w:p>
    <w:p w:rsidR="007F4918" w:rsidRDefault="007F4918" w:rsidP="007F4918">
      <w:pPr>
        <w:pStyle w:val="SangriaFrancesaArticulo"/>
      </w:pPr>
    </w:p>
    <w:p w:rsidR="007F4918" w:rsidRDefault="007F4918" w:rsidP="007F4918">
      <w:pPr>
        <w:pStyle w:val="TextoNormalNegritaCursivandice"/>
      </w:pPr>
      <w:r>
        <w:t>Ley del Parlamento de las Illes Balears 12/1991, de 20 de diciembre. Regulación del impuesto sobre instalaciones que incidan en el medio ambiente</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9.</w:t>
      </w:r>
    </w:p>
    <w:p w:rsidR="007F4918" w:rsidRDefault="007F4918" w:rsidP="007F4918">
      <w:pPr>
        <w:pStyle w:val="SangriaIzquierdaArticulo"/>
      </w:pPr>
      <w:r>
        <w:t xml:space="preserve">Auto </w:t>
      </w:r>
      <w:hyperlink w:anchor="AUTO_2002_5" w:history="1">
        <w:r w:rsidRPr="007F4918">
          <w:rPr>
            <w:rStyle w:val="TextoNormalCaracter"/>
          </w:rPr>
          <w:t>5/2002</w:t>
        </w:r>
      </w:hyperlink>
      <w:r>
        <w:t>.</w:t>
      </w:r>
    </w:p>
    <w:p w:rsidR="007F4918" w:rsidRDefault="007F4918" w:rsidP="007F4918">
      <w:pPr>
        <w:pStyle w:val="SangriaIzquierdaArticulo"/>
      </w:pPr>
    </w:p>
    <w:p w:rsidR="007F4918" w:rsidRDefault="007F4918" w:rsidP="007F4918">
      <w:pPr>
        <w:pStyle w:val="TextoNormalNegritaCursivandice"/>
      </w:pPr>
      <w:r>
        <w:t>Ley del Parlamento de las Illes Balears 7/1992, de 23 de diciembre. Modificación de determinados artículos de la Ley 1/1991, de 30 de enero, de espacios naturales y de régimen urbanístico de las áreas de especial protección de las Illes Balears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f. 11.</w:t>
      </w:r>
    </w:p>
    <w:p w:rsidR="007F4918" w:rsidRDefault="007F4918" w:rsidP="007F4918">
      <w:pPr>
        <w:pStyle w:val="SangriaFrancesaArticulo"/>
      </w:pPr>
    </w:p>
    <w:p w:rsidR="007F4918" w:rsidRDefault="007F4918" w:rsidP="007F4918">
      <w:pPr>
        <w:pStyle w:val="TextoNormalNegritaCursivandice"/>
      </w:pPr>
      <w:r>
        <w:lastRenderedPageBreak/>
        <w:t>Ley del Parlamento de las Illes Balears 7/2001, de 23 de abril.  Impuesto sobre las estancias en empresas turísticas de alojamiento.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r w:rsidRPr="007F4918">
        <w:rPr>
          <w:rStyle w:val="TextoNormalNegritaCaracter"/>
        </w:rPr>
        <w:t>Título V.</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r w:rsidRPr="007F4918">
        <w:rPr>
          <w:rStyle w:val="TextoNormalNegritaCaracter"/>
        </w:rPr>
        <w:t>Artículo 8.</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p>
    <w:p w:rsidR="007F4918" w:rsidRDefault="007F4918" w:rsidP="007F4918">
      <w:pPr>
        <w:pStyle w:val="TextoNormalNegritaCursivandice"/>
      </w:pPr>
      <w:r>
        <w:t>Ley del Parlamento de las Illes Balears 11/2001, de 15 de junio. Ordenación de la actividad comercial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Autos </w:t>
      </w:r>
      <w:hyperlink w:anchor="AUTO_2002_20" w:history="1">
        <w:r w:rsidRPr="007F4918">
          <w:rPr>
            <w:rStyle w:val="TextoNormalCaracter"/>
          </w:rPr>
          <w:t>20/2002</w:t>
        </w:r>
      </w:hyperlink>
      <w:r>
        <w:t xml:space="preserve">; </w:t>
      </w:r>
      <w:hyperlink w:anchor="AUTO_2002_39" w:history="1">
        <w:r w:rsidRPr="007F4918">
          <w:rPr>
            <w:rStyle w:val="TextoNormalCaracter"/>
          </w:rPr>
          <w:t>39/2002</w:t>
        </w:r>
      </w:hyperlink>
      <w:r>
        <w:t>.</w:t>
      </w:r>
    </w:p>
    <w:p w:rsidR="007F4918" w:rsidRDefault="007F4918" w:rsidP="007F4918">
      <w:pPr>
        <w:pStyle w:val="SangriaFrancesaArticulo"/>
      </w:pPr>
      <w:r w:rsidRPr="007F4918">
        <w:rPr>
          <w:rStyle w:val="TextoNormalNegritaCaracter"/>
        </w:rPr>
        <w:t>Artículo 4 apartados 1, 2.</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14.1.</w:t>
      </w:r>
      <w:r w:rsidRPr="007F4918">
        <w:rPr>
          <w:rStyle w:val="TextoNormalCaracter"/>
        </w:rPr>
        <w:t>-</w:t>
      </w:r>
      <w:r>
        <w:t xml:space="preserve"> Autos </w:t>
      </w:r>
      <w:hyperlink w:anchor="AUTO_2002_20" w:history="1">
        <w:r w:rsidRPr="007F4918">
          <w:rPr>
            <w:rStyle w:val="TextoNormalCaracter"/>
          </w:rPr>
          <w:t>20/2002</w:t>
        </w:r>
      </w:hyperlink>
      <w:r>
        <w:t xml:space="preserve">; </w:t>
      </w:r>
      <w:hyperlink w:anchor="AUTO_2002_39" w:history="1">
        <w:r w:rsidRPr="007F4918">
          <w:rPr>
            <w:rStyle w:val="TextoNormalCaracter"/>
          </w:rPr>
          <w:t>39/2002</w:t>
        </w:r>
      </w:hyperlink>
      <w:r>
        <w:t>.</w:t>
      </w:r>
    </w:p>
    <w:p w:rsidR="007F4918" w:rsidRDefault="007F4918" w:rsidP="007F4918">
      <w:pPr>
        <w:pStyle w:val="SangriaFrancesaArticulo"/>
      </w:pPr>
      <w:r w:rsidRPr="007F4918">
        <w:rPr>
          <w:rStyle w:val="TextoNormalNegritaCaracter"/>
        </w:rPr>
        <w:t>Artículo 18.</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20.</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21.1 b).</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22.1.</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27.</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28.</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35.2.</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Artículo 54.1.</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SangriaFrancesaArticulo"/>
      </w:pPr>
      <w:r w:rsidRPr="007F4918">
        <w:rPr>
          <w:rStyle w:val="TextoNormalNegritaCaracter"/>
        </w:rPr>
        <w:t>Disposición transitoria sexta</w:t>
      </w:r>
      <w:r>
        <w:t xml:space="preserve"> </w:t>
      </w:r>
      <w:r w:rsidRPr="007F4918">
        <w:rPr>
          <w:rStyle w:val="TextoNormalCaracter"/>
        </w:rPr>
        <w:t>(redactado por la Ley del Parlamento de las Islas Baleares 20/2001)</w:t>
      </w:r>
      <w:r w:rsidRPr="007F4918">
        <w:rPr>
          <w:rStyle w:val="TextoNormalNegritaCaracter"/>
        </w:rPr>
        <w:t>.</w:t>
      </w:r>
      <w:r w:rsidRPr="007F4918">
        <w:rPr>
          <w:rStyle w:val="TextoNormalCaracter"/>
        </w:rPr>
        <w:t>-</w:t>
      </w:r>
      <w:r>
        <w:t xml:space="preserve"> Auto </w:t>
      </w:r>
      <w:hyperlink w:anchor="AUTO_2002_39" w:history="1">
        <w:r w:rsidRPr="007F4918">
          <w:rPr>
            <w:rStyle w:val="TextoNormalCaracter"/>
          </w:rPr>
          <w:t>39/2002</w:t>
        </w:r>
      </w:hyperlink>
      <w:r>
        <w:t>.</w:t>
      </w:r>
    </w:p>
    <w:p w:rsidR="007F4918" w:rsidRDefault="007F4918" w:rsidP="007F4918">
      <w:pPr>
        <w:pStyle w:val="SangriaFrancesaArticulo"/>
      </w:pPr>
    </w:p>
    <w:p w:rsidR="007F4918" w:rsidRDefault="007F4918" w:rsidP="007F4918">
      <w:pPr>
        <w:pStyle w:val="TextoNormalNegritaCursivandice"/>
      </w:pPr>
      <w:r>
        <w:t>Ley del Parlamento de las Illes Balears 17/2001, de 19 de diciembre. Protección ambiental de ses Salines de Ibiza y Formentera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7" w:history="1">
        <w:r w:rsidRPr="007F4918">
          <w:rPr>
            <w:rStyle w:val="TextoNormalCaracter"/>
          </w:rPr>
          <w:t>97/2002</w:t>
        </w:r>
      </w:hyperlink>
      <w:r>
        <w:t>, f. 11.</w:t>
      </w:r>
    </w:p>
    <w:p w:rsidR="007F4918" w:rsidRDefault="007F4918" w:rsidP="007F4918">
      <w:pPr>
        <w:pStyle w:val="SangriaFrancesaArticulo"/>
      </w:pPr>
    </w:p>
    <w:p w:rsidR="007F4918" w:rsidRDefault="007F4918" w:rsidP="007F4918">
      <w:pPr>
        <w:pStyle w:val="TextoNormalNegritaCursivandice"/>
      </w:pPr>
      <w:r>
        <w:t>Ley del Parlamento de las Illes Balears 20/2001, de 21 de diciembre. Medidas tributarias, administrativas y de función pública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6" w:history="1">
        <w:r w:rsidRPr="007F4918">
          <w:rPr>
            <w:rStyle w:val="TextoNormalCaracter"/>
          </w:rPr>
          <w:t>26/2002</w:t>
        </w:r>
      </w:hyperlink>
      <w:r>
        <w:t>, ff. 1, 4.</w:t>
      </w:r>
    </w:p>
    <w:p w:rsidR="007F4918" w:rsidRDefault="007F4918" w:rsidP="007F4918">
      <w:pPr>
        <w:pStyle w:val="SangriaFrancesaArticulo"/>
      </w:pPr>
      <w:r w:rsidRPr="007F4918">
        <w:rPr>
          <w:rStyle w:val="TextoNormalNegritaCaracter"/>
        </w:rPr>
        <w:t>Artículo 21.</w:t>
      </w:r>
      <w:r w:rsidRPr="007F4918">
        <w:rPr>
          <w:rStyle w:val="TextoNormalCaracter"/>
        </w:rPr>
        <w:t>-</w:t>
      </w:r>
      <w:r>
        <w:t xml:space="preserve"> Sentencia </w:t>
      </w:r>
      <w:hyperlink w:anchor="SENTENCIA_2002_26" w:history="1">
        <w:r w:rsidRPr="007F4918">
          <w:rPr>
            <w:rStyle w:val="TextoNormalCaracter"/>
          </w:rPr>
          <w:t>26/2002</w:t>
        </w:r>
      </w:hyperlink>
      <w:r>
        <w:t>, f. 1.</w:t>
      </w:r>
    </w:p>
    <w:p w:rsidR="007F4918" w:rsidRDefault="007F4918" w:rsidP="007F4918">
      <w:pPr>
        <w:pStyle w:val="SangriaFrancesaArticulo"/>
      </w:pPr>
      <w:r w:rsidRPr="007F4918">
        <w:rPr>
          <w:rStyle w:val="TextoNormalNegritaCaracter"/>
        </w:rPr>
        <w:t>Artículo 21.2.1 apartados a) a l).</w:t>
      </w:r>
      <w:r w:rsidRPr="007F4918">
        <w:rPr>
          <w:rStyle w:val="TextoNormalCaracter"/>
        </w:rPr>
        <w:t>-</w:t>
      </w:r>
      <w:r>
        <w:t xml:space="preserve"> Sentencia </w:t>
      </w:r>
      <w:hyperlink w:anchor="SENTENCIA_2002_26" w:history="1">
        <w:r w:rsidRPr="007F4918">
          <w:rPr>
            <w:rStyle w:val="TextoNormalCaracter"/>
          </w:rPr>
          <w:t>26/2002</w:t>
        </w:r>
      </w:hyperlink>
      <w:r>
        <w:t>, f. 4.</w:t>
      </w:r>
    </w:p>
    <w:p w:rsidR="007F4918" w:rsidRDefault="007F4918" w:rsidP="007F4918">
      <w:pPr>
        <w:pStyle w:val="SangriaFrancesaArticulo"/>
      </w:pPr>
      <w:r w:rsidRPr="007F4918">
        <w:rPr>
          <w:rStyle w:val="TextoNormalNegritaCaracter"/>
        </w:rPr>
        <w:t>Artículo 21.2.2.1 n).</w:t>
      </w:r>
      <w:r w:rsidRPr="007F4918">
        <w:rPr>
          <w:rStyle w:val="TextoNormalCaracter"/>
        </w:rPr>
        <w:t>-</w:t>
      </w:r>
      <w:r>
        <w:t xml:space="preserve"> Sentencia </w:t>
      </w:r>
      <w:hyperlink w:anchor="SENTENCIA_2002_26" w:history="1">
        <w:r w:rsidRPr="007F4918">
          <w:rPr>
            <w:rStyle w:val="TextoNormalCaracter"/>
          </w:rPr>
          <w:t>26/2002</w:t>
        </w:r>
      </w:hyperlink>
      <w:r>
        <w:t>, FF. 1, 4.</w:t>
      </w:r>
    </w:p>
    <w:p w:rsidR="007F4918" w:rsidRDefault="007F4918" w:rsidP="007F4918">
      <w:pPr>
        <w:pStyle w:val="SangriaFrancesaArticulo"/>
      </w:pPr>
      <w:r w:rsidRPr="007F4918">
        <w:rPr>
          <w:rStyle w:val="TextoNormalNegritaCaracter"/>
        </w:rPr>
        <w:t>Disposición adicional quinta.</w:t>
      </w:r>
      <w:r w:rsidRPr="007F4918">
        <w:rPr>
          <w:rStyle w:val="TextoNormalCaracter"/>
        </w:rPr>
        <w:t>-</w:t>
      </w:r>
      <w:r>
        <w:t xml:space="preserve"> Auto </w:t>
      </w:r>
      <w:hyperlink w:anchor="AUTO_2002_39" w:history="1">
        <w:r w:rsidRPr="007F4918">
          <w:rPr>
            <w:rStyle w:val="TextoNormalCaracter"/>
          </w:rPr>
          <w:t>39/2002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J.4) Canarias</w:t>
      </w:r>
    </w:p>
    <w:p w:rsidR="007F4918" w:rsidRDefault="007F4918" w:rsidP="007F4918">
      <w:pPr>
        <w:pStyle w:val="TextoNormal"/>
      </w:pPr>
    </w:p>
    <w:p w:rsidR="007F4918" w:rsidRDefault="007F4918" w:rsidP="007F4918">
      <w:pPr>
        <w:pStyle w:val="TextoNormalNegritaCentradoSubrayado"/>
        <w:suppressAutoHyphens/>
      </w:pPr>
      <w:r>
        <w:t>J.4.b)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del Parlamento de Canarias 6/1985, de 30 de diciembre. Reguladora de los juegos y apuestas en Canarias</w:t>
      </w:r>
    </w:p>
    <w:p w:rsidR="007F4918" w:rsidRDefault="007F4918" w:rsidP="007F4918">
      <w:pPr>
        <w:pStyle w:val="SangriaFrancesaArticulo"/>
      </w:pPr>
      <w:r w:rsidRPr="007F4918">
        <w:rPr>
          <w:rStyle w:val="TextoNormalNegritaCaracter"/>
        </w:rPr>
        <w:t>Título IV.</w:t>
      </w:r>
      <w:r w:rsidRPr="007F4918">
        <w:rPr>
          <w:rStyle w:val="TextoNormalCaracter"/>
        </w:rPr>
        <w:t>-</w:t>
      </w:r>
      <w:r>
        <w:t xml:space="preserve"> Sentencia </w:t>
      </w:r>
      <w:hyperlink w:anchor="SENTENCIA_2002_26" w:history="1">
        <w:r w:rsidRPr="007F4918">
          <w:rPr>
            <w:rStyle w:val="TextoNormalCaracter"/>
          </w:rPr>
          <w:t>26/2002</w:t>
        </w:r>
      </w:hyperlink>
      <w:r>
        <w:t>, f. 4.</w:t>
      </w:r>
    </w:p>
    <w:p w:rsidR="007F4918" w:rsidRDefault="007F4918" w:rsidP="007F4918">
      <w:pPr>
        <w:pStyle w:val="TextoNormal"/>
      </w:pPr>
    </w:p>
    <w:p w:rsidR="007F4918" w:rsidRDefault="007F4918" w:rsidP="007F4918">
      <w:pPr>
        <w:pStyle w:val="TextoNormalNegritaCentradoSubrayado"/>
        <w:suppressAutoHyphens/>
      </w:pPr>
      <w:r>
        <w:t>J.4.c) Decretos y otras disposiciones reglamentarias</w:t>
      </w:r>
    </w:p>
    <w:p w:rsidR="007F4918" w:rsidRDefault="007F4918" w:rsidP="007F4918">
      <w:pPr>
        <w:pStyle w:val="TextoNormalNegritaCentradoSubrayado"/>
      </w:pPr>
    </w:p>
    <w:p w:rsidR="007F4918" w:rsidRDefault="007F4918" w:rsidP="007F4918">
      <w:pPr>
        <w:pStyle w:val="TextoNormalNegritaCursivandice"/>
      </w:pPr>
      <w:r>
        <w:lastRenderedPageBreak/>
        <w:t>Decreto del Gobierno de Canarias 93/1988, de 31 de mayo. Reglamento de máquinas recreativas y de azar</w:t>
      </w:r>
    </w:p>
    <w:p w:rsidR="007F4918" w:rsidRDefault="007F4918" w:rsidP="007F4918">
      <w:pPr>
        <w:pStyle w:val="SangriaFrancesaArticulo"/>
      </w:pPr>
      <w:r w:rsidRPr="007F4918">
        <w:rPr>
          <w:rStyle w:val="TextoNormalNegritaCaracter"/>
        </w:rPr>
        <w:t>Artículo 22.</w:t>
      </w:r>
      <w:r w:rsidRPr="007F4918">
        <w:rPr>
          <w:rStyle w:val="TextoNormalCaracter"/>
        </w:rPr>
        <w:t>-</w:t>
      </w:r>
      <w:r>
        <w:t xml:space="preserve"> Sentencia </w:t>
      </w:r>
      <w:hyperlink w:anchor="SENTENCIA_2002_26" w:history="1">
        <w:r w:rsidRPr="007F4918">
          <w:rPr>
            <w:rStyle w:val="TextoNormalCaracter"/>
          </w:rPr>
          <w:t>26/2002</w:t>
        </w:r>
      </w:hyperlink>
      <w:r>
        <w:t>, f. 2.</w:t>
      </w:r>
    </w:p>
    <w:p w:rsidR="007F4918" w:rsidRDefault="007F4918" w:rsidP="007F4918">
      <w:pPr>
        <w:pStyle w:val="SangriaFrancesaArticulo"/>
      </w:pPr>
      <w:r w:rsidRPr="007F4918">
        <w:rPr>
          <w:rStyle w:val="TextoNormalNegritaCaracter"/>
        </w:rPr>
        <w:t>Artículo 22.1.2</w:t>
      </w:r>
      <w:r>
        <w:t xml:space="preserve"> </w:t>
      </w:r>
      <w:r w:rsidRPr="007F4918">
        <w:rPr>
          <w:rStyle w:val="TextoNormalCaracter"/>
        </w:rPr>
        <w:t>(redactado por el Decreto 89/1990, de 23 de mayo)</w:t>
      </w:r>
      <w:r w:rsidRPr="007F4918">
        <w:rPr>
          <w:rStyle w:val="TextoNormalNegritaCaracter"/>
        </w:rPr>
        <w:t>.</w:t>
      </w:r>
      <w:r w:rsidRPr="007F4918">
        <w:rPr>
          <w:rStyle w:val="TextoNormalCaracter"/>
        </w:rPr>
        <w:t>-</w:t>
      </w:r>
      <w:r>
        <w:t xml:space="preserve"> Sentencia </w:t>
      </w:r>
      <w:hyperlink w:anchor="SENTENCIA_2002_26" w:history="1">
        <w:r w:rsidRPr="007F4918">
          <w:rPr>
            <w:rStyle w:val="TextoNormalCaracter"/>
          </w:rPr>
          <w:t>26/2002</w:t>
        </w:r>
      </w:hyperlink>
      <w:r>
        <w:t>, f. 2.</w:t>
      </w:r>
    </w:p>
    <w:p w:rsidR="007F4918" w:rsidRDefault="007F4918" w:rsidP="007F4918">
      <w:pPr>
        <w:pStyle w:val="SangriaFrancesaArticulo"/>
      </w:pPr>
      <w:r w:rsidRPr="007F4918">
        <w:rPr>
          <w:rStyle w:val="TextoNormalNegritaCaracter"/>
        </w:rPr>
        <w:t>Artículo 39.23.</w:t>
      </w:r>
      <w:r w:rsidRPr="007F4918">
        <w:rPr>
          <w:rStyle w:val="TextoNormalCaracter"/>
        </w:rPr>
        <w:t>-</w:t>
      </w:r>
      <w:r>
        <w:t xml:space="preserve"> Sentencia </w:t>
      </w:r>
      <w:hyperlink w:anchor="SENTENCIA_2002_26" w:history="1">
        <w:r w:rsidRPr="007F4918">
          <w:rPr>
            <w:rStyle w:val="TextoNormalCaracter"/>
          </w:rPr>
          <w:t>26/2002</w:t>
        </w:r>
      </w:hyperlink>
      <w:r>
        <w:t>, ff. 1, 4.</w:t>
      </w:r>
    </w:p>
    <w:p w:rsidR="007F4918" w:rsidRDefault="007F4918" w:rsidP="007F4918">
      <w:pPr>
        <w:pStyle w:val="SangriaFrancesaArticulo"/>
      </w:pPr>
      <w:r w:rsidRPr="007F4918">
        <w:rPr>
          <w:rStyle w:val="TextoNormalNegritaCaracter"/>
        </w:rPr>
        <w:t>Artículo 39.23</w:t>
      </w:r>
      <w:r>
        <w:t xml:space="preserve"> </w:t>
      </w:r>
      <w:r w:rsidRPr="007F4918">
        <w:rPr>
          <w:rStyle w:val="TextoNormalCaracter"/>
        </w:rPr>
        <w:t>(redactado por el Decreto 132/1989, de 1 de junio)</w:t>
      </w:r>
      <w:r w:rsidRPr="007F4918">
        <w:rPr>
          <w:rStyle w:val="TextoNormalNegritaCaracter"/>
        </w:rPr>
        <w:t>.</w:t>
      </w:r>
      <w:r w:rsidRPr="007F4918">
        <w:rPr>
          <w:rStyle w:val="TextoNormalCaracter"/>
        </w:rPr>
        <w:t>-</w:t>
      </w:r>
      <w:r>
        <w:t xml:space="preserve"> Sentencia </w:t>
      </w:r>
      <w:hyperlink w:anchor="SENTENCIA_2002_26" w:history="1">
        <w:r w:rsidRPr="007F4918">
          <w:rPr>
            <w:rStyle w:val="TextoNormalCaracter"/>
          </w:rPr>
          <w:t>26/2002</w:t>
        </w:r>
      </w:hyperlink>
      <w:r>
        <w:t>, ff. 1 a 4.</w:t>
      </w:r>
    </w:p>
    <w:p w:rsidR="007F4918" w:rsidRDefault="007F4918" w:rsidP="007F4918">
      <w:pPr>
        <w:pStyle w:val="SangriaFrancesaArticulo"/>
      </w:pPr>
      <w:r w:rsidRPr="007F4918">
        <w:rPr>
          <w:rStyle w:val="TextoNormalNegritaCaracter"/>
        </w:rPr>
        <w:t>Artículo 42.1.</w:t>
      </w:r>
      <w:r w:rsidRPr="007F4918">
        <w:rPr>
          <w:rStyle w:val="TextoNormalCaracter"/>
        </w:rPr>
        <w:t>-</w:t>
      </w:r>
      <w:r>
        <w:t xml:space="preserve"> Sentencia </w:t>
      </w:r>
      <w:hyperlink w:anchor="SENTENCIA_2002_26" w:history="1">
        <w:r w:rsidRPr="007F4918">
          <w:rPr>
            <w:rStyle w:val="TextoNormalCaracter"/>
          </w:rPr>
          <w:t>26/2002</w:t>
        </w:r>
      </w:hyperlink>
      <w:r>
        <w:t>, ff. 2, 3.</w:t>
      </w:r>
    </w:p>
    <w:p w:rsidR="007F4918" w:rsidRDefault="007F4918" w:rsidP="007F4918">
      <w:pPr>
        <w:pStyle w:val="SangriaFrancesaArticulo"/>
      </w:pPr>
    </w:p>
    <w:p w:rsidR="007F4918" w:rsidRDefault="007F4918" w:rsidP="007F4918">
      <w:pPr>
        <w:pStyle w:val="TextoNormalNegritaCursivandice"/>
      </w:pPr>
      <w:r>
        <w:t>Decreto del Gobierno de Canarias 132/1989, de 1 de junio.  Modifica el Decreto 93/1988, de 31 de mayo que aprueba el reglamento de máquinas recreativas y de azar.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6" w:history="1">
        <w:r w:rsidRPr="007F4918">
          <w:rPr>
            <w:rStyle w:val="TextoNormalCaracter"/>
          </w:rPr>
          <w:t>26/2002</w:t>
        </w:r>
      </w:hyperlink>
      <w:r>
        <w:t>, ff. 1 a 4.</w:t>
      </w:r>
    </w:p>
    <w:p w:rsidR="007F4918" w:rsidRDefault="007F4918" w:rsidP="007F4918">
      <w:pPr>
        <w:pStyle w:val="SangriaFrancesaArticulo"/>
      </w:pPr>
    </w:p>
    <w:p w:rsidR="007F4918" w:rsidRDefault="007F4918" w:rsidP="007F4918">
      <w:pPr>
        <w:pStyle w:val="TextoNormalNegritaCursivandice"/>
      </w:pPr>
      <w:r>
        <w:t>Decreto del Gobierno de Canarias 89/1990, de 23 de mayo.  Modifica el Decreto 93/1988, de 31 de mayo, que aprueba el reglamento de máquinas recreativas y de azar.</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26" w:history="1">
        <w:r w:rsidRPr="007F4918">
          <w:rPr>
            <w:rStyle w:val="TextoNormalCaracter"/>
          </w:rPr>
          <w:t>26/2002</w:t>
        </w:r>
      </w:hyperlink>
      <w:r>
        <w:t>, f. 2.</w:t>
      </w:r>
    </w:p>
    <w:p w:rsidR="007F4918" w:rsidRDefault="007F4918" w:rsidP="007F4918">
      <w:pPr>
        <w:pStyle w:val="SangriaFrancesaArticulo"/>
      </w:pPr>
      <w:r w:rsidRPr="007F4918">
        <w:rPr>
          <w:rStyle w:val="TextoNormalNegritaCaracter"/>
        </w:rPr>
        <w:t>Artículo 22.1.</w:t>
      </w:r>
      <w:r w:rsidRPr="007F4918">
        <w:rPr>
          <w:rStyle w:val="TextoNormalCaracter"/>
        </w:rPr>
        <w:t>-</w:t>
      </w:r>
      <w:r>
        <w:t xml:space="preserve"> Sentencia </w:t>
      </w:r>
      <w:hyperlink w:anchor="SENTENCIA_2002_26" w:history="1">
        <w:r w:rsidRPr="007F4918">
          <w:rPr>
            <w:rStyle w:val="TextoNormalCaracter"/>
          </w:rPr>
          <w:t>26/2002</w:t>
        </w:r>
      </w:hyperlink>
      <w:r>
        <w:t>, f. 1.</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J.5) Castilla-La Mancha</w:t>
      </w:r>
    </w:p>
    <w:p w:rsidR="007F4918" w:rsidRDefault="007F4918" w:rsidP="007F4918">
      <w:pPr>
        <w:pStyle w:val="TextoNormal"/>
      </w:pPr>
    </w:p>
    <w:p w:rsidR="007F4918" w:rsidRDefault="007F4918" w:rsidP="007F4918">
      <w:pPr>
        <w:pStyle w:val="TextoNormalNegritaCentradoSubrayado"/>
        <w:suppressAutoHyphens/>
      </w:pPr>
      <w:r>
        <w:t>J.5.b)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 las Cortes de Castilla-La Mancha 11/2000, de 26 de diciembre. Impuesto sobre determinadas actividades que inciden en el medio ambiente</w:t>
      </w:r>
    </w:p>
    <w:p w:rsidR="007F4918" w:rsidRDefault="007F4918" w:rsidP="007F4918">
      <w:pPr>
        <w:pStyle w:val="SangriaFrancesaArticulo"/>
      </w:pPr>
      <w:r w:rsidRPr="007F4918">
        <w:rPr>
          <w:rStyle w:val="TextoNormalNegritaCaracter"/>
        </w:rPr>
        <w:t>Artículo 2.1 b).</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2.1 c).</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2.2.</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4.2.</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5.1 b).</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5.1 c).</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6 b).</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6 c).</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SangriaFrancesaArticulo"/>
      </w:pPr>
      <w:r w:rsidRPr="007F4918">
        <w:rPr>
          <w:rStyle w:val="TextoNormalNegritaCaracter"/>
        </w:rPr>
        <w:t>Artículo 7.4.</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TextoNormal"/>
      </w:pPr>
    </w:p>
    <w:p w:rsidR="007F4918" w:rsidRDefault="007F4918" w:rsidP="007F4918">
      <w:pPr>
        <w:pStyle w:val="TextoNormalNegritaCentradoSubrayado"/>
        <w:suppressAutoHyphens/>
      </w:pPr>
      <w:r>
        <w:t>J.5.c) Decretos y otras disposiciones reglamentarias</w:t>
      </w:r>
    </w:p>
    <w:p w:rsidR="007F4918" w:rsidRDefault="007F4918" w:rsidP="007F4918">
      <w:pPr>
        <w:pStyle w:val="TextoNormalNegritaCentradoSubrayado"/>
      </w:pPr>
    </w:p>
    <w:p w:rsidR="007F4918" w:rsidRDefault="007F4918" w:rsidP="007F4918">
      <w:pPr>
        <w:pStyle w:val="TextoNormalNegritaCursivandice"/>
      </w:pPr>
      <w:r>
        <w:t>Decreto de la Junta de Comunidades de Castilla-La Mancha 169/2001, de 24 de julio. Impuesto sobre determinadas actividades que inciden en el medio ambiente</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61" w:history="1">
        <w:r w:rsidRPr="007F4918">
          <w:rPr>
            <w:rStyle w:val="TextoNormalCaracter"/>
          </w:rPr>
          <w:t>61/2002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J.6) Castilla y León</w:t>
      </w:r>
    </w:p>
    <w:p w:rsidR="007F4918" w:rsidRDefault="007F4918" w:rsidP="007F4918">
      <w:pPr>
        <w:pStyle w:val="TextoNormal"/>
      </w:pPr>
    </w:p>
    <w:p w:rsidR="007F4918" w:rsidRDefault="007F4918" w:rsidP="007F4918">
      <w:pPr>
        <w:pStyle w:val="TextoNormalNegritaCentradoSubrayado"/>
        <w:suppressAutoHyphens/>
      </w:pPr>
      <w:r>
        <w:t>J.6.a) Estatuto de Autonomía</w:t>
      </w:r>
    </w:p>
    <w:p w:rsidR="007F4918" w:rsidRDefault="007F4918" w:rsidP="007F4918">
      <w:pPr>
        <w:pStyle w:val="TextoNormalNegritaCentradoSubrayado"/>
      </w:pPr>
    </w:p>
    <w:p w:rsidR="007F4918" w:rsidRDefault="007F4918" w:rsidP="007F4918">
      <w:pPr>
        <w:pStyle w:val="TextoNormalNegritaCursivandice"/>
      </w:pPr>
      <w:r>
        <w:t>Ley Orgánica 4/1983, de 25 de febrero. Estatuto de Autonomía de Castilla y León</w:t>
      </w:r>
    </w:p>
    <w:p w:rsidR="007F4918" w:rsidRDefault="007F4918" w:rsidP="007F4918">
      <w:pPr>
        <w:pStyle w:val="SangriaFrancesaArticulo"/>
      </w:pPr>
      <w:r w:rsidRPr="007F4918">
        <w:rPr>
          <w:rStyle w:val="TextoNormalNegritaCaracter"/>
        </w:rPr>
        <w:t>Artículo 34.1.10</w:t>
      </w:r>
      <w:r>
        <w:t xml:space="preserve"> </w:t>
      </w:r>
      <w:r w:rsidRPr="007F4918">
        <w:rPr>
          <w:rStyle w:val="TextoNormalCaracter"/>
        </w:rPr>
        <w:t>(redactado por la Ley Orgánica 4/1999)</w:t>
      </w:r>
      <w:r w:rsidRPr="007F4918">
        <w:rPr>
          <w:rStyle w:val="TextoNormalNegritaCaracter"/>
        </w:rPr>
        <w:t>.</w:t>
      </w:r>
      <w:r w:rsidRPr="007F4918">
        <w:rPr>
          <w:rStyle w:val="TextoNormalCaracter"/>
        </w:rPr>
        <w:t>-</w:t>
      </w:r>
      <w:r>
        <w:t xml:space="preserve"> Sentencia </w:t>
      </w:r>
      <w:hyperlink w:anchor="SENTENCIA_2002_11" w:history="1">
        <w:r w:rsidRPr="007F4918">
          <w:rPr>
            <w:rStyle w:val="TextoNormalCaracter"/>
          </w:rPr>
          <w:t>11/2002</w:t>
        </w:r>
      </w:hyperlink>
      <w:r>
        <w:t>, f. 3.</w:t>
      </w:r>
    </w:p>
    <w:p w:rsidR="007F4918" w:rsidRDefault="007F4918" w:rsidP="007F4918">
      <w:pPr>
        <w:pStyle w:val="SangriaFrancesaArticulo"/>
      </w:pPr>
    </w:p>
    <w:p w:rsidR="007F4918" w:rsidRDefault="007F4918" w:rsidP="007F4918">
      <w:pPr>
        <w:pStyle w:val="TextoNormalNegritaCursivandice"/>
      </w:pPr>
      <w:r>
        <w:t>Ley Orgánica 4/1999, de 8 de enero. Reforma de la Ley Orgánica 4/1983, de Estatuto de Autonomía de Castilla y León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 3.</w:t>
      </w:r>
    </w:p>
    <w:p w:rsidR="007F4918" w:rsidRDefault="007F4918" w:rsidP="007F4918">
      <w:pPr>
        <w:pStyle w:val="TextoNormal"/>
      </w:pPr>
    </w:p>
    <w:p w:rsidR="007F4918" w:rsidRDefault="007F4918" w:rsidP="007F4918">
      <w:pPr>
        <w:pStyle w:val="TextoNormalNegritaCentradoSubrayado"/>
        <w:suppressAutoHyphens/>
      </w:pPr>
      <w:r>
        <w:t>J.6.c) Decretos y otras disposiciones reglamentarias</w:t>
      </w:r>
    </w:p>
    <w:p w:rsidR="007F4918" w:rsidRDefault="007F4918" w:rsidP="007F4918">
      <w:pPr>
        <w:pStyle w:val="TextoNormalNegritaCentradoSubrayado"/>
      </w:pPr>
    </w:p>
    <w:p w:rsidR="007F4918" w:rsidRDefault="007F4918" w:rsidP="007F4918">
      <w:pPr>
        <w:pStyle w:val="TextoNormalNegritaCursivandice"/>
      </w:pPr>
      <w:r>
        <w:t>Decreto de la Junta de Castilla y León 14/1994, de 27 de enero.  Reglamento de las Cámaras de la propiedad urbana.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1" w:history="1">
        <w:r w:rsidRPr="007F4918">
          <w:rPr>
            <w:rStyle w:val="TextoNormalCaracter"/>
          </w:rPr>
          <w:t>11/2002</w:t>
        </w:r>
      </w:hyperlink>
      <w:r>
        <w:t>, f. 3.</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J.7) Cataluña</w:t>
      </w:r>
    </w:p>
    <w:p w:rsidR="007F4918" w:rsidRDefault="007F4918" w:rsidP="007F4918">
      <w:pPr>
        <w:pStyle w:val="TextoNormal"/>
      </w:pPr>
    </w:p>
    <w:p w:rsidR="007F4918" w:rsidRDefault="007F4918" w:rsidP="007F4918">
      <w:pPr>
        <w:pStyle w:val="TextoNormalNegritaCentradoSubrayado"/>
        <w:suppressAutoHyphens/>
      </w:pPr>
      <w:r>
        <w:t>J.7.a) Estatuto de Autonomía</w:t>
      </w:r>
    </w:p>
    <w:p w:rsidR="007F4918" w:rsidRDefault="007F4918" w:rsidP="007F4918">
      <w:pPr>
        <w:pStyle w:val="TextoNormalNegritaCentradoSubrayado"/>
      </w:pPr>
    </w:p>
    <w:p w:rsidR="007F4918" w:rsidRDefault="007F4918" w:rsidP="007F4918">
      <w:pPr>
        <w:pStyle w:val="TextoNormalNegritaCursivandice"/>
      </w:pPr>
      <w:r>
        <w:t>Ley Orgánica 4/1979, de 18 de diciembre. Estatuto de Autonomía de Cataluña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5" w:history="1">
        <w:r w:rsidRPr="007F4918">
          <w:rPr>
            <w:rStyle w:val="TextoNormalCaracter"/>
          </w:rPr>
          <w:t>95/2002</w:t>
        </w:r>
      </w:hyperlink>
      <w:r>
        <w:t>, f. 13.</w:t>
      </w:r>
    </w:p>
    <w:p w:rsidR="007F4918" w:rsidRDefault="007F4918" w:rsidP="007F4918">
      <w:pPr>
        <w:pStyle w:val="SangriaFrancesaArticulo"/>
      </w:pPr>
      <w:r w:rsidRPr="007F4918">
        <w:rPr>
          <w:rStyle w:val="TextoNormalNegritaCaracter"/>
        </w:rPr>
        <w:t>Exposición de motivos.</w:t>
      </w:r>
      <w:r w:rsidRPr="007F4918">
        <w:rPr>
          <w:rStyle w:val="TextoNormalCaracter"/>
        </w:rPr>
        <w:t>-</w:t>
      </w:r>
      <w:r>
        <w:t xml:space="preserve"> Sentencia </w:t>
      </w:r>
      <w:hyperlink w:anchor="SENTENCIA_2002_37" w:history="1">
        <w:r w:rsidRPr="007F4918">
          <w:rPr>
            <w:rStyle w:val="TextoNormalCaracter"/>
          </w:rPr>
          <w:t>37/2002</w:t>
        </w:r>
      </w:hyperlink>
      <w:r>
        <w:t>, f. 10.</w:t>
      </w:r>
    </w:p>
    <w:p w:rsidR="007F4918" w:rsidRDefault="007F4918" w:rsidP="007F4918">
      <w:pPr>
        <w:pStyle w:val="SangriaFrancesaArticulo"/>
      </w:pPr>
      <w:r w:rsidRPr="007F4918">
        <w:rPr>
          <w:rStyle w:val="TextoNormalNegritaCaracter"/>
        </w:rPr>
        <w:t>Artículo 9.8.</w:t>
      </w:r>
      <w:r w:rsidRPr="007F4918">
        <w:rPr>
          <w:rStyle w:val="TextoNormalCaracter"/>
        </w:rPr>
        <w:t>-</w:t>
      </w:r>
      <w:r>
        <w:t xml:space="preserve"> Sentencias </w:t>
      </w:r>
      <w:hyperlink w:anchor="SENTENCIA_2002_37" w:history="1">
        <w:r w:rsidRPr="007F4918">
          <w:rPr>
            <w:rStyle w:val="TextoNormalCaracter"/>
          </w:rPr>
          <w:t>37/2002</w:t>
        </w:r>
      </w:hyperlink>
      <w:r>
        <w:t xml:space="preserve">, ff. 8, 10;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10.1.1.</w:t>
      </w:r>
      <w:r w:rsidRPr="007F4918">
        <w:rPr>
          <w:rStyle w:val="TextoNormalCaracter"/>
        </w:rPr>
        <w:t>-</w:t>
      </w:r>
      <w:r>
        <w:t xml:space="preserve"> Sentencia </w:t>
      </w:r>
      <w:hyperlink w:anchor="SENTENCIA_2002_37" w:history="1">
        <w:r w:rsidRPr="007F4918">
          <w:rPr>
            <w:rStyle w:val="TextoNormalCaracter"/>
          </w:rPr>
          <w:t>37/2002</w:t>
        </w:r>
      </w:hyperlink>
      <w:r>
        <w:t>, ff. 2, 8, 10, 13.</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11.2.</w:t>
      </w:r>
      <w:r w:rsidRPr="007F4918">
        <w:rPr>
          <w:rStyle w:val="TextoNormalCaracter"/>
        </w:rPr>
        <w:t>-</w:t>
      </w:r>
      <w:r>
        <w:t xml:space="preserve"> Sentencia </w:t>
      </w:r>
      <w:hyperlink w:anchor="SENTENCIA_2002_95" w:history="1">
        <w:r w:rsidRPr="007F4918">
          <w:rPr>
            <w:rStyle w:val="TextoNormalCaracter"/>
          </w:rPr>
          <w:t>95/2002</w:t>
        </w:r>
      </w:hyperlink>
      <w:r>
        <w:t>, ff. 5, 8, 9, 11, 12, 15, VP I, VP II, VP III, VP IV.</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Sentencia </w:t>
      </w:r>
      <w:hyperlink w:anchor="SENTENCIA_2002_95" w:history="1">
        <w:r w:rsidRPr="007F4918">
          <w:rPr>
            <w:rStyle w:val="TextoNormalCaracter"/>
          </w:rPr>
          <w:t>95/2002</w:t>
        </w:r>
      </w:hyperlink>
      <w:r>
        <w:t>, VP III.</w:t>
      </w:r>
    </w:p>
    <w:p w:rsidR="007F4918" w:rsidRDefault="007F4918" w:rsidP="007F4918">
      <w:pPr>
        <w:pStyle w:val="SangriaFrancesaArticulo"/>
      </w:pPr>
      <w:r w:rsidRPr="007F4918">
        <w:rPr>
          <w:rStyle w:val="TextoNormalNegritaCaracter"/>
        </w:rPr>
        <w:t>Artículo 12.1.1.</w:t>
      </w:r>
      <w:r w:rsidRPr="007F4918">
        <w:rPr>
          <w:rStyle w:val="TextoNormalCaracter"/>
        </w:rPr>
        <w:t>-</w:t>
      </w:r>
      <w:r>
        <w:t xml:space="preserve"> Sentencia </w:t>
      </w:r>
      <w:hyperlink w:anchor="SENTENCIA_2002_95" w:history="1">
        <w:r w:rsidRPr="007F4918">
          <w:rPr>
            <w:rStyle w:val="TextoNormalCaracter"/>
          </w:rPr>
          <w:t>95/2002</w:t>
        </w:r>
      </w:hyperlink>
      <w:r>
        <w:t>, ff. 5, 7.</w:t>
      </w:r>
    </w:p>
    <w:p w:rsidR="007F4918" w:rsidRDefault="007F4918" w:rsidP="007F4918">
      <w:pPr>
        <w:pStyle w:val="SangriaFrancesaArticulo"/>
      </w:pPr>
      <w:r w:rsidRPr="007F4918">
        <w:rPr>
          <w:rStyle w:val="TextoNormalNegritaCaracter"/>
        </w:rPr>
        <w:t>Artículo 15.</w:t>
      </w:r>
      <w:r w:rsidRPr="007F4918">
        <w:rPr>
          <w:rStyle w:val="TextoNormalCaracter"/>
        </w:rPr>
        <w:t>-</w:t>
      </w:r>
      <w:r>
        <w:t xml:space="preserve"> Sentencia </w:t>
      </w:r>
      <w:hyperlink w:anchor="SENTENCIA_2002_95" w:history="1">
        <w:r w:rsidRPr="007F4918">
          <w:rPr>
            <w:rStyle w:val="TextoNormalCaracter"/>
          </w:rPr>
          <w:t>95/2002</w:t>
        </w:r>
      </w:hyperlink>
      <w:r>
        <w:t>, ff. 5, 6, VP III.</w:t>
      </w:r>
    </w:p>
    <w:p w:rsidR="007F4918" w:rsidRDefault="007F4918" w:rsidP="007F4918">
      <w:pPr>
        <w:pStyle w:val="SangriaFrancesaArticulo"/>
      </w:pPr>
      <w:r w:rsidRPr="007F4918">
        <w:rPr>
          <w:rStyle w:val="TextoNormalNegritaCaracter"/>
        </w:rPr>
        <w:t>Artículo 25.</w:t>
      </w:r>
      <w:r w:rsidRPr="007F4918">
        <w:rPr>
          <w:rStyle w:val="TextoNormalCaracter"/>
        </w:rPr>
        <w:t>-</w:t>
      </w:r>
      <w:r>
        <w:t xml:space="preserve"> Sentencia </w:t>
      </w:r>
      <w:hyperlink w:anchor="SENTENCIA_2002_95" w:history="1">
        <w:r w:rsidRPr="007F4918">
          <w:rPr>
            <w:rStyle w:val="TextoNormalCaracter"/>
          </w:rPr>
          <w:t>95/2002</w:t>
        </w:r>
      </w:hyperlink>
      <w:r>
        <w:t>, f. 8.</w:t>
      </w:r>
    </w:p>
    <w:p w:rsidR="007F4918" w:rsidRDefault="007F4918" w:rsidP="007F4918">
      <w:pPr>
        <w:pStyle w:val="SangriaFrancesaArticulo"/>
      </w:pPr>
      <w:r w:rsidRPr="007F4918">
        <w:rPr>
          <w:rStyle w:val="TextoNormalNegritaCaracter"/>
        </w:rPr>
        <w:t>Artículo 25.2.</w:t>
      </w:r>
      <w:r w:rsidRPr="007F4918">
        <w:rPr>
          <w:rStyle w:val="TextoNormalCaracter"/>
        </w:rPr>
        <w:t>-</w:t>
      </w:r>
      <w:r>
        <w:t xml:space="preserve"> Sentencia </w:t>
      </w:r>
      <w:hyperlink w:anchor="SENTENCIA_2002_95" w:history="1">
        <w:r w:rsidRPr="007F4918">
          <w:rPr>
            <w:rStyle w:val="TextoNormalCaracter"/>
          </w:rPr>
          <w:t>95/2002</w:t>
        </w:r>
      </w:hyperlink>
      <w:r>
        <w:t>, f. 9.</w:t>
      </w:r>
    </w:p>
    <w:p w:rsidR="007F4918" w:rsidRDefault="007F4918" w:rsidP="007F4918">
      <w:pPr>
        <w:pStyle w:val="TextoNormal"/>
      </w:pPr>
    </w:p>
    <w:p w:rsidR="007F4918" w:rsidRDefault="007F4918" w:rsidP="007F4918">
      <w:pPr>
        <w:pStyle w:val="TextoNormalNegritaCentradoSubrayado"/>
        <w:suppressAutoHyphens/>
      </w:pPr>
      <w:r>
        <w:t>J.7.b)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del Parlamento de Cataluña 17/1985, de 23 de julio. Función pública de la Administración de la Generalidad</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ff. 2, 3, 10, 12, 13.</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37" w:history="1">
        <w:r w:rsidRPr="007F4918">
          <w:rPr>
            <w:rStyle w:val="TextoNormalCaracter"/>
          </w:rPr>
          <w:t>37/2002</w:t>
        </w:r>
      </w:hyperlink>
      <w:r>
        <w:t>, f. 10.</w:t>
      </w:r>
    </w:p>
    <w:p w:rsidR="007F4918" w:rsidRDefault="007F4918" w:rsidP="007F4918">
      <w:pPr>
        <w:pStyle w:val="SangriaFrancesaArticulo"/>
      </w:pPr>
      <w:r w:rsidRPr="007F4918">
        <w:rPr>
          <w:rStyle w:val="TextoNormalNegritaCaracter"/>
        </w:rPr>
        <w:t>Artículo 2.2 c).</w:t>
      </w:r>
      <w:r w:rsidRPr="007F4918">
        <w:rPr>
          <w:rStyle w:val="TextoNormalCaracter"/>
        </w:rPr>
        <w:t>-</w:t>
      </w:r>
      <w:r>
        <w:t xml:space="preserve"> Sentencia </w:t>
      </w:r>
      <w:hyperlink w:anchor="SENTENCIA_2002_37" w:history="1">
        <w:r w:rsidRPr="007F4918">
          <w:rPr>
            <w:rStyle w:val="TextoNormalCaracter"/>
          </w:rPr>
          <w:t>37/2002</w:t>
        </w:r>
      </w:hyperlink>
      <w:r>
        <w:t>, f. 3.</w:t>
      </w:r>
    </w:p>
    <w:p w:rsidR="007F4918" w:rsidRDefault="007F4918" w:rsidP="007F4918">
      <w:pPr>
        <w:pStyle w:val="SangriaFrancesaArticulo"/>
      </w:pPr>
      <w:r w:rsidRPr="007F4918">
        <w:rPr>
          <w:rStyle w:val="TextoNormalNegritaCaracter"/>
        </w:rPr>
        <w:t>Artículo 2.3 b).</w:t>
      </w:r>
      <w:r w:rsidRPr="007F4918">
        <w:rPr>
          <w:rStyle w:val="TextoNormalCaracter"/>
        </w:rPr>
        <w:t>-</w:t>
      </w:r>
      <w:r>
        <w:t xml:space="preserve"> Sentencia </w:t>
      </w:r>
      <w:hyperlink w:anchor="SENTENCIA_2002_37" w:history="1">
        <w:r w:rsidRPr="007F4918">
          <w:rPr>
            <w:rStyle w:val="TextoNormalCaracter"/>
          </w:rPr>
          <w:t>37/2002</w:t>
        </w:r>
      </w:hyperlink>
      <w:r>
        <w:t>, ff. 3, 10.</w:t>
      </w:r>
    </w:p>
    <w:p w:rsidR="007F4918" w:rsidRDefault="007F4918" w:rsidP="007F4918">
      <w:pPr>
        <w:pStyle w:val="SangriaFrancesaArticulo"/>
      </w:pPr>
      <w:r w:rsidRPr="007F4918">
        <w:rPr>
          <w:rStyle w:val="TextoNormalNegritaCaracter"/>
        </w:rPr>
        <w:t>Artículo 74.4.</w:t>
      </w:r>
      <w:r w:rsidRPr="007F4918">
        <w:rPr>
          <w:rStyle w:val="TextoNormalCaracter"/>
        </w:rPr>
        <w:t>-</w:t>
      </w:r>
      <w:r>
        <w:t xml:space="preserve"> Sentencia </w:t>
      </w:r>
      <w:hyperlink w:anchor="SENTENCIA_2002_37" w:history="1">
        <w:r w:rsidRPr="007F4918">
          <w:rPr>
            <w:rStyle w:val="TextoNormalCaracter"/>
          </w:rPr>
          <w:t>37/2002</w:t>
        </w:r>
      </w:hyperlink>
      <w:r>
        <w:t>, ff. 1, 2, 7, 10, 15.</w:t>
      </w:r>
    </w:p>
    <w:p w:rsidR="007F4918" w:rsidRDefault="007F4918" w:rsidP="007F4918">
      <w:pPr>
        <w:pStyle w:val="SangriaFrancesaArticulo"/>
      </w:pPr>
      <w:r w:rsidRPr="007F4918">
        <w:rPr>
          <w:rStyle w:val="TextoNormalNegritaCaracter"/>
        </w:rPr>
        <w:t>Artículo 93.</w:t>
      </w:r>
      <w:r w:rsidRPr="007F4918">
        <w:rPr>
          <w:rStyle w:val="TextoNormalCaracter"/>
        </w:rPr>
        <w:t>-</w:t>
      </w:r>
      <w:r>
        <w:t xml:space="preserve"> Sentencia </w:t>
      </w:r>
      <w:hyperlink w:anchor="SENTENCIA_2002_37" w:history="1">
        <w:r w:rsidRPr="007F4918">
          <w:rPr>
            <w:rStyle w:val="TextoNormalCaracter"/>
          </w:rPr>
          <w:t>37/2002</w:t>
        </w:r>
      </w:hyperlink>
      <w:r>
        <w:t>, f. 13.</w:t>
      </w:r>
    </w:p>
    <w:p w:rsidR="007F4918" w:rsidRDefault="007F4918" w:rsidP="007F4918">
      <w:pPr>
        <w:pStyle w:val="SangriaFrancesaArticulo"/>
      </w:pPr>
      <w:r w:rsidRPr="007F4918">
        <w:rPr>
          <w:rStyle w:val="TextoNormalNegritaCaracter"/>
        </w:rPr>
        <w:t>Artículo 93 n).</w:t>
      </w:r>
      <w:r w:rsidRPr="007F4918">
        <w:rPr>
          <w:rStyle w:val="TextoNormalCaracter"/>
        </w:rPr>
        <w:t>-</w:t>
      </w:r>
      <w:r>
        <w:t xml:space="preserve"> Sentencia </w:t>
      </w:r>
      <w:hyperlink w:anchor="SENTENCIA_2002_37" w:history="1">
        <w:r w:rsidRPr="007F4918">
          <w:rPr>
            <w:rStyle w:val="TextoNormalCaracter"/>
          </w:rPr>
          <w:t>37/2002</w:t>
        </w:r>
      </w:hyperlink>
      <w:r>
        <w:t>, ff. 1, 2, 7, 10, 13, 14.</w:t>
      </w:r>
    </w:p>
    <w:p w:rsidR="007F4918" w:rsidRDefault="007F4918" w:rsidP="007F4918">
      <w:pPr>
        <w:pStyle w:val="SangriaFrancesaArticulo"/>
      </w:pPr>
      <w:r w:rsidRPr="007F4918">
        <w:rPr>
          <w:rStyle w:val="TextoNormalNegritaCaracter"/>
        </w:rPr>
        <w:lastRenderedPageBreak/>
        <w:t>Artículo 94 e).</w:t>
      </w:r>
      <w:r w:rsidRPr="007F4918">
        <w:rPr>
          <w:rStyle w:val="TextoNormalCaracter"/>
        </w:rPr>
        <w:t>-</w:t>
      </w:r>
      <w:r>
        <w:t xml:space="preserve"> Sentencia </w:t>
      </w:r>
      <w:hyperlink w:anchor="SENTENCIA_2002_37" w:history="1">
        <w:r w:rsidRPr="007F4918">
          <w:rPr>
            <w:rStyle w:val="TextoNormalCaracter"/>
          </w:rPr>
          <w:t>37/2002</w:t>
        </w:r>
      </w:hyperlink>
      <w:r>
        <w:t>, f. 13.</w:t>
      </w:r>
    </w:p>
    <w:p w:rsidR="007F4918" w:rsidRDefault="007F4918" w:rsidP="007F4918">
      <w:pPr>
        <w:pStyle w:val="SangriaFrancesaArticulo"/>
      </w:pPr>
      <w:r w:rsidRPr="007F4918">
        <w:rPr>
          <w:rStyle w:val="TextoNormalNegritaCaracter"/>
        </w:rPr>
        <w:t>Artículo 97.1.</w:t>
      </w:r>
      <w:r w:rsidRPr="007F4918">
        <w:rPr>
          <w:rStyle w:val="TextoNormalCaracter"/>
        </w:rPr>
        <w:t>-</w:t>
      </w:r>
      <w:r>
        <w:t xml:space="preserve"> Sentencia </w:t>
      </w:r>
      <w:hyperlink w:anchor="SENTENCIA_2002_37" w:history="1">
        <w:r w:rsidRPr="007F4918">
          <w:rPr>
            <w:rStyle w:val="TextoNormalCaracter"/>
          </w:rPr>
          <w:t>37/2002</w:t>
        </w:r>
      </w:hyperlink>
      <w:r>
        <w:t>, f. 7.</w:t>
      </w:r>
    </w:p>
    <w:p w:rsidR="007F4918" w:rsidRDefault="007F4918" w:rsidP="007F4918">
      <w:pPr>
        <w:pStyle w:val="SangriaFrancesaArticulo"/>
      </w:pPr>
      <w:r w:rsidRPr="007F4918">
        <w:rPr>
          <w:rStyle w:val="TextoNormalNegritaCaracter"/>
        </w:rPr>
        <w:t>Artículo 97.1 d).</w:t>
      </w:r>
      <w:r w:rsidRPr="007F4918">
        <w:rPr>
          <w:rStyle w:val="TextoNormalCaracter"/>
        </w:rPr>
        <w:t>-</w:t>
      </w:r>
      <w:r>
        <w:t xml:space="preserve"> Sentencia </w:t>
      </w:r>
      <w:hyperlink w:anchor="SENTENCIA_2002_37" w:history="1">
        <w:r w:rsidRPr="007F4918">
          <w:rPr>
            <w:rStyle w:val="TextoNormalCaracter"/>
          </w:rPr>
          <w:t>37/2002</w:t>
        </w:r>
      </w:hyperlink>
      <w:r>
        <w:t>, ff. 1, 2, 10, 15.</w:t>
      </w:r>
    </w:p>
    <w:p w:rsidR="007F4918" w:rsidRDefault="007F4918" w:rsidP="007F4918">
      <w:pPr>
        <w:pStyle w:val="SangriaFrancesaArticulo"/>
      </w:pPr>
      <w:r w:rsidRPr="007F4918">
        <w:rPr>
          <w:rStyle w:val="TextoNormalNegritaCaracter"/>
        </w:rPr>
        <w:t>Artículo 99.</w:t>
      </w:r>
      <w:r w:rsidRPr="007F4918">
        <w:rPr>
          <w:rStyle w:val="TextoNormalCaracter"/>
        </w:rPr>
        <w:t>-</w:t>
      </w:r>
      <w:r>
        <w:t xml:space="preserve"> Sentencia </w:t>
      </w:r>
      <w:hyperlink w:anchor="SENTENCIA_2002_37" w:history="1">
        <w:r w:rsidRPr="007F4918">
          <w:rPr>
            <w:rStyle w:val="TextoNormalCaracter"/>
          </w:rPr>
          <w:t>37/2002</w:t>
        </w:r>
      </w:hyperlink>
      <w:r>
        <w:t>, ff. 1, 2, 7, 10, 15.</w:t>
      </w:r>
    </w:p>
    <w:p w:rsidR="007F4918" w:rsidRDefault="007F4918" w:rsidP="007F4918">
      <w:pPr>
        <w:pStyle w:val="SangriaFrancesaArticulo"/>
      </w:pPr>
    </w:p>
    <w:p w:rsidR="007F4918" w:rsidRDefault="007F4918" w:rsidP="007F4918">
      <w:pPr>
        <w:pStyle w:val="TextoNormalNegritaCursivandice"/>
      </w:pPr>
      <w:r>
        <w:t>Ley del Parlamento de Cataluña 1/1986, de 25 de febrero. Regularización de la pesca marítima</w:t>
      </w:r>
    </w:p>
    <w:p w:rsidR="007F4918" w:rsidRDefault="007F4918" w:rsidP="007F4918">
      <w:pPr>
        <w:pStyle w:val="SangriaFrancesaArticulo"/>
      </w:pPr>
      <w:r w:rsidRPr="007F4918">
        <w:rPr>
          <w:rStyle w:val="TextoNormalNegritaCaracter"/>
        </w:rPr>
        <w:t>Artículo 9.2.</w:t>
      </w:r>
      <w:r w:rsidRPr="007F4918">
        <w:rPr>
          <w:rStyle w:val="TextoNormalCaracter"/>
        </w:rPr>
        <w:t>-</w:t>
      </w:r>
      <w:r>
        <w:t xml:space="preserve"> Sentencia </w:t>
      </w:r>
      <w:hyperlink w:anchor="SENTENCIA_2002_38" w:history="1">
        <w:r w:rsidRPr="007F4918">
          <w:rPr>
            <w:rStyle w:val="TextoNormalCaracter"/>
          </w:rPr>
          <w:t>38/2002</w:t>
        </w:r>
      </w:hyperlink>
      <w:r>
        <w:t>, f. 8.</w:t>
      </w:r>
    </w:p>
    <w:p w:rsidR="007F4918" w:rsidRDefault="007F4918" w:rsidP="007F4918">
      <w:pPr>
        <w:pStyle w:val="SangriaFrancesaArticulo"/>
      </w:pPr>
    </w:p>
    <w:p w:rsidR="007F4918" w:rsidRDefault="007F4918" w:rsidP="007F4918">
      <w:pPr>
        <w:pStyle w:val="TextoNormalNegritaCursivandice"/>
      </w:pPr>
      <w:r>
        <w:t>Ley del Parlamento de Cataluña 8/1987, de 15 de abril. Municipal y de régimen local de Cataluña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 2.</w:t>
      </w:r>
    </w:p>
    <w:p w:rsidR="007F4918" w:rsidRDefault="007F4918" w:rsidP="007F4918">
      <w:pPr>
        <w:pStyle w:val="SangriaFrancesaArticulo"/>
      </w:pPr>
      <w:r w:rsidRPr="007F4918">
        <w:rPr>
          <w:rStyle w:val="TextoNormalNegritaCaracter"/>
        </w:rPr>
        <w:t>Artículo 307.1.</w:t>
      </w:r>
      <w:r w:rsidRPr="007F4918">
        <w:rPr>
          <w:rStyle w:val="TextoNormalCaracter"/>
        </w:rPr>
        <w:t>-</w:t>
      </w:r>
      <w:r>
        <w:t xml:space="preserve"> Sentencia </w:t>
      </w:r>
      <w:hyperlink w:anchor="SENTENCIA_2002_37" w:history="1">
        <w:r w:rsidRPr="007F4918">
          <w:rPr>
            <w:rStyle w:val="TextoNormalCaracter"/>
          </w:rPr>
          <w:t>37/2002</w:t>
        </w:r>
      </w:hyperlink>
      <w:r>
        <w:t>, ff. 2, 10, 13.</w:t>
      </w:r>
    </w:p>
    <w:p w:rsidR="007F4918" w:rsidRDefault="007F4918" w:rsidP="007F4918">
      <w:pPr>
        <w:pStyle w:val="SangriaFrancesaArticulo"/>
      </w:pPr>
      <w:r w:rsidRPr="007F4918">
        <w:rPr>
          <w:rStyle w:val="TextoNormalNegritaCaracter"/>
        </w:rPr>
        <w:t>Disposición final segunda.</w:t>
      </w:r>
      <w:r w:rsidRPr="007F4918">
        <w:rPr>
          <w:rStyle w:val="TextoNormalCaracter"/>
        </w:rPr>
        <w:t>-</w:t>
      </w:r>
      <w:r>
        <w:t xml:space="preserve"> Sentencia </w:t>
      </w:r>
      <w:hyperlink w:anchor="SENTENCIA_2002_37" w:history="1">
        <w:r w:rsidRPr="007F4918">
          <w:rPr>
            <w:rStyle w:val="TextoNormalCaracter"/>
          </w:rPr>
          <w:t>37/2002</w:t>
        </w:r>
      </w:hyperlink>
      <w:r>
        <w:t>, f. 10.</w:t>
      </w:r>
    </w:p>
    <w:p w:rsidR="007F4918" w:rsidRDefault="007F4918" w:rsidP="007F4918">
      <w:pPr>
        <w:pStyle w:val="SangriaFrancesaArticulo"/>
      </w:pPr>
    </w:p>
    <w:p w:rsidR="007F4918" w:rsidRDefault="007F4918" w:rsidP="007F4918">
      <w:pPr>
        <w:pStyle w:val="TextoNormalNegritaCursivandice"/>
      </w:pPr>
      <w:r>
        <w:t>Ley del Parlamento de Cataluña 9/1994, de 29 de junio. Reforma de la legislación relativa a la función pública de la Generalidad de Cataluña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 3.</w:t>
      </w:r>
    </w:p>
    <w:p w:rsidR="007F4918" w:rsidRDefault="007F4918" w:rsidP="007F4918">
      <w:pPr>
        <w:pStyle w:val="SangriaFrancesaArticulo"/>
      </w:pPr>
      <w:r w:rsidRPr="007F4918">
        <w:rPr>
          <w:rStyle w:val="TextoNormalNegritaCaracter"/>
        </w:rPr>
        <w:t>Artículo 99.</w:t>
      </w:r>
      <w:r w:rsidRPr="007F4918">
        <w:rPr>
          <w:rStyle w:val="TextoNormalCaracter"/>
        </w:rPr>
        <w:t>-</w:t>
      </w:r>
      <w:r>
        <w:t xml:space="preserve"> Sentencia </w:t>
      </w:r>
      <w:hyperlink w:anchor="SENTENCIA_2002_37" w:history="1">
        <w:r w:rsidRPr="007F4918">
          <w:rPr>
            <w:rStyle w:val="TextoNormalCaracter"/>
          </w:rPr>
          <w:t>37/2002</w:t>
        </w:r>
      </w:hyperlink>
      <w:r>
        <w:t>, f. 3.</w:t>
      </w:r>
    </w:p>
    <w:p w:rsidR="007F4918" w:rsidRDefault="007F4918" w:rsidP="007F4918">
      <w:pPr>
        <w:pStyle w:val="SangriaFrancesaArticulo"/>
      </w:pPr>
    </w:p>
    <w:p w:rsidR="007F4918" w:rsidRDefault="007F4918" w:rsidP="007F4918">
      <w:pPr>
        <w:pStyle w:val="TextoNormalNegritaCursivandice"/>
      </w:pPr>
      <w:r>
        <w:t>Ley del Parlamento de Cataluña 4/1997, de 20 de mayo. Protección civil</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SangriaFrancesaArticulo"/>
      </w:pPr>
    </w:p>
    <w:p w:rsidR="007F4918" w:rsidRDefault="007F4918" w:rsidP="007F4918">
      <w:pPr>
        <w:pStyle w:val="TextoNormalNegritaCursivandice"/>
      </w:pPr>
      <w:r>
        <w:t>Decreto Legislativo de la Generalidad de Cataluña 1/1997, de 31 de octubre.  Texto único de la Ley de la función pública.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 3.</w:t>
      </w:r>
    </w:p>
    <w:p w:rsidR="007F4918" w:rsidRDefault="007F4918" w:rsidP="007F4918">
      <w:pPr>
        <w:pStyle w:val="SangriaFrancesaArticulo"/>
      </w:pPr>
      <w:r w:rsidRPr="007F4918">
        <w:rPr>
          <w:rStyle w:val="TextoNormalNegritaCaracter"/>
        </w:rPr>
        <w:t>Artículo 2.2 c).</w:t>
      </w:r>
      <w:r w:rsidRPr="007F4918">
        <w:rPr>
          <w:rStyle w:val="TextoNormalCaracter"/>
        </w:rPr>
        <w:t>-</w:t>
      </w:r>
      <w:r>
        <w:t xml:space="preserve"> Sentencia </w:t>
      </w:r>
      <w:hyperlink w:anchor="SENTENCIA_2002_37" w:history="1">
        <w:r w:rsidRPr="007F4918">
          <w:rPr>
            <w:rStyle w:val="TextoNormalCaracter"/>
          </w:rPr>
          <w:t>37/2002</w:t>
        </w:r>
      </w:hyperlink>
      <w:r>
        <w:t>, f. 3.</w:t>
      </w:r>
    </w:p>
    <w:p w:rsidR="007F4918" w:rsidRDefault="007F4918" w:rsidP="007F4918">
      <w:pPr>
        <w:pStyle w:val="SangriaFrancesaArticulo"/>
      </w:pPr>
    </w:p>
    <w:p w:rsidR="007F4918" w:rsidRDefault="007F4918" w:rsidP="007F4918">
      <w:pPr>
        <w:pStyle w:val="TextoNormalNegritaCursivandice"/>
      </w:pPr>
      <w:r>
        <w:t>Ley del Parlamento de Cataluña 16/2000, de 29 de diciembre.  Impuesto sobre grandes establecimientos comerciales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TextoNormal"/>
      </w:pPr>
    </w:p>
    <w:p w:rsidR="007F4918" w:rsidRDefault="007F4918" w:rsidP="007F4918">
      <w:pPr>
        <w:pStyle w:val="TextoNormalNegritaCentradoSubrayado"/>
        <w:suppressAutoHyphens/>
      </w:pPr>
      <w:r>
        <w:t>J.7.c) Decretos y otras disposiciones reglamentarias</w:t>
      </w:r>
    </w:p>
    <w:p w:rsidR="007F4918" w:rsidRDefault="007F4918" w:rsidP="007F4918">
      <w:pPr>
        <w:pStyle w:val="TextoNormalNegritaCentradoSubrayado"/>
      </w:pPr>
    </w:p>
    <w:p w:rsidR="007F4918" w:rsidRDefault="007F4918" w:rsidP="007F4918">
      <w:pPr>
        <w:pStyle w:val="TextoNormalNegritaCursivandice"/>
      </w:pPr>
      <w:r>
        <w:t>Decreto de la Generalidad de Cataluña 214/1990, de 30 de julio.  Reglamento del personal al servicios de las entidades locales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7" w:history="1">
        <w:r w:rsidRPr="007F4918">
          <w:rPr>
            <w:rStyle w:val="TextoNormalCaracter"/>
          </w:rPr>
          <w:t>37/2002</w:t>
        </w:r>
      </w:hyperlink>
      <w:r>
        <w:t>, ff. 2, 10.</w:t>
      </w:r>
    </w:p>
    <w:p w:rsidR="007F4918" w:rsidRDefault="007F4918" w:rsidP="007F4918">
      <w:pPr>
        <w:pStyle w:val="SangriaFrancesaArticulo"/>
      </w:pPr>
      <w:r w:rsidRPr="007F4918">
        <w:rPr>
          <w:rStyle w:val="TextoNormalNegritaCaracter"/>
        </w:rPr>
        <w:t>Artículos 240 m); 243 d); 245 b); 267; 304.</w:t>
      </w:r>
      <w:r w:rsidRPr="007F4918">
        <w:rPr>
          <w:rStyle w:val="TextoNormalCaracter"/>
        </w:rPr>
        <w:t>-</w:t>
      </w:r>
      <w:r>
        <w:t xml:space="preserve"> Sentencia </w:t>
      </w:r>
      <w:hyperlink w:anchor="SENTENCIA_2002_37" w:history="1">
        <w:r w:rsidRPr="007F4918">
          <w:rPr>
            <w:rStyle w:val="TextoNormalCaracter"/>
          </w:rPr>
          <w:t>37/2002</w:t>
        </w:r>
      </w:hyperlink>
      <w:r>
        <w:t>, f. 2.</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J.8) Extremadura</w:t>
      </w:r>
    </w:p>
    <w:p w:rsidR="007F4918" w:rsidRDefault="007F4918" w:rsidP="007F4918">
      <w:pPr>
        <w:pStyle w:val="TextoNormal"/>
      </w:pPr>
    </w:p>
    <w:p w:rsidR="007F4918" w:rsidRDefault="007F4918" w:rsidP="007F4918">
      <w:pPr>
        <w:pStyle w:val="TextoNormalNegritaCentradoSubrayado"/>
        <w:suppressAutoHyphens/>
      </w:pPr>
      <w:r>
        <w:t>J.8.b)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 la Asamblea de Extremadura 9/1998, de 26 de junio. Impuesto sobre el suelo sin edificar y edificaciones ruinosas</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Auto </w:t>
      </w:r>
      <w:hyperlink w:anchor="AUTO_2002_5" w:history="1">
        <w:r w:rsidRPr="007F4918">
          <w:rPr>
            <w:rStyle w:val="TextoNormalCaracter"/>
          </w:rPr>
          <w:t>5/2002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J.9) Galicia</w:t>
      </w:r>
    </w:p>
    <w:p w:rsidR="007F4918" w:rsidRDefault="007F4918" w:rsidP="007F4918">
      <w:pPr>
        <w:pStyle w:val="TextoNormal"/>
      </w:pPr>
    </w:p>
    <w:p w:rsidR="007F4918" w:rsidRDefault="007F4918" w:rsidP="007F4918">
      <w:pPr>
        <w:pStyle w:val="TextoNormalNegritaCentradoSubrayado"/>
        <w:suppressAutoHyphens/>
      </w:pPr>
      <w:r>
        <w:t>J.9.b)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del Parlamento de Galicia 10/1988, de 20 de julio. Ordenación del comercio interior de Galicia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20" w:history="1">
        <w:r w:rsidRPr="007F4918">
          <w:rPr>
            <w:rStyle w:val="TextoNormalCaracter"/>
          </w:rPr>
          <w:t>20/2002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J.10) La Rioja</w:t>
      </w:r>
    </w:p>
    <w:p w:rsidR="007F4918" w:rsidRDefault="007F4918" w:rsidP="007F4918">
      <w:pPr>
        <w:pStyle w:val="TextoNormal"/>
      </w:pPr>
    </w:p>
    <w:p w:rsidR="007F4918" w:rsidRDefault="007F4918" w:rsidP="007F4918">
      <w:pPr>
        <w:pStyle w:val="TextoNormalNegritaCentradoSubrayado"/>
        <w:suppressAutoHyphens/>
      </w:pPr>
      <w:r>
        <w:t>J.10.a) Estatuto de Autonomía</w:t>
      </w:r>
    </w:p>
    <w:p w:rsidR="007F4918" w:rsidRDefault="007F4918" w:rsidP="007F4918">
      <w:pPr>
        <w:pStyle w:val="TextoNormalNegritaCentradoSubrayado"/>
      </w:pPr>
    </w:p>
    <w:p w:rsidR="007F4918" w:rsidRDefault="007F4918" w:rsidP="007F4918">
      <w:pPr>
        <w:pStyle w:val="TextoNormalNegritaCursivandice"/>
      </w:pPr>
      <w:r>
        <w:t>Ley Orgánica 3/1982, de 9 de junio. Estatuto de Autonomía de La Rioja</w:t>
      </w:r>
    </w:p>
    <w:p w:rsidR="007F4918" w:rsidRDefault="007F4918" w:rsidP="007F4918">
      <w:pPr>
        <w:pStyle w:val="SangriaFrancesaArticulo"/>
      </w:pPr>
      <w:r w:rsidRPr="007F4918">
        <w:rPr>
          <w:rStyle w:val="TextoNormalNegritaCaracter"/>
        </w:rPr>
        <w:t>Artículo 8.1.2.</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9.1.2.</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SangriaFrancesaArticulo"/>
      </w:pPr>
      <w:r w:rsidRPr="007F4918">
        <w:rPr>
          <w:rStyle w:val="TextoNormalNegritaCaracter"/>
        </w:rPr>
        <w:t>Artículo 32.</w:t>
      </w:r>
      <w:r w:rsidRPr="007F4918">
        <w:rPr>
          <w:rStyle w:val="TextoNormalCaracter"/>
        </w:rPr>
        <w:t>-</w:t>
      </w:r>
      <w:r>
        <w:t xml:space="preserve"> Sentencia </w:t>
      </w:r>
      <w:hyperlink w:anchor="SENTENCIA_2002_96" w:history="1">
        <w:r w:rsidRPr="007F4918">
          <w:rPr>
            <w:rStyle w:val="TextoNormalCaracter"/>
          </w:rPr>
          <w:t>96/2002</w:t>
        </w:r>
      </w:hyperlink>
      <w:r>
        <w:t>, f. 3.</w:t>
      </w:r>
    </w:p>
    <w:p w:rsidR="007F4918" w:rsidRDefault="007F4918" w:rsidP="007F4918">
      <w:pPr>
        <w:pStyle w:val="TextoNormal"/>
      </w:pPr>
    </w:p>
    <w:p w:rsidR="007F4918" w:rsidRDefault="007F4918" w:rsidP="007F4918">
      <w:pPr>
        <w:pStyle w:val="TextoNormalNegritaCentradoSubrayado"/>
        <w:suppressAutoHyphens/>
      </w:pPr>
      <w:r>
        <w:t>J.10.b)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 la Diputación General de La Rioja 2/1993, de 13 de abril. Presupuestos de la Comunidad Autónoma para 1993</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9.</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J.11) Navarra</w:t>
      </w:r>
    </w:p>
    <w:p w:rsidR="007F4918" w:rsidRDefault="007F4918" w:rsidP="007F4918">
      <w:pPr>
        <w:pStyle w:val="TextoNormal"/>
      </w:pPr>
    </w:p>
    <w:p w:rsidR="007F4918" w:rsidRDefault="007F4918" w:rsidP="007F4918">
      <w:pPr>
        <w:pStyle w:val="TextoNormalNegritaCentradoSubrayado"/>
        <w:suppressAutoHyphens/>
      </w:pPr>
      <w:r>
        <w:t>J.11.a) Estatuto de Autonomía</w:t>
      </w:r>
    </w:p>
    <w:p w:rsidR="007F4918" w:rsidRDefault="007F4918" w:rsidP="007F4918">
      <w:pPr>
        <w:pStyle w:val="TextoNormalNegritaCentradoSubrayado"/>
      </w:pPr>
    </w:p>
    <w:p w:rsidR="007F4918" w:rsidRDefault="007F4918" w:rsidP="007F4918">
      <w:pPr>
        <w:pStyle w:val="TextoNormalNegritaCursivandice"/>
      </w:pPr>
      <w:r>
        <w:t>Ley Orgánica 13/1982, de 10 de agosto. Reintegración y amejoramiento del régimen foral de Navarra</w:t>
      </w:r>
    </w:p>
    <w:p w:rsidR="007F4918" w:rsidRDefault="007F4918" w:rsidP="007F4918">
      <w:pPr>
        <w:pStyle w:val="SangriaFrancesaArticulo"/>
      </w:pPr>
      <w:r w:rsidRPr="007F4918">
        <w:rPr>
          <w:rStyle w:val="TextoNormalNegritaCaracter"/>
        </w:rPr>
        <w:t>Artículo 45.</w:t>
      </w:r>
      <w:r w:rsidRPr="007F4918">
        <w:rPr>
          <w:rStyle w:val="TextoNormalCaracter"/>
        </w:rPr>
        <w:t>-</w:t>
      </w:r>
      <w:r>
        <w:t xml:space="preserve"> Sentencia </w:t>
      </w:r>
      <w:hyperlink w:anchor="SENTENCIA_2002_96" w:history="1">
        <w:r w:rsidRPr="007F4918">
          <w:rPr>
            <w:rStyle w:val="TextoNormalCaracter"/>
          </w:rPr>
          <w:t>96/2002</w:t>
        </w:r>
      </w:hyperlink>
      <w:r>
        <w:t>, VP I.</w:t>
      </w:r>
    </w:p>
    <w:p w:rsidR="007F4918" w:rsidRDefault="007F4918" w:rsidP="007F4918">
      <w:pPr>
        <w:pStyle w:val="TextoNormal"/>
      </w:pPr>
    </w:p>
    <w:p w:rsidR="007F4918" w:rsidRDefault="007F4918" w:rsidP="007F4918">
      <w:pPr>
        <w:pStyle w:val="TextoNormalNegritaCentradoSubrayado"/>
        <w:suppressAutoHyphens/>
      </w:pPr>
      <w:r>
        <w:t>J.11.b)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Foral del Parlamento de Navarra 12/1993, de 15 de noviembre. Apoyo a la inversión y a la actividad económica y otras medidas tributarias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Ley Foral del Parlamento de Navarra 24/1996, de 30 de diciembre. Regulación del impuesto sobre sociedades</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Ley Foral del Parlamento de Navarra 22/1998, de 30 de diciembre. Normas reguladoras del impuesto sobre la renta de las personas físicas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Ley Foral del Parlamento de Navarra 8/2001, de 10 de abril. Derogación de determinados preceptos de la Ley Foral 24/1996, de 30 de diciembre, reguladora del impuesto sobre sociedades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ff, 9, 10, VP I.</w:t>
      </w:r>
    </w:p>
    <w:p w:rsidR="007F4918" w:rsidRDefault="007F4918" w:rsidP="007F4918">
      <w:pPr>
        <w:pStyle w:val="SangriaFrancesaArticulo"/>
      </w:pPr>
    </w:p>
    <w:p w:rsidR="007F4918" w:rsidRDefault="007F4918" w:rsidP="007F4918">
      <w:pPr>
        <w:pStyle w:val="TextoNormalNegritaCursivandice"/>
      </w:pPr>
      <w:r>
        <w:t>Ley Foral del Parlamento de Navarra 17/2001, de 12 de julio. Regulación del comercio en Navarra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23.3.3.</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24.1.</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40.2 c).</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46.1.</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50.2.</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Artículo 72.1.</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SangriaFrancesaArticulo"/>
      </w:pPr>
      <w:r w:rsidRPr="007F4918">
        <w:rPr>
          <w:rStyle w:val="TextoNormalNegritaCaracter"/>
        </w:rPr>
        <w:t>Disposición final segunda.</w:t>
      </w:r>
      <w:r w:rsidRPr="007F4918">
        <w:rPr>
          <w:rStyle w:val="TextoNormalCaracter"/>
        </w:rPr>
        <w:t>-</w:t>
      </w:r>
      <w:r>
        <w:t xml:space="preserve"> Auto </w:t>
      </w:r>
      <w:hyperlink w:anchor="AUTO_2002_47" w:history="1">
        <w:r w:rsidRPr="007F4918">
          <w:rPr>
            <w:rStyle w:val="TextoNormalCaracter"/>
          </w:rPr>
          <w:t>47/2002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J.12) País Vasco</w:t>
      </w:r>
    </w:p>
    <w:p w:rsidR="007F4918" w:rsidRDefault="007F4918" w:rsidP="007F4918">
      <w:pPr>
        <w:pStyle w:val="TextoNormal"/>
      </w:pPr>
    </w:p>
    <w:p w:rsidR="007F4918" w:rsidRDefault="007F4918" w:rsidP="007F4918">
      <w:pPr>
        <w:pStyle w:val="TextoNormalNegritaCentradoSubrayado"/>
        <w:suppressAutoHyphens/>
      </w:pPr>
      <w:r>
        <w:t>J.12.a) Estatuto de Autonomía</w:t>
      </w:r>
    </w:p>
    <w:p w:rsidR="007F4918" w:rsidRDefault="007F4918" w:rsidP="007F4918">
      <w:pPr>
        <w:pStyle w:val="TextoNormalNegritaCentradoSubrayado"/>
      </w:pPr>
    </w:p>
    <w:p w:rsidR="007F4918" w:rsidRDefault="007F4918" w:rsidP="007F4918">
      <w:pPr>
        <w:pStyle w:val="TextoNormalNegritaCursivandice"/>
      </w:pPr>
      <w:r>
        <w:t>Ley Orgánica 3/1979, de 18 de diciembre. Estatuto de Autonomía del País Vasco</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 </w:t>
      </w:r>
      <w:hyperlink w:anchor="SENTENCIA_2002_96" w:history="1">
        <w:r w:rsidRPr="007F4918">
          <w:rPr>
            <w:rStyle w:val="TextoNormalCaracter"/>
          </w:rPr>
          <w:t>96/2002</w:t>
        </w:r>
      </w:hyperlink>
      <w:r>
        <w:t>, VP I.</w:t>
      </w:r>
    </w:p>
    <w:p w:rsidR="007F4918" w:rsidRDefault="007F4918" w:rsidP="007F4918">
      <w:pPr>
        <w:pStyle w:val="TextoNormal"/>
      </w:pPr>
    </w:p>
    <w:p w:rsidR="007F4918" w:rsidRDefault="007F4918" w:rsidP="007F4918">
      <w:pPr>
        <w:pStyle w:val="TextoNormalNegritaCentradoSubrayado"/>
        <w:suppressAutoHyphens/>
      </w:pPr>
      <w:r>
        <w:t>J.12.b)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del Parlamento Vasco 3/1988, de 12 de febrero. Asociaciones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3.</w:t>
      </w:r>
    </w:p>
    <w:p w:rsidR="007F4918" w:rsidRDefault="007F4918" w:rsidP="007F4918">
      <w:pPr>
        <w:pStyle w:val="SangriaFrancesaArticulo"/>
      </w:pPr>
    </w:p>
    <w:p w:rsidR="007F4918" w:rsidRDefault="007F4918" w:rsidP="007F4918">
      <w:pPr>
        <w:pStyle w:val="TextoNormalNegritaCursivandice"/>
      </w:pPr>
      <w:r>
        <w:t>Ley del Parlamento Vasco 3/1997, de 25 de abril.  Participación de la Comunidad Autónoma en las plusvalías generadas por la acción urbanística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4" w:history="1">
        <w:r w:rsidRPr="007F4918">
          <w:rPr>
            <w:rStyle w:val="TextoNormalCaracter"/>
          </w:rPr>
          <w:t>54/2002</w:t>
        </w:r>
      </w:hyperlink>
      <w:r>
        <w:t>, f. 1.</w:t>
      </w:r>
    </w:p>
    <w:p w:rsidR="007F4918" w:rsidRDefault="007F4918" w:rsidP="007F4918">
      <w:pPr>
        <w:pStyle w:val="SangriaFrancesaArticulo"/>
      </w:pPr>
      <w:r w:rsidRPr="007F4918">
        <w:rPr>
          <w:rStyle w:val="TextoNormalNegritaCaracter"/>
        </w:rPr>
        <w:t>Artículo único, apartado 1.</w:t>
      </w:r>
      <w:r w:rsidRPr="007F4918">
        <w:rPr>
          <w:rStyle w:val="TextoNormalCaracter"/>
        </w:rPr>
        <w:t>-</w:t>
      </w:r>
      <w:r>
        <w:t xml:space="preserve"> Sentencia </w:t>
      </w:r>
      <w:hyperlink w:anchor="SENTENCIA_2002_54" w:history="1">
        <w:r w:rsidRPr="007F4918">
          <w:rPr>
            <w:rStyle w:val="TextoNormalCaracter"/>
          </w:rPr>
          <w:t>54/2002</w:t>
        </w:r>
      </w:hyperlink>
      <w:r>
        <w:t>, f. 2.</w:t>
      </w:r>
    </w:p>
    <w:p w:rsidR="007F4918" w:rsidRDefault="007F4918" w:rsidP="007F4918">
      <w:pPr>
        <w:pStyle w:val="SangriaFrancesaArticulo"/>
      </w:pPr>
    </w:p>
    <w:p w:rsidR="007F4918" w:rsidRDefault="007F4918" w:rsidP="007F4918">
      <w:pPr>
        <w:pStyle w:val="TextoNormalNegritaCursivandice"/>
      </w:pPr>
      <w:r>
        <w:t>Ley del Parlamento Vasco 11/1998, de 20 de abril. Modifica la Ley 3/1997, de 25 de abril, que determina la participación de la Comunidad Autónoma en las plusvalías generadas por la acción urbanística</w:t>
      </w:r>
    </w:p>
    <w:p w:rsidR="007F4918" w:rsidRDefault="007F4918" w:rsidP="007F4918">
      <w:pPr>
        <w:pStyle w:val="SangriaFrancesaArticulo"/>
      </w:pPr>
      <w:r w:rsidRPr="007F4918">
        <w:rPr>
          <w:rStyle w:val="TextoNormalNegritaCaracter"/>
        </w:rPr>
        <w:t>Artículo único, apartado 1.</w:t>
      </w:r>
      <w:r w:rsidRPr="007F4918">
        <w:rPr>
          <w:rStyle w:val="TextoNormalCaracter"/>
        </w:rPr>
        <w:t>-</w:t>
      </w:r>
      <w:r>
        <w:t xml:space="preserve"> Sentencia </w:t>
      </w:r>
      <w:hyperlink w:anchor="SENTENCIA_2002_54" w:history="1">
        <w:r w:rsidRPr="007F4918">
          <w:rPr>
            <w:rStyle w:val="TextoNormalCaracter"/>
          </w:rPr>
          <w:t>54/2002</w:t>
        </w:r>
      </w:hyperlink>
      <w:r>
        <w:t>, ff. 1 a 3, 5 a 8.</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lastRenderedPageBreak/>
        <w:t>J.13) Valencia</w:t>
      </w:r>
    </w:p>
    <w:p w:rsidR="007F4918" w:rsidRDefault="007F4918" w:rsidP="007F4918">
      <w:pPr>
        <w:pStyle w:val="TextoNormal"/>
      </w:pPr>
    </w:p>
    <w:p w:rsidR="007F4918" w:rsidRDefault="007F4918" w:rsidP="007F4918">
      <w:pPr>
        <w:pStyle w:val="TextoNormalNegritaCentradoSubrayado"/>
        <w:suppressAutoHyphens/>
      </w:pPr>
      <w:r>
        <w:t>J.13.b) Leyes y disposiciones con fuerza de Ley</w:t>
      </w:r>
    </w:p>
    <w:p w:rsidR="007F4918" w:rsidRDefault="007F4918" w:rsidP="007F4918">
      <w:pPr>
        <w:pStyle w:val="TextoNormalNegritaCentradoSubrayado"/>
      </w:pPr>
    </w:p>
    <w:p w:rsidR="007F4918" w:rsidRDefault="007F4918" w:rsidP="007F4918">
      <w:pPr>
        <w:pStyle w:val="TextoNormalNegritaCursivandice"/>
      </w:pPr>
      <w:r>
        <w:t>Ley de las Cortes Valencianas 11/1994, de 27 de diciembre. Espacios naturales protegidos de la Comunidad Valenciana</w:t>
      </w:r>
    </w:p>
    <w:p w:rsidR="007F4918" w:rsidRDefault="007F4918" w:rsidP="007F4918">
      <w:pPr>
        <w:pStyle w:val="SangriaFrancesaArticulo"/>
      </w:pPr>
      <w:r w:rsidRPr="007F4918">
        <w:rPr>
          <w:rStyle w:val="TextoNormalNegritaCaracter"/>
        </w:rPr>
        <w:t>Exposición de motivos.</w:t>
      </w:r>
      <w:r w:rsidRPr="007F4918">
        <w:rPr>
          <w:rStyle w:val="TextoNormalCaracter"/>
        </w:rPr>
        <w:t>-</w:t>
      </w:r>
      <w:r>
        <w:t xml:space="preserve"> Auto </w:t>
      </w:r>
      <w:hyperlink w:anchor="AUTO_2002_72" w:history="1">
        <w:r w:rsidRPr="007F4918">
          <w:rPr>
            <w:rStyle w:val="TextoNormalCaracter"/>
          </w:rPr>
          <w:t>72/2002</w:t>
        </w:r>
      </w:hyperlink>
      <w:r>
        <w:t>.</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J.14) Ciudades Autónomas</w:t>
      </w:r>
    </w:p>
    <w:p w:rsidR="007F4918" w:rsidRDefault="007F4918" w:rsidP="007F4918">
      <w:pPr>
        <w:pStyle w:val="TextoNormal"/>
      </w:pPr>
    </w:p>
    <w:p w:rsidR="007F4918" w:rsidRDefault="007F4918" w:rsidP="007F4918">
      <w:pPr>
        <w:pStyle w:val="TextoNormalNegritaCentradoSubrayado"/>
        <w:suppressAutoHyphens/>
      </w:pPr>
      <w:r>
        <w:t>J.14.1) Melilla</w:t>
      </w:r>
    </w:p>
    <w:p w:rsidR="007F4918" w:rsidRDefault="007F4918" w:rsidP="007F4918">
      <w:pPr>
        <w:pStyle w:val="TextoNormalNegritaCentradoSubrayado"/>
      </w:pPr>
    </w:p>
    <w:p w:rsidR="007F4918" w:rsidRDefault="007F4918" w:rsidP="007F4918">
      <w:pPr>
        <w:pStyle w:val="TextoNormalNegritaCursivandice"/>
      </w:pPr>
      <w:r>
        <w:t>Decreto de la Presidencia de la Ciudad de Melilla de 12 de marzo de 1998</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44" w:history="1">
        <w:r w:rsidRPr="007F4918">
          <w:rPr>
            <w:rStyle w:val="TextoNormalCaracter"/>
          </w:rPr>
          <w:t>44/2002</w:t>
        </w:r>
      </w:hyperlink>
      <w:r>
        <w:t>, f. 1.</w:t>
      </w:r>
    </w:p>
    <w:p w:rsidR="007F4918" w:rsidRDefault="007F4918" w:rsidP="007F4918">
      <w:pPr>
        <w:pStyle w:val="TextoNormal"/>
      </w:pPr>
    </w:p>
    <w:p w:rsidR="007F4918" w:rsidRDefault="007F4918" w:rsidP="007F4918">
      <w:pPr>
        <w:pStyle w:val="SangriaFrancesaArticulo"/>
      </w:pPr>
      <w:bookmarkStart w:id="188" w:name="INDICE22869"/>
    </w:p>
    <w:bookmarkEnd w:id="188"/>
    <w:p w:rsidR="007F4918" w:rsidRDefault="007F4918" w:rsidP="007F4918">
      <w:pPr>
        <w:pStyle w:val="TextoIndiceNivel2"/>
        <w:suppressAutoHyphens/>
      </w:pPr>
      <w:r>
        <w:t>K) Territorios históricos y corporaciones locales</w:t>
      </w:r>
    </w:p>
    <w:p w:rsidR="007F4918" w:rsidRDefault="007F4918" w:rsidP="007F4918">
      <w:pPr>
        <w:pStyle w:val="TextoNormal"/>
      </w:pPr>
    </w:p>
    <w:p w:rsidR="007F4918" w:rsidRDefault="007F4918" w:rsidP="007F4918">
      <w:pPr>
        <w:pStyle w:val="TextoNormalNegritaCentrado"/>
        <w:suppressAutoHyphens/>
      </w:pPr>
      <w:r w:rsidRPr="007F4918">
        <w:rPr>
          <w:rStyle w:val="TextoNormalNegritaCentradoSombreado"/>
        </w:rPr>
        <w:t>K.2) Territorios históricos</w:t>
      </w:r>
    </w:p>
    <w:p w:rsidR="007F4918" w:rsidRDefault="007F4918" w:rsidP="007F4918">
      <w:pPr>
        <w:pStyle w:val="TextoNormal"/>
      </w:pPr>
    </w:p>
    <w:p w:rsidR="007F4918" w:rsidRDefault="007F4918" w:rsidP="007F4918">
      <w:pPr>
        <w:pStyle w:val="TextoNormalNegritaCentradoSubrayado"/>
        <w:suppressAutoHyphens/>
      </w:pPr>
      <w:r>
        <w:t>K.2.1</w:t>
      </w:r>
      <w:r w:rsidR="00A4474A">
        <w:t>) Araba/Álava</w:t>
      </w:r>
    </w:p>
    <w:p w:rsidR="007F4918" w:rsidRDefault="007F4918" w:rsidP="007F4918">
      <w:pPr>
        <w:pStyle w:val="TextoNormalNegritaCentradoSubrayado"/>
      </w:pPr>
    </w:p>
    <w:p w:rsidR="007F4918" w:rsidRDefault="007F4918" w:rsidP="007F4918">
      <w:pPr>
        <w:pStyle w:val="TextoNormalNegritaCursivandice"/>
      </w:pPr>
      <w:r>
        <w:t>Norma Foral de la Junta General de Álava 28/1988, de 18 de julio. Incentivos fiscales a la inversión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ff. 2, 9.</w:t>
      </w:r>
    </w:p>
    <w:p w:rsidR="007F4918" w:rsidRDefault="007F4918" w:rsidP="007F4918">
      <w:pPr>
        <w:pStyle w:val="SangriaFrancesaArticulo"/>
      </w:pPr>
    </w:p>
    <w:p w:rsidR="007F4918" w:rsidRDefault="007F4918" w:rsidP="007F4918">
      <w:pPr>
        <w:pStyle w:val="TextoNormalNegritaCursivandice"/>
      </w:pPr>
      <w:r>
        <w:t>Norma Foral de la Junta General de Álava 18/1993, de 5 de julio. Medidas urgentes de apoyo a la inversión e impulso de la actividad económica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Álava 8/1995, de 8 de marzo. Medidas fiscales de apoyo a la reactivación económica para 1995</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Álava 24/1996, de 5 de julio. Impuesto sobre sociedades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Álava 7/2000, de 29 de marzo. Impuesto de sociedades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TextoNormal"/>
      </w:pPr>
    </w:p>
    <w:p w:rsidR="007F4918" w:rsidRDefault="007F4918" w:rsidP="007F4918">
      <w:pPr>
        <w:pStyle w:val="TextoNormalNegritaCentradoSubrayado"/>
        <w:suppressAutoHyphens/>
      </w:pPr>
      <w:r>
        <w:lastRenderedPageBreak/>
        <w:t>K.2.1</w:t>
      </w:r>
      <w:r w:rsidR="00CD5468">
        <w:t>) Gipuzkoa</w:t>
      </w:r>
    </w:p>
    <w:p w:rsidR="007F4918" w:rsidRDefault="007F4918" w:rsidP="007F4918">
      <w:pPr>
        <w:pStyle w:val="TextoNormalNegritaCentradoSubrayado"/>
      </w:pPr>
    </w:p>
    <w:p w:rsidR="007F4918" w:rsidRDefault="007F4918" w:rsidP="007F4918">
      <w:pPr>
        <w:pStyle w:val="TextoNormalNegritaCursivandice"/>
      </w:pPr>
      <w:r>
        <w:t>Norma Foral de la Junta General de Gipuzkoa 6/1988, de 14 de julio. Incentivos fiscales a la inversión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ff. 2, 9.</w:t>
      </w:r>
    </w:p>
    <w:p w:rsidR="007F4918" w:rsidRDefault="007F4918" w:rsidP="007F4918">
      <w:pPr>
        <w:pStyle w:val="SangriaFrancesaArticulo"/>
      </w:pPr>
    </w:p>
    <w:p w:rsidR="007F4918" w:rsidRDefault="007F4918" w:rsidP="007F4918">
      <w:pPr>
        <w:pStyle w:val="TextoNormalNegritaCursivandice"/>
      </w:pPr>
      <w:r>
        <w:t>Norma Foral de la Junta General de Gipuzkoa 11/1993, de 26 de junio. Medidas fiscales urgentes de apoyo a la inversión e impulso de la actividad económica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Gipuzkoa 1/1995, de 16 de febrero. Medidas fiscales de apoyo a la reactivación económica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Gipuzkoa 7/1996, de 4 de julio. Impuesto sobre sociedades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Gipuzkoa 3/2000, de 13 de marzo. Adaptación a la normativa tributaria del territorio histórico de Guipúzcoa a los acuerdos de la Comisión Mixta de Cupo de 18 de enero de 2000</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TextoNormal"/>
      </w:pPr>
    </w:p>
    <w:p w:rsidR="007F4918" w:rsidRDefault="007F4918" w:rsidP="007F4918">
      <w:pPr>
        <w:pStyle w:val="TextoNormalNegritaCentradoSubrayado"/>
        <w:suppressAutoHyphens/>
      </w:pPr>
      <w:r>
        <w:t>K.2.1</w:t>
      </w:r>
      <w:r w:rsidR="00735DBB">
        <w:t>) Bizkaia</w:t>
      </w:r>
    </w:p>
    <w:p w:rsidR="007F4918" w:rsidRDefault="007F4918" w:rsidP="007F4918">
      <w:pPr>
        <w:pStyle w:val="TextoNormalNegritaCentradoSubrayado"/>
      </w:pPr>
    </w:p>
    <w:p w:rsidR="007F4918" w:rsidRDefault="007F4918" w:rsidP="007F4918">
      <w:pPr>
        <w:pStyle w:val="TextoNormalNegritaCursivandice"/>
      </w:pPr>
      <w:r>
        <w:t>Norma Foral de la Junta General de Vizcaya 8/1988, de 5 de julio. Incentivos fiscales a la inversión</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ff. 2, 9.</w:t>
      </w:r>
    </w:p>
    <w:p w:rsidR="007F4918" w:rsidRDefault="007F4918" w:rsidP="007F4918">
      <w:pPr>
        <w:pStyle w:val="SangriaFrancesaArticulo"/>
      </w:pPr>
    </w:p>
    <w:p w:rsidR="007F4918" w:rsidRDefault="007F4918" w:rsidP="007F4918">
      <w:pPr>
        <w:pStyle w:val="TextoNormalNegritaCursivandice"/>
      </w:pPr>
      <w:r>
        <w:t>Norma Foral de la Junta General de Vizcaya 5/1993, de 4 de julio. Medidas fiscales urgentes de apoyo a la inversión e impulso de la actividad económica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Vizcaya 1/1995, de 24 de febrero. Medidas fiscales de apoyo a la reactivación económica para 1995</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Vizcaya 3/1996, de 26 de junio. Impuesto de sociedades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Norma Foral de la Junta General de Vizcaya 7/2000, de 19 de julio. Medidas fiscales en la normativa tributaria del territorio histórico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TextoNormal"/>
      </w:pPr>
    </w:p>
    <w:p w:rsidR="007F4918" w:rsidRDefault="007F4918" w:rsidP="007F4918">
      <w:pPr>
        <w:pStyle w:val="SangriaFrancesaArticulo"/>
      </w:pPr>
      <w:bookmarkStart w:id="189" w:name="INDICE22870"/>
    </w:p>
    <w:bookmarkEnd w:id="189"/>
    <w:p w:rsidR="007F4918" w:rsidRDefault="007F4918" w:rsidP="007F4918">
      <w:pPr>
        <w:pStyle w:val="TextoIndiceNivel2"/>
        <w:suppressAutoHyphens/>
      </w:pPr>
      <w:r>
        <w:t>L) Tratados y acuerdos internacionales</w:t>
      </w:r>
    </w:p>
    <w:p w:rsidR="007F4918" w:rsidRDefault="007F4918" w:rsidP="007F4918">
      <w:pPr>
        <w:pStyle w:val="TextoIndiceNivel2"/>
      </w:pPr>
    </w:p>
    <w:p w:rsidR="007F4918" w:rsidRDefault="007F4918" w:rsidP="007F4918">
      <w:pPr>
        <w:pStyle w:val="TextoNormalNegritaCursivandice"/>
      </w:pPr>
      <w:r>
        <w:t>Declaración universal de derechos humanos de 10 de diciembre de 1948</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1" w:history="1">
        <w:r w:rsidRPr="007F4918">
          <w:rPr>
            <w:rStyle w:val="TextoNormalCaracter"/>
          </w:rPr>
          <w:t>71/2002</w:t>
        </w:r>
      </w:hyperlink>
      <w:r>
        <w:t>, f. 1.</w:t>
      </w:r>
    </w:p>
    <w:p w:rsidR="007F4918" w:rsidRDefault="007F4918" w:rsidP="007F4918">
      <w:pPr>
        <w:pStyle w:val="SangriaFrancesaArticulo"/>
      </w:pPr>
    </w:p>
    <w:p w:rsidR="007F4918" w:rsidRDefault="007F4918" w:rsidP="007F4918">
      <w:pPr>
        <w:pStyle w:val="TextoNormalNegritaCursivandice"/>
      </w:pPr>
      <w:r>
        <w:t>Convenio de la Organización Internacional del Trabajo (núm. 98), de 1 de julio de 1949. Derecho de sindicación y negociación colectiva</w:t>
      </w:r>
    </w:p>
    <w:p w:rsidR="007F4918" w:rsidRDefault="007F4918" w:rsidP="007F4918">
      <w:pPr>
        <w:pStyle w:val="SangriaFrancesaArticulo"/>
      </w:pPr>
      <w:r w:rsidRPr="007F4918">
        <w:rPr>
          <w:rStyle w:val="TextoNormalNegritaCaracter"/>
        </w:rPr>
        <w:t>Artículo 1.2 b).</w:t>
      </w:r>
      <w:r w:rsidRPr="007F4918">
        <w:rPr>
          <w:rStyle w:val="TextoNormalCaracter"/>
        </w:rPr>
        <w:t>-</w:t>
      </w:r>
      <w:r>
        <w:t xml:space="preserve"> Sentencias </w:t>
      </w:r>
      <w:hyperlink w:anchor="SENTENCIA_2002_14" w:history="1">
        <w:r w:rsidRPr="007F4918">
          <w:rPr>
            <w:rStyle w:val="TextoNormalCaracter"/>
          </w:rPr>
          <w:t>14/2002</w:t>
        </w:r>
      </w:hyperlink>
      <w:r>
        <w:t xml:space="preserve">, f. 3; </w:t>
      </w:r>
      <w:hyperlink w:anchor="SENTENCIA_2002_84" w:history="1">
        <w:r w:rsidRPr="007F4918">
          <w:rPr>
            <w:rStyle w:val="TextoNormalCaracter"/>
          </w:rPr>
          <w:t>84/2002</w:t>
        </w:r>
      </w:hyperlink>
      <w:r>
        <w:t>, f. 3.</w:t>
      </w:r>
    </w:p>
    <w:p w:rsidR="007F4918" w:rsidRDefault="007F4918" w:rsidP="007F4918">
      <w:pPr>
        <w:pStyle w:val="SangriaFrancesaArticulo"/>
      </w:pPr>
    </w:p>
    <w:p w:rsidR="007F4918" w:rsidRDefault="007F4918" w:rsidP="007F4918">
      <w:pPr>
        <w:pStyle w:val="TextoNormalNegritaCursivandice"/>
      </w:pPr>
      <w:r>
        <w:t>Convención de Ginebra de 28 de julio de 1951 sobre el estatuto de los refugiados. Instrumento de adhesión de 22 de julio de 1978</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r w:rsidRPr="007F4918">
        <w:rPr>
          <w:rStyle w:val="TextoNormalNegritaCaracter"/>
        </w:rPr>
        <w:t>Artículo 33.1.</w:t>
      </w:r>
      <w:r w:rsidRPr="007F4918">
        <w:rPr>
          <w:rStyle w:val="TextoNormalCaracter"/>
        </w:rPr>
        <w:t>-</w:t>
      </w:r>
      <w:r>
        <w:t xml:space="preserve"> Sentencia </w:t>
      </w:r>
      <w:hyperlink w:anchor="SENTENCIA_2002_53" w:history="1">
        <w:r w:rsidRPr="007F4918">
          <w:rPr>
            <w:rStyle w:val="TextoNormalCaracter"/>
          </w:rPr>
          <w:t>53/2002</w:t>
        </w:r>
      </w:hyperlink>
      <w:r>
        <w:t>, ff. 3, 4.</w:t>
      </w:r>
    </w:p>
    <w:p w:rsidR="007F4918" w:rsidRDefault="007F4918" w:rsidP="007F4918">
      <w:pPr>
        <w:pStyle w:val="SangriaFrancesaArticulo"/>
      </w:pPr>
    </w:p>
    <w:p w:rsidR="007F4918" w:rsidRDefault="007F4918" w:rsidP="007F4918">
      <w:pPr>
        <w:pStyle w:val="TextoNormalNegritaCursivandice"/>
      </w:pPr>
      <w:r>
        <w:t>Recomendación de la Organización Internacional del Trabajo (núm. 95), de 28 de junio de 1952. Protección de la   maternidad</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Pacto internacional de derechos civiles y políticos. Nueva York, 16 de diciembre de 1966, ratificado por Instrumento de 13 de abril de 1977</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9.3.</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r w:rsidRPr="007F4918">
        <w:rPr>
          <w:rStyle w:val="TextoNormalNegritaCaracter"/>
        </w:rPr>
        <w:t>Artículo 14.3 e).</w:t>
      </w:r>
      <w:r w:rsidRPr="007F4918">
        <w:rPr>
          <w:rStyle w:val="TextoNormalCaracter"/>
        </w:rPr>
        <w:t>-</w:t>
      </w:r>
      <w:r>
        <w:t xml:space="preserve"> Sentencia </w:t>
      </w:r>
      <w:hyperlink w:anchor="SENTENCIA_2002_68" w:history="1">
        <w:r w:rsidRPr="007F4918">
          <w:rPr>
            <w:rStyle w:val="TextoNormalCaracter"/>
          </w:rPr>
          <w:t>68/2002</w:t>
        </w:r>
      </w:hyperlink>
      <w:r>
        <w:t>, f. 6.</w:t>
      </w:r>
    </w:p>
    <w:p w:rsidR="007F4918" w:rsidRDefault="007F4918" w:rsidP="007F4918">
      <w:pPr>
        <w:pStyle w:val="SangriaFrancesaArticulo"/>
      </w:pPr>
      <w:r w:rsidRPr="007F4918">
        <w:rPr>
          <w:rStyle w:val="TextoNormalNegritaCaracter"/>
        </w:rPr>
        <w:t>Artículo 14.5.</w:t>
      </w:r>
      <w:r w:rsidRPr="007F4918">
        <w:rPr>
          <w:rStyle w:val="TextoNormalCaracter"/>
        </w:rPr>
        <w:t>-</w:t>
      </w:r>
      <w:r>
        <w:t xml:space="preserve"> Sentencias </w:t>
      </w:r>
      <w:hyperlink w:anchor="SENTENCIA_2002_12" w:history="1">
        <w:r w:rsidRPr="007F4918">
          <w:rPr>
            <w:rStyle w:val="TextoNormalCaracter"/>
          </w:rPr>
          <w:t>12/2002</w:t>
        </w:r>
      </w:hyperlink>
      <w:r>
        <w:t xml:space="preserve">, f. 2; </w:t>
      </w:r>
      <w:hyperlink w:anchor="SENTENCIA_2002_50" w:history="1">
        <w:r w:rsidRPr="007F4918">
          <w:rPr>
            <w:rStyle w:val="TextoNormalCaracter"/>
          </w:rPr>
          <w:t>50/2002</w:t>
        </w:r>
      </w:hyperlink>
      <w:r>
        <w:t xml:space="preserve">, VP; </w:t>
      </w:r>
      <w:hyperlink w:anchor="SENTENCIA_2002_70" w:history="1">
        <w:r w:rsidRPr="007F4918">
          <w:rPr>
            <w:rStyle w:val="TextoNormalCaracter"/>
          </w:rPr>
          <w:t>70/2002</w:t>
        </w:r>
      </w:hyperlink>
      <w:r>
        <w:t xml:space="preserve">, ff. 1, 7; </w:t>
      </w:r>
      <w:hyperlink w:anchor="SENTENCIA_2002_71" w:history="1">
        <w:r w:rsidRPr="007F4918">
          <w:rPr>
            <w:rStyle w:val="TextoNormalCaracter"/>
          </w:rPr>
          <w:t>71/2002</w:t>
        </w:r>
      </w:hyperlink>
      <w:r>
        <w:t xml:space="preserve">, VP; </w:t>
      </w:r>
      <w:hyperlink w:anchor="SENTENCIA_2002_91" w:history="1">
        <w:r w:rsidRPr="007F4918">
          <w:rPr>
            <w:rStyle w:val="TextoNormalCaracter"/>
          </w:rPr>
          <w:t>91/2002</w:t>
        </w:r>
      </w:hyperlink>
      <w:r>
        <w:t>, f. 3.</w:t>
      </w:r>
    </w:p>
    <w:p w:rsidR="007F4918" w:rsidRDefault="007F4918" w:rsidP="007F4918">
      <w:pPr>
        <w:pStyle w:val="SangriaFrancesaArticulo"/>
      </w:pPr>
      <w:r w:rsidRPr="007F4918">
        <w:rPr>
          <w:rStyle w:val="TextoNormalNegritaCaracter"/>
        </w:rPr>
        <w:t>Artículo 14.5.13.</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42.</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p>
    <w:p w:rsidR="007F4918" w:rsidRDefault="007F4918" w:rsidP="007F4918">
      <w:pPr>
        <w:pStyle w:val="TextoNormalNegritaCursivandice"/>
      </w:pPr>
      <w:r>
        <w:t>Pacto internacional de derechos económicos, sociales y culturales. Nueva York, de 16 de diciembre de 1966, ratificado por Instrumento de 13 de abril de 1977</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1" w:history="1">
        <w:r w:rsidRPr="007F4918">
          <w:rPr>
            <w:rStyle w:val="TextoNormalCaracter"/>
          </w:rPr>
          <w:t>71/2002</w:t>
        </w:r>
      </w:hyperlink>
      <w:r>
        <w:t>, f. 1.</w:t>
      </w:r>
    </w:p>
    <w:p w:rsidR="007F4918" w:rsidRDefault="007F4918" w:rsidP="007F4918">
      <w:pPr>
        <w:pStyle w:val="SangriaFrancesaArticulo"/>
      </w:pPr>
    </w:p>
    <w:p w:rsidR="007F4918" w:rsidRDefault="007F4918" w:rsidP="007F4918">
      <w:pPr>
        <w:pStyle w:val="TextoNormalNegritaCursivandice"/>
      </w:pPr>
      <w:r>
        <w:t>Declaración de la Organización Internacional del Trabajo de 25 de junio de 1975 (60ª reunión CIT, Ginebra). Igualdad de oportunidades y de trato para las trabajadoras.</w:t>
      </w:r>
    </w:p>
    <w:p w:rsidR="007F4918" w:rsidRDefault="007F4918" w:rsidP="007F4918">
      <w:pPr>
        <w:pStyle w:val="SangriaFrancesaArticulo"/>
      </w:pPr>
      <w:r w:rsidRPr="007F4918">
        <w:rPr>
          <w:rStyle w:val="TextoNormalNegritaCaracter"/>
        </w:rPr>
        <w:t>Artículo 8.1.</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Convenio de la Organización Internacional del Trabajo (núm. 158), de 22 de junio de 1982. Terminación de la relación de trabajo</w:t>
      </w:r>
    </w:p>
    <w:p w:rsidR="007F4918" w:rsidRDefault="007F4918" w:rsidP="007F4918">
      <w:pPr>
        <w:pStyle w:val="SangriaFrancesaArticulo"/>
      </w:pPr>
      <w:r w:rsidRPr="007F4918">
        <w:rPr>
          <w:rStyle w:val="TextoNormalNegritaCaracter"/>
        </w:rPr>
        <w:t>Artículo 5 d).</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Pacto internacional de derechos civiles y políticos. Protocolo facultativo de 16 de diciembre de 1966, al que se adhirió España por Instrumento de 17 de enero de 1985</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5.4.</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p>
    <w:p w:rsidR="007F4918" w:rsidRDefault="007F4918" w:rsidP="007F4918">
      <w:pPr>
        <w:pStyle w:val="TextoNormalNegritaCursivandice"/>
      </w:pPr>
      <w:r>
        <w:t>Tratado de Schengen, de 14 de junio de 1985, relativo a la supresión gradual de los controles en las fronteras comunes, al que se adhirió España el 25 de junio de 1991</w:t>
      </w:r>
    </w:p>
    <w:p w:rsidR="007F4918" w:rsidRDefault="007F4918" w:rsidP="007F4918">
      <w:pPr>
        <w:pStyle w:val="SangriaFrancesaArticulo"/>
      </w:pPr>
      <w:r w:rsidRPr="007F4918">
        <w:rPr>
          <w:rStyle w:val="TextoNormalNegritaCaracter"/>
        </w:rPr>
        <w:t>Artículo 20.</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p>
    <w:p w:rsidR="007F4918" w:rsidRDefault="007F4918" w:rsidP="007F4918">
      <w:pPr>
        <w:pStyle w:val="TextoNormalNegritaCursivandice"/>
      </w:pPr>
      <w:r>
        <w:t>Convenio de aplicación de 19 de junio de 1990 del Tratado de Schengen, de 14 de junio de 1985, relativo a la supresión gradual de controles en las fronteras comunes, ratificado por España por Instrumento de 23 de julio de 1993 (Schengen II)</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r w:rsidRPr="007F4918">
        <w:rPr>
          <w:rStyle w:val="TextoNormalNegritaCaracter"/>
        </w:rPr>
        <w:t>Artículo 20.</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p>
    <w:p w:rsidR="007F4918" w:rsidRDefault="007F4918" w:rsidP="007F4918">
      <w:pPr>
        <w:pStyle w:val="TextoNormalNegritaCursivandice"/>
      </w:pPr>
      <w:r>
        <w:t>Convenio de Río de Janeiro, de 5 de junio de 1992.  Diversidad biológica, ratificado por Instrumento de 16 de noviembre de 1993.</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TextoNormal"/>
      </w:pPr>
    </w:p>
    <w:p w:rsidR="007F4918" w:rsidRDefault="007F4918" w:rsidP="007F4918">
      <w:pPr>
        <w:pStyle w:val="SangriaFrancesaArticulo"/>
      </w:pPr>
      <w:bookmarkStart w:id="190" w:name="INDICE22871"/>
    </w:p>
    <w:bookmarkEnd w:id="190"/>
    <w:p w:rsidR="007F4918" w:rsidRDefault="007F4918" w:rsidP="007F4918">
      <w:pPr>
        <w:pStyle w:val="TextoIndiceNivel2"/>
        <w:suppressAutoHyphens/>
      </w:pPr>
      <w:r>
        <w:t>M) Unión Europea</w:t>
      </w:r>
    </w:p>
    <w:p w:rsidR="007F4918" w:rsidRDefault="007F4918" w:rsidP="007F4918">
      <w:pPr>
        <w:pStyle w:val="TextoIndiceNivel2"/>
      </w:pPr>
    </w:p>
    <w:p w:rsidR="007F4918" w:rsidRDefault="007F4918" w:rsidP="007F4918">
      <w:pPr>
        <w:pStyle w:val="TextoNormalNegritaCursivandice"/>
      </w:pPr>
      <w:r>
        <w:t>Tratado constitutivo de la Comunidad Económica Europea, firmado en Roma el 25 de marzo de 1957</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ff. 1, 2, VP I.</w:t>
      </w:r>
    </w:p>
    <w:p w:rsidR="007F4918" w:rsidRDefault="007F4918" w:rsidP="007F4918">
      <w:pPr>
        <w:pStyle w:val="SangriaFrancesaArticulo"/>
      </w:pPr>
      <w:r w:rsidRPr="007F4918">
        <w:rPr>
          <w:rStyle w:val="TextoNormalNegritaCaracter"/>
        </w:rPr>
        <w:t>Artículo 52.</w:t>
      </w:r>
      <w:r w:rsidRPr="007F4918">
        <w:rPr>
          <w:rStyle w:val="TextoNormalCaracter"/>
        </w:rPr>
        <w:t>-</w:t>
      </w:r>
      <w:r>
        <w:t xml:space="preserve"> Sentencia </w:t>
      </w:r>
      <w:hyperlink w:anchor="SENTENCIA_2002_96" w:history="1">
        <w:r w:rsidRPr="007F4918">
          <w:rPr>
            <w:rStyle w:val="TextoNormalCaracter"/>
          </w:rPr>
          <w:t>96/2002</w:t>
        </w:r>
      </w:hyperlink>
      <w:r>
        <w:t>, f. 2, VP I.</w:t>
      </w:r>
    </w:p>
    <w:p w:rsidR="007F4918" w:rsidRDefault="007F4918" w:rsidP="007F4918">
      <w:pPr>
        <w:pStyle w:val="SangriaFrancesaArticulo"/>
      </w:pPr>
      <w:r w:rsidRPr="007F4918">
        <w:rPr>
          <w:rStyle w:val="TextoNormalNegritaCaracter"/>
        </w:rPr>
        <w:t>Artículo 92.1.</w:t>
      </w:r>
      <w:r w:rsidRPr="007F4918">
        <w:rPr>
          <w:rStyle w:val="TextoNormalCaracter"/>
        </w:rPr>
        <w:t>-</w:t>
      </w:r>
      <w:r>
        <w:t xml:space="preserve"> Sentencia </w:t>
      </w:r>
      <w:hyperlink w:anchor="SENTENCIA_2002_96" w:history="1">
        <w:r w:rsidRPr="007F4918">
          <w:rPr>
            <w:rStyle w:val="TextoNormalCaracter"/>
          </w:rPr>
          <w:t>96/2002</w:t>
        </w:r>
      </w:hyperlink>
      <w:r>
        <w:t>, f. 2.</w:t>
      </w:r>
    </w:p>
    <w:p w:rsidR="007F4918" w:rsidRDefault="007F4918" w:rsidP="007F4918">
      <w:pPr>
        <w:pStyle w:val="SangriaFrancesaArticulo"/>
      </w:pPr>
    </w:p>
    <w:p w:rsidR="007F4918" w:rsidRDefault="007F4918" w:rsidP="007F4918">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7F4918" w:rsidRDefault="007F4918" w:rsidP="007F4918">
      <w:pPr>
        <w:pStyle w:val="SangriaFrancesaArticulo"/>
      </w:pPr>
      <w:r w:rsidRPr="007F4918">
        <w:rPr>
          <w:rStyle w:val="TextoNormalNegritaCaracter"/>
        </w:rPr>
        <w:t>Artículo 1.1.</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r w:rsidRPr="007F4918">
        <w:rPr>
          <w:rStyle w:val="TextoNormalNegritaCaracter"/>
        </w:rPr>
        <w:t>Artículo 2.1.</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Directiva 84/5/CEE del Consejo, de 30 de diciembre de 1983. Aproximación de las legislaciones de los Estados miembros sobre el seguro de responsabilidad civil que resulta de la circulación de los vehículos automóviles (segunda directiva)</w:t>
      </w:r>
    </w:p>
    <w:p w:rsidR="007F4918" w:rsidRDefault="007F4918" w:rsidP="007F4918">
      <w:pPr>
        <w:pStyle w:val="SangriaFrancesaArticulo"/>
      </w:pPr>
      <w:r w:rsidRPr="007F4918">
        <w:rPr>
          <w:rStyle w:val="TextoNormalNegritaCaracter"/>
        </w:rPr>
        <w:t>Artículo 1.2.</w:t>
      </w:r>
      <w:r w:rsidRPr="007F4918">
        <w:rPr>
          <w:rStyle w:val="TextoNormalCaracter"/>
        </w:rPr>
        <w:t>-</w:t>
      </w:r>
      <w:r>
        <w:t xml:space="preserve"> Sentencia </w:t>
      </w:r>
      <w:hyperlink w:anchor="SENTENCIA_2002_19" w:history="1">
        <w:r w:rsidRPr="007F4918">
          <w:rPr>
            <w:rStyle w:val="TextoNormalCaracter"/>
          </w:rPr>
          <w:t>19/2002</w:t>
        </w:r>
      </w:hyperlink>
      <w:r>
        <w:t>, f. 3.</w:t>
      </w:r>
    </w:p>
    <w:p w:rsidR="007F4918" w:rsidRDefault="007F4918" w:rsidP="007F4918">
      <w:pPr>
        <w:pStyle w:val="SangriaFrancesaArticulo"/>
      </w:pPr>
    </w:p>
    <w:p w:rsidR="007F4918" w:rsidRDefault="007F4918" w:rsidP="007F4918">
      <w:pPr>
        <w:pStyle w:val="TextoNormalNegritaCursivandice"/>
      </w:pPr>
      <w:r>
        <w:t>Directiva 88/361/CEE del Consejo, de 24 de junio de 1988. Aplicación del artículo 67 del Tratado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5" w:history="1">
        <w:r w:rsidRPr="007F4918">
          <w:rPr>
            <w:rStyle w:val="TextoNormalCaracter"/>
          </w:rPr>
          <w:t>75/2002</w:t>
        </w:r>
      </w:hyperlink>
      <w:r>
        <w:t>, f. 6.</w:t>
      </w:r>
    </w:p>
    <w:p w:rsidR="007F4918" w:rsidRDefault="007F4918" w:rsidP="007F4918">
      <w:pPr>
        <w:pStyle w:val="SangriaFrancesaArticulo"/>
      </w:pPr>
    </w:p>
    <w:p w:rsidR="007F4918" w:rsidRDefault="007F4918" w:rsidP="007F4918">
      <w:pPr>
        <w:pStyle w:val="TextoNormalNegritaCursivandice"/>
      </w:pPr>
      <w:r>
        <w:lastRenderedPageBreak/>
        <w:t>Convenio de Dublín de 15 de junio de 1990.  Determinación del Estado responsable del examen de las solicitudes de asilo presentadas en los Estados miembros de las Comunidades Europeas</w:t>
      </w:r>
    </w:p>
    <w:p w:rsidR="007F4918" w:rsidRDefault="007F4918" w:rsidP="007F4918">
      <w:pPr>
        <w:pStyle w:val="SangriaFrancesaArticulo"/>
      </w:pPr>
      <w:r w:rsidRPr="007F4918">
        <w:rPr>
          <w:rStyle w:val="TextoNormalNegritaCaracter"/>
        </w:rPr>
        <w:t>Artículo 3.2.</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r w:rsidRPr="007F4918">
        <w:rPr>
          <w:rStyle w:val="TextoNormalNegritaCaracter"/>
        </w:rPr>
        <w:t>Artículo 4 a 8.</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p>
    <w:p w:rsidR="007F4918" w:rsidRDefault="007F4918" w:rsidP="007F4918">
      <w:pPr>
        <w:pStyle w:val="TextoNormalNegritaCursivandice"/>
      </w:pPr>
      <w:r>
        <w:t>Tratado de Maastricht, de 7 de febrero de 1992. Tratado de la Unión Europea</w:t>
      </w:r>
    </w:p>
    <w:p w:rsidR="007F4918" w:rsidRDefault="007F4918" w:rsidP="007F4918">
      <w:pPr>
        <w:pStyle w:val="SangriaFrancesaArticulo"/>
      </w:pPr>
      <w:r w:rsidRPr="007F4918">
        <w:rPr>
          <w:rStyle w:val="TextoNormalNegritaCaracter"/>
        </w:rPr>
        <w:t>Artículo 2</w:t>
      </w:r>
      <w:r>
        <w:t xml:space="preserve"> </w:t>
      </w:r>
      <w:r w:rsidRPr="007F4918">
        <w:rPr>
          <w:rStyle w:val="TextoNormalCaracter"/>
        </w:rPr>
        <w:t>(redactado por el Tratado de Amsterdam, de 22 de octubre de 1997)</w:t>
      </w:r>
      <w:r w:rsidRPr="007F4918">
        <w:rPr>
          <w:rStyle w:val="TextoNormalNegritaCaracter"/>
        </w:rPr>
        <w:t>.</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r w:rsidRPr="007F4918">
        <w:rPr>
          <w:rStyle w:val="TextoNormalNegritaCaracter"/>
        </w:rPr>
        <w:t>Artículo 130R.</w:t>
      </w:r>
      <w:r w:rsidRPr="007F4918">
        <w:rPr>
          <w:rStyle w:val="TextoNormalCaracter"/>
        </w:rPr>
        <w:t>-</w:t>
      </w:r>
      <w:r>
        <w:t xml:space="preserve"> Sentencia </w:t>
      </w:r>
      <w:hyperlink w:anchor="SENTENCIA_2002_38" w:history="1">
        <w:r w:rsidRPr="007F4918">
          <w:rPr>
            <w:rStyle w:val="TextoNormalCaracter"/>
          </w:rPr>
          <w:t>38/2002</w:t>
        </w:r>
      </w:hyperlink>
      <w:r>
        <w:t>, VP.</w:t>
      </w:r>
    </w:p>
    <w:p w:rsidR="007F4918" w:rsidRDefault="007F4918" w:rsidP="007F4918">
      <w:pPr>
        <w:pStyle w:val="SangriaFrancesaArticulo"/>
      </w:pPr>
      <w:r w:rsidRPr="007F4918">
        <w:rPr>
          <w:rStyle w:val="TextoNormalNegritaCaracter"/>
        </w:rPr>
        <w:t>Artículo 227.</w:t>
      </w:r>
      <w:r w:rsidRPr="007F4918">
        <w:rPr>
          <w:rStyle w:val="TextoNormalCaracter"/>
        </w:rPr>
        <w:t>-</w:t>
      </w:r>
      <w:r>
        <w:t xml:space="preserve"> Sentencia </w:t>
      </w:r>
      <w:hyperlink w:anchor="SENTENCIA_2002_41" w:history="1">
        <w:r w:rsidRPr="007F4918">
          <w:rPr>
            <w:rStyle w:val="TextoNormalCaracter"/>
          </w:rPr>
          <w:t>41/2002</w:t>
        </w:r>
      </w:hyperlink>
      <w:r>
        <w:t>, f. 2.</w:t>
      </w:r>
    </w:p>
    <w:p w:rsidR="007F4918" w:rsidRDefault="007F4918" w:rsidP="007F4918">
      <w:pPr>
        <w:pStyle w:val="SangriaFrancesaArticulo"/>
      </w:pPr>
    </w:p>
    <w:p w:rsidR="007F4918" w:rsidRDefault="007F4918" w:rsidP="007F4918">
      <w:pPr>
        <w:pStyle w:val="TextoNormalNegritaCursivandice"/>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7F4918" w:rsidRDefault="007F4918" w:rsidP="007F4918">
      <w:pPr>
        <w:pStyle w:val="SangriaFrancesaArticulo"/>
      </w:pPr>
      <w:r w:rsidRPr="007F4918">
        <w:rPr>
          <w:rStyle w:val="TextoNormalNegritaCaracter"/>
        </w:rPr>
        <w:t>Artículo 10.1.</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Reglamento (CEE) núm. 3760/92 del Consejo, de 20 de diciembre de 1992. Régimen comunitario de la pesca y la acuicultura</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r w:rsidRPr="007F4918">
        <w:rPr>
          <w:rStyle w:val="TextoNormalNegritaCaracter"/>
        </w:rPr>
        <w:t>Artículo 4.</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t>Decisión 1993/337/CEE de la Comisión, de 10 de mayo. Sistema de ayudas fiscales a la inversión en el País Vasco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2, VP I, VP II.</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96" w:history="1">
        <w:r w:rsidRPr="007F4918">
          <w:rPr>
            <w:rStyle w:val="TextoNormalCaracter"/>
          </w:rPr>
          <w:t>96/2002</w:t>
        </w:r>
      </w:hyperlink>
      <w:r>
        <w:t>, f. 2.</w:t>
      </w:r>
    </w:p>
    <w:p w:rsidR="007F4918" w:rsidRDefault="007F4918" w:rsidP="007F4918">
      <w:pPr>
        <w:pStyle w:val="SangriaFrancesaArticulo"/>
      </w:pPr>
    </w:p>
    <w:p w:rsidR="007F4918" w:rsidRDefault="007F4918" w:rsidP="007F4918">
      <w:pPr>
        <w:pStyle w:val="TextoNormalNegritaCursivandice"/>
      </w:pPr>
      <w:r>
        <w:t>Reglamento (CE) núm. 3699/93 del Consejo, de 21 de diciembre de 1993. Criterios y condiciones de las intervenciones comunitarias con finalidad estructural en el sector de la pesca, la acuicultura y la transformación y comercialización de sus productos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t>Reglamento (CE) núm. 1626/94 del Consejo, de 27 de junio de 1994. Medidas técnicas de conservación de los recursos pesqueros en el Mediterráneo.</w:t>
      </w:r>
    </w:p>
    <w:p w:rsidR="007F4918" w:rsidRDefault="007F4918" w:rsidP="007F4918">
      <w:pPr>
        <w:pStyle w:val="SangriaFrancesaArticulo"/>
      </w:pPr>
      <w:r w:rsidRPr="007F4918">
        <w:rPr>
          <w:rStyle w:val="TextoNormalNegritaCaracter"/>
        </w:rPr>
        <w:t>Artículo 4.1.</w:t>
      </w:r>
      <w:r w:rsidRPr="007F4918">
        <w:rPr>
          <w:rStyle w:val="TextoNormalCaracter"/>
        </w:rPr>
        <w:t>-</w:t>
      </w:r>
      <w:r>
        <w:t xml:space="preserve"> Sentencia </w:t>
      </w:r>
      <w:hyperlink w:anchor="SENTENCIA_2002_38" w:history="1">
        <w:r w:rsidRPr="007F4918">
          <w:rPr>
            <w:rStyle w:val="TextoNormalCaracter"/>
          </w:rPr>
          <w:t>38/2002</w:t>
        </w:r>
      </w:hyperlink>
      <w:r>
        <w:t>, f. 11.</w:t>
      </w:r>
    </w:p>
    <w:p w:rsidR="007F4918" w:rsidRDefault="007F4918" w:rsidP="007F4918">
      <w:pPr>
        <w:pStyle w:val="SangriaFrancesaArticulo"/>
      </w:pPr>
    </w:p>
    <w:p w:rsidR="007F4918" w:rsidRDefault="007F4918" w:rsidP="007F4918">
      <w:pPr>
        <w:pStyle w:val="TextoNormalNegritaCursivandice"/>
      </w:pPr>
      <w:r>
        <w:t>Tratado de Amsterdam, de 22 de octubre de 1997. Modificación del Tratado de la Unión Europea, los Tratados constitutivos de las Comunidades Europeas y determinados actos conexos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p>
    <w:p w:rsidR="007F4918" w:rsidRDefault="007F4918" w:rsidP="007F4918">
      <w:pPr>
        <w:pStyle w:val="TextoNormalNegritaCursivandice"/>
      </w:pPr>
      <w:r>
        <w:t>Carta de los derechos fundamentales de la Unión Europea, firmada en Niza el 7 de diciembre de 2000</w:t>
      </w:r>
    </w:p>
    <w:p w:rsidR="007F4918" w:rsidRDefault="007F4918" w:rsidP="007F4918">
      <w:pPr>
        <w:pStyle w:val="SangriaFrancesaArticulo"/>
      </w:pPr>
      <w:r w:rsidRPr="007F4918">
        <w:rPr>
          <w:rStyle w:val="TextoNormalNegritaCaracter"/>
        </w:rPr>
        <w:lastRenderedPageBreak/>
        <w:t>Capítulo II.</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r w:rsidRPr="007F4918">
        <w:rPr>
          <w:rStyle w:val="TextoNormalNegritaCaracter"/>
        </w:rPr>
        <w:t>Artículo 18.</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r w:rsidRPr="007F4918">
        <w:rPr>
          <w:rStyle w:val="TextoNormalNegritaCaracter"/>
        </w:rPr>
        <w:t>Artículo 19.</w:t>
      </w:r>
      <w:r w:rsidRPr="007F4918">
        <w:rPr>
          <w:rStyle w:val="TextoNormalCaracter"/>
        </w:rPr>
        <w:t>-</w:t>
      </w:r>
      <w:r>
        <w:t xml:space="preserve"> Sentencia </w:t>
      </w:r>
      <w:hyperlink w:anchor="SENTENCIA_2002_53" w:history="1">
        <w:r w:rsidRPr="007F4918">
          <w:rPr>
            <w:rStyle w:val="TextoNormalCaracter"/>
          </w:rPr>
          <w:t>53/2002</w:t>
        </w:r>
      </w:hyperlink>
      <w:r>
        <w:t>, f. 3.</w:t>
      </w:r>
    </w:p>
    <w:p w:rsidR="007F4918" w:rsidRDefault="007F4918" w:rsidP="007F4918">
      <w:pPr>
        <w:pStyle w:val="SangriaFrancesaArticulo"/>
      </w:pPr>
    </w:p>
    <w:p w:rsidR="007F4918" w:rsidRDefault="007F4918" w:rsidP="007F4918">
      <w:pPr>
        <w:pStyle w:val="TextoNormalNegritaCursivandice"/>
      </w:pPr>
      <w:r>
        <w:t>Decisión 2002/806/CE de la Comisión, de 11 de julio de 2001. Régimen de ayudas estatales aplicado por España en favor de algunas empresas de reciente creación en Vizcaya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 9.</w:t>
      </w:r>
    </w:p>
    <w:p w:rsidR="007F4918" w:rsidRDefault="007F4918" w:rsidP="007F4918">
      <w:pPr>
        <w:pStyle w:val="SangriaFrancesaArticulo"/>
      </w:pPr>
    </w:p>
    <w:p w:rsidR="007F4918" w:rsidRDefault="007F4918" w:rsidP="007F4918">
      <w:pPr>
        <w:pStyle w:val="TextoNormalNegritaCursivandice"/>
      </w:pPr>
      <w:r>
        <w:t>Decisión de la Comisión de las Comunidades Europeas de 11 de julio de 2001.  Régimen de ayudas estatales aplicado por España a algunas empresas de reciente creación en Álava, Guipúzcoa, Vizcaya y Navarra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6" w:history="1">
        <w:r w:rsidRPr="007F4918">
          <w:rPr>
            <w:rStyle w:val="TextoNormalCaracter"/>
          </w:rPr>
          <w:t>96/2002</w:t>
        </w:r>
      </w:hyperlink>
      <w:r>
        <w:t>, ff. 9, 10, VP I.</w:t>
      </w:r>
    </w:p>
    <w:p w:rsidR="007F4918" w:rsidRDefault="007F4918" w:rsidP="007F4918">
      <w:pPr>
        <w:pStyle w:val="TextoNormal"/>
      </w:pPr>
    </w:p>
    <w:p w:rsidR="007F4918" w:rsidRDefault="007F4918" w:rsidP="007F4918">
      <w:pPr>
        <w:pStyle w:val="SangriaFrancesaArticulo"/>
      </w:pPr>
      <w:bookmarkStart w:id="191" w:name="INDICE27994"/>
    </w:p>
    <w:bookmarkEnd w:id="191"/>
    <w:p w:rsidR="007F4918" w:rsidRDefault="007F4918" w:rsidP="007F4918">
      <w:pPr>
        <w:pStyle w:val="TextoIndiceNivel2"/>
        <w:suppressAutoHyphens/>
      </w:pPr>
      <w:r>
        <w:t>N) Consejo de Europa</w:t>
      </w:r>
    </w:p>
    <w:p w:rsidR="007F4918" w:rsidRDefault="007F4918" w:rsidP="007F4918">
      <w:pPr>
        <w:pStyle w:val="TextoIndiceNivel2"/>
      </w:pPr>
    </w:p>
    <w:p w:rsidR="007F4918" w:rsidRDefault="007F4918" w:rsidP="007F4918">
      <w:pPr>
        <w:pStyle w:val="TextoNormalNegritaCursivandice"/>
      </w:pPr>
      <w:r>
        <w:t>Convenio europeo para la protección de los derechos humanos y de las libertades fundamentales. Hecho en Roma el 4 de noviembre de 1950, ratificado por Instrumento de 26 de septiembre de 1979</w:t>
      </w:r>
    </w:p>
    <w:p w:rsidR="007F4918" w:rsidRDefault="007F4918" w:rsidP="007F4918">
      <w:pPr>
        <w:pStyle w:val="SangriaFrancesaArticulo"/>
      </w:pPr>
      <w:r w:rsidRPr="007F4918">
        <w:rPr>
          <w:rStyle w:val="TextoNormalNegritaCaracter"/>
        </w:rPr>
        <w:t>Artículo 1.</w:t>
      </w:r>
      <w:r w:rsidRPr="007F4918">
        <w:rPr>
          <w:rStyle w:val="TextoNormalCaracter"/>
        </w:rPr>
        <w:t>-</w:t>
      </w:r>
      <w:r>
        <w:t xml:space="preserve"> Sentencia </w:t>
      </w:r>
      <w:hyperlink w:anchor="SENTENCIA_2002_53" w:history="1">
        <w:r w:rsidRPr="007F4918">
          <w:rPr>
            <w:rStyle w:val="TextoNormalCaracter"/>
          </w:rPr>
          <w:t>53/2002</w:t>
        </w:r>
      </w:hyperlink>
      <w:r>
        <w:t>, f. 4.</w:t>
      </w:r>
    </w:p>
    <w:p w:rsidR="007F4918" w:rsidRDefault="007F4918" w:rsidP="007F4918">
      <w:pPr>
        <w:pStyle w:val="SangriaFrancesaArticulo"/>
      </w:pPr>
      <w:r w:rsidRPr="007F4918">
        <w:rPr>
          <w:rStyle w:val="TextoNormalNegritaCaracter"/>
        </w:rPr>
        <w:t>Artículo 5.</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Artículo 5.1 f).</w:t>
      </w:r>
      <w:r w:rsidRPr="007F4918">
        <w:rPr>
          <w:rStyle w:val="TextoNormalCaracter"/>
        </w:rPr>
        <w:t>-</w:t>
      </w:r>
      <w:r>
        <w:t xml:space="preserve"> Sentencia </w:t>
      </w:r>
      <w:hyperlink w:anchor="SENTENCIA_2002_53" w:history="1">
        <w:r w:rsidRPr="007F4918">
          <w:rPr>
            <w:rStyle w:val="TextoNormalCaracter"/>
          </w:rPr>
          <w:t>53/2002</w:t>
        </w:r>
      </w:hyperlink>
      <w:r>
        <w:t>, f. 10.</w:t>
      </w:r>
    </w:p>
    <w:p w:rsidR="007F4918" w:rsidRDefault="007F4918" w:rsidP="007F4918">
      <w:pPr>
        <w:pStyle w:val="SangriaFrancesaArticulo"/>
      </w:pPr>
      <w:r w:rsidRPr="007F4918">
        <w:rPr>
          <w:rStyle w:val="TextoNormalNegritaCaracter"/>
        </w:rPr>
        <w:t>Artículo 5.3.</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r w:rsidRPr="007F4918">
        <w:rPr>
          <w:rStyle w:val="TextoNormalNegritaCaracter"/>
        </w:rPr>
        <w:t>Artículo 6.</w:t>
      </w:r>
      <w:r w:rsidRPr="007F4918">
        <w:rPr>
          <w:rStyle w:val="TextoNormalCaracter"/>
        </w:rPr>
        <w:t>-</w:t>
      </w:r>
      <w:r>
        <w:t xml:space="preserve"> Sentencias </w:t>
      </w:r>
      <w:hyperlink w:anchor="SENTENCIA_2002_2" w:history="1">
        <w:r w:rsidRPr="007F4918">
          <w:rPr>
            <w:rStyle w:val="TextoNormalCaracter"/>
          </w:rPr>
          <w:t>2/2002</w:t>
        </w:r>
      </w:hyperlink>
      <w:r>
        <w:t xml:space="preserve">, f. 6; </w:t>
      </w:r>
      <w:hyperlink w:anchor="SENTENCIA_2002_57" w:history="1">
        <w:r w:rsidRPr="007F4918">
          <w:rPr>
            <w:rStyle w:val="TextoNormalCaracter"/>
          </w:rPr>
          <w:t>57/2002</w:t>
        </w:r>
      </w:hyperlink>
      <w:r>
        <w:t>, f. 4.</w:t>
      </w:r>
    </w:p>
    <w:p w:rsidR="007F4918" w:rsidRDefault="007F4918" w:rsidP="007F4918">
      <w:pPr>
        <w:pStyle w:val="SangriaFrancesaArticulo"/>
      </w:pPr>
      <w:r w:rsidRPr="007F4918">
        <w:rPr>
          <w:rStyle w:val="TextoNormalNegritaCaracter"/>
        </w:rPr>
        <w:t>Artículo 6.1.</w:t>
      </w:r>
      <w:r w:rsidRPr="007F4918">
        <w:rPr>
          <w:rStyle w:val="TextoNormalCaracter"/>
        </w:rPr>
        <w:t>-</w:t>
      </w:r>
      <w:r>
        <w:t xml:space="preserve"> Sentencias </w:t>
      </w:r>
      <w:hyperlink w:anchor="SENTENCIA_2002_7" w:history="1">
        <w:r w:rsidRPr="007F4918">
          <w:rPr>
            <w:rStyle w:val="TextoNormalCaracter"/>
          </w:rPr>
          <w:t>7/2002</w:t>
        </w:r>
      </w:hyperlink>
      <w:r>
        <w:t xml:space="preserve">, f. 7; </w:t>
      </w:r>
      <w:hyperlink w:anchor="SENTENCIA_2002_68" w:history="1">
        <w:r w:rsidRPr="007F4918">
          <w:rPr>
            <w:rStyle w:val="TextoNormalCaracter"/>
          </w:rPr>
          <w:t>68/2002</w:t>
        </w:r>
      </w:hyperlink>
      <w:r>
        <w:t xml:space="preserve">, f. 10; </w:t>
      </w:r>
      <w:hyperlink w:anchor="SENTENCIA_2002_70" w:history="1">
        <w:r w:rsidRPr="007F4918">
          <w:rPr>
            <w:rStyle w:val="TextoNormalCaracter"/>
          </w:rPr>
          <w:t>70/2002</w:t>
        </w:r>
      </w:hyperlink>
      <w:r>
        <w:t xml:space="preserve">, f. 7; </w:t>
      </w:r>
      <w:hyperlink w:anchor="SENTENCIA_2002_90" w:history="1">
        <w:r w:rsidRPr="007F4918">
          <w:rPr>
            <w:rStyle w:val="TextoNormalCaracter"/>
          </w:rPr>
          <w:t>90/2002</w:t>
        </w:r>
      </w:hyperlink>
      <w:r>
        <w:t xml:space="preserve">, f. 3;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Artículo 6.2.</w:t>
      </w:r>
      <w:r w:rsidRPr="007F4918">
        <w:rPr>
          <w:rStyle w:val="TextoNormalCaracter"/>
        </w:rPr>
        <w:t>-</w:t>
      </w:r>
      <w:r>
        <w:t xml:space="preserve"> Sentencia </w:t>
      </w:r>
      <w:hyperlink w:anchor="SENTENCIA_2002_17" w:history="1">
        <w:r w:rsidRPr="007F4918">
          <w:rPr>
            <w:rStyle w:val="TextoNormalCaracter"/>
          </w:rPr>
          <w:t>17/2002</w:t>
        </w:r>
      </w:hyperlink>
      <w:r>
        <w:t>, f. 3.</w:t>
      </w:r>
    </w:p>
    <w:p w:rsidR="007F4918" w:rsidRDefault="007F4918" w:rsidP="007F4918">
      <w:pPr>
        <w:pStyle w:val="SangriaFrancesaArticulo"/>
      </w:pPr>
      <w:r w:rsidRPr="007F4918">
        <w:rPr>
          <w:rStyle w:val="TextoNormalNegritaCaracter"/>
        </w:rPr>
        <w:t>Artículo 6.3.</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r w:rsidRPr="007F4918">
        <w:rPr>
          <w:rStyle w:val="TextoNormalNegritaCaracter"/>
        </w:rPr>
        <w:t>Artículo 6.3 d).</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xml:space="preserve">, f. 3; </w:t>
      </w:r>
      <w:hyperlink w:anchor="SENTENCIA_2002_68" w:history="1">
        <w:r w:rsidRPr="007F4918">
          <w:rPr>
            <w:rStyle w:val="TextoNormalCaracter"/>
          </w:rPr>
          <w:t>68/2002</w:t>
        </w:r>
      </w:hyperlink>
      <w:r>
        <w:t xml:space="preserve">, f. 6;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Artículo 8.1.</w:t>
      </w:r>
      <w:r w:rsidRPr="007F4918">
        <w:rPr>
          <w:rStyle w:val="TextoNormalCaracter"/>
        </w:rPr>
        <w:t>-</w:t>
      </w:r>
      <w:r>
        <w:t xml:space="preserve"> Sentencia </w:t>
      </w:r>
      <w:hyperlink w:anchor="SENTENCIA_2002_10" w:history="1">
        <w:r w:rsidRPr="007F4918">
          <w:rPr>
            <w:rStyle w:val="TextoNormalCaracter"/>
          </w:rPr>
          <w:t>10/2002</w:t>
        </w:r>
      </w:hyperlink>
      <w:r>
        <w:t>, f. 5.</w:t>
      </w:r>
    </w:p>
    <w:p w:rsidR="007F4918" w:rsidRDefault="007F4918" w:rsidP="007F4918">
      <w:pPr>
        <w:pStyle w:val="SangriaFrancesaArticulo"/>
      </w:pPr>
      <w:r w:rsidRPr="007F4918">
        <w:rPr>
          <w:rStyle w:val="TextoNormalNegritaCaracter"/>
        </w:rPr>
        <w:t>Artículo 10.1.</w:t>
      </w:r>
      <w:r w:rsidRPr="007F4918">
        <w:rPr>
          <w:rStyle w:val="TextoNormalCaracter"/>
        </w:rPr>
        <w:t>-</w:t>
      </w:r>
      <w:r>
        <w:t xml:space="preserve"> Sentencia </w:t>
      </w:r>
      <w:hyperlink w:anchor="SENTENCIA_2002_76" w:history="1">
        <w:r w:rsidRPr="007F4918">
          <w:rPr>
            <w:rStyle w:val="TextoNormalCaracter"/>
          </w:rPr>
          <w:t>76/2002</w:t>
        </w:r>
      </w:hyperlink>
      <w:r>
        <w:t>, f. 2.</w:t>
      </w:r>
    </w:p>
    <w:p w:rsidR="007F4918" w:rsidRDefault="007F4918" w:rsidP="007F4918">
      <w:pPr>
        <w:pStyle w:val="SangriaFrancesaArticulo"/>
      </w:pPr>
      <w:r w:rsidRPr="007F4918">
        <w:rPr>
          <w:rStyle w:val="TextoNormalNegritaCaracter"/>
        </w:rPr>
        <w:t>Artículo 10.2.</w:t>
      </w:r>
      <w:r w:rsidRPr="007F4918">
        <w:rPr>
          <w:rStyle w:val="TextoNormalCaracter"/>
        </w:rPr>
        <w:t>-</w:t>
      </w:r>
      <w:r>
        <w:t xml:space="preserve"> Sentencias </w:t>
      </w:r>
      <w:hyperlink w:anchor="SENTENCIA_2002_76" w:history="1">
        <w:r w:rsidRPr="007F4918">
          <w:rPr>
            <w:rStyle w:val="TextoNormalCaracter"/>
          </w:rPr>
          <w:t>76/2002</w:t>
        </w:r>
      </w:hyperlink>
      <w:r>
        <w:t xml:space="preserve">, f. 2; </w:t>
      </w:r>
      <w:hyperlink w:anchor="SENTENCIA_2002_79" w:history="1">
        <w:r w:rsidRPr="007F4918">
          <w:rPr>
            <w:rStyle w:val="TextoNormalCaracter"/>
          </w:rPr>
          <w:t>79/2002</w:t>
        </w:r>
      </w:hyperlink>
      <w:r>
        <w:t>, f. 6, VP.</w:t>
      </w:r>
    </w:p>
    <w:p w:rsidR="007F4918" w:rsidRDefault="007F4918" w:rsidP="007F4918">
      <w:pPr>
        <w:pStyle w:val="SangriaIzquierdaArticulo"/>
      </w:pPr>
      <w:r>
        <w:t xml:space="preserve">Auto </w:t>
      </w:r>
      <w:hyperlink w:anchor="AUTO_2002_43" w:history="1">
        <w:r w:rsidRPr="007F4918">
          <w:rPr>
            <w:rStyle w:val="TextoNormalCaracter"/>
          </w:rPr>
          <w:t>43/2002</w:t>
        </w:r>
      </w:hyperlink>
      <w:r>
        <w:t>.</w:t>
      </w:r>
    </w:p>
    <w:p w:rsidR="007F4918" w:rsidRDefault="007F4918" w:rsidP="007F4918">
      <w:pPr>
        <w:pStyle w:val="SangriaFrancesaArticulo"/>
      </w:pPr>
      <w:r w:rsidRPr="007F4918">
        <w:rPr>
          <w:rStyle w:val="TextoNormalNegritaCaracter"/>
        </w:rPr>
        <w:t>Artículo 14.</w:t>
      </w:r>
      <w:r w:rsidRPr="007F4918">
        <w:rPr>
          <w:rStyle w:val="TextoNormalCaracter"/>
        </w:rPr>
        <w:t>-</w:t>
      </w:r>
      <w:r>
        <w:t xml:space="preserve"> Sentencia </w:t>
      </w:r>
      <w:r w:rsidRPr="007F4918">
        <w:rPr>
          <w:rStyle w:val="TextoNormalCaracter"/>
        </w:rPr>
        <w:fldChar w:fldCharType="begin"/>
      </w:r>
      <w:r w:rsidRPr="007F4918">
        <w:rPr>
          <w:rStyle w:val="TextoNormalCaracter"/>
        </w:rPr>
        <w:instrText xml:space="preserve"> </w:instrText>
      </w:r>
      <w:r w:rsidR="00795BAF">
        <w:rPr>
          <w:rStyle w:val="TextoNormalCaracter"/>
        </w:rPr>
        <w:fldChar w:fldCharType="begin"/>
      </w:r>
      <w:r w:rsidR="00795BAF">
        <w:rPr>
          <w:rStyle w:val="TextoNormalCaracter"/>
        </w:rPr>
        <w:instrText xml:space="preserve"> PAGEREF SUMARIOSINDICES \h </w:instrText>
      </w:r>
      <w:r w:rsidR="00795BAF">
        <w:rPr>
          <w:rStyle w:val="TextoNormalCaracter"/>
        </w:rPr>
      </w:r>
      <w:r w:rsidR="00795BAF">
        <w:rPr>
          <w:rStyle w:val="TextoNormalCaracter"/>
        </w:rPr>
        <w:fldChar w:fldCharType="separate"/>
      </w:r>
      <w:r w:rsidR="00CE7DF5">
        <w:rPr>
          <w:rStyle w:val="TextoNormalCaracter"/>
          <w:noProof/>
        </w:rPr>
        <w:instrText>2</w:instrText>
      </w:r>
      <w:r w:rsidR="00795BAF">
        <w:rPr>
          <w:rStyle w:val="TextoNormalCaracter"/>
        </w:rPr>
        <w:fldChar w:fldCharType="end"/>
      </w:r>
      <w:r w:rsidRPr="007F4918">
        <w:rPr>
          <w:rStyle w:val="TextoNormalCaracter"/>
        </w:rPr>
        <w:instrText xml:space="preserve">HYPERLINK  \l "SENTENCIA_2002_39" </w:instrText>
      </w:r>
      <w:r w:rsidRPr="007F4918">
        <w:rPr>
          <w:rStyle w:val="TextoNormalCaracter"/>
        </w:rPr>
        <w:fldChar w:fldCharType="separate"/>
      </w:r>
      <w:r w:rsidRPr="007F4918">
        <w:rPr>
          <w:rStyle w:val="TextoNormalCaracter"/>
        </w:rPr>
        <w:t>39/2002</w:t>
      </w:r>
      <w:r w:rsidRPr="007F4918">
        <w:rPr>
          <w:rStyle w:val="TextoNormalCaracter"/>
        </w:rPr>
        <w:fldChar w:fldCharType="end"/>
      </w:r>
      <w:r>
        <w:t>, f. 4.</w:t>
      </w:r>
    </w:p>
    <w:p w:rsidR="007F4918" w:rsidRDefault="007F4918" w:rsidP="007F4918">
      <w:pPr>
        <w:pStyle w:val="SangriaFrancesaArticulo"/>
      </w:pPr>
    </w:p>
    <w:p w:rsidR="007F4918" w:rsidRDefault="007F4918" w:rsidP="007F4918">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7F4918" w:rsidRDefault="007F4918" w:rsidP="007F4918">
      <w:pPr>
        <w:pStyle w:val="SangriaFrancesaArticulo"/>
      </w:pPr>
      <w:r w:rsidRPr="007F4918">
        <w:rPr>
          <w:rStyle w:val="TextoNormalNegritaCaracter"/>
        </w:rPr>
        <w:t>Artículo 2.</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r w:rsidRPr="007F4918">
        <w:rPr>
          <w:rStyle w:val="TextoNormalNegritaCaracter"/>
        </w:rPr>
        <w:t>Artículo 2.1.</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TextoNormal"/>
      </w:pPr>
    </w:p>
    <w:p w:rsidR="007F4918" w:rsidRDefault="007F4918" w:rsidP="007F4918">
      <w:pPr>
        <w:pStyle w:val="SangriaFrancesaArticulo"/>
      </w:pPr>
      <w:bookmarkStart w:id="192" w:name="INDICE22872"/>
    </w:p>
    <w:bookmarkEnd w:id="192"/>
    <w:p w:rsidR="007F4918" w:rsidRDefault="007F4918" w:rsidP="007F4918">
      <w:pPr>
        <w:pStyle w:val="TextoIndiceNivel2"/>
        <w:suppressAutoHyphens/>
      </w:pPr>
      <w:r>
        <w:t>Ñ) Legislación extranjera</w:t>
      </w:r>
    </w:p>
    <w:p w:rsidR="007F4918" w:rsidRDefault="007F4918" w:rsidP="007F4918">
      <w:pPr>
        <w:pStyle w:val="TextoIndiceNivel2"/>
      </w:pPr>
    </w:p>
    <w:p w:rsidR="007F4918" w:rsidRDefault="007F4918" w:rsidP="007F4918">
      <w:pPr>
        <w:pStyle w:val="TextoNormalNegritaCursivandice"/>
      </w:pPr>
      <w:r>
        <w:t>Ley de 18 de agosto de 1896. Código civil de la República Federal de Alemania</w:t>
      </w:r>
    </w:p>
    <w:p w:rsidR="007F4918" w:rsidRDefault="007F4918" w:rsidP="007F4918">
      <w:pPr>
        <w:pStyle w:val="SangriaFrancesaArticulo"/>
      </w:pPr>
      <w:r w:rsidRPr="007F4918">
        <w:rPr>
          <w:rStyle w:val="TextoNormalNegritaCaracter"/>
        </w:rPr>
        <w:t>Artículo 15 apartados 1, 2.</w:t>
      </w:r>
      <w:r w:rsidRPr="007F4918">
        <w:rPr>
          <w:rStyle w:val="TextoNormalCaracter"/>
        </w:rPr>
        <w:t>-</w:t>
      </w:r>
      <w:r>
        <w:t xml:space="preserve"> Sentencia </w:t>
      </w:r>
      <w:hyperlink w:anchor="SENTENCIA_2002_39" w:history="1">
        <w:r w:rsidRPr="007F4918">
          <w:rPr>
            <w:rStyle w:val="TextoNormalCaracter"/>
          </w:rPr>
          <w:t>39/2002</w:t>
        </w:r>
      </w:hyperlink>
      <w:r>
        <w:t>, f. 5.</w:t>
      </w:r>
    </w:p>
    <w:p w:rsidR="007F4918" w:rsidRDefault="007F4918" w:rsidP="007F4918">
      <w:pPr>
        <w:pStyle w:val="SangriaFrancesaArticulo"/>
      </w:pPr>
    </w:p>
    <w:p w:rsidR="007F4918" w:rsidRDefault="007F4918" w:rsidP="007F4918">
      <w:pPr>
        <w:pStyle w:val="TextoNormalNegritaCursivandice"/>
      </w:pPr>
      <w:r>
        <w:t>Constitución alemana de Weimar, 11 de agosto de 1919</w:t>
      </w:r>
    </w:p>
    <w:p w:rsidR="007F4918" w:rsidRDefault="007F4918" w:rsidP="007F4918">
      <w:pPr>
        <w:pStyle w:val="SangriaFrancesaArticulo"/>
      </w:pPr>
      <w:r w:rsidRPr="007F4918">
        <w:rPr>
          <w:rStyle w:val="TextoNormalNegritaCaracter"/>
        </w:rPr>
        <w:t>Artículo 3.2.</w:t>
      </w:r>
      <w:r w:rsidRPr="007F4918">
        <w:rPr>
          <w:rStyle w:val="TextoNormalCaracter"/>
        </w:rPr>
        <w:t>-</w:t>
      </w:r>
      <w:r>
        <w:t xml:space="preserve"> Sentencia </w:t>
      </w:r>
      <w:hyperlink w:anchor="SENTENCIA_2002_39" w:history="1">
        <w:r w:rsidRPr="007F4918">
          <w:rPr>
            <w:rStyle w:val="TextoNormalCaracter"/>
          </w:rPr>
          <w:t>39/2002</w:t>
        </w:r>
      </w:hyperlink>
      <w:r>
        <w:t>, f. 5.</w:t>
      </w:r>
    </w:p>
    <w:p w:rsidR="007F4918" w:rsidRDefault="007F4918" w:rsidP="007F4918">
      <w:pPr>
        <w:pStyle w:val="SangriaFrancesaArticulo"/>
      </w:pPr>
    </w:p>
    <w:p w:rsidR="007F4918" w:rsidRDefault="007F4918" w:rsidP="007F4918">
      <w:pPr>
        <w:pStyle w:val="TextoNormalNegritaCursivandice"/>
      </w:pPr>
      <w:r>
        <w:t>Ley Fundamental de la República Federal de Alemania, de 23 de mayo de 1949</w:t>
      </w:r>
    </w:p>
    <w:p w:rsidR="007F4918" w:rsidRDefault="007F4918" w:rsidP="007F4918">
      <w:pPr>
        <w:pStyle w:val="SangriaFrancesaArticulo"/>
      </w:pPr>
      <w:r w:rsidRPr="007F4918">
        <w:rPr>
          <w:rStyle w:val="TextoNormalNegritaCaracter"/>
        </w:rPr>
        <w:t>Artículo 3.2.</w:t>
      </w:r>
      <w:r w:rsidRPr="007F4918">
        <w:rPr>
          <w:rStyle w:val="TextoNormalCaracter"/>
        </w:rPr>
        <w:t>-</w:t>
      </w:r>
      <w:r>
        <w:t xml:space="preserve"> Sentencia </w:t>
      </w:r>
      <w:hyperlink w:anchor="SENTENCIA_2002_39" w:history="1">
        <w:r w:rsidRPr="007F4918">
          <w:rPr>
            <w:rStyle w:val="TextoNormalCaracter"/>
          </w:rPr>
          <w:t>39/2002</w:t>
        </w:r>
      </w:hyperlink>
      <w:r>
        <w:t>, f. 5.</w:t>
      </w:r>
    </w:p>
    <w:p w:rsidR="007F4918" w:rsidRDefault="007F4918">
      <w:pPr>
        <w:rPr>
          <w:rFonts w:ascii="Times New Roman" w:eastAsia="Times New Roman" w:hAnsi="Times New Roman" w:cs="Times New Roman"/>
          <w:sz w:val="24"/>
          <w:szCs w:val="24"/>
          <w:lang w:eastAsia="es-ES"/>
        </w:rPr>
      </w:pPr>
      <w:r>
        <w:br w:type="page"/>
      </w:r>
    </w:p>
    <w:p w:rsidR="007F4918" w:rsidRDefault="007F4918" w:rsidP="007F4918">
      <w:pPr>
        <w:pStyle w:val="SangriaFrancesaArticulo"/>
      </w:pPr>
    </w:p>
    <w:p w:rsidR="007F4918" w:rsidRDefault="007F4918" w:rsidP="007F4918">
      <w:pPr>
        <w:pStyle w:val="TextoNormal"/>
      </w:pPr>
    </w:p>
    <w:p w:rsidR="007F4918" w:rsidRDefault="007F4918" w:rsidP="007F4918">
      <w:pPr>
        <w:pStyle w:val="TextoNormal"/>
      </w:pPr>
    </w:p>
    <w:p w:rsidR="007F4918" w:rsidRDefault="007F4918" w:rsidP="007F4918">
      <w:pPr>
        <w:pStyle w:val="TextoNormal"/>
      </w:pPr>
    </w:p>
    <w:p w:rsidR="007F4918" w:rsidRDefault="00BB03C1" w:rsidP="007F4918">
      <w:pPr>
        <w:pStyle w:val="Ttulondice"/>
        <w:suppressAutoHyphens/>
      </w:pPr>
      <w:r>
        <w:t>6.</w:t>
      </w:r>
      <w:r w:rsidR="000F56B7">
        <w:t xml:space="preserve"> ÍNDICE DE RESOLUCIONES JUDICIALES DE OTROS TRIBUNALES CITADAS</w:t>
      </w: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suppressAutoHyphens/>
      </w:pPr>
    </w:p>
    <w:p w:rsidR="007F4918" w:rsidRDefault="007F4918" w:rsidP="007F4918">
      <w:pPr>
        <w:pStyle w:val="TextoNormal"/>
      </w:pPr>
    </w:p>
    <w:p w:rsidR="007F4918" w:rsidRDefault="007F4918" w:rsidP="007F4918">
      <w:pPr>
        <w:pStyle w:val="TextoNormal"/>
      </w:pPr>
      <w:bookmarkStart w:id="193" w:name="INDICE22805"/>
      <w:bookmarkEnd w:id="193"/>
    </w:p>
    <w:p w:rsidR="007F4918" w:rsidRDefault="007F4918" w:rsidP="007F4918">
      <w:pPr>
        <w:pStyle w:val="TextoIndiceNivel2"/>
        <w:suppressAutoHyphens/>
      </w:pPr>
      <w:r>
        <w:t>A) Tribunal Europeo de Derechos Humanos</w:t>
      </w:r>
    </w:p>
    <w:p w:rsidR="007F4918" w:rsidRDefault="007F4918" w:rsidP="007F4918">
      <w:pPr>
        <w:pStyle w:val="TextoIndiceNivel2"/>
      </w:pPr>
    </w:p>
    <w:p w:rsidR="007F4918" w:rsidRDefault="007F4918" w:rsidP="007F4918">
      <w:pPr>
        <w:pStyle w:val="TextoNormalNegritaCursivandice"/>
      </w:pPr>
      <w:r>
        <w:t>Sentencia del Tribunal Europeo de Derechos Humanos de 27 de junio de 1968 (Neumeister c. Austria)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27 de junio de 1968 (Wemhoff c. Alemania)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10 de noviembre de 1969 (Stögmüller c. Austria)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7 de diciembre de 1976 (Handyside c. Reino Unido)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46" w:history="1">
        <w:r w:rsidRPr="007F4918">
          <w:rPr>
            <w:rStyle w:val="TextoNormalCaracter"/>
          </w:rPr>
          <w:t>46/2002</w:t>
        </w:r>
      </w:hyperlink>
      <w:r>
        <w:t xml:space="preserve">, f. 5; </w:t>
      </w:r>
      <w:hyperlink w:anchor="SENTENCIA_2002_52" w:history="1">
        <w:r w:rsidRPr="007F4918">
          <w:rPr>
            <w:rStyle w:val="TextoNormalCaracter"/>
          </w:rPr>
          <w:t>52/2002</w:t>
        </w:r>
      </w:hyperlink>
      <w:r>
        <w:t>, f. 4.</w:t>
      </w:r>
    </w:p>
    <w:p w:rsidR="007F4918" w:rsidRDefault="007F4918" w:rsidP="007F4918">
      <w:pPr>
        <w:pStyle w:val="SangriaIzquierdaArticulo"/>
      </w:pPr>
      <w:r>
        <w:t xml:space="preserve">Auto </w:t>
      </w:r>
      <w:hyperlink w:anchor="AUTO_2002_56" w:history="1">
        <w:r w:rsidRPr="007F4918">
          <w:rPr>
            <w:rStyle w:val="TextoNormalCaracter"/>
          </w:rPr>
          <w:t>56/2002</w:t>
        </w:r>
      </w:hyperlink>
      <w:r>
        <w:t>.</w:t>
      </w:r>
    </w:p>
    <w:p w:rsidR="007F4918" w:rsidRDefault="007F4918" w:rsidP="007F4918">
      <w:pPr>
        <w:pStyle w:val="SangriaIzquierdaArticulo"/>
      </w:pPr>
    </w:p>
    <w:p w:rsidR="007F4918" w:rsidRDefault="007F4918" w:rsidP="007F4918">
      <w:pPr>
        <w:pStyle w:val="TextoNormalNegritaCursivandice"/>
      </w:pPr>
      <w:r>
        <w:t>Sentencia del Tribunal Europeo de Derechos Humanos de 26 de abril de 1979 (Sunday Times  núm. 1 c. Reino Unido)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6" w:history="1">
        <w:r w:rsidRPr="007F4918">
          <w:rPr>
            <w:rStyle w:val="TextoNormalCaracter"/>
          </w:rPr>
          <w:t>76/2002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 de octubre de 1984 (Skoogström c. Suecia)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lastRenderedPageBreak/>
        <w:t>Sentencia del Tribunal Europeo de Derechos Humanos de 8 de julio de 1986  (Lingens c. Austria)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Sentencias </w:t>
      </w:r>
      <w:hyperlink w:anchor="SENTENCIA_2002_46" w:history="1">
        <w:r w:rsidRPr="007F4918">
          <w:rPr>
            <w:rStyle w:val="TextoNormalCaracter"/>
          </w:rPr>
          <w:t>46/2002</w:t>
        </w:r>
      </w:hyperlink>
      <w:r>
        <w:t xml:space="preserve">, f. 5; </w:t>
      </w:r>
      <w:hyperlink w:anchor="SENTENCIA_2002_52" w:history="1">
        <w:r w:rsidRPr="007F4918">
          <w:rPr>
            <w:rStyle w:val="TextoNormalCaracter"/>
          </w:rPr>
          <w:t>52/2002</w:t>
        </w:r>
      </w:hyperlink>
      <w:r>
        <w:t>, f. 4.</w:t>
      </w:r>
    </w:p>
    <w:p w:rsidR="007F4918" w:rsidRDefault="007F4918" w:rsidP="007F4918">
      <w:pPr>
        <w:pStyle w:val="SangriaIzquierdaArticulo"/>
      </w:pPr>
      <w:r>
        <w:t xml:space="preserve">Auto </w:t>
      </w:r>
      <w:hyperlink w:anchor="AUTO_2002_56" w:history="1">
        <w:r w:rsidRPr="007F4918">
          <w:rPr>
            <w:rStyle w:val="TextoNormalCaracter"/>
          </w:rPr>
          <w:t>56/2002</w:t>
        </w:r>
      </w:hyperlink>
      <w:r>
        <w:t>.</w:t>
      </w:r>
    </w:p>
    <w:p w:rsidR="007F4918" w:rsidRDefault="007F4918" w:rsidP="007F4918">
      <w:pPr>
        <w:pStyle w:val="SangriaFrancesaArticulo"/>
      </w:pPr>
      <w:r w:rsidRPr="007F4918">
        <w:rPr>
          <w:rStyle w:val="TextoNormalNegritaCaracter"/>
        </w:rPr>
        <w:t>§ 41.</w:t>
      </w:r>
      <w:r w:rsidRPr="007F4918">
        <w:rPr>
          <w:rStyle w:val="TextoNormalCaracter"/>
        </w:rPr>
        <w:t>-</w:t>
      </w:r>
      <w:r>
        <w:t xml:space="preserve"> Sentencia </w:t>
      </w:r>
      <w:hyperlink w:anchor="SENTENCIA_2002_76" w:history="1">
        <w:r w:rsidRPr="007F4918">
          <w:rPr>
            <w:rStyle w:val="TextoNormalCaracter"/>
          </w:rPr>
          <w:t>76/2002</w:t>
        </w:r>
      </w:hyperlink>
      <w:r>
        <w:t>, f. 2.</w:t>
      </w:r>
    </w:p>
    <w:p w:rsidR="007F4918" w:rsidRDefault="007F4918" w:rsidP="007F4918">
      <w:pPr>
        <w:pStyle w:val="SangriaFrancesaArticulo"/>
      </w:pPr>
      <w:r w:rsidRPr="007F4918">
        <w:rPr>
          <w:rStyle w:val="TextoNormalNegritaCaracter"/>
        </w:rPr>
        <w:t>§ 43.</w:t>
      </w:r>
      <w:r w:rsidRPr="007F4918">
        <w:rPr>
          <w:rStyle w:val="TextoNormalCaracter"/>
        </w:rPr>
        <w:t>-</w:t>
      </w:r>
      <w:r>
        <w:t xml:space="preserve"> Sentencia </w:t>
      </w:r>
      <w:hyperlink w:anchor="SENTENCIA_2002_76" w:history="1">
        <w:r w:rsidRPr="007F4918">
          <w:rPr>
            <w:rStyle w:val="TextoNormalCaracter"/>
          </w:rPr>
          <w:t>76/2002</w:t>
        </w:r>
      </w:hyperlink>
      <w:r>
        <w:t>, f. 2.</w:t>
      </w:r>
    </w:p>
    <w:p w:rsidR="007F4918" w:rsidRDefault="007F4918" w:rsidP="007F4918">
      <w:pPr>
        <w:pStyle w:val="SangriaFrancesaArticulo"/>
      </w:pPr>
      <w:r w:rsidRPr="007F4918">
        <w:rPr>
          <w:rStyle w:val="TextoNormalNegritaCaracter"/>
        </w:rPr>
        <w:t>§ 45.</w:t>
      </w:r>
      <w:r w:rsidRPr="007F4918">
        <w:rPr>
          <w:rStyle w:val="TextoNormalCaracter"/>
        </w:rPr>
        <w:t>-</w:t>
      </w:r>
      <w:r>
        <w:t xml:space="preserve"> Sentencia </w:t>
      </w:r>
      <w:hyperlink w:anchor="SENTENCIA_2002_76" w:history="1">
        <w:r w:rsidRPr="007F4918">
          <w:rPr>
            <w:rStyle w:val="TextoNormalCaracter"/>
          </w:rPr>
          <w:t>76/2002</w:t>
        </w:r>
      </w:hyperlink>
      <w:r>
        <w:t>, f. 2.</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24 de noviembre de 1986 (Gillow c. Reino Unido)</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0" w:history="1">
        <w:r w:rsidRPr="007F4918">
          <w:rPr>
            <w:rStyle w:val="TextoNormalCaracter"/>
          </w:rPr>
          <w:t>10/2002</w:t>
        </w:r>
      </w:hyperlink>
      <w:r>
        <w:t>, f. 6.</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24 de noviembre de 1986 (Unterpertinger c. Austria)</w:t>
      </w:r>
    </w:p>
    <w:p w:rsidR="007F4918" w:rsidRDefault="007F4918" w:rsidP="007F4918">
      <w:pPr>
        <w:pStyle w:val="SangriaFrancesaArticulo"/>
      </w:pPr>
      <w:r w:rsidRPr="007F4918">
        <w:rPr>
          <w:rStyle w:val="TextoNormalNegritaCaracter"/>
        </w:rPr>
        <w:t>§ 31.</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7 de octubre de 1988 (Salabiaku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7" w:history="1">
        <w:r w:rsidRPr="007F4918">
          <w:rPr>
            <w:rStyle w:val="TextoNormalCaracter"/>
          </w:rPr>
          <w:t>17/2002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6 de diciembre de 1988 (Barberà, Messegué y Jabardo c. España)</w:t>
      </w:r>
    </w:p>
    <w:p w:rsidR="007F4918" w:rsidRDefault="007F4918" w:rsidP="007F4918">
      <w:pPr>
        <w:pStyle w:val="SangriaFrancesaArticulo"/>
      </w:pPr>
      <w:r w:rsidRPr="007F4918">
        <w:rPr>
          <w:rStyle w:val="TextoNormalNegritaCaracter"/>
        </w:rPr>
        <w:t>§ 81.</w:t>
      </w:r>
      <w:r w:rsidRPr="007F4918">
        <w:rPr>
          <w:rStyle w:val="TextoNormalCaracter"/>
        </w:rPr>
        <w:t>-</w:t>
      </w:r>
      <w:r>
        <w:t xml:space="preserve"> Sentencia </w:t>
      </w:r>
      <w:hyperlink w:anchor="SENTENCIA_2002_2" w:history="1">
        <w:r w:rsidRPr="007F4918">
          <w:rPr>
            <w:rStyle w:val="TextoNormalCaracter"/>
          </w:rPr>
          <w:t>2/2002</w:t>
        </w:r>
      </w:hyperlink>
      <w:r>
        <w:t>, f. 7.</w:t>
      </w:r>
    </w:p>
    <w:p w:rsidR="007F4918" w:rsidRDefault="007F4918" w:rsidP="007F4918">
      <w:pPr>
        <w:pStyle w:val="SangriaFrancesaArticulo"/>
      </w:pPr>
      <w:r w:rsidRPr="007F4918">
        <w:rPr>
          <w:rStyle w:val="TextoNormalNegritaCaracter"/>
        </w:rPr>
        <w:t>§ 84.</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r w:rsidRPr="007F4918">
        <w:rPr>
          <w:rStyle w:val="TextoNormalNegritaCaracter"/>
        </w:rPr>
        <w:t>§ 85.</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r w:rsidRPr="007F4918">
        <w:rPr>
          <w:rStyle w:val="TextoNormalNegritaCaracter"/>
        </w:rPr>
        <w:t>§ 86.</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22 de febrero de 1989 (Barfod c. Dinamarca)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9" w:history="1">
        <w:r w:rsidRPr="007F4918">
          <w:rPr>
            <w:rStyle w:val="TextoNormalCaracter"/>
          </w:rPr>
          <w:t>79/2002</w:t>
        </w:r>
      </w:hyperlink>
      <w:r>
        <w:t>, VP.</w:t>
      </w:r>
    </w:p>
    <w:p w:rsidR="007F4918" w:rsidRDefault="007F4918" w:rsidP="007F4918">
      <w:pPr>
        <w:pStyle w:val="SangriaIzquierdaArticulo"/>
      </w:pPr>
      <w:r>
        <w:t xml:space="preserve">Auto </w:t>
      </w:r>
      <w:hyperlink w:anchor="AUTO_2002_43" w:history="1">
        <w:r w:rsidRPr="007F4918">
          <w:rPr>
            <w:rStyle w:val="TextoNormalCaracter"/>
          </w:rPr>
          <w:t>43/2002</w:t>
        </w:r>
      </w:hyperlink>
      <w:r>
        <w:t>.</w:t>
      </w:r>
    </w:p>
    <w:p w:rsidR="007F4918" w:rsidRDefault="007F4918" w:rsidP="007F4918">
      <w:pPr>
        <w:pStyle w:val="SangriaIzquierdaArticulo"/>
      </w:pPr>
    </w:p>
    <w:p w:rsidR="007F4918" w:rsidRDefault="007F4918" w:rsidP="007F4918">
      <w:pPr>
        <w:pStyle w:val="TextoNormalNegritaCursivandice"/>
      </w:pPr>
      <w:r>
        <w:t>Sentencia del Tribunal Europeo de Derechos Humanos de 24 de mayo de 1989 (Hauschildt c. Dinamarca)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68" w:history="1">
        <w:r w:rsidRPr="007F4918">
          <w:rPr>
            <w:rStyle w:val="TextoNormalCaracter"/>
          </w:rPr>
          <w:t>68/2002</w:t>
        </w:r>
      </w:hyperlink>
      <w:r>
        <w:t>.</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25 de octubre de 1989 (Bezicheri c. Italia)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20 de noviembre de 1989 (Kostovski c. Holanda)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41.</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27 de septiembre de 1990 (Windisch c. Austria)</w:t>
      </w:r>
    </w:p>
    <w:p w:rsidR="007F4918" w:rsidRDefault="007F4918" w:rsidP="007F4918">
      <w:pPr>
        <w:pStyle w:val="SangriaFrancesaArticulo"/>
      </w:pPr>
      <w:r w:rsidRPr="007F4918">
        <w:rPr>
          <w:rStyle w:val="TextoNormalNegritaCaracter"/>
        </w:rPr>
        <w:lastRenderedPageBreak/>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26.</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19 de diciembre de 1990 (Delta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36.</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r w:rsidRPr="007F4918">
        <w:rPr>
          <w:rStyle w:val="TextoNormalNegritaCaracter"/>
        </w:rPr>
        <w:t>§ 37.</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19 de febrero de 1991 (Isgrò c. Italia)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34.</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r w:rsidRPr="007F4918">
        <w:rPr>
          <w:rStyle w:val="TextoNormalNegritaCaracter"/>
        </w:rPr>
        <w:t>§ 35.</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26 de abril de 1991 (Asch c. Austria)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28.</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26 de junio de 1991 (Letellier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23 de abril de 1992 (Castells c. España)</w:t>
      </w:r>
    </w:p>
    <w:p w:rsidR="007F4918" w:rsidRDefault="007F4918" w:rsidP="007F4918">
      <w:pPr>
        <w:pStyle w:val="SangriaFrancesaArticulo"/>
      </w:pPr>
      <w:r w:rsidRPr="007F4918">
        <w:rPr>
          <w:rStyle w:val="TextoNormalNegritaCaracter"/>
        </w:rPr>
        <w:t>§ 42.</w:t>
      </w:r>
      <w:r w:rsidRPr="007F4918">
        <w:rPr>
          <w:rStyle w:val="TextoNormalCaracter"/>
        </w:rPr>
        <w:t>-</w:t>
      </w:r>
      <w:r>
        <w:t xml:space="preserve"> Sentencia </w:t>
      </w:r>
      <w:hyperlink w:anchor="SENTENCIA_2002_20" w:history="1">
        <w:r w:rsidRPr="007F4918">
          <w:rPr>
            <w:rStyle w:val="TextoNormalCaracter"/>
          </w:rPr>
          <w:t>20/2002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28 de agosto de 1992 (Artner c. Austria)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22.</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r w:rsidRPr="007F4918">
        <w:rPr>
          <w:rStyle w:val="TextoNormalNegritaCaracter"/>
        </w:rPr>
        <w:t>§ 23.</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r w:rsidRPr="007F4918">
        <w:rPr>
          <w:rStyle w:val="TextoNormalNegritaCaracter"/>
        </w:rPr>
        <w:t>§ 24.</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25 de septiembre de 1992 (Pham Hoang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7" w:history="1">
        <w:r w:rsidRPr="007F4918">
          <w:rPr>
            <w:rStyle w:val="TextoNormalCaracter"/>
          </w:rPr>
          <w:t>17/2002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16 de diciembre de 1992 (Sainte-Marie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68" w:history="1">
        <w:r w:rsidRPr="007F4918">
          <w:rPr>
            <w:rStyle w:val="TextoNormalCaracter"/>
          </w:rPr>
          <w:t>68/2002</w:t>
        </w:r>
      </w:hyperlink>
      <w:r>
        <w:t>.</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25 de febrero de 1993 (Funke c. Francia)</w:t>
      </w:r>
    </w:p>
    <w:p w:rsidR="007F4918" w:rsidRDefault="007F4918" w:rsidP="007F4918">
      <w:pPr>
        <w:pStyle w:val="SangriaFrancesaArticulo"/>
      </w:pPr>
      <w:r w:rsidRPr="007F4918">
        <w:rPr>
          <w:rStyle w:val="TextoNormalNegritaCaracter"/>
        </w:rPr>
        <w:t>§ 44.</w:t>
      </w:r>
      <w:r w:rsidRPr="007F4918">
        <w:rPr>
          <w:rStyle w:val="TextoNormalCaracter"/>
        </w:rPr>
        <w:t>-</w:t>
      </w:r>
      <w:r>
        <w:t xml:space="preserve"> Sentencias </w:t>
      </w:r>
      <w:hyperlink w:anchor="SENTENCIA_2002_2" w:history="1">
        <w:r w:rsidRPr="007F4918">
          <w:rPr>
            <w:rStyle w:val="TextoNormalCaracter"/>
          </w:rPr>
          <w:t>2/2002</w:t>
        </w:r>
      </w:hyperlink>
      <w:r>
        <w:t xml:space="preserve">, f. 6; </w:t>
      </w:r>
      <w:hyperlink w:anchor="SENTENCIA_2002_57" w:history="1">
        <w:r w:rsidRPr="007F4918">
          <w:rPr>
            <w:rStyle w:val="TextoNormalCaracter"/>
          </w:rPr>
          <w:t>57/2002</w:t>
        </w:r>
      </w:hyperlink>
      <w:r>
        <w:t xml:space="preserve">, f. 4; </w:t>
      </w:r>
      <w:hyperlink w:anchor="SENTENCIA_2002_68" w:history="1">
        <w:r w:rsidRPr="007F4918">
          <w:rPr>
            <w:rStyle w:val="TextoNormalCaracter"/>
          </w:rPr>
          <w:t>68/2002</w:t>
        </w:r>
      </w:hyperlink>
      <w:r>
        <w:t>, f. 8.</w:t>
      </w:r>
    </w:p>
    <w:p w:rsidR="007F4918" w:rsidRDefault="007F4918" w:rsidP="007F4918">
      <w:pPr>
        <w:pStyle w:val="SangriaFrancesaArticulo"/>
      </w:pPr>
    </w:p>
    <w:p w:rsidR="007F4918" w:rsidRDefault="007F4918" w:rsidP="007F4918">
      <w:pPr>
        <w:pStyle w:val="TextoNormalNegritaCursivandice"/>
      </w:pPr>
      <w:r>
        <w:lastRenderedPageBreak/>
        <w:t>Sentencia del Tribunal Europeo de Derechos Humanos de 24 de agosto de 1993 (Nortier c. Países Bajos)</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68" w:history="1">
        <w:r w:rsidRPr="007F4918">
          <w:rPr>
            <w:rStyle w:val="TextoNormalCaracter"/>
          </w:rPr>
          <w:t>68/2002</w:t>
        </w:r>
      </w:hyperlink>
      <w:r>
        <w:t>.</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20 de septiembre de 1993 (Saïdi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43.</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22 de febrero de 1994 (Burghartz c. Suiza)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9" w:history="1">
        <w:r w:rsidRPr="007F4918">
          <w:rPr>
            <w:rStyle w:val="TextoNormalCaracter"/>
          </w:rPr>
          <w:t>39/2002</w:t>
        </w:r>
      </w:hyperlink>
      <w:r>
        <w:t>, f. 5.</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25 de junio de 1996 (Amuur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53" w:history="1">
        <w:r w:rsidRPr="007F4918">
          <w:rPr>
            <w:rStyle w:val="TextoNormalCaracter"/>
          </w:rPr>
          <w:t>53/2002</w:t>
        </w:r>
      </w:hyperlink>
      <w:r>
        <w:t>, f. 4, VP I.</w:t>
      </w:r>
    </w:p>
    <w:p w:rsidR="007F4918" w:rsidRDefault="007F4918" w:rsidP="007F4918">
      <w:pPr>
        <w:pStyle w:val="SangriaFrancesaArticulo"/>
      </w:pPr>
      <w:r w:rsidRPr="007F4918">
        <w:rPr>
          <w:rStyle w:val="TextoNormalNegritaCaracter"/>
        </w:rPr>
        <w:t>§ 42.</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 43.</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r w:rsidRPr="007F4918">
        <w:rPr>
          <w:rStyle w:val="TextoNormalNegritaCaracter"/>
        </w:rPr>
        <w:t>§ 45.</w:t>
      </w:r>
      <w:r w:rsidRPr="007F4918">
        <w:rPr>
          <w:rStyle w:val="TextoNormalCaracter"/>
        </w:rPr>
        <w:t>-</w:t>
      </w:r>
      <w:r>
        <w:t xml:space="preserve"> Sentencia </w:t>
      </w:r>
      <w:hyperlink w:anchor="SENTENCIA_2002_53" w:history="1">
        <w:r w:rsidRPr="007F4918">
          <w:rPr>
            <w:rStyle w:val="TextoNormalCaracter"/>
          </w:rPr>
          <w:t>53/2002</w:t>
        </w:r>
      </w:hyperlink>
      <w:r>
        <w:t>, VP I.</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17 de diciembre de 1996 (Saunders c. Reino Unido)</w:t>
      </w:r>
    </w:p>
    <w:p w:rsidR="007F4918" w:rsidRDefault="007F4918" w:rsidP="007F4918">
      <w:pPr>
        <w:pStyle w:val="SangriaFrancesaArticulo"/>
      </w:pPr>
      <w:r w:rsidRPr="007F4918">
        <w:rPr>
          <w:rStyle w:val="TextoNormalNegritaCaracter"/>
        </w:rPr>
        <w:t>§ 68.</w:t>
      </w:r>
      <w:r w:rsidRPr="007F4918">
        <w:rPr>
          <w:rStyle w:val="TextoNormalCaracter"/>
        </w:rPr>
        <w:t>-</w:t>
      </w:r>
      <w:r>
        <w:t xml:space="preserve"> Sentencias </w:t>
      </w:r>
      <w:hyperlink w:anchor="SENTENCIA_2002_2" w:history="1">
        <w:r w:rsidRPr="007F4918">
          <w:rPr>
            <w:rStyle w:val="TextoNormalCaracter"/>
          </w:rPr>
          <w:t>2/2002</w:t>
        </w:r>
      </w:hyperlink>
      <w:r>
        <w:t xml:space="preserve">, f. 6; </w:t>
      </w:r>
      <w:hyperlink w:anchor="SENTENCIA_2002_57" w:history="1">
        <w:r w:rsidRPr="007F4918">
          <w:rPr>
            <w:rStyle w:val="TextoNormalCaracter"/>
          </w:rPr>
          <w:t>57/2002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23 de septiembre de 1998 (I.A.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28 de octubre de 1998 (Castillo Algar c. España)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 </w:t>
      </w:r>
      <w:hyperlink w:anchor="AUTO_2002_68" w:history="1">
        <w:r w:rsidRPr="007F4918">
          <w:rPr>
            <w:rStyle w:val="TextoNormalCaracter"/>
          </w:rPr>
          <w:t>68/2002</w:t>
        </w:r>
      </w:hyperlink>
      <w:r>
        <w:t>.</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28 de octubre de 1998 (Pérez de Rada Cavanilles c. España)</w:t>
      </w:r>
    </w:p>
    <w:p w:rsidR="007F4918" w:rsidRDefault="007F4918" w:rsidP="007F4918">
      <w:pPr>
        <w:pStyle w:val="SangriaFrancesaArticulo"/>
      </w:pPr>
      <w:r w:rsidRPr="007F4918">
        <w:rPr>
          <w:rStyle w:val="TextoNormalNegritaCaracter"/>
        </w:rPr>
        <w:t>§ 47.</w:t>
      </w:r>
      <w:r w:rsidRPr="007F4918">
        <w:rPr>
          <w:rStyle w:val="TextoNormalCaracter"/>
        </w:rPr>
        <w:t>-</w:t>
      </w:r>
      <w:r>
        <w:t xml:space="preserve"> Sentencia </w:t>
      </w:r>
      <w:hyperlink w:anchor="SENTENCIA_2002_90" w:history="1">
        <w:r w:rsidRPr="007F4918">
          <w:rPr>
            <w:rStyle w:val="TextoNormalCaracter"/>
          </w:rPr>
          <w:t>90/2002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20 de mayo de 1999 (Bladet Tromso y Stensaas c. Noruega)</w:t>
      </w:r>
    </w:p>
    <w:p w:rsidR="007F4918" w:rsidRDefault="007F4918" w:rsidP="007F4918">
      <w:pPr>
        <w:pStyle w:val="SangriaFrancesaArticulo"/>
      </w:pPr>
      <w:r w:rsidRPr="007F4918">
        <w:rPr>
          <w:rStyle w:val="TextoNormalNegritaCaracter"/>
        </w:rPr>
        <w:t>§ 66.</w:t>
      </w:r>
      <w:r w:rsidRPr="007F4918">
        <w:rPr>
          <w:rStyle w:val="TextoNormalCaracter"/>
        </w:rPr>
        <w:t>-</w:t>
      </w:r>
      <w:r>
        <w:t xml:space="preserve"> Sentencia </w:t>
      </w:r>
      <w:hyperlink w:anchor="SENTENCIA_2002_76" w:history="1">
        <w:r w:rsidRPr="007F4918">
          <w:rPr>
            <w:rStyle w:val="TextoNormalCaracter"/>
          </w:rPr>
          <w:t>76/2002</w:t>
        </w:r>
      </w:hyperlink>
      <w:r>
        <w:t>, f. 2.</w:t>
      </w:r>
    </w:p>
    <w:p w:rsidR="007F4918" w:rsidRDefault="007F4918" w:rsidP="007F4918">
      <w:pPr>
        <w:pStyle w:val="SangriaFrancesaArticulo"/>
      </w:pPr>
      <w:r w:rsidRPr="007F4918">
        <w:rPr>
          <w:rStyle w:val="TextoNormalNegritaCaracter"/>
        </w:rPr>
        <w:t>§ 72.</w:t>
      </w:r>
      <w:r w:rsidRPr="007F4918">
        <w:rPr>
          <w:rStyle w:val="TextoNormalCaracter"/>
        </w:rPr>
        <w:t>-</w:t>
      </w:r>
      <w:r>
        <w:t xml:space="preserve"> Sentencia </w:t>
      </w:r>
      <w:hyperlink w:anchor="SENTENCIA_2002_76" w:history="1">
        <w:r w:rsidRPr="007F4918">
          <w:rPr>
            <w:rStyle w:val="TextoNormalCaracter"/>
          </w:rPr>
          <w:t>76/2002</w:t>
        </w:r>
      </w:hyperlink>
      <w:r>
        <w:t>, f. 2.</w:t>
      </w:r>
    </w:p>
    <w:p w:rsidR="007F4918" w:rsidRDefault="007F4918" w:rsidP="007F4918">
      <w:pPr>
        <w:pStyle w:val="SangriaFrancesaArticulo"/>
      </w:pPr>
      <w:r w:rsidRPr="007F4918">
        <w:rPr>
          <w:rStyle w:val="TextoNormalNegritaCaracter"/>
        </w:rPr>
        <w:t>§ 73.</w:t>
      </w:r>
      <w:r w:rsidRPr="007F4918">
        <w:rPr>
          <w:rStyle w:val="TextoNormalCaracter"/>
        </w:rPr>
        <w:t>-</w:t>
      </w:r>
      <w:r>
        <w:t xml:space="preserve"> Sentencia </w:t>
      </w:r>
      <w:hyperlink w:anchor="SENTENCIA_2002_76" w:history="1">
        <w:r w:rsidRPr="007F4918">
          <w:rPr>
            <w:rStyle w:val="TextoNormalCaracter"/>
          </w:rPr>
          <w:t>76/2002</w:t>
        </w:r>
      </w:hyperlink>
      <w:r>
        <w:t>, f. 2.</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14 de diciembre de 1999 (A.M. c. Italia)</w:t>
      </w:r>
    </w:p>
    <w:p w:rsidR="007F4918" w:rsidRDefault="007F4918" w:rsidP="007F4918">
      <w:pPr>
        <w:pStyle w:val="SangriaFrancesaArticulo"/>
      </w:pPr>
      <w:r w:rsidRPr="007F4918">
        <w:rPr>
          <w:rStyle w:val="TextoNormalNegritaCaracter"/>
        </w:rPr>
        <w:t>§ 25.</w:t>
      </w:r>
      <w:r w:rsidRPr="007F4918">
        <w:rPr>
          <w:rStyle w:val="TextoNormalCaracter"/>
        </w:rPr>
        <w:t>-</w:t>
      </w:r>
      <w:r>
        <w:t xml:space="preserve"> Sentencia </w:t>
      </w:r>
      <w:hyperlink w:anchor="SENTENCIA_2002_68" w:history="1">
        <w:r w:rsidRPr="007F4918">
          <w:rPr>
            <w:rStyle w:val="TextoNormalCaracter"/>
          </w:rPr>
          <w:t>68/2002</w:t>
        </w:r>
      </w:hyperlink>
      <w:r>
        <w:t>, f. 10.</w:t>
      </w:r>
    </w:p>
    <w:p w:rsidR="007F4918" w:rsidRDefault="007F4918" w:rsidP="007F4918">
      <w:pPr>
        <w:pStyle w:val="SangriaFrancesaArticulo"/>
      </w:pPr>
    </w:p>
    <w:p w:rsidR="007F4918" w:rsidRDefault="007F4918" w:rsidP="007F4918">
      <w:pPr>
        <w:pStyle w:val="TextoNormalNegritaCursivandice"/>
      </w:pPr>
      <w:r>
        <w:lastRenderedPageBreak/>
        <w:t>Sentencia del Tribunal Europeo de Derechos Humanos de 29 de febrero de 2000 (Fuentes Bobo c. España)</w:t>
      </w:r>
    </w:p>
    <w:p w:rsidR="007F4918" w:rsidRDefault="007F4918" w:rsidP="007F4918">
      <w:pPr>
        <w:pStyle w:val="SangriaFrancesaArticulo"/>
      </w:pPr>
      <w:r w:rsidRPr="007F4918">
        <w:rPr>
          <w:rStyle w:val="TextoNormalNegritaCaracter"/>
        </w:rPr>
        <w:t>§ 43.</w:t>
      </w:r>
      <w:r w:rsidRPr="007F4918">
        <w:rPr>
          <w:rStyle w:val="TextoNormalCaracter"/>
        </w:rPr>
        <w:t>-</w:t>
      </w:r>
      <w:r>
        <w:t xml:space="preserve"> Sentencia </w:t>
      </w:r>
      <w:hyperlink w:anchor="SENTENCIA_2002_20" w:history="1">
        <w:r w:rsidRPr="007F4918">
          <w:rPr>
            <w:rStyle w:val="TextoNormalCaracter"/>
          </w:rPr>
          <w:t>20/2002</w:t>
        </w:r>
      </w:hyperlink>
      <w:r>
        <w:t>, f. 4.</w:t>
      </w:r>
    </w:p>
    <w:p w:rsidR="007F4918" w:rsidRDefault="007F4918" w:rsidP="007F4918">
      <w:pPr>
        <w:pStyle w:val="SangriaFrancesaArticulo"/>
      </w:pPr>
      <w:r w:rsidRPr="007F4918">
        <w:rPr>
          <w:rStyle w:val="TextoNormalNegritaCaracter"/>
        </w:rPr>
        <w:t>§ 46.</w:t>
      </w:r>
      <w:r w:rsidRPr="007F4918">
        <w:rPr>
          <w:rStyle w:val="TextoNormalCaracter"/>
        </w:rPr>
        <w:t>-</w:t>
      </w:r>
      <w:r>
        <w:t xml:space="preserve"> Sentencia </w:t>
      </w:r>
      <w:hyperlink w:anchor="SENTENCIA_2002_20" w:history="1">
        <w:r w:rsidRPr="007F4918">
          <w:rPr>
            <w:rStyle w:val="TextoNormalCaracter"/>
          </w:rPr>
          <w:t>20/2002</w:t>
        </w:r>
      </w:hyperlink>
      <w:r>
        <w:t>, f. 6.</w:t>
      </w:r>
    </w:p>
    <w:p w:rsidR="007F4918" w:rsidRDefault="007F4918" w:rsidP="007F4918">
      <w:pPr>
        <w:pStyle w:val="SangriaFrancesaArticulo"/>
      </w:pPr>
      <w:r w:rsidRPr="007F4918">
        <w:rPr>
          <w:rStyle w:val="TextoNormalNegritaCaracter"/>
        </w:rPr>
        <w:t>§ 50.</w:t>
      </w:r>
      <w:r w:rsidRPr="007F4918">
        <w:rPr>
          <w:rStyle w:val="TextoNormalCaracter"/>
        </w:rPr>
        <w:t>-</w:t>
      </w:r>
      <w:r>
        <w:t xml:space="preserve"> Sentencia </w:t>
      </w:r>
      <w:hyperlink w:anchor="SENTENCIA_2002_20" w:history="1">
        <w:r w:rsidRPr="007F4918">
          <w:rPr>
            <w:rStyle w:val="TextoNormalCaracter"/>
          </w:rPr>
          <w:t>20/2002</w:t>
        </w:r>
      </w:hyperlink>
      <w:r>
        <w:t>, f. 7.</w:t>
      </w:r>
    </w:p>
    <w:p w:rsidR="007F4918" w:rsidRDefault="007F4918" w:rsidP="007F4918">
      <w:pPr>
        <w:pStyle w:val="SangriaFrancesaArticulo"/>
      </w:pPr>
    </w:p>
    <w:p w:rsidR="007F4918" w:rsidRDefault="007F4918" w:rsidP="007F4918">
      <w:pPr>
        <w:pStyle w:val="TextoNormalNegritaCursivandice"/>
      </w:pPr>
      <w:r>
        <w:t>Auto del Tribunal Europeo de Derechos Humanos de 2 de marzo de 2000 (Garrido Guerrero c. España)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Autos </w:t>
      </w:r>
      <w:hyperlink w:anchor="AUTO_2002_8" w:history="1">
        <w:r w:rsidRPr="007F4918">
          <w:rPr>
            <w:rStyle w:val="TextoNormalCaracter"/>
          </w:rPr>
          <w:t>8/2002</w:t>
        </w:r>
      </w:hyperlink>
      <w:r>
        <w:t xml:space="preserve">; </w:t>
      </w:r>
      <w:hyperlink w:anchor="AUTO_2002_68" w:history="1">
        <w:r w:rsidRPr="007F4918">
          <w:rPr>
            <w:rStyle w:val="TextoNormalCaracter"/>
          </w:rPr>
          <w:t>68/2002</w:t>
        </w:r>
      </w:hyperlink>
      <w:r>
        <w:t>.</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31 de julio de 2000 (Jecius c. Lituania)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3 de octubre de 2000 (Du Roy y Malaurie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6" w:history="1">
        <w:r w:rsidRPr="007F4918">
          <w:rPr>
            <w:rStyle w:val="TextoNormalCaracter"/>
          </w:rPr>
          <w:t>76/2002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16 de noviembre de 2000 (Vaccaro c. Italia)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13 de febrero de 2001 (Krombach c. Francia)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22 de febrero de 2001 (Szeloch c. Polonia)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8" w:history="1">
        <w:r w:rsidRPr="007F4918">
          <w:rPr>
            <w:rStyle w:val="TextoNormalCaracter"/>
          </w:rPr>
          <w:t>98/2002</w:t>
        </w:r>
      </w:hyperlink>
      <w:r>
        <w:t>, f. 4.</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27 de febrero de 2001 (Lucà c. Italia)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94" w:history="1">
        <w:r w:rsidRPr="007F4918">
          <w:rPr>
            <w:rStyle w:val="TextoNormalCaracter"/>
          </w:rPr>
          <w:t>94/2002</w:t>
        </w:r>
      </w:hyperlink>
      <w:r>
        <w:t>, f. 4.</w:t>
      </w:r>
    </w:p>
    <w:p w:rsidR="007F4918" w:rsidRDefault="007F4918" w:rsidP="007F4918">
      <w:pPr>
        <w:pStyle w:val="SangriaFrancesaArticulo"/>
      </w:pPr>
      <w:r w:rsidRPr="007F4918">
        <w:rPr>
          <w:rStyle w:val="TextoNormalNegritaCaracter"/>
        </w:rPr>
        <w:t>§ 33.</w:t>
      </w:r>
      <w:r w:rsidRPr="007F4918">
        <w:rPr>
          <w:rStyle w:val="TextoNormalCaracter"/>
        </w:rPr>
        <w:t>-</w:t>
      </w:r>
      <w:r>
        <w:t xml:space="preserve"> Sentencias </w:t>
      </w:r>
      <w:hyperlink w:anchor="SENTENCIA_2002_2" w:history="1">
        <w:r w:rsidRPr="007F4918">
          <w:rPr>
            <w:rStyle w:val="TextoNormalCaracter"/>
          </w:rPr>
          <w:t>2/2002</w:t>
        </w:r>
      </w:hyperlink>
      <w:r>
        <w:t xml:space="preserve">, f. 6; </w:t>
      </w:r>
      <w:hyperlink w:anchor="SENTENCIA_2002_57" w:history="1">
        <w:r w:rsidRPr="007F4918">
          <w:rPr>
            <w:rStyle w:val="TextoNormalCaracter"/>
          </w:rPr>
          <w:t>57/2002</w:t>
        </w:r>
      </w:hyperlink>
      <w:r>
        <w:t>, f. 4.</w:t>
      </w:r>
    </w:p>
    <w:p w:rsidR="007F4918" w:rsidRDefault="007F4918" w:rsidP="007F4918">
      <w:pPr>
        <w:pStyle w:val="SangriaFrancesaArticulo"/>
      </w:pPr>
      <w:r w:rsidRPr="007F4918">
        <w:rPr>
          <w:rStyle w:val="TextoNormalNegritaCaracter"/>
        </w:rPr>
        <w:t>§ 40.</w:t>
      </w:r>
      <w:r w:rsidRPr="007F4918">
        <w:rPr>
          <w:rStyle w:val="TextoNormalCaracter"/>
        </w:rPr>
        <w:t>-</w:t>
      </w:r>
      <w:r>
        <w:t xml:space="preserve"> Sentencias </w:t>
      </w:r>
      <w:hyperlink w:anchor="SENTENCIA_2002_2" w:history="1">
        <w:r w:rsidRPr="007F4918">
          <w:rPr>
            <w:rStyle w:val="TextoNormalCaracter"/>
          </w:rPr>
          <w:t>2/2002</w:t>
        </w:r>
      </w:hyperlink>
      <w:r>
        <w:t xml:space="preserve">, f. 4; </w:t>
      </w:r>
      <w:hyperlink w:anchor="SENTENCIA_2002_57" w:history="1">
        <w:r w:rsidRPr="007F4918">
          <w:rPr>
            <w:rStyle w:val="TextoNormalCaracter"/>
          </w:rPr>
          <w:t>57/2002</w:t>
        </w:r>
      </w:hyperlink>
      <w:r>
        <w:t>, f. 3.</w:t>
      </w:r>
    </w:p>
    <w:p w:rsidR="007F4918" w:rsidRDefault="007F4918" w:rsidP="007F4918">
      <w:pPr>
        <w:pStyle w:val="SangriaFrancesaArticulo"/>
      </w:pPr>
    </w:p>
    <w:p w:rsidR="007F4918" w:rsidRDefault="007F4918" w:rsidP="007F4918">
      <w:pPr>
        <w:pStyle w:val="TextoNormalNegritaCursivandice"/>
      </w:pPr>
      <w:r>
        <w:t>Sentencia del Tribunal Europeo de Derechos Humanos de 20 de marzo de 2001 (Telfner c. Austria)</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7" w:history="1">
        <w:r w:rsidRPr="007F4918">
          <w:rPr>
            <w:rStyle w:val="TextoNormalCaracter"/>
          </w:rPr>
          <w:t>17/2002</w:t>
        </w:r>
      </w:hyperlink>
      <w:r>
        <w:t>, f. 3.</w:t>
      </w:r>
    </w:p>
    <w:p w:rsidR="007F4918" w:rsidRDefault="007F4918" w:rsidP="007F4918">
      <w:pPr>
        <w:pStyle w:val="TextoNormal"/>
      </w:pPr>
    </w:p>
    <w:p w:rsidR="007F4918" w:rsidRDefault="007F4918" w:rsidP="007F4918">
      <w:pPr>
        <w:pStyle w:val="SangriaFrancesaArticulo"/>
      </w:pPr>
      <w:bookmarkStart w:id="194" w:name="INDICE22924"/>
    </w:p>
    <w:bookmarkEnd w:id="194"/>
    <w:p w:rsidR="007F4918" w:rsidRDefault="007F4918" w:rsidP="007F4918">
      <w:pPr>
        <w:pStyle w:val="TextoIndiceNivel2"/>
        <w:suppressAutoHyphens/>
      </w:pPr>
      <w:r>
        <w:t>B) Tribunales de Justicia de las Comunidades Europeas y de la Unión Europea</w:t>
      </w:r>
    </w:p>
    <w:p w:rsidR="007F4918" w:rsidRDefault="007F4918" w:rsidP="007F4918">
      <w:pPr>
        <w:pStyle w:val="TextoIndiceNivel2"/>
      </w:pPr>
    </w:p>
    <w:p w:rsidR="007F4918" w:rsidRDefault="007F4918" w:rsidP="007F4918">
      <w:pPr>
        <w:pStyle w:val="TextoNormalNegritaCursivandice"/>
      </w:pPr>
      <w:r>
        <w:lastRenderedPageBreak/>
        <w:t>Sentencia del Tribunal de Justicia de las Comunidades Europeas de 8 de noviembre de 1990 (Dekker c. Stichting Vormingscentrum voor Jong Volwassenen Plus, asunto C-177/88)</w:t>
      </w:r>
    </w:p>
    <w:p w:rsidR="007F4918" w:rsidRDefault="007F4918" w:rsidP="007F4918">
      <w:pPr>
        <w:pStyle w:val="SangriaFrancesaArticulo"/>
      </w:pPr>
      <w:r w:rsidRPr="007F4918">
        <w:rPr>
          <w:rStyle w:val="TextoNormalNegritaCaracter"/>
        </w:rPr>
        <w:t>§ 21.</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Sentencia del Tribunal de Justicia de las Comunidades Europeas de 8 de noviembre de 1990 (Handels- og Kontorfunktionaerernes Forbund i Danmark (Hertz) c. Danks Arbejdsgiverforening, asunto C-179/88)</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Sentencia del Tribunal de Justicia de las Comunidades   Europeas de 5 de mayo de 1994 (Habermann-Beltermann c. Arbeiterwohlfahrt, asunto C-421/92)</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Sentencia del Tribunal de Justicia de las Comunidades Europeas de 14 de julio de 1994 (Webb c. EMO Air Cargo (UK) Ltd, asunto C-32/93)</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SangriaFrancesaArticulo"/>
      </w:pPr>
    </w:p>
    <w:p w:rsidR="007F4918" w:rsidRDefault="007F4918" w:rsidP="007F4918">
      <w:pPr>
        <w:pStyle w:val="TextoNormalNegritaCursivandice"/>
      </w:pPr>
      <w:r>
        <w:t>Sentencia del Tribunal de Justicia de las Comunidades Europeas de 30 de junio de 1998 (Mary Brown c. Rentokil Ltd., asunto C-394/96)</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41" w:history="1">
        <w:r w:rsidRPr="007F4918">
          <w:rPr>
            <w:rStyle w:val="TextoNormalCaracter"/>
          </w:rPr>
          <w:t>41/2002</w:t>
        </w:r>
      </w:hyperlink>
      <w:r>
        <w:t>, f. 3.</w:t>
      </w:r>
    </w:p>
    <w:p w:rsidR="007F4918" w:rsidRDefault="007F4918" w:rsidP="007F4918">
      <w:pPr>
        <w:pStyle w:val="TextoNormal"/>
      </w:pPr>
    </w:p>
    <w:p w:rsidR="007F4918" w:rsidRDefault="007F4918" w:rsidP="007F4918">
      <w:pPr>
        <w:pStyle w:val="SangriaFrancesaArticulo"/>
      </w:pPr>
      <w:bookmarkStart w:id="195" w:name="INDICE22925"/>
    </w:p>
    <w:bookmarkEnd w:id="195"/>
    <w:p w:rsidR="007F4918" w:rsidRDefault="007F4918" w:rsidP="007F4918">
      <w:pPr>
        <w:pStyle w:val="TextoIndiceNivel2"/>
        <w:suppressAutoHyphens/>
      </w:pPr>
      <w:r>
        <w:t>C) Tribunal Supremo</w:t>
      </w:r>
    </w:p>
    <w:p w:rsidR="007F4918" w:rsidRDefault="007F4918" w:rsidP="007F4918">
      <w:pPr>
        <w:pStyle w:val="TextoIndiceNivel2"/>
      </w:pPr>
    </w:p>
    <w:p w:rsidR="007F4918" w:rsidRDefault="007F4918" w:rsidP="007F4918">
      <w:pPr>
        <w:pStyle w:val="TextoNormalNegritaCursivandice"/>
      </w:pPr>
      <w:r>
        <w:t>Sentencia de la Sala de lo Contencioso-Administrativo del Tribunal Supremo de 19 de diciembre de 1996</w:t>
      </w:r>
    </w:p>
    <w:p w:rsidR="007F4918" w:rsidRDefault="007F4918" w:rsidP="007F4918">
      <w:pPr>
        <w:pStyle w:val="SangriaFrancesaArticulo"/>
      </w:pPr>
      <w:r>
        <w:t xml:space="preserve">Sentencia </w:t>
      </w:r>
      <w:hyperlink w:anchor="SENTENCIA_2002_25" w:history="1">
        <w:r w:rsidRPr="007F4918">
          <w:rPr>
            <w:rStyle w:val="TextoNormalCaracter"/>
          </w:rPr>
          <w:t>25/2002</w:t>
        </w:r>
      </w:hyperlink>
      <w:r>
        <w:t xml:space="preserve"> (anula).</w:t>
      </w:r>
    </w:p>
    <w:p w:rsidR="007F4918" w:rsidRDefault="007F4918" w:rsidP="007F4918">
      <w:pPr>
        <w:pStyle w:val="SangriaFrancesaArticulo"/>
      </w:pPr>
    </w:p>
    <w:p w:rsidR="007F4918" w:rsidRDefault="007F4918" w:rsidP="007F4918">
      <w:pPr>
        <w:pStyle w:val="TextoNormalNegritaCursivandice"/>
      </w:pPr>
      <w:r>
        <w:t>Sentencia de la Sala de lo Penal del Tribunal Supremo de 26 de mayo de 1997 (740-1997)</w:t>
      </w:r>
    </w:p>
    <w:p w:rsidR="007F4918" w:rsidRDefault="007F4918" w:rsidP="007F4918">
      <w:pPr>
        <w:pStyle w:val="SangriaFrancesaArticulo"/>
      </w:pPr>
      <w:r>
        <w:t xml:space="preserve">Sentencia </w:t>
      </w:r>
      <w:hyperlink w:anchor="SENTENCIA_2002_28" w:history="1">
        <w:r w:rsidRPr="007F4918">
          <w:rPr>
            <w:rStyle w:val="TextoNormalCaracter"/>
          </w:rPr>
          <w:t>28/2002</w:t>
        </w:r>
      </w:hyperlink>
      <w:r>
        <w:t xml:space="preserve"> (anula parcialmente).</w:t>
      </w:r>
    </w:p>
    <w:p w:rsidR="007F4918" w:rsidRDefault="007F4918" w:rsidP="007F4918">
      <w:pPr>
        <w:pStyle w:val="SangriaFrancesaArticulo"/>
      </w:pPr>
    </w:p>
    <w:p w:rsidR="007F4918" w:rsidRDefault="007F4918" w:rsidP="007F4918">
      <w:pPr>
        <w:pStyle w:val="TextoNormalNegritaCursivandice"/>
      </w:pPr>
      <w:r>
        <w:t>Sentencia de la Sala de lo Civil del Tribunal Supremo de 17 de diciembre de 1997 (recurso de casación núm. 30-1994)</w:t>
      </w:r>
    </w:p>
    <w:p w:rsidR="007F4918" w:rsidRDefault="007F4918" w:rsidP="007F4918">
      <w:pPr>
        <w:pStyle w:val="SangriaFrancesaArticulo"/>
      </w:pPr>
      <w:r>
        <w:t xml:space="preserve">Sentencia </w:t>
      </w:r>
      <w:hyperlink w:anchor="SENTENCIA_2002_83" w:history="1">
        <w:r w:rsidRPr="007F4918">
          <w:rPr>
            <w:rStyle w:val="TextoNormalCaracter"/>
          </w:rPr>
          <w:t>83/2002</w:t>
        </w:r>
      </w:hyperlink>
      <w:r>
        <w:t xml:space="preserve"> (anula).</w:t>
      </w:r>
    </w:p>
    <w:p w:rsidR="007F4918" w:rsidRDefault="007F4918" w:rsidP="007F4918">
      <w:pPr>
        <w:pStyle w:val="SangriaFrancesaArticulo"/>
      </w:pPr>
    </w:p>
    <w:p w:rsidR="007F4918" w:rsidRDefault="007F4918" w:rsidP="007F4918">
      <w:pPr>
        <w:pStyle w:val="TextoNormalNegritaCursivandice"/>
      </w:pPr>
      <w:r>
        <w:t>Sentencia de la Sala de lo Civil del Tribunal Supremo de 5 de febrero de 1999 (recurso de casación 2772-1994)</w:t>
      </w:r>
    </w:p>
    <w:p w:rsidR="007F4918" w:rsidRDefault="007F4918" w:rsidP="007F4918">
      <w:pPr>
        <w:pStyle w:val="SangriaFrancesaArticulo"/>
      </w:pPr>
      <w:r>
        <w:t xml:space="preserve">Sentencia </w:t>
      </w:r>
      <w:hyperlink w:anchor="SENTENCIA_2002_78" w:history="1">
        <w:r w:rsidRPr="007F4918">
          <w:rPr>
            <w:rStyle w:val="TextoNormalCaracter"/>
          </w:rPr>
          <w:t>78/2002</w:t>
        </w:r>
      </w:hyperlink>
      <w:r>
        <w:t xml:space="preserve"> (anula).</w:t>
      </w:r>
    </w:p>
    <w:p w:rsidR="007F4918" w:rsidRDefault="007F4918" w:rsidP="007F4918">
      <w:pPr>
        <w:pStyle w:val="SangriaFrancesaArticulo"/>
      </w:pPr>
    </w:p>
    <w:p w:rsidR="007F4918" w:rsidRDefault="007F4918" w:rsidP="007F4918">
      <w:pPr>
        <w:pStyle w:val="TextoNormalNegritaCursivandice"/>
      </w:pPr>
      <w:r>
        <w:t>Sentencia de la Sala de lo Penal del Tribunal Supremo de 10 de abril de 2000</w:t>
      </w:r>
    </w:p>
    <w:p w:rsidR="007F4918" w:rsidRDefault="007F4918" w:rsidP="007F4918">
      <w:pPr>
        <w:pStyle w:val="SangriaFrancesaArticulo"/>
      </w:pPr>
      <w:r>
        <w:t xml:space="preserve">Sentencia </w:t>
      </w:r>
      <w:hyperlink w:anchor="SENTENCIA_2002_68" w:history="1">
        <w:r w:rsidRPr="007F4918">
          <w:rPr>
            <w:rStyle w:val="TextoNormalCaracter"/>
          </w:rPr>
          <w:t>68/2002</w:t>
        </w:r>
      </w:hyperlink>
      <w:r>
        <w:t xml:space="preserve"> (anula parcialmente).</w:t>
      </w:r>
    </w:p>
    <w:p w:rsidR="007F4918" w:rsidRDefault="007F4918" w:rsidP="007F4918">
      <w:pPr>
        <w:pStyle w:val="TextoNormal"/>
      </w:pPr>
    </w:p>
    <w:p w:rsidR="007F4918" w:rsidRDefault="007F4918" w:rsidP="007F4918">
      <w:pPr>
        <w:pStyle w:val="SangriaFrancesaArticulo"/>
      </w:pPr>
      <w:bookmarkStart w:id="196" w:name="INDICE22926"/>
    </w:p>
    <w:bookmarkEnd w:id="196"/>
    <w:p w:rsidR="007F4918" w:rsidRDefault="007F4918" w:rsidP="007F4918">
      <w:pPr>
        <w:pStyle w:val="TextoIndiceNivel2"/>
        <w:suppressAutoHyphens/>
      </w:pPr>
      <w:r>
        <w:lastRenderedPageBreak/>
        <w:t>D) Otros Tribunales</w:t>
      </w:r>
    </w:p>
    <w:p w:rsidR="007F4918" w:rsidRDefault="007F4918" w:rsidP="007F4918">
      <w:pPr>
        <w:pStyle w:val="TextoIndiceNivel2"/>
      </w:pPr>
    </w:p>
    <w:p w:rsidR="007F4918" w:rsidRDefault="007F4918" w:rsidP="007F4918">
      <w:pPr>
        <w:pStyle w:val="TextoNormalNegritaCursivandice"/>
      </w:pPr>
      <w:r>
        <w:t>Sentencia del Tribunal Supremo de los Estados Unidos de América de 23 de marzo de 1964 (Stoner c. California) (376 U.S. 483)</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10" w:history="1">
        <w:r w:rsidRPr="007F4918">
          <w:rPr>
            <w:rStyle w:val="TextoNormalCaracter"/>
          </w:rPr>
          <w:t>10/2002</w:t>
        </w:r>
      </w:hyperlink>
      <w:r>
        <w:t>, f. 8.</w:t>
      </w:r>
    </w:p>
    <w:p w:rsidR="007F4918" w:rsidRDefault="007F4918" w:rsidP="007F4918">
      <w:pPr>
        <w:pStyle w:val="SangriaFrancesaArticulo"/>
      </w:pPr>
    </w:p>
    <w:p w:rsidR="007F4918" w:rsidRDefault="007F4918" w:rsidP="007F4918">
      <w:pPr>
        <w:pStyle w:val="TextoNormalNegritaCursivandice"/>
      </w:pPr>
      <w:r>
        <w:t>Sentencia del Tribunal Constitucional Federal Alemán, de 22 de febrero de 1983</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9" w:history="1">
        <w:r w:rsidRPr="007F4918">
          <w:rPr>
            <w:rStyle w:val="TextoNormalCaracter"/>
          </w:rPr>
          <w:t>39/2002</w:t>
        </w:r>
      </w:hyperlink>
      <w:r>
        <w:t>, f. 5.</w:t>
      </w:r>
    </w:p>
    <w:p w:rsidR="007F4918" w:rsidRDefault="007F4918" w:rsidP="007F4918">
      <w:pPr>
        <w:pStyle w:val="SangriaFrancesaArticulo"/>
      </w:pPr>
    </w:p>
    <w:p w:rsidR="007F4918" w:rsidRDefault="007F4918" w:rsidP="007F4918">
      <w:pPr>
        <w:pStyle w:val="TextoNormalNegritaCursivandice"/>
      </w:pPr>
      <w:r>
        <w:t>Sentencia del Tribunal Constitucional italiano de 26 de febrero de 1987</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39" w:history="1">
        <w:r w:rsidRPr="007F4918">
          <w:rPr>
            <w:rStyle w:val="TextoNormalCaracter"/>
          </w:rPr>
          <w:t>39/2002</w:t>
        </w:r>
      </w:hyperlink>
      <w:r>
        <w:t>, f. 5.</w:t>
      </w:r>
    </w:p>
    <w:p w:rsidR="007F4918" w:rsidRDefault="007F4918" w:rsidP="007F4918">
      <w:pPr>
        <w:pStyle w:val="SangriaFrancesaArticulo"/>
      </w:pPr>
    </w:p>
    <w:p w:rsidR="007F4918" w:rsidRDefault="007F4918" w:rsidP="007F4918">
      <w:pPr>
        <w:pStyle w:val="TextoNormalNegritaCursivandice"/>
      </w:pPr>
      <w:r>
        <w:t>Dictamen del Comité de Derechos Humanos de Naciones Unidas, de 20 de julio de 2000 (Gómez Vázquez c. España, comunicación núm. 701/1996, de 11 de agosto de 2000)</w:t>
      </w:r>
    </w:p>
    <w:p w:rsidR="007F4918" w:rsidRDefault="007F4918" w:rsidP="007F4918">
      <w:pPr>
        <w:pStyle w:val="SangriaFrancesaArticulo"/>
      </w:pPr>
      <w:r w:rsidRPr="007F4918">
        <w:rPr>
          <w:rStyle w:val="TextoNormalNegritaCaracter"/>
        </w:rPr>
        <w:t>En general.</w:t>
      </w:r>
      <w:r w:rsidRPr="007F4918">
        <w:rPr>
          <w:rStyle w:val="TextoNormalCaracter"/>
        </w:rPr>
        <w:t>-</w:t>
      </w:r>
      <w:r>
        <w:t xml:space="preserve"> Sentencia </w:t>
      </w:r>
      <w:hyperlink w:anchor="SENTENCIA_2002_70" w:history="1">
        <w:r w:rsidRPr="007F4918">
          <w:rPr>
            <w:rStyle w:val="TextoNormalCaracter"/>
          </w:rPr>
          <w:t>70/2002</w:t>
        </w:r>
      </w:hyperlink>
      <w:r>
        <w:t>, f. 7.</w:t>
      </w:r>
    </w:p>
    <w:p w:rsidR="007F4918" w:rsidRDefault="007F4918">
      <w:pPr>
        <w:rPr>
          <w:rFonts w:ascii="Times New Roman" w:eastAsia="Times New Roman" w:hAnsi="Times New Roman" w:cs="Times New Roman"/>
          <w:sz w:val="24"/>
          <w:szCs w:val="24"/>
          <w:lang w:eastAsia="es-ES"/>
        </w:rPr>
      </w:pPr>
      <w:r>
        <w:br w:type="page"/>
      </w:r>
    </w:p>
    <w:p w:rsidR="007F4918" w:rsidRDefault="007F4918" w:rsidP="007F4918">
      <w:pPr>
        <w:pStyle w:val="SangriaFrancesaArticulo"/>
      </w:pPr>
      <w:bookmarkStart w:id="197" w:name="DESCRIPTOR1"/>
      <w:bookmarkStart w:id="198" w:name="DESCRIPTOR2"/>
      <w:bookmarkStart w:id="199" w:name="DESCRIPTOR3"/>
      <w:bookmarkStart w:id="200" w:name="DESCRIPTOR4"/>
      <w:bookmarkStart w:id="201" w:name="DESCRIPTOR5"/>
      <w:bookmarkStart w:id="202" w:name="DESCRIPTOR6"/>
      <w:bookmarkStart w:id="203" w:name="DESCRIPTOR7"/>
      <w:bookmarkStart w:id="204" w:name="DESCRIPTOR8"/>
      <w:bookmarkStart w:id="205" w:name="DESCRIPTOR9"/>
      <w:bookmarkStart w:id="206" w:name="DESCRIPTOR10"/>
      <w:bookmarkStart w:id="207" w:name="DESCRIPTOR11"/>
      <w:bookmarkStart w:id="208" w:name="DESCRIPTOR12"/>
      <w:bookmarkStart w:id="209" w:name="DESCRIPTOR13"/>
      <w:bookmarkStart w:id="210" w:name="DESCRIPTOR14"/>
      <w:bookmarkStart w:id="211" w:name="DESCRIPTOR15"/>
      <w:bookmarkStart w:id="212" w:name="DESCRIPTOR16"/>
      <w:bookmarkStart w:id="213" w:name="DESCRIPTOR17"/>
      <w:bookmarkStart w:id="214" w:name="DESCRIPTOR18"/>
      <w:bookmarkStart w:id="215" w:name="DESCRIPTOR19"/>
      <w:bookmarkStart w:id="216" w:name="DESCRIPTOR20"/>
      <w:bookmarkStart w:id="217" w:name="DESCRIPTOR21"/>
      <w:bookmarkStart w:id="218" w:name="DESCRIPTOR22"/>
      <w:bookmarkStart w:id="219" w:name="DESCRIPTOR23"/>
      <w:bookmarkStart w:id="220" w:name="DESCRIPTOR24"/>
      <w:bookmarkStart w:id="221" w:name="DESCRIPTOR25"/>
      <w:bookmarkStart w:id="222" w:name="DESCRIPTOR26"/>
      <w:bookmarkStart w:id="223" w:name="DESCRIPTOR27"/>
      <w:bookmarkStart w:id="224" w:name="DESCRIPTOR28"/>
      <w:bookmarkStart w:id="225" w:name="DESCRIPTOR29"/>
      <w:bookmarkStart w:id="226" w:name="DESCRIPTOR30"/>
      <w:bookmarkStart w:id="227" w:name="DESCRIPTOR31"/>
      <w:bookmarkStart w:id="228" w:name="DESCRIPTOR32"/>
      <w:bookmarkStart w:id="229" w:name="DESCRIPTOR33"/>
      <w:bookmarkStart w:id="230" w:name="DESCRIPTOR34"/>
      <w:bookmarkStart w:id="231" w:name="DESCRIPTOR35"/>
      <w:bookmarkStart w:id="232" w:name="DESCRIPTOR36"/>
      <w:bookmarkStart w:id="233" w:name="DESCRIPTOR37"/>
      <w:bookmarkStart w:id="234" w:name="DESCRIPTOR38"/>
      <w:bookmarkStart w:id="235" w:name="DESCRIPTOR39"/>
      <w:bookmarkStart w:id="236" w:name="DESCRIPTOR40"/>
      <w:bookmarkStart w:id="237" w:name="DESCRIPTOR41"/>
      <w:bookmarkStart w:id="238" w:name="DESCRIPTOR42"/>
      <w:bookmarkStart w:id="239" w:name="DESCRIPTOR43"/>
      <w:bookmarkStart w:id="240" w:name="DESCRIPTOR44"/>
      <w:bookmarkStart w:id="241" w:name="DESCRIPTOR45"/>
      <w:bookmarkStart w:id="242" w:name="DESCRIPTOR46"/>
      <w:bookmarkStart w:id="243" w:name="DESCRIPTOR47"/>
      <w:bookmarkStart w:id="244" w:name="DESCRIPTOR48"/>
      <w:bookmarkStart w:id="245" w:name="DESCRIPTOR49"/>
      <w:bookmarkStart w:id="246" w:name="DESCRIPTOR50"/>
      <w:bookmarkStart w:id="247" w:name="DESCRIPTOR51"/>
      <w:bookmarkStart w:id="248" w:name="DESCRIPTOR52"/>
      <w:bookmarkStart w:id="249" w:name="DESCRIPTOR53"/>
      <w:bookmarkStart w:id="250" w:name="DESCRIPTOR54"/>
      <w:bookmarkStart w:id="251" w:name="DESCRIPTOR55"/>
      <w:bookmarkStart w:id="252" w:name="DESCRIPTOR56"/>
      <w:bookmarkStart w:id="253" w:name="DESCRIPTOR57"/>
      <w:bookmarkStart w:id="254" w:name="DESCRIPTOR58"/>
      <w:bookmarkStart w:id="255" w:name="DESCRIPTOR59"/>
      <w:bookmarkStart w:id="256" w:name="DESCRIPTOR60"/>
      <w:bookmarkStart w:id="257" w:name="DESCRIPTOR61"/>
      <w:bookmarkStart w:id="258" w:name="DESCRIPTOR62"/>
      <w:bookmarkStart w:id="259" w:name="DESCRIPTOR63"/>
      <w:bookmarkStart w:id="260" w:name="DESCRIPTOR64"/>
      <w:bookmarkStart w:id="261" w:name="DESCRIPTOR65"/>
      <w:bookmarkStart w:id="262" w:name="DESCRIPTOR66"/>
      <w:bookmarkStart w:id="263" w:name="DESCRIPTOR67"/>
      <w:bookmarkStart w:id="264" w:name="DESCRIPTOR68"/>
      <w:bookmarkStart w:id="265" w:name="DESCRIPTOR69"/>
      <w:bookmarkStart w:id="266" w:name="DESCRIPTOR70"/>
      <w:bookmarkStart w:id="267" w:name="DESCRIPTOR71"/>
      <w:bookmarkStart w:id="268" w:name="DESCRIPTOR72"/>
      <w:bookmarkStart w:id="269" w:name="DESCRIPTOR73"/>
      <w:bookmarkStart w:id="270" w:name="DESCRIPTOR74"/>
      <w:bookmarkStart w:id="271" w:name="DESCRIPTOR75"/>
      <w:bookmarkStart w:id="272" w:name="DESCRIPTOR76"/>
      <w:bookmarkStart w:id="273" w:name="DESCRIPTOR77"/>
      <w:bookmarkStart w:id="274" w:name="DESCRIPTOR78"/>
      <w:bookmarkStart w:id="275" w:name="DESCRIPTOR79"/>
      <w:bookmarkStart w:id="276" w:name="DESCRIPTOR80"/>
      <w:bookmarkStart w:id="277" w:name="DESCRIPTOR81"/>
      <w:bookmarkStart w:id="278" w:name="DESCRIPTOR82"/>
      <w:bookmarkStart w:id="279" w:name="DESCRIPTOR83"/>
      <w:bookmarkStart w:id="280" w:name="DESCRIPTOR84"/>
      <w:bookmarkStart w:id="281" w:name="DESCRIPTOR85"/>
      <w:bookmarkStart w:id="282" w:name="DESCRIPTOR86"/>
      <w:bookmarkStart w:id="283" w:name="DESCRIPTOR87"/>
      <w:bookmarkStart w:id="284" w:name="DESCRIPTOR88"/>
      <w:bookmarkStart w:id="285" w:name="DESCRIPTOR89"/>
      <w:bookmarkStart w:id="286" w:name="DESCRIPTOR90"/>
      <w:bookmarkStart w:id="287" w:name="DESCRIPTOR91"/>
      <w:bookmarkStart w:id="288" w:name="DESCRIPTOR92"/>
      <w:bookmarkStart w:id="289" w:name="DESCRIPTOR93"/>
      <w:bookmarkStart w:id="290" w:name="DESCRIPTOR94"/>
      <w:bookmarkStart w:id="291" w:name="DESCRIPTOR95"/>
      <w:bookmarkStart w:id="292" w:name="DESCRIPTOR96"/>
      <w:bookmarkStart w:id="293" w:name="DESCRIPTOR97"/>
      <w:bookmarkStart w:id="294" w:name="DESCRIPTOR98"/>
      <w:bookmarkStart w:id="295" w:name="DESCRIPTOR99"/>
      <w:bookmarkStart w:id="296" w:name="DESCRIPTOR100"/>
      <w:bookmarkStart w:id="297" w:name="DESCRIPTOR101"/>
      <w:bookmarkStart w:id="298" w:name="DESCRIPTOR102"/>
      <w:bookmarkStart w:id="299" w:name="DESCRIPTOR103"/>
      <w:bookmarkStart w:id="300" w:name="DESCRIPTOR104"/>
      <w:bookmarkStart w:id="301" w:name="DESCRIPTOR105"/>
      <w:bookmarkStart w:id="302" w:name="DESCRIPTOR106"/>
      <w:bookmarkStart w:id="303" w:name="DESCRIPTOR107"/>
      <w:bookmarkStart w:id="304" w:name="DESCRIPTOR108"/>
      <w:bookmarkStart w:id="305" w:name="DESCRIPTOR109"/>
      <w:bookmarkStart w:id="306" w:name="DESCRIPTOR110"/>
      <w:bookmarkStart w:id="307" w:name="DESCRIPTOR111"/>
      <w:bookmarkStart w:id="308" w:name="DESCRIPTOR112"/>
      <w:bookmarkStart w:id="309" w:name="DESCRIPTOR113"/>
      <w:bookmarkStart w:id="310" w:name="DESCRIPTOR114"/>
      <w:bookmarkStart w:id="311" w:name="DESCRIPTOR115"/>
      <w:bookmarkStart w:id="312" w:name="DESCRIPTOR116"/>
      <w:bookmarkStart w:id="313" w:name="DESCRIPTOR117"/>
      <w:bookmarkStart w:id="314" w:name="DESCRIPTOR118"/>
      <w:bookmarkStart w:id="315" w:name="DESCRIPTOR119"/>
      <w:bookmarkStart w:id="316" w:name="DESCRIPTOR120"/>
      <w:bookmarkStart w:id="317" w:name="DESCRIPTOR121"/>
      <w:bookmarkStart w:id="318" w:name="DESCRIPTOR122"/>
      <w:bookmarkStart w:id="319" w:name="DESCRIPTOR123"/>
      <w:bookmarkStart w:id="320" w:name="DESCRIPTOR124"/>
      <w:bookmarkStart w:id="321" w:name="DESCRIPTOR125"/>
      <w:bookmarkStart w:id="322" w:name="DESCRIPTOR126"/>
      <w:bookmarkStart w:id="323" w:name="DESCRIPTOR127"/>
      <w:bookmarkStart w:id="324" w:name="DESCRIPTOR128"/>
      <w:bookmarkStart w:id="325" w:name="DESCRIPTOR129"/>
      <w:bookmarkStart w:id="326" w:name="DESCRIPTOR130"/>
      <w:bookmarkStart w:id="327" w:name="DESCRIPTOR131"/>
      <w:bookmarkStart w:id="328" w:name="DESCRIPTOR132"/>
      <w:bookmarkStart w:id="329" w:name="DESCRIPTOR133"/>
      <w:bookmarkStart w:id="330" w:name="DESCRIPTOR134"/>
      <w:bookmarkStart w:id="331" w:name="DESCRIPTOR135"/>
      <w:bookmarkStart w:id="332" w:name="DESCRIPTOR136"/>
      <w:bookmarkStart w:id="333" w:name="DESCRIPTOR137"/>
      <w:bookmarkStart w:id="334" w:name="DESCRIPTOR138"/>
      <w:bookmarkStart w:id="335" w:name="DESCRIPTOR139"/>
      <w:bookmarkStart w:id="336" w:name="DESCRIPTOR140"/>
      <w:bookmarkStart w:id="337" w:name="DESCRIPTOR141"/>
      <w:bookmarkStart w:id="338" w:name="DESCRIPTOR142"/>
      <w:bookmarkStart w:id="339" w:name="DESCRIPTOR143"/>
      <w:bookmarkStart w:id="340" w:name="DESCRIPTOR144"/>
      <w:bookmarkStart w:id="341" w:name="DESCRIPTOR145"/>
      <w:bookmarkStart w:id="342" w:name="DESCRIPTOR146"/>
      <w:bookmarkStart w:id="343" w:name="DESCRIPTOR147"/>
      <w:bookmarkStart w:id="344" w:name="DESCRIPTOR148"/>
      <w:bookmarkStart w:id="345" w:name="DESCRIPTOR149"/>
      <w:bookmarkStart w:id="346" w:name="DESCRIPTOR150"/>
      <w:bookmarkStart w:id="347" w:name="DESCRIPTOR151"/>
      <w:bookmarkStart w:id="348" w:name="DESCRIPTOR152"/>
      <w:bookmarkStart w:id="349" w:name="DESCRIPTOR153"/>
      <w:bookmarkStart w:id="350" w:name="DESCRIPTOR154"/>
      <w:bookmarkStart w:id="351" w:name="DESCRIPTOR155"/>
      <w:bookmarkStart w:id="352" w:name="DESCRIPTOR156"/>
      <w:bookmarkStart w:id="353" w:name="DESCRIPTOR157"/>
      <w:bookmarkStart w:id="354" w:name="DESCRIPTOR158"/>
      <w:bookmarkStart w:id="355" w:name="DESCRIPTOR159"/>
      <w:bookmarkStart w:id="356" w:name="DESCRIPTOR160"/>
      <w:bookmarkStart w:id="357" w:name="DESCRIPTOR161"/>
      <w:bookmarkStart w:id="358" w:name="DESCRIPTOR162"/>
      <w:bookmarkStart w:id="359" w:name="DESCRIPTOR163"/>
      <w:bookmarkStart w:id="360" w:name="DESCRIPTOR164"/>
      <w:bookmarkStart w:id="361" w:name="DESCRIPTOR165"/>
      <w:bookmarkStart w:id="362" w:name="DESCRIPTOR166"/>
      <w:bookmarkStart w:id="363" w:name="DESCRIPTOR167"/>
      <w:bookmarkStart w:id="364" w:name="DESCRIPTOR168"/>
      <w:bookmarkStart w:id="365" w:name="DESCRIPTOR169"/>
      <w:bookmarkStart w:id="366" w:name="DESCRIPTOR170"/>
      <w:bookmarkStart w:id="367" w:name="DESCRIPTOR171"/>
      <w:bookmarkStart w:id="368" w:name="DESCRIPTOR172"/>
      <w:bookmarkStart w:id="369" w:name="DESCRIPTOR173"/>
      <w:bookmarkStart w:id="370" w:name="DESCRIPTOR174"/>
      <w:bookmarkStart w:id="371" w:name="DESCRIPTOR175"/>
      <w:bookmarkStart w:id="372" w:name="DESCRIPTOR176"/>
      <w:bookmarkStart w:id="373" w:name="DESCRIPTOR177"/>
      <w:bookmarkStart w:id="374" w:name="DESCRIPTOR178"/>
      <w:bookmarkStart w:id="375" w:name="DESCRIPTOR179"/>
      <w:bookmarkStart w:id="376" w:name="DESCRIPTOR180"/>
      <w:bookmarkStart w:id="377" w:name="DESCRIPTOR181"/>
      <w:bookmarkStart w:id="378" w:name="DESCRIPTOR182"/>
      <w:bookmarkStart w:id="379" w:name="DESCRIPTOR183"/>
      <w:bookmarkStart w:id="380" w:name="DESCRIPTOR184"/>
      <w:bookmarkStart w:id="381" w:name="DESCRIPTOR185"/>
      <w:bookmarkStart w:id="382" w:name="DESCRIPTOR186"/>
      <w:bookmarkStart w:id="383" w:name="DESCRIPTOR187"/>
      <w:bookmarkStart w:id="384" w:name="DESCRIPTOR188"/>
      <w:bookmarkStart w:id="385" w:name="DESCRIPTOR189"/>
      <w:bookmarkStart w:id="386" w:name="DESCRIPTOR190"/>
      <w:bookmarkStart w:id="387" w:name="DESCRIPTOR191"/>
      <w:bookmarkStart w:id="388" w:name="DESCRIPTOR192"/>
      <w:bookmarkStart w:id="389" w:name="DESCRIPTOR193"/>
      <w:bookmarkStart w:id="390" w:name="DESCRIPTOR194"/>
      <w:bookmarkStart w:id="391" w:name="DESCRIPTOR195"/>
      <w:bookmarkStart w:id="392" w:name="DESCRIPTOR196"/>
      <w:bookmarkStart w:id="393" w:name="DESCRIPTOR197"/>
      <w:bookmarkStart w:id="394" w:name="DESCRIPTOR198"/>
      <w:bookmarkStart w:id="395" w:name="DESCRIPTOR199"/>
      <w:bookmarkStart w:id="396" w:name="DESCRIPTOR200"/>
      <w:bookmarkStart w:id="397" w:name="DESCRIPTOR201"/>
      <w:bookmarkStart w:id="398" w:name="DESCRIPTOR202"/>
      <w:bookmarkStart w:id="399" w:name="DESCRIPTOR203"/>
      <w:bookmarkStart w:id="400" w:name="DESCRIPTOR204"/>
      <w:bookmarkStart w:id="401" w:name="DESCRIPTOR205"/>
      <w:bookmarkStart w:id="402" w:name="DESCRIPTOR206"/>
      <w:bookmarkStart w:id="403" w:name="DESCRIPTOR207"/>
      <w:bookmarkStart w:id="404" w:name="DESCRIPTOR208"/>
      <w:bookmarkStart w:id="405" w:name="DESCRIPTOR209"/>
      <w:bookmarkStart w:id="406" w:name="DESCRIPTOR210"/>
      <w:bookmarkStart w:id="407" w:name="DESCRIPTOR211"/>
      <w:bookmarkStart w:id="408" w:name="DESCRIPTOR212"/>
      <w:bookmarkStart w:id="409" w:name="DESCRIPTOR213"/>
      <w:bookmarkStart w:id="410" w:name="DESCRIPTOR214"/>
      <w:bookmarkStart w:id="411" w:name="DESCRIPTOR215"/>
      <w:bookmarkStart w:id="412" w:name="DESCRIPTOR216"/>
      <w:bookmarkStart w:id="413" w:name="DESCRIPTOR217"/>
      <w:bookmarkStart w:id="414" w:name="DESCRIPTOR218"/>
      <w:bookmarkStart w:id="415" w:name="DESCRIPTOR219"/>
      <w:bookmarkStart w:id="416" w:name="DESCRIPTOR220"/>
      <w:bookmarkStart w:id="417" w:name="DESCRIPTOR221"/>
      <w:bookmarkStart w:id="418" w:name="DESCRIPTOR222"/>
      <w:bookmarkStart w:id="419" w:name="DESCRIPTOR223"/>
      <w:bookmarkStart w:id="420" w:name="DESCRIPTOR224"/>
      <w:bookmarkStart w:id="421" w:name="DESCRIPTOR225"/>
      <w:bookmarkStart w:id="422" w:name="DESCRIPTOR226"/>
      <w:bookmarkStart w:id="423" w:name="DESCRIPTOR227"/>
      <w:bookmarkStart w:id="424" w:name="DESCRIPTOR228"/>
      <w:bookmarkStart w:id="425" w:name="DESCRIPTOR229"/>
      <w:bookmarkStart w:id="426" w:name="DESCRIPTOR230"/>
      <w:bookmarkStart w:id="427" w:name="DESCRIPTOR231"/>
      <w:bookmarkStart w:id="428" w:name="DESCRIPTOR232"/>
      <w:bookmarkStart w:id="429" w:name="DESCRIPTOR233"/>
      <w:bookmarkStart w:id="430" w:name="DESCRIPTOR234"/>
      <w:bookmarkStart w:id="431" w:name="DESCRIPTOR235"/>
      <w:bookmarkStart w:id="432" w:name="DESCRIPTOR236"/>
      <w:bookmarkStart w:id="433" w:name="DESCRIPTOR237"/>
      <w:bookmarkStart w:id="434" w:name="DESCRIPTOR238"/>
      <w:bookmarkStart w:id="435" w:name="DESCRIPTOR239"/>
      <w:bookmarkStart w:id="436" w:name="DESCRIPTOR240"/>
      <w:bookmarkStart w:id="437" w:name="DESCRIPTOR241"/>
      <w:bookmarkStart w:id="438" w:name="DESCRIPTOR242"/>
      <w:bookmarkStart w:id="439" w:name="DESCRIPTOR243"/>
      <w:bookmarkStart w:id="440" w:name="DESCRIPTOR244"/>
      <w:bookmarkStart w:id="441" w:name="DESCRIPTOR245"/>
      <w:bookmarkStart w:id="442" w:name="DESCRIPTOR246"/>
      <w:bookmarkStart w:id="443" w:name="DESCRIPTOR247"/>
      <w:bookmarkStart w:id="444" w:name="DESCRIPTOR248"/>
      <w:bookmarkStart w:id="445" w:name="DESCRIPTOR249"/>
      <w:bookmarkStart w:id="446" w:name="DESCRIPTOR250"/>
      <w:bookmarkStart w:id="447" w:name="DESCRIPTOR251"/>
      <w:bookmarkStart w:id="448" w:name="DESCRIPTOR252"/>
      <w:bookmarkStart w:id="449" w:name="DESCRIPTOR253"/>
      <w:bookmarkStart w:id="450" w:name="DESCRIPTOR254"/>
      <w:bookmarkStart w:id="451" w:name="DESCRIPTOR255"/>
      <w:bookmarkStart w:id="452" w:name="DESCRIPTOR256"/>
      <w:bookmarkStart w:id="453" w:name="DESCRIPTOR257"/>
      <w:bookmarkStart w:id="454" w:name="DESCRIPTOR258"/>
      <w:bookmarkStart w:id="455" w:name="DESCRIPTOR259"/>
      <w:bookmarkStart w:id="456" w:name="DESCRIPTOR260"/>
      <w:bookmarkStart w:id="457" w:name="DESCRIPTOR261"/>
      <w:bookmarkStart w:id="458" w:name="DESCRIPTOR262"/>
      <w:bookmarkStart w:id="459" w:name="DESCRIPTOR263"/>
      <w:bookmarkStart w:id="460" w:name="DESCRIPTOR264"/>
      <w:bookmarkStart w:id="461" w:name="DESCRIPTOR265"/>
      <w:bookmarkStart w:id="462" w:name="DESCRIPTOR266"/>
      <w:bookmarkStart w:id="463" w:name="DESCRIPTOR267"/>
      <w:bookmarkStart w:id="464" w:name="DESCRIPTOR268"/>
      <w:bookmarkStart w:id="465" w:name="DESCRIPTOR269"/>
      <w:bookmarkStart w:id="466" w:name="DESCRIPTOR270"/>
      <w:bookmarkStart w:id="467" w:name="DESCRIPTOR271"/>
      <w:bookmarkStart w:id="468" w:name="DESCRIPTOR272"/>
      <w:bookmarkStart w:id="469" w:name="DESCRIPTOR273"/>
      <w:bookmarkStart w:id="470" w:name="DESCRIPTOR274"/>
      <w:bookmarkStart w:id="471" w:name="DESCRIPTOR275"/>
      <w:bookmarkStart w:id="472" w:name="DESCRIPTOR276"/>
      <w:bookmarkStart w:id="473" w:name="DESCRIPTOR277"/>
      <w:bookmarkStart w:id="474" w:name="DESCRIPTOR278"/>
      <w:bookmarkStart w:id="475" w:name="DESCRIPTOR279"/>
      <w:bookmarkStart w:id="476" w:name="DESCRIPTOR280"/>
      <w:bookmarkStart w:id="477" w:name="DESCRIPTOR281"/>
      <w:bookmarkStart w:id="478" w:name="DESCRIPTOR282"/>
      <w:bookmarkStart w:id="479" w:name="DESCRIPTOR283"/>
      <w:bookmarkStart w:id="480" w:name="DESCRIPTOR284"/>
      <w:bookmarkStart w:id="481" w:name="DESCRIPTOR285"/>
      <w:bookmarkStart w:id="482" w:name="DESCRIPTOR286"/>
      <w:bookmarkStart w:id="483" w:name="DESCRIPTOR287"/>
      <w:bookmarkStart w:id="484" w:name="DESCRIPTOR288"/>
      <w:bookmarkStart w:id="485" w:name="DESCRIPTOR289"/>
      <w:bookmarkStart w:id="486" w:name="DESCRIPTOR290"/>
      <w:bookmarkStart w:id="487" w:name="DESCRIPTOR291"/>
      <w:bookmarkStart w:id="488" w:name="DESCRIPTOR292"/>
      <w:bookmarkStart w:id="489" w:name="DESCRIPTOR293"/>
      <w:bookmarkStart w:id="490" w:name="DESCRIPTOR294"/>
      <w:bookmarkStart w:id="491" w:name="DESCRIPTOR295"/>
      <w:bookmarkStart w:id="492" w:name="DESCRIPTOR296"/>
      <w:bookmarkStart w:id="493" w:name="DESCRIPTOR297"/>
      <w:bookmarkStart w:id="494" w:name="DESCRIPTOR298"/>
      <w:bookmarkStart w:id="495" w:name="DESCRIPTOR299"/>
      <w:bookmarkStart w:id="496" w:name="DESCRIPTOR300"/>
      <w:bookmarkStart w:id="497" w:name="DESCRIPTOR301"/>
      <w:bookmarkStart w:id="498" w:name="DESCRIPTOR302"/>
      <w:bookmarkStart w:id="499" w:name="DESCRIPTOR303"/>
      <w:bookmarkStart w:id="500" w:name="DESCRIPTOR304"/>
      <w:bookmarkStart w:id="501" w:name="DESCRIPTOR305"/>
      <w:bookmarkStart w:id="502" w:name="DESCRIPTOR306"/>
      <w:bookmarkStart w:id="503" w:name="DESCRIPTOR307"/>
      <w:bookmarkStart w:id="504" w:name="DESCRIPTOR308"/>
      <w:bookmarkStart w:id="505" w:name="DESCRIPTOR309"/>
      <w:bookmarkStart w:id="506" w:name="DESCRIPTOR310"/>
      <w:bookmarkStart w:id="507" w:name="DESCRIPTOR311"/>
      <w:bookmarkStart w:id="508" w:name="DESCRIPTOR312"/>
      <w:bookmarkStart w:id="509" w:name="DESCRIPTOR313"/>
      <w:bookmarkStart w:id="510" w:name="DESCRIPTOR314"/>
      <w:bookmarkStart w:id="511" w:name="DESCRIPTOR315"/>
      <w:bookmarkStart w:id="512" w:name="DESCRIPTOR316"/>
      <w:bookmarkStart w:id="513" w:name="DESCRIPTOR317"/>
      <w:bookmarkStart w:id="514" w:name="DESCRIPTOR318"/>
      <w:bookmarkStart w:id="515" w:name="DESCRIPTOR319"/>
      <w:bookmarkStart w:id="516" w:name="DESCRIPTOR320"/>
      <w:bookmarkStart w:id="517" w:name="DESCRIPTOR321"/>
      <w:bookmarkStart w:id="518" w:name="DESCRIPTOR322"/>
      <w:bookmarkStart w:id="519" w:name="DESCRIPTOR323"/>
      <w:bookmarkStart w:id="520" w:name="DESCRIPTOR324"/>
      <w:bookmarkStart w:id="521" w:name="DESCRIPTOR325"/>
      <w:bookmarkStart w:id="522" w:name="DESCRIPTOR326"/>
      <w:bookmarkStart w:id="523" w:name="DESCRIPTOR327"/>
      <w:bookmarkStart w:id="524" w:name="DESCRIPTOR328"/>
      <w:bookmarkStart w:id="525" w:name="DESCRIPTOR329"/>
      <w:bookmarkStart w:id="526" w:name="DESCRIPTOR330"/>
      <w:bookmarkStart w:id="527" w:name="DESCRIPTOR331"/>
      <w:bookmarkStart w:id="528" w:name="DESCRIPTOR332"/>
      <w:bookmarkStart w:id="529" w:name="DESCRIPTOR333"/>
      <w:bookmarkStart w:id="530" w:name="DESCRIPTOR334"/>
      <w:bookmarkStart w:id="531" w:name="DESCRIPTOR335"/>
      <w:bookmarkStart w:id="532" w:name="DESCRIPTOR336"/>
      <w:bookmarkStart w:id="533" w:name="DESCRIPTOR337"/>
      <w:bookmarkStart w:id="534" w:name="DESCRIPTOR338"/>
      <w:bookmarkStart w:id="535" w:name="DESCRIPTOR339"/>
      <w:bookmarkStart w:id="536" w:name="DESCRIPTOR340"/>
      <w:bookmarkStart w:id="537" w:name="DESCRIPTOR341"/>
      <w:bookmarkStart w:id="538" w:name="DESCRIPTOR342"/>
      <w:bookmarkStart w:id="539" w:name="DESCRIPTOR343"/>
      <w:bookmarkStart w:id="540" w:name="DESCRIPTOR344"/>
      <w:bookmarkStart w:id="541" w:name="DESCRIPTOR345"/>
      <w:bookmarkStart w:id="542" w:name="DESCRIPTOR346"/>
      <w:bookmarkStart w:id="543" w:name="DESCRIPTOR347"/>
      <w:bookmarkStart w:id="544" w:name="DESCRIPTOR348"/>
      <w:bookmarkStart w:id="545" w:name="DESCRIPTOR349"/>
      <w:bookmarkStart w:id="546" w:name="DESCRIPTOR350"/>
      <w:bookmarkStart w:id="547" w:name="DESCRIPTOR351"/>
      <w:bookmarkStart w:id="548" w:name="DESCRIPTOR352"/>
      <w:bookmarkStart w:id="549" w:name="DESCRIPTOR353"/>
      <w:bookmarkStart w:id="550" w:name="DESCRIPTOR354"/>
      <w:bookmarkStart w:id="551" w:name="DESCRIPTOR355"/>
      <w:bookmarkStart w:id="552" w:name="DESCRIPTOR356"/>
      <w:bookmarkStart w:id="553" w:name="DESCRIPTOR357"/>
      <w:bookmarkStart w:id="554" w:name="DESCRIPTOR358"/>
      <w:bookmarkStart w:id="555" w:name="DESCRIPTOR359"/>
      <w:bookmarkStart w:id="556" w:name="DESCRIPTOR360"/>
      <w:bookmarkStart w:id="557" w:name="DESCRIPTOR361"/>
      <w:bookmarkStart w:id="558" w:name="DESCRIPTOR362"/>
      <w:bookmarkStart w:id="559" w:name="DESCRIPTOR363"/>
      <w:bookmarkStart w:id="560" w:name="DESCRIPTOR364"/>
      <w:bookmarkStart w:id="561" w:name="DESCRIPTOR365"/>
      <w:bookmarkStart w:id="562" w:name="DESCRIPTOR366"/>
      <w:bookmarkStart w:id="563" w:name="DESCRIPTOR367"/>
      <w:bookmarkStart w:id="564" w:name="DESCRIPTOR368"/>
      <w:bookmarkStart w:id="565" w:name="DESCRIPTOR369"/>
      <w:bookmarkStart w:id="566" w:name="DESCRIPTOR370"/>
      <w:bookmarkStart w:id="567" w:name="DESCRIPTOR371"/>
      <w:bookmarkStart w:id="568" w:name="DESCRIPTOR372"/>
      <w:bookmarkStart w:id="569" w:name="DESCRIPTOR373"/>
      <w:bookmarkStart w:id="570" w:name="DESCRIPTOR374"/>
      <w:bookmarkStart w:id="571" w:name="DESCRIPTOR375"/>
      <w:bookmarkStart w:id="572" w:name="DESCRIPTOR376"/>
      <w:bookmarkStart w:id="573" w:name="DESCRIPTOR377"/>
      <w:bookmarkStart w:id="574" w:name="DESCRIPTOR378"/>
      <w:bookmarkStart w:id="575" w:name="DESCRIPTOR379"/>
      <w:bookmarkStart w:id="576" w:name="DESCRIPTOR380"/>
      <w:bookmarkStart w:id="577" w:name="DESCRIPTOR381"/>
      <w:bookmarkStart w:id="578" w:name="DESCRIPTOR382"/>
      <w:bookmarkStart w:id="579" w:name="DESCRIPTOR383"/>
      <w:bookmarkStart w:id="580" w:name="DESCRIPTOR384"/>
      <w:bookmarkStart w:id="581" w:name="DESCRIPTOR385"/>
      <w:bookmarkStart w:id="582" w:name="DESCRIPTOR386"/>
      <w:bookmarkStart w:id="583" w:name="DESCRIPTOR387"/>
      <w:bookmarkStart w:id="584" w:name="DESCRIPTOR388"/>
      <w:bookmarkStart w:id="585" w:name="DESCRIPTOR389"/>
      <w:bookmarkStart w:id="586" w:name="DESCRIPTOR390"/>
      <w:bookmarkStart w:id="587" w:name="DESCRIPTOR391"/>
      <w:bookmarkStart w:id="588" w:name="DESCRIPTOR392"/>
      <w:bookmarkStart w:id="589" w:name="DESCRIPTOR393"/>
      <w:bookmarkStart w:id="590" w:name="DESCRIPTOR394"/>
      <w:bookmarkStart w:id="591" w:name="DESCRIPTOR395"/>
      <w:bookmarkStart w:id="592" w:name="DESCRIPTOR396"/>
      <w:bookmarkStart w:id="593" w:name="DESCRIPTOR397"/>
      <w:bookmarkStart w:id="594" w:name="DESCRIPTOR398"/>
      <w:bookmarkStart w:id="595" w:name="DESCRIPTOR399"/>
      <w:bookmarkStart w:id="596" w:name="DESCRIPTOR400"/>
      <w:bookmarkStart w:id="597" w:name="DESCRIPTOR401"/>
      <w:bookmarkStart w:id="598" w:name="DESCRIPTOR402"/>
      <w:bookmarkStart w:id="599" w:name="DESCRIPTOR403"/>
      <w:bookmarkStart w:id="600" w:name="DESCRIPTOR404"/>
      <w:bookmarkStart w:id="601" w:name="DESCRIPTOR405"/>
      <w:bookmarkStart w:id="602" w:name="DESCRIPTOR406"/>
      <w:bookmarkStart w:id="603" w:name="DESCRIPTOR407"/>
      <w:bookmarkStart w:id="604" w:name="DESCRIPTOR408"/>
      <w:bookmarkStart w:id="605" w:name="DESCRIPTOR409"/>
      <w:bookmarkStart w:id="606" w:name="DESCRIPTOR410"/>
      <w:bookmarkStart w:id="607" w:name="DESCRIPTOR411"/>
      <w:bookmarkStart w:id="608" w:name="DESCRIPTOR412"/>
      <w:bookmarkStart w:id="609" w:name="DESCRIPTOR413"/>
      <w:bookmarkStart w:id="610" w:name="DESCRIPTOR414"/>
      <w:bookmarkStart w:id="611" w:name="DESCRIPTOR415"/>
      <w:bookmarkStart w:id="612" w:name="DESCRIPTOR416"/>
      <w:bookmarkStart w:id="613" w:name="DESCRIPTOR417"/>
      <w:bookmarkStart w:id="614" w:name="DESCRIPTOR418"/>
      <w:bookmarkStart w:id="615" w:name="DESCRIPTOR419"/>
      <w:bookmarkStart w:id="616" w:name="DESCRIPTOR420"/>
      <w:bookmarkStart w:id="617" w:name="DESCRIPTOR421"/>
      <w:bookmarkStart w:id="618" w:name="DESCRIPTOR422"/>
      <w:bookmarkStart w:id="619" w:name="DESCRIPTOR423"/>
      <w:bookmarkStart w:id="620" w:name="DESCRIPTOR424"/>
      <w:bookmarkStart w:id="621" w:name="DESCRIPTOR425"/>
      <w:bookmarkStart w:id="622" w:name="DESCRIPTOR426"/>
      <w:bookmarkStart w:id="623" w:name="DESCRIPTOR427"/>
      <w:bookmarkStart w:id="624" w:name="DESCRIPTOR428"/>
      <w:bookmarkStart w:id="625" w:name="DESCRIPTOR429"/>
      <w:bookmarkStart w:id="626" w:name="DESCRIPTOR430"/>
      <w:bookmarkStart w:id="627" w:name="DESCRIPTOR431"/>
      <w:bookmarkStart w:id="628" w:name="DESCRIPTOR432"/>
      <w:bookmarkStart w:id="629" w:name="DESCRIPTOR433"/>
      <w:bookmarkStart w:id="630" w:name="DESCRIPTOR434"/>
      <w:bookmarkStart w:id="631" w:name="DESCRIPTOR435"/>
      <w:bookmarkStart w:id="632" w:name="DESCRIPTOR436"/>
      <w:bookmarkStart w:id="633" w:name="DESCRIPTOR437"/>
      <w:bookmarkStart w:id="634" w:name="DESCRIPTOR438"/>
      <w:bookmarkStart w:id="635" w:name="DESCRIPTOR439"/>
      <w:bookmarkStart w:id="636" w:name="DESCRIPTOR440"/>
      <w:bookmarkStart w:id="637" w:name="DESCRIPTOR441"/>
      <w:bookmarkStart w:id="638" w:name="DESCRIPTOR442"/>
      <w:bookmarkStart w:id="639" w:name="DESCRIPTOR443"/>
      <w:bookmarkStart w:id="640" w:name="DESCRIPTOR444"/>
      <w:bookmarkStart w:id="641" w:name="DESCRIPTOR445"/>
      <w:bookmarkStart w:id="642" w:name="DESCRIPTOR446"/>
      <w:bookmarkStart w:id="643" w:name="DESCRIPTOR447"/>
      <w:bookmarkStart w:id="644" w:name="DESCRIPTOR448"/>
      <w:bookmarkStart w:id="645" w:name="DESCRIPTOR449"/>
      <w:bookmarkStart w:id="646" w:name="DESCRIPTOR450"/>
      <w:bookmarkStart w:id="647" w:name="DESCRIPTOR451"/>
      <w:bookmarkStart w:id="648" w:name="DESCRIPTOR452"/>
      <w:bookmarkStart w:id="649" w:name="DESCRIPTOR453"/>
      <w:bookmarkStart w:id="650" w:name="DESCRIPTOR454"/>
      <w:bookmarkStart w:id="651" w:name="DESCRIPTOR455"/>
      <w:bookmarkStart w:id="652" w:name="DESCRIPTOR456"/>
      <w:bookmarkStart w:id="653" w:name="DESCRIPTOR457"/>
      <w:bookmarkStart w:id="654" w:name="DESCRIPTOR458"/>
      <w:bookmarkStart w:id="655" w:name="DESCRIPTOR459"/>
      <w:bookmarkStart w:id="656" w:name="DESCRIPTOR460"/>
      <w:bookmarkStart w:id="657" w:name="DESCRIPTOR461"/>
      <w:bookmarkStart w:id="658" w:name="DESCRIPTOR462"/>
      <w:bookmarkStart w:id="659" w:name="DESCRIPTOR463"/>
      <w:bookmarkStart w:id="660" w:name="DESCRIPTOR464"/>
      <w:bookmarkStart w:id="661" w:name="DESCRIPTOR465"/>
      <w:bookmarkStart w:id="662" w:name="DESCRIPTOR466"/>
      <w:bookmarkStart w:id="663" w:name="DESCRIPTOR467"/>
      <w:bookmarkStart w:id="664" w:name="DESCRIPTOR468"/>
      <w:bookmarkStart w:id="665" w:name="DESCRIPTOR469"/>
      <w:bookmarkStart w:id="666" w:name="DESCRIPTOR470"/>
      <w:bookmarkStart w:id="667" w:name="DESCRIPTOR471"/>
      <w:bookmarkStart w:id="668" w:name="DESCRIPTOR472"/>
      <w:bookmarkStart w:id="669" w:name="DESCRIPTOR473"/>
      <w:bookmarkStart w:id="670" w:name="DESCRIPTOR474"/>
      <w:bookmarkStart w:id="671" w:name="DESCRIPTOR475"/>
      <w:bookmarkStart w:id="672" w:name="DESCRIPTOR476"/>
      <w:bookmarkStart w:id="673" w:name="DESCRIPTOR477"/>
      <w:bookmarkStart w:id="674" w:name="DESCRIPTOR478"/>
      <w:bookmarkStart w:id="675" w:name="DESCRIPTOR479"/>
      <w:bookmarkStart w:id="676" w:name="DESCRIPTOR480"/>
      <w:bookmarkStart w:id="677" w:name="DESCRIPTOR481"/>
      <w:bookmarkStart w:id="678" w:name="DESCRIPTOR482"/>
      <w:bookmarkStart w:id="679" w:name="DESCRIPTOR483"/>
      <w:bookmarkStart w:id="680" w:name="DESCRIPTOR484"/>
      <w:bookmarkStart w:id="681" w:name="DESCRIPTOR485"/>
      <w:bookmarkStart w:id="682" w:name="DESCRIPTOR486"/>
      <w:bookmarkStart w:id="683" w:name="DESCRIPTOR487"/>
      <w:bookmarkStart w:id="684" w:name="DESCRIPTOR488"/>
      <w:bookmarkStart w:id="685" w:name="DESCRIPTOR489"/>
      <w:bookmarkStart w:id="686" w:name="DESCRIPTOR490"/>
      <w:bookmarkStart w:id="687" w:name="DESCRIPTOR491"/>
      <w:bookmarkStart w:id="688" w:name="DESCRIPTOR492"/>
      <w:bookmarkStart w:id="689" w:name="DESCRIPTOR493"/>
      <w:bookmarkStart w:id="690" w:name="DESCRIPTOR494"/>
      <w:bookmarkStart w:id="691" w:name="DESCRIPTOR495"/>
      <w:bookmarkStart w:id="692" w:name="DESCRIPTOR496"/>
      <w:bookmarkStart w:id="693" w:name="DESCRIPTOR497"/>
      <w:bookmarkStart w:id="694" w:name="DESCRIPTOR498"/>
      <w:bookmarkStart w:id="695" w:name="DESCRIPTOR499"/>
      <w:bookmarkStart w:id="696" w:name="DESCRIPTOR500"/>
      <w:bookmarkStart w:id="697" w:name="DESCRIPTOR501"/>
      <w:bookmarkStart w:id="698" w:name="DESCRIPTOR502"/>
      <w:bookmarkStart w:id="699" w:name="DESCRIPTOR503"/>
      <w:bookmarkStart w:id="700" w:name="DESCRIPTOR504"/>
      <w:bookmarkStart w:id="701" w:name="DESCRIPTOR505"/>
      <w:bookmarkStart w:id="702" w:name="DESCRIPTOR506"/>
      <w:bookmarkStart w:id="703" w:name="DESCRIPTOR507"/>
      <w:bookmarkStart w:id="704" w:name="DESCRIPTOR508"/>
      <w:bookmarkStart w:id="705" w:name="DESCRIPTOR509"/>
      <w:bookmarkStart w:id="706" w:name="DESCRIPTOR510"/>
      <w:bookmarkStart w:id="707" w:name="DESCRIPTOR511"/>
      <w:bookmarkStart w:id="708" w:name="DESCRIPTOR512"/>
      <w:bookmarkStart w:id="709" w:name="DESCRIPTOR513"/>
      <w:bookmarkStart w:id="710" w:name="DESCRIPTOR514"/>
      <w:bookmarkStart w:id="711" w:name="DESCRIPTOR515"/>
      <w:bookmarkStart w:id="712" w:name="DESCRIPTOR516"/>
      <w:bookmarkStart w:id="713" w:name="DESCRIPTOR517"/>
      <w:bookmarkStart w:id="714" w:name="DESCRIPTOR518"/>
      <w:bookmarkStart w:id="715" w:name="DESCRIPTOR519"/>
      <w:bookmarkStart w:id="716" w:name="DESCRIPTOR520"/>
      <w:bookmarkStart w:id="717" w:name="DESCRIPTOR521"/>
      <w:bookmarkStart w:id="718" w:name="DESCRIPTOR522"/>
      <w:bookmarkStart w:id="719" w:name="DESCRIPTOR523"/>
      <w:bookmarkStart w:id="720" w:name="DESCRIPTOR524"/>
      <w:bookmarkStart w:id="721" w:name="DESCRIPTOR525"/>
      <w:bookmarkStart w:id="722" w:name="DESCRIPTOR526"/>
      <w:bookmarkStart w:id="723" w:name="DESCRIPTOR527"/>
      <w:bookmarkStart w:id="724" w:name="DESCRIPTOR528"/>
      <w:bookmarkStart w:id="725" w:name="DESCRIPTOR529"/>
      <w:bookmarkStart w:id="726" w:name="DESCRIPTOR530"/>
      <w:bookmarkStart w:id="727" w:name="DESCRIPTOR531"/>
      <w:bookmarkStart w:id="728" w:name="DESCRIPTOR532"/>
      <w:bookmarkStart w:id="729" w:name="DESCRIPTOR533"/>
      <w:bookmarkStart w:id="730" w:name="DESCRIPTOR534"/>
      <w:bookmarkStart w:id="731" w:name="DESCRIPTOR535"/>
      <w:bookmarkStart w:id="732" w:name="DESCRIPTOR536"/>
      <w:bookmarkStart w:id="733" w:name="DESCRIPTOR537"/>
      <w:bookmarkStart w:id="734" w:name="DESCRIPTOR538"/>
      <w:bookmarkStart w:id="735" w:name="DESCRIPTOR539"/>
      <w:bookmarkStart w:id="736" w:name="DESCRIPTOR540"/>
      <w:bookmarkStart w:id="737" w:name="DESCRIPTOR541"/>
      <w:bookmarkStart w:id="738" w:name="DESCRIPTOR542"/>
      <w:bookmarkStart w:id="739" w:name="DESCRIPTOR543"/>
      <w:bookmarkStart w:id="740" w:name="DESCRIPTOR544"/>
      <w:bookmarkStart w:id="741" w:name="DESCRIPTOR545"/>
      <w:bookmarkStart w:id="742" w:name="DESCRIPTOR546"/>
      <w:bookmarkStart w:id="743" w:name="DESCRIPTOR547"/>
      <w:bookmarkStart w:id="744" w:name="DESCRIPTOR548"/>
      <w:bookmarkStart w:id="745" w:name="DESCRIPTOR549"/>
      <w:bookmarkStart w:id="746" w:name="DESCRIPTOR550"/>
      <w:bookmarkStart w:id="747" w:name="DESCRIPTOR551"/>
      <w:bookmarkStart w:id="748" w:name="DESCRIPTOR552"/>
      <w:bookmarkStart w:id="749" w:name="DESCRIPTOR553"/>
      <w:bookmarkStart w:id="750" w:name="DESCRIPTOR554"/>
      <w:bookmarkStart w:id="751" w:name="DESCRIPTOR555"/>
      <w:bookmarkStart w:id="752" w:name="DESCRIPTOR556"/>
      <w:bookmarkStart w:id="753" w:name="DESCRIPTOR557"/>
      <w:bookmarkStart w:id="754" w:name="DESCRIPTOR558"/>
      <w:bookmarkStart w:id="755" w:name="DESCRIPTOR559"/>
      <w:bookmarkStart w:id="756" w:name="DESCRIPTOR560"/>
      <w:bookmarkStart w:id="757" w:name="DESCRIPTOR561"/>
      <w:bookmarkStart w:id="758" w:name="DESCRIPTOR562"/>
      <w:bookmarkStart w:id="759" w:name="DESCRIPTOR563"/>
      <w:bookmarkStart w:id="760" w:name="DESCRIPTOR564"/>
      <w:bookmarkStart w:id="761" w:name="DESCRIPTOR565"/>
      <w:bookmarkStart w:id="762" w:name="DESCRIPTOR566"/>
      <w:bookmarkStart w:id="763" w:name="DESCRIPTOR567"/>
      <w:bookmarkStart w:id="764" w:name="DESCRIPTOR568"/>
      <w:bookmarkStart w:id="765" w:name="DESCRIPTOR569"/>
      <w:bookmarkStart w:id="766" w:name="DESCRIPTOR570"/>
      <w:bookmarkStart w:id="767" w:name="DESCRIPTOR571"/>
      <w:bookmarkStart w:id="768" w:name="DESCRIPTOR572"/>
      <w:bookmarkStart w:id="769" w:name="DESCRIPTOR573"/>
      <w:bookmarkStart w:id="770" w:name="DESCRIPTOR574"/>
      <w:bookmarkStart w:id="771" w:name="DESCRIPTOR575"/>
      <w:bookmarkStart w:id="772" w:name="DESCRIPTOR576"/>
      <w:bookmarkStart w:id="773" w:name="DESCRIPTOR577"/>
      <w:bookmarkStart w:id="774" w:name="DESCRIPTOR578"/>
      <w:bookmarkStart w:id="775" w:name="DESCRIPTOR579"/>
      <w:bookmarkStart w:id="776" w:name="DESCRIPTOR580"/>
      <w:bookmarkStart w:id="777" w:name="DESCRIPTOR581"/>
      <w:bookmarkStart w:id="778" w:name="DESCRIPTOR582"/>
      <w:bookmarkStart w:id="779" w:name="DESCRIPTOR583"/>
      <w:bookmarkStart w:id="780" w:name="DESCRIPTOR584"/>
      <w:bookmarkStart w:id="781" w:name="DESCRIPTOR585"/>
      <w:bookmarkStart w:id="782" w:name="DESCRIPTOR586"/>
      <w:bookmarkStart w:id="783" w:name="DESCRIPTOR587"/>
      <w:bookmarkStart w:id="784" w:name="DESCRIPTOR588"/>
      <w:bookmarkStart w:id="785" w:name="DESCRIPTOR589"/>
      <w:bookmarkStart w:id="786" w:name="DESCRIPTOR590"/>
      <w:bookmarkStart w:id="787" w:name="DESCRIPTOR591"/>
      <w:bookmarkStart w:id="788" w:name="DESCRIPTOR592"/>
      <w:bookmarkStart w:id="789" w:name="DESCRIPTOR593"/>
      <w:bookmarkStart w:id="790" w:name="DESCRIPTOR594"/>
      <w:bookmarkStart w:id="791" w:name="DESCRIPTOR595"/>
      <w:bookmarkStart w:id="792" w:name="DESCRIPTOR596"/>
      <w:bookmarkStart w:id="793" w:name="DESCRIPTOR597"/>
      <w:bookmarkStart w:id="794" w:name="DESCRIPTOR598"/>
      <w:bookmarkStart w:id="795" w:name="DESCRIPTOR599"/>
      <w:bookmarkStart w:id="796" w:name="DESCRIPTOR600"/>
      <w:bookmarkStart w:id="797" w:name="DESCRIPTOR601"/>
      <w:bookmarkStart w:id="798" w:name="DESCRIPTOR602"/>
      <w:bookmarkStart w:id="799" w:name="DESCRIPTOR603"/>
      <w:bookmarkStart w:id="800" w:name="DESCRIPTOR604"/>
      <w:bookmarkStart w:id="801" w:name="DESCRIPTOR605"/>
      <w:bookmarkStart w:id="802" w:name="DESCRIPTOR606"/>
      <w:bookmarkStart w:id="803" w:name="DESCRIPTOR607"/>
      <w:bookmarkStart w:id="804" w:name="DESCRIPTOR608"/>
      <w:bookmarkStart w:id="805" w:name="DESCRIPTOR609"/>
      <w:bookmarkStart w:id="806" w:name="DESCRIPTOR610"/>
      <w:bookmarkStart w:id="807" w:name="DESCRIPTOR611"/>
      <w:bookmarkStart w:id="808" w:name="DESCRIPTOR612"/>
      <w:bookmarkStart w:id="809" w:name="DESCRIPTOR613"/>
      <w:bookmarkStart w:id="810" w:name="DESCRIPTOR614"/>
      <w:bookmarkStart w:id="811" w:name="DESCRIPTOR615"/>
      <w:bookmarkStart w:id="812" w:name="DESCRIPTOR616"/>
      <w:bookmarkStart w:id="813" w:name="DESCRIPTOR617"/>
      <w:bookmarkStart w:id="814" w:name="DESCRIPTOR618"/>
      <w:bookmarkStart w:id="815" w:name="DESCRIPTOR619"/>
      <w:bookmarkStart w:id="816" w:name="DESCRIPTOR620"/>
      <w:bookmarkStart w:id="817" w:name="DESCRIPTOR621"/>
      <w:bookmarkStart w:id="818" w:name="DESCRIPTOR622"/>
      <w:bookmarkStart w:id="819" w:name="DESCRIPTOR623"/>
      <w:bookmarkStart w:id="820" w:name="DESCRIPTOR624"/>
      <w:bookmarkStart w:id="821" w:name="DESCRIPTOR625"/>
      <w:bookmarkStart w:id="822" w:name="DESCRIPTOR626"/>
      <w:bookmarkStart w:id="823" w:name="DESCRIPTOR627"/>
      <w:bookmarkStart w:id="824" w:name="DESCRIPTOR628"/>
      <w:bookmarkStart w:id="825" w:name="DESCRIPTOR629"/>
      <w:bookmarkStart w:id="826" w:name="DESCRIPTOR630"/>
      <w:bookmarkStart w:id="827" w:name="DESCRIPTOR631"/>
      <w:bookmarkStart w:id="828" w:name="DESCRIPTOR632"/>
      <w:bookmarkStart w:id="829" w:name="DESCRIPTOR633"/>
      <w:bookmarkStart w:id="830" w:name="DESCRIPTOR634"/>
      <w:bookmarkStart w:id="831" w:name="DESCRIPTOR635"/>
      <w:bookmarkStart w:id="832" w:name="DESCRIPTOR636"/>
      <w:bookmarkStart w:id="833" w:name="DESCRIPTOR637"/>
      <w:bookmarkStart w:id="834" w:name="DESCRIPTOR638"/>
      <w:bookmarkStart w:id="835" w:name="DESCRIPTOR639"/>
      <w:bookmarkStart w:id="836" w:name="DESCRIPTOR640"/>
      <w:bookmarkStart w:id="837" w:name="DESCRIPTOR641"/>
      <w:bookmarkStart w:id="838" w:name="DESCRIPTOR642"/>
      <w:bookmarkStart w:id="839" w:name="DESCRIPTOR643"/>
      <w:bookmarkStart w:id="840" w:name="DESCRIPTOR644"/>
      <w:bookmarkStart w:id="841" w:name="DESCRIPTOR645"/>
      <w:bookmarkStart w:id="842" w:name="DESCRIPTOR646"/>
      <w:bookmarkStart w:id="843" w:name="DESCRIPTOR647"/>
      <w:bookmarkStart w:id="844" w:name="DESCRIPTOR648"/>
      <w:bookmarkStart w:id="845" w:name="DESCRIPTOR649"/>
      <w:bookmarkStart w:id="846" w:name="DESCRIPTOR650"/>
      <w:bookmarkStart w:id="847" w:name="DESCRIPTOR651"/>
      <w:bookmarkStart w:id="848" w:name="DESCRIPTOR652"/>
      <w:bookmarkStart w:id="849" w:name="DESCRIPTOR653"/>
      <w:bookmarkStart w:id="850" w:name="DESCRIPTOR654"/>
      <w:bookmarkStart w:id="851" w:name="DESCRIPTOR655"/>
      <w:bookmarkStart w:id="852" w:name="DESCRIPTOR656"/>
      <w:bookmarkStart w:id="853" w:name="DESCRIPTOR657"/>
      <w:bookmarkStart w:id="854" w:name="DESCRIPTOR658"/>
      <w:bookmarkStart w:id="855" w:name="DESCRIPTOR659"/>
      <w:bookmarkStart w:id="856" w:name="DESCRIPTOR660"/>
      <w:bookmarkStart w:id="857" w:name="DESCRIPTOR661"/>
      <w:bookmarkStart w:id="858" w:name="DESCRIPTOR662"/>
      <w:bookmarkStart w:id="859" w:name="DESCRIPTOR663"/>
      <w:bookmarkStart w:id="860" w:name="DESCRIPTOR664"/>
      <w:bookmarkStart w:id="861" w:name="DESCRIPTOR665"/>
      <w:bookmarkStart w:id="862" w:name="DESCRIPTOR666"/>
      <w:bookmarkStart w:id="863" w:name="DESCRIPTOR667"/>
      <w:bookmarkStart w:id="864" w:name="DESCRIPTOR668"/>
      <w:bookmarkStart w:id="865" w:name="DESCRIPTOR669"/>
      <w:bookmarkStart w:id="866" w:name="DESCRIPTOR670"/>
      <w:bookmarkStart w:id="867" w:name="DESCRIPTOR671"/>
      <w:bookmarkStart w:id="868" w:name="DESCRIPTOR672"/>
      <w:bookmarkStart w:id="869" w:name="DESCRIPTOR673"/>
      <w:bookmarkStart w:id="870" w:name="DESCRIPTOR674"/>
      <w:bookmarkStart w:id="871" w:name="DESCRIPTOR675"/>
      <w:bookmarkStart w:id="872" w:name="DESCRIPTOR676"/>
      <w:bookmarkStart w:id="873" w:name="DESCRIPTOR677"/>
      <w:bookmarkStart w:id="874" w:name="DESCRIPTOR678"/>
      <w:bookmarkStart w:id="875" w:name="DESCRIPTOR679"/>
      <w:bookmarkStart w:id="876" w:name="DESCRIPTOR680"/>
      <w:bookmarkStart w:id="877" w:name="DESCRIPTOR681"/>
      <w:bookmarkStart w:id="878" w:name="DESCRIPTOR682"/>
      <w:bookmarkStart w:id="879" w:name="DESCRIPTOR683"/>
      <w:bookmarkStart w:id="880" w:name="DESCRIPTOR684"/>
      <w:bookmarkStart w:id="881" w:name="DESCRIPTOR685"/>
      <w:bookmarkStart w:id="882" w:name="DESCRIPTOR686"/>
      <w:bookmarkStart w:id="883" w:name="DESCRIPTOR687"/>
      <w:bookmarkStart w:id="884" w:name="DESCRIPTOR688"/>
      <w:bookmarkStart w:id="885" w:name="DESCRIPTOR689"/>
      <w:bookmarkStart w:id="886" w:name="DESCRIPTOR690"/>
      <w:bookmarkStart w:id="887" w:name="DESCRIPTOR691"/>
      <w:bookmarkStart w:id="888" w:name="DESCRIPTOR692"/>
      <w:bookmarkStart w:id="889" w:name="DESCRIPTOR693"/>
      <w:bookmarkStart w:id="890" w:name="DESCRIPTOR694"/>
      <w:bookmarkStart w:id="891" w:name="DESCRIPTOR695"/>
      <w:bookmarkStart w:id="892" w:name="DESCRIPTOR696"/>
      <w:bookmarkStart w:id="893" w:name="DESCRIPTOR697"/>
      <w:bookmarkStart w:id="894" w:name="DESCRIPTOR698"/>
      <w:bookmarkStart w:id="895" w:name="DESCRIPTOR699"/>
      <w:bookmarkStart w:id="896" w:name="DESCRIPTOR700"/>
      <w:bookmarkStart w:id="897" w:name="DESCRIPTOR701"/>
      <w:bookmarkStart w:id="898" w:name="DESCRIPTOR702"/>
      <w:bookmarkStart w:id="899" w:name="DESCRIPTOR703"/>
      <w:bookmarkStart w:id="900" w:name="DESCRIPTOR704"/>
      <w:bookmarkStart w:id="901" w:name="DESCRIPTOR705"/>
      <w:bookmarkStart w:id="902" w:name="DESCRIPTOR706"/>
      <w:bookmarkStart w:id="903" w:name="DESCRIPTOR707"/>
      <w:bookmarkStart w:id="904" w:name="DESCRIPTOR708"/>
      <w:bookmarkStart w:id="905" w:name="DESCRIPTOR709"/>
      <w:bookmarkStart w:id="906" w:name="DESCRIPTOR710"/>
      <w:bookmarkStart w:id="907" w:name="DESCRIPTOR711"/>
      <w:bookmarkStart w:id="908" w:name="DESCRIPTOR712"/>
      <w:bookmarkStart w:id="909" w:name="DESCRIPTOR713"/>
      <w:bookmarkStart w:id="910" w:name="DESCRIPTOR714"/>
      <w:bookmarkStart w:id="911" w:name="DESCRIPTOR715"/>
      <w:bookmarkStart w:id="912" w:name="DESCRIPTOR716"/>
      <w:bookmarkStart w:id="913" w:name="DESCRIPTOR717"/>
      <w:bookmarkStart w:id="914" w:name="DESCRIPTOR718"/>
      <w:bookmarkStart w:id="915" w:name="DESCRIPTOR719"/>
      <w:bookmarkStart w:id="916" w:name="DESCRIPTOR720"/>
      <w:bookmarkStart w:id="917" w:name="DESCRIPTOR721"/>
      <w:bookmarkStart w:id="918" w:name="DESCRIPTOR722"/>
      <w:bookmarkStart w:id="919" w:name="DESCRIPTOR723"/>
      <w:bookmarkStart w:id="920" w:name="DESCRIPTOR724"/>
      <w:bookmarkStart w:id="921" w:name="DESCRIPTOR725"/>
      <w:bookmarkStart w:id="922" w:name="DESCRIPTOR726"/>
      <w:bookmarkStart w:id="923" w:name="DESCRIPTOR727"/>
      <w:bookmarkStart w:id="924" w:name="DESCRIPTOR728"/>
      <w:bookmarkStart w:id="925" w:name="DESCRIPTOR729"/>
      <w:bookmarkStart w:id="926" w:name="DESCRIPTOR730"/>
      <w:bookmarkStart w:id="927" w:name="DESCRIPTOR731"/>
      <w:bookmarkStart w:id="928" w:name="DESCRIPTOR732"/>
      <w:bookmarkStart w:id="929" w:name="DESCRIPTOR733"/>
      <w:bookmarkStart w:id="930" w:name="DESCRIPTOR734"/>
      <w:bookmarkStart w:id="931" w:name="DESCRIPTOR735"/>
      <w:bookmarkStart w:id="932" w:name="DESCRIPTOR736"/>
      <w:bookmarkStart w:id="933" w:name="DESCRIPTOR737"/>
      <w:bookmarkStart w:id="934" w:name="DESCRIPTOR738"/>
      <w:bookmarkStart w:id="935" w:name="DESCRIPTOR739"/>
      <w:bookmarkStart w:id="936" w:name="DESCRIPTOR740"/>
      <w:bookmarkStart w:id="937" w:name="DESCRIPTOR741"/>
      <w:bookmarkStart w:id="938" w:name="DESCRIPTOR742"/>
      <w:bookmarkStart w:id="939" w:name="DESCRIPTOR743"/>
      <w:bookmarkStart w:id="940" w:name="DESCRIPTOR744"/>
      <w:bookmarkStart w:id="941" w:name="INDICE5ALFABETICO"/>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rsidR="000C3DF9" w:rsidRDefault="000C3DF9" w:rsidP="000C3DF9">
      <w:pPr>
        <w:pStyle w:val="TextoNormal"/>
      </w:pPr>
    </w:p>
    <w:p w:rsidR="000C3DF9" w:rsidRDefault="000C3DF9" w:rsidP="000C3DF9">
      <w:pPr>
        <w:pStyle w:val="TextoNormal"/>
      </w:pPr>
    </w:p>
    <w:p w:rsidR="000C3DF9" w:rsidRDefault="000C3DF9" w:rsidP="000C3DF9">
      <w:pPr>
        <w:pStyle w:val="TextoNormal"/>
      </w:pPr>
    </w:p>
    <w:p w:rsidR="000C3DF9" w:rsidRDefault="000C3DF9" w:rsidP="000C3DF9">
      <w:pPr>
        <w:pStyle w:val="Ttulondice"/>
      </w:pPr>
      <w:r>
        <w:t>7. ÍNDICE ANALÍTICO</w:t>
      </w:r>
    </w:p>
    <w:p w:rsidR="000C3DF9" w:rsidRDefault="000C3DF9" w:rsidP="000C3DF9">
      <w:pPr>
        <w:pStyle w:val="TextoNormal"/>
      </w:pPr>
    </w:p>
    <w:p w:rsidR="000C3DF9" w:rsidRDefault="000C3DF9" w:rsidP="000C3DF9">
      <w:pPr>
        <w:pStyle w:val="Ttulondice"/>
      </w:pPr>
    </w:p>
    <w:p w:rsidR="000C3DF9" w:rsidRDefault="000C3DF9" w:rsidP="000C3DF9">
      <w:pPr>
        <w:pStyle w:val="Ttulondice"/>
      </w:pPr>
    </w:p>
    <w:p w:rsidR="000C3DF9" w:rsidRDefault="000C3DF9" w:rsidP="000C3DF9">
      <w:pPr>
        <w:pStyle w:val="Ttulondice"/>
      </w:pPr>
    </w:p>
    <w:p w:rsidR="000C3DF9" w:rsidRDefault="000C3DF9" w:rsidP="000C3DF9">
      <w:pPr>
        <w:pStyle w:val="Ttulondice"/>
      </w:pPr>
    </w:p>
    <w:p w:rsidR="000C3DF9" w:rsidRDefault="000C3DF9" w:rsidP="000C3DF9">
      <w:pPr>
        <w:pStyle w:val="Ttulondice"/>
      </w:pPr>
    </w:p>
    <w:p w:rsidR="000C3DF9" w:rsidRDefault="000C3DF9" w:rsidP="000C3DF9">
      <w:pPr>
        <w:pStyle w:val="Ttulondice"/>
      </w:pPr>
    </w:p>
    <w:p w:rsidR="000C3DF9" w:rsidRDefault="000C3DF9" w:rsidP="000C3DF9">
      <w:pPr>
        <w:pStyle w:val="Ttulondice"/>
      </w:pPr>
    </w:p>
    <w:p w:rsidR="000C3DF9" w:rsidRDefault="000C3DF9" w:rsidP="000C3DF9">
      <w:pPr>
        <w:pStyle w:val="TextoNormalNegritaCentrado"/>
      </w:pPr>
      <w:r>
        <w:t>A</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942" w:name="DESCRIPTORALFABETICO626"/>
      <w:r w:rsidRPr="000C3DF9">
        <w:rPr>
          <w:rStyle w:val="TextoNormalNegritaCaracter"/>
        </w:rPr>
        <w:t>Abogados</w:t>
      </w:r>
      <w:bookmarkEnd w:id="942"/>
      <w:r w:rsidRPr="000C3DF9">
        <w:rPr>
          <w:rStyle w:val="TextoNormalCaracter"/>
        </w:rPr>
        <w:t xml:space="preserve">, Sentencia </w:t>
      </w:r>
      <w:hyperlink w:anchor="SENTENCIA_2002_79" w:history="1">
        <w:r w:rsidRPr="000C3DF9">
          <w:rPr>
            <w:rStyle w:val="TextoNormalCaracter"/>
          </w:rPr>
          <w:t>79/2002</w:t>
        </w:r>
      </w:hyperlink>
      <w:r w:rsidRPr="000C3DF9">
        <w:rPr>
          <w:rStyle w:val="TextoNormalCaracter"/>
        </w:rPr>
        <w:t>, ff. 2, 6, 7.</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43" w:history="1">
        <w:r w:rsidRPr="000C3DF9">
          <w:rPr>
            <w:rStyle w:val="TextoNormalCaracter"/>
          </w:rPr>
          <w:t>43/2002</w:t>
        </w:r>
      </w:hyperlink>
      <w:r w:rsidRPr="000C3DF9">
        <w:rPr>
          <w:rStyle w:val="TextoNormalCaracter"/>
        </w:rPr>
        <w:t>.</w:t>
      </w:r>
    </w:p>
    <w:p w:rsidR="000C3DF9" w:rsidRPr="000C3DF9" w:rsidRDefault="000C3DF9" w:rsidP="000C3DF9">
      <w:pPr>
        <w:pStyle w:val="TextoNormalSangraFrancesa"/>
        <w:rPr>
          <w:rStyle w:val="TextoNormalCaracter"/>
        </w:rPr>
      </w:pPr>
      <w:bookmarkStart w:id="943" w:name="DESCRIPTORALFABETICO525"/>
      <w:r w:rsidRPr="000C3DF9">
        <w:rPr>
          <w:rStyle w:val="TextoNormalNegritaCaracter"/>
        </w:rPr>
        <w:t>Abstención de jueces y magistrados</w:t>
      </w:r>
      <w:bookmarkEnd w:id="943"/>
      <w:r w:rsidRPr="000C3DF9">
        <w:rPr>
          <w:rStyle w:val="TextoNormalCaracter"/>
        </w:rPr>
        <w:t xml:space="preserve">, Sentencia </w:t>
      </w:r>
      <w:hyperlink w:anchor="SENTENCIA_2002_51" w:history="1">
        <w:r w:rsidRPr="000C3DF9">
          <w:rPr>
            <w:rStyle w:val="TextoNormalCaracter"/>
          </w:rPr>
          <w:t>51/2002</w:t>
        </w:r>
      </w:hyperlink>
      <w:r w:rsidRPr="000C3DF9">
        <w:rPr>
          <w:rStyle w:val="TextoNormalCaracter"/>
        </w:rPr>
        <w:t>, f. 3.</w:t>
      </w:r>
    </w:p>
    <w:p w:rsidR="000C3DF9" w:rsidRPr="000C3DF9" w:rsidRDefault="000C3DF9" w:rsidP="000C3DF9">
      <w:pPr>
        <w:pStyle w:val="TextoNormalSangraFrancesa"/>
        <w:rPr>
          <w:rStyle w:val="TextoNormalCaracter"/>
        </w:rPr>
      </w:pPr>
      <w:bookmarkStart w:id="944" w:name="DESCRIPTORALFABETICO389"/>
      <w:r w:rsidRPr="000C3DF9">
        <w:rPr>
          <w:rStyle w:val="TextoNormalNegritaCaracter"/>
        </w:rPr>
        <w:t>Acceso a la función pública</w:t>
      </w:r>
      <w:bookmarkEnd w:id="944"/>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11.</w:t>
      </w:r>
    </w:p>
    <w:p w:rsidR="000C3DF9" w:rsidRPr="000C3DF9" w:rsidRDefault="000C3DF9" w:rsidP="000C3DF9">
      <w:pPr>
        <w:pStyle w:val="TextoNormalSangraFrancesa"/>
        <w:rPr>
          <w:rStyle w:val="TextoNormalCaracter"/>
        </w:rPr>
      </w:pPr>
      <w:bookmarkStart w:id="945" w:name="DESCRIPTORALFABETICO79"/>
      <w:r w:rsidRPr="000C3DF9">
        <w:rPr>
          <w:rStyle w:val="TextoNormalNegritaCaracter"/>
        </w:rPr>
        <w:t>Acceso a la justicia</w:t>
      </w:r>
      <w:bookmarkEnd w:id="945"/>
      <w:r w:rsidRPr="000C3DF9">
        <w:rPr>
          <w:rStyle w:val="TextoNormalCaracter"/>
        </w:rPr>
        <w:t xml:space="preserve">, Sentencias </w:t>
      </w:r>
      <w:hyperlink w:anchor="SENTENCIA_2002_15" w:history="1">
        <w:r w:rsidRPr="000C3DF9">
          <w:rPr>
            <w:rStyle w:val="TextoNormalCaracter"/>
          </w:rPr>
          <w:t>15/2002</w:t>
        </w:r>
      </w:hyperlink>
      <w:r w:rsidRPr="000C3DF9">
        <w:rPr>
          <w:rStyle w:val="TextoNormalCaracter"/>
        </w:rPr>
        <w:t xml:space="preserve">, f. 5; </w:t>
      </w:r>
      <w:hyperlink w:anchor="SENTENCIA_2002_27" w:history="1">
        <w:r w:rsidRPr="000C3DF9">
          <w:rPr>
            <w:rStyle w:val="TextoNormalCaracter"/>
          </w:rPr>
          <w:t>27/2002</w:t>
        </w:r>
      </w:hyperlink>
      <w:r w:rsidRPr="000C3DF9">
        <w:rPr>
          <w:rStyle w:val="TextoNormalCaracter"/>
        </w:rPr>
        <w:t xml:space="preserve">, ff. 5, 6; </w:t>
      </w:r>
      <w:hyperlink w:anchor="SENTENCIA_2002_58" w:history="1">
        <w:r w:rsidRPr="000C3DF9">
          <w:rPr>
            <w:rStyle w:val="TextoNormalCaracter"/>
          </w:rPr>
          <w:t>58/2002</w:t>
        </w:r>
      </w:hyperlink>
      <w:r w:rsidRPr="000C3DF9">
        <w:rPr>
          <w:rStyle w:val="TextoNormalCaracter"/>
        </w:rPr>
        <w:t xml:space="preserve">, ff. 2, 3; </w:t>
      </w:r>
      <w:hyperlink w:anchor="SENTENCIA_2002_60" w:history="1">
        <w:r w:rsidRPr="000C3DF9">
          <w:rPr>
            <w:rStyle w:val="TextoNormalCaracter"/>
          </w:rPr>
          <w:t>60/2002</w:t>
        </w:r>
      </w:hyperlink>
      <w:r w:rsidRPr="000C3DF9">
        <w:rPr>
          <w:rStyle w:val="TextoNormalCaracter"/>
        </w:rPr>
        <w:t xml:space="preserve">, ff. 3, 4; </w:t>
      </w:r>
      <w:hyperlink w:anchor="SENTENCIA_2002_71" w:history="1">
        <w:r w:rsidRPr="000C3DF9">
          <w:rPr>
            <w:rStyle w:val="TextoNormalCaracter"/>
          </w:rPr>
          <w:t>71/2002</w:t>
        </w:r>
      </w:hyperlink>
      <w:r w:rsidRPr="000C3DF9">
        <w:rPr>
          <w:rStyle w:val="TextoNormalCaracter"/>
        </w:rPr>
        <w:t xml:space="preserve">, ff. 3, 7; </w:t>
      </w:r>
      <w:hyperlink w:anchor="SENTENCIA_2002_72" w:history="1">
        <w:r w:rsidRPr="000C3DF9">
          <w:rPr>
            <w:rStyle w:val="TextoNormalCaracter"/>
          </w:rPr>
          <w:t>72/2002</w:t>
        </w:r>
      </w:hyperlink>
      <w:r w:rsidRPr="000C3DF9">
        <w:rPr>
          <w:rStyle w:val="TextoNormalCaracter"/>
        </w:rPr>
        <w:t xml:space="preserve">, ff. 2, 3; </w:t>
      </w:r>
      <w:hyperlink w:anchor="SENTENCIA_2002_77" w:history="1">
        <w:r w:rsidRPr="000C3DF9">
          <w:rPr>
            <w:rStyle w:val="TextoNormalCaracter"/>
          </w:rPr>
          <w:t>77/2002</w:t>
        </w:r>
      </w:hyperlink>
      <w:r w:rsidRPr="000C3DF9">
        <w:rPr>
          <w:rStyle w:val="TextoNormalCaracter"/>
        </w:rPr>
        <w:t xml:space="preserve">, ff. 3, 5; </w:t>
      </w:r>
      <w:hyperlink w:anchor="SENTENCIA_2002_80" w:history="1">
        <w:r w:rsidRPr="000C3DF9">
          <w:rPr>
            <w:rStyle w:val="TextoNormalCaracter"/>
          </w:rPr>
          <w:t>80/2002</w:t>
        </w:r>
      </w:hyperlink>
      <w:r w:rsidRPr="000C3DF9">
        <w:rPr>
          <w:rStyle w:val="TextoNormalCaracter"/>
        </w:rPr>
        <w:t xml:space="preserve">, f. 3; </w:t>
      </w:r>
      <w:hyperlink w:anchor="SENTENCIA_2002_86" w:history="1">
        <w:r w:rsidRPr="000C3DF9">
          <w:rPr>
            <w:rStyle w:val="TextoNormalCaracter"/>
          </w:rPr>
          <w:t>86/2002</w:t>
        </w:r>
      </w:hyperlink>
      <w:r w:rsidRPr="000C3DF9">
        <w:rPr>
          <w:rStyle w:val="TextoNormalCaracter"/>
        </w:rPr>
        <w:t>, ff. 3,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60" w:history="1">
        <w:r w:rsidRPr="000C3DF9">
          <w:rPr>
            <w:rStyle w:val="TextoNormalCaracter"/>
          </w:rPr>
          <w:t>60/2002</w:t>
        </w:r>
      </w:hyperlink>
      <w:r w:rsidRPr="000C3DF9">
        <w:rPr>
          <w:rStyle w:val="TextoNormalCaracter"/>
        </w:rPr>
        <w:t xml:space="preserve">, f. 4; </w:t>
      </w:r>
      <w:hyperlink w:anchor="SENTENCIA_2002_77" w:history="1">
        <w:r w:rsidRPr="000C3DF9">
          <w:rPr>
            <w:rStyle w:val="TextoNormalCaracter"/>
          </w:rPr>
          <w:t>77/2002</w:t>
        </w:r>
      </w:hyperlink>
      <w:r w:rsidRPr="000C3DF9">
        <w:rPr>
          <w:rStyle w:val="TextoNormalCaracter"/>
        </w:rPr>
        <w:t xml:space="preserve">, ff. 4 a 6; </w:t>
      </w:r>
      <w:hyperlink w:anchor="SENTENCIA_2002_80" w:history="1">
        <w:r w:rsidRPr="000C3DF9">
          <w:rPr>
            <w:rStyle w:val="TextoNormalCaracter"/>
          </w:rPr>
          <w:t>80/2002</w:t>
        </w:r>
      </w:hyperlink>
      <w:r w:rsidRPr="000C3DF9">
        <w:rPr>
          <w:rStyle w:val="TextoNormalCaracter"/>
        </w:rPr>
        <w:t xml:space="preserve">, f. 3; </w:t>
      </w:r>
      <w:hyperlink w:anchor="SENTENCIA_2002_86" w:history="1">
        <w:r w:rsidRPr="000C3DF9">
          <w:rPr>
            <w:rStyle w:val="TextoNormalCaracter"/>
          </w:rPr>
          <w:t>86/2002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15" w:history="1">
        <w:r w:rsidRPr="000C3DF9">
          <w:rPr>
            <w:rStyle w:val="TextoNormalCaracter"/>
          </w:rPr>
          <w:t>15/2002</w:t>
        </w:r>
      </w:hyperlink>
      <w:r w:rsidRPr="000C3DF9">
        <w:rPr>
          <w:rStyle w:val="TextoNormalCaracter"/>
        </w:rPr>
        <w:t xml:space="preserve">, f. 5; </w:t>
      </w:r>
      <w:hyperlink w:anchor="SENTENCIA_2002_27" w:history="1">
        <w:r w:rsidRPr="000C3DF9">
          <w:rPr>
            <w:rStyle w:val="TextoNormalCaracter"/>
          </w:rPr>
          <w:t>27/2002</w:t>
        </w:r>
      </w:hyperlink>
      <w:r w:rsidRPr="000C3DF9">
        <w:rPr>
          <w:rStyle w:val="TextoNormalCaracter"/>
        </w:rPr>
        <w:t xml:space="preserve">, ff. 5, 6; </w:t>
      </w:r>
      <w:hyperlink w:anchor="SENTENCIA_2002_58" w:history="1">
        <w:r w:rsidRPr="000C3DF9">
          <w:rPr>
            <w:rStyle w:val="TextoNormalCaracter"/>
          </w:rPr>
          <w:t>58/2002</w:t>
        </w:r>
      </w:hyperlink>
      <w:r w:rsidRPr="000C3DF9">
        <w:rPr>
          <w:rStyle w:val="TextoNormalCaracter"/>
        </w:rPr>
        <w:t xml:space="preserve">, f. 3; </w:t>
      </w:r>
      <w:hyperlink w:anchor="SENTENCIA_2002_72" w:history="1">
        <w:r w:rsidRPr="000C3DF9">
          <w:rPr>
            <w:rStyle w:val="TextoNormalCaracter"/>
          </w:rPr>
          <w:t>72/2002</w:t>
        </w:r>
      </w:hyperlink>
      <w:r w:rsidRPr="000C3DF9">
        <w:rPr>
          <w:rStyle w:val="TextoNormalCaracter"/>
        </w:rPr>
        <w:t>, f. 3.</w:t>
      </w:r>
    </w:p>
    <w:p w:rsidR="000C3DF9" w:rsidRPr="000C3DF9" w:rsidRDefault="000C3DF9" w:rsidP="000C3DF9">
      <w:pPr>
        <w:pStyle w:val="TextoNormalSangraFrancesa"/>
        <w:rPr>
          <w:rStyle w:val="TextoNormalCaracter"/>
        </w:rPr>
      </w:pPr>
      <w:bookmarkStart w:id="946" w:name="DESCRIPTORALFABETICO80"/>
      <w:r w:rsidRPr="000C3DF9">
        <w:rPr>
          <w:rStyle w:val="TextoNormalNegritaCaracter"/>
        </w:rPr>
        <w:t>Acceso a la justicia penal</w:t>
      </w:r>
      <w:bookmarkEnd w:id="946"/>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ff. 3, 4, 5, 6.</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63" w:history="1">
        <w:r w:rsidRPr="000C3DF9">
          <w:rPr>
            <w:rStyle w:val="TextoNormalCaracter"/>
          </w:rPr>
          <w:t>63/2002</w:t>
        </w:r>
      </w:hyperlink>
      <w:r w:rsidRPr="000C3DF9">
        <w:rPr>
          <w:rStyle w:val="TextoNormalCaracter"/>
        </w:rPr>
        <w:t>, f. 3.</w:t>
      </w:r>
    </w:p>
    <w:p w:rsidR="000C3DF9" w:rsidRPr="000C3DF9" w:rsidRDefault="000C3DF9" w:rsidP="000C3DF9">
      <w:pPr>
        <w:pStyle w:val="TextoNormalSangraFrancesa"/>
        <w:rPr>
          <w:rStyle w:val="TextoNormalCaracter"/>
        </w:rPr>
      </w:pPr>
      <w:bookmarkStart w:id="947" w:name="DESCRIPTORALFABETICO82"/>
      <w:r w:rsidRPr="000C3DF9">
        <w:rPr>
          <w:rStyle w:val="TextoNormalNegritaCaracter"/>
        </w:rPr>
        <w:t>Acceso al proceso</w:t>
      </w:r>
      <w:bookmarkEnd w:id="947"/>
      <w:r w:rsidRPr="000C3DF9">
        <w:rPr>
          <w:rStyle w:val="TextoNormalCaracter"/>
        </w:rPr>
        <w:t xml:space="preserve">, Sentencias </w:t>
      </w:r>
      <w:hyperlink w:anchor="SENTENCIA_2002_45" w:history="1">
        <w:r w:rsidRPr="000C3DF9">
          <w:rPr>
            <w:rStyle w:val="TextoNormalCaracter"/>
          </w:rPr>
          <w:t>45/2002</w:t>
        </w:r>
      </w:hyperlink>
      <w:r w:rsidRPr="000C3DF9">
        <w:rPr>
          <w:rStyle w:val="TextoNormalCaracter"/>
        </w:rPr>
        <w:t xml:space="preserve">, ff. 2, 5; </w:t>
      </w:r>
      <w:hyperlink w:anchor="SENTENCIA_2002_73" w:history="1">
        <w:r w:rsidRPr="000C3DF9">
          <w:rPr>
            <w:rStyle w:val="TextoNormalCaracter"/>
          </w:rPr>
          <w:t>73/2002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5" w:history="1">
        <w:r w:rsidRPr="000C3DF9">
          <w:rPr>
            <w:rStyle w:val="TextoNormalCaracter"/>
          </w:rPr>
          <w:t>55/2002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73" w:history="1">
        <w:r w:rsidRPr="000C3DF9">
          <w:rPr>
            <w:rStyle w:val="TextoNormalCaracter"/>
          </w:rPr>
          <w:t>73/2002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45" w:history="1">
        <w:r w:rsidRPr="000C3DF9">
          <w:rPr>
            <w:rStyle w:val="TextoNormalCaracter"/>
          </w:rPr>
          <w:t>45/2002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Acceso al proceso legalmente debido</w:t>
      </w:r>
      <w:r>
        <w:t xml:space="preserve"> véase </w:t>
      </w:r>
      <w:hyperlink w:anchor="DESCRIPTORALFABETICO82" w:history="1">
        <w:r w:rsidRPr="000C3DF9">
          <w:rPr>
            <w:rStyle w:val="TextoNormalNegritaCaracter"/>
          </w:rPr>
          <w:t>Acceso al proceso</w:t>
        </w:r>
      </w:hyperlink>
    </w:p>
    <w:p w:rsidR="000C3DF9" w:rsidRPr="000C3DF9" w:rsidRDefault="000C3DF9" w:rsidP="000C3DF9">
      <w:pPr>
        <w:pStyle w:val="TextoNormalSangraFrancesa"/>
        <w:rPr>
          <w:rStyle w:val="TextoNormalCaracter"/>
        </w:rPr>
      </w:pPr>
      <w:bookmarkStart w:id="948" w:name="DESCRIPTORALFABETICO83"/>
      <w:r w:rsidRPr="000C3DF9">
        <w:rPr>
          <w:rStyle w:val="TextoNormalNegritaCaracter"/>
        </w:rPr>
        <w:t>Acceso al recurso legal</w:t>
      </w:r>
      <w:bookmarkEnd w:id="948"/>
      <w:r w:rsidRPr="000C3DF9">
        <w:rPr>
          <w:rStyle w:val="TextoNormalCaracter"/>
        </w:rPr>
        <w:t xml:space="preserve">, Sentencias </w:t>
      </w:r>
      <w:hyperlink w:anchor="SENTENCIA_2002_22" w:history="1">
        <w:r w:rsidRPr="000C3DF9">
          <w:rPr>
            <w:rStyle w:val="TextoNormalCaracter"/>
          </w:rPr>
          <w:t>22/2002</w:t>
        </w:r>
      </w:hyperlink>
      <w:r w:rsidRPr="000C3DF9">
        <w:rPr>
          <w:rStyle w:val="TextoNormalCaracter"/>
        </w:rPr>
        <w:t xml:space="preserve">, ff. 5 a 7; </w:t>
      </w:r>
      <w:hyperlink w:anchor="SENTENCIA_2002_40" w:history="1">
        <w:r w:rsidRPr="000C3DF9">
          <w:rPr>
            <w:rStyle w:val="TextoNormalCaracter"/>
          </w:rPr>
          <w:t>40/2002</w:t>
        </w:r>
      </w:hyperlink>
      <w:r w:rsidRPr="000C3DF9">
        <w:rPr>
          <w:rStyle w:val="TextoNormalCaracter"/>
        </w:rPr>
        <w:t xml:space="preserve">, ff. 8, 9; </w:t>
      </w:r>
      <w:hyperlink w:anchor="SENTENCIA_2002_60" w:history="1">
        <w:r w:rsidRPr="000C3DF9">
          <w:rPr>
            <w:rStyle w:val="TextoNormalCaracter"/>
          </w:rPr>
          <w:t>60/2002</w:t>
        </w:r>
      </w:hyperlink>
      <w:r w:rsidRPr="000C3DF9">
        <w:rPr>
          <w:rStyle w:val="TextoNormalCaracter"/>
        </w:rPr>
        <w:t xml:space="preserve">, f. 5; </w:t>
      </w:r>
      <w:hyperlink w:anchor="SENTENCIA_2002_62" w:history="1">
        <w:r w:rsidRPr="000C3DF9">
          <w:rPr>
            <w:rStyle w:val="TextoNormalCaracter"/>
          </w:rPr>
          <w:t>62/2002</w:t>
        </w:r>
      </w:hyperlink>
      <w:r w:rsidRPr="000C3DF9">
        <w:rPr>
          <w:rStyle w:val="TextoNormalCaracter"/>
        </w:rPr>
        <w:t xml:space="preserve">, ff. 3 a 5; </w:t>
      </w:r>
      <w:hyperlink w:anchor="SENTENCIA_2002_65" w:history="1">
        <w:r w:rsidRPr="000C3DF9">
          <w:rPr>
            <w:rStyle w:val="TextoNormalCaracter"/>
          </w:rPr>
          <w:t>65/2002</w:t>
        </w:r>
      </w:hyperlink>
      <w:r w:rsidRPr="000C3DF9">
        <w:rPr>
          <w:rStyle w:val="TextoNormalCaracter"/>
        </w:rPr>
        <w:t xml:space="preserve">, ff. 5 a 7; </w:t>
      </w:r>
      <w:hyperlink w:anchor="SENTENCIA_2002_71" w:history="1">
        <w:r w:rsidRPr="000C3DF9">
          <w:rPr>
            <w:rStyle w:val="TextoNormalCaracter"/>
          </w:rPr>
          <w:t>71/2002</w:t>
        </w:r>
      </w:hyperlink>
      <w:r w:rsidRPr="000C3DF9">
        <w:rPr>
          <w:rStyle w:val="TextoNormalCaracter"/>
        </w:rPr>
        <w:t xml:space="preserve">, ff. 5, 6; </w:t>
      </w:r>
      <w:hyperlink w:anchor="SENTENCIA_2002_78" w:history="1">
        <w:r w:rsidRPr="000C3DF9">
          <w:rPr>
            <w:rStyle w:val="TextoNormalCaracter"/>
          </w:rPr>
          <w:t>78/2002</w:t>
        </w:r>
      </w:hyperlink>
      <w:r w:rsidRPr="000C3DF9">
        <w:rPr>
          <w:rStyle w:val="TextoNormalCaracter"/>
        </w:rPr>
        <w:t xml:space="preserve">, f. 4; </w:t>
      </w:r>
      <w:hyperlink w:anchor="SENTENCIA_2002_88" w:history="1">
        <w:r w:rsidRPr="000C3DF9">
          <w:rPr>
            <w:rStyle w:val="TextoNormalCaracter"/>
          </w:rPr>
          <w:t>88/2002</w:t>
        </w:r>
      </w:hyperlink>
      <w:r w:rsidRPr="000C3DF9">
        <w:rPr>
          <w:rStyle w:val="TextoNormalCaracter"/>
        </w:rPr>
        <w:t xml:space="preserve">, f. 3; </w:t>
      </w:r>
      <w:hyperlink w:anchor="SENTENCIA_2002_89" w:history="1">
        <w:r w:rsidRPr="000C3DF9">
          <w:rPr>
            <w:rStyle w:val="TextoNormalCaracter"/>
          </w:rPr>
          <w:t>89/2002</w:t>
        </w:r>
      </w:hyperlink>
      <w:r w:rsidRPr="000C3DF9">
        <w:rPr>
          <w:rStyle w:val="TextoNormalCaracter"/>
        </w:rPr>
        <w:t xml:space="preserve">, ff. 2, 3; </w:t>
      </w:r>
      <w:hyperlink w:anchor="SENTENCIA_2002_90" w:history="1">
        <w:r w:rsidRPr="000C3DF9">
          <w:rPr>
            <w:rStyle w:val="TextoNormalCaracter"/>
          </w:rPr>
          <w:t>90/2002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3" w:history="1">
        <w:r w:rsidRPr="000C3DF9">
          <w:rPr>
            <w:rStyle w:val="TextoNormalCaracter"/>
          </w:rPr>
          <w:t>13/2002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Sentencias </w:t>
      </w:r>
      <w:hyperlink w:anchor="SENTENCIA_2002_40" w:history="1">
        <w:r w:rsidRPr="000C3DF9">
          <w:rPr>
            <w:rStyle w:val="TextoNormalCaracter"/>
          </w:rPr>
          <w:t>40/2002</w:t>
        </w:r>
      </w:hyperlink>
      <w:r w:rsidRPr="000C3DF9">
        <w:rPr>
          <w:rStyle w:val="TextoNormalCaracter"/>
        </w:rPr>
        <w:t xml:space="preserve">, f. 8; </w:t>
      </w:r>
      <w:hyperlink w:anchor="SENTENCIA_2002_65" w:history="1">
        <w:r w:rsidRPr="000C3DF9">
          <w:rPr>
            <w:rStyle w:val="TextoNormalCaracter"/>
          </w:rPr>
          <w:t>65/2002</w:t>
        </w:r>
      </w:hyperlink>
      <w:r w:rsidRPr="000C3DF9">
        <w:rPr>
          <w:rStyle w:val="TextoNormalCaracter"/>
        </w:rPr>
        <w:t xml:space="preserve">, f. 3; </w:t>
      </w:r>
      <w:hyperlink w:anchor="SENTENCIA_2002_71" w:history="1">
        <w:r w:rsidRPr="000C3DF9">
          <w:rPr>
            <w:rStyle w:val="TextoNormalCaracter"/>
          </w:rPr>
          <w:t>71/2002</w:t>
        </w:r>
      </w:hyperlink>
      <w:r w:rsidRPr="000C3DF9">
        <w:rPr>
          <w:rStyle w:val="TextoNormalCaracter"/>
        </w:rPr>
        <w:t xml:space="preserve">, f. 3; </w:t>
      </w:r>
      <w:hyperlink w:anchor="SENTENCIA_2002_78" w:history="1">
        <w:r w:rsidRPr="000C3DF9">
          <w:rPr>
            <w:rStyle w:val="TextoNormalCaracter"/>
          </w:rPr>
          <w:t>78/2002</w:t>
        </w:r>
      </w:hyperlink>
      <w:r w:rsidRPr="000C3DF9">
        <w:rPr>
          <w:rStyle w:val="TextoNormalCaracter"/>
        </w:rPr>
        <w:t xml:space="preserve">, f. 2; </w:t>
      </w:r>
      <w:hyperlink w:anchor="SENTENCIA_2002_88" w:history="1">
        <w:r w:rsidRPr="000C3DF9">
          <w:rPr>
            <w:rStyle w:val="TextoNormalCaracter"/>
          </w:rPr>
          <w:t>88/2002</w:t>
        </w:r>
      </w:hyperlink>
      <w:r w:rsidRPr="000C3DF9">
        <w:rPr>
          <w:rStyle w:val="TextoNormalCaracter"/>
        </w:rPr>
        <w:t xml:space="preserve">, f. 2; </w:t>
      </w:r>
      <w:hyperlink w:anchor="SENTENCIA_2002_89" w:history="1">
        <w:r w:rsidRPr="000C3DF9">
          <w:rPr>
            <w:rStyle w:val="TextoNormalCaracter"/>
          </w:rPr>
          <w:t>89/2002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13" w:history="1">
        <w:r w:rsidRPr="000C3DF9">
          <w:rPr>
            <w:rStyle w:val="TextoNormalCaracter"/>
          </w:rPr>
          <w:t>13/2002</w:t>
        </w:r>
      </w:hyperlink>
      <w:r w:rsidRPr="000C3DF9">
        <w:rPr>
          <w:rStyle w:val="TextoNormalCaracter"/>
        </w:rPr>
        <w:t xml:space="preserve">, f. 8; </w:t>
      </w:r>
      <w:hyperlink w:anchor="SENTENCIA_2002_33" w:history="1">
        <w:r w:rsidRPr="000C3DF9">
          <w:rPr>
            <w:rStyle w:val="TextoNormalCaracter"/>
          </w:rPr>
          <w:t>33/2002</w:t>
        </w:r>
      </w:hyperlink>
      <w:r w:rsidRPr="000C3DF9">
        <w:rPr>
          <w:rStyle w:val="TextoNormalCaracter"/>
        </w:rPr>
        <w:t xml:space="preserve">, f. 2; </w:t>
      </w:r>
      <w:hyperlink w:anchor="SENTENCIA_2002_48" w:history="1">
        <w:r w:rsidRPr="000C3DF9">
          <w:rPr>
            <w:rStyle w:val="TextoNormalCaracter"/>
          </w:rPr>
          <w:t>48/2002</w:t>
        </w:r>
      </w:hyperlink>
      <w:r w:rsidRPr="000C3DF9">
        <w:rPr>
          <w:rStyle w:val="TextoNormalCaracter"/>
        </w:rPr>
        <w:t xml:space="preserve">, f. 3; </w:t>
      </w:r>
      <w:hyperlink w:anchor="SENTENCIA_2002_60" w:history="1">
        <w:r w:rsidRPr="000C3DF9">
          <w:rPr>
            <w:rStyle w:val="TextoNormalCaracter"/>
          </w:rPr>
          <w:t>60/2002</w:t>
        </w:r>
      </w:hyperlink>
      <w:r w:rsidRPr="000C3DF9">
        <w:rPr>
          <w:rStyle w:val="TextoNormalCaracter"/>
        </w:rPr>
        <w:t xml:space="preserve">, f. 5; </w:t>
      </w:r>
      <w:hyperlink w:anchor="SENTENCIA_2002_71" w:history="1">
        <w:r w:rsidRPr="000C3DF9">
          <w:rPr>
            <w:rStyle w:val="TextoNormalCaracter"/>
          </w:rPr>
          <w:t>71/2002</w:t>
        </w:r>
      </w:hyperlink>
      <w:r w:rsidRPr="000C3DF9">
        <w:rPr>
          <w:rStyle w:val="TextoNormalCaracter"/>
        </w:rPr>
        <w:t xml:space="preserve">, f. 6; </w:t>
      </w:r>
      <w:hyperlink w:anchor="SENTENCIA_2002_88" w:history="1">
        <w:r w:rsidRPr="000C3DF9">
          <w:rPr>
            <w:rStyle w:val="TextoNormalCaracter"/>
          </w:rPr>
          <w:t>88/2002</w:t>
        </w:r>
      </w:hyperlink>
      <w:r w:rsidRPr="000C3DF9">
        <w:rPr>
          <w:rStyle w:val="TextoNormalCaracter"/>
        </w:rPr>
        <w:t xml:space="preserve">, f. 3; </w:t>
      </w:r>
      <w:hyperlink w:anchor="SENTENCIA_2002_89" w:history="1">
        <w:r w:rsidRPr="000C3DF9">
          <w:rPr>
            <w:rStyle w:val="TextoNormalCaracter"/>
          </w:rPr>
          <w:t>89/2002</w:t>
        </w:r>
      </w:hyperlink>
      <w:r w:rsidRPr="000C3DF9">
        <w:rPr>
          <w:rStyle w:val="TextoNormalCaracter"/>
        </w:rPr>
        <w:t>, ff. 3, 4.</w:t>
      </w:r>
    </w:p>
    <w:p w:rsidR="000C3DF9" w:rsidRPr="000C3DF9" w:rsidRDefault="000C3DF9" w:rsidP="000C3DF9">
      <w:pPr>
        <w:pStyle w:val="TextoNormalSangraFrancesa"/>
        <w:rPr>
          <w:rStyle w:val="TextoNormalCaracter"/>
        </w:rPr>
      </w:pPr>
      <w:r w:rsidRPr="000C3DF9">
        <w:rPr>
          <w:rStyle w:val="TextoNormalCaracter"/>
        </w:rPr>
        <w:lastRenderedPageBreak/>
        <w:t xml:space="preserve">    Auto </w:t>
      </w:r>
      <w:hyperlink w:anchor="AUTO_2002_13" w:history="1">
        <w:r w:rsidRPr="000C3DF9">
          <w:rPr>
            <w:rStyle w:val="TextoNormalCaracter"/>
          </w:rPr>
          <w:t>13/2002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22" w:history="1">
        <w:r w:rsidRPr="000C3DF9">
          <w:rPr>
            <w:rStyle w:val="TextoNormalCaracter"/>
          </w:rPr>
          <w:t>22/2002</w:t>
        </w:r>
      </w:hyperlink>
      <w:r w:rsidRPr="000C3DF9">
        <w:rPr>
          <w:rStyle w:val="TextoNormalCaracter"/>
        </w:rPr>
        <w:t xml:space="preserve">, ff. 5 a 7; </w:t>
      </w:r>
      <w:hyperlink w:anchor="SENTENCIA_2002_40" w:history="1">
        <w:r w:rsidRPr="000C3DF9">
          <w:rPr>
            <w:rStyle w:val="TextoNormalCaracter"/>
          </w:rPr>
          <w:t>40/2002</w:t>
        </w:r>
      </w:hyperlink>
      <w:r w:rsidRPr="000C3DF9">
        <w:rPr>
          <w:rStyle w:val="TextoNormalCaracter"/>
        </w:rPr>
        <w:t xml:space="preserve">, f. 9; </w:t>
      </w:r>
      <w:hyperlink w:anchor="SENTENCIA_2002_62" w:history="1">
        <w:r w:rsidRPr="000C3DF9">
          <w:rPr>
            <w:rStyle w:val="TextoNormalCaracter"/>
          </w:rPr>
          <w:t>62/2002</w:t>
        </w:r>
      </w:hyperlink>
      <w:r w:rsidRPr="000C3DF9">
        <w:rPr>
          <w:rStyle w:val="TextoNormalCaracter"/>
        </w:rPr>
        <w:t xml:space="preserve">, ff. 3 a 5; </w:t>
      </w:r>
      <w:hyperlink w:anchor="SENTENCIA_2002_65" w:history="1">
        <w:r w:rsidRPr="000C3DF9">
          <w:rPr>
            <w:rStyle w:val="TextoNormalCaracter"/>
          </w:rPr>
          <w:t>65/2002</w:t>
        </w:r>
      </w:hyperlink>
      <w:r w:rsidRPr="000C3DF9">
        <w:rPr>
          <w:rStyle w:val="TextoNormalCaracter"/>
        </w:rPr>
        <w:t xml:space="preserve">, ff. 5 a 7; </w:t>
      </w:r>
      <w:hyperlink w:anchor="SENTENCIA_2002_78" w:history="1">
        <w:r w:rsidRPr="000C3DF9">
          <w:rPr>
            <w:rStyle w:val="TextoNormalCaracter"/>
          </w:rPr>
          <w:t>78/2002</w:t>
        </w:r>
      </w:hyperlink>
      <w:r w:rsidRPr="000C3DF9">
        <w:rPr>
          <w:rStyle w:val="TextoNormalCaracter"/>
        </w:rPr>
        <w:t xml:space="preserve">, f. 4; </w:t>
      </w:r>
      <w:hyperlink w:anchor="SENTENCIA_2002_90" w:history="1">
        <w:r w:rsidRPr="000C3DF9">
          <w:rPr>
            <w:rStyle w:val="TextoNormalCaracter"/>
          </w:rPr>
          <w:t>90/2002</w:t>
        </w:r>
      </w:hyperlink>
      <w:r w:rsidRPr="000C3DF9">
        <w:rPr>
          <w:rStyle w:val="TextoNormalCaracter"/>
        </w:rPr>
        <w:t>, f. 4.</w:t>
      </w:r>
    </w:p>
    <w:p w:rsidR="000C3DF9" w:rsidRPr="000C3DF9" w:rsidRDefault="000C3DF9" w:rsidP="000C3DF9">
      <w:pPr>
        <w:pStyle w:val="TextoNormalSangraFrancesa"/>
        <w:rPr>
          <w:rStyle w:val="TextoNormalCaracter"/>
        </w:rPr>
      </w:pPr>
      <w:bookmarkStart w:id="949" w:name="DESCRIPTORALFABETICO84"/>
      <w:r w:rsidRPr="000C3DF9">
        <w:rPr>
          <w:rStyle w:val="TextoNormalNegritaCaracter"/>
        </w:rPr>
        <w:t>Acceso al recurso penal</w:t>
      </w:r>
      <w:bookmarkEnd w:id="949"/>
      <w:r w:rsidRPr="000C3DF9">
        <w:rPr>
          <w:rStyle w:val="TextoNormalCaracter"/>
        </w:rPr>
        <w:t xml:space="preserve">, Sentencias </w:t>
      </w:r>
      <w:hyperlink w:anchor="SENTENCIA_2002_12" w:history="1">
        <w:r w:rsidRPr="000C3DF9">
          <w:rPr>
            <w:rStyle w:val="TextoNormalCaracter"/>
          </w:rPr>
          <w:t>12/2002</w:t>
        </w:r>
      </w:hyperlink>
      <w:r w:rsidRPr="000C3DF9">
        <w:rPr>
          <w:rStyle w:val="TextoNormalCaracter"/>
        </w:rPr>
        <w:t xml:space="preserve">, f. 2; </w:t>
      </w:r>
      <w:hyperlink w:anchor="SENTENCIA_2002_91" w:history="1">
        <w:r w:rsidRPr="000C3DF9">
          <w:rPr>
            <w:rStyle w:val="TextoNormalCaracter"/>
          </w:rPr>
          <w:t>91/2002</w:t>
        </w:r>
      </w:hyperlink>
      <w:r w:rsidRPr="000C3DF9">
        <w:rPr>
          <w:rStyle w:val="TextoNormalCaracter"/>
        </w:rPr>
        <w:t>, ff. 3, 4.</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91" w:history="1">
        <w:r w:rsidRPr="000C3DF9">
          <w:rPr>
            <w:rStyle w:val="TextoNormalCaracter"/>
          </w:rPr>
          <w:t>91/2002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12" w:history="1">
        <w:r w:rsidRPr="000C3DF9">
          <w:rPr>
            <w:rStyle w:val="TextoNormalCaracter"/>
          </w:rPr>
          <w:t>12/2002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91" w:history="1">
        <w:r w:rsidRPr="000C3DF9">
          <w:rPr>
            <w:rStyle w:val="TextoNormalCaracter"/>
          </w:rPr>
          <w:t>91/2002</w:t>
        </w:r>
      </w:hyperlink>
      <w:r w:rsidRPr="000C3DF9">
        <w:rPr>
          <w:rStyle w:val="TextoNormalCaracter"/>
        </w:rPr>
        <w:t>, f. 4.</w:t>
      </w:r>
    </w:p>
    <w:p w:rsidR="000C3DF9" w:rsidRPr="000C3DF9" w:rsidRDefault="000C3DF9" w:rsidP="000C3DF9">
      <w:pPr>
        <w:pStyle w:val="TextoNormalSangraFrancesa"/>
        <w:rPr>
          <w:rStyle w:val="TextoNormalCaracter"/>
        </w:rPr>
      </w:pPr>
      <w:bookmarkStart w:id="950" w:name="DESCRIPTORALFABETICO664"/>
      <w:r w:rsidRPr="000C3DF9">
        <w:rPr>
          <w:rStyle w:val="TextoNormalNegritaCaracter"/>
        </w:rPr>
        <w:t>Acción civil</w:t>
      </w:r>
      <w:bookmarkEnd w:id="950"/>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 5.</w:t>
      </w:r>
    </w:p>
    <w:p w:rsidR="000C3DF9" w:rsidRPr="000C3DF9" w:rsidRDefault="000C3DF9" w:rsidP="000C3DF9">
      <w:pPr>
        <w:pStyle w:val="TextoNormalSangraFrancesa"/>
        <w:rPr>
          <w:rStyle w:val="TextoNormalCaracter"/>
        </w:rPr>
      </w:pPr>
      <w:bookmarkStart w:id="951" w:name="DESCRIPTORALFABETICO665"/>
      <w:r w:rsidRPr="000C3DF9">
        <w:rPr>
          <w:rStyle w:val="TextoNormalNegritaCaracter"/>
        </w:rPr>
        <w:t>Acción civil derivada de delito</w:t>
      </w:r>
      <w:bookmarkEnd w:id="951"/>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Pr="000C3DF9" w:rsidRDefault="000C3DF9" w:rsidP="000C3DF9">
      <w:pPr>
        <w:pStyle w:val="TextoNormalSangraFrancesa"/>
        <w:rPr>
          <w:rStyle w:val="TextoNormalCaracter"/>
        </w:rPr>
      </w:pPr>
      <w:bookmarkStart w:id="952" w:name="DESCRIPTORALFABETICO689"/>
      <w:r w:rsidRPr="000C3DF9">
        <w:rPr>
          <w:rStyle w:val="TextoNormalNegritaCaracter"/>
        </w:rPr>
        <w:t>Acción civil en el proceso penal</w:t>
      </w:r>
      <w:bookmarkEnd w:id="952"/>
      <w:r w:rsidRPr="000C3DF9">
        <w:rPr>
          <w:rStyle w:val="TextoNormalCaracter"/>
        </w:rPr>
        <w:t xml:space="preserve">, Sentencia </w:t>
      </w:r>
      <w:hyperlink w:anchor="SENTENCIA_2002_15" w:history="1">
        <w:r w:rsidRPr="000C3DF9">
          <w:rPr>
            <w:rStyle w:val="TextoNormalCaracter"/>
          </w:rPr>
          <w:t>15/2002</w:t>
        </w:r>
      </w:hyperlink>
      <w:r w:rsidRPr="000C3DF9">
        <w:rPr>
          <w:rStyle w:val="TextoNormalCaracter"/>
        </w:rPr>
        <w:t>, f. 4.</w:t>
      </w:r>
    </w:p>
    <w:p w:rsidR="000C3DF9" w:rsidRPr="000C3DF9" w:rsidRDefault="000C3DF9" w:rsidP="000C3DF9">
      <w:pPr>
        <w:pStyle w:val="TextoNormalSangraFrancesa"/>
        <w:rPr>
          <w:rStyle w:val="TextoNormalCaracter"/>
        </w:rPr>
      </w:pPr>
      <w:bookmarkStart w:id="953" w:name="DESCRIPTORALFABETICO690"/>
      <w:r w:rsidRPr="000C3DF9">
        <w:rPr>
          <w:rStyle w:val="TextoNormalNegritaCaracter"/>
        </w:rPr>
        <w:t>Acción penal</w:t>
      </w:r>
      <w:bookmarkEnd w:id="953"/>
      <w:r w:rsidRPr="000C3DF9">
        <w:rPr>
          <w:rStyle w:val="TextoNormalCaracter"/>
        </w:rPr>
        <w:t xml:space="preserve">, Sentencias </w:t>
      </w:r>
      <w:hyperlink w:anchor="SENTENCIA_2002_63" w:history="1">
        <w:r w:rsidRPr="000C3DF9">
          <w:rPr>
            <w:rStyle w:val="TextoNormalCaracter"/>
          </w:rPr>
          <w:t>63/2002</w:t>
        </w:r>
      </w:hyperlink>
      <w:r w:rsidRPr="000C3DF9">
        <w:rPr>
          <w:rStyle w:val="TextoNormalCaracter"/>
        </w:rPr>
        <w:t xml:space="preserve">, f. 3; </w:t>
      </w:r>
      <w:hyperlink w:anchor="SENTENCIA_2002_77" w:history="1">
        <w:r w:rsidRPr="000C3DF9">
          <w:rPr>
            <w:rStyle w:val="TextoNormalCaracter"/>
          </w:rPr>
          <w:t>77/2002</w:t>
        </w:r>
      </w:hyperlink>
      <w:r w:rsidRPr="000C3DF9">
        <w:rPr>
          <w:rStyle w:val="TextoNormalCaracter"/>
        </w:rPr>
        <w:t>, f. 5.</w:t>
      </w:r>
    </w:p>
    <w:p w:rsidR="000C3DF9" w:rsidRPr="000C3DF9" w:rsidRDefault="000C3DF9" w:rsidP="000C3DF9">
      <w:pPr>
        <w:pStyle w:val="TextoNormalSangraFrancesa"/>
        <w:rPr>
          <w:rStyle w:val="TextoNormalCaracter"/>
        </w:rPr>
      </w:pPr>
      <w:bookmarkStart w:id="954" w:name="DESCRIPTORALFABETICO503"/>
      <w:r w:rsidRPr="000C3DF9">
        <w:rPr>
          <w:rStyle w:val="TextoNormalNegritaCaracter"/>
        </w:rPr>
        <w:t>Acciones formativas</w:t>
      </w:r>
      <w:bookmarkEnd w:id="954"/>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21.</w:t>
      </w:r>
    </w:p>
    <w:p w:rsidR="000C3DF9" w:rsidRPr="000C3DF9" w:rsidRDefault="000C3DF9" w:rsidP="000C3DF9">
      <w:pPr>
        <w:pStyle w:val="TextoNormalSangraFrancesa"/>
        <w:rPr>
          <w:rStyle w:val="TextoNormalCaracter"/>
        </w:rPr>
      </w:pPr>
      <w:bookmarkStart w:id="955" w:name="DESCRIPTORALFABETICO640"/>
      <w:r w:rsidRPr="000C3DF9">
        <w:rPr>
          <w:rStyle w:val="TextoNormalNegritaCaracter"/>
        </w:rPr>
        <w:t>Aclaración de sentencia</w:t>
      </w:r>
      <w:bookmarkEnd w:id="955"/>
      <w:r w:rsidRPr="000C3DF9">
        <w:rPr>
          <w:rStyle w:val="TextoNormalCaracter"/>
        </w:rPr>
        <w:t xml:space="preserve">, Sentencia </w:t>
      </w:r>
      <w:hyperlink w:anchor="SENTENCIA_2002_56" w:history="1">
        <w:r w:rsidRPr="000C3DF9">
          <w:rPr>
            <w:rStyle w:val="TextoNormalCaracter"/>
          </w:rPr>
          <w:t>56/2002</w:t>
        </w:r>
      </w:hyperlink>
      <w:r w:rsidRPr="000C3DF9">
        <w:rPr>
          <w:rStyle w:val="TextoNormalCaracter"/>
        </w:rPr>
        <w:t>, f. 5.</w:t>
      </w:r>
    </w:p>
    <w:p w:rsidR="000C3DF9" w:rsidRPr="000C3DF9" w:rsidRDefault="000C3DF9" w:rsidP="000C3DF9">
      <w:pPr>
        <w:pStyle w:val="TextoNormalSangraFrancesa"/>
        <w:rPr>
          <w:rStyle w:val="TextoNormalCaracter"/>
        </w:rPr>
      </w:pPr>
      <w:bookmarkStart w:id="956" w:name="DESCRIPTORALFABETICO641"/>
      <w:r w:rsidRPr="000C3DF9">
        <w:rPr>
          <w:rStyle w:val="TextoNormalNegritaCaracter"/>
        </w:rPr>
        <w:t>Aclaración de sentencia sobre el pago de intereses legales</w:t>
      </w:r>
      <w:bookmarkEnd w:id="956"/>
      <w:r w:rsidRPr="000C3DF9">
        <w:rPr>
          <w:rStyle w:val="TextoNormalCaracter"/>
        </w:rPr>
        <w:t xml:space="preserve">, Sentencia </w:t>
      </w:r>
      <w:hyperlink w:anchor="SENTENCIA_2002_55" w:history="1">
        <w:r w:rsidRPr="000C3DF9">
          <w:rPr>
            <w:rStyle w:val="TextoNormalCaracter"/>
          </w:rPr>
          <w:t>55/2002</w:t>
        </w:r>
      </w:hyperlink>
      <w:r w:rsidRPr="000C3DF9">
        <w:rPr>
          <w:rStyle w:val="TextoNormalCaracter"/>
        </w:rPr>
        <w:t>, f. 4.</w:t>
      </w:r>
    </w:p>
    <w:p w:rsidR="000C3DF9" w:rsidRPr="000C3DF9" w:rsidRDefault="000C3DF9" w:rsidP="000C3DF9">
      <w:pPr>
        <w:pStyle w:val="TextoNormalSangraFrancesa"/>
        <w:rPr>
          <w:rStyle w:val="TextoNormalCaracter"/>
        </w:rPr>
      </w:pPr>
      <w:bookmarkStart w:id="957" w:name="DESCRIPTORALFABETICO267"/>
      <w:r w:rsidRPr="000C3DF9">
        <w:rPr>
          <w:rStyle w:val="TextoNormalNegritaCaracter"/>
        </w:rPr>
        <w:t>Aclaración de sentencias del Tribunal Constitucional</w:t>
      </w:r>
      <w:bookmarkEnd w:id="957"/>
      <w:r w:rsidRPr="000C3DF9">
        <w:rPr>
          <w:rStyle w:val="TextoNormalCaracter"/>
        </w:rPr>
        <w:t xml:space="preserve">, Auto </w:t>
      </w:r>
      <w:hyperlink w:anchor="AUTO_2002_53" w:history="1">
        <w:r w:rsidRPr="000C3DF9">
          <w:rPr>
            <w:rStyle w:val="TextoNormalCaracter"/>
          </w:rPr>
          <w:t>53/2002</w:t>
        </w:r>
      </w:hyperlink>
      <w:r w:rsidRPr="000C3DF9">
        <w:rPr>
          <w:rStyle w:val="TextoNormalCaracter"/>
        </w:rPr>
        <w:t>.</w:t>
      </w:r>
    </w:p>
    <w:p w:rsidR="000C3DF9" w:rsidRPr="000C3DF9" w:rsidRDefault="000C3DF9" w:rsidP="000C3DF9">
      <w:pPr>
        <w:pStyle w:val="TextoNormalSangraFrancesa"/>
        <w:rPr>
          <w:rStyle w:val="TextoNormalCaracter"/>
        </w:rPr>
      </w:pPr>
      <w:bookmarkStart w:id="958" w:name="DESCRIPTORALFABETICO268"/>
      <w:r w:rsidRPr="000C3DF9">
        <w:rPr>
          <w:rStyle w:val="TextoNormalNegritaCaracter"/>
        </w:rPr>
        <w:t>Aclaración improcedente</w:t>
      </w:r>
      <w:bookmarkEnd w:id="958"/>
      <w:r w:rsidRPr="000C3DF9">
        <w:rPr>
          <w:rStyle w:val="TextoNormalCaracter"/>
        </w:rPr>
        <w:t xml:space="preserve">, Auto </w:t>
      </w:r>
      <w:hyperlink w:anchor="AUTO_2002_53" w:history="1">
        <w:r w:rsidRPr="000C3DF9">
          <w:rPr>
            <w:rStyle w:val="TextoNormalCaracter"/>
          </w:rPr>
          <w:t>53/2002</w:t>
        </w:r>
      </w:hyperlink>
      <w:r w:rsidRPr="000C3DF9">
        <w:rPr>
          <w:rStyle w:val="TextoNormalCaracter"/>
        </w:rPr>
        <w:t>.</w:t>
      </w:r>
    </w:p>
    <w:p w:rsidR="000C3DF9" w:rsidRPr="000C3DF9" w:rsidRDefault="000C3DF9" w:rsidP="000C3DF9">
      <w:pPr>
        <w:pStyle w:val="TextoNormalSangraFrancesa"/>
        <w:rPr>
          <w:rStyle w:val="TextoNormalCaracter"/>
        </w:rPr>
      </w:pPr>
      <w:bookmarkStart w:id="959" w:name="DESCRIPTORALFABETICO496"/>
      <w:r w:rsidRPr="000C3DF9">
        <w:rPr>
          <w:rStyle w:val="TextoNormalNegritaCaracter"/>
        </w:rPr>
        <w:t>Acreditación de cotizaciones a la Seguridad Social</w:t>
      </w:r>
      <w:bookmarkEnd w:id="959"/>
      <w:r w:rsidRPr="000C3DF9">
        <w:rPr>
          <w:rStyle w:val="TextoNormalCaracter"/>
        </w:rPr>
        <w:t xml:space="preserve">, Sentencia </w:t>
      </w:r>
      <w:hyperlink w:anchor="SENTENCIA_2002_61" w:history="1">
        <w:r w:rsidRPr="000C3DF9">
          <w:rPr>
            <w:rStyle w:val="TextoNormalCaracter"/>
          </w:rPr>
          <w:t>61/2002</w:t>
        </w:r>
      </w:hyperlink>
      <w:r w:rsidRPr="000C3DF9">
        <w:rPr>
          <w:rStyle w:val="TextoNormalCaracter"/>
        </w:rPr>
        <w:t>, f. 5.</w:t>
      </w:r>
    </w:p>
    <w:p w:rsidR="000C3DF9" w:rsidRPr="000C3DF9" w:rsidRDefault="000C3DF9" w:rsidP="000C3DF9">
      <w:pPr>
        <w:pStyle w:val="TextoNormalSangraFrancesa"/>
        <w:rPr>
          <w:rStyle w:val="TextoNormalCaracter"/>
        </w:rPr>
      </w:pPr>
      <w:bookmarkStart w:id="960" w:name="DESCRIPTORALFABETICO106"/>
      <w:r w:rsidRPr="000C3DF9">
        <w:rPr>
          <w:rStyle w:val="TextoNormalNegritaCaracter"/>
        </w:rPr>
        <w:t>Acreditación de la indefensión</w:t>
      </w:r>
      <w:bookmarkEnd w:id="960"/>
      <w:r w:rsidRPr="000C3DF9">
        <w:rPr>
          <w:rStyle w:val="TextoNormalCaracter"/>
        </w:rPr>
        <w:t xml:space="preserve">, Sentencia </w:t>
      </w:r>
      <w:hyperlink w:anchor="SENTENCIA_2002_73" w:history="1">
        <w:r w:rsidRPr="000C3DF9">
          <w:rPr>
            <w:rStyle w:val="TextoNormalCaracter"/>
          </w:rPr>
          <w:t>73/2002</w:t>
        </w:r>
      </w:hyperlink>
      <w:r w:rsidRPr="000C3DF9">
        <w:rPr>
          <w:rStyle w:val="TextoNormalCaracter"/>
        </w:rPr>
        <w:t>, f. 4.</w:t>
      </w:r>
    </w:p>
    <w:p w:rsidR="000C3DF9" w:rsidRPr="000C3DF9" w:rsidRDefault="000C3DF9" w:rsidP="000C3DF9">
      <w:pPr>
        <w:pStyle w:val="TextoNormalSangraFrancesa"/>
        <w:rPr>
          <w:rStyle w:val="TextoNormalCaracter"/>
        </w:rPr>
      </w:pPr>
      <w:bookmarkStart w:id="961" w:name="DESCRIPTORALFABETICO568"/>
      <w:r w:rsidRPr="000C3DF9">
        <w:rPr>
          <w:rStyle w:val="TextoNormalNegritaCaracter"/>
        </w:rPr>
        <w:t>Actas del juicio oral</w:t>
      </w:r>
      <w:bookmarkEnd w:id="961"/>
      <w:r w:rsidRPr="000C3DF9">
        <w:rPr>
          <w:rStyle w:val="TextoNormalCaracter"/>
        </w:rPr>
        <w:t xml:space="preserve">, Sentencia </w:t>
      </w:r>
      <w:hyperlink w:anchor="SENTENCIA_2002_68" w:history="1">
        <w:r w:rsidRPr="000C3DF9">
          <w:rPr>
            <w:rStyle w:val="TextoNormalCaracter"/>
          </w:rPr>
          <w:t>68/2002</w:t>
        </w:r>
      </w:hyperlink>
      <w:r w:rsidRPr="000C3DF9">
        <w:rPr>
          <w:rStyle w:val="TextoNormalCaracter"/>
        </w:rPr>
        <w:t>, f. 3.</w:t>
      </w:r>
    </w:p>
    <w:p w:rsidR="000C3DF9" w:rsidRPr="000C3DF9" w:rsidRDefault="000C3DF9" w:rsidP="000C3DF9">
      <w:pPr>
        <w:pStyle w:val="TextoNormalSangraFrancesa"/>
        <w:rPr>
          <w:rStyle w:val="TextoNormalCaracter"/>
        </w:rPr>
      </w:pPr>
      <w:bookmarkStart w:id="962" w:name="DESCRIPTORALFABETICO567"/>
      <w:r w:rsidRPr="000C3DF9">
        <w:rPr>
          <w:rStyle w:val="TextoNormalNegritaCaracter"/>
        </w:rPr>
        <w:t>Actas judiciales</w:t>
      </w:r>
      <w:bookmarkEnd w:id="962"/>
      <w:r w:rsidRPr="000C3DF9">
        <w:rPr>
          <w:rStyle w:val="TextoNormalCaracter"/>
        </w:rPr>
        <w:t xml:space="preserve">, Sentencia </w:t>
      </w:r>
      <w:hyperlink w:anchor="SENTENCIA_2002_79" w:history="1">
        <w:r w:rsidRPr="000C3DF9">
          <w:rPr>
            <w:rStyle w:val="TextoNormalCaracter"/>
          </w:rPr>
          <w:t>79/2002</w:t>
        </w:r>
      </w:hyperlink>
      <w:r w:rsidRPr="000C3DF9">
        <w:rPr>
          <w:rStyle w:val="TextoNormalCaracter"/>
        </w:rPr>
        <w:t>, f. 7, VP.</w:t>
      </w:r>
    </w:p>
    <w:p w:rsidR="000C3DF9" w:rsidRPr="000C3DF9" w:rsidRDefault="000C3DF9" w:rsidP="000C3DF9">
      <w:pPr>
        <w:pStyle w:val="TextoNormalSangraFrancesa"/>
        <w:rPr>
          <w:rStyle w:val="TextoNormalNegritaCaracter"/>
        </w:rPr>
      </w:pPr>
      <w:r w:rsidRPr="000C3DF9">
        <w:rPr>
          <w:rStyle w:val="TextoNormalCursivaCaracter"/>
        </w:rPr>
        <w:t>Actas procesales</w:t>
      </w:r>
      <w:r>
        <w:t xml:space="preserve"> véase </w:t>
      </w:r>
      <w:hyperlink w:anchor="DESCRIPTORALFABETICO567" w:history="1">
        <w:r w:rsidRPr="000C3DF9">
          <w:rPr>
            <w:rStyle w:val="TextoNormalNegritaCaracter"/>
          </w:rPr>
          <w:t>Actas judiciales</w:t>
        </w:r>
      </w:hyperlink>
    </w:p>
    <w:p w:rsidR="000C3DF9" w:rsidRPr="000C3DF9" w:rsidRDefault="000C3DF9" w:rsidP="000C3DF9">
      <w:pPr>
        <w:pStyle w:val="TextoNormalSangraFrancesa"/>
        <w:rPr>
          <w:rStyle w:val="TextoNormalNegritaCaracter"/>
        </w:rPr>
      </w:pPr>
      <w:r w:rsidRPr="000C3DF9">
        <w:rPr>
          <w:rStyle w:val="TextoNormalCursivaCaracter"/>
        </w:rPr>
        <w:t>Actos administrativos firmes y consentidos</w:t>
      </w:r>
      <w:r>
        <w:t xml:space="preserve"> véase </w:t>
      </w:r>
      <w:hyperlink w:anchor="DESCRIPTORALFABETICO351" w:history="1">
        <w:r w:rsidRPr="000C3DF9">
          <w:rPr>
            <w:rStyle w:val="TextoNormalNegritaCaracter"/>
          </w:rPr>
          <w:t>Actos firmes y consentidos</w:t>
        </w:r>
      </w:hyperlink>
    </w:p>
    <w:p w:rsidR="000C3DF9" w:rsidRPr="000C3DF9" w:rsidRDefault="000C3DF9" w:rsidP="000C3DF9">
      <w:pPr>
        <w:pStyle w:val="TextoNormalSangraFrancesa"/>
        <w:rPr>
          <w:rStyle w:val="TextoNormalCaracter"/>
        </w:rPr>
      </w:pPr>
      <w:bookmarkStart w:id="963" w:name="DESCRIPTORALFABETICO351"/>
      <w:r w:rsidRPr="000C3DF9">
        <w:rPr>
          <w:rStyle w:val="TextoNormalNegritaCaracter"/>
        </w:rPr>
        <w:t>Actos firmes y consentidos</w:t>
      </w:r>
      <w:bookmarkEnd w:id="963"/>
      <w:r w:rsidRPr="000C3DF9">
        <w:rPr>
          <w:rStyle w:val="TextoNormalCaracter"/>
        </w:rPr>
        <w:t xml:space="preserve">, Sentencia </w:t>
      </w:r>
      <w:hyperlink w:anchor="SENTENCIA_2002_60" w:history="1">
        <w:r w:rsidRPr="000C3DF9">
          <w:rPr>
            <w:rStyle w:val="TextoNormalCaracter"/>
          </w:rPr>
          <w:t>60/2002</w:t>
        </w:r>
      </w:hyperlink>
      <w:r w:rsidRPr="000C3DF9">
        <w:rPr>
          <w:rStyle w:val="TextoNormalCaracter"/>
        </w:rPr>
        <w:t>, f. 4.</w:t>
      </w:r>
    </w:p>
    <w:p w:rsidR="000C3DF9" w:rsidRPr="000C3DF9" w:rsidRDefault="000C3DF9" w:rsidP="000C3DF9">
      <w:pPr>
        <w:pStyle w:val="TextoNormalSangraFrancesa"/>
        <w:rPr>
          <w:rStyle w:val="TextoNormalCaracter"/>
        </w:rPr>
      </w:pPr>
      <w:bookmarkStart w:id="964" w:name="DESCRIPTORALFABETICO532"/>
      <w:r w:rsidRPr="000C3DF9">
        <w:rPr>
          <w:rStyle w:val="TextoNormalNegritaCaracter"/>
        </w:rPr>
        <w:t>Actos procesales de comunicación</w:t>
      </w:r>
      <w:bookmarkEnd w:id="964"/>
      <w:r w:rsidRPr="000C3DF9">
        <w:rPr>
          <w:rStyle w:val="TextoNormalCaracter"/>
        </w:rPr>
        <w:t xml:space="preserve">, Sentencia </w:t>
      </w:r>
      <w:hyperlink w:anchor="SENTENCIA_2002_59" w:history="1">
        <w:r w:rsidRPr="000C3DF9">
          <w:rPr>
            <w:rStyle w:val="TextoNormalCaracter"/>
          </w:rPr>
          <w:t>59/2002</w:t>
        </w:r>
      </w:hyperlink>
      <w:r w:rsidRPr="000C3DF9">
        <w:rPr>
          <w:rStyle w:val="TextoNormalCaracter"/>
        </w:rPr>
        <w:t>, f. 2.</w:t>
      </w:r>
    </w:p>
    <w:p w:rsidR="000C3DF9" w:rsidRPr="000C3DF9" w:rsidRDefault="000C3DF9" w:rsidP="000C3DF9">
      <w:pPr>
        <w:pStyle w:val="TextoNormalSangraFrancesa"/>
        <w:rPr>
          <w:rStyle w:val="TextoNormalNegritaCaracter"/>
        </w:rPr>
      </w:pPr>
      <w:r w:rsidRPr="000C3DF9">
        <w:rPr>
          <w:rStyle w:val="TextoNormalCursivaCaracter"/>
        </w:rPr>
        <w:t>Actuaciones sumariales</w:t>
      </w:r>
      <w:r>
        <w:t xml:space="preserve"> véase </w:t>
      </w:r>
      <w:hyperlink w:anchor="DESCRIPTORALFABETICO695" w:history="1">
        <w:r w:rsidRPr="000C3DF9">
          <w:rPr>
            <w:rStyle w:val="TextoNormalNegritaCaracter"/>
          </w:rPr>
          <w:t>Diligencias sumariales</w:t>
        </w:r>
      </w:hyperlink>
    </w:p>
    <w:p w:rsidR="000C3DF9" w:rsidRPr="000C3DF9" w:rsidRDefault="000C3DF9" w:rsidP="000C3DF9">
      <w:pPr>
        <w:pStyle w:val="TextoNormalSangraFrancesa"/>
        <w:rPr>
          <w:rStyle w:val="TextoNormalCaracter"/>
        </w:rPr>
      </w:pPr>
      <w:bookmarkStart w:id="965" w:name="DESCRIPTORALFABETICO526"/>
      <w:r w:rsidRPr="000C3DF9">
        <w:rPr>
          <w:rStyle w:val="TextoNormalNegritaCaracter"/>
        </w:rPr>
        <w:t>Acumulación de procesos</w:t>
      </w:r>
      <w:bookmarkEnd w:id="965"/>
      <w:r w:rsidRPr="000C3DF9">
        <w:rPr>
          <w:rStyle w:val="TextoNormalCaracter"/>
        </w:rPr>
        <w:t xml:space="preserve">, Sentencia </w:t>
      </w:r>
      <w:hyperlink w:anchor="SENTENCIA_2002_72" w:history="1">
        <w:r w:rsidRPr="000C3DF9">
          <w:rPr>
            <w:rStyle w:val="TextoNormalCaracter"/>
          </w:rPr>
          <w:t>72/2002</w:t>
        </w:r>
      </w:hyperlink>
      <w:r w:rsidRPr="000C3DF9">
        <w:rPr>
          <w:rStyle w:val="TextoNormalCaracter"/>
        </w:rPr>
        <w:t>, f. 3.</w:t>
      </w:r>
    </w:p>
    <w:p w:rsidR="000C3DF9" w:rsidRPr="000C3DF9" w:rsidRDefault="000C3DF9" w:rsidP="000C3DF9">
      <w:pPr>
        <w:pStyle w:val="TextoNormalSangraFrancesa"/>
        <w:rPr>
          <w:rStyle w:val="TextoNormalCaracter"/>
        </w:rPr>
      </w:pPr>
      <w:bookmarkStart w:id="966" w:name="DESCRIPTORALFABETICO194"/>
      <w:r w:rsidRPr="000C3DF9">
        <w:rPr>
          <w:rStyle w:val="TextoNormalNegritaCaracter"/>
        </w:rPr>
        <w:t>Acumulación de recursos de amparo</w:t>
      </w:r>
      <w:bookmarkEnd w:id="966"/>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Procedencia, </w:t>
      </w:r>
      <w:r w:rsidRPr="000C3DF9">
        <w:rPr>
          <w:rStyle w:val="TextoNormalCaracter"/>
        </w:rPr>
        <w:t xml:space="preserve">Auto </w:t>
      </w:r>
      <w:hyperlink w:anchor="AUTO_2002_32" w:history="1">
        <w:r w:rsidRPr="000C3DF9">
          <w:rPr>
            <w:rStyle w:val="TextoNormalCaracter"/>
          </w:rPr>
          <w:t>32/2002</w:t>
        </w:r>
      </w:hyperlink>
      <w:r w:rsidRPr="000C3DF9">
        <w:rPr>
          <w:rStyle w:val="TextoNormalCaracter"/>
        </w:rPr>
        <w:t>.</w:t>
      </w:r>
    </w:p>
    <w:p w:rsidR="000C3DF9" w:rsidRPr="000C3DF9" w:rsidRDefault="000C3DF9" w:rsidP="000C3DF9">
      <w:pPr>
        <w:pStyle w:val="TextoNormalSangraFrancesa"/>
        <w:rPr>
          <w:rStyle w:val="TextoNormalCaracter"/>
        </w:rPr>
      </w:pPr>
      <w:bookmarkStart w:id="967" w:name="DESCRIPTORALFABETICO195"/>
      <w:r w:rsidRPr="000C3DF9">
        <w:rPr>
          <w:rStyle w:val="TextoNormalNegritaCaracter"/>
        </w:rPr>
        <w:t>Acumulación de recursos de inconstitucionalidad y conflictos de competencias</w:t>
      </w:r>
      <w:bookmarkEnd w:id="967"/>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Procedencia, </w:t>
      </w:r>
      <w:r w:rsidRPr="000C3DF9">
        <w:rPr>
          <w:rStyle w:val="TextoNormalCaracter"/>
        </w:rPr>
        <w:t xml:space="preserve">Sentencia </w:t>
      </w:r>
      <w:hyperlink w:anchor="SENTENCIA_2002_95" w:history="1">
        <w:r w:rsidRPr="000C3DF9">
          <w:rPr>
            <w:rStyle w:val="TextoNormalCaracter"/>
          </w:rPr>
          <w:t>95/2002</w:t>
        </w:r>
      </w:hyperlink>
      <w:r w:rsidRPr="000C3DF9">
        <w:rPr>
          <w:rStyle w:val="TextoNormalCaracter"/>
        </w:rPr>
        <w:t>, f. 1, VP II.</w:t>
      </w:r>
    </w:p>
    <w:p w:rsidR="000C3DF9" w:rsidRPr="000C3DF9" w:rsidRDefault="000C3DF9" w:rsidP="000C3DF9">
      <w:pPr>
        <w:pStyle w:val="TextoNormalSangraFrancesa"/>
        <w:rPr>
          <w:rStyle w:val="TextoNormalCaracter"/>
        </w:rPr>
      </w:pPr>
      <w:bookmarkStart w:id="968" w:name="DESCRIPTORALFABETICO285"/>
      <w:r w:rsidRPr="000C3DF9">
        <w:rPr>
          <w:rStyle w:val="TextoNormalNegritaCaracter"/>
        </w:rPr>
        <w:t>Administración de justicia</w:t>
      </w:r>
      <w:bookmarkEnd w:id="968"/>
      <w:r w:rsidRPr="000C3DF9">
        <w:rPr>
          <w:rStyle w:val="TextoNormalCaracter"/>
        </w:rPr>
        <w:t xml:space="preserve">, Sentencia </w:t>
      </w:r>
      <w:hyperlink w:anchor="SENTENCIA_2002_90" w:history="1">
        <w:r w:rsidRPr="000C3DF9">
          <w:rPr>
            <w:rStyle w:val="TextoNormalCaracter"/>
          </w:rPr>
          <w:t>90/2002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969" w:name="DESCRIPTORALFABETICO254"/>
      <w:r w:rsidRPr="000C3DF9">
        <w:rPr>
          <w:rStyle w:val="TextoNormalNegritaCaracter"/>
        </w:rPr>
        <w:t>Agotamiento de la vía judicial</w:t>
      </w:r>
      <w:bookmarkEnd w:id="969"/>
      <w:r w:rsidRPr="000C3DF9">
        <w:rPr>
          <w:rStyle w:val="TextoNormalCaracter"/>
        </w:rPr>
        <w:t xml:space="preserve">, Sentencias </w:t>
      </w:r>
      <w:hyperlink w:anchor="SENTENCIA_2002_16" w:history="1">
        <w:r w:rsidRPr="000C3DF9">
          <w:rPr>
            <w:rStyle w:val="TextoNormalCaracter"/>
          </w:rPr>
          <w:t>16/2002</w:t>
        </w:r>
      </w:hyperlink>
      <w:r w:rsidRPr="000C3DF9">
        <w:rPr>
          <w:rStyle w:val="TextoNormalCaracter"/>
        </w:rPr>
        <w:t xml:space="preserve">, f. 2; </w:t>
      </w:r>
      <w:hyperlink w:anchor="SENTENCIA_2002_18" w:history="1">
        <w:r w:rsidRPr="000C3DF9">
          <w:rPr>
            <w:rStyle w:val="TextoNormalCaracter"/>
          </w:rPr>
          <w:t>18/2002</w:t>
        </w:r>
      </w:hyperlink>
      <w:r w:rsidRPr="000C3DF9">
        <w:rPr>
          <w:rStyle w:val="TextoNormalCaracter"/>
        </w:rPr>
        <w:t xml:space="preserve">, ff. 4, 5; </w:t>
      </w:r>
      <w:hyperlink w:anchor="SENTENCIA_2002_31" w:history="1">
        <w:r w:rsidRPr="000C3DF9">
          <w:rPr>
            <w:rStyle w:val="TextoNormalCaracter"/>
          </w:rPr>
          <w:t>31/2002</w:t>
        </w:r>
      </w:hyperlink>
      <w:r w:rsidRPr="000C3DF9">
        <w:rPr>
          <w:rStyle w:val="TextoNormalCaracter"/>
        </w:rPr>
        <w:t xml:space="preserve">, f. 3; </w:t>
      </w:r>
      <w:hyperlink w:anchor="SENTENCIA_2002_32" w:history="1">
        <w:r w:rsidRPr="000C3DF9">
          <w:rPr>
            <w:rStyle w:val="TextoNormalCaracter"/>
          </w:rPr>
          <w:t>32/2002</w:t>
        </w:r>
      </w:hyperlink>
      <w:r w:rsidRPr="000C3DF9">
        <w:rPr>
          <w:rStyle w:val="TextoNormalCaracter"/>
        </w:rPr>
        <w:t xml:space="preserve">, f. 2; </w:t>
      </w:r>
      <w:hyperlink w:anchor="SENTENCIA_2002_36" w:history="1">
        <w:r w:rsidRPr="000C3DF9">
          <w:rPr>
            <w:rStyle w:val="TextoNormalCaracter"/>
          </w:rPr>
          <w:t>36/2002</w:t>
        </w:r>
      </w:hyperlink>
      <w:r w:rsidRPr="000C3DF9">
        <w:rPr>
          <w:rStyle w:val="TextoNormalCaracter"/>
        </w:rPr>
        <w:t xml:space="preserve">, f. 3; </w:t>
      </w:r>
      <w:hyperlink w:anchor="SENTENCIA_2002_48" w:history="1">
        <w:r w:rsidRPr="000C3DF9">
          <w:rPr>
            <w:rStyle w:val="TextoNormalCaracter"/>
          </w:rPr>
          <w:t>48/2002</w:t>
        </w:r>
      </w:hyperlink>
      <w:r w:rsidRPr="000C3DF9">
        <w:rPr>
          <w:rStyle w:val="TextoNormalCaracter"/>
        </w:rPr>
        <w:t xml:space="preserve">, f. 3; </w:t>
      </w:r>
      <w:hyperlink w:anchor="SENTENCIA_2002_56" w:history="1">
        <w:r w:rsidRPr="000C3DF9">
          <w:rPr>
            <w:rStyle w:val="TextoNormalCaracter"/>
          </w:rPr>
          <w:t>56/2002</w:t>
        </w:r>
      </w:hyperlink>
      <w:r w:rsidRPr="000C3DF9">
        <w:rPr>
          <w:rStyle w:val="TextoNormalCaracter"/>
        </w:rPr>
        <w:t xml:space="preserve">, f. 2; </w:t>
      </w:r>
      <w:hyperlink w:anchor="SENTENCIA_2002_61" w:history="1">
        <w:r w:rsidRPr="000C3DF9">
          <w:rPr>
            <w:rStyle w:val="TextoNormalCaracter"/>
          </w:rPr>
          <w:t>61/2002</w:t>
        </w:r>
      </w:hyperlink>
      <w:r w:rsidRPr="000C3DF9">
        <w:rPr>
          <w:rStyle w:val="TextoNormalCaracter"/>
        </w:rPr>
        <w:t xml:space="preserve">, f. 2; </w:t>
      </w:r>
      <w:hyperlink w:anchor="SENTENCIA_2002_65" w:history="1">
        <w:r w:rsidRPr="000C3DF9">
          <w:rPr>
            <w:rStyle w:val="TextoNormalCaracter"/>
          </w:rPr>
          <w:t>65/2002</w:t>
        </w:r>
      </w:hyperlink>
      <w:r w:rsidRPr="000C3DF9">
        <w:rPr>
          <w:rStyle w:val="TextoNormalCaracter"/>
        </w:rPr>
        <w:t xml:space="preserve">, f. 2; </w:t>
      </w:r>
      <w:hyperlink w:anchor="SENTENCIA_2002_69" w:history="1">
        <w:r w:rsidRPr="000C3DF9">
          <w:rPr>
            <w:rStyle w:val="TextoNormalCaracter"/>
          </w:rPr>
          <w:t>69/2002</w:t>
        </w:r>
      </w:hyperlink>
      <w:r w:rsidRPr="000C3DF9">
        <w:rPr>
          <w:rStyle w:val="TextoNormalCaracter"/>
        </w:rPr>
        <w:t xml:space="preserve">, f. 4; </w:t>
      </w:r>
      <w:hyperlink w:anchor="SENTENCIA_2002_71" w:history="1">
        <w:r w:rsidRPr="000C3DF9">
          <w:rPr>
            <w:rStyle w:val="TextoNormalCaracter"/>
          </w:rPr>
          <w:t>71/2002</w:t>
        </w:r>
      </w:hyperlink>
      <w:r w:rsidRPr="000C3DF9">
        <w:rPr>
          <w:rStyle w:val="TextoNormalCaracter"/>
        </w:rPr>
        <w:t xml:space="preserve">, f. 2; </w:t>
      </w:r>
      <w:hyperlink w:anchor="SENTENCIA_2002_74" w:history="1">
        <w:r w:rsidRPr="000C3DF9">
          <w:rPr>
            <w:rStyle w:val="TextoNormalCaracter"/>
          </w:rPr>
          <w:t>74/2002</w:t>
        </w:r>
      </w:hyperlink>
      <w:r w:rsidRPr="000C3DF9">
        <w:rPr>
          <w:rStyle w:val="TextoNormalCaracter"/>
        </w:rPr>
        <w:t xml:space="preserve">, f. 2; </w:t>
      </w:r>
      <w:hyperlink w:anchor="SENTENCIA_2002_85" w:history="1">
        <w:r w:rsidRPr="000C3DF9">
          <w:rPr>
            <w:rStyle w:val="TextoNormalCaracter"/>
          </w:rPr>
          <w:t>85/2002</w:t>
        </w:r>
      </w:hyperlink>
      <w:r w:rsidRPr="000C3DF9">
        <w:rPr>
          <w:rStyle w:val="TextoNormalCaracter"/>
        </w:rPr>
        <w:t xml:space="preserve">, f. 3; </w:t>
      </w:r>
      <w:hyperlink w:anchor="SENTENCIA_2002_87" w:history="1">
        <w:r w:rsidRPr="000C3DF9">
          <w:rPr>
            <w:rStyle w:val="TextoNormalCaracter"/>
          </w:rPr>
          <w:t>87/2002</w:t>
        </w:r>
      </w:hyperlink>
      <w:r w:rsidRPr="000C3DF9">
        <w:rPr>
          <w:rStyle w:val="TextoNormalCaracter"/>
        </w:rPr>
        <w:t xml:space="preserve">, f. 2; </w:t>
      </w:r>
      <w:hyperlink w:anchor="SENTENCIA_2002_93" w:history="1">
        <w:r w:rsidRPr="000C3DF9">
          <w:rPr>
            <w:rStyle w:val="TextoNormalCaracter"/>
          </w:rPr>
          <w:t>93/2002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1" w:history="1">
        <w:r w:rsidRPr="000C3DF9">
          <w:rPr>
            <w:rStyle w:val="TextoNormalCaracter"/>
          </w:rPr>
          <w:t>51/2002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93" w:history="1">
        <w:r w:rsidRPr="000C3DF9">
          <w:rPr>
            <w:rStyle w:val="TextoNormalCaracter"/>
          </w:rPr>
          <w:t>93/2002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Agotamiento de recursos en la vía judicial</w:t>
      </w:r>
      <w:r>
        <w:t xml:space="preserve"> véase </w:t>
      </w:r>
      <w:hyperlink w:anchor="DESCRIPTORALFABETICO254" w:history="1">
        <w:r w:rsidRPr="000C3DF9">
          <w:rPr>
            <w:rStyle w:val="TextoNormalNegritaCaracter"/>
          </w:rPr>
          <w:t>Agotamiento de la vía judicial</w:t>
        </w:r>
      </w:hyperlink>
    </w:p>
    <w:p w:rsidR="000C3DF9" w:rsidRPr="000C3DF9" w:rsidRDefault="000C3DF9" w:rsidP="000C3DF9">
      <w:pPr>
        <w:pStyle w:val="TextoNormalSangraFrancesa"/>
        <w:rPr>
          <w:rStyle w:val="TextoNormalCaracter"/>
        </w:rPr>
      </w:pPr>
      <w:bookmarkStart w:id="970" w:name="DESCRIPTORALFABETICO348"/>
      <w:r w:rsidRPr="000C3DF9">
        <w:rPr>
          <w:rStyle w:val="TextoNormalNegritaCaracter"/>
        </w:rPr>
        <w:t>Aguas jurisdiccionales</w:t>
      </w:r>
      <w:bookmarkEnd w:id="970"/>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Aguas territoriales</w:t>
      </w:r>
      <w:r>
        <w:t xml:space="preserve"> véase </w:t>
      </w:r>
      <w:hyperlink w:anchor="DESCRIPTORALFABETICO348" w:history="1">
        <w:r w:rsidRPr="000C3DF9">
          <w:rPr>
            <w:rStyle w:val="TextoNormalNegritaCaracter"/>
          </w:rPr>
          <w:t>Aguas jurisdiccionales</w:t>
        </w:r>
      </w:hyperlink>
    </w:p>
    <w:p w:rsidR="000C3DF9" w:rsidRPr="000C3DF9" w:rsidRDefault="000C3DF9" w:rsidP="000C3DF9">
      <w:pPr>
        <w:pStyle w:val="TextoNormalSangraFrancesa"/>
        <w:rPr>
          <w:rStyle w:val="TextoNormalCaracter"/>
        </w:rPr>
      </w:pPr>
      <w:bookmarkStart w:id="971" w:name="DESCRIPTORALFABETICO700"/>
      <w:r w:rsidRPr="000C3DF9">
        <w:rPr>
          <w:rStyle w:val="TextoNormalNegritaCaracter"/>
        </w:rPr>
        <w:t>Alarma social</w:t>
      </w:r>
      <w:bookmarkEnd w:id="971"/>
      <w:r w:rsidRPr="000C3DF9">
        <w:rPr>
          <w:rStyle w:val="TextoNormalCaracter"/>
        </w:rPr>
        <w:t xml:space="preserve">, Sentencias </w:t>
      </w:r>
      <w:hyperlink w:anchor="SENTENCIA_2002_8" w:history="1">
        <w:r w:rsidRPr="000C3DF9">
          <w:rPr>
            <w:rStyle w:val="TextoNormalCaracter"/>
          </w:rPr>
          <w:t>8/2002</w:t>
        </w:r>
      </w:hyperlink>
      <w:r w:rsidRPr="000C3DF9">
        <w:rPr>
          <w:rStyle w:val="TextoNormalCaracter"/>
        </w:rPr>
        <w:t xml:space="preserve">, f. 6 b); </w:t>
      </w:r>
      <w:hyperlink w:anchor="SENTENCIA_2002_23" w:history="1">
        <w:r w:rsidRPr="000C3DF9">
          <w:rPr>
            <w:rStyle w:val="TextoNormalCaracter"/>
          </w:rPr>
          <w:t>23/2002</w:t>
        </w:r>
      </w:hyperlink>
      <w:r w:rsidRPr="000C3DF9">
        <w:rPr>
          <w:rStyle w:val="TextoNormalCaracter"/>
        </w:rPr>
        <w:t>, f. 4.</w:t>
      </w:r>
    </w:p>
    <w:p w:rsidR="000C3DF9" w:rsidRPr="000C3DF9" w:rsidRDefault="000C3DF9" w:rsidP="000C3DF9">
      <w:pPr>
        <w:pStyle w:val="TextoNormalSangraFrancesa"/>
        <w:rPr>
          <w:rStyle w:val="TextoNormalCaracter"/>
        </w:rPr>
      </w:pPr>
      <w:bookmarkStart w:id="972" w:name="DESCRIPTORALFABETICO215"/>
      <w:r w:rsidRPr="000C3DF9">
        <w:rPr>
          <w:rStyle w:val="TextoNormalNegritaCaracter"/>
        </w:rPr>
        <w:t>Alcance de la declaración de inconstitucionalidad</w:t>
      </w:r>
      <w:bookmarkEnd w:id="972"/>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 8.</w:t>
      </w:r>
    </w:p>
    <w:p w:rsidR="000C3DF9" w:rsidRPr="000C3DF9" w:rsidRDefault="000C3DF9" w:rsidP="000C3DF9">
      <w:pPr>
        <w:pStyle w:val="TextoNormalSangraFrancesa"/>
        <w:rPr>
          <w:rStyle w:val="TextoNormalCaracter"/>
        </w:rPr>
      </w:pPr>
      <w:bookmarkStart w:id="973" w:name="DESCRIPTORALFABETICO216"/>
      <w:r w:rsidRPr="000C3DF9">
        <w:rPr>
          <w:rStyle w:val="TextoNormalNegritaCaracter"/>
        </w:rPr>
        <w:t>Alcance de la nulidad de la ley</w:t>
      </w:r>
      <w:bookmarkEnd w:id="973"/>
      <w:r w:rsidRPr="000C3DF9">
        <w:rPr>
          <w:rStyle w:val="TextoNormalCaracter"/>
        </w:rPr>
        <w:t xml:space="preserve">, Sentencias </w:t>
      </w:r>
      <w:hyperlink w:anchor="SENTENCIA_2002_10" w:history="1">
        <w:r w:rsidRPr="000C3DF9">
          <w:rPr>
            <w:rStyle w:val="TextoNormalCaracter"/>
          </w:rPr>
          <w:t>10/2002</w:t>
        </w:r>
      </w:hyperlink>
      <w:r w:rsidRPr="000C3DF9">
        <w:rPr>
          <w:rStyle w:val="TextoNormalCaracter"/>
        </w:rPr>
        <w:t xml:space="preserve">, f. 10; </w:t>
      </w:r>
      <w:hyperlink w:anchor="SENTENCIA_2002_54" w:history="1">
        <w:r w:rsidRPr="000C3DF9">
          <w:rPr>
            <w:rStyle w:val="TextoNormalCaracter"/>
          </w:rPr>
          <w:t>54/2002</w:t>
        </w:r>
      </w:hyperlink>
      <w:r w:rsidRPr="000C3DF9">
        <w:rPr>
          <w:rStyle w:val="TextoNormalCaracter"/>
        </w:rPr>
        <w:t>, f. 8.</w:t>
      </w:r>
    </w:p>
    <w:p w:rsidR="000C3DF9" w:rsidRPr="000C3DF9" w:rsidRDefault="000C3DF9" w:rsidP="000C3DF9">
      <w:pPr>
        <w:pStyle w:val="TextoNormalSangraFrancesa"/>
        <w:rPr>
          <w:rStyle w:val="TextoNormalCaracter"/>
        </w:rPr>
      </w:pPr>
      <w:bookmarkStart w:id="974" w:name="DESCRIPTORALFABETICO237"/>
      <w:r w:rsidRPr="000C3DF9">
        <w:rPr>
          <w:rStyle w:val="TextoNormalNegritaCaracter"/>
        </w:rPr>
        <w:t>Alcance de la pretensión de amparo</w:t>
      </w:r>
      <w:bookmarkEnd w:id="974"/>
      <w:r w:rsidRPr="000C3DF9">
        <w:rPr>
          <w:rStyle w:val="TextoNormalCaracter"/>
        </w:rPr>
        <w:t xml:space="preserve">, Sentencia </w:t>
      </w:r>
      <w:hyperlink w:anchor="SENTENCIA_2002_12" w:history="1">
        <w:r w:rsidRPr="000C3DF9">
          <w:rPr>
            <w:rStyle w:val="TextoNormalCaracter"/>
          </w:rPr>
          <w:t>12/2002</w:t>
        </w:r>
      </w:hyperlink>
      <w:r w:rsidRPr="000C3DF9">
        <w:rPr>
          <w:rStyle w:val="TextoNormalCaracter"/>
        </w:rPr>
        <w:t>, f. 1.</w:t>
      </w:r>
    </w:p>
    <w:p w:rsidR="000C3DF9" w:rsidRPr="000C3DF9" w:rsidRDefault="000C3DF9" w:rsidP="000C3DF9">
      <w:pPr>
        <w:pStyle w:val="TextoNormalSangraFrancesa"/>
        <w:rPr>
          <w:rStyle w:val="TextoNormalCaracter"/>
        </w:rPr>
      </w:pPr>
      <w:bookmarkStart w:id="975" w:name="DESCRIPTORALFABETICO272"/>
      <w:r w:rsidRPr="000C3DF9">
        <w:rPr>
          <w:rStyle w:val="TextoNormalNegritaCaracter"/>
        </w:rPr>
        <w:t>Alcance del fallo en recurso de amparo</w:t>
      </w:r>
      <w:bookmarkEnd w:id="975"/>
      <w:r w:rsidRPr="000C3DF9">
        <w:rPr>
          <w:rStyle w:val="TextoNormalCaracter"/>
        </w:rPr>
        <w:t xml:space="preserve">, Sentencias </w:t>
      </w:r>
      <w:hyperlink w:anchor="SENTENCIA_2002_25" w:history="1">
        <w:r w:rsidRPr="000C3DF9">
          <w:rPr>
            <w:rStyle w:val="TextoNormalCaracter"/>
          </w:rPr>
          <w:t>25/2002</w:t>
        </w:r>
      </w:hyperlink>
      <w:r w:rsidRPr="000C3DF9">
        <w:rPr>
          <w:rStyle w:val="TextoNormalCaracter"/>
        </w:rPr>
        <w:t xml:space="preserve">, f. 7; </w:t>
      </w:r>
      <w:hyperlink w:anchor="SENTENCIA_2002_26" w:history="1">
        <w:r w:rsidRPr="000C3DF9">
          <w:rPr>
            <w:rStyle w:val="TextoNormalCaracter"/>
          </w:rPr>
          <w:t>26/2002</w:t>
        </w:r>
      </w:hyperlink>
      <w:r w:rsidRPr="000C3DF9">
        <w:rPr>
          <w:rStyle w:val="TextoNormalCaracter"/>
        </w:rPr>
        <w:t xml:space="preserve">, f. 4; </w:t>
      </w:r>
      <w:hyperlink w:anchor="SENTENCIA_2002_48" w:history="1">
        <w:r w:rsidRPr="000C3DF9">
          <w:rPr>
            <w:rStyle w:val="TextoNormalCaracter"/>
          </w:rPr>
          <w:t>48/2002</w:t>
        </w:r>
      </w:hyperlink>
      <w:r w:rsidRPr="000C3DF9">
        <w:rPr>
          <w:rStyle w:val="TextoNormalCaracter"/>
        </w:rPr>
        <w:t xml:space="preserve">, f. 9; </w:t>
      </w:r>
      <w:hyperlink w:anchor="SENTENCIA_2002_87" w:history="1">
        <w:r w:rsidRPr="000C3DF9">
          <w:rPr>
            <w:rStyle w:val="TextoNormalCaracter"/>
          </w:rPr>
          <w:t>87/2002</w:t>
        </w:r>
      </w:hyperlink>
      <w:r w:rsidRPr="000C3DF9">
        <w:rPr>
          <w:rStyle w:val="TextoNormalCaracter"/>
        </w:rPr>
        <w:t>, f. 5.</w:t>
      </w:r>
    </w:p>
    <w:p w:rsidR="000C3DF9" w:rsidRPr="000C3DF9" w:rsidRDefault="000C3DF9" w:rsidP="000C3DF9">
      <w:pPr>
        <w:pStyle w:val="TextoNormalSangraFrancesa"/>
        <w:rPr>
          <w:rStyle w:val="TextoNormalCaracter"/>
        </w:rPr>
      </w:pPr>
      <w:bookmarkStart w:id="976" w:name="DESCRIPTORALFABETICO217"/>
      <w:r w:rsidRPr="000C3DF9">
        <w:rPr>
          <w:rStyle w:val="TextoNormalNegritaCaracter"/>
        </w:rPr>
        <w:t>Alcance territorial de la declaración de inconstitucionalidad</w:t>
      </w:r>
      <w:bookmarkEnd w:id="976"/>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7.</w:t>
      </w:r>
    </w:p>
    <w:p w:rsidR="000C3DF9" w:rsidRPr="000C3DF9" w:rsidRDefault="000C3DF9" w:rsidP="000C3DF9">
      <w:pPr>
        <w:pStyle w:val="TextoNormalSangraFrancesa"/>
        <w:rPr>
          <w:rStyle w:val="TextoNormalCaracter"/>
        </w:rPr>
      </w:pPr>
      <w:bookmarkStart w:id="977" w:name="DESCRIPTORALFABETICO266"/>
      <w:r w:rsidRPr="000C3DF9">
        <w:rPr>
          <w:rStyle w:val="TextoNormalNegritaCaracter"/>
        </w:rPr>
        <w:t>Alegación de derechos fundamentales</w:t>
      </w:r>
      <w:bookmarkEnd w:id="977"/>
      <w:r w:rsidRPr="000C3DF9">
        <w:rPr>
          <w:rStyle w:val="TextoNormalCaracter"/>
        </w:rPr>
        <w:t xml:space="preserve">, Sentencias </w:t>
      </w:r>
      <w:hyperlink w:anchor="SENTENCIA_2002_5" w:history="1">
        <w:r w:rsidRPr="000C3DF9">
          <w:rPr>
            <w:rStyle w:val="TextoNormalCaracter"/>
          </w:rPr>
          <w:t>5/2002</w:t>
        </w:r>
      </w:hyperlink>
      <w:r w:rsidRPr="000C3DF9">
        <w:rPr>
          <w:rStyle w:val="TextoNormalCaracter"/>
        </w:rPr>
        <w:t xml:space="preserve">, f. 2; </w:t>
      </w:r>
      <w:hyperlink w:anchor="SENTENCIA_2002_14" w:history="1">
        <w:r w:rsidRPr="000C3DF9">
          <w:rPr>
            <w:rStyle w:val="TextoNormalCaracter"/>
          </w:rPr>
          <w:t>14/2002</w:t>
        </w:r>
      </w:hyperlink>
      <w:r w:rsidRPr="000C3DF9">
        <w:rPr>
          <w:rStyle w:val="TextoNormalCaracter"/>
        </w:rPr>
        <w:t xml:space="preserve">, f. 5; </w:t>
      </w:r>
      <w:hyperlink w:anchor="SENTENCIA_2002_27" w:history="1">
        <w:r w:rsidRPr="000C3DF9">
          <w:rPr>
            <w:rStyle w:val="TextoNormalCaracter"/>
          </w:rPr>
          <w:t>27/2002</w:t>
        </w:r>
      </w:hyperlink>
      <w:r w:rsidRPr="000C3DF9">
        <w:rPr>
          <w:rStyle w:val="TextoNormalCaracter"/>
        </w:rPr>
        <w:t xml:space="preserve">, f. 6; </w:t>
      </w:r>
      <w:hyperlink w:anchor="SENTENCIA_2002_29" w:history="1">
        <w:r w:rsidRPr="000C3DF9">
          <w:rPr>
            <w:rStyle w:val="TextoNormalCaracter"/>
          </w:rPr>
          <w:t>29/2002</w:t>
        </w:r>
      </w:hyperlink>
      <w:r w:rsidRPr="000C3DF9">
        <w:rPr>
          <w:rStyle w:val="TextoNormalCaracter"/>
        </w:rPr>
        <w:t xml:space="preserve">, f. 4; </w:t>
      </w:r>
      <w:hyperlink w:anchor="SENTENCIA_2002_80" w:history="1">
        <w:r w:rsidRPr="000C3DF9">
          <w:rPr>
            <w:rStyle w:val="TextoNormalCaracter"/>
          </w:rPr>
          <w:t>80/2002</w:t>
        </w:r>
      </w:hyperlink>
      <w:r w:rsidRPr="000C3DF9">
        <w:rPr>
          <w:rStyle w:val="TextoNormalCaracter"/>
        </w:rPr>
        <w:t xml:space="preserve">, f. 4; </w:t>
      </w:r>
      <w:hyperlink w:anchor="SENTENCIA_2002_84" w:history="1">
        <w:r w:rsidRPr="000C3DF9">
          <w:rPr>
            <w:rStyle w:val="TextoNormalCaracter"/>
          </w:rPr>
          <w:t>84/2002</w:t>
        </w:r>
      </w:hyperlink>
      <w:r w:rsidRPr="000C3DF9">
        <w:rPr>
          <w:rStyle w:val="TextoNormalCaracter"/>
        </w:rPr>
        <w:t>, f. 4.</w:t>
      </w:r>
    </w:p>
    <w:p w:rsidR="000C3DF9" w:rsidRPr="000C3DF9" w:rsidRDefault="000C3DF9" w:rsidP="000C3DF9">
      <w:pPr>
        <w:pStyle w:val="TextoNormalSangraFrancesa"/>
        <w:rPr>
          <w:rStyle w:val="TextoNormalCaracter"/>
        </w:rPr>
      </w:pPr>
      <w:bookmarkStart w:id="978" w:name="DESCRIPTORALFABETICO96"/>
      <w:r w:rsidRPr="000C3DF9">
        <w:rPr>
          <w:rStyle w:val="TextoNormalNegritaCaracter"/>
        </w:rPr>
        <w:lastRenderedPageBreak/>
        <w:t>Alteración del fallo</w:t>
      </w:r>
      <w:bookmarkEnd w:id="978"/>
      <w:r w:rsidRPr="000C3DF9">
        <w:rPr>
          <w:rStyle w:val="TextoNormalCaracter"/>
        </w:rPr>
        <w:t xml:space="preserve">, Sentencia </w:t>
      </w:r>
      <w:hyperlink w:anchor="SENTENCIA_2002_56" w:history="1">
        <w:r w:rsidRPr="000C3DF9">
          <w:rPr>
            <w:rStyle w:val="TextoNormalCaracter"/>
          </w:rPr>
          <w:t>56/2002</w:t>
        </w:r>
      </w:hyperlink>
      <w:r w:rsidRPr="000C3DF9">
        <w:rPr>
          <w:rStyle w:val="TextoNormalCaracter"/>
        </w:rPr>
        <w:t>, f. 5.</w:t>
      </w:r>
    </w:p>
    <w:p w:rsidR="000C3DF9" w:rsidRPr="000C3DF9" w:rsidRDefault="000C3DF9" w:rsidP="000C3DF9">
      <w:pPr>
        <w:pStyle w:val="TextoNormalSangraFrancesa"/>
        <w:rPr>
          <w:rStyle w:val="TextoNormalCaracter"/>
        </w:rPr>
      </w:pPr>
      <w:bookmarkStart w:id="979" w:name="DESCRIPTORALFABETICO3"/>
      <w:r w:rsidRPr="000C3DF9">
        <w:rPr>
          <w:rStyle w:val="TextoNormalNegritaCaracter"/>
        </w:rPr>
        <w:t>Ámbito territorial de competencias</w:t>
      </w:r>
      <w:bookmarkEnd w:id="979"/>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16.</w:t>
      </w:r>
    </w:p>
    <w:p w:rsidR="000C3DF9" w:rsidRPr="000C3DF9" w:rsidRDefault="000C3DF9" w:rsidP="000C3DF9">
      <w:pPr>
        <w:pStyle w:val="TextoNormalSangraFrancesa"/>
        <w:rPr>
          <w:rStyle w:val="TextoNormalCaracter"/>
        </w:rPr>
      </w:pPr>
      <w:bookmarkStart w:id="980" w:name="DESCRIPTORALFABETICO177"/>
      <w:r w:rsidRPr="000C3DF9">
        <w:rPr>
          <w:rStyle w:val="TextoNormalNegritaCaracter"/>
        </w:rPr>
        <w:t>Amparo anticipado</w:t>
      </w:r>
      <w:bookmarkEnd w:id="980"/>
      <w:r w:rsidRPr="000C3DF9">
        <w:rPr>
          <w:rStyle w:val="TextoNormalCaracter"/>
        </w:rPr>
        <w:t xml:space="preserve">, Autos </w:t>
      </w:r>
      <w:hyperlink w:anchor="AUTO_2002_16" w:history="1">
        <w:r w:rsidRPr="000C3DF9">
          <w:rPr>
            <w:rStyle w:val="TextoNormalCaracter"/>
          </w:rPr>
          <w:t>16/2002</w:t>
        </w:r>
      </w:hyperlink>
      <w:r w:rsidRPr="000C3DF9">
        <w:rPr>
          <w:rStyle w:val="TextoNormalCaracter"/>
        </w:rPr>
        <w:t xml:space="preserve">; </w:t>
      </w:r>
      <w:hyperlink w:anchor="AUTO_2002_18" w:history="1">
        <w:r w:rsidRPr="000C3DF9">
          <w:rPr>
            <w:rStyle w:val="TextoNormalCaracter"/>
          </w:rPr>
          <w:t>18/2002</w:t>
        </w:r>
      </w:hyperlink>
      <w:r w:rsidRPr="000C3DF9">
        <w:rPr>
          <w:rStyle w:val="TextoNormalCaracter"/>
        </w:rPr>
        <w:t>.</w:t>
      </w:r>
    </w:p>
    <w:p w:rsidR="000C3DF9" w:rsidRPr="000C3DF9" w:rsidRDefault="000C3DF9" w:rsidP="000C3DF9">
      <w:pPr>
        <w:pStyle w:val="TextoNormalSangraFrancesa"/>
        <w:rPr>
          <w:rStyle w:val="TextoNormalCaracter"/>
        </w:rPr>
      </w:pPr>
      <w:bookmarkStart w:id="981" w:name="DESCRIPTORALFABETICO230"/>
      <w:r w:rsidRPr="000C3DF9">
        <w:rPr>
          <w:rStyle w:val="TextoNormalNegritaCaracter"/>
        </w:rPr>
        <w:t>Ampliación de la demanda de amparo</w:t>
      </w:r>
      <w:bookmarkEnd w:id="981"/>
      <w:r w:rsidRPr="000C3DF9">
        <w:rPr>
          <w:rStyle w:val="TextoNormalCaracter"/>
        </w:rPr>
        <w:t xml:space="preserve">, Sentencia </w:t>
      </w:r>
      <w:hyperlink w:anchor="SENTENCIA_2002_31" w:history="1">
        <w:r w:rsidRPr="000C3DF9">
          <w:rPr>
            <w:rStyle w:val="TextoNormalCaracter"/>
          </w:rPr>
          <w:t>31/2002</w:t>
        </w:r>
      </w:hyperlink>
      <w:r w:rsidRPr="000C3DF9">
        <w:rPr>
          <w:rStyle w:val="TextoNormalCaracter"/>
        </w:rPr>
        <w:t>, f. 3.</w:t>
      </w:r>
    </w:p>
    <w:p w:rsidR="000C3DF9" w:rsidRPr="000C3DF9" w:rsidRDefault="000C3DF9" w:rsidP="000C3DF9">
      <w:pPr>
        <w:pStyle w:val="TextoNormalSangraFrancesa"/>
        <w:rPr>
          <w:rStyle w:val="TextoNormalCaracter"/>
        </w:rPr>
      </w:pPr>
      <w:bookmarkStart w:id="982" w:name="DESCRIPTORALFABETICO225"/>
      <w:r w:rsidRPr="000C3DF9">
        <w:rPr>
          <w:rStyle w:val="TextoNormalNegritaCaracter"/>
        </w:rPr>
        <w:t>Ampliación del objeto del recurso de inconstitucionalidad</w:t>
      </w:r>
      <w:bookmarkEnd w:id="982"/>
      <w:r w:rsidRPr="000C3DF9">
        <w:rPr>
          <w:rStyle w:val="TextoNormalCaracter"/>
        </w:rPr>
        <w:t xml:space="preserve">, Autos </w:t>
      </w:r>
      <w:hyperlink w:anchor="AUTO_2002_39" w:history="1">
        <w:r w:rsidRPr="000C3DF9">
          <w:rPr>
            <w:rStyle w:val="TextoNormalCaracter"/>
          </w:rPr>
          <w:t>39/2002</w:t>
        </w:r>
      </w:hyperlink>
      <w:r w:rsidRPr="000C3DF9">
        <w:rPr>
          <w:rStyle w:val="TextoNormalCaracter"/>
        </w:rPr>
        <w:t xml:space="preserve">; </w:t>
      </w:r>
      <w:hyperlink w:anchor="AUTO_2002_61" w:history="1">
        <w:r w:rsidRPr="000C3DF9">
          <w:rPr>
            <w:rStyle w:val="TextoNormalCaracter"/>
          </w:rPr>
          <w:t>61/2002</w:t>
        </w:r>
      </w:hyperlink>
      <w:r w:rsidRPr="000C3DF9">
        <w:rPr>
          <w:rStyle w:val="TextoNormalCaracter"/>
        </w:rPr>
        <w:t>.</w:t>
      </w:r>
    </w:p>
    <w:p w:rsidR="000C3DF9" w:rsidRPr="000C3DF9" w:rsidRDefault="000C3DF9" w:rsidP="000C3DF9">
      <w:pPr>
        <w:pStyle w:val="TextoNormalSangraFrancesa"/>
        <w:rPr>
          <w:rStyle w:val="TextoNormalCaracter"/>
        </w:rPr>
      </w:pPr>
      <w:bookmarkStart w:id="983" w:name="DESCRIPTORALFABETICO738"/>
      <w:r w:rsidRPr="000C3DF9">
        <w:rPr>
          <w:rStyle w:val="TextoNormalNegritaCaracter"/>
        </w:rPr>
        <w:t>Andalucía</w:t>
      </w:r>
      <w:bookmarkEnd w:id="983"/>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4.</w:t>
      </w:r>
    </w:p>
    <w:p w:rsidR="000C3DF9" w:rsidRPr="000C3DF9" w:rsidRDefault="000C3DF9" w:rsidP="000C3DF9">
      <w:pPr>
        <w:pStyle w:val="TextoNormalSangraFrancesa"/>
        <w:rPr>
          <w:rStyle w:val="TextoNormalCaracter"/>
        </w:rPr>
      </w:pPr>
      <w:bookmarkStart w:id="984" w:name="DESCRIPTORALFABETICO456"/>
      <w:r w:rsidRPr="000C3DF9">
        <w:rPr>
          <w:rStyle w:val="TextoNormalNegritaCaracter"/>
        </w:rPr>
        <w:t>Antecedentes penales</w:t>
      </w:r>
      <w:bookmarkEnd w:id="984"/>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ff. 5, 6, 7; </w:t>
      </w:r>
      <w:hyperlink w:anchor="SENTENCIA_2002_52" w:history="1">
        <w:r w:rsidRPr="000C3DF9">
          <w:rPr>
            <w:rStyle w:val="TextoNormalCaracter"/>
          </w:rPr>
          <w:t>52/2002</w:t>
        </w:r>
      </w:hyperlink>
      <w:r w:rsidRPr="000C3DF9">
        <w:rPr>
          <w:rStyle w:val="TextoNormalCaracter"/>
        </w:rPr>
        <w:t xml:space="preserve">, f. 4;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bookmarkStart w:id="985" w:name="DESCRIPTORALFABETICO438"/>
      <w:r w:rsidRPr="000C3DF9">
        <w:rPr>
          <w:rStyle w:val="TextoNormalNegritaCaracter"/>
        </w:rPr>
        <w:t>Aplicación de Derecho extranjero</w:t>
      </w:r>
      <w:bookmarkEnd w:id="985"/>
      <w:r w:rsidRPr="000C3DF9">
        <w:rPr>
          <w:rStyle w:val="TextoNormalCaracter"/>
        </w:rPr>
        <w:t xml:space="preserve">, Sentencia </w:t>
      </w:r>
      <w:hyperlink w:anchor="SENTENCIA_2002_33" w:history="1">
        <w:r w:rsidRPr="000C3DF9">
          <w:rPr>
            <w:rStyle w:val="TextoNormalCaracter"/>
          </w:rPr>
          <w:t>33/2002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Aplicación de legislación extranjera</w:t>
      </w:r>
      <w:r>
        <w:t xml:space="preserve"> véase </w:t>
      </w:r>
      <w:hyperlink w:anchor="DESCRIPTORALFABETICO438" w:history="1">
        <w:r w:rsidRPr="000C3DF9">
          <w:rPr>
            <w:rStyle w:val="TextoNormalNegritaCaracter"/>
          </w:rPr>
          <w:t>Aplicación de Derecho extranjero</w:t>
        </w:r>
      </w:hyperlink>
    </w:p>
    <w:p w:rsidR="000C3DF9" w:rsidRPr="000C3DF9" w:rsidRDefault="000C3DF9" w:rsidP="000C3DF9">
      <w:pPr>
        <w:pStyle w:val="TextoNormalSangraFrancesa"/>
        <w:rPr>
          <w:rStyle w:val="TextoNormalNegritaCaracter"/>
        </w:rPr>
      </w:pPr>
      <w:r w:rsidRPr="000C3DF9">
        <w:rPr>
          <w:rStyle w:val="TextoNormalCursivaCaracter"/>
        </w:rPr>
        <w:t>Apreciación de la prueba</w:t>
      </w:r>
      <w:r>
        <w:t xml:space="preserve"> véase </w:t>
      </w:r>
      <w:hyperlink w:anchor="DESCRIPTORALFABETICO600" w:history="1">
        <w:r w:rsidRPr="000C3DF9">
          <w:rPr>
            <w:rStyle w:val="TextoNormalNegritaCaracter"/>
          </w:rPr>
          <w:t>Valoración de la prueba</w:t>
        </w:r>
      </w:hyperlink>
    </w:p>
    <w:p w:rsidR="000C3DF9" w:rsidRPr="000C3DF9" w:rsidRDefault="000C3DF9" w:rsidP="000C3DF9">
      <w:pPr>
        <w:pStyle w:val="TextoNormalSangraFrancesa"/>
        <w:rPr>
          <w:rStyle w:val="TextoNormalCaracter"/>
        </w:rPr>
      </w:pPr>
      <w:bookmarkStart w:id="986" w:name="DESCRIPTORALFABETICO409"/>
      <w:r w:rsidRPr="000C3DF9">
        <w:rPr>
          <w:rStyle w:val="TextoNormalNegritaCaracter"/>
        </w:rPr>
        <w:t>Aprovechamiento urbanístico</w:t>
      </w:r>
      <w:bookmarkEnd w:id="986"/>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ff. 1, 2, 3, 4, 5, 6, 7, 8, 9.</w:t>
      </w:r>
    </w:p>
    <w:p w:rsidR="000C3DF9" w:rsidRPr="000C3DF9" w:rsidRDefault="000C3DF9" w:rsidP="000C3DF9">
      <w:pPr>
        <w:pStyle w:val="TextoNormalSangraFrancesa"/>
        <w:rPr>
          <w:rStyle w:val="TextoNormalCaracter"/>
        </w:rPr>
      </w:pPr>
      <w:bookmarkStart w:id="987" w:name="DESCRIPTORALFABETICO483"/>
      <w:r w:rsidRPr="000C3DF9">
        <w:rPr>
          <w:rStyle w:val="TextoNormalNegritaCaracter"/>
        </w:rPr>
        <w:t>Arrecifes artificiales</w:t>
      </w:r>
      <w:bookmarkEnd w:id="987"/>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8.</w:t>
      </w:r>
    </w:p>
    <w:p w:rsidR="000C3DF9" w:rsidRPr="000C3DF9" w:rsidRDefault="000C3DF9" w:rsidP="000C3DF9">
      <w:pPr>
        <w:pStyle w:val="TextoNormalSangraFrancesa"/>
        <w:rPr>
          <w:rStyle w:val="TextoNormalCaracter"/>
        </w:rPr>
      </w:pPr>
      <w:bookmarkStart w:id="988" w:name="DESCRIPTORALFABETICO361"/>
      <w:r w:rsidRPr="000C3DF9">
        <w:rPr>
          <w:rStyle w:val="TextoNormalNegritaCaracter"/>
        </w:rPr>
        <w:t>Arrendamientos urbanos</w:t>
      </w:r>
      <w:bookmarkEnd w:id="988"/>
      <w:r w:rsidRPr="000C3DF9">
        <w:rPr>
          <w:rStyle w:val="TextoNormalCaracter"/>
        </w:rPr>
        <w:t xml:space="preserve">, Sentencia </w:t>
      </w:r>
      <w:hyperlink w:anchor="SENTENCIA_2002_74" w:history="1">
        <w:r w:rsidRPr="000C3DF9">
          <w:rPr>
            <w:rStyle w:val="TextoNormalCaracter"/>
          </w:rPr>
          <w:t>74/2002</w:t>
        </w:r>
      </w:hyperlink>
      <w:r w:rsidRPr="000C3DF9">
        <w:rPr>
          <w:rStyle w:val="TextoNormalCaracter"/>
        </w:rPr>
        <w:t>, f. 4.</w:t>
      </w:r>
    </w:p>
    <w:p w:rsidR="000C3DF9" w:rsidRPr="000C3DF9" w:rsidRDefault="000C3DF9" w:rsidP="000C3DF9">
      <w:pPr>
        <w:pStyle w:val="TextoNormalSangraFrancesa"/>
        <w:rPr>
          <w:rStyle w:val="TextoNormalCaracter"/>
        </w:rPr>
      </w:pPr>
      <w:bookmarkStart w:id="989" w:name="DESCRIPTORALFABETICO32"/>
      <w:r w:rsidRPr="000C3DF9">
        <w:rPr>
          <w:rStyle w:val="TextoNormalNegritaCaracter"/>
        </w:rPr>
        <w:t>Asignaciones presupuestarias</w:t>
      </w:r>
      <w:bookmarkEnd w:id="989"/>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19.</w:t>
      </w:r>
    </w:p>
    <w:p w:rsidR="000C3DF9" w:rsidRPr="000C3DF9" w:rsidRDefault="000C3DF9" w:rsidP="000C3DF9">
      <w:pPr>
        <w:pStyle w:val="TextoNormalSangraFrancesa"/>
        <w:rPr>
          <w:rStyle w:val="TextoNormalNegritaCaracter"/>
        </w:rPr>
      </w:pPr>
      <w:r w:rsidRPr="000C3DF9">
        <w:rPr>
          <w:rStyle w:val="TextoNormalCursivaCaracter"/>
        </w:rPr>
        <w:t>Asistencia jurídica gratuita</w:t>
      </w:r>
      <w:r>
        <w:t xml:space="preserve"> véase </w:t>
      </w:r>
      <w:hyperlink w:anchor="DESCRIPTORALFABETICO612" w:history="1">
        <w:r w:rsidRPr="000C3DF9">
          <w:rPr>
            <w:rStyle w:val="TextoNormalNegritaCaracter"/>
          </w:rPr>
          <w:t>Justicia gratuita</w:t>
        </w:r>
      </w:hyperlink>
    </w:p>
    <w:p w:rsidR="000C3DF9" w:rsidRPr="000C3DF9" w:rsidRDefault="000C3DF9" w:rsidP="000C3DF9">
      <w:pPr>
        <w:pStyle w:val="TextoNormalSangraFrancesa"/>
        <w:rPr>
          <w:rStyle w:val="TextoNormalCaracter"/>
        </w:rPr>
      </w:pPr>
      <w:bookmarkStart w:id="990" w:name="DESCRIPTORALFABETICO739"/>
      <w:r w:rsidRPr="000C3DF9">
        <w:rPr>
          <w:rStyle w:val="TextoNormalNegritaCaracter"/>
        </w:rPr>
        <w:t>Asturias</w:t>
      </w:r>
      <w:bookmarkEnd w:id="990"/>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ff. 6 a 10.</w:t>
      </w:r>
    </w:p>
    <w:p w:rsidR="000C3DF9" w:rsidRPr="000C3DF9" w:rsidRDefault="000C3DF9" w:rsidP="000C3DF9">
      <w:pPr>
        <w:pStyle w:val="TextoNormalSangraFrancesa"/>
        <w:rPr>
          <w:rStyle w:val="TextoNormalCaracter"/>
        </w:rPr>
      </w:pPr>
      <w:bookmarkStart w:id="991" w:name="DESCRIPTORALFABETICO724"/>
      <w:r w:rsidRPr="000C3DF9">
        <w:rPr>
          <w:rStyle w:val="TextoNormalNegritaCaracter"/>
        </w:rPr>
        <w:t>ATC 438/1990</w:t>
      </w:r>
      <w:bookmarkEnd w:id="991"/>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39" w:history="1">
        <w:r w:rsidRPr="000C3DF9">
          <w:rPr>
            <w:rStyle w:val="TextoNormalCaracter"/>
          </w:rPr>
          <w:t>39/2002</w:t>
        </w:r>
      </w:hyperlink>
      <w:r w:rsidRPr="000C3DF9">
        <w:rPr>
          <w:rStyle w:val="TextoNormalCaracter"/>
        </w:rPr>
        <w:t>, f. 2.</w:t>
      </w:r>
    </w:p>
    <w:p w:rsidR="000C3DF9" w:rsidRPr="000C3DF9" w:rsidRDefault="000C3DF9" w:rsidP="000C3DF9">
      <w:pPr>
        <w:pStyle w:val="TextoNormalSangraFrancesa"/>
        <w:rPr>
          <w:rStyle w:val="TextoNormalCaracter"/>
        </w:rPr>
      </w:pPr>
      <w:bookmarkStart w:id="992" w:name="DESCRIPTORALFABETICO725"/>
      <w:r w:rsidRPr="000C3DF9">
        <w:rPr>
          <w:rStyle w:val="TextoNormalNegritaCaracter"/>
        </w:rPr>
        <w:t>ATC 43/1995</w:t>
      </w:r>
      <w:bookmarkEnd w:id="992"/>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39" w:history="1">
        <w:r w:rsidRPr="000C3DF9">
          <w:rPr>
            <w:rStyle w:val="TextoNormalCaracter"/>
          </w:rPr>
          <w:t>39/2002</w:t>
        </w:r>
      </w:hyperlink>
      <w:r w:rsidRPr="000C3DF9">
        <w:rPr>
          <w:rStyle w:val="TextoNormalCaracter"/>
        </w:rPr>
        <w:t>, f. 2.</w:t>
      </w:r>
    </w:p>
    <w:p w:rsidR="000C3DF9" w:rsidRPr="000C3DF9" w:rsidRDefault="000C3DF9" w:rsidP="000C3DF9">
      <w:pPr>
        <w:pStyle w:val="TextoNormalSangraFrancesa"/>
        <w:rPr>
          <w:rStyle w:val="TextoNormalCaracter"/>
        </w:rPr>
      </w:pPr>
      <w:bookmarkStart w:id="993" w:name="DESCRIPTORALFABETICO654"/>
      <w:r w:rsidRPr="000C3DF9">
        <w:rPr>
          <w:rStyle w:val="TextoNormalNegritaCaracter"/>
        </w:rPr>
        <w:t>Auto de aclaración</w:t>
      </w:r>
      <w:bookmarkEnd w:id="993"/>
      <w:r w:rsidRPr="000C3DF9">
        <w:rPr>
          <w:rStyle w:val="TextoNormalCaracter"/>
        </w:rPr>
        <w:t xml:space="preserve">, Sentencia </w:t>
      </w:r>
      <w:hyperlink w:anchor="SENTENCIA_2002_56" w:history="1">
        <w:r w:rsidRPr="000C3DF9">
          <w:rPr>
            <w:rStyle w:val="TextoNormalCaracter"/>
          </w:rPr>
          <w:t>56/2002</w:t>
        </w:r>
      </w:hyperlink>
      <w:r w:rsidRPr="000C3DF9">
        <w:rPr>
          <w:rStyle w:val="TextoNormalCaracter"/>
        </w:rPr>
        <w:t>, f. 5.</w:t>
      </w:r>
    </w:p>
    <w:p w:rsidR="000C3DF9" w:rsidRPr="000C3DF9" w:rsidRDefault="000C3DF9" w:rsidP="000C3DF9">
      <w:pPr>
        <w:pStyle w:val="TextoNormalSangraFrancesa"/>
        <w:rPr>
          <w:rStyle w:val="TextoNormalCaracter"/>
        </w:rPr>
      </w:pPr>
      <w:bookmarkStart w:id="994" w:name="DESCRIPTORALFABETICO26"/>
      <w:r w:rsidRPr="000C3DF9">
        <w:rPr>
          <w:rStyle w:val="TextoNormalNegritaCaracter"/>
        </w:rPr>
        <w:t>Autonomía financiera</w:t>
      </w:r>
      <w:bookmarkEnd w:id="994"/>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3, 5, 6, 7, 8, 9, 10, 11, 12.</w:t>
      </w:r>
    </w:p>
    <w:p w:rsidR="000C3DF9" w:rsidRPr="000C3DF9" w:rsidRDefault="000C3DF9" w:rsidP="000C3DF9">
      <w:pPr>
        <w:pStyle w:val="TextoNormalSangraFrancesa"/>
        <w:rPr>
          <w:rStyle w:val="TextoNormalCaracter"/>
        </w:rPr>
      </w:pPr>
      <w:bookmarkStart w:id="995" w:name="DESCRIPTORALFABETICO305"/>
      <w:r w:rsidRPr="000C3DF9">
        <w:rPr>
          <w:rStyle w:val="TextoNormalNegritaCaracter"/>
        </w:rPr>
        <w:t>Autonomía parlamentaria</w:t>
      </w:r>
      <w:bookmarkEnd w:id="995"/>
      <w:r w:rsidRPr="000C3DF9">
        <w:rPr>
          <w:rStyle w:val="TextoNormalCaracter"/>
        </w:rPr>
        <w:t xml:space="preserve">, Auto </w:t>
      </w:r>
      <w:hyperlink w:anchor="AUTO_2002_18" w:history="1">
        <w:r w:rsidRPr="000C3DF9">
          <w:rPr>
            <w:rStyle w:val="TextoNormalCaracter"/>
          </w:rPr>
          <w:t>18/2002</w:t>
        </w:r>
      </w:hyperlink>
      <w:r w:rsidRPr="000C3DF9">
        <w:rPr>
          <w:rStyle w:val="TextoNormalCaracter"/>
        </w:rPr>
        <w:t>.</w:t>
      </w:r>
    </w:p>
    <w:p w:rsidR="000C3DF9" w:rsidRPr="000C3DF9" w:rsidRDefault="000C3DF9" w:rsidP="000C3DF9">
      <w:pPr>
        <w:pStyle w:val="TextoNormalSangraFrancesa"/>
        <w:rPr>
          <w:rStyle w:val="TextoNormalCaracter"/>
        </w:rPr>
      </w:pPr>
      <w:bookmarkStart w:id="996" w:name="DESCRIPTORALFABETICO320"/>
      <w:r w:rsidRPr="000C3DF9">
        <w:rPr>
          <w:rStyle w:val="TextoNormalNegritaCaracter"/>
        </w:rPr>
        <w:t>Autonomía política</w:t>
      </w:r>
      <w:bookmarkEnd w:id="996"/>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3.</w:t>
      </w:r>
    </w:p>
    <w:p w:rsidR="000C3DF9" w:rsidRPr="000C3DF9" w:rsidRDefault="000C3DF9" w:rsidP="000C3DF9">
      <w:pPr>
        <w:pStyle w:val="TextoNormalSangraFrancesa"/>
        <w:rPr>
          <w:rStyle w:val="TextoNormalCaracter"/>
        </w:rPr>
      </w:pPr>
      <w:bookmarkStart w:id="997" w:name="DESCRIPTORALFABETICO317"/>
      <w:r w:rsidRPr="000C3DF9">
        <w:rPr>
          <w:rStyle w:val="TextoNormalNegritaCaracter"/>
        </w:rPr>
        <w:t>Autonomía reglamentaria</w:t>
      </w:r>
      <w:bookmarkEnd w:id="997"/>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5.</w:t>
      </w:r>
    </w:p>
    <w:p w:rsidR="000C3DF9" w:rsidRPr="000C3DF9" w:rsidRDefault="000C3DF9" w:rsidP="000C3DF9">
      <w:pPr>
        <w:pStyle w:val="TextoNormalSangraFrancesa"/>
        <w:rPr>
          <w:rStyle w:val="TextoNormalCaracter"/>
        </w:rPr>
      </w:pPr>
      <w:bookmarkStart w:id="998" w:name="DESCRIPTORALFABETICO321"/>
      <w:r w:rsidRPr="000C3DF9">
        <w:rPr>
          <w:rStyle w:val="TextoNormalNegritaCaracter"/>
        </w:rPr>
        <w:t>Autonomía territorial</w:t>
      </w:r>
      <w:bookmarkEnd w:id="998"/>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12.</w:t>
      </w:r>
    </w:p>
    <w:p w:rsidR="000C3DF9" w:rsidRPr="000C3DF9" w:rsidRDefault="000C3DF9" w:rsidP="000C3DF9">
      <w:pPr>
        <w:pStyle w:val="TextoNormalSangraFrancesa"/>
        <w:rPr>
          <w:rStyle w:val="TextoNormalCaracter"/>
        </w:rPr>
      </w:pPr>
      <w:bookmarkStart w:id="999" w:name="DESCRIPTORALFABETICO554"/>
      <w:r w:rsidRPr="000C3DF9">
        <w:rPr>
          <w:rStyle w:val="TextoNormalNegritaCaracter"/>
        </w:rPr>
        <w:t>Autorización judicial de entrada en proceso contencioso-administrativo</w:t>
      </w:r>
      <w:bookmarkEnd w:id="999"/>
      <w:r w:rsidRPr="000C3DF9">
        <w:rPr>
          <w:rStyle w:val="TextoNormalCaracter"/>
        </w:rPr>
        <w:t xml:space="preserve">, Sentencia </w:t>
      </w:r>
      <w:hyperlink w:anchor="SENTENCIA_2002_92" w:history="1">
        <w:r w:rsidRPr="000C3DF9">
          <w:rPr>
            <w:rStyle w:val="TextoNormalCaracter"/>
          </w:rPr>
          <w:t>92/2002</w:t>
        </w:r>
      </w:hyperlink>
      <w:r w:rsidRPr="000C3DF9">
        <w:rPr>
          <w:rStyle w:val="TextoNormalCaracter"/>
        </w:rPr>
        <w:t>, f. 3.</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B</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000" w:name="DESCRIPTORALFABETICO378"/>
      <w:r w:rsidRPr="000C3DF9">
        <w:rPr>
          <w:rStyle w:val="TextoNormalNegritaCaracter"/>
        </w:rPr>
        <w:t>Bachillerato</w:t>
      </w:r>
      <w:bookmarkEnd w:id="1000"/>
      <w:r w:rsidRPr="000C3DF9">
        <w:rPr>
          <w:rStyle w:val="TextoNormalCaracter"/>
        </w:rPr>
        <w:t xml:space="preserve">, Sentencia </w:t>
      </w:r>
      <w:hyperlink w:anchor="SENTENCIA_2002_34" w:history="1">
        <w:r w:rsidRPr="000C3DF9">
          <w:rPr>
            <w:rStyle w:val="TextoNormalCaracter"/>
          </w:rPr>
          <w:t>34/2002</w:t>
        </w:r>
      </w:hyperlink>
      <w:r w:rsidRPr="000C3DF9">
        <w:rPr>
          <w:rStyle w:val="TextoNormalCaracter"/>
        </w:rPr>
        <w:t>, ff. 1, 2, 3, 4, 5, 6, 7.</w:t>
      </w:r>
    </w:p>
    <w:p w:rsidR="000C3DF9" w:rsidRPr="000C3DF9" w:rsidRDefault="000C3DF9" w:rsidP="000C3DF9">
      <w:pPr>
        <w:pStyle w:val="TextoNormalSangraFrancesa"/>
        <w:rPr>
          <w:rStyle w:val="TextoNormalCaracter"/>
        </w:rPr>
      </w:pPr>
      <w:bookmarkStart w:id="1001" w:name="DESCRIPTORALFABETICO740"/>
      <w:r w:rsidRPr="000C3DF9">
        <w:rPr>
          <w:rStyle w:val="TextoNormalNegritaCaracter"/>
        </w:rPr>
        <w:t>Baleares</w:t>
      </w:r>
      <w:bookmarkEnd w:id="1001"/>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10.</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5" w:history="1">
        <w:r w:rsidRPr="000C3DF9">
          <w:rPr>
            <w:rStyle w:val="TextoNormalCaracter"/>
          </w:rPr>
          <w:t>5/2002</w:t>
        </w:r>
      </w:hyperlink>
      <w:r w:rsidRPr="000C3DF9">
        <w:rPr>
          <w:rStyle w:val="TextoNormalCaracter"/>
        </w:rPr>
        <w:t xml:space="preserve">; </w:t>
      </w:r>
      <w:hyperlink w:anchor="AUTO_2002_20" w:history="1">
        <w:r w:rsidRPr="000C3DF9">
          <w:rPr>
            <w:rStyle w:val="TextoNormalCaracter"/>
          </w:rPr>
          <w:t>20/2002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Bancos</w:t>
      </w:r>
      <w:r>
        <w:t xml:space="preserve"> véase </w:t>
      </w:r>
      <w:hyperlink w:anchor="DESCRIPTORALFABETICO358" w:history="1">
        <w:r w:rsidRPr="000C3DF9">
          <w:rPr>
            <w:rStyle w:val="TextoNormalNegritaCaracter"/>
          </w:rPr>
          <w:t>Entidades de crédito</w:t>
        </w:r>
      </w:hyperlink>
    </w:p>
    <w:p w:rsidR="000C3DF9" w:rsidRPr="000C3DF9" w:rsidRDefault="000C3DF9" w:rsidP="000C3DF9">
      <w:pPr>
        <w:pStyle w:val="TextoNormalSangraFrancesa"/>
        <w:rPr>
          <w:rStyle w:val="TextoNormalCaracter"/>
        </w:rPr>
      </w:pPr>
      <w:bookmarkStart w:id="1002" w:name="DESCRIPTORALFABETICO492"/>
      <w:r w:rsidRPr="000C3DF9">
        <w:rPr>
          <w:rStyle w:val="TextoNormalNegritaCaracter"/>
        </w:rPr>
        <w:t>Baremo legal de daños que impide atender el alcance real del daño</w:t>
      </w:r>
      <w:bookmarkEnd w:id="1002"/>
      <w:r w:rsidRPr="000C3DF9">
        <w:rPr>
          <w:rStyle w:val="TextoNormalCaracter"/>
        </w:rPr>
        <w:t xml:space="preserve">, Sentencia </w:t>
      </w:r>
      <w:hyperlink w:anchor="SENTENCIA_2002_49" w:history="1">
        <w:r w:rsidRPr="000C3DF9">
          <w:rPr>
            <w:rStyle w:val="TextoNormalCaracter"/>
          </w:rPr>
          <w:t>49/2002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Baremo legal de indemnización</w:t>
      </w:r>
      <w:r>
        <w:t xml:space="preserve"> véase </w:t>
      </w:r>
      <w:hyperlink w:anchor="DESCRIPTORALFABETICO491" w:history="1">
        <w:r w:rsidRPr="000C3DF9">
          <w:rPr>
            <w:rStyle w:val="TextoNormalNegritaCaracter"/>
          </w:rPr>
          <w:t>Baremo legal de valoración de daños</w:t>
        </w:r>
      </w:hyperlink>
    </w:p>
    <w:p w:rsidR="000C3DF9" w:rsidRPr="000C3DF9" w:rsidRDefault="000C3DF9" w:rsidP="000C3DF9">
      <w:pPr>
        <w:pStyle w:val="TextoNormalSangraFrancesa"/>
        <w:rPr>
          <w:rStyle w:val="TextoNormalCaracter"/>
        </w:rPr>
      </w:pPr>
      <w:bookmarkStart w:id="1003" w:name="DESCRIPTORALFABETICO491"/>
      <w:r w:rsidRPr="000C3DF9">
        <w:rPr>
          <w:rStyle w:val="TextoNormalNegritaCaracter"/>
        </w:rPr>
        <w:t>Baremo legal de valoración de daños</w:t>
      </w:r>
      <w:bookmarkEnd w:id="1003"/>
      <w:r w:rsidRPr="000C3DF9">
        <w:rPr>
          <w:rStyle w:val="TextoNormalCaracter"/>
        </w:rPr>
        <w:t xml:space="preserve">, Sentencias </w:t>
      </w:r>
      <w:hyperlink w:anchor="SENTENCIA_2002_9" w:history="1">
        <w:r w:rsidRPr="000C3DF9">
          <w:rPr>
            <w:rStyle w:val="TextoNormalCaracter"/>
          </w:rPr>
          <w:t>9/2002</w:t>
        </w:r>
      </w:hyperlink>
      <w:r w:rsidRPr="000C3DF9">
        <w:rPr>
          <w:rStyle w:val="TextoNormalCaracter"/>
        </w:rPr>
        <w:t xml:space="preserve">, f. 2; </w:t>
      </w:r>
      <w:hyperlink w:anchor="SENTENCIA_2002_19" w:history="1">
        <w:r w:rsidRPr="000C3DF9">
          <w:rPr>
            <w:rStyle w:val="TextoNormalCaracter"/>
          </w:rPr>
          <w:t>19/2002</w:t>
        </w:r>
      </w:hyperlink>
      <w:r w:rsidRPr="000C3DF9">
        <w:rPr>
          <w:rStyle w:val="TextoNormalCaracter"/>
        </w:rPr>
        <w:t xml:space="preserve">, f. 3; </w:t>
      </w:r>
      <w:hyperlink w:anchor="SENTENCIA_2002_49" w:history="1">
        <w:r w:rsidRPr="000C3DF9">
          <w:rPr>
            <w:rStyle w:val="TextoNormalCaracter"/>
          </w:rPr>
          <w:t>49/2002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Bases</w:t>
      </w:r>
      <w:r>
        <w:t xml:space="preserve"> véase </w:t>
      </w:r>
      <w:hyperlink w:anchor="DESCRIPTORALFABETICO426" w:history="1">
        <w:r w:rsidRPr="000C3DF9">
          <w:rPr>
            <w:rStyle w:val="TextoNormalNegritaCaracter"/>
          </w:rPr>
          <w:t>Legislación básica</w:t>
        </w:r>
      </w:hyperlink>
    </w:p>
    <w:p w:rsidR="000C3DF9" w:rsidRPr="000C3DF9" w:rsidRDefault="000C3DF9" w:rsidP="000C3DF9">
      <w:pPr>
        <w:pStyle w:val="TextoNormalSangraFrancesa"/>
        <w:rPr>
          <w:rStyle w:val="TextoNormalCaracter"/>
        </w:rPr>
      </w:pPr>
      <w:bookmarkStart w:id="1004" w:name="DESCRIPTORALFABETICO488"/>
      <w:r w:rsidRPr="000C3DF9">
        <w:rPr>
          <w:rStyle w:val="TextoNormalNegritaCaracter"/>
        </w:rPr>
        <w:t>Beneficios penitenciarios</w:t>
      </w:r>
      <w:bookmarkEnd w:id="1004"/>
      <w:r w:rsidRPr="000C3DF9">
        <w:rPr>
          <w:rStyle w:val="TextoNormalCaracter"/>
        </w:rPr>
        <w:t xml:space="preserve">, Autos </w:t>
      </w:r>
      <w:hyperlink w:anchor="AUTO_2002_1" w:history="1">
        <w:r w:rsidRPr="000C3DF9">
          <w:rPr>
            <w:rStyle w:val="TextoNormalCaracter"/>
          </w:rPr>
          <w:t>1/2002</w:t>
        </w:r>
      </w:hyperlink>
      <w:r w:rsidRPr="000C3DF9">
        <w:rPr>
          <w:rStyle w:val="TextoNormalCaracter"/>
        </w:rPr>
        <w:t xml:space="preserve">; </w:t>
      </w:r>
      <w:hyperlink w:anchor="AUTO_2002_15" w:history="1">
        <w:r w:rsidRPr="000C3DF9">
          <w:rPr>
            <w:rStyle w:val="TextoNormalCaracter"/>
          </w:rPr>
          <w:t>15/2002</w:t>
        </w:r>
      </w:hyperlink>
      <w:r w:rsidRPr="000C3DF9">
        <w:rPr>
          <w:rStyle w:val="TextoNormalCaracter"/>
        </w:rPr>
        <w:t xml:space="preserve">; </w:t>
      </w:r>
      <w:hyperlink w:anchor="AUTO_2002_34" w:history="1">
        <w:r w:rsidRPr="000C3DF9">
          <w:rPr>
            <w:rStyle w:val="TextoNormalCaracter"/>
          </w:rPr>
          <w:t>34/2002</w:t>
        </w:r>
      </w:hyperlink>
      <w:r w:rsidRPr="000C3DF9">
        <w:rPr>
          <w:rStyle w:val="TextoNormalCaracter"/>
        </w:rPr>
        <w:t xml:space="preserve">; </w:t>
      </w:r>
      <w:hyperlink w:anchor="AUTO_2002_40" w:history="1">
        <w:r w:rsidRPr="000C3DF9">
          <w:rPr>
            <w:rStyle w:val="TextoNormalCaracter"/>
          </w:rPr>
          <w:t>40/2002</w:t>
        </w:r>
      </w:hyperlink>
      <w:r w:rsidRPr="000C3DF9">
        <w:rPr>
          <w:rStyle w:val="TextoNormalCaracter"/>
        </w:rPr>
        <w:t>.</w:t>
      </w:r>
    </w:p>
    <w:p w:rsidR="000C3DF9" w:rsidRPr="000C3DF9" w:rsidRDefault="000C3DF9" w:rsidP="000C3DF9">
      <w:pPr>
        <w:pStyle w:val="TextoNormalSangraFrancesa"/>
        <w:rPr>
          <w:rStyle w:val="TextoNormalCaracter"/>
        </w:rPr>
      </w:pPr>
      <w:bookmarkStart w:id="1005" w:name="DESCRIPTORALFABETICO318"/>
      <w:r w:rsidRPr="000C3DF9">
        <w:rPr>
          <w:rStyle w:val="TextoNormalNegritaCaracter"/>
        </w:rPr>
        <w:t>Bicameralismo</w:t>
      </w:r>
      <w:bookmarkEnd w:id="1005"/>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6.</w:t>
      </w:r>
    </w:p>
    <w:p w:rsidR="000C3DF9" w:rsidRPr="000C3DF9" w:rsidRDefault="000C3DF9" w:rsidP="000C3DF9">
      <w:pPr>
        <w:pStyle w:val="TextoNormalSangraFrancesa"/>
        <w:rPr>
          <w:rStyle w:val="TextoNormalCaracter"/>
        </w:rPr>
      </w:pPr>
      <w:bookmarkStart w:id="1006" w:name="DESCRIPTORALFABETICO437"/>
      <w:r w:rsidRPr="000C3DF9">
        <w:rPr>
          <w:rStyle w:val="TextoNormalNegritaCaracter"/>
        </w:rPr>
        <w:t>Buena fe contractual</w:t>
      </w:r>
      <w:bookmarkEnd w:id="1006"/>
      <w:r w:rsidRPr="000C3DF9">
        <w:rPr>
          <w:rStyle w:val="TextoNormalCaracter"/>
        </w:rPr>
        <w:t xml:space="preserve">, Sentencia </w:t>
      </w:r>
      <w:hyperlink w:anchor="SENTENCIA_2002_20" w:history="1">
        <w:r w:rsidRPr="000C3DF9">
          <w:rPr>
            <w:rStyle w:val="TextoNormalCaracter"/>
          </w:rPr>
          <w:t>20/2002</w:t>
        </w:r>
      </w:hyperlink>
      <w:r w:rsidRPr="000C3DF9">
        <w:rPr>
          <w:rStyle w:val="TextoNormalCaracter"/>
        </w:rPr>
        <w:t>, ff. 4, 7.</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C</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007" w:name="DESCRIPTORALFABETICO528"/>
      <w:r w:rsidRPr="000C3DF9">
        <w:rPr>
          <w:rStyle w:val="TextoNormalNegritaCaracter"/>
        </w:rPr>
        <w:t>Caducidad de la acción</w:t>
      </w:r>
      <w:bookmarkEnd w:id="1007"/>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008" w:name="DESCRIPTORALFABETICO402"/>
      <w:r w:rsidRPr="000C3DF9">
        <w:rPr>
          <w:rStyle w:val="TextoNormalNegritaCaracter"/>
        </w:rPr>
        <w:t>Calumnias</w:t>
      </w:r>
      <w:bookmarkEnd w:id="1008"/>
      <w:r w:rsidRPr="000C3DF9">
        <w:rPr>
          <w:rStyle w:val="TextoNormalCaracter"/>
        </w:rPr>
        <w:t xml:space="preserve">, Sentencia </w:t>
      </w:r>
      <w:hyperlink w:anchor="SENTENCIA_2002_47" w:history="1">
        <w:r w:rsidRPr="000C3DF9">
          <w:rPr>
            <w:rStyle w:val="TextoNormalCaracter"/>
          </w:rPr>
          <w:t>47/2002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009" w:name="DESCRIPTORALFABETICO282"/>
      <w:r w:rsidRPr="000C3DF9">
        <w:rPr>
          <w:rStyle w:val="TextoNormalNegritaCaracter"/>
        </w:rPr>
        <w:t>Cámaras de la propiedad urbana</w:t>
      </w:r>
      <w:bookmarkEnd w:id="1009"/>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ff. 7, 11.</w:t>
      </w:r>
    </w:p>
    <w:p w:rsidR="000C3DF9" w:rsidRPr="000C3DF9" w:rsidRDefault="000C3DF9" w:rsidP="000C3DF9">
      <w:pPr>
        <w:pStyle w:val="TextoNormalSangraFrancesa"/>
        <w:rPr>
          <w:rStyle w:val="TextoNormalCaracter"/>
        </w:rPr>
      </w:pPr>
      <w:r w:rsidRPr="000C3DF9">
        <w:rPr>
          <w:rStyle w:val="TextoNormalCursivaCaracter"/>
        </w:rPr>
        <w:t xml:space="preserve">    Régimen jurídico, </w:t>
      </w:r>
      <w:r w:rsidRPr="000C3DF9">
        <w:rPr>
          <w:rStyle w:val="TextoNormalCaracter"/>
        </w:rPr>
        <w:t xml:space="preserve">Sentencia </w:t>
      </w:r>
      <w:hyperlink w:anchor="SENTENCIA_2002_11" w:history="1">
        <w:r w:rsidRPr="000C3DF9">
          <w:rPr>
            <w:rStyle w:val="TextoNormalCaracter"/>
          </w:rPr>
          <w:t>11/2002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10" w:name="DESCRIPTORALFABETICO46"/>
      <w:r w:rsidRPr="000C3DF9">
        <w:rPr>
          <w:rStyle w:val="TextoNormalNegritaCaracter"/>
        </w:rPr>
        <w:t>Candidaturas electorales incompletas</w:t>
      </w:r>
      <w:bookmarkEnd w:id="1010"/>
      <w:r w:rsidRPr="000C3DF9">
        <w:rPr>
          <w:rStyle w:val="TextoNormalCaracter"/>
        </w:rPr>
        <w:t xml:space="preserve">, Auto </w:t>
      </w:r>
      <w:hyperlink w:anchor="AUTO_2002_12" w:history="1">
        <w:r w:rsidRPr="000C3DF9">
          <w:rPr>
            <w:rStyle w:val="TextoNormalCaracter"/>
          </w:rPr>
          <w:t>12/2002</w:t>
        </w:r>
      </w:hyperlink>
      <w:r w:rsidRPr="000C3DF9">
        <w:rPr>
          <w:rStyle w:val="TextoNormalCaracter"/>
        </w:rPr>
        <w:t>.</w:t>
      </w:r>
    </w:p>
    <w:p w:rsidR="000C3DF9" w:rsidRPr="000C3DF9" w:rsidRDefault="000C3DF9" w:rsidP="000C3DF9">
      <w:pPr>
        <w:pStyle w:val="TextoNormalSangraFrancesa"/>
        <w:rPr>
          <w:rStyle w:val="TextoNormalCaracter"/>
        </w:rPr>
      </w:pPr>
      <w:bookmarkStart w:id="1011" w:name="DESCRIPTORALFABETICO167"/>
      <w:r w:rsidRPr="000C3DF9">
        <w:rPr>
          <w:rStyle w:val="TextoNormalNegritaCaracter"/>
        </w:rPr>
        <w:t>Canon de constitucionalidad competencial</w:t>
      </w:r>
      <w:bookmarkEnd w:id="1011"/>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12" w:name="DESCRIPTORALFABETICO98"/>
      <w:r w:rsidRPr="000C3DF9">
        <w:rPr>
          <w:rStyle w:val="TextoNormalNegritaCaracter"/>
        </w:rPr>
        <w:t>Canon de motivación reforzado</w:t>
      </w:r>
      <w:bookmarkEnd w:id="1012"/>
      <w:r w:rsidRPr="000C3DF9">
        <w:rPr>
          <w:rStyle w:val="TextoNormalCaracter"/>
        </w:rPr>
        <w:t xml:space="preserve">, Sentencias </w:t>
      </w:r>
      <w:hyperlink w:anchor="SENTENCIA_2002_5" w:history="1">
        <w:r w:rsidRPr="000C3DF9">
          <w:rPr>
            <w:rStyle w:val="TextoNormalCaracter"/>
          </w:rPr>
          <w:t>5/2002</w:t>
        </w:r>
      </w:hyperlink>
      <w:r w:rsidRPr="000C3DF9">
        <w:rPr>
          <w:rStyle w:val="TextoNormalCaracter"/>
        </w:rPr>
        <w:t xml:space="preserve">, f. 2; </w:t>
      </w:r>
      <w:hyperlink w:anchor="SENTENCIA_2002_20" w:history="1">
        <w:r w:rsidRPr="000C3DF9">
          <w:rPr>
            <w:rStyle w:val="TextoNormalCaracter"/>
          </w:rPr>
          <w:t>20/2002</w:t>
        </w:r>
      </w:hyperlink>
      <w:r w:rsidRPr="000C3DF9">
        <w:rPr>
          <w:rStyle w:val="TextoNormalCaracter"/>
        </w:rPr>
        <w:t xml:space="preserve">, f. 3; </w:t>
      </w:r>
      <w:hyperlink w:anchor="SENTENCIA_2002_66" w:history="1">
        <w:r w:rsidRPr="000C3DF9">
          <w:rPr>
            <w:rStyle w:val="TextoNormalCaracter"/>
          </w:rPr>
          <w:t>66/2002</w:t>
        </w:r>
      </w:hyperlink>
      <w:r w:rsidRPr="000C3DF9">
        <w:rPr>
          <w:rStyle w:val="TextoNormalCaracter"/>
        </w:rPr>
        <w:t xml:space="preserve">, f. 4; </w:t>
      </w:r>
      <w:hyperlink w:anchor="SENTENCIA_2002_83" w:history="1">
        <w:r w:rsidRPr="000C3DF9">
          <w:rPr>
            <w:rStyle w:val="TextoNormalCaracter"/>
          </w:rPr>
          <w:t>83/2002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13" w:name="DESCRIPTORALFABETICO385"/>
      <w:r w:rsidRPr="000C3DF9">
        <w:rPr>
          <w:rStyle w:val="TextoNormalNegritaCaracter"/>
        </w:rPr>
        <w:t>Capitulaciones matrimoniales</w:t>
      </w:r>
      <w:bookmarkEnd w:id="1013"/>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14" w:name="DESCRIPTORALFABETICO537"/>
      <w:r w:rsidRPr="000C3DF9">
        <w:rPr>
          <w:rStyle w:val="TextoNormalNegritaCaracter"/>
        </w:rPr>
        <w:t>Carácter excepcional del emplazamiento edictal</w:t>
      </w:r>
      <w:bookmarkEnd w:id="1014"/>
      <w:r w:rsidRPr="000C3DF9">
        <w:rPr>
          <w:rStyle w:val="TextoNormalCaracter"/>
        </w:rPr>
        <w:t xml:space="preserve">, Sentencia </w:t>
      </w:r>
      <w:hyperlink w:anchor="SENTENCIA_2002_1" w:history="1">
        <w:r w:rsidRPr="000C3DF9">
          <w:rPr>
            <w:rStyle w:val="TextoNormalCaracter"/>
          </w:rPr>
          <w:t>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015" w:name="DESCRIPTORALFABETICO678"/>
      <w:r w:rsidRPr="000C3DF9">
        <w:rPr>
          <w:rStyle w:val="TextoNormalNegritaCaracter"/>
        </w:rPr>
        <w:t>Carácter extraordinario del recurso de casación contencioso-administrativo</w:t>
      </w:r>
      <w:bookmarkEnd w:id="1015"/>
      <w:r w:rsidRPr="000C3DF9">
        <w:rPr>
          <w:rStyle w:val="TextoNormalCaracter"/>
        </w:rPr>
        <w:t xml:space="preserve">, Sentencia </w:t>
      </w:r>
      <w:hyperlink w:anchor="SENTENCIA_2002_89" w:history="1">
        <w:r w:rsidRPr="000C3DF9">
          <w:rPr>
            <w:rStyle w:val="TextoNormalCaracter"/>
          </w:rPr>
          <w:t>89/2002</w:t>
        </w:r>
      </w:hyperlink>
      <w:r w:rsidRPr="000C3DF9">
        <w:rPr>
          <w:rStyle w:val="TextoNormalCaracter"/>
        </w:rPr>
        <w:t>, f. 2.</w:t>
      </w:r>
    </w:p>
    <w:p w:rsidR="000C3DF9" w:rsidRPr="000C3DF9" w:rsidRDefault="000C3DF9" w:rsidP="000C3DF9">
      <w:pPr>
        <w:pStyle w:val="TextoNormalSangraFrancesa"/>
        <w:rPr>
          <w:rStyle w:val="TextoNormalCaracter"/>
        </w:rPr>
      </w:pPr>
      <w:bookmarkStart w:id="1016" w:name="DESCRIPTORALFABETICO59"/>
      <w:r w:rsidRPr="000C3DF9">
        <w:rPr>
          <w:rStyle w:val="TextoNormalNegritaCaracter"/>
        </w:rPr>
        <w:t>Carácter relacional del juicio de igualdad</w:t>
      </w:r>
      <w:bookmarkEnd w:id="1016"/>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8.</w:t>
      </w:r>
    </w:p>
    <w:p w:rsidR="000C3DF9" w:rsidRPr="000C3DF9" w:rsidRDefault="000C3DF9" w:rsidP="000C3DF9">
      <w:pPr>
        <w:pStyle w:val="TextoNormalSangraFrancesa"/>
        <w:rPr>
          <w:rStyle w:val="TextoNormalNegritaCaracter"/>
        </w:rPr>
      </w:pPr>
      <w:r w:rsidRPr="000C3DF9">
        <w:rPr>
          <w:rStyle w:val="TextoNormalCursivaCaracter"/>
        </w:rPr>
        <w:t>Carencia de contenido constitucional</w:t>
      </w:r>
      <w:r>
        <w:t xml:space="preserve"> véase </w:t>
      </w:r>
      <w:hyperlink w:anchor="DESCRIPTORALFABETICO263" w:history="1">
        <w:r w:rsidRPr="000C3DF9">
          <w:rPr>
            <w:rStyle w:val="TextoNormalNegritaCaracter"/>
          </w:rPr>
          <w:t>Carencia de contenido que justifique una decisión sobre el fondo del asunto</w:t>
        </w:r>
      </w:hyperlink>
    </w:p>
    <w:p w:rsidR="000C3DF9" w:rsidRPr="000C3DF9" w:rsidRDefault="000C3DF9" w:rsidP="000C3DF9">
      <w:pPr>
        <w:pStyle w:val="TextoNormalSangraFrancesa"/>
        <w:rPr>
          <w:rStyle w:val="TextoNormalCaracter"/>
        </w:rPr>
      </w:pPr>
      <w:bookmarkStart w:id="1017" w:name="DESCRIPTORALFABETICO263"/>
      <w:r w:rsidRPr="000C3DF9">
        <w:rPr>
          <w:rStyle w:val="TextoNormalNegritaCaracter"/>
        </w:rPr>
        <w:t>Carencia de contenido que justifique una decisión sobre el fondo del asunto</w:t>
      </w:r>
      <w:bookmarkEnd w:id="1017"/>
      <w:r w:rsidRPr="000C3DF9">
        <w:rPr>
          <w:rStyle w:val="TextoNormalCaracter"/>
        </w:rPr>
        <w:t xml:space="preserve">, Auto </w:t>
      </w:r>
      <w:hyperlink w:anchor="AUTO_2002_10" w:history="1">
        <w:r w:rsidRPr="000C3DF9">
          <w:rPr>
            <w:rStyle w:val="TextoNormalCaracter"/>
          </w:rPr>
          <w:t>10/2002</w:t>
        </w:r>
      </w:hyperlink>
      <w:r w:rsidRPr="000C3DF9">
        <w:rPr>
          <w:rStyle w:val="TextoNormalCaracter"/>
        </w:rPr>
        <w:t>.</w:t>
      </w:r>
    </w:p>
    <w:p w:rsidR="000C3DF9" w:rsidRPr="000C3DF9" w:rsidRDefault="000C3DF9" w:rsidP="000C3DF9">
      <w:pPr>
        <w:pStyle w:val="TextoNormalSangraFrancesa"/>
        <w:rPr>
          <w:rStyle w:val="TextoNormalCaracter"/>
        </w:rPr>
      </w:pPr>
      <w:bookmarkStart w:id="1018" w:name="DESCRIPTORALFABETICO170"/>
      <w:r w:rsidRPr="000C3DF9">
        <w:rPr>
          <w:rStyle w:val="TextoNormalNegritaCaracter"/>
        </w:rPr>
        <w:t>Carencia de jurisdicción para el reconocimiento de indemnizaciones</w:t>
      </w:r>
      <w:bookmarkEnd w:id="1018"/>
      <w:r w:rsidRPr="000C3DF9">
        <w:rPr>
          <w:rStyle w:val="TextoNormalCaracter"/>
        </w:rPr>
        <w:t xml:space="preserve">, Sentencia </w:t>
      </w:r>
      <w:hyperlink w:anchor="SENTENCIA_2002_66" w:history="1">
        <w:r w:rsidRPr="000C3DF9">
          <w:rPr>
            <w:rStyle w:val="TextoNormalCaracter"/>
          </w:rPr>
          <w:t>66/2002</w:t>
        </w:r>
      </w:hyperlink>
      <w:r w:rsidRPr="000C3DF9">
        <w:rPr>
          <w:rStyle w:val="TextoNormalCaracter"/>
        </w:rPr>
        <w:t>, f. 9.</w:t>
      </w:r>
    </w:p>
    <w:p w:rsidR="000C3DF9" w:rsidRPr="000C3DF9" w:rsidRDefault="000C3DF9" w:rsidP="000C3DF9">
      <w:pPr>
        <w:pStyle w:val="TextoNormalSangraFrancesa"/>
        <w:rPr>
          <w:rStyle w:val="TextoNormalCaracter"/>
        </w:rPr>
      </w:pPr>
      <w:bookmarkStart w:id="1019" w:name="DESCRIPTORALFABETICO171"/>
      <w:r w:rsidRPr="000C3DF9">
        <w:rPr>
          <w:rStyle w:val="TextoNormalNegritaCaracter"/>
        </w:rPr>
        <w:t>Carencia de jurisdicción para enjuiciar la técnica legislativa</w:t>
      </w:r>
      <w:bookmarkEnd w:id="1019"/>
      <w:r w:rsidRPr="000C3DF9">
        <w:rPr>
          <w:rStyle w:val="TextoNormalCaracter"/>
        </w:rPr>
        <w:t xml:space="preserve">, Sentencias </w:t>
      </w:r>
      <w:hyperlink w:anchor="SENTENCIA_2002_37" w:history="1">
        <w:r w:rsidRPr="000C3DF9">
          <w:rPr>
            <w:rStyle w:val="TextoNormalCaracter"/>
          </w:rPr>
          <w:t>37/2002</w:t>
        </w:r>
      </w:hyperlink>
      <w:r w:rsidRPr="000C3DF9">
        <w:rPr>
          <w:rStyle w:val="TextoNormalCaracter"/>
        </w:rPr>
        <w:t xml:space="preserve">, f. 6; </w:t>
      </w:r>
      <w:hyperlink w:anchor="SENTENCIA_2002_67" w:history="1">
        <w:r w:rsidRPr="000C3DF9">
          <w:rPr>
            <w:rStyle w:val="TextoNormalCaracter"/>
          </w:rPr>
          <w:t>67/2002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020" w:name="DESCRIPTORALFABETICO172"/>
      <w:r w:rsidRPr="000C3DF9">
        <w:rPr>
          <w:rStyle w:val="TextoNormalNegritaCaracter"/>
        </w:rPr>
        <w:t>Carencia de jurisdicción para revisar el juicio de oportunidad</w:t>
      </w:r>
      <w:bookmarkEnd w:id="1020"/>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 6.</w:t>
      </w:r>
    </w:p>
    <w:p w:rsidR="000C3DF9" w:rsidRPr="000C3DF9" w:rsidRDefault="000C3DF9" w:rsidP="000C3DF9">
      <w:pPr>
        <w:pStyle w:val="TextoNormalSangraFrancesa"/>
        <w:rPr>
          <w:rStyle w:val="TextoNormalCaracter"/>
        </w:rPr>
      </w:pPr>
      <w:bookmarkStart w:id="1021" w:name="DESCRIPTORALFABETICO580"/>
      <w:r w:rsidRPr="000C3DF9">
        <w:rPr>
          <w:rStyle w:val="TextoNormalNegritaCaracter"/>
        </w:rPr>
        <w:t>Carga de la prueba</w:t>
      </w:r>
      <w:bookmarkEnd w:id="1021"/>
      <w:r w:rsidRPr="000C3DF9">
        <w:rPr>
          <w:rStyle w:val="TextoNormalCaracter"/>
        </w:rPr>
        <w:t xml:space="preserve">, Sentencias </w:t>
      </w:r>
      <w:hyperlink w:anchor="SENTENCIA_2002_29" w:history="1">
        <w:r w:rsidRPr="000C3DF9">
          <w:rPr>
            <w:rStyle w:val="TextoNormalCaracter"/>
          </w:rPr>
          <w:t>29/2002</w:t>
        </w:r>
      </w:hyperlink>
      <w:r w:rsidRPr="000C3DF9">
        <w:rPr>
          <w:rStyle w:val="TextoNormalCaracter"/>
        </w:rPr>
        <w:t xml:space="preserve">, f. 3; </w:t>
      </w:r>
      <w:hyperlink w:anchor="SENTENCIA_2002_33" w:history="1">
        <w:r w:rsidRPr="000C3DF9">
          <w:rPr>
            <w:rStyle w:val="TextoNormalCaracter"/>
          </w:rPr>
          <w:t>33/2002</w:t>
        </w:r>
      </w:hyperlink>
      <w:r w:rsidRPr="000C3DF9">
        <w:rPr>
          <w:rStyle w:val="TextoNormalCaracter"/>
        </w:rPr>
        <w:t xml:space="preserve">, f. 6; </w:t>
      </w:r>
      <w:hyperlink w:anchor="SENTENCIA_2002_41" w:history="1">
        <w:r w:rsidRPr="000C3DF9">
          <w:rPr>
            <w:rStyle w:val="TextoNormalCaracter"/>
          </w:rPr>
          <w:t>41/2002</w:t>
        </w:r>
      </w:hyperlink>
      <w:r w:rsidRPr="000C3DF9">
        <w:rPr>
          <w:rStyle w:val="TextoNormalCaracter"/>
        </w:rPr>
        <w:t xml:space="preserve">, ff. 3, 4; </w:t>
      </w:r>
      <w:hyperlink w:anchor="SENTENCIA_2002_84" w:history="1">
        <w:r w:rsidRPr="000C3DF9">
          <w:rPr>
            <w:rStyle w:val="TextoNormalCaracter"/>
          </w:rPr>
          <w:t>84/2002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022" w:name="DESCRIPTORALFABETICO166"/>
      <w:r w:rsidRPr="000C3DF9">
        <w:rPr>
          <w:rStyle w:val="TextoNormalNegritaCaracter"/>
        </w:rPr>
        <w:t>Carga de la prueba de la vulneración de derechos fundamentales</w:t>
      </w:r>
      <w:bookmarkEnd w:id="1022"/>
      <w:r w:rsidRPr="000C3DF9">
        <w:rPr>
          <w:rStyle w:val="TextoNormalCaracter"/>
        </w:rPr>
        <w:t xml:space="preserve">, Sentencias </w:t>
      </w:r>
      <w:hyperlink w:anchor="SENTENCIA_2002_14" w:history="1">
        <w:r w:rsidRPr="000C3DF9">
          <w:rPr>
            <w:rStyle w:val="TextoNormalCaracter"/>
          </w:rPr>
          <w:t>14/2002</w:t>
        </w:r>
      </w:hyperlink>
      <w:r w:rsidRPr="000C3DF9">
        <w:rPr>
          <w:rStyle w:val="TextoNormalCaracter"/>
        </w:rPr>
        <w:t xml:space="preserve">, ff. 3, 6; </w:t>
      </w:r>
      <w:hyperlink w:anchor="SENTENCIA_2002_29" w:history="1">
        <w:r w:rsidRPr="000C3DF9">
          <w:rPr>
            <w:rStyle w:val="TextoNormalCaracter"/>
          </w:rPr>
          <w:t>29/2002</w:t>
        </w:r>
      </w:hyperlink>
      <w:r w:rsidRPr="000C3DF9">
        <w:rPr>
          <w:rStyle w:val="TextoNormalCaracter"/>
        </w:rPr>
        <w:t xml:space="preserve">, f. 5; </w:t>
      </w:r>
      <w:hyperlink w:anchor="SENTENCIA_2002_41" w:history="1">
        <w:r w:rsidRPr="000C3DF9">
          <w:rPr>
            <w:rStyle w:val="TextoNormalCaracter"/>
          </w:rPr>
          <w:t>41/2002</w:t>
        </w:r>
      </w:hyperlink>
      <w:r w:rsidRPr="000C3DF9">
        <w:rPr>
          <w:rStyle w:val="TextoNormalCaracter"/>
        </w:rPr>
        <w:t xml:space="preserve">, f. 4; </w:t>
      </w:r>
      <w:hyperlink w:anchor="SENTENCIA_2002_48" w:history="1">
        <w:r w:rsidRPr="000C3DF9">
          <w:rPr>
            <w:rStyle w:val="TextoNormalCaracter"/>
          </w:rPr>
          <w:t>48/2002</w:t>
        </w:r>
      </w:hyperlink>
      <w:r w:rsidRPr="000C3DF9">
        <w:rPr>
          <w:rStyle w:val="TextoNormalCaracter"/>
        </w:rPr>
        <w:t xml:space="preserve">, ff. 5, 6; </w:t>
      </w:r>
      <w:hyperlink w:anchor="SENTENCIA_2002_66" w:history="1">
        <w:r w:rsidRPr="000C3DF9">
          <w:rPr>
            <w:rStyle w:val="TextoNormalCaracter"/>
          </w:rPr>
          <w:t>66/2002</w:t>
        </w:r>
      </w:hyperlink>
      <w:r w:rsidRPr="000C3DF9">
        <w:rPr>
          <w:rStyle w:val="TextoNormalCaracter"/>
        </w:rPr>
        <w:t xml:space="preserve">, f. 3; </w:t>
      </w:r>
      <w:hyperlink w:anchor="SENTENCIA_2002_84" w:history="1">
        <w:r w:rsidRPr="000C3DF9">
          <w:rPr>
            <w:rStyle w:val="TextoNormalCaracter"/>
          </w:rPr>
          <w:t>84/2002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023" w:name="DESCRIPTORALFABETICO741"/>
      <w:r w:rsidRPr="000C3DF9">
        <w:rPr>
          <w:rStyle w:val="TextoNormalNegritaCaracter"/>
        </w:rPr>
        <w:t>Cataluña</w:t>
      </w:r>
      <w:bookmarkEnd w:id="1023"/>
      <w:r w:rsidRPr="000C3DF9">
        <w:rPr>
          <w:rStyle w:val="TextoNormalCaracter"/>
        </w:rPr>
        <w:t xml:space="preserve">, Sentencias </w:t>
      </w:r>
      <w:hyperlink w:anchor="SENTENCIA_2002_37" w:history="1">
        <w:r w:rsidRPr="000C3DF9">
          <w:rPr>
            <w:rStyle w:val="TextoNormalCaracter"/>
          </w:rPr>
          <w:t>37/2002</w:t>
        </w:r>
      </w:hyperlink>
      <w:r w:rsidRPr="000C3DF9">
        <w:rPr>
          <w:rStyle w:val="TextoNormalCaracter"/>
        </w:rPr>
        <w:t xml:space="preserve">, ff. 10, 13 a 15; </w:t>
      </w:r>
      <w:hyperlink w:anchor="SENTENCIA_2002_95" w:history="1">
        <w:r w:rsidRPr="000C3DF9">
          <w:rPr>
            <w:rStyle w:val="TextoNormalCaracter"/>
          </w:rPr>
          <w:t>95/2002</w:t>
        </w:r>
      </w:hyperlink>
      <w:r w:rsidRPr="000C3DF9">
        <w:rPr>
          <w:rStyle w:val="TextoNormalCaracter"/>
        </w:rPr>
        <w:t>, ff. 10 a 20.</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Caracter"/>
        </w:rPr>
      </w:pPr>
      <w:bookmarkStart w:id="1024" w:name="DESCRIPTORALFABETICO376"/>
      <w:r w:rsidRPr="000C3DF9">
        <w:rPr>
          <w:rStyle w:val="TextoNormalNegritaCaracter"/>
        </w:rPr>
        <w:t>Catedráticos de universidad</w:t>
      </w:r>
      <w:bookmarkEnd w:id="1024"/>
      <w:r w:rsidRPr="000C3DF9">
        <w:rPr>
          <w:rStyle w:val="TextoNormalCaracter"/>
        </w:rPr>
        <w:t xml:space="preserve">, Sentencia </w:t>
      </w:r>
      <w:hyperlink w:anchor="SENTENCIA_2002_31" w:history="1">
        <w:r w:rsidRPr="000C3DF9">
          <w:rPr>
            <w:rStyle w:val="TextoNormalCaracter"/>
          </w:rPr>
          <w:t>31/2002</w:t>
        </w:r>
      </w:hyperlink>
      <w:r w:rsidRPr="000C3DF9">
        <w:rPr>
          <w:rStyle w:val="TextoNormalCaracter"/>
        </w:rPr>
        <w:t>, f. 5.</w:t>
      </w:r>
    </w:p>
    <w:p w:rsidR="000C3DF9" w:rsidRPr="000C3DF9" w:rsidRDefault="000C3DF9" w:rsidP="000C3DF9">
      <w:pPr>
        <w:pStyle w:val="TextoNormalSangraFrancesa"/>
        <w:rPr>
          <w:rStyle w:val="TextoNormalCaracter"/>
        </w:rPr>
      </w:pPr>
      <w:bookmarkStart w:id="1025" w:name="DESCRIPTORALFABETICO484"/>
      <w:r w:rsidRPr="000C3DF9">
        <w:rPr>
          <w:rStyle w:val="TextoNormalNegritaCaracter"/>
        </w:rPr>
        <w:t>Censo de buques pesqueros</w:t>
      </w:r>
      <w:bookmarkEnd w:id="1025"/>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ff. 8, 11.</w:t>
      </w:r>
    </w:p>
    <w:p w:rsidR="000C3DF9" w:rsidRPr="000C3DF9" w:rsidRDefault="000C3DF9" w:rsidP="000C3DF9">
      <w:pPr>
        <w:pStyle w:val="TextoNormalSangraFrancesa"/>
        <w:rPr>
          <w:rStyle w:val="TextoNormalNegritaCaracter"/>
        </w:rPr>
      </w:pPr>
      <w:r w:rsidRPr="000C3DF9">
        <w:rPr>
          <w:rStyle w:val="TextoNormalCursivaCaracter"/>
        </w:rPr>
        <w:t>Certeza de la norma</w:t>
      </w:r>
      <w:r>
        <w:t xml:space="preserve"> véase </w:t>
      </w:r>
      <w:hyperlink w:anchor="DESCRIPTORALFABETICO327" w:history="1">
        <w:r w:rsidRPr="000C3DF9">
          <w:rPr>
            <w:rStyle w:val="TextoNormalNegritaCaracter"/>
          </w:rPr>
          <w:t>Principio de taxatividad</w:t>
        </w:r>
      </w:hyperlink>
    </w:p>
    <w:p w:rsidR="000C3DF9" w:rsidRPr="000C3DF9" w:rsidRDefault="000C3DF9" w:rsidP="000C3DF9">
      <w:pPr>
        <w:pStyle w:val="TextoNormalSangraFrancesa"/>
        <w:rPr>
          <w:rStyle w:val="TextoNormalCaracter"/>
        </w:rPr>
      </w:pPr>
      <w:bookmarkStart w:id="1026" w:name="DESCRIPTORALFABETICO410"/>
      <w:r w:rsidRPr="000C3DF9">
        <w:rPr>
          <w:rStyle w:val="TextoNormalNegritaCaracter"/>
        </w:rPr>
        <w:t>Cesión del aprovechamiento urbanístico</w:t>
      </w:r>
      <w:bookmarkEnd w:id="1026"/>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ff. 1, 2, 3, 4, 5, 6, 7, 8, 9.</w:t>
      </w:r>
    </w:p>
    <w:p w:rsidR="000C3DF9" w:rsidRPr="000C3DF9" w:rsidRDefault="000C3DF9" w:rsidP="000C3DF9">
      <w:pPr>
        <w:pStyle w:val="TextoNormalSangraFrancesa"/>
        <w:rPr>
          <w:rStyle w:val="TextoNormalCaracter"/>
        </w:rPr>
      </w:pPr>
      <w:bookmarkStart w:id="1027" w:name="DESCRIPTORALFABETICO233"/>
      <w:r w:rsidRPr="000C3DF9">
        <w:rPr>
          <w:rStyle w:val="TextoNormalNegritaCaracter"/>
        </w:rPr>
        <w:t>Cita de preceptos procesales</w:t>
      </w:r>
      <w:bookmarkEnd w:id="1027"/>
      <w:r w:rsidRPr="000C3DF9">
        <w:rPr>
          <w:rStyle w:val="TextoNormalCaracter"/>
        </w:rPr>
        <w:t xml:space="preserve">, Sentencia </w:t>
      </w:r>
      <w:hyperlink w:anchor="SENTENCIA_2002_62" w:history="1">
        <w:r w:rsidRPr="000C3DF9">
          <w:rPr>
            <w:rStyle w:val="TextoNormalCaracter"/>
          </w:rPr>
          <w:t>62/2002</w:t>
        </w:r>
      </w:hyperlink>
      <w:r w:rsidRPr="000C3DF9">
        <w:rPr>
          <w:rStyle w:val="TextoNormalCaracter"/>
        </w:rPr>
        <w:t>, ff. 2, 4.</w:t>
      </w:r>
    </w:p>
    <w:p w:rsidR="000C3DF9" w:rsidRPr="000C3DF9" w:rsidRDefault="000C3DF9" w:rsidP="000C3DF9">
      <w:pPr>
        <w:pStyle w:val="TextoNormalSangraFrancesa"/>
        <w:rPr>
          <w:rStyle w:val="TextoNormalCaracter"/>
        </w:rPr>
      </w:pPr>
      <w:bookmarkStart w:id="1028" w:name="DESCRIPTORALFABETICO55"/>
      <w:r w:rsidRPr="000C3DF9">
        <w:rPr>
          <w:rStyle w:val="TextoNormalNegritaCaracter"/>
        </w:rPr>
        <w:t xml:space="preserve">Cláusula general de igualdad </w:t>
      </w:r>
      <w:r w:rsidRPr="000C3DF9">
        <w:rPr>
          <w:rStyle w:val="TextoNormalNegritaCaracter"/>
          <w:i/>
        </w:rPr>
        <w:t>versus</w:t>
      </w:r>
      <w:r w:rsidRPr="000C3DF9">
        <w:rPr>
          <w:rStyle w:val="TextoNormalNegritaCaracter"/>
        </w:rPr>
        <w:t xml:space="preserve"> prohibiciones de discriminación</w:t>
      </w:r>
      <w:bookmarkEnd w:id="1028"/>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4.</w:t>
      </w:r>
    </w:p>
    <w:p w:rsidR="000C3DF9" w:rsidRPr="000C3DF9" w:rsidRDefault="000C3DF9" w:rsidP="000C3DF9">
      <w:pPr>
        <w:pStyle w:val="TextoNormalSangraFrancesa"/>
        <w:rPr>
          <w:rStyle w:val="TextoNormalCaracter"/>
        </w:rPr>
      </w:pPr>
      <w:bookmarkStart w:id="1029" w:name="DESCRIPTORALFABETICO248"/>
      <w:r w:rsidRPr="000C3DF9">
        <w:rPr>
          <w:rStyle w:val="TextoNormalNegritaCaracter"/>
        </w:rPr>
        <w:t>Coadyuvantes en el recurso de amparo</w:t>
      </w:r>
      <w:bookmarkEnd w:id="1029"/>
      <w:r w:rsidRPr="000C3DF9">
        <w:rPr>
          <w:rStyle w:val="TextoNormalCaracter"/>
        </w:rPr>
        <w:t xml:space="preserve">, Sentencia </w:t>
      </w:r>
      <w:hyperlink w:anchor="SENTENCIA_2002_31" w:history="1">
        <w:r w:rsidRPr="000C3DF9">
          <w:rPr>
            <w:rStyle w:val="TextoNormalCaracter"/>
          </w:rPr>
          <w:t>31/2002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30" w:name="DESCRIPTORALFABETICO480"/>
      <w:r w:rsidRPr="000C3DF9">
        <w:rPr>
          <w:rStyle w:val="TextoNormalNegritaCaracter"/>
        </w:rPr>
        <w:t>Colegios profesionales</w:t>
      </w:r>
      <w:bookmarkEnd w:id="1030"/>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031" w:name="DESCRIPTORALFABETICO421"/>
      <w:r w:rsidRPr="000C3DF9">
        <w:rPr>
          <w:rStyle w:val="TextoNormalNegritaCaracter"/>
        </w:rPr>
        <w:t>Comité de Derechos Humanos de la Organización de las Naciones Unidas</w:t>
      </w:r>
      <w:bookmarkEnd w:id="1031"/>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7 a).</w:t>
      </w:r>
    </w:p>
    <w:p w:rsidR="000C3DF9" w:rsidRPr="000C3DF9" w:rsidRDefault="000C3DF9" w:rsidP="000C3DF9">
      <w:pPr>
        <w:pStyle w:val="TextoNormalSangraFrancesa"/>
        <w:rPr>
          <w:rStyle w:val="TextoNormalCaracter"/>
        </w:rPr>
      </w:pPr>
      <w:r w:rsidRPr="000C3DF9">
        <w:rPr>
          <w:rStyle w:val="TextoNormalCursivaCaracter"/>
        </w:rPr>
        <w:t xml:space="preserve">    Función, </w:t>
      </w:r>
      <w:r w:rsidRPr="000C3DF9">
        <w:rPr>
          <w:rStyle w:val="TextoNormalCaracter"/>
        </w:rPr>
        <w:t xml:space="preserve">Sentencia </w:t>
      </w:r>
      <w:hyperlink w:anchor="SENTENCIA_2002_70" w:history="1">
        <w:r w:rsidRPr="000C3DF9">
          <w:rPr>
            <w:rStyle w:val="TextoNormalCaracter"/>
          </w:rPr>
          <w:t>70/2002</w:t>
        </w:r>
      </w:hyperlink>
      <w:r w:rsidRPr="000C3DF9">
        <w:rPr>
          <w:rStyle w:val="TextoNormalCaracter"/>
        </w:rPr>
        <w:t>, f. 7 a).</w:t>
      </w:r>
    </w:p>
    <w:p w:rsidR="000C3DF9" w:rsidRPr="000C3DF9" w:rsidRDefault="000C3DF9" w:rsidP="000C3DF9">
      <w:pPr>
        <w:pStyle w:val="TextoNormalSangraFrancesa"/>
        <w:rPr>
          <w:rStyle w:val="TextoNormalCaracter"/>
        </w:rPr>
      </w:pPr>
      <w:bookmarkStart w:id="1032" w:name="DESCRIPTORALFABETICO497"/>
      <w:r w:rsidRPr="000C3DF9">
        <w:rPr>
          <w:rStyle w:val="TextoNormalNegritaCaracter"/>
        </w:rPr>
        <w:t>Compañías de seguros</w:t>
      </w:r>
      <w:bookmarkEnd w:id="1032"/>
      <w:r w:rsidRPr="000C3DF9">
        <w:rPr>
          <w:rStyle w:val="TextoNormalCaracter"/>
        </w:rPr>
        <w:t xml:space="preserve">, Sentencia </w:t>
      </w:r>
      <w:hyperlink w:anchor="SENTENCIA_2002_19" w:history="1">
        <w:r w:rsidRPr="000C3DF9">
          <w:rPr>
            <w:rStyle w:val="TextoNormalCaracter"/>
          </w:rPr>
          <w:t>19/2002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033" w:name="DESCRIPTORALFABETICO2"/>
      <w:r w:rsidRPr="000C3DF9">
        <w:rPr>
          <w:rStyle w:val="TextoNormalNegritaCaracter"/>
        </w:rPr>
        <w:t>Competencias</w:t>
      </w:r>
      <w:bookmarkEnd w:id="1033"/>
      <w:r w:rsidRPr="000C3DF9">
        <w:rPr>
          <w:rStyle w:val="TextoNormalCaracter"/>
        </w:rPr>
        <w:t xml:space="preserve">, Sentencias </w:t>
      </w:r>
      <w:hyperlink w:anchor="SENTENCIA_2002_38" w:history="1">
        <w:r w:rsidRPr="000C3DF9">
          <w:rPr>
            <w:rStyle w:val="TextoNormalCaracter"/>
          </w:rPr>
          <w:t>38/2002</w:t>
        </w:r>
      </w:hyperlink>
      <w:r w:rsidRPr="000C3DF9">
        <w:rPr>
          <w:rStyle w:val="TextoNormalCaracter"/>
        </w:rPr>
        <w:t xml:space="preserve">, ff. 2, 5, 11; </w:t>
      </w:r>
      <w:hyperlink w:anchor="SENTENCIA_2002_95" w:history="1">
        <w:r w:rsidRPr="000C3DF9">
          <w:rPr>
            <w:rStyle w:val="TextoNormalCaracter"/>
          </w:rPr>
          <w:t>95/2002</w:t>
        </w:r>
      </w:hyperlink>
      <w:r w:rsidRPr="000C3DF9">
        <w:rPr>
          <w:rStyle w:val="TextoNormalCaracter"/>
        </w:rPr>
        <w:t>, f. 16.</w:t>
      </w:r>
    </w:p>
    <w:p w:rsidR="000C3DF9" w:rsidRPr="000C3DF9" w:rsidRDefault="000C3DF9" w:rsidP="000C3DF9">
      <w:pPr>
        <w:pStyle w:val="TextoNormalSangraFrancesa"/>
        <w:rPr>
          <w:rStyle w:val="TextoNormalNegritaCaracter"/>
        </w:rPr>
      </w:pPr>
      <w:r w:rsidRPr="000C3DF9">
        <w:rPr>
          <w:rStyle w:val="TextoNormalCursivaCaracter"/>
        </w:rPr>
        <w:lastRenderedPageBreak/>
        <w:t>Competencias autonómicas</w:t>
      </w:r>
      <w:r>
        <w:t xml:space="preserve"> véase </w:t>
      </w:r>
      <w:hyperlink w:anchor="DESCRIPTORALFABETICO4" w:history="1">
        <w:r w:rsidRPr="000C3DF9">
          <w:rPr>
            <w:rStyle w:val="TextoNormalNegritaCaracter"/>
          </w:rPr>
          <w:t>Competencias de las Comunidades Autónomas</w:t>
        </w:r>
      </w:hyperlink>
    </w:p>
    <w:p w:rsidR="000C3DF9" w:rsidRPr="000C3DF9" w:rsidRDefault="000C3DF9" w:rsidP="000C3DF9">
      <w:pPr>
        <w:pStyle w:val="TextoNormalSangraFrancesa"/>
        <w:rPr>
          <w:rStyle w:val="TextoNormalNegritaCaracter"/>
        </w:rPr>
      </w:pPr>
      <w:r w:rsidRPr="000C3DF9">
        <w:rPr>
          <w:rStyle w:val="TextoNormalCursivaCaracter"/>
        </w:rPr>
        <w:t>Competencias concurrentes</w:t>
      </w:r>
      <w:r>
        <w:t xml:space="preserve"> véase </w:t>
      </w:r>
      <w:hyperlink w:anchor="DESCRIPTORALFABETICO6" w:history="1">
        <w:r w:rsidRPr="000C3DF9">
          <w:rPr>
            <w:rStyle w:val="TextoNormalNegritaCaracter"/>
          </w:rPr>
          <w:t>Concurrencia de competencias sobre el mismo espacio físico</w:t>
        </w:r>
      </w:hyperlink>
    </w:p>
    <w:p w:rsidR="000C3DF9" w:rsidRPr="000C3DF9" w:rsidRDefault="000C3DF9" w:rsidP="000C3DF9">
      <w:pPr>
        <w:pStyle w:val="TextoNormalSangraFrancesa"/>
        <w:rPr>
          <w:rStyle w:val="TextoNormalCaracter"/>
        </w:rPr>
      </w:pPr>
      <w:bookmarkStart w:id="1034" w:name="DESCRIPTORALFABETICO4"/>
      <w:r w:rsidRPr="000C3DF9">
        <w:rPr>
          <w:rStyle w:val="TextoNormalNegritaCaracter"/>
        </w:rPr>
        <w:t>Competencias de las Comunidades Autónomas</w:t>
      </w:r>
      <w:bookmarkEnd w:id="1034"/>
      <w:r w:rsidRPr="000C3DF9">
        <w:rPr>
          <w:rStyle w:val="TextoNormalCaracter"/>
        </w:rPr>
        <w:t xml:space="preserve">, Sentencias </w:t>
      </w:r>
      <w:hyperlink w:anchor="SENTENCIA_2002_11" w:history="1">
        <w:r w:rsidRPr="000C3DF9">
          <w:rPr>
            <w:rStyle w:val="TextoNormalCaracter"/>
          </w:rPr>
          <w:t>11/2002</w:t>
        </w:r>
      </w:hyperlink>
      <w:r w:rsidRPr="000C3DF9">
        <w:rPr>
          <w:rStyle w:val="TextoNormalCaracter"/>
        </w:rPr>
        <w:t xml:space="preserve">, f. 9; </w:t>
      </w:r>
      <w:hyperlink w:anchor="SENTENCIA_2002_37" w:history="1">
        <w:r w:rsidRPr="000C3DF9">
          <w:rPr>
            <w:rStyle w:val="TextoNormalCaracter"/>
          </w:rPr>
          <w:t>37/2002</w:t>
        </w:r>
      </w:hyperlink>
      <w:r w:rsidRPr="000C3DF9">
        <w:rPr>
          <w:rStyle w:val="TextoNormalCaracter"/>
        </w:rPr>
        <w:t xml:space="preserve">, f. 8; </w:t>
      </w:r>
      <w:hyperlink w:anchor="SENTENCIA_2002_38" w:history="1">
        <w:r w:rsidRPr="000C3DF9">
          <w:rPr>
            <w:rStyle w:val="TextoNormalCaracter"/>
          </w:rPr>
          <w:t>38/2002</w:t>
        </w:r>
      </w:hyperlink>
      <w:r w:rsidRPr="000C3DF9">
        <w:rPr>
          <w:rStyle w:val="TextoNormalCaracter"/>
        </w:rPr>
        <w:t xml:space="preserve">, ff. 5, 6; </w:t>
      </w:r>
      <w:hyperlink w:anchor="SENTENCIA_2002_95" w:history="1">
        <w:r w:rsidRPr="000C3DF9">
          <w:rPr>
            <w:rStyle w:val="TextoNormalCaracter"/>
          </w:rPr>
          <w:t>95/2002</w:t>
        </w:r>
      </w:hyperlink>
      <w:r w:rsidRPr="000C3DF9">
        <w:rPr>
          <w:rStyle w:val="TextoNormalCaracter"/>
        </w:rPr>
        <w:t xml:space="preserve">, ff. 6, 7, 8; </w:t>
      </w:r>
      <w:hyperlink w:anchor="SENTENCIA_2002_97" w:history="1">
        <w:r w:rsidRPr="000C3DF9">
          <w:rPr>
            <w:rStyle w:val="TextoNormalCaracter"/>
          </w:rPr>
          <w:t>97/2002</w:t>
        </w:r>
      </w:hyperlink>
      <w:r w:rsidRPr="000C3DF9">
        <w:rPr>
          <w:rStyle w:val="TextoNormalCaracter"/>
        </w:rPr>
        <w:t>, f. 9.</w:t>
      </w:r>
    </w:p>
    <w:p w:rsidR="000C3DF9" w:rsidRPr="000C3DF9" w:rsidRDefault="000C3DF9" w:rsidP="000C3DF9">
      <w:pPr>
        <w:pStyle w:val="TextoNormalSangraFrancesa"/>
        <w:rPr>
          <w:rStyle w:val="TextoNormalCaracter"/>
        </w:rPr>
      </w:pPr>
      <w:bookmarkStart w:id="1035" w:name="DESCRIPTORALFABETICO5"/>
      <w:r w:rsidRPr="000C3DF9">
        <w:rPr>
          <w:rStyle w:val="TextoNormalNegritaCaracter"/>
        </w:rPr>
        <w:t>Competencias del Estado</w:t>
      </w:r>
      <w:bookmarkEnd w:id="1035"/>
      <w:r w:rsidRPr="000C3DF9">
        <w:rPr>
          <w:rStyle w:val="TextoNormalCaracter"/>
        </w:rPr>
        <w:t xml:space="preserve">, Sentencias </w:t>
      </w:r>
      <w:hyperlink w:anchor="SENTENCIA_2002_24" w:history="1">
        <w:r w:rsidRPr="000C3DF9">
          <w:rPr>
            <w:rStyle w:val="TextoNormalCaracter"/>
          </w:rPr>
          <w:t>24/2002</w:t>
        </w:r>
      </w:hyperlink>
      <w:r w:rsidRPr="000C3DF9">
        <w:rPr>
          <w:rStyle w:val="TextoNormalCaracter"/>
        </w:rPr>
        <w:t xml:space="preserve">, f. 5; </w:t>
      </w:r>
      <w:hyperlink w:anchor="SENTENCIA_2002_37" w:history="1">
        <w:r w:rsidRPr="000C3DF9">
          <w:rPr>
            <w:rStyle w:val="TextoNormalCaracter"/>
          </w:rPr>
          <w:t>37/2002</w:t>
        </w:r>
      </w:hyperlink>
      <w:r w:rsidRPr="000C3DF9">
        <w:rPr>
          <w:rStyle w:val="TextoNormalCaracter"/>
        </w:rPr>
        <w:t xml:space="preserve">, f. 8; </w:t>
      </w:r>
      <w:hyperlink w:anchor="SENTENCIA_2002_38" w:history="1">
        <w:r w:rsidRPr="000C3DF9">
          <w:rPr>
            <w:rStyle w:val="TextoNormalCaracter"/>
          </w:rPr>
          <w:t>38/2002</w:t>
        </w:r>
      </w:hyperlink>
      <w:r w:rsidRPr="000C3DF9">
        <w:rPr>
          <w:rStyle w:val="TextoNormalCaracter"/>
        </w:rPr>
        <w:t xml:space="preserve">, ff. 5, 8; </w:t>
      </w:r>
      <w:hyperlink w:anchor="SENTENCIA_2002_54" w:history="1">
        <w:r w:rsidRPr="000C3DF9">
          <w:rPr>
            <w:rStyle w:val="TextoNormalCaracter"/>
          </w:rPr>
          <w:t>54/2002</w:t>
        </w:r>
      </w:hyperlink>
      <w:r w:rsidRPr="000C3DF9">
        <w:rPr>
          <w:rStyle w:val="TextoNormalCaracter"/>
        </w:rPr>
        <w:t xml:space="preserve">, f. 3; </w:t>
      </w:r>
      <w:hyperlink w:anchor="SENTENCIA_2002_95" w:history="1">
        <w:r w:rsidRPr="000C3DF9">
          <w:rPr>
            <w:rStyle w:val="TextoNormalCaracter"/>
          </w:rPr>
          <w:t>95/2002</w:t>
        </w:r>
      </w:hyperlink>
      <w:r w:rsidRPr="000C3DF9">
        <w:rPr>
          <w:rStyle w:val="TextoNormalCaracter"/>
        </w:rPr>
        <w:t>, ff. 7, 8, 11, VP I, VP II, VP III, VP IV.</w:t>
      </w:r>
    </w:p>
    <w:p w:rsidR="000C3DF9" w:rsidRPr="000C3DF9" w:rsidRDefault="000C3DF9" w:rsidP="000C3DF9">
      <w:pPr>
        <w:pStyle w:val="TextoNormalSangraFrancesa"/>
        <w:rPr>
          <w:rStyle w:val="TextoNormalCaracter"/>
        </w:rPr>
      </w:pPr>
      <w:bookmarkStart w:id="1036" w:name="DESCRIPTORALFABETICO13"/>
      <w:r w:rsidRPr="000C3DF9">
        <w:rPr>
          <w:rStyle w:val="TextoNormalNegritaCaracter"/>
        </w:rPr>
        <w:t>Competencias en materia de educación</w:t>
      </w:r>
      <w:bookmarkEnd w:id="1036"/>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Competencias en materia de enseñanza</w:t>
      </w:r>
      <w:r>
        <w:t xml:space="preserve"> véase </w:t>
      </w:r>
      <w:hyperlink w:anchor="DESCRIPTORALFABETICO13" w:history="1">
        <w:r w:rsidRPr="000C3DF9">
          <w:rPr>
            <w:rStyle w:val="TextoNormalNegritaCaracter"/>
          </w:rPr>
          <w:t>Competencias en materia de educación</w:t>
        </w:r>
      </w:hyperlink>
    </w:p>
    <w:p w:rsidR="000C3DF9" w:rsidRPr="000C3DF9" w:rsidRDefault="000C3DF9" w:rsidP="000C3DF9">
      <w:pPr>
        <w:pStyle w:val="TextoNormalSangraFrancesa"/>
        <w:rPr>
          <w:rStyle w:val="TextoNormalCaracter"/>
        </w:rPr>
      </w:pPr>
      <w:bookmarkStart w:id="1037" w:name="DESCRIPTORALFABETICO14"/>
      <w:r w:rsidRPr="000C3DF9">
        <w:rPr>
          <w:rStyle w:val="TextoNormalNegritaCaracter"/>
        </w:rPr>
        <w:t>Competencias en materia de espacios naturales protegidos</w:t>
      </w:r>
      <w:bookmarkEnd w:id="1037"/>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9.</w:t>
      </w:r>
    </w:p>
    <w:p w:rsidR="000C3DF9" w:rsidRPr="000C3DF9" w:rsidRDefault="000C3DF9" w:rsidP="000C3DF9">
      <w:pPr>
        <w:pStyle w:val="TextoNormalSangraFrancesa"/>
        <w:rPr>
          <w:rStyle w:val="TextoNormalCaracter"/>
        </w:rPr>
      </w:pPr>
      <w:bookmarkStart w:id="1038" w:name="DESCRIPTORALFABETICO15"/>
      <w:r w:rsidRPr="000C3DF9">
        <w:rPr>
          <w:rStyle w:val="TextoNormalNegritaCaracter"/>
        </w:rPr>
        <w:t>Competencias en materia de formación continua</w:t>
      </w:r>
      <w:bookmarkEnd w:id="1038"/>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ff. 10 a 20.</w:t>
      </w:r>
    </w:p>
    <w:p w:rsidR="000C3DF9" w:rsidRPr="000C3DF9" w:rsidRDefault="000C3DF9" w:rsidP="000C3DF9">
      <w:pPr>
        <w:pStyle w:val="TextoNormalSangraFrancesa"/>
        <w:rPr>
          <w:rStyle w:val="TextoNormalCaracter"/>
        </w:rPr>
      </w:pPr>
      <w:bookmarkStart w:id="1039" w:name="DESCRIPTORALFABETICO16"/>
      <w:r w:rsidRPr="000C3DF9">
        <w:rPr>
          <w:rStyle w:val="TextoNormalNegritaCaracter"/>
        </w:rPr>
        <w:t>Competencias en materia de función pública</w:t>
      </w:r>
      <w:bookmarkEnd w:id="1039"/>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ff. 8, 10, 13, 14, 15.</w:t>
      </w:r>
    </w:p>
    <w:p w:rsidR="000C3DF9" w:rsidRPr="000C3DF9" w:rsidRDefault="000C3DF9" w:rsidP="000C3DF9">
      <w:pPr>
        <w:pStyle w:val="TextoNormalSangraFrancesa"/>
        <w:rPr>
          <w:rStyle w:val="TextoNormalCaracter"/>
        </w:rPr>
      </w:pPr>
      <w:bookmarkStart w:id="1040" w:name="DESCRIPTORALFABETICO17"/>
      <w:r w:rsidRPr="000C3DF9">
        <w:rPr>
          <w:rStyle w:val="TextoNormalNegritaCaracter"/>
        </w:rPr>
        <w:t>Competencias en materia de medio ambiente</w:t>
      </w:r>
      <w:bookmarkEnd w:id="1040"/>
      <w:r w:rsidRPr="000C3DF9">
        <w:rPr>
          <w:rStyle w:val="TextoNormalCaracter"/>
        </w:rPr>
        <w:t xml:space="preserve">, Sentencias </w:t>
      </w:r>
      <w:hyperlink w:anchor="SENTENCIA_2002_38" w:history="1">
        <w:r w:rsidRPr="000C3DF9">
          <w:rPr>
            <w:rStyle w:val="TextoNormalCaracter"/>
          </w:rPr>
          <w:t>38/2002</w:t>
        </w:r>
      </w:hyperlink>
      <w:r w:rsidRPr="000C3DF9">
        <w:rPr>
          <w:rStyle w:val="TextoNormalCaracter"/>
        </w:rPr>
        <w:t xml:space="preserve">, ff. 4, 5; </w:t>
      </w:r>
      <w:hyperlink w:anchor="SENTENCIA_2002_97" w:history="1">
        <w:r w:rsidRPr="000C3DF9">
          <w:rPr>
            <w:rStyle w:val="TextoNormalCaracter"/>
          </w:rPr>
          <w:t>97/2002</w:t>
        </w:r>
      </w:hyperlink>
      <w:r w:rsidRPr="000C3DF9">
        <w:rPr>
          <w:rStyle w:val="TextoNormalCaracter"/>
        </w:rPr>
        <w:t>, ff. 9, 10.</w:t>
      </w:r>
    </w:p>
    <w:p w:rsidR="000C3DF9" w:rsidRPr="000C3DF9" w:rsidRDefault="000C3DF9" w:rsidP="000C3DF9">
      <w:pPr>
        <w:pStyle w:val="TextoNormalSangraFrancesa"/>
        <w:rPr>
          <w:rStyle w:val="TextoNormalCaracter"/>
        </w:rPr>
      </w:pPr>
      <w:bookmarkStart w:id="1041" w:name="DESCRIPTORALFABETICO18"/>
      <w:r w:rsidRPr="000C3DF9">
        <w:rPr>
          <w:rStyle w:val="TextoNormalNegritaCaracter"/>
        </w:rPr>
        <w:t>Competencias en materia de planificación económica</w:t>
      </w:r>
      <w:bookmarkEnd w:id="1041"/>
      <w:r w:rsidRPr="000C3DF9">
        <w:rPr>
          <w:rStyle w:val="TextoNormalCaracter"/>
        </w:rPr>
        <w:t xml:space="preserve">, Sentencias </w:t>
      </w:r>
      <w:hyperlink w:anchor="SENTENCIA_2002_24" w:history="1">
        <w:r w:rsidRPr="000C3DF9">
          <w:rPr>
            <w:rStyle w:val="TextoNormalCaracter"/>
          </w:rPr>
          <w:t>24/2002</w:t>
        </w:r>
      </w:hyperlink>
      <w:r w:rsidRPr="000C3DF9">
        <w:rPr>
          <w:rStyle w:val="TextoNormalCaracter"/>
        </w:rPr>
        <w:t xml:space="preserve">, f. 5; </w:t>
      </w:r>
      <w:hyperlink w:anchor="SENTENCIA_2002_95" w:history="1">
        <w:r w:rsidRPr="000C3DF9">
          <w:rPr>
            <w:rStyle w:val="TextoNormalCaracter"/>
          </w:rPr>
          <w:t>95/2002</w:t>
        </w:r>
      </w:hyperlink>
      <w:r w:rsidRPr="000C3DF9">
        <w:rPr>
          <w:rStyle w:val="TextoNormalCaracter"/>
        </w:rPr>
        <w:t>, f. 7.</w:t>
      </w:r>
    </w:p>
    <w:p w:rsidR="000C3DF9" w:rsidRPr="000C3DF9" w:rsidRDefault="000C3DF9" w:rsidP="000C3DF9">
      <w:pPr>
        <w:pStyle w:val="TextoNormalSangraFrancesa"/>
        <w:rPr>
          <w:rStyle w:val="TextoNormalCaracter"/>
        </w:rPr>
      </w:pPr>
      <w:bookmarkStart w:id="1042" w:name="DESCRIPTORALFABETICO19"/>
      <w:r w:rsidRPr="000C3DF9">
        <w:rPr>
          <w:rStyle w:val="TextoNormalNegritaCaracter"/>
        </w:rPr>
        <w:t>Competencias en materia de puertos</w:t>
      </w:r>
      <w:bookmarkEnd w:id="1042"/>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6.</w:t>
      </w:r>
    </w:p>
    <w:p w:rsidR="000C3DF9" w:rsidRPr="000C3DF9" w:rsidRDefault="000C3DF9" w:rsidP="000C3DF9">
      <w:pPr>
        <w:pStyle w:val="TextoNormalSangraFrancesa"/>
        <w:rPr>
          <w:rStyle w:val="TextoNormalCaracter"/>
        </w:rPr>
      </w:pPr>
      <w:bookmarkStart w:id="1043" w:name="DESCRIPTORALFABETICO20"/>
      <w:r w:rsidRPr="000C3DF9">
        <w:rPr>
          <w:rStyle w:val="TextoNormalNegritaCaracter"/>
        </w:rPr>
        <w:t>Competencias en materia de regulación de condiciones básicas de igualdad</w:t>
      </w:r>
      <w:bookmarkEnd w:id="1043"/>
      <w:r w:rsidRPr="000C3DF9">
        <w:rPr>
          <w:rStyle w:val="TextoNormalCaracter"/>
        </w:rPr>
        <w:t xml:space="preserve">, Sentencias </w:t>
      </w:r>
      <w:hyperlink w:anchor="SENTENCIA_2002_37" w:history="1">
        <w:r w:rsidRPr="000C3DF9">
          <w:rPr>
            <w:rStyle w:val="TextoNormalCaracter"/>
          </w:rPr>
          <w:t>37/2002</w:t>
        </w:r>
      </w:hyperlink>
      <w:r w:rsidRPr="000C3DF9">
        <w:rPr>
          <w:rStyle w:val="TextoNormalCaracter"/>
        </w:rPr>
        <w:t xml:space="preserve">, f. 12; </w:t>
      </w:r>
      <w:hyperlink w:anchor="SENTENCIA_2002_54" w:history="1">
        <w:r w:rsidRPr="000C3DF9">
          <w:rPr>
            <w:rStyle w:val="TextoNormalCaracter"/>
          </w:rPr>
          <w:t>54/2002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44" w:name="DESCRIPTORALFABETICO21"/>
      <w:r w:rsidRPr="000C3DF9">
        <w:rPr>
          <w:rStyle w:val="TextoNormalNegritaCaracter"/>
        </w:rPr>
        <w:t>Competencias en materia de tráfico</w:t>
      </w:r>
      <w:bookmarkEnd w:id="1044"/>
      <w:r w:rsidRPr="000C3DF9">
        <w:rPr>
          <w:rStyle w:val="TextoNormalCaracter"/>
        </w:rPr>
        <w:t xml:space="preserve">, 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Caracter"/>
        </w:rPr>
      </w:pPr>
      <w:bookmarkStart w:id="1045" w:name="DESCRIPTORALFABETICO22"/>
      <w:r w:rsidRPr="000C3DF9">
        <w:rPr>
          <w:rStyle w:val="TextoNormalNegritaCaracter"/>
        </w:rPr>
        <w:t>Competencias en materia de urbanismo</w:t>
      </w:r>
      <w:bookmarkEnd w:id="1045"/>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ff. 4 a 6.</w:t>
      </w:r>
    </w:p>
    <w:p w:rsidR="000C3DF9" w:rsidRPr="000C3DF9" w:rsidRDefault="000C3DF9" w:rsidP="000C3DF9">
      <w:pPr>
        <w:pStyle w:val="TextoNormalSangraFrancesa"/>
        <w:rPr>
          <w:rStyle w:val="TextoNormalCaracter"/>
        </w:rPr>
      </w:pPr>
      <w:bookmarkStart w:id="1046" w:name="DESCRIPTORALFABETICO252"/>
      <w:r w:rsidRPr="000C3DF9">
        <w:rPr>
          <w:rStyle w:val="TextoNormalNegritaCaracter"/>
        </w:rPr>
        <w:t>Cómputo de plazos en el recurso de amparo</w:t>
      </w:r>
      <w:bookmarkEnd w:id="1046"/>
      <w:r w:rsidRPr="000C3DF9">
        <w:rPr>
          <w:rStyle w:val="TextoNormalCaracter"/>
        </w:rPr>
        <w:t xml:space="preserve">, Sentencia </w:t>
      </w:r>
      <w:hyperlink w:anchor="SENTENCIA_2002_69" w:history="1">
        <w:r w:rsidRPr="000C3DF9">
          <w:rPr>
            <w:rStyle w:val="TextoNormalCaracter"/>
          </w:rPr>
          <w:t>69/2002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47" w:name="DESCRIPTORALFABETICO43"/>
      <w:r w:rsidRPr="000C3DF9">
        <w:rPr>
          <w:rStyle w:val="TextoNormalNegritaCaracter"/>
        </w:rPr>
        <w:t>Cómputo de votos</w:t>
      </w:r>
      <w:bookmarkEnd w:id="1047"/>
      <w:r w:rsidRPr="000C3DF9">
        <w:rPr>
          <w:rStyle w:val="TextoNormalCaracter"/>
        </w:rPr>
        <w:t xml:space="preserve">, Sentencia </w:t>
      </w:r>
      <w:hyperlink w:anchor="SENTENCIA_2002_64" w:history="1">
        <w:r w:rsidRPr="000C3DF9">
          <w:rPr>
            <w:rStyle w:val="TextoNormalCaracter"/>
          </w:rPr>
          <w:t>64/2002</w:t>
        </w:r>
      </w:hyperlink>
      <w:r w:rsidRPr="000C3DF9">
        <w:rPr>
          <w:rStyle w:val="TextoNormalCaracter"/>
        </w:rPr>
        <w:t>, f. 5.</w:t>
      </w:r>
    </w:p>
    <w:p w:rsidR="000C3DF9" w:rsidRPr="000C3DF9" w:rsidRDefault="000C3DF9" w:rsidP="000C3DF9">
      <w:pPr>
        <w:pStyle w:val="TextoNormalSangraFrancesa"/>
        <w:rPr>
          <w:rStyle w:val="TextoNormalCaracter"/>
        </w:rPr>
      </w:pPr>
      <w:bookmarkStart w:id="1048" w:name="DESCRIPTORALFABETICO346"/>
      <w:r w:rsidRPr="000C3DF9">
        <w:rPr>
          <w:rStyle w:val="TextoNormalNegritaCaracter"/>
        </w:rPr>
        <w:t>Comunidades Autónomas</w:t>
      </w:r>
      <w:bookmarkEnd w:id="1048"/>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49" w:name="DESCRIPTORALFABETICO68"/>
      <w:r w:rsidRPr="000C3DF9">
        <w:rPr>
          <w:rStyle w:val="TextoNormalNegritaCaracter"/>
        </w:rPr>
        <w:t>Concepto constitucional de domicilio</w:t>
      </w:r>
      <w:bookmarkEnd w:id="1049"/>
      <w:r w:rsidRPr="000C3DF9">
        <w:rPr>
          <w:rStyle w:val="TextoNormalCaracter"/>
        </w:rPr>
        <w:t xml:space="preserve">, Sentencia </w:t>
      </w:r>
      <w:hyperlink w:anchor="SENTENCIA_2002_10" w:history="1">
        <w:r w:rsidRPr="000C3DF9">
          <w:rPr>
            <w:rStyle w:val="TextoNormalCaracter"/>
          </w:rPr>
          <w:t>10/2002</w:t>
        </w:r>
      </w:hyperlink>
      <w:r w:rsidRPr="000C3DF9">
        <w:rPr>
          <w:rStyle w:val="TextoNormalCaracter"/>
        </w:rPr>
        <w:t>, f. 6.</w:t>
      </w:r>
    </w:p>
    <w:p w:rsidR="000C3DF9" w:rsidRPr="000C3DF9" w:rsidRDefault="000C3DF9" w:rsidP="000C3DF9">
      <w:pPr>
        <w:pStyle w:val="TextoNormalSangraFrancesa"/>
        <w:rPr>
          <w:rStyle w:val="TextoNormalCaracter"/>
        </w:rPr>
      </w:pPr>
      <w:bookmarkStart w:id="1050" w:name="DESCRIPTORALFABETICO123"/>
      <w:r w:rsidRPr="000C3DF9">
        <w:rPr>
          <w:rStyle w:val="TextoNormalNegritaCaracter"/>
        </w:rPr>
        <w:t>Concepto de comunicación</w:t>
      </w:r>
      <w:bookmarkEnd w:id="1050"/>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9 b).</w:t>
      </w:r>
    </w:p>
    <w:p w:rsidR="000C3DF9" w:rsidRPr="000C3DF9" w:rsidRDefault="000C3DF9" w:rsidP="000C3DF9">
      <w:pPr>
        <w:pStyle w:val="TextoNormalSangraFrancesa"/>
        <w:rPr>
          <w:rStyle w:val="TextoNormalCaracter"/>
        </w:rPr>
      </w:pPr>
      <w:bookmarkStart w:id="1051" w:name="DESCRIPTORALFABETICO589"/>
      <w:r w:rsidRPr="000C3DF9">
        <w:rPr>
          <w:rStyle w:val="TextoNormalNegritaCaracter"/>
        </w:rPr>
        <w:t>Concepto de documento</w:t>
      </w:r>
      <w:bookmarkEnd w:id="1051"/>
      <w:r w:rsidRPr="000C3DF9">
        <w:rPr>
          <w:rStyle w:val="TextoNormalCaracter"/>
        </w:rPr>
        <w:t xml:space="preserve">, Sentencia </w:t>
      </w:r>
      <w:hyperlink w:anchor="SENTENCIA_2002_2" w:history="1">
        <w:r w:rsidRPr="000C3DF9">
          <w:rPr>
            <w:rStyle w:val="TextoNormalCaracter"/>
          </w:rPr>
          <w:t>2/2002</w:t>
        </w:r>
      </w:hyperlink>
      <w:r w:rsidRPr="000C3DF9">
        <w:rPr>
          <w:rStyle w:val="TextoNormalCaracter"/>
        </w:rPr>
        <w:t>, f. 2.</w:t>
      </w:r>
    </w:p>
    <w:p w:rsidR="000C3DF9" w:rsidRPr="000C3DF9" w:rsidRDefault="000C3DF9" w:rsidP="000C3DF9">
      <w:pPr>
        <w:pStyle w:val="TextoNormalSangraFrancesa"/>
        <w:rPr>
          <w:rStyle w:val="TextoNormalCaracter"/>
        </w:rPr>
      </w:pPr>
      <w:bookmarkStart w:id="1052" w:name="DESCRIPTORALFABETICO427"/>
      <w:r w:rsidRPr="000C3DF9">
        <w:rPr>
          <w:rStyle w:val="TextoNormalNegritaCaracter"/>
        </w:rPr>
        <w:t>Concepto de normas básicas</w:t>
      </w:r>
      <w:bookmarkEnd w:id="1052"/>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53" w:name="DESCRIPTORALFABETICO355"/>
      <w:r w:rsidRPr="000C3DF9">
        <w:rPr>
          <w:rStyle w:val="TextoNormalNegritaCaracter"/>
        </w:rPr>
        <w:t>Concesiones administrativas</w:t>
      </w:r>
      <w:bookmarkEnd w:id="1053"/>
      <w:r w:rsidRPr="000C3DF9">
        <w:rPr>
          <w:rStyle w:val="TextoNormalCaracter"/>
        </w:rPr>
        <w:t xml:space="preserve">, Auto </w:t>
      </w:r>
      <w:hyperlink w:anchor="AUTO_2002_38" w:history="1">
        <w:r w:rsidRPr="000C3DF9">
          <w:rPr>
            <w:rStyle w:val="TextoNormalCaracter"/>
          </w:rPr>
          <w:t>38/2002</w:t>
        </w:r>
      </w:hyperlink>
      <w:r w:rsidRPr="000C3DF9">
        <w:rPr>
          <w:rStyle w:val="TextoNormalCaracter"/>
        </w:rPr>
        <w:t>.</w:t>
      </w:r>
    </w:p>
    <w:p w:rsidR="000C3DF9" w:rsidRPr="000C3DF9" w:rsidRDefault="000C3DF9" w:rsidP="000C3DF9">
      <w:pPr>
        <w:pStyle w:val="TextoNormalSangraFrancesa"/>
        <w:rPr>
          <w:rStyle w:val="TextoNormalCaracter"/>
        </w:rPr>
      </w:pPr>
      <w:bookmarkStart w:id="1054" w:name="DESCRIPTORALFABETICO37"/>
      <w:r w:rsidRPr="000C3DF9">
        <w:rPr>
          <w:rStyle w:val="TextoNormalNegritaCaracter"/>
        </w:rPr>
        <w:t>Concierto económico entre el Estado y el País Vasco</w:t>
      </w:r>
      <w:bookmarkEnd w:id="1054"/>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5 a 12.</w:t>
      </w:r>
    </w:p>
    <w:p w:rsidR="000C3DF9" w:rsidRPr="000C3DF9" w:rsidRDefault="000C3DF9" w:rsidP="000C3DF9">
      <w:pPr>
        <w:pStyle w:val="TextoNormalSangraFrancesa"/>
        <w:rPr>
          <w:rStyle w:val="TextoNormalCaracter"/>
        </w:rPr>
      </w:pPr>
      <w:bookmarkStart w:id="1055" w:name="DESCRIPTORALFABETICO682"/>
      <w:r w:rsidRPr="000C3DF9">
        <w:rPr>
          <w:rStyle w:val="TextoNormalNegritaCaracter"/>
        </w:rPr>
        <w:t>Conciliación laboral ante órgano incompetente</w:t>
      </w:r>
      <w:bookmarkEnd w:id="1055"/>
      <w:r w:rsidRPr="000C3DF9">
        <w:rPr>
          <w:rStyle w:val="TextoNormalCaracter"/>
        </w:rPr>
        <w:t xml:space="preserve">, Sentencia </w:t>
      </w:r>
      <w:hyperlink w:anchor="SENTENCIA_2002_58" w:history="1">
        <w:r w:rsidRPr="000C3DF9">
          <w:rPr>
            <w:rStyle w:val="TextoNormalCaracter"/>
          </w:rPr>
          <w:t>58/2002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56" w:name="DESCRIPTORALFABETICO6"/>
      <w:r w:rsidRPr="000C3DF9">
        <w:rPr>
          <w:rStyle w:val="TextoNormalNegritaCaracter"/>
        </w:rPr>
        <w:t>Concurrencia de competencias sobre el mismo espacio físico</w:t>
      </w:r>
      <w:bookmarkEnd w:id="1056"/>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7.</w:t>
      </w:r>
    </w:p>
    <w:p w:rsidR="000C3DF9" w:rsidRPr="000C3DF9" w:rsidRDefault="000C3DF9" w:rsidP="000C3DF9">
      <w:pPr>
        <w:pStyle w:val="TextoNormalSangraFrancesa"/>
        <w:rPr>
          <w:rStyle w:val="TextoNormalCaracter"/>
        </w:rPr>
      </w:pPr>
      <w:bookmarkStart w:id="1057" w:name="DESCRIPTORALFABETICO515"/>
      <w:r w:rsidRPr="000C3DF9">
        <w:rPr>
          <w:rStyle w:val="TextoNormalNegritaCaracter"/>
        </w:rPr>
        <w:t>Concurrencia de órdenes jurisdiccionales</w:t>
      </w:r>
      <w:bookmarkEnd w:id="1057"/>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58" w:name="DESCRIPTORALFABETICO719"/>
      <w:r w:rsidRPr="000C3DF9">
        <w:rPr>
          <w:rStyle w:val="TextoNormalNegritaCaracter"/>
        </w:rPr>
        <w:t>Condena penal</w:t>
      </w:r>
      <w:bookmarkEnd w:id="1058"/>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8; </w:t>
      </w:r>
      <w:hyperlink w:anchor="SENTENCIA_2002_57" w:history="1">
        <w:r w:rsidRPr="000C3DF9">
          <w:rPr>
            <w:rStyle w:val="TextoNormalCaracter"/>
          </w:rPr>
          <w:t>57/2002</w:t>
        </w:r>
      </w:hyperlink>
      <w:r w:rsidRPr="000C3DF9">
        <w:rPr>
          <w:rStyle w:val="TextoNormalCaracter"/>
        </w:rPr>
        <w:t xml:space="preserve">, f. 4; </w:t>
      </w:r>
      <w:hyperlink w:anchor="SENTENCIA_2002_68" w:history="1">
        <w:r w:rsidRPr="000C3DF9">
          <w:rPr>
            <w:rStyle w:val="TextoNormalCaracter"/>
          </w:rPr>
          <w:t>68/2002</w:t>
        </w:r>
      </w:hyperlink>
      <w:r w:rsidRPr="000C3DF9">
        <w:rPr>
          <w:rStyle w:val="TextoNormalCaracter"/>
        </w:rPr>
        <w:t xml:space="preserve">, ff. 4, 9; </w:t>
      </w:r>
      <w:hyperlink w:anchor="SENTENCIA_2002_70" w:history="1">
        <w:r w:rsidRPr="000C3DF9">
          <w:rPr>
            <w:rStyle w:val="TextoNormalCaracter"/>
          </w:rPr>
          <w:t>70/2002</w:t>
        </w:r>
      </w:hyperlink>
      <w:r w:rsidRPr="000C3DF9">
        <w:rPr>
          <w:rStyle w:val="TextoNormalCaracter"/>
        </w:rPr>
        <w:t>, f. 11.</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8" w:history="1">
        <w:r w:rsidRPr="000C3DF9">
          <w:rPr>
            <w:rStyle w:val="TextoNormalCaracter"/>
          </w:rPr>
          <w:t>8/2002</w:t>
        </w:r>
      </w:hyperlink>
      <w:r w:rsidRPr="000C3DF9">
        <w:rPr>
          <w:rStyle w:val="TextoNormalCaracter"/>
        </w:rPr>
        <w:t xml:space="preserve">; </w:t>
      </w:r>
      <w:hyperlink w:anchor="AUTO_2002_44" w:history="1">
        <w:r w:rsidRPr="000C3DF9">
          <w:rPr>
            <w:rStyle w:val="TextoNormalCaracter"/>
          </w:rPr>
          <w:t>44/2002</w:t>
        </w:r>
      </w:hyperlink>
      <w:r w:rsidRPr="000C3DF9">
        <w:rPr>
          <w:rStyle w:val="TextoNormalCaracter"/>
        </w:rPr>
        <w:t xml:space="preserve">; </w:t>
      </w:r>
      <w:hyperlink w:anchor="AUTO_2002_68" w:history="1">
        <w:r w:rsidRPr="000C3DF9">
          <w:rPr>
            <w:rStyle w:val="TextoNormalCaracter"/>
          </w:rPr>
          <w:t>68/2002</w:t>
        </w:r>
      </w:hyperlink>
      <w:r w:rsidRPr="000C3DF9">
        <w:rPr>
          <w:rStyle w:val="TextoNormalCaracter"/>
        </w:rPr>
        <w:t>.</w:t>
      </w:r>
    </w:p>
    <w:p w:rsidR="000C3DF9" w:rsidRPr="000C3DF9" w:rsidRDefault="000C3DF9" w:rsidP="000C3DF9">
      <w:pPr>
        <w:pStyle w:val="TextoNormalSangraFrancesa"/>
        <w:rPr>
          <w:rStyle w:val="TextoNormalCaracter"/>
        </w:rPr>
      </w:pPr>
      <w:bookmarkStart w:id="1059" w:name="DESCRIPTORALFABETICO720"/>
      <w:r w:rsidRPr="000C3DF9">
        <w:rPr>
          <w:rStyle w:val="TextoNormalNegritaCaracter"/>
        </w:rPr>
        <w:t>Condena penal en apelación</w:t>
      </w:r>
      <w:bookmarkEnd w:id="1059"/>
      <w:r w:rsidRPr="000C3DF9">
        <w:rPr>
          <w:rStyle w:val="TextoNormalCaracter"/>
        </w:rPr>
        <w:t xml:space="preserve">, Auto </w:t>
      </w:r>
      <w:hyperlink w:anchor="AUTO_2002_52" w:history="1">
        <w:r w:rsidRPr="000C3DF9">
          <w:rPr>
            <w:rStyle w:val="TextoNormalCaracter"/>
          </w:rPr>
          <w:t>52/2002</w:t>
        </w:r>
      </w:hyperlink>
      <w:r w:rsidRPr="000C3DF9">
        <w:rPr>
          <w:rStyle w:val="TextoNormalCaracter"/>
        </w:rPr>
        <w:t>.</w:t>
      </w:r>
    </w:p>
    <w:p w:rsidR="000C3DF9" w:rsidRPr="000C3DF9" w:rsidRDefault="000C3DF9" w:rsidP="000C3DF9">
      <w:pPr>
        <w:pStyle w:val="TextoNormalSangraFrancesa"/>
        <w:rPr>
          <w:rStyle w:val="TextoNormalCaracter"/>
        </w:rPr>
      </w:pPr>
      <w:bookmarkStart w:id="1060" w:name="DESCRIPTORALFABETICO721"/>
      <w:r w:rsidRPr="000C3DF9">
        <w:rPr>
          <w:rStyle w:val="TextoNormalNegritaCaracter"/>
        </w:rPr>
        <w:t>Condena penal en casación</w:t>
      </w:r>
      <w:bookmarkEnd w:id="1060"/>
      <w:r w:rsidRPr="000C3DF9">
        <w:rPr>
          <w:rStyle w:val="TextoNormalCaracter"/>
        </w:rPr>
        <w:t xml:space="preserve">, Sentencia </w:t>
      </w:r>
      <w:hyperlink w:anchor="SENTENCIA_2002_50" w:history="1">
        <w:r w:rsidRPr="000C3DF9">
          <w:rPr>
            <w:rStyle w:val="TextoNormalCaracter"/>
          </w:rPr>
          <w:t>50/2002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Condena penal fundada en declaraciones de coimputados</w:t>
      </w:r>
      <w:r>
        <w:t xml:space="preserve"> véase </w:t>
      </w:r>
      <w:hyperlink w:anchor="DESCRIPTORALFABETICO708" w:history="1">
        <w:r w:rsidRPr="000C3DF9">
          <w:rPr>
            <w:rStyle w:val="TextoNormalNegritaCaracter"/>
          </w:rPr>
          <w:t>Declaraciones de coimputados</w:t>
        </w:r>
      </w:hyperlink>
    </w:p>
    <w:p w:rsidR="000C3DF9" w:rsidRPr="000C3DF9" w:rsidRDefault="000C3DF9" w:rsidP="000C3DF9">
      <w:pPr>
        <w:pStyle w:val="TextoNormalSangraFrancesa"/>
        <w:rPr>
          <w:rStyle w:val="TextoNormalCaracter"/>
        </w:rPr>
      </w:pPr>
      <w:bookmarkStart w:id="1061" w:name="DESCRIPTORALFABETICO722"/>
      <w:r w:rsidRPr="000C3DF9">
        <w:rPr>
          <w:rStyle w:val="TextoNormalNegritaCaracter"/>
        </w:rPr>
        <w:t>Condena penal por críticas a un cargo público</w:t>
      </w:r>
      <w:bookmarkEnd w:id="1061"/>
      <w:r w:rsidRPr="000C3DF9">
        <w:rPr>
          <w:rStyle w:val="TextoNormalCaracter"/>
        </w:rPr>
        <w:t xml:space="preserve">, Auto </w:t>
      </w:r>
      <w:hyperlink w:anchor="AUTO_2002_56" w:history="1">
        <w:r w:rsidRPr="000C3DF9">
          <w:rPr>
            <w:rStyle w:val="TextoNormalCaracter"/>
          </w:rPr>
          <w:t>56/2002</w:t>
        </w:r>
      </w:hyperlink>
      <w:r w:rsidRPr="000C3DF9">
        <w:rPr>
          <w:rStyle w:val="TextoNormalCaracter"/>
        </w:rPr>
        <w:t>.</w:t>
      </w:r>
    </w:p>
    <w:p w:rsidR="000C3DF9" w:rsidRPr="000C3DF9" w:rsidRDefault="000C3DF9" w:rsidP="000C3DF9">
      <w:pPr>
        <w:pStyle w:val="TextoNormalSangraFrancesa"/>
        <w:rPr>
          <w:rStyle w:val="TextoNormalCaracter"/>
        </w:rPr>
      </w:pPr>
      <w:bookmarkStart w:id="1062" w:name="DESCRIPTORALFABETICO69"/>
      <w:r w:rsidRPr="000C3DF9">
        <w:rPr>
          <w:rStyle w:val="TextoNormalNegritaCaracter"/>
        </w:rPr>
        <w:t>Conexión con el desarrollo de la vida privada</w:t>
      </w:r>
      <w:bookmarkEnd w:id="1062"/>
      <w:r w:rsidRPr="000C3DF9">
        <w:rPr>
          <w:rStyle w:val="TextoNormalCaracter"/>
        </w:rPr>
        <w:t xml:space="preserve">, Sentencia </w:t>
      </w:r>
      <w:hyperlink w:anchor="SENTENCIA_2002_10" w:history="1">
        <w:r w:rsidRPr="000C3DF9">
          <w:rPr>
            <w:rStyle w:val="TextoNormalCaracter"/>
          </w:rPr>
          <w:t>10/2002</w:t>
        </w:r>
      </w:hyperlink>
      <w:r w:rsidRPr="000C3DF9">
        <w:rPr>
          <w:rStyle w:val="TextoNormalCaracter"/>
        </w:rPr>
        <w:t>, f. 7.</w:t>
      </w:r>
    </w:p>
    <w:p w:rsidR="000C3DF9" w:rsidRPr="000C3DF9" w:rsidRDefault="000C3DF9" w:rsidP="000C3DF9">
      <w:pPr>
        <w:pStyle w:val="TextoNormalSangraFrancesa"/>
        <w:rPr>
          <w:rStyle w:val="TextoNormalNegritaCaracter"/>
        </w:rPr>
      </w:pPr>
      <w:r w:rsidRPr="000C3DF9">
        <w:rPr>
          <w:rStyle w:val="TextoNormalCursivaCaracter"/>
        </w:rPr>
        <w:t>Conexión de antijuridicidad</w:t>
      </w:r>
      <w:r>
        <w:t xml:space="preserve"> véase </w:t>
      </w:r>
      <w:hyperlink w:anchor="DESCRIPTORALFABETICO592" w:history="1">
        <w:r w:rsidRPr="000C3DF9">
          <w:rPr>
            <w:rStyle w:val="TextoNormalNegritaCaracter"/>
          </w:rPr>
          <w:t>Conexión de antijuridicidad con la vulneración de derechos fundamentales</w:t>
        </w:r>
      </w:hyperlink>
    </w:p>
    <w:p w:rsidR="000C3DF9" w:rsidRPr="000C3DF9" w:rsidRDefault="000C3DF9" w:rsidP="000C3DF9">
      <w:pPr>
        <w:pStyle w:val="TextoNormalSangraFrancesa"/>
        <w:rPr>
          <w:rStyle w:val="TextoNormalCaracter"/>
        </w:rPr>
      </w:pPr>
      <w:bookmarkStart w:id="1063" w:name="DESCRIPTORALFABETICO592"/>
      <w:r w:rsidRPr="000C3DF9">
        <w:rPr>
          <w:rStyle w:val="TextoNormalNegritaCaracter"/>
        </w:rPr>
        <w:t>Conexión de antijuridicidad con la vulneración de derechos fundamentales</w:t>
      </w:r>
      <w:bookmarkEnd w:id="1063"/>
      <w:r w:rsidRPr="000C3DF9">
        <w:rPr>
          <w:rStyle w:val="TextoNormalCaracter"/>
        </w:rPr>
        <w:t xml:space="preserve">, Sentencia </w:t>
      </w:r>
      <w:hyperlink w:anchor="SENTENCIA_2002_28" w:history="1">
        <w:r w:rsidRPr="000C3DF9">
          <w:rPr>
            <w:rStyle w:val="TextoNormalCaracter"/>
          </w:rPr>
          <w:t>28/2002</w:t>
        </w:r>
      </w:hyperlink>
      <w:r w:rsidRPr="000C3DF9">
        <w:rPr>
          <w:rStyle w:val="TextoNormalCaracter"/>
        </w:rPr>
        <w:t>, f. 4.</w:t>
      </w:r>
    </w:p>
    <w:p w:rsidR="000C3DF9" w:rsidRPr="000C3DF9" w:rsidRDefault="000C3DF9" w:rsidP="000C3DF9">
      <w:pPr>
        <w:pStyle w:val="TextoNormalSangraFrancesa"/>
        <w:rPr>
          <w:rStyle w:val="TextoNormalNegritaCaracter"/>
        </w:rPr>
      </w:pPr>
      <w:r w:rsidRPr="000C3DF9">
        <w:rPr>
          <w:rStyle w:val="TextoNormalCursivaCaracter"/>
        </w:rPr>
        <w:t>Conflictos de competencia entre órdenes jurisdiccionales</w:t>
      </w:r>
      <w:r>
        <w:t xml:space="preserve"> véase </w:t>
      </w:r>
      <w:hyperlink w:anchor="DESCRIPTORALFABETICO519" w:history="1">
        <w:r w:rsidRPr="000C3DF9">
          <w:rPr>
            <w:rStyle w:val="TextoNormalNegritaCaracter"/>
          </w:rPr>
          <w:t>Conflictos de competencia judicial</w:t>
        </w:r>
      </w:hyperlink>
    </w:p>
    <w:p w:rsidR="000C3DF9" w:rsidRPr="000C3DF9" w:rsidRDefault="000C3DF9" w:rsidP="000C3DF9">
      <w:pPr>
        <w:pStyle w:val="TextoNormalSangraFrancesa"/>
        <w:rPr>
          <w:rStyle w:val="TextoNormalCaracter"/>
        </w:rPr>
      </w:pPr>
      <w:bookmarkStart w:id="1064" w:name="DESCRIPTORALFABETICO519"/>
      <w:r w:rsidRPr="000C3DF9">
        <w:rPr>
          <w:rStyle w:val="TextoNormalNegritaCaracter"/>
        </w:rPr>
        <w:t>Conflictos de competencia judicial</w:t>
      </w:r>
      <w:bookmarkEnd w:id="1064"/>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065" w:name="DESCRIPTORALFABETICO201"/>
      <w:r w:rsidRPr="000C3DF9">
        <w:rPr>
          <w:rStyle w:val="TextoNormalNegritaCaracter"/>
        </w:rPr>
        <w:lastRenderedPageBreak/>
        <w:t>Conflictos positivos de competencia</w:t>
      </w:r>
      <w:bookmarkEnd w:id="1065"/>
      <w:r w:rsidRPr="000C3DF9">
        <w:rPr>
          <w:rStyle w:val="TextoNormalCaracter"/>
        </w:rPr>
        <w:t xml:space="preserve">, Sentencias </w:t>
      </w:r>
      <w:hyperlink w:anchor="SENTENCIA_2002_38" w:history="1">
        <w:r w:rsidRPr="000C3DF9">
          <w:rPr>
            <w:rStyle w:val="TextoNormalCaracter"/>
          </w:rPr>
          <w:t>38/2002</w:t>
        </w:r>
      </w:hyperlink>
      <w:r w:rsidRPr="000C3DF9">
        <w:rPr>
          <w:rStyle w:val="TextoNormalCaracter"/>
        </w:rPr>
        <w:t xml:space="preserve">, f. 2; </w:t>
      </w:r>
      <w:hyperlink w:anchor="SENTENCIA_2002_95" w:history="1">
        <w:r w:rsidRPr="000C3DF9">
          <w:rPr>
            <w:rStyle w:val="TextoNormalCaracter"/>
          </w:rPr>
          <w:t>95/2002</w:t>
        </w:r>
      </w:hyperlink>
      <w:r w:rsidRPr="000C3DF9">
        <w:rPr>
          <w:rStyle w:val="TextoNormalCaracter"/>
        </w:rPr>
        <w:t>, ff. 3, 4, 22.</w:t>
      </w:r>
    </w:p>
    <w:p w:rsidR="000C3DF9" w:rsidRPr="000C3DF9" w:rsidRDefault="000C3DF9" w:rsidP="000C3DF9">
      <w:pPr>
        <w:pStyle w:val="TextoNormalSangraFrancesa"/>
        <w:rPr>
          <w:rStyle w:val="TextoNormalCaracter"/>
        </w:rPr>
      </w:pPr>
      <w:bookmarkStart w:id="1066" w:name="DESCRIPTORALFABETICO313"/>
      <w:r w:rsidRPr="000C3DF9">
        <w:rPr>
          <w:rStyle w:val="TextoNormalNegritaCaracter"/>
        </w:rPr>
        <w:t>Congreso de los Diputados</w:t>
      </w:r>
      <w:bookmarkEnd w:id="1066"/>
      <w:r w:rsidRPr="000C3DF9">
        <w:rPr>
          <w:rStyle w:val="TextoNormalCaracter"/>
        </w:rPr>
        <w:t xml:space="preserve">, Sentencia </w:t>
      </w:r>
      <w:hyperlink w:anchor="SENTENCIA_2002_64" w:history="1">
        <w:r w:rsidRPr="000C3DF9">
          <w:rPr>
            <w:rStyle w:val="TextoNormalCaracter"/>
          </w:rPr>
          <w:t>64/2002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67" w:name="DESCRIPTORALFABETICO631"/>
      <w:r w:rsidRPr="000C3DF9">
        <w:rPr>
          <w:rStyle w:val="TextoNormalNegritaCaracter"/>
        </w:rPr>
        <w:t>Congruencia entre acusación y fallo</w:t>
      </w:r>
      <w:bookmarkEnd w:id="1067"/>
      <w:r w:rsidRPr="000C3DF9">
        <w:rPr>
          <w:rStyle w:val="TextoNormalCaracter"/>
        </w:rPr>
        <w:t xml:space="preserve">, Sentencia </w:t>
      </w:r>
      <w:hyperlink w:anchor="SENTENCIA_2002_4" w:history="1">
        <w:r w:rsidRPr="000C3DF9">
          <w:rPr>
            <w:rStyle w:val="TextoNormalCaracter"/>
          </w:rPr>
          <w:t>4/2002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6" w:history="1">
        <w:r w:rsidRPr="000C3DF9">
          <w:rPr>
            <w:rStyle w:val="TextoNormalCaracter"/>
          </w:rPr>
          <w:t>6/2002</w:t>
        </w:r>
      </w:hyperlink>
      <w:r w:rsidRPr="000C3DF9">
        <w:rPr>
          <w:rStyle w:val="TextoNormalCaracter"/>
        </w:rPr>
        <w:t>.</w:t>
      </w:r>
    </w:p>
    <w:p w:rsidR="000C3DF9" w:rsidRPr="000C3DF9" w:rsidRDefault="000C3DF9" w:rsidP="000C3DF9">
      <w:pPr>
        <w:pStyle w:val="TextoNormalSangraFrancesa"/>
        <w:rPr>
          <w:rStyle w:val="TextoNormalCaracter"/>
        </w:rPr>
      </w:pPr>
      <w:bookmarkStart w:id="1068" w:name="DESCRIPTORALFABETICO533"/>
      <w:r w:rsidRPr="000C3DF9">
        <w:rPr>
          <w:rStyle w:val="TextoNormalNegritaCaracter"/>
        </w:rPr>
        <w:t>Conocimiento extraprocesal del proceso</w:t>
      </w:r>
      <w:bookmarkEnd w:id="1068"/>
      <w:r w:rsidRPr="000C3DF9">
        <w:rPr>
          <w:rStyle w:val="TextoNormalCaracter"/>
        </w:rPr>
        <w:t xml:space="preserve">, Sentencias </w:t>
      </w:r>
      <w:hyperlink w:anchor="SENTENCIA_2002_1" w:history="1">
        <w:r w:rsidRPr="000C3DF9">
          <w:rPr>
            <w:rStyle w:val="TextoNormalCaracter"/>
          </w:rPr>
          <w:t>1/2002</w:t>
        </w:r>
      </w:hyperlink>
      <w:r w:rsidRPr="000C3DF9">
        <w:rPr>
          <w:rStyle w:val="TextoNormalCaracter"/>
        </w:rPr>
        <w:t xml:space="preserve">, f. 4; </w:t>
      </w:r>
      <w:hyperlink w:anchor="SENTENCIA_2002_31" w:history="1">
        <w:r w:rsidRPr="000C3DF9">
          <w:rPr>
            <w:rStyle w:val="TextoNormalCaracter"/>
          </w:rPr>
          <w:t>31/2002</w:t>
        </w:r>
      </w:hyperlink>
      <w:r w:rsidRPr="000C3DF9">
        <w:rPr>
          <w:rStyle w:val="TextoNormalCaracter"/>
        </w:rPr>
        <w:t xml:space="preserve">, f. 7; </w:t>
      </w:r>
      <w:hyperlink w:anchor="SENTENCIA_2002_59" w:history="1">
        <w:r w:rsidRPr="000C3DF9">
          <w:rPr>
            <w:rStyle w:val="TextoNormalCaracter"/>
          </w:rPr>
          <w:t>59/2002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4" w:history="1">
        <w:r w:rsidRPr="000C3DF9">
          <w:rPr>
            <w:rStyle w:val="TextoNormalCaracter"/>
          </w:rPr>
          <w:t>54/2002</w:t>
        </w:r>
      </w:hyperlink>
      <w:r w:rsidRPr="000C3DF9">
        <w:rPr>
          <w:rStyle w:val="TextoNormalCaracter"/>
        </w:rPr>
        <w:t>.</w:t>
      </w:r>
    </w:p>
    <w:p w:rsidR="000C3DF9" w:rsidRPr="000C3DF9" w:rsidRDefault="000C3DF9" w:rsidP="000C3DF9">
      <w:pPr>
        <w:pStyle w:val="TextoNormalSangraFrancesa"/>
        <w:rPr>
          <w:rStyle w:val="TextoNormalCaracter"/>
        </w:rPr>
      </w:pPr>
      <w:bookmarkStart w:id="1069" w:name="DESCRIPTORALFABETICO474"/>
      <w:r w:rsidRPr="000C3DF9">
        <w:rPr>
          <w:rStyle w:val="TextoNormalNegritaCaracter"/>
        </w:rPr>
        <w:t>Consentimiento</w:t>
      </w:r>
      <w:bookmarkEnd w:id="1069"/>
      <w:r w:rsidRPr="000C3DF9">
        <w:rPr>
          <w:rStyle w:val="TextoNormalCaracter"/>
        </w:rPr>
        <w:t xml:space="preserve">, Sentencia </w:t>
      </w:r>
      <w:hyperlink w:anchor="SENTENCIA_2002_83" w:history="1">
        <w:r w:rsidRPr="000C3DF9">
          <w:rPr>
            <w:rStyle w:val="TextoNormalCaracter"/>
          </w:rPr>
          <w:t>83/2002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070" w:name="DESCRIPTORALFABETICO550"/>
      <w:r w:rsidRPr="000C3DF9">
        <w:rPr>
          <w:rStyle w:val="TextoNormalNegritaCaracter"/>
        </w:rPr>
        <w:t>Consignación de rentas en juicio de desahucio</w:t>
      </w:r>
      <w:bookmarkEnd w:id="1070"/>
      <w:r w:rsidRPr="000C3DF9">
        <w:rPr>
          <w:rStyle w:val="TextoNormalCaracter"/>
        </w:rPr>
        <w:t xml:space="preserve">, Sentencia </w:t>
      </w:r>
      <w:hyperlink w:anchor="SENTENCIA_2002_22" w:history="1">
        <w:r w:rsidRPr="000C3DF9">
          <w:rPr>
            <w:rStyle w:val="TextoNormalCaracter"/>
          </w:rPr>
          <w:t>22/2002</w:t>
        </w:r>
      </w:hyperlink>
      <w:r w:rsidRPr="000C3DF9">
        <w:rPr>
          <w:rStyle w:val="TextoNormalCaracter"/>
        </w:rPr>
        <w:t>, ff. 4, 7.</w:t>
      </w:r>
    </w:p>
    <w:p w:rsidR="000C3DF9" w:rsidRPr="000C3DF9" w:rsidRDefault="000C3DF9" w:rsidP="000C3DF9">
      <w:pPr>
        <w:pStyle w:val="TextoNormalSangraFrancesa"/>
        <w:rPr>
          <w:rStyle w:val="TextoNormalNegritaCaracter"/>
        </w:rPr>
      </w:pPr>
      <w:r w:rsidRPr="000C3DF9">
        <w:rPr>
          <w:rStyle w:val="TextoNormalCursivaCaracter"/>
        </w:rPr>
        <w:t>Consignación de rentas vencidas</w:t>
      </w:r>
      <w:r>
        <w:t xml:space="preserve"> véase </w:t>
      </w:r>
      <w:hyperlink w:anchor="DESCRIPTORALFABETICO550" w:history="1">
        <w:r w:rsidRPr="000C3DF9">
          <w:rPr>
            <w:rStyle w:val="TextoNormalNegritaCaracter"/>
          </w:rPr>
          <w:t>Consignación de rentas en juicio de desahucio</w:t>
        </w:r>
      </w:hyperlink>
    </w:p>
    <w:p w:rsidR="000C3DF9" w:rsidRPr="000C3DF9" w:rsidRDefault="000C3DF9" w:rsidP="000C3DF9">
      <w:pPr>
        <w:pStyle w:val="TextoNormalSangraFrancesa"/>
        <w:rPr>
          <w:rStyle w:val="TextoNormalCaracter"/>
        </w:rPr>
      </w:pPr>
      <w:bookmarkStart w:id="1071" w:name="DESCRIPTORALFABETICO551"/>
      <w:r w:rsidRPr="000C3DF9">
        <w:rPr>
          <w:rStyle w:val="TextoNormalNegritaCaracter"/>
        </w:rPr>
        <w:t>Consignación en recurso de suplicación</w:t>
      </w:r>
      <w:bookmarkEnd w:id="1071"/>
      <w:r w:rsidRPr="000C3DF9">
        <w:rPr>
          <w:rStyle w:val="TextoNormalCaracter"/>
        </w:rPr>
        <w:t xml:space="preserve">, Auto </w:t>
      </w:r>
      <w:hyperlink w:anchor="AUTO_2002_13" w:history="1">
        <w:r w:rsidRPr="000C3DF9">
          <w:rPr>
            <w:rStyle w:val="TextoNormalCaracter"/>
          </w:rPr>
          <w:t>13/2002</w:t>
        </w:r>
      </w:hyperlink>
      <w:r w:rsidRPr="000C3DF9">
        <w:rPr>
          <w:rStyle w:val="TextoNormalCaracter"/>
        </w:rPr>
        <w:t>.</w:t>
      </w:r>
    </w:p>
    <w:p w:rsidR="000C3DF9" w:rsidRPr="000C3DF9" w:rsidRDefault="000C3DF9" w:rsidP="000C3DF9">
      <w:pPr>
        <w:pStyle w:val="TextoNormalSangraFrancesa"/>
        <w:rPr>
          <w:rStyle w:val="TextoNormalCaracter"/>
        </w:rPr>
      </w:pPr>
      <w:bookmarkStart w:id="1072" w:name="DESCRIPTORALFABETICO541"/>
      <w:r w:rsidRPr="000C3DF9">
        <w:rPr>
          <w:rStyle w:val="TextoNormalNegritaCaracter"/>
        </w:rPr>
        <w:t>Constancia de la notificación</w:t>
      </w:r>
      <w:bookmarkEnd w:id="1072"/>
      <w:r w:rsidRPr="000C3DF9">
        <w:rPr>
          <w:rStyle w:val="TextoNormalCaracter"/>
        </w:rPr>
        <w:t xml:space="preserve">, Sentencia </w:t>
      </w:r>
      <w:hyperlink w:anchor="SENTENCIA_2002_1" w:history="1">
        <w:r w:rsidRPr="000C3DF9">
          <w:rPr>
            <w:rStyle w:val="TextoNormalCaracter"/>
          </w:rPr>
          <w:t>1/2002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073" w:name="DESCRIPTORALFABETICO306"/>
      <w:r w:rsidRPr="000C3DF9">
        <w:rPr>
          <w:rStyle w:val="TextoNormalNegritaCaracter"/>
        </w:rPr>
        <w:t>Constitución de grupos parlamentarios</w:t>
      </w:r>
      <w:bookmarkEnd w:id="1073"/>
      <w:r w:rsidRPr="000C3DF9">
        <w:rPr>
          <w:rStyle w:val="TextoNormalCaracter"/>
        </w:rPr>
        <w:t xml:space="preserve">, Sentencia </w:t>
      </w:r>
      <w:hyperlink w:anchor="SENTENCIA_2002_64" w:history="1">
        <w:r w:rsidRPr="000C3DF9">
          <w:rPr>
            <w:rStyle w:val="TextoNormalCaracter"/>
          </w:rPr>
          <w:t>64/2002</w:t>
        </w:r>
      </w:hyperlink>
      <w:r w:rsidRPr="000C3DF9">
        <w:rPr>
          <w:rStyle w:val="TextoNormalCaracter"/>
        </w:rPr>
        <w:t>, ff. 3, 8.</w:t>
      </w:r>
    </w:p>
    <w:p w:rsidR="000C3DF9" w:rsidRPr="000C3DF9" w:rsidRDefault="000C3DF9" w:rsidP="000C3DF9">
      <w:pPr>
        <w:pStyle w:val="TextoNormalSangraFrancesa"/>
        <w:rPr>
          <w:rStyle w:val="TextoNormalCaracter"/>
        </w:rPr>
      </w:pPr>
      <w:bookmarkStart w:id="1074" w:name="DESCRIPTORALFABETICO23"/>
      <w:r w:rsidRPr="000C3DF9">
        <w:rPr>
          <w:rStyle w:val="TextoNormalNegritaCaracter"/>
        </w:rPr>
        <w:t>Constitución económica</w:t>
      </w:r>
      <w:bookmarkEnd w:id="1074"/>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75" w:name="DESCRIPTORALFABETICO50"/>
      <w:r w:rsidRPr="000C3DF9">
        <w:rPr>
          <w:rStyle w:val="TextoNormalNegritaCaracter"/>
        </w:rPr>
        <w:t>Contenido del derecho a acceder a las funciones públicas</w:t>
      </w:r>
      <w:bookmarkEnd w:id="1075"/>
      <w:r w:rsidRPr="000C3DF9">
        <w:rPr>
          <w:rStyle w:val="TextoNormalCaracter"/>
        </w:rPr>
        <w:t xml:space="preserve">, Auto </w:t>
      </w:r>
      <w:hyperlink w:anchor="AUTO_2002_4" w:history="1">
        <w:r w:rsidRPr="000C3DF9">
          <w:rPr>
            <w:rStyle w:val="TextoNormalCaracter"/>
          </w:rPr>
          <w:t>4/2002</w:t>
        </w:r>
      </w:hyperlink>
      <w:r w:rsidRPr="000C3DF9">
        <w:rPr>
          <w:rStyle w:val="TextoNormalCaracter"/>
        </w:rPr>
        <w:t>.</w:t>
      </w:r>
    </w:p>
    <w:p w:rsidR="000C3DF9" w:rsidRPr="000C3DF9" w:rsidRDefault="000C3DF9" w:rsidP="000C3DF9">
      <w:pPr>
        <w:pStyle w:val="TextoNormalSangraFrancesa"/>
        <w:rPr>
          <w:rStyle w:val="TextoNormalCaracter"/>
        </w:rPr>
      </w:pPr>
      <w:bookmarkStart w:id="1076" w:name="DESCRIPTORALFABETICO128"/>
      <w:r w:rsidRPr="000C3DF9">
        <w:rPr>
          <w:rStyle w:val="TextoNormalNegritaCaracter"/>
        </w:rPr>
        <w:t>Contenido del derecho de asilo</w:t>
      </w:r>
      <w:bookmarkEnd w:id="1076"/>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ff. 3, 4 a).</w:t>
      </w:r>
    </w:p>
    <w:p w:rsidR="000C3DF9" w:rsidRPr="000C3DF9" w:rsidRDefault="000C3DF9" w:rsidP="000C3DF9">
      <w:pPr>
        <w:pStyle w:val="TextoNormalSangraFrancesa"/>
        <w:rPr>
          <w:rStyle w:val="TextoNormalCaracter"/>
        </w:rPr>
      </w:pPr>
      <w:bookmarkStart w:id="1077" w:name="DESCRIPTORALFABETICO178"/>
      <w:r w:rsidRPr="000C3DF9">
        <w:rPr>
          <w:rStyle w:val="TextoNormalNegritaCaracter"/>
        </w:rPr>
        <w:t>Contenido patrimonial</w:t>
      </w:r>
      <w:bookmarkEnd w:id="1077"/>
      <w:r w:rsidRPr="000C3DF9">
        <w:rPr>
          <w:rStyle w:val="TextoNormalCaracter"/>
        </w:rPr>
        <w:t xml:space="preserve">, Autos </w:t>
      </w:r>
      <w:hyperlink w:anchor="AUTO_2002_9" w:history="1">
        <w:r w:rsidRPr="000C3DF9">
          <w:rPr>
            <w:rStyle w:val="TextoNormalCaracter"/>
          </w:rPr>
          <w:t>9/2002</w:t>
        </w:r>
      </w:hyperlink>
      <w:r w:rsidRPr="000C3DF9">
        <w:rPr>
          <w:rStyle w:val="TextoNormalCaracter"/>
        </w:rPr>
        <w:t xml:space="preserve">; </w:t>
      </w:r>
      <w:hyperlink w:anchor="AUTO_2002_25" w:history="1">
        <w:r w:rsidRPr="000C3DF9">
          <w:rPr>
            <w:rStyle w:val="TextoNormalCaracter"/>
          </w:rPr>
          <w:t>25/2002</w:t>
        </w:r>
      </w:hyperlink>
      <w:r w:rsidRPr="000C3DF9">
        <w:rPr>
          <w:rStyle w:val="TextoNormalCaracter"/>
        </w:rPr>
        <w:t xml:space="preserve">; </w:t>
      </w:r>
      <w:hyperlink w:anchor="AUTO_2002_35" w:history="1">
        <w:r w:rsidRPr="000C3DF9">
          <w:rPr>
            <w:rStyle w:val="TextoNormalCaracter"/>
          </w:rPr>
          <w:t>35/2002</w:t>
        </w:r>
      </w:hyperlink>
      <w:r w:rsidRPr="000C3DF9">
        <w:rPr>
          <w:rStyle w:val="TextoNormalCaracter"/>
        </w:rPr>
        <w:t xml:space="preserve">; </w:t>
      </w:r>
      <w:hyperlink w:anchor="AUTO_2002_64" w:history="1">
        <w:r w:rsidRPr="000C3DF9">
          <w:rPr>
            <w:rStyle w:val="TextoNormalCaracter"/>
          </w:rPr>
          <w:t>64/2002</w:t>
        </w:r>
      </w:hyperlink>
      <w:r w:rsidRPr="000C3DF9">
        <w:rPr>
          <w:rStyle w:val="TextoNormalCaracter"/>
        </w:rPr>
        <w:t xml:space="preserve">; </w:t>
      </w:r>
      <w:hyperlink w:anchor="AUTO_2002_66" w:history="1">
        <w:r w:rsidRPr="000C3DF9">
          <w:rPr>
            <w:rStyle w:val="TextoNormalCaracter"/>
          </w:rPr>
          <w:t>66/2002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Contradicción procesal</w:t>
      </w:r>
      <w:r>
        <w:t xml:space="preserve"> véase </w:t>
      </w:r>
      <w:hyperlink w:anchor="DESCRIPTORALFABETICO632" w:history="1">
        <w:r w:rsidRPr="000C3DF9">
          <w:rPr>
            <w:rStyle w:val="TextoNormalNegritaCaracter"/>
          </w:rPr>
          <w:t>Principio de contradicción</w:t>
        </w:r>
      </w:hyperlink>
    </w:p>
    <w:p w:rsidR="000C3DF9" w:rsidRPr="000C3DF9" w:rsidRDefault="000C3DF9" w:rsidP="000C3DF9">
      <w:pPr>
        <w:pStyle w:val="TextoNormalSangraFrancesa"/>
        <w:rPr>
          <w:rStyle w:val="TextoNormalCaracter"/>
        </w:rPr>
      </w:pPr>
      <w:bookmarkStart w:id="1078" w:name="DESCRIPTORALFABETICO168"/>
      <w:r w:rsidRPr="000C3DF9">
        <w:rPr>
          <w:rStyle w:val="TextoNormalNegritaCaracter"/>
        </w:rPr>
        <w:t>Control constitucional de las resoluciones judiciales</w:t>
      </w:r>
      <w:bookmarkEnd w:id="1078"/>
      <w:r w:rsidRPr="000C3DF9">
        <w:rPr>
          <w:rStyle w:val="TextoNormalCaracter"/>
        </w:rPr>
        <w:t xml:space="preserve">, Sentencias </w:t>
      </w:r>
      <w:hyperlink w:anchor="SENTENCIA_2002_17" w:history="1">
        <w:r w:rsidRPr="000C3DF9">
          <w:rPr>
            <w:rStyle w:val="TextoNormalCaracter"/>
          </w:rPr>
          <w:t>17/2002</w:t>
        </w:r>
      </w:hyperlink>
      <w:r w:rsidRPr="000C3DF9">
        <w:rPr>
          <w:rStyle w:val="TextoNormalCaracter"/>
        </w:rPr>
        <w:t xml:space="preserve">, f. 3; </w:t>
      </w:r>
      <w:hyperlink w:anchor="SENTENCIA_2002_77" w:history="1">
        <w:r w:rsidRPr="000C3DF9">
          <w:rPr>
            <w:rStyle w:val="TextoNormalCaracter"/>
          </w:rPr>
          <w:t>77/2002</w:t>
        </w:r>
      </w:hyperlink>
      <w:r w:rsidRPr="000C3DF9">
        <w:rPr>
          <w:rStyle w:val="TextoNormalCaracter"/>
        </w:rPr>
        <w:t xml:space="preserve">, f. 3; </w:t>
      </w:r>
      <w:hyperlink w:anchor="SENTENCIA_2002_94" w:history="1">
        <w:r w:rsidRPr="000C3DF9">
          <w:rPr>
            <w:rStyle w:val="TextoNormalCaracter"/>
          </w:rPr>
          <w:t>94/2002</w:t>
        </w:r>
      </w:hyperlink>
      <w:r w:rsidRPr="000C3DF9">
        <w:rPr>
          <w:rStyle w:val="TextoNormalCaracter"/>
        </w:rPr>
        <w:t>, f. 5.</w:t>
      </w:r>
    </w:p>
    <w:p w:rsidR="000C3DF9" w:rsidRPr="000C3DF9" w:rsidRDefault="000C3DF9" w:rsidP="000C3DF9">
      <w:pPr>
        <w:pStyle w:val="TextoNormalSangraFrancesa"/>
        <w:rPr>
          <w:rStyle w:val="TextoNormalCaracter"/>
        </w:rPr>
      </w:pPr>
      <w:bookmarkStart w:id="1079" w:name="DESCRIPTORALFABETICO298"/>
      <w:r w:rsidRPr="000C3DF9">
        <w:rPr>
          <w:rStyle w:val="TextoNormalNegritaCaracter"/>
        </w:rPr>
        <w:t>Control judicial</w:t>
      </w:r>
      <w:bookmarkEnd w:id="1079"/>
      <w:r w:rsidRPr="000C3DF9">
        <w:rPr>
          <w:rStyle w:val="TextoNormalCaracter"/>
        </w:rPr>
        <w:t xml:space="preserve">, Sentencias </w:t>
      </w:r>
      <w:hyperlink w:anchor="SENTENCIA_2002_80" w:history="1">
        <w:r w:rsidRPr="000C3DF9">
          <w:rPr>
            <w:rStyle w:val="TextoNormalCaracter"/>
          </w:rPr>
          <w:t>80/2002</w:t>
        </w:r>
      </w:hyperlink>
      <w:r w:rsidRPr="000C3DF9">
        <w:rPr>
          <w:rStyle w:val="TextoNormalCaracter"/>
        </w:rPr>
        <w:t xml:space="preserve">, f. 2; </w:t>
      </w:r>
      <w:hyperlink w:anchor="SENTENCIA_2002_82" w:history="1">
        <w:r w:rsidRPr="000C3DF9">
          <w:rPr>
            <w:rStyle w:val="TextoNormalCaracter"/>
          </w:rPr>
          <w:t>82/2002</w:t>
        </w:r>
      </w:hyperlink>
      <w:r w:rsidRPr="000C3DF9">
        <w:rPr>
          <w:rStyle w:val="TextoNormalCaracter"/>
        </w:rPr>
        <w:t>, f. 6.</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72" w:history="1">
        <w:r w:rsidRPr="000C3DF9">
          <w:rPr>
            <w:rStyle w:val="TextoNormalCaracter"/>
          </w:rPr>
          <w:t>72/2002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Control jurisdiccional</w:t>
      </w:r>
      <w:r>
        <w:t xml:space="preserve"> véase </w:t>
      </w:r>
      <w:hyperlink w:anchor="DESCRIPTORALFABETICO298" w:history="1">
        <w:r w:rsidRPr="000C3DF9">
          <w:rPr>
            <w:rStyle w:val="TextoNormalNegritaCaracter"/>
          </w:rPr>
          <w:t>Control judicial</w:t>
        </w:r>
      </w:hyperlink>
    </w:p>
    <w:p w:rsidR="000C3DF9" w:rsidRPr="000C3DF9" w:rsidRDefault="000C3DF9" w:rsidP="000C3DF9">
      <w:pPr>
        <w:pStyle w:val="TextoNormalSangraFrancesa"/>
        <w:rPr>
          <w:rStyle w:val="TextoNormalCaracter"/>
        </w:rPr>
      </w:pPr>
      <w:bookmarkStart w:id="1080" w:name="DESCRIPTORALFABETICO38"/>
      <w:r w:rsidRPr="000C3DF9">
        <w:rPr>
          <w:rStyle w:val="TextoNormalNegritaCaracter"/>
        </w:rPr>
        <w:t>Convenio económico entre el Estado y la Comunidad Foral de Navarra</w:t>
      </w:r>
      <w:bookmarkEnd w:id="1080"/>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5 a 12.</w:t>
      </w:r>
    </w:p>
    <w:p w:rsidR="000C3DF9" w:rsidRPr="000C3DF9" w:rsidRDefault="000C3DF9" w:rsidP="000C3DF9">
      <w:pPr>
        <w:pStyle w:val="TextoNormalSangraFrancesa"/>
        <w:rPr>
          <w:rStyle w:val="TextoNormalCaracter"/>
        </w:rPr>
      </w:pPr>
      <w:bookmarkStart w:id="1081" w:name="DESCRIPTORALFABETICO382"/>
      <w:r w:rsidRPr="000C3DF9">
        <w:rPr>
          <w:rStyle w:val="TextoNormalNegritaCaracter"/>
        </w:rPr>
        <w:t>Convivencia familiar</w:t>
      </w:r>
      <w:bookmarkEnd w:id="1081"/>
      <w:r w:rsidRPr="000C3DF9">
        <w:rPr>
          <w:rStyle w:val="TextoNormalCaracter"/>
        </w:rPr>
        <w:t xml:space="preserve">, Auto </w:t>
      </w:r>
      <w:hyperlink w:anchor="AUTO_2002_21" w:history="1">
        <w:r w:rsidRPr="000C3DF9">
          <w:rPr>
            <w:rStyle w:val="TextoNormalCaracter"/>
          </w:rPr>
          <w:t>21/2002</w:t>
        </w:r>
      </w:hyperlink>
      <w:r w:rsidRPr="000C3DF9">
        <w:rPr>
          <w:rStyle w:val="TextoNormalCaracter"/>
        </w:rPr>
        <w:t>.</w:t>
      </w:r>
    </w:p>
    <w:p w:rsidR="000C3DF9" w:rsidRPr="000C3DF9" w:rsidRDefault="000C3DF9" w:rsidP="000C3DF9">
      <w:pPr>
        <w:pStyle w:val="TextoNormalSangraFrancesa"/>
        <w:rPr>
          <w:rStyle w:val="TextoNormalCaracter"/>
        </w:rPr>
      </w:pPr>
      <w:bookmarkStart w:id="1082" w:name="DESCRIPTORALFABETICO481"/>
      <w:r w:rsidRPr="000C3DF9">
        <w:rPr>
          <w:rStyle w:val="TextoNormalNegritaCaracter"/>
        </w:rPr>
        <w:t>Cooperativas</w:t>
      </w:r>
      <w:bookmarkEnd w:id="1082"/>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083" w:name="DESCRIPTORALFABETICO287"/>
      <w:r w:rsidRPr="000C3DF9">
        <w:rPr>
          <w:rStyle w:val="TextoNormalNegritaCaracter"/>
        </w:rPr>
        <w:t>Coordinación entre el Estado y las Comunidades Autónomas</w:t>
      </w:r>
      <w:bookmarkEnd w:id="1083"/>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7.</w:t>
      </w:r>
    </w:p>
    <w:p w:rsidR="000C3DF9" w:rsidRPr="000C3DF9" w:rsidRDefault="000C3DF9" w:rsidP="000C3DF9">
      <w:pPr>
        <w:pStyle w:val="TextoNormalSangraFrancesa"/>
        <w:rPr>
          <w:rStyle w:val="TextoNormalCaracter"/>
        </w:rPr>
      </w:pPr>
      <w:bookmarkStart w:id="1084" w:name="DESCRIPTORALFABETICO288"/>
      <w:r w:rsidRPr="000C3DF9">
        <w:rPr>
          <w:rStyle w:val="TextoNormalNegritaCaracter"/>
        </w:rPr>
        <w:t>Coordinación presupuestaria entre el Estado y las Comunidades Autónomas</w:t>
      </w:r>
      <w:bookmarkEnd w:id="1084"/>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 5.</w:t>
      </w:r>
    </w:p>
    <w:p w:rsidR="000C3DF9" w:rsidRPr="000C3DF9" w:rsidRDefault="000C3DF9" w:rsidP="000C3DF9">
      <w:pPr>
        <w:pStyle w:val="TextoNormalSangraFrancesa"/>
        <w:rPr>
          <w:rStyle w:val="TextoNormalCaracter"/>
        </w:rPr>
      </w:pPr>
      <w:bookmarkStart w:id="1085" w:name="DESCRIPTORALFABETICO283"/>
      <w:r w:rsidRPr="000C3DF9">
        <w:rPr>
          <w:rStyle w:val="TextoNormalNegritaCaracter"/>
        </w:rPr>
        <w:t>Corporaciones de Derecho público</w:t>
      </w:r>
      <w:bookmarkEnd w:id="1085"/>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9.</w:t>
      </w:r>
    </w:p>
    <w:p w:rsidR="000C3DF9" w:rsidRPr="000C3DF9" w:rsidRDefault="000C3DF9" w:rsidP="000C3DF9">
      <w:pPr>
        <w:pStyle w:val="TextoNormalSangraFrancesa"/>
        <w:rPr>
          <w:rStyle w:val="TextoNormalCaracter"/>
        </w:rPr>
      </w:pPr>
      <w:bookmarkStart w:id="1086" w:name="DESCRIPTORALFABETICO552"/>
      <w:r w:rsidRPr="000C3DF9">
        <w:rPr>
          <w:rStyle w:val="TextoNormalNegritaCaracter"/>
        </w:rPr>
        <w:t>Correcciones disciplinarias procesales</w:t>
      </w:r>
      <w:bookmarkEnd w:id="1086"/>
      <w:r w:rsidRPr="000C3DF9">
        <w:rPr>
          <w:rStyle w:val="TextoNormalCaracter"/>
        </w:rPr>
        <w:t xml:space="preserve">, Sentencia </w:t>
      </w:r>
      <w:hyperlink w:anchor="SENTENCIA_2002_79" w:history="1">
        <w:r w:rsidRPr="000C3DF9">
          <w:rPr>
            <w:rStyle w:val="TextoNormalCaracter"/>
          </w:rPr>
          <w:t>79/2002</w:t>
        </w:r>
      </w:hyperlink>
      <w:r w:rsidRPr="000C3DF9">
        <w:rPr>
          <w:rStyle w:val="TextoNormalCaracter"/>
        </w:rPr>
        <w:t>, ff. 2, 4, 5.</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43" w:history="1">
        <w:r w:rsidRPr="000C3DF9">
          <w:rPr>
            <w:rStyle w:val="TextoNormalCaracter"/>
          </w:rPr>
          <w:t>43/2002</w:t>
        </w:r>
      </w:hyperlink>
      <w:r w:rsidRPr="000C3DF9">
        <w:rPr>
          <w:rStyle w:val="TextoNormalCaracter"/>
        </w:rPr>
        <w:t>.</w:t>
      </w:r>
    </w:p>
    <w:p w:rsidR="000C3DF9" w:rsidRPr="000C3DF9" w:rsidRDefault="000C3DF9" w:rsidP="000C3DF9">
      <w:pPr>
        <w:pStyle w:val="TextoNormalSangraFrancesa"/>
        <w:rPr>
          <w:rStyle w:val="TextoNormalCaracter"/>
        </w:rPr>
      </w:pPr>
      <w:bookmarkStart w:id="1087" w:name="DESCRIPTORALFABETICO312"/>
      <w:r w:rsidRPr="000C3DF9">
        <w:rPr>
          <w:rStyle w:val="TextoNormalNegritaCaracter"/>
        </w:rPr>
        <w:t>Cortes Generales</w:t>
      </w:r>
      <w:bookmarkEnd w:id="1087"/>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5.</w:t>
      </w:r>
    </w:p>
    <w:p w:rsidR="000C3DF9" w:rsidRPr="000C3DF9" w:rsidRDefault="000C3DF9" w:rsidP="000C3DF9">
      <w:pPr>
        <w:pStyle w:val="TextoNormalSangraFrancesa"/>
        <w:rPr>
          <w:rStyle w:val="TextoNormalCaracter"/>
        </w:rPr>
      </w:pPr>
      <w:bookmarkStart w:id="1088" w:name="DESCRIPTORALFABETICO556"/>
      <w:r w:rsidRPr="000C3DF9">
        <w:rPr>
          <w:rStyle w:val="TextoNormalNegritaCaracter"/>
        </w:rPr>
        <w:t>Cosa juzgada</w:t>
      </w:r>
      <w:bookmarkEnd w:id="1088"/>
      <w:r w:rsidRPr="000C3DF9">
        <w:rPr>
          <w:rStyle w:val="TextoNormalCaracter"/>
        </w:rPr>
        <w:t xml:space="preserve">, Sentencia </w:t>
      </w:r>
      <w:hyperlink w:anchor="SENTENCIA_2002_43" w:history="1">
        <w:r w:rsidRPr="000C3DF9">
          <w:rPr>
            <w:rStyle w:val="TextoNormalCaracter"/>
          </w:rPr>
          <w:t>43/2002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Pr="000C3DF9" w:rsidRDefault="000C3DF9" w:rsidP="000C3DF9">
      <w:pPr>
        <w:pStyle w:val="TextoNormalSangraFrancesa"/>
        <w:rPr>
          <w:rStyle w:val="TextoNormalCaracter"/>
        </w:rPr>
      </w:pPr>
      <w:bookmarkStart w:id="1089" w:name="DESCRIPTORALFABETICO557"/>
      <w:r w:rsidRPr="000C3DF9">
        <w:rPr>
          <w:rStyle w:val="TextoNormalNegritaCaracter"/>
        </w:rPr>
        <w:t>Cosa juzgada material</w:t>
      </w:r>
      <w:bookmarkEnd w:id="1089"/>
      <w:r w:rsidRPr="000C3DF9">
        <w:rPr>
          <w:rStyle w:val="TextoNormalCaracter"/>
        </w:rPr>
        <w:t xml:space="preserve">, Sentencias </w:t>
      </w:r>
      <w:hyperlink w:anchor="SENTENCIA_2002_3" w:history="1">
        <w:r w:rsidRPr="000C3DF9">
          <w:rPr>
            <w:rStyle w:val="TextoNormalCaracter"/>
          </w:rPr>
          <w:t>3/2002</w:t>
        </w:r>
      </w:hyperlink>
      <w:r w:rsidRPr="000C3DF9">
        <w:rPr>
          <w:rStyle w:val="TextoNormalCaracter"/>
        </w:rPr>
        <w:t xml:space="preserve">, f. 4 a); </w:t>
      </w:r>
      <w:hyperlink w:anchor="SENTENCIA_2002_15" w:history="1">
        <w:r w:rsidRPr="000C3DF9">
          <w:rPr>
            <w:rStyle w:val="TextoNormalCaracter"/>
          </w:rPr>
          <w:t>15/2002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90" w:name="DESCRIPTORALFABETICO559"/>
      <w:r w:rsidRPr="000C3DF9">
        <w:rPr>
          <w:rStyle w:val="TextoNormalNegritaCaracter"/>
        </w:rPr>
        <w:t>Costas procesales</w:t>
      </w:r>
      <w:bookmarkEnd w:id="1090"/>
      <w:r w:rsidRPr="000C3DF9">
        <w:rPr>
          <w:rStyle w:val="TextoNormalCaracter"/>
        </w:rPr>
        <w:t xml:space="preserve">, Autos </w:t>
      </w:r>
      <w:hyperlink w:anchor="AUTO_2002_22" w:history="1">
        <w:r w:rsidRPr="000C3DF9">
          <w:rPr>
            <w:rStyle w:val="TextoNormalCaracter"/>
          </w:rPr>
          <w:t>22/2002</w:t>
        </w:r>
      </w:hyperlink>
      <w:r w:rsidRPr="000C3DF9">
        <w:rPr>
          <w:rStyle w:val="TextoNormalCaracter"/>
        </w:rPr>
        <w:t xml:space="preserve">; </w:t>
      </w:r>
      <w:hyperlink w:anchor="AUTO_2002_25" w:history="1">
        <w:r w:rsidRPr="000C3DF9">
          <w:rPr>
            <w:rStyle w:val="TextoNormalCaracter"/>
          </w:rPr>
          <w:t>25/2002</w:t>
        </w:r>
      </w:hyperlink>
      <w:r w:rsidRPr="000C3DF9">
        <w:rPr>
          <w:rStyle w:val="TextoNormalCaracter"/>
        </w:rPr>
        <w:t xml:space="preserve">; </w:t>
      </w:r>
      <w:hyperlink w:anchor="AUTO_2002_41" w:history="1">
        <w:r w:rsidRPr="000C3DF9">
          <w:rPr>
            <w:rStyle w:val="TextoNormalCaracter"/>
          </w:rPr>
          <w:t>41/2002</w:t>
        </w:r>
      </w:hyperlink>
      <w:r w:rsidRPr="000C3DF9">
        <w:rPr>
          <w:rStyle w:val="TextoNormalCaracter"/>
        </w:rPr>
        <w:t xml:space="preserve">; </w:t>
      </w:r>
      <w:hyperlink w:anchor="AUTO_2002_58" w:history="1">
        <w:r w:rsidRPr="000C3DF9">
          <w:rPr>
            <w:rStyle w:val="TextoNormalCaracter"/>
          </w:rPr>
          <w:t>58/2002</w:t>
        </w:r>
      </w:hyperlink>
      <w:r w:rsidRPr="000C3DF9">
        <w:rPr>
          <w:rStyle w:val="TextoNormalCaracter"/>
        </w:rPr>
        <w:t xml:space="preserve">; </w:t>
      </w:r>
      <w:hyperlink w:anchor="AUTO_2002_65" w:history="1">
        <w:r w:rsidRPr="000C3DF9">
          <w:rPr>
            <w:rStyle w:val="TextoNormalCaracter"/>
          </w:rPr>
          <w:t>65/2002</w:t>
        </w:r>
      </w:hyperlink>
      <w:r w:rsidRPr="000C3DF9">
        <w:rPr>
          <w:rStyle w:val="TextoNormalCaracter"/>
        </w:rPr>
        <w:t xml:space="preserve">; </w:t>
      </w:r>
      <w:hyperlink w:anchor="AUTO_2002_69" w:history="1">
        <w:r w:rsidRPr="000C3DF9">
          <w:rPr>
            <w:rStyle w:val="TextoNormalCaracter"/>
          </w:rPr>
          <w:t>69/2002</w:t>
        </w:r>
      </w:hyperlink>
      <w:r w:rsidRPr="000C3DF9">
        <w:rPr>
          <w:rStyle w:val="TextoNormalCaracter"/>
        </w:rPr>
        <w:t xml:space="preserve">; </w:t>
      </w:r>
      <w:hyperlink w:anchor="AUTO_2002_71" w:history="1">
        <w:r w:rsidRPr="000C3DF9">
          <w:rPr>
            <w:rStyle w:val="TextoNormalCaracter"/>
          </w:rPr>
          <w:t>71/2002</w:t>
        </w:r>
      </w:hyperlink>
      <w:r w:rsidRPr="000C3DF9">
        <w:rPr>
          <w:rStyle w:val="TextoNormalCaracter"/>
        </w:rPr>
        <w:t>.</w:t>
      </w:r>
    </w:p>
    <w:p w:rsidR="000C3DF9" w:rsidRPr="000C3DF9" w:rsidRDefault="000C3DF9" w:rsidP="000C3DF9">
      <w:pPr>
        <w:pStyle w:val="TextoNormalSangraFrancesa"/>
        <w:rPr>
          <w:rStyle w:val="TextoNormalCaracter"/>
        </w:rPr>
      </w:pPr>
      <w:bookmarkStart w:id="1091" w:name="DESCRIPTORALFABETICO137"/>
      <w:r w:rsidRPr="000C3DF9">
        <w:rPr>
          <w:rStyle w:val="TextoNormalNegritaCaracter"/>
        </w:rPr>
        <w:t>Crítica a la actividad profesional</w:t>
      </w:r>
      <w:bookmarkEnd w:id="1091"/>
      <w:r w:rsidRPr="000C3DF9">
        <w:rPr>
          <w:rStyle w:val="TextoNormalCaracter"/>
        </w:rPr>
        <w:t xml:space="preserve">, Sentencia </w:t>
      </w:r>
      <w:hyperlink w:anchor="SENTENCIA_2002_20" w:history="1">
        <w:r w:rsidRPr="000C3DF9">
          <w:rPr>
            <w:rStyle w:val="TextoNormalCaracter"/>
          </w:rPr>
          <w:t>20/2002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092" w:name="DESCRIPTORALFABETICO560"/>
      <w:r w:rsidRPr="000C3DF9">
        <w:rPr>
          <w:rStyle w:val="TextoNormalNegritaCaracter"/>
        </w:rPr>
        <w:t>Cuantía litigiosa</w:t>
      </w:r>
      <w:bookmarkEnd w:id="1092"/>
      <w:r w:rsidRPr="000C3DF9">
        <w:rPr>
          <w:rStyle w:val="TextoNormalCaracter"/>
        </w:rPr>
        <w:t xml:space="preserve">, Sentencias </w:t>
      </w:r>
      <w:hyperlink w:anchor="SENTENCIA_2002_13" w:history="1">
        <w:r w:rsidRPr="000C3DF9">
          <w:rPr>
            <w:rStyle w:val="TextoNormalCaracter"/>
          </w:rPr>
          <w:t>13/2002</w:t>
        </w:r>
      </w:hyperlink>
      <w:r w:rsidRPr="000C3DF9">
        <w:rPr>
          <w:rStyle w:val="TextoNormalCaracter"/>
        </w:rPr>
        <w:t xml:space="preserve">, f. 6; </w:t>
      </w:r>
      <w:hyperlink w:anchor="SENTENCIA_2002_60" w:history="1">
        <w:r w:rsidRPr="000C3DF9">
          <w:rPr>
            <w:rStyle w:val="TextoNormalCaracter"/>
          </w:rPr>
          <w:t>60/2002</w:t>
        </w:r>
      </w:hyperlink>
      <w:r w:rsidRPr="000C3DF9">
        <w:rPr>
          <w:rStyle w:val="TextoNormalCaracter"/>
        </w:rPr>
        <w:t xml:space="preserve">, f. 5; </w:t>
      </w:r>
      <w:hyperlink w:anchor="SENTENCIA_2002_78" w:history="1">
        <w:r w:rsidRPr="000C3DF9">
          <w:rPr>
            <w:rStyle w:val="TextoNormalCaracter"/>
          </w:rPr>
          <w:t>78/2002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9" w:history="1">
        <w:r w:rsidRPr="000C3DF9">
          <w:rPr>
            <w:rStyle w:val="TextoNormalCaracter"/>
          </w:rPr>
          <w:t>9/2002</w:t>
        </w:r>
      </w:hyperlink>
      <w:r w:rsidRPr="000C3DF9">
        <w:rPr>
          <w:rStyle w:val="TextoNormalCaracter"/>
        </w:rPr>
        <w:t>.</w:t>
      </w:r>
    </w:p>
    <w:p w:rsidR="000C3DF9" w:rsidRPr="000C3DF9" w:rsidRDefault="000C3DF9" w:rsidP="000C3DF9">
      <w:pPr>
        <w:pStyle w:val="TextoNormalSangraFrancesa"/>
        <w:rPr>
          <w:rStyle w:val="TextoNormalCaracter"/>
        </w:rPr>
      </w:pPr>
      <w:bookmarkStart w:id="1093" w:name="DESCRIPTORALFABETICO493"/>
      <w:r w:rsidRPr="000C3DF9">
        <w:rPr>
          <w:rStyle w:val="TextoNormalNegritaCaracter"/>
        </w:rPr>
        <w:t>Cuantificación integral de daños conforme a baremo legal orientativo</w:t>
      </w:r>
      <w:bookmarkEnd w:id="1093"/>
      <w:r w:rsidRPr="000C3DF9">
        <w:rPr>
          <w:rStyle w:val="TextoNormalCaracter"/>
        </w:rPr>
        <w:t xml:space="preserve">, Sentencia </w:t>
      </w:r>
      <w:hyperlink w:anchor="SENTENCIA_2002_9" w:history="1">
        <w:r w:rsidRPr="000C3DF9">
          <w:rPr>
            <w:rStyle w:val="TextoNormalCaracter"/>
          </w:rPr>
          <w:t>9/2002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94" w:name="DESCRIPTORALFABETICO206"/>
      <w:r w:rsidRPr="000C3DF9">
        <w:rPr>
          <w:rStyle w:val="TextoNormalNegritaCaracter"/>
        </w:rPr>
        <w:t>Cuestión de inconstitucionalidad</w:t>
      </w:r>
      <w:bookmarkEnd w:id="1094"/>
      <w:r w:rsidRPr="000C3DF9">
        <w:rPr>
          <w:rStyle w:val="TextoNormalCaracter"/>
        </w:rPr>
        <w:t xml:space="preserve">, Sentencias </w:t>
      </w:r>
      <w:hyperlink w:anchor="SENTENCIA_2002_10" w:history="1">
        <w:r w:rsidRPr="000C3DF9">
          <w:rPr>
            <w:rStyle w:val="TextoNormalCaracter"/>
          </w:rPr>
          <w:t>10/2002</w:t>
        </w:r>
      </w:hyperlink>
      <w:r w:rsidRPr="000C3DF9">
        <w:rPr>
          <w:rStyle w:val="TextoNormalCaracter"/>
        </w:rPr>
        <w:t xml:space="preserve">, f. 2; </w:t>
      </w:r>
      <w:hyperlink w:anchor="SENTENCIA_2002_35" w:history="1">
        <w:r w:rsidRPr="000C3DF9">
          <w:rPr>
            <w:rStyle w:val="TextoNormalCaracter"/>
          </w:rPr>
          <w:t>35/2002</w:t>
        </w:r>
      </w:hyperlink>
      <w:r w:rsidRPr="000C3DF9">
        <w:rPr>
          <w:rStyle w:val="TextoNormalCaracter"/>
        </w:rPr>
        <w:t xml:space="preserve">, f. 3; </w:t>
      </w:r>
      <w:hyperlink w:anchor="SENTENCIA_2002_37" w:history="1">
        <w:r w:rsidRPr="000C3DF9">
          <w:rPr>
            <w:rStyle w:val="TextoNormalCaracter"/>
          </w:rPr>
          <w:t>37/2002</w:t>
        </w:r>
      </w:hyperlink>
      <w:r w:rsidRPr="000C3DF9">
        <w:rPr>
          <w:rStyle w:val="TextoNormalCaracter"/>
        </w:rPr>
        <w:t xml:space="preserve">, f. 3; </w:t>
      </w:r>
      <w:hyperlink w:anchor="SENTENCIA_2002_39" w:history="1">
        <w:r w:rsidRPr="000C3DF9">
          <w:rPr>
            <w:rStyle w:val="TextoNormalCaracter"/>
          </w:rPr>
          <w:t>39/2002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095" w:name="DESCRIPTORALFABETICO208"/>
      <w:r w:rsidRPr="000C3DF9">
        <w:rPr>
          <w:rStyle w:val="TextoNormalNegritaCaracter"/>
        </w:rPr>
        <w:t>Cuestión de inconstitucionalidad notoriamente infundada</w:t>
      </w:r>
      <w:bookmarkEnd w:id="1095"/>
      <w:r w:rsidRPr="000C3DF9">
        <w:rPr>
          <w:rStyle w:val="TextoNormalCaracter"/>
        </w:rPr>
        <w:t xml:space="preserve">, Autos </w:t>
      </w:r>
      <w:hyperlink w:anchor="AUTO_2002_26" w:history="1">
        <w:r w:rsidRPr="000C3DF9">
          <w:rPr>
            <w:rStyle w:val="TextoNormalCaracter"/>
          </w:rPr>
          <w:t>26/2002</w:t>
        </w:r>
      </w:hyperlink>
      <w:r w:rsidRPr="000C3DF9">
        <w:rPr>
          <w:rStyle w:val="TextoNormalCaracter"/>
        </w:rPr>
        <w:t xml:space="preserve">; </w:t>
      </w:r>
      <w:hyperlink w:anchor="AUTO_2002_72" w:history="1">
        <w:r w:rsidRPr="000C3DF9">
          <w:rPr>
            <w:rStyle w:val="TextoNormalCaracter"/>
          </w:rPr>
          <w:t>72/2002</w:t>
        </w:r>
      </w:hyperlink>
      <w:r w:rsidRPr="000C3DF9">
        <w:rPr>
          <w:rStyle w:val="TextoNormalCaracter"/>
        </w:rPr>
        <w:t>.</w:t>
      </w:r>
    </w:p>
    <w:p w:rsidR="000C3DF9" w:rsidRPr="000C3DF9" w:rsidRDefault="000C3DF9" w:rsidP="000C3DF9">
      <w:pPr>
        <w:pStyle w:val="TextoNormalSangraFrancesa"/>
        <w:rPr>
          <w:rStyle w:val="TextoNormalCaracter"/>
        </w:rPr>
      </w:pPr>
      <w:bookmarkStart w:id="1096" w:name="DESCRIPTORALFABETICO561"/>
      <w:r w:rsidRPr="000C3DF9">
        <w:rPr>
          <w:rStyle w:val="TextoNormalNegritaCaracter"/>
        </w:rPr>
        <w:t>Cuestión de legalidad ordinaria</w:t>
      </w:r>
      <w:bookmarkEnd w:id="1096"/>
      <w:r w:rsidRPr="000C3DF9">
        <w:rPr>
          <w:rStyle w:val="TextoNormalCaracter"/>
        </w:rPr>
        <w:t xml:space="preserve">, Sentencias </w:t>
      </w:r>
      <w:hyperlink w:anchor="SENTENCIA_2002_12" w:history="1">
        <w:r w:rsidRPr="000C3DF9">
          <w:rPr>
            <w:rStyle w:val="TextoNormalCaracter"/>
          </w:rPr>
          <w:t>12/2002</w:t>
        </w:r>
      </w:hyperlink>
      <w:r w:rsidRPr="000C3DF9">
        <w:rPr>
          <w:rStyle w:val="TextoNormalCaracter"/>
        </w:rPr>
        <w:t xml:space="preserve">, f. 6; </w:t>
      </w:r>
      <w:hyperlink w:anchor="SENTENCIA_2002_77" w:history="1">
        <w:r w:rsidRPr="000C3DF9">
          <w:rPr>
            <w:rStyle w:val="TextoNormalCaracter"/>
          </w:rPr>
          <w:t>77/2002</w:t>
        </w:r>
      </w:hyperlink>
      <w:r w:rsidRPr="000C3DF9">
        <w:rPr>
          <w:rStyle w:val="TextoNormalCaracter"/>
        </w:rPr>
        <w:t>, f. 3.</w:t>
      </w:r>
    </w:p>
    <w:p w:rsidR="000C3DF9" w:rsidRPr="000C3DF9" w:rsidRDefault="000C3DF9" w:rsidP="000C3DF9">
      <w:pPr>
        <w:pStyle w:val="TextoNormalSangraFrancesa"/>
        <w:rPr>
          <w:rStyle w:val="TextoNormalCaracter"/>
        </w:rPr>
      </w:pPr>
      <w:bookmarkStart w:id="1097" w:name="DESCRIPTORALFABETICO562"/>
      <w:r w:rsidRPr="000C3DF9">
        <w:rPr>
          <w:rStyle w:val="TextoNormalNegritaCaracter"/>
        </w:rPr>
        <w:lastRenderedPageBreak/>
        <w:t>Cuestión nueva</w:t>
      </w:r>
      <w:bookmarkEnd w:id="1097"/>
      <w:r w:rsidRPr="000C3DF9">
        <w:rPr>
          <w:rStyle w:val="TextoNormalCaracter"/>
        </w:rPr>
        <w:t xml:space="preserve">, Sentencias </w:t>
      </w:r>
      <w:hyperlink w:anchor="SENTENCIA_2002_20" w:history="1">
        <w:r w:rsidRPr="000C3DF9">
          <w:rPr>
            <w:rStyle w:val="TextoNormalCaracter"/>
          </w:rPr>
          <w:t>20/2002</w:t>
        </w:r>
      </w:hyperlink>
      <w:r w:rsidRPr="000C3DF9">
        <w:rPr>
          <w:rStyle w:val="TextoNormalCaracter"/>
        </w:rPr>
        <w:t xml:space="preserve">, f. 2; </w:t>
      </w:r>
      <w:hyperlink w:anchor="SENTENCIA_2002_36" w:history="1">
        <w:r w:rsidRPr="000C3DF9">
          <w:rPr>
            <w:rStyle w:val="TextoNormalCaracter"/>
          </w:rPr>
          <w:t>36/2002</w:t>
        </w:r>
      </w:hyperlink>
      <w:r w:rsidRPr="000C3DF9">
        <w:rPr>
          <w:rStyle w:val="TextoNormalCaracter"/>
        </w:rPr>
        <w:t>, f. 7.</w:t>
      </w:r>
    </w:p>
    <w:p w:rsidR="000C3DF9" w:rsidRPr="000C3DF9" w:rsidRDefault="000C3DF9" w:rsidP="000C3DF9">
      <w:pPr>
        <w:pStyle w:val="TextoNormalSangraFrancesa"/>
        <w:rPr>
          <w:rStyle w:val="TextoNormalNegritaCaracter"/>
        </w:rPr>
      </w:pPr>
      <w:r w:rsidRPr="000C3DF9">
        <w:rPr>
          <w:rStyle w:val="TextoNormalCursivaCaracter"/>
        </w:rPr>
        <w:t>Cursos de formación</w:t>
      </w:r>
      <w:r>
        <w:t xml:space="preserve"> véase </w:t>
      </w:r>
      <w:hyperlink w:anchor="DESCRIPTORALFABETICO503" w:history="1">
        <w:r w:rsidRPr="000C3DF9">
          <w:rPr>
            <w:rStyle w:val="TextoNormalNegritaCaracter"/>
          </w:rPr>
          <w:t>Acciones formativas</w:t>
        </w:r>
      </w:hyperlink>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D</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NegritaCaracter"/>
        </w:rPr>
      </w:pPr>
      <w:r w:rsidRPr="000C3DF9">
        <w:rPr>
          <w:rStyle w:val="TextoNormalCursivaCaracter"/>
        </w:rPr>
        <w:t>Daños no acreditados</w:t>
      </w:r>
      <w:r>
        <w:t xml:space="preserve"> véase </w:t>
      </w:r>
      <w:hyperlink w:anchor="DESCRIPTORALFABETICO176" w:history="1">
        <w:r w:rsidRPr="000C3DF9">
          <w:rPr>
            <w:rStyle w:val="TextoNormalNegritaCaracter"/>
          </w:rPr>
          <w:t>Prueba del perjuicio</w:t>
        </w:r>
      </w:hyperlink>
    </w:p>
    <w:p w:rsidR="000C3DF9" w:rsidRPr="000C3DF9" w:rsidRDefault="000C3DF9" w:rsidP="000C3DF9">
      <w:pPr>
        <w:pStyle w:val="TextoNormalSangraFrancesa"/>
        <w:rPr>
          <w:rStyle w:val="TextoNormalNegritaCaracter"/>
        </w:rPr>
      </w:pPr>
      <w:r w:rsidRPr="000C3DF9">
        <w:rPr>
          <w:rStyle w:val="TextoNormalCursivaCaracter"/>
        </w:rPr>
        <w:t>Deber de cesión de aprovechamiento urbanístico del suelo</w:t>
      </w:r>
      <w:r>
        <w:t xml:space="preserve"> véase </w:t>
      </w:r>
      <w:hyperlink w:anchor="DESCRIPTORALFABETICO410" w:history="1">
        <w:r w:rsidRPr="000C3DF9">
          <w:rPr>
            <w:rStyle w:val="TextoNormalNegritaCaracter"/>
          </w:rPr>
          <w:t>Cesión del aprovechamiento urbanístico</w:t>
        </w:r>
      </w:hyperlink>
    </w:p>
    <w:p w:rsidR="000C3DF9" w:rsidRPr="000C3DF9" w:rsidRDefault="000C3DF9" w:rsidP="000C3DF9">
      <w:pPr>
        <w:pStyle w:val="TextoNormalSangraFrancesa"/>
        <w:rPr>
          <w:rStyle w:val="TextoNormalCaracter"/>
        </w:rPr>
      </w:pPr>
      <w:bookmarkStart w:id="1098" w:name="DESCRIPTORALFABETICO143"/>
      <w:r w:rsidRPr="000C3DF9">
        <w:rPr>
          <w:rStyle w:val="TextoNormalNegritaCaracter"/>
        </w:rPr>
        <w:t>Deber de diligencia del informador</w:t>
      </w:r>
      <w:bookmarkEnd w:id="1098"/>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 6; </w:t>
      </w:r>
      <w:hyperlink w:anchor="SENTENCIA_2002_52" w:history="1">
        <w:r w:rsidRPr="000C3DF9">
          <w:rPr>
            <w:rStyle w:val="TextoNormalCaracter"/>
          </w:rPr>
          <w:t>52/2002</w:t>
        </w:r>
      </w:hyperlink>
      <w:r w:rsidRPr="000C3DF9">
        <w:rPr>
          <w:rStyle w:val="TextoNormalCaracter"/>
        </w:rPr>
        <w:t>, f. 6.</w:t>
      </w:r>
    </w:p>
    <w:p w:rsidR="000C3DF9" w:rsidRPr="000C3DF9" w:rsidRDefault="000C3DF9" w:rsidP="000C3DF9">
      <w:pPr>
        <w:pStyle w:val="TextoNormalSangraFrancesa"/>
        <w:rPr>
          <w:rStyle w:val="TextoNormalCaracter"/>
        </w:rPr>
      </w:pPr>
      <w:bookmarkStart w:id="1099" w:name="DESCRIPTORALFABETICO273"/>
      <w:r w:rsidRPr="000C3DF9">
        <w:rPr>
          <w:rStyle w:val="TextoNormalNegritaCaracter"/>
        </w:rPr>
        <w:t>Declaración de firmeza de la resolución recurrida</w:t>
      </w:r>
      <w:bookmarkEnd w:id="1099"/>
      <w:r w:rsidRPr="000C3DF9">
        <w:rPr>
          <w:rStyle w:val="TextoNormalCaracter"/>
        </w:rPr>
        <w:t xml:space="preserve">, Sentencia </w:t>
      </w:r>
      <w:hyperlink w:anchor="SENTENCIA_2002_48" w:history="1">
        <w:r w:rsidRPr="000C3DF9">
          <w:rPr>
            <w:rStyle w:val="TextoNormalCaracter"/>
          </w:rPr>
          <w:t>48/2002</w:t>
        </w:r>
      </w:hyperlink>
      <w:r w:rsidRPr="000C3DF9">
        <w:rPr>
          <w:rStyle w:val="TextoNormalCaracter"/>
        </w:rPr>
        <w:t>, f. 9.</w:t>
      </w:r>
    </w:p>
    <w:p w:rsidR="000C3DF9" w:rsidRPr="000C3DF9" w:rsidRDefault="000C3DF9" w:rsidP="000C3DF9">
      <w:pPr>
        <w:pStyle w:val="TextoNormalSangraFrancesa"/>
        <w:rPr>
          <w:rStyle w:val="TextoNormalCaracter"/>
        </w:rPr>
      </w:pPr>
      <w:bookmarkStart w:id="1100" w:name="DESCRIPTORALFABETICO214"/>
      <w:r w:rsidRPr="000C3DF9">
        <w:rPr>
          <w:rStyle w:val="TextoNormalNegritaCaracter"/>
        </w:rPr>
        <w:t>Declaración de inconstitucionalidad</w:t>
      </w:r>
      <w:bookmarkEnd w:id="1100"/>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20, VP II.</w:t>
      </w:r>
    </w:p>
    <w:p w:rsidR="000C3DF9" w:rsidRPr="000C3DF9" w:rsidRDefault="000C3DF9" w:rsidP="000C3DF9">
      <w:pPr>
        <w:pStyle w:val="TextoNormalSangraFrancesa"/>
        <w:rPr>
          <w:rStyle w:val="TextoNormalCaracter"/>
        </w:rPr>
      </w:pPr>
      <w:bookmarkStart w:id="1101" w:name="DESCRIPTORALFABETICO202"/>
      <w:r w:rsidRPr="000C3DF9">
        <w:rPr>
          <w:rStyle w:val="TextoNormalNegritaCaracter"/>
        </w:rPr>
        <w:t>Declaración de titularidad de la competencia controvertida</w:t>
      </w:r>
      <w:bookmarkEnd w:id="1101"/>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22.</w:t>
      </w:r>
    </w:p>
    <w:p w:rsidR="000C3DF9" w:rsidRPr="000C3DF9" w:rsidRDefault="000C3DF9" w:rsidP="000C3DF9">
      <w:pPr>
        <w:pStyle w:val="TextoNormalSangraFrancesa"/>
        <w:rPr>
          <w:rStyle w:val="TextoNormalCaracter"/>
        </w:rPr>
      </w:pPr>
      <w:bookmarkStart w:id="1102" w:name="DESCRIPTORALFABETICO708"/>
      <w:r w:rsidRPr="000C3DF9">
        <w:rPr>
          <w:rStyle w:val="TextoNormalNegritaCaracter"/>
        </w:rPr>
        <w:t>Declaraciones de coimputados</w:t>
      </w:r>
      <w:bookmarkEnd w:id="1102"/>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ff. 6, 8; </w:t>
      </w:r>
      <w:hyperlink w:anchor="SENTENCIA_2002_57" w:history="1">
        <w:r w:rsidRPr="000C3DF9">
          <w:rPr>
            <w:rStyle w:val="TextoNormalCaracter"/>
          </w:rPr>
          <w:t>57/2002</w:t>
        </w:r>
      </w:hyperlink>
      <w:r w:rsidRPr="000C3DF9">
        <w:rPr>
          <w:rStyle w:val="TextoNormalCaracter"/>
        </w:rPr>
        <w:t xml:space="preserve">, f. 4; </w:t>
      </w:r>
      <w:hyperlink w:anchor="SENTENCIA_2002_68" w:history="1">
        <w:r w:rsidRPr="000C3DF9">
          <w:rPr>
            <w:rStyle w:val="TextoNormalCaracter"/>
          </w:rPr>
          <w:t>68/2002</w:t>
        </w:r>
      </w:hyperlink>
      <w:r w:rsidRPr="000C3DF9">
        <w:rPr>
          <w:rStyle w:val="TextoNormalCaracter"/>
        </w:rPr>
        <w:t xml:space="preserve">, ff. 8, 9; </w:t>
      </w:r>
      <w:hyperlink w:anchor="SENTENCIA_2002_70" w:history="1">
        <w:r w:rsidRPr="000C3DF9">
          <w:rPr>
            <w:rStyle w:val="TextoNormalCaracter"/>
          </w:rPr>
          <w:t>70/2002</w:t>
        </w:r>
      </w:hyperlink>
      <w:r w:rsidRPr="000C3DF9">
        <w:rPr>
          <w:rStyle w:val="TextoNormalCaracter"/>
        </w:rPr>
        <w:t>, f. 11.</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8" w:history="1">
        <w:r w:rsidRPr="000C3DF9">
          <w:rPr>
            <w:rStyle w:val="TextoNormalCaracter"/>
          </w:rPr>
          <w:t>8/2002</w:t>
        </w:r>
      </w:hyperlink>
      <w:r w:rsidRPr="000C3DF9">
        <w:rPr>
          <w:rStyle w:val="TextoNormalCaracter"/>
        </w:rPr>
        <w:t xml:space="preserve">; </w:t>
      </w:r>
      <w:hyperlink w:anchor="AUTO_2002_44" w:history="1">
        <w:r w:rsidRPr="000C3DF9">
          <w:rPr>
            <w:rStyle w:val="TextoNormalCaracter"/>
          </w:rPr>
          <w:t>44/2002</w:t>
        </w:r>
      </w:hyperlink>
      <w:r w:rsidRPr="000C3DF9">
        <w:rPr>
          <w:rStyle w:val="TextoNormalCaracter"/>
        </w:rPr>
        <w:t xml:space="preserve">; </w:t>
      </w:r>
      <w:hyperlink w:anchor="AUTO_2002_68" w:history="1">
        <w:r w:rsidRPr="000C3DF9">
          <w:rPr>
            <w:rStyle w:val="TextoNormalCaracter"/>
          </w:rPr>
          <w:t>68/2002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Declaraciones prestadas en fase sumarial</w:t>
      </w:r>
      <w:r>
        <w:t xml:space="preserve"> véase </w:t>
      </w:r>
      <w:hyperlink w:anchor="DESCRIPTORALFABETICO709" w:history="1">
        <w:r w:rsidRPr="000C3DF9">
          <w:rPr>
            <w:rStyle w:val="TextoNormalNegritaCaracter"/>
          </w:rPr>
          <w:t>Declaraciones sumariales</w:t>
        </w:r>
      </w:hyperlink>
    </w:p>
    <w:p w:rsidR="000C3DF9" w:rsidRPr="000C3DF9" w:rsidRDefault="000C3DF9" w:rsidP="000C3DF9">
      <w:pPr>
        <w:pStyle w:val="TextoNormalSangraFrancesa"/>
        <w:rPr>
          <w:rStyle w:val="TextoNormalCaracter"/>
        </w:rPr>
      </w:pPr>
      <w:bookmarkStart w:id="1103" w:name="DESCRIPTORALFABETICO709"/>
      <w:r w:rsidRPr="000C3DF9">
        <w:rPr>
          <w:rStyle w:val="TextoNormalNegritaCaracter"/>
        </w:rPr>
        <w:t>Declaraciones sumariales</w:t>
      </w:r>
      <w:bookmarkEnd w:id="1103"/>
      <w:r w:rsidRPr="000C3DF9">
        <w:rPr>
          <w:rStyle w:val="TextoNormalCaracter"/>
        </w:rPr>
        <w:t xml:space="preserve">, Sentencia </w:t>
      </w:r>
      <w:hyperlink w:anchor="SENTENCIA_2002_12" w:history="1">
        <w:r w:rsidRPr="000C3DF9">
          <w:rPr>
            <w:rStyle w:val="TextoNormalCaracter"/>
          </w:rPr>
          <w:t>12/2002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1" w:history="1">
        <w:r w:rsidRPr="000C3DF9">
          <w:rPr>
            <w:rStyle w:val="TextoNormalCaracter"/>
          </w:rPr>
          <w:t>11/2002</w:t>
        </w:r>
      </w:hyperlink>
      <w:r w:rsidRPr="000C3DF9">
        <w:rPr>
          <w:rStyle w:val="TextoNormalCaracter"/>
        </w:rPr>
        <w:t>.</w:t>
      </w:r>
    </w:p>
    <w:p w:rsidR="000C3DF9" w:rsidRPr="000C3DF9" w:rsidRDefault="000C3DF9" w:rsidP="000C3DF9">
      <w:pPr>
        <w:pStyle w:val="TextoNormalSangraFrancesa"/>
        <w:rPr>
          <w:rStyle w:val="TextoNormalCaracter"/>
        </w:rPr>
      </w:pPr>
      <w:bookmarkStart w:id="1104" w:name="DESCRIPTORALFABETICO710"/>
      <w:r w:rsidRPr="000C3DF9">
        <w:rPr>
          <w:rStyle w:val="TextoNormalNegritaCaracter"/>
        </w:rPr>
        <w:t xml:space="preserve">Declaraciones sumariales prestadas sin garantía de contradicción </w:t>
      </w:r>
      <w:bookmarkEnd w:id="1104"/>
      <w:r w:rsidRPr="000C3DF9">
        <w:rPr>
          <w:rStyle w:val="TextoNormalCaracter"/>
        </w:rPr>
        <w:t xml:space="preserve">, Sentencia </w:t>
      </w:r>
      <w:hyperlink w:anchor="SENTENCIA_2002_94" w:history="1">
        <w:r w:rsidRPr="000C3DF9">
          <w:rPr>
            <w:rStyle w:val="TextoNormalCaracter"/>
          </w:rPr>
          <w:t>94/2002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05" w:name="DESCRIPTORALFABETICO424"/>
      <w:r w:rsidRPr="000C3DF9">
        <w:rPr>
          <w:rStyle w:val="TextoNormalNegritaCaracter"/>
        </w:rPr>
        <w:t>Decretos-leyes</w:t>
      </w:r>
      <w:bookmarkEnd w:id="1105"/>
      <w:r w:rsidRPr="000C3DF9">
        <w:rPr>
          <w:rStyle w:val="TextoNormalCaracter"/>
        </w:rPr>
        <w:t xml:space="preserve">, Sentencias </w:t>
      </w:r>
      <w:hyperlink w:anchor="SENTENCIA_2002_11" w:history="1">
        <w:r w:rsidRPr="000C3DF9">
          <w:rPr>
            <w:rStyle w:val="TextoNormalCaracter"/>
          </w:rPr>
          <w:t>11/2002</w:t>
        </w:r>
      </w:hyperlink>
      <w:r w:rsidRPr="000C3DF9">
        <w:rPr>
          <w:rStyle w:val="TextoNormalCaracter"/>
        </w:rPr>
        <w:t xml:space="preserve">, ff. 5, 7, 8; </w:t>
      </w:r>
      <w:hyperlink w:anchor="SENTENCIA_2002_24" w:history="1">
        <w:r w:rsidRPr="000C3DF9">
          <w:rPr>
            <w:rStyle w:val="TextoNormalCaracter"/>
          </w:rPr>
          <w:t>24/2002</w:t>
        </w:r>
      </w:hyperlink>
      <w:r w:rsidRPr="000C3DF9">
        <w:rPr>
          <w:rStyle w:val="TextoNormalCaracter"/>
        </w:rPr>
        <w:t>, f. 7.</w:t>
      </w:r>
    </w:p>
    <w:p w:rsidR="000C3DF9" w:rsidRPr="000C3DF9" w:rsidRDefault="000C3DF9" w:rsidP="000C3DF9">
      <w:pPr>
        <w:pStyle w:val="TextoNormalSangraFrancesa"/>
        <w:rPr>
          <w:rStyle w:val="TextoNormalCaracter"/>
        </w:rPr>
      </w:pPr>
      <w:bookmarkStart w:id="1106" w:name="DESCRIPTORALFABETICO261"/>
      <w:r w:rsidRPr="000C3DF9">
        <w:rPr>
          <w:rStyle w:val="TextoNormalNegritaCaracter"/>
        </w:rPr>
        <w:t>Defectos no subsanados por admisión inicial de demanda de amparo</w:t>
      </w:r>
      <w:bookmarkEnd w:id="1106"/>
      <w:r w:rsidRPr="000C3DF9">
        <w:rPr>
          <w:rStyle w:val="TextoNormalCaracter"/>
        </w:rPr>
        <w:t xml:space="preserve">, Sentencia </w:t>
      </w:r>
      <w:hyperlink w:anchor="SENTENCIA_2002_85" w:history="1">
        <w:r w:rsidRPr="000C3DF9">
          <w:rPr>
            <w:rStyle w:val="TextoNormalCaracter"/>
          </w:rPr>
          <w:t>85/2002</w:t>
        </w:r>
      </w:hyperlink>
      <w:r w:rsidRPr="000C3DF9">
        <w:rPr>
          <w:rStyle w:val="TextoNormalCaracter"/>
        </w:rPr>
        <w:t>, f. 2.</w:t>
      </w:r>
    </w:p>
    <w:p w:rsidR="000C3DF9" w:rsidRPr="000C3DF9" w:rsidRDefault="000C3DF9" w:rsidP="000C3DF9">
      <w:pPr>
        <w:pStyle w:val="TextoNormalSangraFrancesa"/>
        <w:rPr>
          <w:rStyle w:val="TextoNormalCaracter"/>
        </w:rPr>
      </w:pPr>
      <w:bookmarkStart w:id="1107" w:name="DESCRIPTORALFABETICO563"/>
      <w:r w:rsidRPr="000C3DF9">
        <w:rPr>
          <w:rStyle w:val="TextoNormalNegritaCaracter"/>
        </w:rPr>
        <w:t>Defectos procesales sin relevancia constitucional</w:t>
      </w:r>
      <w:bookmarkEnd w:id="1107"/>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2; </w:t>
      </w:r>
      <w:hyperlink w:anchor="SENTENCIA_2002_79" w:history="1">
        <w:r w:rsidRPr="000C3DF9">
          <w:rPr>
            <w:rStyle w:val="TextoNormalCaracter"/>
          </w:rPr>
          <w:t>79/2002</w:t>
        </w:r>
      </w:hyperlink>
      <w:r w:rsidRPr="000C3DF9">
        <w:rPr>
          <w:rStyle w:val="TextoNormalCaracter"/>
        </w:rPr>
        <w:t>, f. 5.</w:t>
      </w:r>
    </w:p>
    <w:p w:rsidR="000C3DF9" w:rsidRPr="000C3DF9" w:rsidRDefault="000C3DF9" w:rsidP="000C3DF9">
      <w:pPr>
        <w:pStyle w:val="TextoNormalSangraFrancesa"/>
        <w:rPr>
          <w:rStyle w:val="TextoNormalCaracter"/>
        </w:rPr>
      </w:pPr>
      <w:bookmarkStart w:id="1108" w:name="DESCRIPTORALFABETICO364"/>
      <w:r w:rsidRPr="000C3DF9">
        <w:rPr>
          <w:rStyle w:val="TextoNormalNegritaCaracter"/>
        </w:rPr>
        <w:t>Defensa de la competencia</w:t>
      </w:r>
      <w:bookmarkEnd w:id="1108"/>
      <w:r w:rsidRPr="000C3DF9">
        <w:rPr>
          <w:rStyle w:val="TextoNormalCaracter"/>
        </w:rPr>
        <w:t xml:space="preserve">, Auto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Caracter"/>
        </w:rPr>
      </w:pPr>
      <w:bookmarkStart w:id="1109" w:name="DESCRIPTORALFABETICO8"/>
      <w:r w:rsidRPr="000C3DF9">
        <w:rPr>
          <w:rStyle w:val="TextoNormalNegritaCaracter"/>
        </w:rPr>
        <w:t>Delimitación de competencias</w:t>
      </w:r>
      <w:bookmarkEnd w:id="1109"/>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16.</w:t>
      </w:r>
    </w:p>
    <w:p w:rsidR="000C3DF9" w:rsidRPr="000C3DF9" w:rsidRDefault="000C3DF9" w:rsidP="000C3DF9">
      <w:pPr>
        <w:pStyle w:val="TextoNormalSangraFrancesa"/>
        <w:rPr>
          <w:rStyle w:val="TextoNormalCaracter"/>
        </w:rPr>
      </w:pPr>
      <w:bookmarkStart w:id="1110" w:name="DESCRIPTORALFABETICO138"/>
      <w:r w:rsidRPr="000C3DF9">
        <w:rPr>
          <w:rStyle w:val="TextoNormalNegritaCaracter"/>
        </w:rPr>
        <w:t>Delimitación de los derechos a la libre expresión e información</w:t>
      </w:r>
      <w:bookmarkEnd w:id="1110"/>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 4; </w:t>
      </w:r>
      <w:hyperlink w:anchor="SENTENCIA_2002_47" w:history="1">
        <w:r w:rsidRPr="000C3DF9">
          <w:rPr>
            <w:rStyle w:val="TextoNormalCaracter"/>
          </w:rPr>
          <w:t>47/2002</w:t>
        </w:r>
      </w:hyperlink>
      <w:r w:rsidRPr="000C3DF9">
        <w:rPr>
          <w:rStyle w:val="TextoNormalCaracter"/>
        </w:rPr>
        <w:t xml:space="preserve">, f. 3; </w:t>
      </w:r>
      <w:hyperlink w:anchor="SENTENCIA_2002_52" w:history="1">
        <w:r w:rsidRPr="000C3DF9">
          <w:rPr>
            <w:rStyle w:val="TextoNormalCaracter"/>
          </w:rPr>
          <w:t>52/2002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11" w:name="DESCRIPTORALFABETICO226"/>
      <w:r w:rsidRPr="000C3DF9">
        <w:rPr>
          <w:rStyle w:val="TextoNormalNegritaCaracter"/>
        </w:rPr>
        <w:t>Delimitación del objeto del recurso de inconstitucionalidad</w:t>
      </w:r>
      <w:bookmarkEnd w:id="1111"/>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2, VP I, VP II.</w:t>
      </w:r>
    </w:p>
    <w:p w:rsidR="000C3DF9" w:rsidRPr="000C3DF9" w:rsidRDefault="000C3DF9" w:rsidP="000C3DF9">
      <w:pPr>
        <w:pStyle w:val="TextoNormalSangraFrancesa"/>
        <w:rPr>
          <w:rStyle w:val="TextoNormalCaracter"/>
        </w:rPr>
      </w:pPr>
      <w:bookmarkStart w:id="1112" w:name="DESCRIPTORALFABETICO401"/>
      <w:r w:rsidRPr="000C3DF9">
        <w:rPr>
          <w:rStyle w:val="TextoNormalNegritaCaracter"/>
        </w:rPr>
        <w:t>Delitos</w:t>
      </w:r>
      <w:bookmarkEnd w:id="1112"/>
      <w:r w:rsidRPr="000C3DF9">
        <w:rPr>
          <w:rStyle w:val="TextoNormalCaracter"/>
        </w:rPr>
        <w:t xml:space="preserve">, Sentencia </w:t>
      </w:r>
      <w:hyperlink w:anchor="SENTENCIA_2002_75" w:history="1">
        <w:r w:rsidRPr="000C3DF9">
          <w:rPr>
            <w:rStyle w:val="TextoNormalCaracter"/>
          </w:rPr>
          <w:t>75/2002</w:t>
        </w:r>
      </w:hyperlink>
      <w:r w:rsidRPr="000C3DF9">
        <w:rPr>
          <w:rStyle w:val="TextoNormalCaracter"/>
        </w:rPr>
        <w:t>, f. 6.</w:t>
      </w:r>
    </w:p>
    <w:p w:rsidR="000C3DF9" w:rsidRPr="000C3DF9" w:rsidRDefault="000C3DF9" w:rsidP="000C3DF9">
      <w:pPr>
        <w:pStyle w:val="TextoNormalSangraFrancesa"/>
        <w:rPr>
          <w:rStyle w:val="TextoNormalCaracter"/>
        </w:rPr>
      </w:pPr>
      <w:bookmarkStart w:id="1113" w:name="DESCRIPTORALFABETICO403"/>
      <w:r w:rsidRPr="000C3DF9">
        <w:rPr>
          <w:rStyle w:val="TextoNormalNegritaCaracter"/>
        </w:rPr>
        <w:t>Delitos monetarios</w:t>
      </w:r>
      <w:bookmarkEnd w:id="1113"/>
      <w:r w:rsidRPr="000C3DF9">
        <w:rPr>
          <w:rStyle w:val="TextoNormalCaracter"/>
        </w:rPr>
        <w:t xml:space="preserve">, Sentencia </w:t>
      </w:r>
      <w:hyperlink w:anchor="SENTENCIA_2002_75" w:history="1">
        <w:r w:rsidRPr="000C3DF9">
          <w:rPr>
            <w:rStyle w:val="TextoNormalCaracter"/>
          </w:rPr>
          <w:t>75/2002</w:t>
        </w:r>
      </w:hyperlink>
      <w:r w:rsidRPr="000C3DF9">
        <w:rPr>
          <w:rStyle w:val="TextoNormalCaracter"/>
        </w:rPr>
        <w:t>, f. 5.</w:t>
      </w:r>
    </w:p>
    <w:p w:rsidR="000C3DF9" w:rsidRPr="000C3DF9" w:rsidRDefault="000C3DF9" w:rsidP="000C3DF9">
      <w:pPr>
        <w:pStyle w:val="TextoNormalSangraFrancesa"/>
        <w:rPr>
          <w:rStyle w:val="TextoNormalCaracter"/>
        </w:rPr>
      </w:pPr>
      <w:bookmarkStart w:id="1114" w:name="DESCRIPTORALFABETICO229"/>
      <w:r w:rsidRPr="000C3DF9">
        <w:rPr>
          <w:rStyle w:val="TextoNormalNegritaCaracter"/>
        </w:rPr>
        <w:t>Demanda de amparo</w:t>
      </w:r>
      <w:bookmarkEnd w:id="1114"/>
      <w:r w:rsidRPr="000C3DF9">
        <w:rPr>
          <w:rStyle w:val="TextoNormalCaracter"/>
        </w:rPr>
        <w:t xml:space="preserve">, Sentencias </w:t>
      </w:r>
      <w:hyperlink w:anchor="SENTENCIA_2002_14" w:history="1">
        <w:r w:rsidRPr="000C3DF9">
          <w:rPr>
            <w:rStyle w:val="TextoNormalCaracter"/>
          </w:rPr>
          <w:t>14/2002</w:t>
        </w:r>
      </w:hyperlink>
      <w:r w:rsidRPr="000C3DF9">
        <w:rPr>
          <w:rStyle w:val="TextoNormalCaracter"/>
        </w:rPr>
        <w:t xml:space="preserve">, f. 5; </w:t>
      </w:r>
      <w:hyperlink w:anchor="SENTENCIA_2002_29" w:history="1">
        <w:r w:rsidRPr="000C3DF9">
          <w:rPr>
            <w:rStyle w:val="TextoNormalCaracter"/>
          </w:rPr>
          <w:t>29/2002</w:t>
        </w:r>
      </w:hyperlink>
      <w:r w:rsidRPr="000C3DF9">
        <w:rPr>
          <w:rStyle w:val="TextoNormalCaracter"/>
        </w:rPr>
        <w:t xml:space="preserve">, f. 4; </w:t>
      </w:r>
      <w:hyperlink w:anchor="SENTENCIA_2002_80" w:history="1">
        <w:r w:rsidRPr="000C3DF9">
          <w:rPr>
            <w:rStyle w:val="TextoNormalCaracter"/>
          </w:rPr>
          <w:t>80/2002</w:t>
        </w:r>
      </w:hyperlink>
      <w:r w:rsidRPr="000C3DF9">
        <w:rPr>
          <w:rStyle w:val="TextoNormalCaracter"/>
        </w:rPr>
        <w:t xml:space="preserve">, f. 4; </w:t>
      </w:r>
      <w:hyperlink w:anchor="SENTENCIA_2002_84" w:history="1">
        <w:r w:rsidRPr="000C3DF9">
          <w:rPr>
            <w:rStyle w:val="TextoNormalCaracter"/>
          </w:rPr>
          <w:t>84/2002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15" w:name="DESCRIPTORALFABETICO668"/>
      <w:r w:rsidRPr="000C3DF9">
        <w:rPr>
          <w:rStyle w:val="TextoNormalNegritaCaracter"/>
        </w:rPr>
        <w:t>Demanda de contradicción en procedimiento hipotecario</w:t>
      </w:r>
      <w:bookmarkEnd w:id="1115"/>
      <w:r w:rsidRPr="000C3DF9">
        <w:rPr>
          <w:rStyle w:val="TextoNormalCaracter"/>
        </w:rPr>
        <w:t xml:space="preserve">, Sentencia </w:t>
      </w:r>
      <w:hyperlink w:anchor="SENTENCIA_2002_45" w:history="1">
        <w:r w:rsidRPr="000C3DF9">
          <w:rPr>
            <w:rStyle w:val="TextoNormalCaracter"/>
          </w:rPr>
          <w:t>45/2002</w:t>
        </w:r>
      </w:hyperlink>
      <w:r w:rsidRPr="000C3DF9">
        <w:rPr>
          <w:rStyle w:val="TextoNormalCaracter"/>
        </w:rPr>
        <w:t>, ff. 3 a 5.</w:t>
      </w:r>
    </w:p>
    <w:p w:rsidR="000C3DF9" w:rsidRPr="000C3DF9" w:rsidRDefault="000C3DF9" w:rsidP="000C3DF9">
      <w:pPr>
        <w:pStyle w:val="TextoNormalSangraFrancesa"/>
        <w:rPr>
          <w:rStyle w:val="TextoNormalCaracter"/>
        </w:rPr>
      </w:pPr>
      <w:bookmarkStart w:id="1116" w:name="DESCRIPTORALFABETICO113"/>
      <w:r w:rsidRPr="000C3DF9">
        <w:rPr>
          <w:rStyle w:val="TextoNormalNegritaCaracter"/>
        </w:rPr>
        <w:t>Denegación de asistencia letrada</w:t>
      </w:r>
      <w:bookmarkEnd w:id="1116"/>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3.</w:t>
      </w:r>
    </w:p>
    <w:p w:rsidR="000C3DF9" w:rsidRPr="000C3DF9" w:rsidRDefault="000C3DF9" w:rsidP="000C3DF9">
      <w:pPr>
        <w:pStyle w:val="TextoNormalSangraFrancesa"/>
        <w:rPr>
          <w:rStyle w:val="TextoNormalCaracter"/>
        </w:rPr>
      </w:pPr>
      <w:bookmarkStart w:id="1117" w:name="DESCRIPTORALFABETICO307"/>
      <w:r w:rsidRPr="000C3DF9">
        <w:rPr>
          <w:rStyle w:val="TextoNormalNegritaCaracter"/>
        </w:rPr>
        <w:t>Denegación de constitución de grupos parlamentarios</w:t>
      </w:r>
      <w:bookmarkEnd w:id="1117"/>
      <w:r w:rsidRPr="000C3DF9">
        <w:rPr>
          <w:rStyle w:val="TextoNormalCaracter"/>
        </w:rPr>
        <w:t xml:space="preserve">, Sentencia </w:t>
      </w:r>
      <w:hyperlink w:anchor="SENTENCIA_2002_64" w:history="1">
        <w:r w:rsidRPr="000C3DF9">
          <w:rPr>
            <w:rStyle w:val="TextoNormalCaracter"/>
          </w:rPr>
          <w:t>64/2002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118" w:name="DESCRIPTORALFABETICO579"/>
      <w:r w:rsidRPr="000C3DF9">
        <w:rPr>
          <w:rStyle w:val="TextoNormalNegritaCaracter"/>
        </w:rPr>
        <w:t>Denegación de personación a terceros</w:t>
      </w:r>
      <w:bookmarkEnd w:id="1118"/>
      <w:r w:rsidRPr="000C3DF9">
        <w:rPr>
          <w:rStyle w:val="TextoNormalCaracter"/>
        </w:rPr>
        <w:t xml:space="preserve">, Sentencia </w:t>
      </w:r>
      <w:hyperlink w:anchor="SENTENCIA_2002_73" w:history="1">
        <w:r w:rsidRPr="000C3DF9">
          <w:rPr>
            <w:rStyle w:val="TextoNormalCaracter"/>
          </w:rPr>
          <w:t>73/2002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19" w:name="DESCRIPTORALFABETICO581"/>
      <w:r w:rsidRPr="000C3DF9">
        <w:rPr>
          <w:rStyle w:val="TextoNormalNegritaCaracter"/>
        </w:rPr>
        <w:t>Denegación de prueba intempestiva</w:t>
      </w:r>
      <w:bookmarkEnd w:id="1119"/>
      <w:r w:rsidRPr="000C3DF9">
        <w:rPr>
          <w:rStyle w:val="TextoNormalCaracter"/>
        </w:rPr>
        <w:t xml:space="preserve">, Auto </w:t>
      </w:r>
      <w:hyperlink w:anchor="AUTO_2002_52" w:history="1">
        <w:r w:rsidRPr="000C3DF9">
          <w:rPr>
            <w:rStyle w:val="TextoNormalCaracter"/>
          </w:rPr>
          <w:t>52/2002</w:t>
        </w:r>
      </w:hyperlink>
      <w:r w:rsidRPr="000C3DF9">
        <w:rPr>
          <w:rStyle w:val="TextoNormalCaracter"/>
        </w:rPr>
        <w:t>.</w:t>
      </w:r>
    </w:p>
    <w:p w:rsidR="000C3DF9" w:rsidRPr="000C3DF9" w:rsidRDefault="000C3DF9" w:rsidP="000C3DF9">
      <w:pPr>
        <w:pStyle w:val="TextoNormalSangraFrancesa"/>
        <w:rPr>
          <w:rStyle w:val="TextoNormalCaracter"/>
        </w:rPr>
      </w:pPr>
      <w:bookmarkStart w:id="1120" w:name="DESCRIPTORALFABETICO379"/>
      <w:r w:rsidRPr="000C3DF9">
        <w:rPr>
          <w:rStyle w:val="TextoNormalNegritaCaracter"/>
        </w:rPr>
        <w:t>Denominación de los títulos académicos</w:t>
      </w:r>
      <w:bookmarkEnd w:id="1120"/>
      <w:r w:rsidRPr="000C3DF9">
        <w:rPr>
          <w:rStyle w:val="TextoNormalCaracter"/>
        </w:rPr>
        <w:t xml:space="preserve">, Sentencia </w:t>
      </w:r>
      <w:hyperlink w:anchor="SENTENCIA_2002_34" w:history="1">
        <w:r w:rsidRPr="000C3DF9">
          <w:rPr>
            <w:rStyle w:val="TextoNormalCaracter"/>
          </w:rPr>
          <w:t>34/2002</w:t>
        </w:r>
      </w:hyperlink>
      <w:r w:rsidRPr="000C3DF9">
        <w:rPr>
          <w:rStyle w:val="TextoNormalCaracter"/>
        </w:rPr>
        <w:t>, ff. 5, 6.</w:t>
      </w:r>
    </w:p>
    <w:p w:rsidR="000C3DF9" w:rsidRPr="000C3DF9" w:rsidRDefault="000C3DF9" w:rsidP="000C3DF9">
      <w:pPr>
        <w:pStyle w:val="TextoNormalSangraFrancesa"/>
        <w:rPr>
          <w:rStyle w:val="TextoNormalCaracter"/>
        </w:rPr>
      </w:pPr>
      <w:bookmarkStart w:id="1121" w:name="DESCRIPTORALFABETICO51"/>
      <w:r w:rsidRPr="000C3DF9">
        <w:rPr>
          <w:rStyle w:val="TextoNormalNegritaCaracter"/>
        </w:rPr>
        <w:t>Derecho a acceder a los cargos públicos</w:t>
      </w:r>
      <w:bookmarkEnd w:id="1121"/>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64" w:history="1">
        <w:r w:rsidRPr="000C3DF9">
          <w:rPr>
            <w:rStyle w:val="TextoNormalCaracter"/>
          </w:rPr>
          <w:t>64/2002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ursivaCaracter"/>
        </w:rPr>
        <w:t xml:space="preserve">    Requisitos, </w:t>
      </w:r>
      <w:r w:rsidRPr="000C3DF9">
        <w:rPr>
          <w:rStyle w:val="TextoNormalCaracter"/>
        </w:rPr>
        <w:t xml:space="preserve">Sentencia </w:t>
      </w:r>
      <w:hyperlink w:anchor="SENTENCIA_2002_80" w:history="1">
        <w:r w:rsidRPr="000C3DF9">
          <w:rPr>
            <w:rStyle w:val="TextoNormalCaracter"/>
          </w:rPr>
          <w:t>80/2002</w:t>
        </w:r>
      </w:hyperlink>
      <w:r w:rsidRPr="000C3DF9">
        <w:rPr>
          <w:rStyle w:val="TextoNormalCaracter"/>
        </w:rPr>
        <w:t>, ff. 6, 7.</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64" w:history="1">
        <w:r w:rsidRPr="000C3DF9">
          <w:rPr>
            <w:rStyle w:val="TextoNormalCaracter"/>
          </w:rPr>
          <w:t>64/2002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122" w:name="DESCRIPTORALFABETICO142"/>
      <w:r w:rsidRPr="000C3DF9">
        <w:rPr>
          <w:rStyle w:val="TextoNormalNegritaCaracter"/>
        </w:rPr>
        <w:t>Derecho a comunicar libremente información</w:t>
      </w:r>
      <w:bookmarkEnd w:id="1122"/>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 6; </w:t>
      </w:r>
      <w:hyperlink w:anchor="SENTENCIA_2002_47" w:history="1">
        <w:r w:rsidRPr="000C3DF9">
          <w:rPr>
            <w:rStyle w:val="TextoNormalCaracter"/>
          </w:rPr>
          <w:t>47/2002</w:t>
        </w:r>
      </w:hyperlink>
      <w:r w:rsidRPr="000C3DF9">
        <w:rPr>
          <w:rStyle w:val="TextoNormalCaracter"/>
        </w:rPr>
        <w:t xml:space="preserve">, ff. 3, 4; </w:t>
      </w:r>
      <w:hyperlink w:anchor="SENTENCIA_2002_52" w:history="1">
        <w:r w:rsidRPr="000C3DF9">
          <w:rPr>
            <w:rStyle w:val="TextoNormalCaracter"/>
          </w:rPr>
          <w:t>52/2002</w:t>
        </w:r>
      </w:hyperlink>
      <w:r w:rsidRPr="000C3DF9">
        <w:rPr>
          <w:rStyle w:val="TextoNormalCaracter"/>
        </w:rPr>
        <w:t xml:space="preserve">, f. 5;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23" w:name="DESCRIPTORALFABETICO112"/>
      <w:r w:rsidRPr="000C3DF9">
        <w:rPr>
          <w:rStyle w:val="TextoNormalNegritaCaracter"/>
        </w:rPr>
        <w:lastRenderedPageBreak/>
        <w:t>Derecho a la asistencia letrada</w:t>
      </w:r>
      <w:bookmarkEnd w:id="1123"/>
      <w:r w:rsidRPr="000C3DF9">
        <w:rPr>
          <w:rStyle w:val="TextoNormalCaracter"/>
        </w:rPr>
        <w:t xml:space="preserve">, Auto </w:t>
      </w:r>
      <w:hyperlink w:anchor="AUTO_2002_50" w:history="1">
        <w:r w:rsidRPr="000C3DF9">
          <w:rPr>
            <w:rStyle w:val="TextoNormalCaracter"/>
          </w:rPr>
          <w:t>50/2002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70" w:history="1">
        <w:r w:rsidRPr="000C3DF9">
          <w:rPr>
            <w:rStyle w:val="TextoNormalCaracter"/>
          </w:rPr>
          <w:t>70/2002</w:t>
        </w:r>
      </w:hyperlink>
      <w:r w:rsidRPr="000C3DF9">
        <w:rPr>
          <w:rStyle w:val="TextoNormalCaracter"/>
        </w:rPr>
        <w:t>, f. 3.</w:t>
      </w:r>
    </w:p>
    <w:p w:rsidR="000C3DF9" w:rsidRPr="000C3DF9" w:rsidRDefault="000C3DF9" w:rsidP="000C3DF9">
      <w:pPr>
        <w:pStyle w:val="TextoNormalSangraFrancesa"/>
        <w:rPr>
          <w:rStyle w:val="TextoNormalCaracter"/>
        </w:rPr>
      </w:pPr>
      <w:bookmarkStart w:id="1124" w:name="DESCRIPTORALFABETICO322"/>
      <w:r w:rsidRPr="000C3DF9">
        <w:rPr>
          <w:rStyle w:val="TextoNormalNegritaCaracter"/>
        </w:rPr>
        <w:t>Derecho a la autonomía de las nacionalidades y regiones</w:t>
      </w:r>
      <w:bookmarkEnd w:id="1124"/>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12.</w:t>
      </w:r>
    </w:p>
    <w:p w:rsidR="000C3DF9" w:rsidRPr="000C3DF9" w:rsidRDefault="000C3DF9" w:rsidP="000C3DF9">
      <w:pPr>
        <w:pStyle w:val="TextoNormalSangraFrancesa"/>
        <w:rPr>
          <w:rStyle w:val="TextoNormalCaracter"/>
        </w:rPr>
      </w:pPr>
      <w:bookmarkStart w:id="1125" w:name="DESCRIPTORALFABETICO111"/>
      <w:r w:rsidRPr="000C3DF9">
        <w:rPr>
          <w:rStyle w:val="TextoNormalNegritaCaracter"/>
        </w:rPr>
        <w:t>Derecho a la defensa</w:t>
      </w:r>
      <w:bookmarkEnd w:id="1125"/>
      <w:r w:rsidRPr="000C3DF9">
        <w:rPr>
          <w:rStyle w:val="TextoNormalCaracter"/>
        </w:rPr>
        <w:t xml:space="preserve">, Sentencias </w:t>
      </w:r>
      <w:hyperlink w:anchor="SENTENCIA_2002_4" w:history="1">
        <w:r w:rsidRPr="000C3DF9">
          <w:rPr>
            <w:rStyle w:val="TextoNormalCaracter"/>
          </w:rPr>
          <w:t>4/2002</w:t>
        </w:r>
      </w:hyperlink>
      <w:r w:rsidRPr="000C3DF9">
        <w:rPr>
          <w:rStyle w:val="TextoNormalCaracter"/>
        </w:rPr>
        <w:t xml:space="preserve">, f. 3; </w:t>
      </w:r>
      <w:hyperlink w:anchor="SENTENCIA_2002_59" w:history="1">
        <w:r w:rsidRPr="000C3DF9">
          <w:rPr>
            <w:rStyle w:val="TextoNormalCaracter"/>
          </w:rPr>
          <w:t>59/2002</w:t>
        </w:r>
      </w:hyperlink>
      <w:r w:rsidRPr="000C3DF9">
        <w:rPr>
          <w:rStyle w:val="TextoNormalCaracter"/>
        </w:rPr>
        <w:t xml:space="preserve">, f. 2; </w:t>
      </w:r>
      <w:hyperlink w:anchor="SENTENCIA_2002_70" w:history="1">
        <w:r w:rsidRPr="000C3DF9">
          <w:rPr>
            <w:rStyle w:val="TextoNormalCaracter"/>
          </w:rPr>
          <w:t>70/2002</w:t>
        </w:r>
      </w:hyperlink>
      <w:r w:rsidRPr="000C3DF9">
        <w:rPr>
          <w:rStyle w:val="TextoNormalCaracter"/>
        </w:rPr>
        <w:t>, f. 4.</w:t>
      </w:r>
    </w:p>
    <w:p w:rsidR="000C3DF9" w:rsidRPr="000C3DF9" w:rsidRDefault="000C3DF9" w:rsidP="000C3DF9">
      <w:pPr>
        <w:pStyle w:val="TextoNormalSangraFrancesa"/>
        <w:rPr>
          <w:rStyle w:val="TextoNormalNegritaCaracter"/>
        </w:rPr>
      </w:pPr>
      <w:r w:rsidRPr="000C3DF9">
        <w:rPr>
          <w:rStyle w:val="TextoNormalCursivaCaracter"/>
        </w:rPr>
        <w:t>Derecho a la defensa contradictoria entre las partes</w:t>
      </w:r>
      <w:r>
        <w:t xml:space="preserve"> véase </w:t>
      </w:r>
      <w:hyperlink w:anchor="DESCRIPTORALFABETICO632" w:history="1">
        <w:r w:rsidRPr="000C3DF9">
          <w:rPr>
            <w:rStyle w:val="TextoNormalNegritaCaracter"/>
          </w:rPr>
          <w:t>Principio de contradicción</w:t>
        </w:r>
      </w:hyperlink>
    </w:p>
    <w:p w:rsidR="000C3DF9" w:rsidRPr="000C3DF9" w:rsidRDefault="000C3DF9" w:rsidP="000C3DF9">
      <w:pPr>
        <w:pStyle w:val="TextoNormalSangraFrancesa"/>
        <w:rPr>
          <w:rStyle w:val="TextoNormalCaracter"/>
        </w:rPr>
      </w:pPr>
      <w:bookmarkStart w:id="1126" w:name="DESCRIPTORALFABETICO85"/>
      <w:r w:rsidRPr="000C3DF9">
        <w:rPr>
          <w:rStyle w:val="TextoNormalNegritaCaracter"/>
        </w:rPr>
        <w:t>Derecho a la ejecución de sentencias</w:t>
      </w:r>
      <w:bookmarkEnd w:id="1126"/>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3" w:history="1">
        <w:r w:rsidRPr="000C3DF9">
          <w:rPr>
            <w:rStyle w:val="TextoNormalCaracter"/>
          </w:rPr>
          <w:t>3/2002</w:t>
        </w:r>
      </w:hyperlink>
      <w:r w:rsidRPr="000C3DF9">
        <w:rPr>
          <w:rStyle w:val="TextoNormalCaracter"/>
        </w:rPr>
        <w:t xml:space="preserve">, f. 4 c); </w:t>
      </w:r>
      <w:hyperlink w:anchor="SENTENCIA_2002_7" w:history="1">
        <w:r w:rsidRPr="000C3DF9">
          <w:rPr>
            <w:rStyle w:val="TextoNormalCaracter"/>
          </w:rPr>
          <w:t>7/2002</w:t>
        </w:r>
      </w:hyperlink>
      <w:r w:rsidRPr="000C3DF9">
        <w:rPr>
          <w:rStyle w:val="TextoNormalCaracter"/>
        </w:rPr>
        <w:t>, f. 3.</w:t>
      </w:r>
    </w:p>
    <w:p w:rsidR="000C3DF9" w:rsidRPr="000C3DF9" w:rsidRDefault="000C3DF9" w:rsidP="000C3DF9">
      <w:pPr>
        <w:pStyle w:val="TextoNormalSangraFrancesa"/>
        <w:rPr>
          <w:rStyle w:val="TextoNormalCaracter"/>
        </w:rPr>
      </w:pPr>
      <w:bookmarkStart w:id="1127" w:name="DESCRIPTORALFABETICO53"/>
      <w:r w:rsidRPr="000C3DF9">
        <w:rPr>
          <w:rStyle w:val="TextoNormalNegritaCaracter"/>
        </w:rPr>
        <w:t>Derecho a la huelga</w:t>
      </w:r>
      <w:bookmarkEnd w:id="1127"/>
      <w:r w:rsidRPr="000C3DF9">
        <w:rPr>
          <w:rStyle w:val="TextoNormalCaracter"/>
        </w:rPr>
        <w:t xml:space="preserve">, Sentencia </w:t>
      </w:r>
      <w:hyperlink w:anchor="SENTENCIA_2002_66" w:history="1">
        <w:r w:rsidRPr="000C3DF9">
          <w:rPr>
            <w:rStyle w:val="TextoNormalCaracter"/>
          </w:rPr>
          <w:t>66/2002</w:t>
        </w:r>
      </w:hyperlink>
      <w:r w:rsidRPr="000C3DF9">
        <w:rPr>
          <w:rStyle w:val="TextoNormalCaracter"/>
        </w:rPr>
        <w:t>, ff. 3, 7.</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66" w:history="1">
        <w:r w:rsidRPr="000C3DF9">
          <w:rPr>
            <w:rStyle w:val="TextoNormalCaracter"/>
          </w:rPr>
          <w:t>66/2002</w:t>
        </w:r>
      </w:hyperlink>
      <w:r w:rsidRPr="000C3DF9">
        <w:rPr>
          <w:rStyle w:val="TextoNormalCaracter"/>
        </w:rPr>
        <w:t>, f. 8.</w:t>
      </w:r>
    </w:p>
    <w:p w:rsidR="000C3DF9" w:rsidRPr="000C3DF9" w:rsidRDefault="000C3DF9" w:rsidP="000C3DF9">
      <w:pPr>
        <w:pStyle w:val="TextoNormalSangraFrancesa"/>
        <w:rPr>
          <w:rStyle w:val="TextoNormalCaracter"/>
        </w:rPr>
      </w:pPr>
      <w:bookmarkStart w:id="1128" w:name="DESCRIPTORALFABETICO54"/>
      <w:r w:rsidRPr="000C3DF9">
        <w:rPr>
          <w:rStyle w:val="TextoNormalNegritaCaracter"/>
        </w:rPr>
        <w:t>Derecho a la igualdad</w:t>
      </w:r>
      <w:bookmarkEnd w:id="1128"/>
      <w:r w:rsidRPr="000C3DF9">
        <w:rPr>
          <w:rStyle w:val="TextoNormalCaracter"/>
        </w:rPr>
        <w:t xml:space="preserve">, Sentencias </w:t>
      </w:r>
      <w:hyperlink w:anchor="SENTENCIA_2002_14" w:history="1">
        <w:r w:rsidRPr="000C3DF9">
          <w:rPr>
            <w:rStyle w:val="TextoNormalCaracter"/>
          </w:rPr>
          <w:t>14/2002</w:t>
        </w:r>
      </w:hyperlink>
      <w:r w:rsidRPr="000C3DF9">
        <w:rPr>
          <w:rStyle w:val="TextoNormalCaracter"/>
        </w:rPr>
        <w:t xml:space="preserve">, f. 2; </w:t>
      </w:r>
      <w:hyperlink w:anchor="SENTENCIA_2002_29" w:history="1">
        <w:r w:rsidRPr="000C3DF9">
          <w:rPr>
            <w:rStyle w:val="TextoNormalCaracter"/>
          </w:rPr>
          <w:t>29/2002</w:t>
        </w:r>
      </w:hyperlink>
      <w:r w:rsidRPr="000C3DF9">
        <w:rPr>
          <w:rStyle w:val="TextoNormalCaracter"/>
        </w:rPr>
        <w:t xml:space="preserve">, f. 2; </w:t>
      </w:r>
      <w:hyperlink w:anchor="SENTENCIA_2002_48" w:history="1">
        <w:r w:rsidRPr="000C3DF9">
          <w:rPr>
            <w:rStyle w:val="TextoNormalCaracter"/>
          </w:rPr>
          <w:t>48/2002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29" w:name="DESCRIPTORALFABETICO63"/>
      <w:r w:rsidRPr="000C3DF9">
        <w:rPr>
          <w:rStyle w:val="TextoNormalNegritaCaracter"/>
        </w:rPr>
        <w:t>Derecho a la integridad física y moral</w:t>
      </w:r>
      <w:bookmarkEnd w:id="1129"/>
      <w:r w:rsidRPr="000C3DF9">
        <w:rPr>
          <w:rStyle w:val="TextoNormalCaracter"/>
        </w:rPr>
        <w:t xml:space="preserve">, Sentencia </w:t>
      </w:r>
      <w:hyperlink w:anchor="SENTENCIA_2002_5" w:history="1">
        <w:r w:rsidRPr="000C3DF9">
          <w:rPr>
            <w:rStyle w:val="TextoNormalCaracter"/>
          </w:rPr>
          <w:t>5/2002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5" w:history="1">
        <w:r w:rsidRPr="000C3DF9">
          <w:rPr>
            <w:rStyle w:val="TextoNormalCaracter"/>
          </w:rPr>
          <w:t>5/2002</w:t>
        </w:r>
      </w:hyperlink>
      <w:r w:rsidRPr="000C3DF9">
        <w:rPr>
          <w:rStyle w:val="TextoNormalCaracter"/>
        </w:rPr>
        <w:t xml:space="preserve">, f. 4; </w:t>
      </w:r>
      <w:hyperlink w:anchor="SENTENCIA_2002_9" w:history="1">
        <w:r w:rsidRPr="000C3DF9">
          <w:rPr>
            <w:rStyle w:val="TextoNormalCaracter"/>
          </w:rPr>
          <w:t>9/2002</w:t>
        </w:r>
      </w:hyperlink>
      <w:r w:rsidRPr="000C3DF9">
        <w:rPr>
          <w:rStyle w:val="TextoNormalCaracter"/>
        </w:rPr>
        <w:t>, f. 3.</w:t>
      </w:r>
    </w:p>
    <w:p w:rsidR="000C3DF9" w:rsidRPr="000C3DF9" w:rsidRDefault="000C3DF9" w:rsidP="000C3DF9">
      <w:pPr>
        <w:pStyle w:val="TextoNormalSangraFrancesa"/>
        <w:rPr>
          <w:rStyle w:val="TextoNormalCaracter"/>
        </w:rPr>
      </w:pPr>
      <w:bookmarkStart w:id="1130" w:name="DESCRIPTORALFABETICO66"/>
      <w:r w:rsidRPr="000C3DF9">
        <w:rPr>
          <w:rStyle w:val="TextoNormalNegritaCaracter"/>
        </w:rPr>
        <w:t>Derecho a la intimidad</w:t>
      </w:r>
      <w:bookmarkEnd w:id="1130"/>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ff. 4, 7; </w:t>
      </w:r>
      <w:hyperlink w:anchor="SENTENCIA_2002_52" w:history="1">
        <w:r w:rsidRPr="000C3DF9">
          <w:rPr>
            <w:rStyle w:val="TextoNormalCaracter"/>
          </w:rPr>
          <w:t>52/2002</w:t>
        </w:r>
      </w:hyperlink>
      <w:r w:rsidRPr="000C3DF9">
        <w:rPr>
          <w:rStyle w:val="TextoNormalCaracter"/>
        </w:rPr>
        <w:t xml:space="preserve">, f. 4; </w:t>
      </w:r>
      <w:hyperlink w:anchor="SENTENCIA_2002_70" w:history="1">
        <w:r w:rsidRPr="000C3DF9">
          <w:rPr>
            <w:rStyle w:val="TextoNormalCaracter"/>
          </w:rPr>
          <w:t>70/2002</w:t>
        </w:r>
      </w:hyperlink>
      <w:r w:rsidRPr="000C3DF9">
        <w:rPr>
          <w:rStyle w:val="TextoNormalCaracter"/>
        </w:rPr>
        <w:t xml:space="preserve">, f. 10 b); </w:t>
      </w:r>
      <w:hyperlink w:anchor="SENTENCIA_2002_83" w:history="1">
        <w:r w:rsidRPr="000C3DF9">
          <w:rPr>
            <w:rStyle w:val="TextoNormalCaracter"/>
          </w:rPr>
          <w:t>83/2002</w:t>
        </w:r>
      </w:hyperlink>
      <w:r w:rsidRPr="000C3DF9">
        <w:rPr>
          <w:rStyle w:val="TextoNormalCaracter"/>
        </w:rPr>
        <w:t>, ff. 4, 5.</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Sentencias </w:t>
      </w:r>
      <w:hyperlink w:anchor="SENTENCIA_2002_70" w:history="1">
        <w:r w:rsidRPr="000C3DF9">
          <w:rPr>
            <w:rStyle w:val="TextoNormalCaracter"/>
          </w:rPr>
          <w:t>70/2002</w:t>
        </w:r>
      </w:hyperlink>
      <w:r w:rsidRPr="000C3DF9">
        <w:rPr>
          <w:rStyle w:val="TextoNormalCaracter"/>
        </w:rPr>
        <w:t xml:space="preserve">, f. 10 a); </w:t>
      </w:r>
      <w:hyperlink w:anchor="SENTENCIA_2002_83" w:history="1">
        <w:r w:rsidRPr="000C3DF9">
          <w:rPr>
            <w:rStyle w:val="TextoNormalCaracter"/>
          </w:rPr>
          <w:t>83/2002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70" w:history="1">
        <w:r w:rsidRPr="000C3DF9">
          <w:rPr>
            <w:rStyle w:val="TextoNormalCaracter"/>
          </w:rPr>
          <w:t>70/2002</w:t>
        </w:r>
      </w:hyperlink>
      <w:r w:rsidRPr="000C3DF9">
        <w:rPr>
          <w:rStyle w:val="TextoNormalCaracter"/>
        </w:rPr>
        <w:t>, f. 10 c).</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83" w:history="1">
        <w:r w:rsidRPr="000C3DF9">
          <w:rPr>
            <w:rStyle w:val="TextoNormalCaracter"/>
          </w:rPr>
          <w:t>83/2002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Derecho a la intimidad personal</w:t>
      </w:r>
      <w:r>
        <w:t xml:space="preserve"> véase </w:t>
      </w:r>
      <w:hyperlink w:anchor="DESCRIPTORALFABETICO66" w:history="1">
        <w:r w:rsidRPr="000C3DF9">
          <w:rPr>
            <w:rStyle w:val="TextoNormalNegritaCaracter"/>
          </w:rPr>
          <w:t>Derecho a la intimidad</w:t>
        </w:r>
      </w:hyperlink>
    </w:p>
    <w:p w:rsidR="000C3DF9" w:rsidRPr="000C3DF9" w:rsidRDefault="000C3DF9" w:rsidP="000C3DF9">
      <w:pPr>
        <w:pStyle w:val="TextoNormalSangraFrancesa"/>
        <w:rPr>
          <w:rStyle w:val="TextoNormalNegritaCaracter"/>
        </w:rPr>
      </w:pPr>
      <w:r w:rsidRPr="000C3DF9">
        <w:rPr>
          <w:rStyle w:val="TextoNormalCursivaCaracter"/>
        </w:rPr>
        <w:t>Derecho a la intimidad personal y familiar</w:t>
      </w:r>
      <w:r>
        <w:t xml:space="preserve"> véase </w:t>
      </w:r>
      <w:hyperlink w:anchor="DESCRIPTORALFABETICO66" w:history="1">
        <w:r w:rsidRPr="000C3DF9">
          <w:rPr>
            <w:rStyle w:val="TextoNormalNegritaCaracter"/>
          </w:rPr>
          <w:t>Derecho a la intimidad</w:t>
        </w:r>
      </w:hyperlink>
    </w:p>
    <w:p w:rsidR="000C3DF9" w:rsidRPr="000C3DF9" w:rsidRDefault="000C3DF9" w:rsidP="000C3DF9">
      <w:pPr>
        <w:pStyle w:val="TextoNormalSangraFrancesa"/>
        <w:rPr>
          <w:rStyle w:val="TextoNormalCaracter"/>
        </w:rPr>
      </w:pPr>
      <w:bookmarkStart w:id="1131" w:name="DESCRIPTORALFABETICO67"/>
      <w:r w:rsidRPr="000C3DF9">
        <w:rPr>
          <w:rStyle w:val="TextoNormalNegritaCaracter"/>
        </w:rPr>
        <w:t>Derecho a la inviolabilidad del domicilio</w:t>
      </w:r>
      <w:bookmarkEnd w:id="1131"/>
      <w:r w:rsidRPr="000C3DF9">
        <w:rPr>
          <w:rStyle w:val="TextoNormalCaracter"/>
        </w:rPr>
        <w:t xml:space="preserve">, Sentencias </w:t>
      </w:r>
      <w:hyperlink w:anchor="SENTENCIA_2002_10" w:history="1">
        <w:r w:rsidRPr="000C3DF9">
          <w:rPr>
            <w:rStyle w:val="TextoNormalCaracter"/>
          </w:rPr>
          <w:t>10/2002</w:t>
        </w:r>
      </w:hyperlink>
      <w:r w:rsidRPr="000C3DF9">
        <w:rPr>
          <w:rStyle w:val="TextoNormalCaracter"/>
        </w:rPr>
        <w:t xml:space="preserve">, f. 5; </w:t>
      </w:r>
      <w:hyperlink w:anchor="SENTENCIA_2002_92" w:history="1">
        <w:r w:rsidRPr="000C3DF9">
          <w:rPr>
            <w:rStyle w:val="TextoNormalCaracter"/>
          </w:rPr>
          <w:t>92/2002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132" w:name="DESCRIPTORALFABETICO71"/>
      <w:r w:rsidRPr="000C3DF9">
        <w:rPr>
          <w:rStyle w:val="TextoNormalNegritaCaracter"/>
        </w:rPr>
        <w:t>Derecho a la libertad personal</w:t>
      </w:r>
      <w:bookmarkEnd w:id="1132"/>
      <w:r w:rsidRPr="000C3DF9">
        <w:rPr>
          <w:rStyle w:val="TextoNormalCaracter"/>
        </w:rPr>
        <w:t xml:space="preserve">, Sentencias </w:t>
      </w:r>
      <w:hyperlink w:anchor="SENTENCIA_2002_8" w:history="1">
        <w:r w:rsidRPr="000C3DF9">
          <w:rPr>
            <w:rStyle w:val="TextoNormalCaracter"/>
          </w:rPr>
          <w:t>8/2002</w:t>
        </w:r>
      </w:hyperlink>
      <w:r w:rsidRPr="000C3DF9">
        <w:rPr>
          <w:rStyle w:val="TextoNormalCaracter"/>
        </w:rPr>
        <w:t xml:space="preserve">, f. 3; </w:t>
      </w:r>
      <w:hyperlink w:anchor="SENTENCIA_2002_53" w:history="1">
        <w:r w:rsidRPr="000C3DF9">
          <w:rPr>
            <w:rStyle w:val="TextoNormalCaracter"/>
          </w:rPr>
          <w:t>53/2002</w:t>
        </w:r>
      </w:hyperlink>
      <w:r w:rsidRPr="000C3DF9">
        <w:rPr>
          <w:rStyle w:val="TextoNormalCaracter"/>
        </w:rPr>
        <w:t xml:space="preserve">, ff. 4, 10, 13; </w:t>
      </w:r>
      <w:hyperlink w:anchor="SENTENCIA_2002_98" w:history="1">
        <w:r w:rsidRPr="000C3DF9">
          <w:rPr>
            <w:rStyle w:val="TextoNormalCaracter"/>
          </w:rPr>
          <w:t>98/2002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Límites, </w:t>
      </w:r>
      <w:r w:rsidRPr="000C3DF9">
        <w:rPr>
          <w:rStyle w:val="TextoNormalCaracter"/>
        </w:rPr>
        <w:t xml:space="preserve">Sentencia </w:t>
      </w:r>
      <w:hyperlink w:anchor="SENTENCIA_2002_53" w:history="1">
        <w:r w:rsidRPr="000C3DF9">
          <w:rPr>
            <w:rStyle w:val="TextoNormalCaracter"/>
          </w:rPr>
          <w:t>53/2002</w:t>
        </w:r>
      </w:hyperlink>
      <w:r w:rsidRPr="000C3DF9">
        <w:rPr>
          <w:rStyle w:val="TextoNormalCaracter"/>
        </w:rPr>
        <w:t>, ff. 5, 8.</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53" w:history="1">
        <w:r w:rsidRPr="000C3DF9">
          <w:rPr>
            <w:rStyle w:val="TextoNormalCaracter"/>
          </w:rPr>
          <w:t>53/2002</w:t>
        </w:r>
      </w:hyperlink>
      <w:r w:rsidRPr="000C3DF9">
        <w:rPr>
          <w:rStyle w:val="TextoNormalCaracter"/>
        </w:rPr>
        <w:t>, ff. 6 a 11.</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1" w:history="1">
        <w:r w:rsidRPr="000C3DF9">
          <w:rPr>
            <w:rStyle w:val="TextoNormalCaracter"/>
          </w:rPr>
          <w:t>51/2002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8" w:history="1">
        <w:r w:rsidRPr="000C3DF9">
          <w:rPr>
            <w:rStyle w:val="TextoNormalCaracter"/>
          </w:rPr>
          <w:t>8/2002</w:t>
        </w:r>
      </w:hyperlink>
      <w:r w:rsidRPr="000C3DF9">
        <w:rPr>
          <w:rStyle w:val="TextoNormalCaracter"/>
        </w:rPr>
        <w:t xml:space="preserve">, f. 6; </w:t>
      </w:r>
      <w:hyperlink w:anchor="SENTENCIA_2002_23" w:history="1">
        <w:r w:rsidRPr="000C3DF9">
          <w:rPr>
            <w:rStyle w:val="TextoNormalCaracter"/>
          </w:rPr>
          <w:t>23/2002</w:t>
        </w:r>
      </w:hyperlink>
      <w:r w:rsidRPr="000C3DF9">
        <w:rPr>
          <w:rStyle w:val="TextoNormalCaracter"/>
        </w:rPr>
        <w:t xml:space="preserve">, f. 4; </w:t>
      </w:r>
      <w:hyperlink w:anchor="SENTENCIA_2002_98" w:history="1">
        <w:r w:rsidRPr="000C3DF9">
          <w:rPr>
            <w:rStyle w:val="TextoNormalCaracter"/>
          </w:rPr>
          <w:t>98/2002</w:t>
        </w:r>
      </w:hyperlink>
      <w:r w:rsidRPr="000C3DF9">
        <w:rPr>
          <w:rStyle w:val="TextoNormalCaracter"/>
        </w:rPr>
        <w:t>, ff. 6, 7.</w:t>
      </w:r>
    </w:p>
    <w:p w:rsidR="000C3DF9" w:rsidRPr="000C3DF9" w:rsidRDefault="000C3DF9" w:rsidP="000C3DF9">
      <w:pPr>
        <w:pStyle w:val="TextoNormalSangraFrancesa"/>
        <w:rPr>
          <w:rStyle w:val="TextoNormalNegritaCaracter"/>
        </w:rPr>
      </w:pPr>
      <w:r w:rsidRPr="000C3DF9">
        <w:rPr>
          <w:rStyle w:val="TextoNormalCursivaCaracter"/>
        </w:rPr>
        <w:t>Derecho a la libre circulación</w:t>
      </w:r>
      <w:r>
        <w:t xml:space="preserve"> véase </w:t>
      </w:r>
      <w:hyperlink w:anchor="DESCRIPTORALFABETICO133" w:history="1">
        <w:r w:rsidRPr="000C3DF9">
          <w:rPr>
            <w:rStyle w:val="TextoNormalNegritaCaracter"/>
          </w:rPr>
          <w:t>Libertad de circulación</w:t>
        </w:r>
      </w:hyperlink>
    </w:p>
    <w:p w:rsidR="000C3DF9" w:rsidRPr="000C3DF9" w:rsidRDefault="000C3DF9" w:rsidP="000C3DF9">
      <w:pPr>
        <w:pStyle w:val="TextoNormalSangraFrancesa"/>
        <w:rPr>
          <w:rStyle w:val="TextoNormalNegritaCaracter"/>
        </w:rPr>
      </w:pPr>
      <w:r w:rsidRPr="000C3DF9">
        <w:rPr>
          <w:rStyle w:val="TextoNormalCursivaCaracter"/>
        </w:rPr>
        <w:t>Derecho a la libre información</w:t>
      </w:r>
      <w:r>
        <w:t xml:space="preserve"> véase </w:t>
      </w:r>
      <w:hyperlink w:anchor="DESCRIPTORALFABETICO141" w:history="1">
        <w:r w:rsidRPr="000C3DF9">
          <w:rPr>
            <w:rStyle w:val="TextoNormalNegritaCaracter"/>
          </w:rPr>
          <w:t>Libertad de información</w:t>
        </w:r>
      </w:hyperlink>
    </w:p>
    <w:p w:rsidR="000C3DF9" w:rsidRPr="000C3DF9" w:rsidRDefault="000C3DF9" w:rsidP="000C3DF9">
      <w:pPr>
        <w:pStyle w:val="TextoNormalSangraFrancesa"/>
        <w:rPr>
          <w:rStyle w:val="TextoNormalCaracter"/>
        </w:rPr>
      </w:pPr>
      <w:bookmarkStart w:id="1133" w:name="DESCRIPTORALFABETICO75"/>
      <w:r w:rsidRPr="000C3DF9">
        <w:rPr>
          <w:rStyle w:val="TextoNormalNegritaCaracter"/>
        </w:rPr>
        <w:t>Derecho a la presunción de inocencia</w:t>
      </w:r>
      <w:bookmarkEnd w:id="1133"/>
      <w:r w:rsidRPr="000C3DF9">
        <w:rPr>
          <w:rStyle w:val="TextoNormalCaracter"/>
        </w:rPr>
        <w:t xml:space="preserve">, Sentencias </w:t>
      </w:r>
      <w:hyperlink w:anchor="SENTENCIA_2002_12" w:history="1">
        <w:r w:rsidRPr="000C3DF9">
          <w:rPr>
            <w:rStyle w:val="TextoNormalCaracter"/>
          </w:rPr>
          <w:t>12/2002</w:t>
        </w:r>
      </w:hyperlink>
      <w:r w:rsidRPr="000C3DF9">
        <w:rPr>
          <w:rStyle w:val="TextoNormalCaracter"/>
        </w:rPr>
        <w:t xml:space="preserve">, ff. 4, 5; </w:t>
      </w:r>
      <w:hyperlink w:anchor="SENTENCIA_2002_17" w:history="1">
        <w:r w:rsidRPr="000C3DF9">
          <w:rPr>
            <w:rStyle w:val="TextoNormalCaracter"/>
          </w:rPr>
          <w:t>17/2002</w:t>
        </w:r>
      </w:hyperlink>
      <w:r w:rsidRPr="000C3DF9">
        <w:rPr>
          <w:rStyle w:val="TextoNormalCaracter"/>
        </w:rPr>
        <w:t xml:space="preserve">, ff. 2, 5, 6; </w:t>
      </w:r>
      <w:hyperlink w:anchor="SENTENCIA_2002_57" w:history="1">
        <w:r w:rsidRPr="000C3DF9">
          <w:rPr>
            <w:rStyle w:val="TextoNormalCaracter"/>
          </w:rPr>
          <w:t>57/2002</w:t>
        </w:r>
      </w:hyperlink>
      <w:r w:rsidRPr="000C3DF9">
        <w:rPr>
          <w:rStyle w:val="TextoNormalCaracter"/>
        </w:rPr>
        <w:t xml:space="preserve">, f. 2; </w:t>
      </w:r>
      <w:hyperlink w:anchor="SENTENCIA_2002_68" w:history="1">
        <w:r w:rsidRPr="000C3DF9">
          <w:rPr>
            <w:rStyle w:val="TextoNormalCaracter"/>
          </w:rPr>
          <w:t>68/2002</w:t>
        </w:r>
      </w:hyperlink>
      <w:r w:rsidRPr="000C3DF9">
        <w:rPr>
          <w:rStyle w:val="TextoNormalCaracter"/>
        </w:rPr>
        <w:t xml:space="preserve">, ff. 6, 10; </w:t>
      </w:r>
      <w:hyperlink w:anchor="SENTENCIA_2002_94" w:history="1">
        <w:r w:rsidRPr="000C3DF9">
          <w:rPr>
            <w:rStyle w:val="TextoNormalCaracter"/>
          </w:rPr>
          <w:t>94/2002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11" w:history="1">
        <w:r w:rsidRPr="000C3DF9">
          <w:rPr>
            <w:rStyle w:val="TextoNormalCaracter"/>
          </w:rPr>
          <w:t>11/2002</w:t>
        </w:r>
      </w:hyperlink>
      <w:r w:rsidRPr="000C3DF9">
        <w:rPr>
          <w:rStyle w:val="TextoNormalCaracter"/>
        </w:rPr>
        <w:t xml:space="preserve">; </w:t>
      </w:r>
      <w:hyperlink w:anchor="AUTO_2002_50" w:history="1">
        <w:r w:rsidRPr="000C3DF9">
          <w:rPr>
            <w:rStyle w:val="TextoNormalCaracter"/>
          </w:rPr>
          <w:t>50/2002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2" w:history="1">
        <w:r w:rsidRPr="000C3DF9">
          <w:rPr>
            <w:rStyle w:val="TextoNormalCaracter"/>
          </w:rPr>
          <w:t>2/2002</w:t>
        </w:r>
      </w:hyperlink>
      <w:r w:rsidRPr="000C3DF9">
        <w:rPr>
          <w:rStyle w:val="TextoNormalCaracter"/>
        </w:rPr>
        <w:t xml:space="preserve">, f. 8; </w:t>
      </w:r>
      <w:hyperlink w:anchor="SENTENCIA_2002_50" w:history="1">
        <w:r w:rsidRPr="000C3DF9">
          <w:rPr>
            <w:rStyle w:val="TextoNormalCaracter"/>
          </w:rPr>
          <w:t>50/2002</w:t>
        </w:r>
      </w:hyperlink>
      <w:r w:rsidRPr="000C3DF9">
        <w:rPr>
          <w:rStyle w:val="TextoNormalCaracter"/>
        </w:rPr>
        <w:t xml:space="preserve">, f. 5; </w:t>
      </w:r>
      <w:hyperlink w:anchor="SENTENCIA_2002_57" w:history="1">
        <w:r w:rsidRPr="000C3DF9">
          <w:rPr>
            <w:rStyle w:val="TextoNormalCaracter"/>
          </w:rPr>
          <w:t>57/2002</w:t>
        </w:r>
      </w:hyperlink>
      <w:r w:rsidRPr="000C3DF9">
        <w:rPr>
          <w:rStyle w:val="TextoNormalCaracter"/>
        </w:rPr>
        <w:t xml:space="preserve">, f. 4; </w:t>
      </w:r>
      <w:hyperlink w:anchor="SENTENCIA_2002_68" w:history="1">
        <w:r w:rsidRPr="000C3DF9">
          <w:rPr>
            <w:rStyle w:val="TextoNormalCaracter"/>
          </w:rPr>
          <w:t>68/2002</w:t>
        </w:r>
      </w:hyperlink>
      <w:r w:rsidRPr="000C3DF9">
        <w:rPr>
          <w:rStyle w:val="TextoNormalCaracter"/>
        </w:rPr>
        <w:t xml:space="preserve">, f. 9; </w:t>
      </w:r>
      <w:hyperlink w:anchor="SENTENCIA_2002_70" w:history="1">
        <w:r w:rsidRPr="000C3DF9">
          <w:rPr>
            <w:rStyle w:val="TextoNormalCaracter"/>
          </w:rPr>
          <w:t>70/2002</w:t>
        </w:r>
      </w:hyperlink>
      <w:r w:rsidRPr="000C3DF9">
        <w:rPr>
          <w:rStyle w:val="TextoNormalCaracter"/>
        </w:rPr>
        <w:t>, f. 11.</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8" w:history="1">
        <w:r w:rsidRPr="000C3DF9">
          <w:rPr>
            <w:rStyle w:val="TextoNormalCaracter"/>
          </w:rPr>
          <w:t>8/2002</w:t>
        </w:r>
      </w:hyperlink>
      <w:r w:rsidRPr="000C3DF9">
        <w:rPr>
          <w:rStyle w:val="TextoNormalCaracter"/>
        </w:rPr>
        <w:t xml:space="preserve">; </w:t>
      </w:r>
      <w:hyperlink w:anchor="AUTO_2002_44" w:history="1">
        <w:r w:rsidRPr="000C3DF9">
          <w:rPr>
            <w:rStyle w:val="TextoNormalCaracter"/>
          </w:rPr>
          <w:t>44/2002</w:t>
        </w:r>
      </w:hyperlink>
      <w:r w:rsidRPr="000C3DF9">
        <w:rPr>
          <w:rStyle w:val="TextoNormalCaracter"/>
        </w:rPr>
        <w:t xml:space="preserve">; </w:t>
      </w:r>
      <w:hyperlink w:anchor="AUTO_2002_52" w:history="1">
        <w:r w:rsidRPr="000C3DF9">
          <w:rPr>
            <w:rStyle w:val="TextoNormalCaracter"/>
          </w:rPr>
          <w:t>52/2002</w:t>
        </w:r>
      </w:hyperlink>
      <w:r w:rsidRPr="000C3DF9">
        <w:rPr>
          <w:rStyle w:val="TextoNormalCaracter"/>
        </w:rPr>
        <w:t xml:space="preserve">; </w:t>
      </w:r>
      <w:hyperlink w:anchor="AUTO_2002_68" w:history="1">
        <w:r w:rsidRPr="000C3DF9">
          <w:rPr>
            <w:rStyle w:val="TextoNormalCaracter"/>
          </w:rPr>
          <w:t>68/2002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94" w:history="1">
        <w:r w:rsidRPr="000C3DF9">
          <w:rPr>
            <w:rStyle w:val="TextoNormalCaracter"/>
          </w:rPr>
          <w:t>94/2002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34" w:name="DESCRIPTORALFABETICO76"/>
      <w:r w:rsidRPr="000C3DF9">
        <w:rPr>
          <w:rStyle w:val="TextoNormalNegritaCaracter"/>
        </w:rPr>
        <w:t>Derecho a la propia imagen</w:t>
      </w:r>
      <w:bookmarkEnd w:id="1134"/>
      <w:r w:rsidRPr="000C3DF9">
        <w:rPr>
          <w:rStyle w:val="TextoNormalCaracter"/>
        </w:rPr>
        <w:t xml:space="preserve">, Sentencia </w:t>
      </w:r>
      <w:hyperlink w:anchor="SENTENCIA_2002_83" w:history="1">
        <w:r w:rsidRPr="000C3DF9">
          <w:rPr>
            <w:rStyle w:val="TextoNormalCaracter"/>
          </w:rPr>
          <w:t>83/2002</w:t>
        </w:r>
      </w:hyperlink>
      <w:r w:rsidRPr="000C3DF9">
        <w:rPr>
          <w:rStyle w:val="TextoNormalCaracter"/>
        </w:rPr>
        <w:t>, ff. 4, 5.</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83" w:history="1">
        <w:r w:rsidRPr="000C3DF9">
          <w:rPr>
            <w:rStyle w:val="TextoNormalCaracter"/>
          </w:rPr>
          <w:t>83/2002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83" w:history="1">
        <w:r w:rsidRPr="000C3DF9">
          <w:rPr>
            <w:rStyle w:val="TextoNormalCaracter"/>
          </w:rPr>
          <w:t>83/2002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35" w:name="DESCRIPTORALFABETICO77"/>
      <w:r w:rsidRPr="000C3DF9">
        <w:rPr>
          <w:rStyle w:val="TextoNormalNegritaCaracter"/>
        </w:rPr>
        <w:t>Derecho a la protección de la salud</w:t>
      </w:r>
      <w:bookmarkEnd w:id="1135"/>
      <w:r w:rsidRPr="000C3DF9">
        <w:rPr>
          <w:rStyle w:val="TextoNormalCaracter"/>
        </w:rPr>
        <w:t xml:space="preserve">, Sentencia </w:t>
      </w:r>
      <w:hyperlink w:anchor="SENTENCIA_2002_5" w:history="1">
        <w:r w:rsidRPr="000C3DF9">
          <w:rPr>
            <w:rStyle w:val="TextoNormalCaracter"/>
          </w:rPr>
          <w:t>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36" w:name="DESCRIPTORALFABETICO114"/>
      <w:r w:rsidRPr="000C3DF9">
        <w:rPr>
          <w:rStyle w:val="TextoNormalNegritaCaracter"/>
        </w:rPr>
        <w:t>Derecho a la prueba</w:t>
      </w:r>
      <w:bookmarkEnd w:id="1136"/>
      <w:r w:rsidRPr="000C3DF9">
        <w:rPr>
          <w:rStyle w:val="TextoNormalCaracter"/>
        </w:rPr>
        <w:t xml:space="preserve">, Sentencias </w:t>
      </w:r>
      <w:hyperlink w:anchor="SENTENCIA_2002_57" w:history="1">
        <w:r w:rsidRPr="000C3DF9">
          <w:rPr>
            <w:rStyle w:val="TextoNormalCaracter"/>
          </w:rPr>
          <w:t>57/2002</w:t>
        </w:r>
      </w:hyperlink>
      <w:r w:rsidRPr="000C3DF9">
        <w:rPr>
          <w:rStyle w:val="TextoNormalCaracter"/>
        </w:rPr>
        <w:t xml:space="preserve">, f. 2; </w:t>
      </w:r>
      <w:hyperlink w:anchor="SENTENCIA_2002_61" w:history="1">
        <w:r w:rsidRPr="000C3DF9">
          <w:rPr>
            <w:rStyle w:val="TextoNormalCaracter"/>
          </w:rPr>
          <w:t>61/2002</w:t>
        </w:r>
      </w:hyperlink>
      <w:r w:rsidRPr="000C3DF9">
        <w:rPr>
          <w:rStyle w:val="TextoNormalCaracter"/>
        </w:rPr>
        <w:t xml:space="preserve">, f. 3; </w:t>
      </w:r>
      <w:hyperlink w:anchor="SENTENCIA_2002_70" w:history="1">
        <w:r w:rsidRPr="000C3DF9">
          <w:rPr>
            <w:rStyle w:val="TextoNormalCaracter"/>
          </w:rPr>
          <w:t>70/2002</w:t>
        </w:r>
      </w:hyperlink>
      <w:r w:rsidRPr="000C3DF9">
        <w:rPr>
          <w:rStyle w:val="TextoNormalCaracter"/>
        </w:rPr>
        <w:t xml:space="preserve">, f. 5; </w:t>
      </w:r>
      <w:hyperlink w:anchor="SENTENCIA_2002_79" w:history="1">
        <w:r w:rsidRPr="000C3DF9">
          <w:rPr>
            <w:rStyle w:val="TextoNormalCaracter"/>
          </w:rPr>
          <w:t>79/2002</w:t>
        </w:r>
      </w:hyperlink>
      <w:r w:rsidRPr="000C3DF9">
        <w:rPr>
          <w:rStyle w:val="TextoNormalCaracter"/>
        </w:rPr>
        <w:t xml:space="preserve">, f. 3; </w:t>
      </w:r>
      <w:hyperlink w:anchor="SENTENCIA_2002_81" w:history="1">
        <w:r w:rsidRPr="000C3DF9">
          <w:rPr>
            <w:rStyle w:val="TextoNormalCaracter"/>
          </w:rPr>
          <w:t>81/2002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2" w:history="1">
        <w:r w:rsidRPr="000C3DF9">
          <w:rPr>
            <w:rStyle w:val="TextoNormalCaracter"/>
          </w:rPr>
          <w:t>52/2002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70" w:history="1">
        <w:r w:rsidRPr="000C3DF9">
          <w:rPr>
            <w:rStyle w:val="TextoNormalCaracter"/>
          </w:rPr>
          <w:t>70/2002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81" w:history="1">
        <w:r w:rsidRPr="000C3DF9">
          <w:rPr>
            <w:rStyle w:val="TextoNormalCaracter"/>
          </w:rPr>
          <w:t>81/2002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137" w:name="DESCRIPTORALFABETICO78"/>
      <w:r w:rsidRPr="000C3DF9">
        <w:rPr>
          <w:rStyle w:val="TextoNormalNegritaCaracter"/>
        </w:rPr>
        <w:t>Derecho a la tutela judicial efectiva</w:t>
      </w:r>
      <w:bookmarkEnd w:id="1137"/>
      <w:r w:rsidRPr="000C3DF9">
        <w:rPr>
          <w:rStyle w:val="TextoNormalCaracter"/>
        </w:rPr>
        <w:t xml:space="preserve">, Sentencias </w:t>
      </w:r>
      <w:hyperlink w:anchor="SENTENCIA_2002_8" w:history="1">
        <w:r w:rsidRPr="000C3DF9">
          <w:rPr>
            <w:rStyle w:val="TextoNormalCaracter"/>
          </w:rPr>
          <w:t>8/2002</w:t>
        </w:r>
      </w:hyperlink>
      <w:r w:rsidRPr="000C3DF9">
        <w:rPr>
          <w:rStyle w:val="TextoNormalCaracter"/>
        </w:rPr>
        <w:t xml:space="preserve">, f. 3; </w:t>
      </w:r>
      <w:hyperlink w:anchor="SENTENCIA_2002_12" w:history="1">
        <w:r w:rsidRPr="000C3DF9">
          <w:rPr>
            <w:rStyle w:val="TextoNormalCaracter"/>
          </w:rPr>
          <w:t>12/2002</w:t>
        </w:r>
      </w:hyperlink>
      <w:r w:rsidRPr="000C3DF9">
        <w:rPr>
          <w:rStyle w:val="TextoNormalCaracter"/>
        </w:rPr>
        <w:t xml:space="preserve">, f. 6; </w:t>
      </w:r>
      <w:hyperlink w:anchor="SENTENCIA_2002_13" w:history="1">
        <w:r w:rsidRPr="000C3DF9">
          <w:rPr>
            <w:rStyle w:val="TextoNormalCaracter"/>
          </w:rPr>
          <w:t>13/2002</w:t>
        </w:r>
      </w:hyperlink>
      <w:r w:rsidRPr="000C3DF9">
        <w:rPr>
          <w:rStyle w:val="TextoNormalCaracter"/>
        </w:rPr>
        <w:t xml:space="preserve">, f. 2; </w:t>
      </w:r>
      <w:hyperlink w:anchor="SENTENCIA_2002_45" w:history="1">
        <w:r w:rsidRPr="000C3DF9">
          <w:rPr>
            <w:rStyle w:val="TextoNormalCaracter"/>
          </w:rPr>
          <w:t>45/2002</w:t>
        </w:r>
      </w:hyperlink>
      <w:r w:rsidRPr="000C3DF9">
        <w:rPr>
          <w:rStyle w:val="TextoNormalCaracter"/>
        </w:rPr>
        <w:t xml:space="preserve">, f. 2; </w:t>
      </w:r>
      <w:hyperlink w:anchor="SENTENCIA_2002_82" w:history="1">
        <w:r w:rsidRPr="000C3DF9">
          <w:rPr>
            <w:rStyle w:val="TextoNormalCaracter"/>
          </w:rPr>
          <w:t>82/2002</w:t>
        </w:r>
      </w:hyperlink>
      <w:r w:rsidRPr="000C3DF9">
        <w:rPr>
          <w:rStyle w:val="TextoNormalCaracter"/>
        </w:rPr>
        <w:t xml:space="preserve">, f. 7; </w:t>
      </w:r>
      <w:hyperlink w:anchor="SENTENCIA_2002_92" w:history="1">
        <w:r w:rsidRPr="000C3DF9">
          <w:rPr>
            <w:rStyle w:val="TextoNormalCaracter"/>
          </w:rPr>
          <w:t>92/2002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22" w:history="1">
        <w:r w:rsidRPr="000C3DF9">
          <w:rPr>
            <w:rStyle w:val="TextoNormalCaracter"/>
          </w:rPr>
          <w:t>22/2002</w:t>
        </w:r>
      </w:hyperlink>
      <w:r w:rsidRPr="000C3DF9">
        <w:rPr>
          <w:rStyle w:val="TextoNormalCaracter"/>
        </w:rPr>
        <w:t>, f. 2.</w:t>
      </w:r>
    </w:p>
    <w:p w:rsidR="000C3DF9" w:rsidRPr="000C3DF9" w:rsidRDefault="000C3DF9" w:rsidP="000C3DF9">
      <w:pPr>
        <w:pStyle w:val="TextoNormalSangraFrancesa"/>
        <w:rPr>
          <w:rStyle w:val="TextoNormalCaracter"/>
        </w:rPr>
      </w:pPr>
      <w:bookmarkStart w:id="1138" w:name="DESCRIPTORALFABETICO105"/>
      <w:r w:rsidRPr="000C3DF9">
        <w:rPr>
          <w:rStyle w:val="TextoNormalNegritaCaracter"/>
        </w:rPr>
        <w:lastRenderedPageBreak/>
        <w:t>Derecho a la tutela judicial sin indefensión</w:t>
      </w:r>
      <w:bookmarkEnd w:id="1138"/>
      <w:r w:rsidRPr="000C3DF9">
        <w:rPr>
          <w:rStyle w:val="TextoNormalCaracter"/>
        </w:rPr>
        <w:t xml:space="preserve">, Sentencias </w:t>
      </w:r>
      <w:hyperlink w:anchor="SENTENCIA_2002_1" w:history="1">
        <w:r w:rsidRPr="000C3DF9">
          <w:rPr>
            <w:rStyle w:val="TextoNormalCaracter"/>
          </w:rPr>
          <w:t>1/2002</w:t>
        </w:r>
      </w:hyperlink>
      <w:r w:rsidRPr="000C3DF9">
        <w:rPr>
          <w:rStyle w:val="TextoNormalCaracter"/>
        </w:rPr>
        <w:t xml:space="preserve">, f. 4; </w:t>
      </w:r>
      <w:hyperlink w:anchor="SENTENCIA_2002_31" w:history="1">
        <w:r w:rsidRPr="000C3DF9">
          <w:rPr>
            <w:rStyle w:val="TextoNormalCaracter"/>
          </w:rPr>
          <w:t>31/2002</w:t>
        </w:r>
      </w:hyperlink>
      <w:r w:rsidRPr="000C3DF9">
        <w:rPr>
          <w:rStyle w:val="TextoNormalCaracter"/>
        </w:rPr>
        <w:t xml:space="preserve">, f. 7; </w:t>
      </w:r>
      <w:hyperlink w:anchor="SENTENCIA_2002_59" w:history="1">
        <w:r w:rsidRPr="000C3DF9">
          <w:rPr>
            <w:rStyle w:val="TextoNormalCaracter"/>
          </w:rPr>
          <w:t>59/2002</w:t>
        </w:r>
      </w:hyperlink>
      <w:r w:rsidRPr="000C3DF9">
        <w:rPr>
          <w:rStyle w:val="TextoNormalCaracter"/>
        </w:rPr>
        <w:t xml:space="preserve">, f. 4; </w:t>
      </w:r>
      <w:hyperlink w:anchor="SENTENCIA_2002_81" w:history="1">
        <w:r w:rsidRPr="000C3DF9">
          <w:rPr>
            <w:rStyle w:val="TextoNormalCaracter"/>
          </w:rPr>
          <w:t>81/2002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4" w:history="1">
        <w:r w:rsidRPr="000C3DF9">
          <w:rPr>
            <w:rStyle w:val="TextoNormalCaracter"/>
          </w:rPr>
          <w:t>54/2002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Sentencias </w:t>
      </w:r>
      <w:hyperlink w:anchor="SENTENCIA_2002_19" w:history="1">
        <w:r w:rsidRPr="000C3DF9">
          <w:rPr>
            <w:rStyle w:val="TextoNormalCaracter"/>
          </w:rPr>
          <w:t>19/2002</w:t>
        </w:r>
      </w:hyperlink>
      <w:r w:rsidRPr="000C3DF9">
        <w:rPr>
          <w:rStyle w:val="TextoNormalCaracter"/>
        </w:rPr>
        <w:t xml:space="preserve">, f. 1; </w:t>
      </w:r>
      <w:hyperlink w:anchor="SENTENCIA_2002_40" w:history="1">
        <w:r w:rsidRPr="000C3DF9">
          <w:rPr>
            <w:rStyle w:val="TextoNormalCaracter"/>
          </w:rPr>
          <w:t>40/2002</w:t>
        </w:r>
      </w:hyperlink>
      <w:r w:rsidRPr="000C3DF9">
        <w:rPr>
          <w:rStyle w:val="TextoNormalCaracter"/>
        </w:rPr>
        <w:t xml:space="preserve">, f. 3; </w:t>
      </w:r>
      <w:hyperlink w:anchor="SENTENCIA_2002_61" w:history="1">
        <w:r w:rsidRPr="000C3DF9">
          <w:rPr>
            <w:rStyle w:val="TextoNormalCaracter"/>
          </w:rPr>
          <w:t>61/2002</w:t>
        </w:r>
      </w:hyperlink>
      <w:r w:rsidRPr="000C3DF9">
        <w:rPr>
          <w:rStyle w:val="TextoNormalCaracter"/>
        </w:rPr>
        <w:t xml:space="preserve">, f. 3; </w:t>
      </w:r>
      <w:hyperlink w:anchor="SENTENCIA_2002_68" w:history="1">
        <w:r w:rsidRPr="000C3DF9">
          <w:rPr>
            <w:rStyle w:val="TextoNormalCaracter"/>
          </w:rPr>
          <w:t>68/2002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18" w:history="1">
        <w:r w:rsidRPr="000C3DF9">
          <w:rPr>
            <w:rStyle w:val="TextoNormalCaracter"/>
          </w:rPr>
          <w:t>18/2002</w:t>
        </w:r>
      </w:hyperlink>
      <w:r w:rsidRPr="000C3DF9">
        <w:rPr>
          <w:rStyle w:val="TextoNormalCaracter"/>
        </w:rPr>
        <w:t xml:space="preserve">, f. 8; </w:t>
      </w:r>
      <w:hyperlink w:anchor="SENTENCIA_2002_59" w:history="1">
        <w:r w:rsidRPr="000C3DF9">
          <w:rPr>
            <w:rStyle w:val="TextoNormalCaracter"/>
          </w:rPr>
          <w:t>59/2002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1" w:history="1">
        <w:r w:rsidRPr="000C3DF9">
          <w:rPr>
            <w:rStyle w:val="TextoNormalCaracter"/>
          </w:rPr>
          <w:t>1/2002</w:t>
        </w:r>
      </w:hyperlink>
      <w:r w:rsidRPr="000C3DF9">
        <w:rPr>
          <w:rStyle w:val="TextoNormalCaracter"/>
        </w:rPr>
        <w:t xml:space="preserve">, f. 4; </w:t>
      </w:r>
      <w:hyperlink w:anchor="SENTENCIA_2002_42" w:history="1">
        <w:r w:rsidRPr="000C3DF9">
          <w:rPr>
            <w:rStyle w:val="TextoNormalCaracter"/>
          </w:rPr>
          <w:t>42/2002</w:t>
        </w:r>
      </w:hyperlink>
      <w:r w:rsidRPr="000C3DF9">
        <w:rPr>
          <w:rStyle w:val="TextoNormalCaracter"/>
        </w:rPr>
        <w:t xml:space="preserve">, f. 3; </w:t>
      </w:r>
      <w:hyperlink w:anchor="SENTENCIA_2002_87" w:history="1">
        <w:r w:rsidRPr="000C3DF9">
          <w:rPr>
            <w:rStyle w:val="TextoNormalCaracter"/>
          </w:rPr>
          <w:t>87/2002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139" w:name="DESCRIPTORALFABETICO108"/>
      <w:r w:rsidRPr="000C3DF9">
        <w:rPr>
          <w:rStyle w:val="TextoNormalNegritaCaracter"/>
        </w:rPr>
        <w:t>Derecho a la vida</w:t>
      </w:r>
      <w:bookmarkEnd w:id="1139"/>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5" w:history="1">
        <w:r w:rsidRPr="000C3DF9">
          <w:rPr>
            <w:rStyle w:val="TextoNormalCaracter"/>
          </w:rPr>
          <w:t>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40" w:name="DESCRIPTORALFABETICO86"/>
      <w:r w:rsidRPr="000C3DF9">
        <w:rPr>
          <w:rStyle w:val="TextoNormalNegritaCaracter"/>
        </w:rPr>
        <w:t>Derecho a obtener una resolución sobre el fondo de las pretensiones</w:t>
      </w:r>
      <w:bookmarkEnd w:id="1140"/>
      <w:r w:rsidRPr="000C3DF9">
        <w:rPr>
          <w:rStyle w:val="TextoNormalCaracter"/>
        </w:rPr>
        <w:t xml:space="preserve">, Sentencia </w:t>
      </w:r>
      <w:hyperlink w:anchor="SENTENCIA_2002_71" w:history="1">
        <w:r w:rsidRPr="000C3DF9">
          <w:rPr>
            <w:rStyle w:val="TextoNormalCaracter"/>
          </w:rPr>
          <w:t>71/2002</w:t>
        </w:r>
      </w:hyperlink>
      <w:r w:rsidRPr="000C3DF9">
        <w:rPr>
          <w:rStyle w:val="TextoNormalCaracter"/>
        </w:rPr>
        <w:t>, ff. 3, 7.</w:t>
      </w:r>
    </w:p>
    <w:p w:rsidR="000C3DF9" w:rsidRPr="000C3DF9" w:rsidRDefault="000C3DF9" w:rsidP="000C3DF9">
      <w:pPr>
        <w:pStyle w:val="TextoNormalSangraFrancesa"/>
        <w:rPr>
          <w:rStyle w:val="TextoNormalNegritaCaracter"/>
        </w:rPr>
      </w:pPr>
      <w:r w:rsidRPr="000C3DF9">
        <w:rPr>
          <w:rStyle w:val="TextoNormalCursivaCaracter"/>
        </w:rPr>
        <w:t>Derecho a promover la persecución penal</w:t>
      </w:r>
      <w:r>
        <w:t xml:space="preserve"> véase </w:t>
      </w:r>
      <w:hyperlink w:anchor="DESCRIPTORALFABETICO81" w:history="1">
        <w:r w:rsidRPr="000C3DF9">
          <w:rPr>
            <w:rStyle w:val="TextoNormalNegritaCaracter"/>
            <w:i/>
          </w:rPr>
          <w:t>Ius ut procedatur</w:t>
        </w:r>
      </w:hyperlink>
    </w:p>
    <w:p w:rsidR="000C3DF9" w:rsidRPr="000C3DF9" w:rsidRDefault="000C3DF9" w:rsidP="000C3DF9">
      <w:pPr>
        <w:pStyle w:val="TextoNormalSangraFrancesa"/>
        <w:rPr>
          <w:rStyle w:val="TextoNormalCaracter"/>
        </w:rPr>
      </w:pPr>
      <w:bookmarkStart w:id="1141" w:name="DESCRIPTORALFABETICO116"/>
      <w:r w:rsidRPr="000C3DF9">
        <w:rPr>
          <w:rStyle w:val="TextoNormalNegritaCaracter"/>
        </w:rPr>
        <w:t>Derecho a un juez imparcial</w:t>
      </w:r>
      <w:bookmarkEnd w:id="1141"/>
      <w:r w:rsidRPr="000C3DF9">
        <w:rPr>
          <w:rStyle w:val="TextoNormalCaracter"/>
        </w:rPr>
        <w:t xml:space="preserve">, Sentencia </w:t>
      </w:r>
      <w:hyperlink w:anchor="SENTENCIA_2002_51" w:history="1">
        <w:r w:rsidRPr="000C3DF9">
          <w:rPr>
            <w:rStyle w:val="TextoNormalCaracter"/>
          </w:rPr>
          <w:t>51/2002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8" w:history="1">
        <w:r w:rsidRPr="000C3DF9">
          <w:rPr>
            <w:rStyle w:val="TextoNormalCaracter"/>
          </w:rPr>
          <w:t>8/2002</w:t>
        </w:r>
      </w:hyperlink>
      <w:r w:rsidRPr="000C3DF9">
        <w:rPr>
          <w:rStyle w:val="TextoNormalCaracter"/>
        </w:rPr>
        <w:t xml:space="preserve">; </w:t>
      </w:r>
      <w:hyperlink w:anchor="AUTO_2002_68" w:history="1">
        <w:r w:rsidRPr="000C3DF9">
          <w:rPr>
            <w:rStyle w:val="TextoNormalCaracter"/>
          </w:rPr>
          <w:t>68/2002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79" w:history="1">
        <w:r w:rsidRPr="000C3DF9">
          <w:rPr>
            <w:rStyle w:val="TextoNormalCaracter"/>
          </w:rPr>
          <w:t>79/2002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8" w:history="1">
        <w:r w:rsidRPr="000C3DF9">
          <w:rPr>
            <w:rStyle w:val="TextoNormalCaracter"/>
          </w:rPr>
          <w:t>8/2002</w:t>
        </w:r>
      </w:hyperlink>
      <w:r w:rsidRPr="000C3DF9">
        <w:rPr>
          <w:rStyle w:val="TextoNormalCaracter"/>
        </w:rPr>
        <w:t>.</w:t>
      </w:r>
    </w:p>
    <w:p w:rsidR="000C3DF9" w:rsidRPr="000C3DF9" w:rsidRDefault="000C3DF9" w:rsidP="000C3DF9">
      <w:pPr>
        <w:pStyle w:val="TextoNormalSangraFrancesa"/>
        <w:rPr>
          <w:rStyle w:val="TextoNormalCaracter"/>
        </w:rPr>
      </w:pPr>
      <w:bookmarkStart w:id="1142" w:name="DESCRIPTORALFABETICO110"/>
      <w:r w:rsidRPr="000C3DF9">
        <w:rPr>
          <w:rStyle w:val="TextoNormalNegritaCaracter"/>
        </w:rPr>
        <w:t>Derecho a un proceso con todas las garantías</w:t>
      </w:r>
      <w:bookmarkEnd w:id="1142"/>
      <w:r w:rsidRPr="000C3DF9">
        <w:rPr>
          <w:rStyle w:val="TextoNormalCaracter"/>
        </w:rPr>
        <w:t xml:space="preserve">, Sentencias </w:t>
      </w:r>
      <w:hyperlink w:anchor="SENTENCIA_2002_28" w:history="1">
        <w:r w:rsidRPr="000C3DF9">
          <w:rPr>
            <w:rStyle w:val="TextoNormalCaracter"/>
          </w:rPr>
          <w:t>28/2002</w:t>
        </w:r>
      </w:hyperlink>
      <w:r w:rsidRPr="000C3DF9">
        <w:rPr>
          <w:rStyle w:val="TextoNormalCaracter"/>
        </w:rPr>
        <w:t xml:space="preserve">, ff. 3, 5; </w:t>
      </w:r>
      <w:hyperlink w:anchor="SENTENCIA_2002_57" w:history="1">
        <w:r w:rsidRPr="000C3DF9">
          <w:rPr>
            <w:rStyle w:val="TextoNormalCaracter"/>
          </w:rPr>
          <w:t>57/2002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57" w:history="1">
        <w:r w:rsidRPr="000C3DF9">
          <w:rPr>
            <w:rStyle w:val="TextoNormalCaracter"/>
          </w:rPr>
          <w:t>57/2002</w:t>
        </w:r>
      </w:hyperlink>
      <w:r w:rsidRPr="000C3DF9">
        <w:rPr>
          <w:rStyle w:val="TextoNormalCaracter"/>
        </w:rPr>
        <w:t xml:space="preserve">, f. 2; </w:t>
      </w:r>
      <w:hyperlink w:anchor="SENTENCIA_2002_70" w:history="1">
        <w:r w:rsidRPr="000C3DF9">
          <w:rPr>
            <w:rStyle w:val="TextoNormalCaracter"/>
          </w:rPr>
          <w:t>70/2002</w:t>
        </w:r>
      </w:hyperlink>
      <w:r w:rsidRPr="000C3DF9">
        <w:rPr>
          <w:rStyle w:val="TextoNormalCaracter"/>
        </w:rPr>
        <w:t>, f. 7 d).</w:t>
      </w:r>
    </w:p>
    <w:p w:rsidR="000C3DF9" w:rsidRPr="000C3DF9" w:rsidRDefault="000C3DF9" w:rsidP="000C3DF9">
      <w:pPr>
        <w:pStyle w:val="TextoNormalSangraFrancesa"/>
        <w:rPr>
          <w:rStyle w:val="TextoNormalCaracter"/>
        </w:rPr>
      </w:pPr>
      <w:bookmarkStart w:id="1143" w:name="DESCRIPTORALFABETICO118"/>
      <w:r w:rsidRPr="000C3DF9">
        <w:rPr>
          <w:rStyle w:val="TextoNormalNegritaCaracter"/>
        </w:rPr>
        <w:t>Derecho a un proceso sin dilaciones indebidas</w:t>
      </w:r>
      <w:bookmarkEnd w:id="1143"/>
      <w:r w:rsidRPr="000C3DF9">
        <w:rPr>
          <w:rStyle w:val="TextoNormalCaracter"/>
        </w:rPr>
        <w:t xml:space="preserve">, Sentencias </w:t>
      </w:r>
      <w:hyperlink w:anchor="SENTENCIA_2002_7" w:history="1">
        <w:r w:rsidRPr="000C3DF9">
          <w:rPr>
            <w:rStyle w:val="TextoNormalCaracter"/>
          </w:rPr>
          <w:t>7/2002</w:t>
        </w:r>
      </w:hyperlink>
      <w:r w:rsidRPr="000C3DF9">
        <w:rPr>
          <w:rStyle w:val="TextoNormalCaracter"/>
        </w:rPr>
        <w:t xml:space="preserve">, f. 7; </w:t>
      </w:r>
      <w:hyperlink w:anchor="SENTENCIA_2002_98" w:history="1">
        <w:r w:rsidRPr="000C3DF9">
          <w:rPr>
            <w:rStyle w:val="TextoNormalCaracter"/>
          </w:rPr>
          <w:t>98/2002</w:t>
        </w:r>
      </w:hyperlink>
      <w:r w:rsidRPr="000C3DF9">
        <w:rPr>
          <w:rStyle w:val="TextoNormalCaracter"/>
        </w:rPr>
        <w:t>, f. 4.</w:t>
      </w:r>
    </w:p>
    <w:p w:rsidR="000C3DF9" w:rsidRPr="000C3DF9" w:rsidRDefault="000C3DF9" w:rsidP="000C3DF9">
      <w:pPr>
        <w:pStyle w:val="TextoNormalSangraFrancesa"/>
        <w:rPr>
          <w:rStyle w:val="TextoNormalNegritaCaracter"/>
        </w:rPr>
      </w:pPr>
      <w:r w:rsidRPr="000C3DF9">
        <w:rPr>
          <w:rStyle w:val="TextoNormalCursivaCaracter"/>
        </w:rPr>
        <w:t>Derecho a utilizar los medios de prueba pertinentes</w:t>
      </w:r>
      <w:r>
        <w:t xml:space="preserve"> véase </w:t>
      </w:r>
      <w:hyperlink w:anchor="DESCRIPTORALFABETICO114" w:history="1">
        <w:r w:rsidRPr="000C3DF9">
          <w:rPr>
            <w:rStyle w:val="TextoNormalNegritaCaracter"/>
          </w:rPr>
          <w:t>Derecho a la prueba</w:t>
        </w:r>
      </w:hyperlink>
    </w:p>
    <w:p w:rsidR="000C3DF9" w:rsidRPr="000C3DF9" w:rsidRDefault="000C3DF9" w:rsidP="000C3DF9">
      <w:pPr>
        <w:pStyle w:val="TextoNormalSangraFrancesa"/>
        <w:rPr>
          <w:rStyle w:val="TextoNormalCaracter"/>
        </w:rPr>
      </w:pPr>
      <w:bookmarkStart w:id="1144" w:name="DESCRIPTORALFABETICO365"/>
      <w:r w:rsidRPr="000C3DF9">
        <w:rPr>
          <w:rStyle w:val="TextoNormalNegritaCaracter"/>
        </w:rPr>
        <w:t>Derecho administrativo sancionador</w:t>
      </w:r>
      <w:bookmarkEnd w:id="1144"/>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12.</w:t>
      </w:r>
    </w:p>
    <w:p w:rsidR="000C3DF9" w:rsidRPr="000C3DF9" w:rsidRDefault="000C3DF9" w:rsidP="000C3DF9">
      <w:pPr>
        <w:pStyle w:val="TextoNormalSangraFrancesa"/>
        <w:rPr>
          <w:rStyle w:val="TextoNormalCaracter"/>
        </w:rPr>
      </w:pPr>
      <w:bookmarkStart w:id="1145" w:name="DESCRIPTORALFABETICO120"/>
      <w:r w:rsidRPr="000C3DF9">
        <w:rPr>
          <w:rStyle w:val="TextoNormalNegritaCaracter"/>
        </w:rPr>
        <w:t>Derecho al honor</w:t>
      </w:r>
      <w:bookmarkEnd w:id="1145"/>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ff. 4, 5; </w:t>
      </w:r>
      <w:hyperlink w:anchor="SENTENCIA_2002_52" w:history="1">
        <w:r w:rsidRPr="000C3DF9">
          <w:rPr>
            <w:rStyle w:val="TextoNormalCaracter"/>
          </w:rPr>
          <w:t>52/2002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46" w:name="DESCRIPTORALFABETICO88"/>
      <w:r w:rsidRPr="000C3DF9">
        <w:rPr>
          <w:rStyle w:val="TextoNormalNegritaCaracter"/>
        </w:rPr>
        <w:t>Derecho al recurso penal</w:t>
      </w:r>
      <w:bookmarkEnd w:id="1146"/>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7 a).</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70" w:history="1">
        <w:r w:rsidRPr="000C3DF9">
          <w:rPr>
            <w:rStyle w:val="TextoNormalCaracter"/>
          </w:rPr>
          <w:t>70/2002</w:t>
        </w:r>
      </w:hyperlink>
      <w:r w:rsidRPr="000C3DF9">
        <w:rPr>
          <w:rStyle w:val="TextoNormalCaracter"/>
        </w:rPr>
        <w:t>, f. 7.</w:t>
      </w:r>
    </w:p>
    <w:p w:rsidR="000C3DF9" w:rsidRPr="000C3DF9" w:rsidRDefault="000C3DF9" w:rsidP="000C3DF9">
      <w:pPr>
        <w:pStyle w:val="TextoNormalSangraFrancesa"/>
        <w:rPr>
          <w:rStyle w:val="TextoNormalCaracter"/>
        </w:rPr>
      </w:pPr>
      <w:bookmarkStart w:id="1147" w:name="DESCRIPTORALFABETICO122"/>
      <w:r w:rsidRPr="000C3DF9">
        <w:rPr>
          <w:rStyle w:val="TextoNormalNegritaCaracter"/>
        </w:rPr>
        <w:t>Derecho al secreto de las comunicaciones</w:t>
      </w:r>
      <w:bookmarkEnd w:id="1147"/>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70" w:history="1">
        <w:r w:rsidRPr="000C3DF9">
          <w:rPr>
            <w:rStyle w:val="TextoNormalCaracter"/>
          </w:rPr>
          <w:t>70/2002</w:t>
        </w:r>
      </w:hyperlink>
      <w:r w:rsidRPr="000C3DF9">
        <w:rPr>
          <w:rStyle w:val="TextoNormalCaracter"/>
        </w:rPr>
        <w:t>, f. 9 b).</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70" w:history="1">
        <w:r w:rsidRPr="000C3DF9">
          <w:rPr>
            <w:rStyle w:val="TextoNormalCaracter"/>
          </w:rPr>
          <w:t>70/2002</w:t>
        </w:r>
      </w:hyperlink>
      <w:r w:rsidRPr="000C3DF9">
        <w:rPr>
          <w:rStyle w:val="TextoNormalCaracter"/>
        </w:rPr>
        <w:t xml:space="preserve">, f. 9 c); </w:t>
      </w:r>
      <w:hyperlink w:anchor="SENTENCIA_2002_82" w:history="1">
        <w:r w:rsidRPr="000C3DF9">
          <w:rPr>
            <w:rStyle w:val="TextoNormalCaracter"/>
          </w:rPr>
          <w:t>82/2002</w:t>
        </w:r>
      </w:hyperlink>
      <w:r w:rsidRPr="000C3DF9">
        <w:rPr>
          <w:rStyle w:val="TextoNormalCaracter"/>
        </w:rPr>
        <w:t>, ff. 4 a 6.</w:t>
      </w:r>
    </w:p>
    <w:p w:rsidR="000C3DF9" w:rsidRPr="000C3DF9" w:rsidRDefault="000C3DF9" w:rsidP="000C3DF9">
      <w:pPr>
        <w:pStyle w:val="TextoNormalSangraFrancesa"/>
        <w:rPr>
          <w:rStyle w:val="TextoNormalCaracter"/>
        </w:rPr>
      </w:pPr>
      <w:bookmarkStart w:id="1148" w:name="DESCRIPTORALFABETICO411"/>
      <w:r w:rsidRPr="000C3DF9">
        <w:rPr>
          <w:rStyle w:val="TextoNormalNegritaCaracter"/>
        </w:rPr>
        <w:t>Derecho comparado</w:t>
      </w:r>
      <w:bookmarkEnd w:id="1148"/>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Derecho comunitario</w:t>
      </w:r>
      <w:r>
        <w:t xml:space="preserve"> véase </w:t>
      </w:r>
      <w:hyperlink w:anchor="DESCRIPTORALFABETICO412" w:history="1">
        <w:r w:rsidRPr="000C3DF9">
          <w:rPr>
            <w:rStyle w:val="TextoNormalNegritaCaracter"/>
          </w:rPr>
          <w:t>Derecho de la Unión Europea</w:t>
        </w:r>
      </w:hyperlink>
    </w:p>
    <w:p w:rsidR="000C3DF9" w:rsidRPr="000C3DF9" w:rsidRDefault="000C3DF9" w:rsidP="000C3DF9">
      <w:pPr>
        <w:pStyle w:val="TextoNormalSangraFrancesa"/>
        <w:rPr>
          <w:rStyle w:val="TextoNormalCaracter"/>
        </w:rPr>
      </w:pPr>
      <w:bookmarkStart w:id="1149" w:name="DESCRIPTORALFABETICO127"/>
      <w:r w:rsidRPr="000C3DF9">
        <w:rPr>
          <w:rStyle w:val="TextoNormalNegritaCaracter"/>
        </w:rPr>
        <w:t>Derecho de asilo</w:t>
      </w:r>
      <w:bookmarkEnd w:id="1149"/>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ff. 3, 4, 6, 7, 8, 9, 10, 11.</w:t>
      </w:r>
    </w:p>
    <w:p w:rsidR="000C3DF9" w:rsidRPr="000C3DF9" w:rsidRDefault="000C3DF9" w:rsidP="000C3DF9">
      <w:pPr>
        <w:pStyle w:val="TextoNormalSangraFrancesa"/>
        <w:rPr>
          <w:rStyle w:val="TextoNormalCaracter"/>
        </w:rPr>
      </w:pPr>
      <w:bookmarkStart w:id="1150" w:name="DESCRIPTORALFABETICO412"/>
      <w:r w:rsidRPr="000C3DF9">
        <w:rPr>
          <w:rStyle w:val="TextoNormalNegritaCaracter"/>
        </w:rPr>
        <w:t>Derecho de la Unión Europea</w:t>
      </w:r>
      <w:bookmarkEnd w:id="1150"/>
      <w:r w:rsidRPr="000C3DF9">
        <w:rPr>
          <w:rStyle w:val="TextoNormalCaracter"/>
        </w:rPr>
        <w:t xml:space="preserve">, Sentencias </w:t>
      </w:r>
      <w:hyperlink w:anchor="SENTENCIA_2002_38" w:history="1">
        <w:r w:rsidRPr="000C3DF9">
          <w:rPr>
            <w:rStyle w:val="TextoNormalCaracter"/>
          </w:rPr>
          <w:t>38/2002</w:t>
        </w:r>
      </w:hyperlink>
      <w:r w:rsidRPr="000C3DF9">
        <w:rPr>
          <w:rStyle w:val="TextoNormalCaracter"/>
        </w:rPr>
        <w:t xml:space="preserve">, f. 11; </w:t>
      </w:r>
      <w:hyperlink w:anchor="SENTENCIA_2002_53" w:history="1">
        <w:r w:rsidRPr="000C3DF9">
          <w:rPr>
            <w:rStyle w:val="TextoNormalCaracter"/>
          </w:rPr>
          <w:t>53/2002</w:t>
        </w:r>
      </w:hyperlink>
      <w:r w:rsidRPr="000C3DF9">
        <w:rPr>
          <w:rStyle w:val="TextoNormalCaracter"/>
        </w:rPr>
        <w:t xml:space="preserve">, f. 3; </w:t>
      </w:r>
      <w:hyperlink w:anchor="SENTENCIA_2002_95" w:history="1">
        <w:r w:rsidRPr="000C3DF9">
          <w:rPr>
            <w:rStyle w:val="TextoNormalCaracter"/>
          </w:rPr>
          <w:t>95/2002</w:t>
        </w:r>
      </w:hyperlink>
      <w:r w:rsidRPr="000C3DF9">
        <w:rPr>
          <w:rStyle w:val="TextoNormalCaracter"/>
        </w:rPr>
        <w:t xml:space="preserve">, f. 18; </w:t>
      </w:r>
      <w:hyperlink w:anchor="SENTENCIA_2002_96" w:history="1">
        <w:r w:rsidRPr="000C3DF9">
          <w:rPr>
            <w:rStyle w:val="TextoNormalCaracter"/>
          </w:rPr>
          <w:t>96/2002</w:t>
        </w:r>
      </w:hyperlink>
      <w:r w:rsidRPr="000C3DF9">
        <w:rPr>
          <w:rStyle w:val="TextoNormalCaracter"/>
        </w:rPr>
        <w:t>, ff. 2, 3, 4, 5, 6, 7, 8, 9, 10, 12.</w:t>
      </w:r>
    </w:p>
    <w:p w:rsidR="000C3DF9" w:rsidRPr="000C3DF9" w:rsidRDefault="000C3DF9" w:rsidP="000C3DF9">
      <w:pPr>
        <w:pStyle w:val="TextoNormalSangraFrancesa"/>
        <w:rPr>
          <w:rStyle w:val="TextoNormalCaracter"/>
        </w:rPr>
      </w:pPr>
      <w:bookmarkStart w:id="1151" w:name="DESCRIPTORALFABETICO413"/>
      <w:r w:rsidRPr="000C3DF9">
        <w:rPr>
          <w:rStyle w:val="TextoNormalNegritaCaracter"/>
        </w:rPr>
        <w:t>Derecho de la Unión Europea no es canon de constitucionalidad autónomo</w:t>
      </w:r>
      <w:bookmarkEnd w:id="1151"/>
      <w:r w:rsidRPr="000C3DF9">
        <w:rPr>
          <w:rStyle w:val="TextoNormalCaracter"/>
        </w:rPr>
        <w:t xml:space="preserve">, Sentencia </w:t>
      </w:r>
      <w:hyperlink w:anchor="SENTENCIA_2002_41" w:history="1">
        <w:r w:rsidRPr="000C3DF9">
          <w:rPr>
            <w:rStyle w:val="TextoNormalCaracter"/>
          </w:rPr>
          <w:t>41/2002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152" w:name="DESCRIPTORALFABETICO369"/>
      <w:r w:rsidRPr="000C3DF9">
        <w:rPr>
          <w:rStyle w:val="TextoNormalNegritaCaracter"/>
        </w:rPr>
        <w:t>Derecho de propiedad</w:t>
      </w:r>
      <w:bookmarkEnd w:id="1152"/>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10.</w:t>
      </w:r>
    </w:p>
    <w:p w:rsidR="000C3DF9" w:rsidRPr="000C3DF9" w:rsidRDefault="000C3DF9" w:rsidP="000C3DF9">
      <w:pPr>
        <w:pStyle w:val="TextoNormalSangraFrancesa"/>
        <w:rPr>
          <w:rStyle w:val="TextoNormalCaracter"/>
        </w:rPr>
      </w:pPr>
      <w:bookmarkStart w:id="1153" w:name="DESCRIPTORALFABETICO42"/>
      <w:r w:rsidRPr="000C3DF9">
        <w:rPr>
          <w:rStyle w:val="TextoNormalNegritaCaracter"/>
        </w:rPr>
        <w:t>Derecho electoral</w:t>
      </w:r>
      <w:bookmarkEnd w:id="1153"/>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3.</w:t>
      </w:r>
    </w:p>
    <w:p w:rsidR="000C3DF9" w:rsidRPr="000C3DF9" w:rsidRDefault="000C3DF9" w:rsidP="000C3DF9">
      <w:pPr>
        <w:pStyle w:val="TextoNormalSangraFrancesa"/>
        <w:rPr>
          <w:rStyle w:val="TextoNormalCaracter"/>
        </w:rPr>
      </w:pPr>
      <w:bookmarkStart w:id="1154" w:name="DESCRIPTORALFABETICO417"/>
      <w:r w:rsidRPr="000C3DF9">
        <w:rPr>
          <w:rStyle w:val="TextoNormalNegritaCaracter"/>
        </w:rPr>
        <w:t>Derecho extranjero</w:t>
      </w:r>
      <w:bookmarkEnd w:id="1154"/>
      <w:r w:rsidRPr="000C3DF9">
        <w:rPr>
          <w:rStyle w:val="TextoNormalCaracter"/>
        </w:rPr>
        <w:t xml:space="preserve">, Sentencia </w:t>
      </w:r>
      <w:hyperlink w:anchor="SENTENCIA_2002_33" w:history="1">
        <w:r w:rsidRPr="000C3DF9">
          <w:rPr>
            <w:rStyle w:val="TextoNormalCaracter"/>
          </w:rPr>
          <w:t>33/2002</w:t>
        </w:r>
      </w:hyperlink>
      <w:r w:rsidRPr="000C3DF9">
        <w:rPr>
          <w:rStyle w:val="TextoNormalCaracter"/>
        </w:rPr>
        <w:t>, f. 6.</w:t>
      </w:r>
    </w:p>
    <w:p w:rsidR="000C3DF9" w:rsidRPr="000C3DF9" w:rsidRDefault="000C3DF9" w:rsidP="000C3DF9">
      <w:pPr>
        <w:pStyle w:val="TextoNormalSangraFrancesa"/>
        <w:rPr>
          <w:rStyle w:val="TextoNormalCaracter"/>
        </w:rPr>
      </w:pPr>
      <w:bookmarkStart w:id="1155" w:name="DESCRIPTORALFABETICO418"/>
      <w:r w:rsidRPr="000C3DF9">
        <w:rPr>
          <w:rStyle w:val="TextoNormalNegritaCaracter"/>
        </w:rPr>
        <w:t>Derecho internacional</w:t>
      </w:r>
      <w:bookmarkEnd w:id="1155"/>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7 a).</w:t>
      </w:r>
    </w:p>
    <w:p w:rsidR="000C3DF9" w:rsidRPr="000C3DF9" w:rsidRDefault="000C3DF9" w:rsidP="000C3DF9">
      <w:pPr>
        <w:pStyle w:val="TextoNormalSangraFrancesa"/>
        <w:rPr>
          <w:rStyle w:val="TextoNormalCaracter"/>
        </w:rPr>
      </w:pPr>
      <w:bookmarkStart w:id="1156" w:name="DESCRIPTORALFABETICO419"/>
      <w:r w:rsidRPr="000C3DF9">
        <w:rPr>
          <w:rStyle w:val="TextoNormalNegritaCaracter"/>
        </w:rPr>
        <w:t>Derecho internacional público</w:t>
      </w:r>
      <w:bookmarkEnd w:id="1156"/>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3.</w:t>
      </w:r>
    </w:p>
    <w:p w:rsidR="000C3DF9" w:rsidRPr="000C3DF9" w:rsidRDefault="000C3DF9" w:rsidP="000C3DF9">
      <w:pPr>
        <w:pStyle w:val="TextoNormalSangraFrancesa"/>
        <w:rPr>
          <w:rStyle w:val="TextoNormalCaracter"/>
        </w:rPr>
      </w:pPr>
      <w:bookmarkStart w:id="1157" w:name="DESCRIPTORALFABETICO439"/>
      <w:r w:rsidRPr="000C3DF9">
        <w:rPr>
          <w:rStyle w:val="TextoNormalNegritaCaracter"/>
        </w:rPr>
        <w:t>Derecho supletorio estatal</w:t>
      </w:r>
      <w:bookmarkEnd w:id="1157"/>
      <w:r w:rsidRPr="000C3DF9">
        <w:rPr>
          <w:rStyle w:val="TextoNormalCaracter"/>
        </w:rPr>
        <w:t xml:space="preserve">, Auto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Derechos &lt;em&gt;ex lege&lt;/em&gt;</w:t>
      </w:r>
      <w:r>
        <w:t xml:space="preserve"> véase </w:t>
      </w:r>
      <w:hyperlink w:anchor="DESCRIPTORALFABETICO132" w:history="1">
        <w:r w:rsidRPr="000C3DF9">
          <w:rPr>
            <w:rStyle w:val="TextoNormalNegritaCaracter"/>
          </w:rPr>
          <w:t>Derechos de configuración legal</w:t>
        </w:r>
      </w:hyperlink>
    </w:p>
    <w:p w:rsidR="000C3DF9" w:rsidRPr="000C3DF9" w:rsidRDefault="000C3DF9" w:rsidP="000C3DF9">
      <w:pPr>
        <w:pStyle w:val="TextoNormalSangraFrancesa"/>
        <w:rPr>
          <w:rStyle w:val="TextoNormalCaracter"/>
        </w:rPr>
      </w:pPr>
      <w:bookmarkStart w:id="1158" w:name="DESCRIPTORALFABETICO132"/>
      <w:r w:rsidRPr="000C3DF9">
        <w:rPr>
          <w:rStyle w:val="TextoNormalNegritaCaracter"/>
        </w:rPr>
        <w:t>Derechos de configuración legal</w:t>
      </w:r>
      <w:bookmarkEnd w:id="1158"/>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5.</w:t>
      </w:r>
    </w:p>
    <w:p w:rsidR="000C3DF9" w:rsidRPr="000C3DF9" w:rsidRDefault="000C3DF9" w:rsidP="000C3DF9">
      <w:pPr>
        <w:pStyle w:val="TextoNormalSangraFrancesa"/>
        <w:rPr>
          <w:rStyle w:val="TextoNormalCaracter"/>
        </w:rPr>
      </w:pPr>
      <w:bookmarkStart w:id="1159" w:name="DESCRIPTORALFABETICO157"/>
      <w:r w:rsidRPr="000C3DF9">
        <w:rPr>
          <w:rStyle w:val="TextoNormalNegritaCaracter"/>
        </w:rPr>
        <w:t>Derechos fundamentales autónomos</w:t>
      </w:r>
      <w:bookmarkEnd w:id="1159"/>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 4; </w:t>
      </w:r>
      <w:hyperlink w:anchor="SENTENCIA_2002_83" w:history="1">
        <w:r w:rsidRPr="000C3DF9">
          <w:rPr>
            <w:rStyle w:val="TextoNormalCaracter"/>
          </w:rPr>
          <w:t>83/2002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160" w:name="DESCRIPTORALFABETICO420"/>
      <w:r w:rsidRPr="000C3DF9">
        <w:rPr>
          <w:rStyle w:val="TextoNormalNegritaCaracter"/>
        </w:rPr>
        <w:t>Derechos humanos</w:t>
      </w:r>
      <w:bookmarkEnd w:id="1160"/>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12" w:history="1">
        <w:r w:rsidRPr="000C3DF9">
          <w:rPr>
            <w:rStyle w:val="TextoNormalCaracter"/>
          </w:rPr>
          <w:t>12/2002</w:t>
        </w:r>
      </w:hyperlink>
      <w:r w:rsidRPr="000C3DF9">
        <w:rPr>
          <w:rStyle w:val="TextoNormalCaracter"/>
        </w:rPr>
        <w:t>, f. 2.</w:t>
      </w:r>
    </w:p>
    <w:p w:rsidR="000C3DF9" w:rsidRPr="000C3DF9" w:rsidRDefault="000C3DF9" w:rsidP="000C3DF9">
      <w:pPr>
        <w:pStyle w:val="TextoNormalSangraFrancesa"/>
        <w:rPr>
          <w:rStyle w:val="TextoNormalCaracter"/>
        </w:rPr>
      </w:pPr>
      <w:bookmarkStart w:id="1161" w:name="DESCRIPTORALFABETICO310"/>
      <w:r w:rsidRPr="000C3DF9">
        <w:rPr>
          <w:rStyle w:val="TextoNormalNegritaCaracter"/>
        </w:rPr>
        <w:t>Derechos parlamentarios</w:t>
      </w:r>
      <w:bookmarkEnd w:id="1161"/>
      <w:r w:rsidRPr="000C3DF9">
        <w:rPr>
          <w:rStyle w:val="TextoNormalCaracter"/>
        </w:rPr>
        <w:t xml:space="preserve">, Auto </w:t>
      </w:r>
      <w:hyperlink w:anchor="AUTO_2002_18" w:history="1">
        <w:r w:rsidRPr="000C3DF9">
          <w:rPr>
            <w:rStyle w:val="TextoNormalCaracter"/>
          </w:rPr>
          <w:t>18/2002</w:t>
        </w:r>
      </w:hyperlink>
      <w:r w:rsidRPr="000C3DF9">
        <w:rPr>
          <w:rStyle w:val="TextoNormalCaracter"/>
        </w:rPr>
        <w:t>.</w:t>
      </w:r>
    </w:p>
    <w:p w:rsidR="000C3DF9" w:rsidRPr="000C3DF9" w:rsidRDefault="000C3DF9" w:rsidP="000C3DF9">
      <w:pPr>
        <w:pStyle w:val="TextoNormalSangraFrancesa"/>
        <w:rPr>
          <w:rStyle w:val="TextoNormalCaracter"/>
        </w:rPr>
      </w:pPr>
      <w:bookmarkStart w:id="1162" w:name="DESCRIPTORALFABETICO340"/>
      <w:r w:rsidRPr="000C3DF9">
        <w:rPr>
          <w:rStyle w:val="TextoNormalNegritaCaracter"/>
        </w:rPr>
        <w:t>Derechos y libertades de los extranjeros en España</w:t>
      </w:r>
      <w:bookmarkEnd w:id="1162"/>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4.</w:t>
      </w:r>
    </w:p>
    <w:p w:rsidR="000C3DF9" w:rsidRPr="000C3DF9" w:rsidRDefault="000C3DF9" w:rsidP="000C3DF9">
      <w:pPr>
        <w:pStyle w:val="TextoNormalSangraFrancesa"/>
        <w:rPr>
          <w:rStyle w:val="TextoNormalNegritaCaracter"/>
        </w:rPr>
      </w:pPr>
      <w:r w:rsidRPr="000C3DF9">
        <w:rPr>
          <w:rStyle w:val="TextoNormalCursivaCaracter"/>
        </w:rPr>
        <w:lastRenderedPageBreak/>
        <w:t>Derechos y libertades fundamentales</w:t>
      </w:r>
      <w:r>
        <w:t xml:space="preserve"> véase </w:t>
      </w:r>
      <w:hyperlink w:anchor="DESCRIPTORALFABETICO156" w:history="1">
        <w:r w:rsidRPr="000C3DF9">
          <w:rPr>
            <w:rStyle w:val="TextoNormalNegritaCaracter"/>
          </w:rPr>
          <w:t>Teoría general de los derechos fundamentales</w:t>
        </w:r>
      </w:hyperlink>
    </w:p>
    <w:p w:rsidR="000C3DF9" w:rsidRPr="000C3DF9" w:rsidRDefault="000C3DF9" w:rsidP="000C3DF9">
      <w:pPr>
        <w:pStyle w:val="TextoNormalSangraFrancesa"/>
        <w:rPr>
          <w:rStyle w:val="TextoNormalCaracter"/>
        </w:rPr>
      </w:pPr>
      <w:bookmarkStart w:id="1163" w:name="DESCRIPTORALFABETICO240"/>
      <w:r w:rsidRPr="000C3DF9">
        <w:rPr>
          <w:rStyle w:val="TextoNormalNegritaCaracter"/>
        </w:rPr>
        <w:t>Derechos y libertades no susceptibles de amparo</w:t>
      </w:r>
      <w:bookmarkEnd w:id="1163"/>
      <w:r w:rsidRPr="000C3DF9">
        <w:rPr>
          <w:rStyle w:val="TextoNormalCaracter"/>
        </w:rPr>
        <w:t xml:space="preserve">, Sentencias </w:t>
      </w:r>
      <w:hyperlink w:anchor="SENTENCIA_2002_3" w:history="1">
        <w:r w:rsidRPr="000C3DF9">
          <w:rPr>
            <w:rStyle w:val="TextoNormalCaracter"/>
          </w:rPr>
          <w:t>3/2002</w:t>
        </w:r>
      </w:hyperlink>
      <w:r w:rsidRPr="000C3DF9">
        <w:rPr>
          <w:rStyle w:val="TextoNormalCaracter"/>
        </w:rPr>
        <w:t xml:space="preserve">, f. 2; </w:t>
      </w:r>
      <w:hyperlink w:anchor="SENTENCIA_2002_53" w:history="1">
        <w:r w:rsidRPr="000C3DF9">
          <w:rPr>
            <w:rStyle w:val="TextoNormalCaracter"/>
          </w:rPr>
          <w:t>53/2002</w:t>
        </w:r>
      </w:hyperlink>
      <w:r w:rsidRPr="000C3DF9">
        <w:rPr>
          <w:rStyle w:val="TextoNormalCaracter"/>
        </w:rPr>
        <w:t xml:space="preserve">, f. 4; </w:t>
      </w:r>
      <w:hyperlink w:anchor="SENTENCIA_2002_75" w:history="1">
        <w:r w:rsidRPr="000C3DF9">
          <w:rPr>
            <w:rStyle w:val="TextoNormalCaracter"/>
          </w:rPr>
          <w:t>75/2002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64" w:name="DESCRIPTORALFABETICO158"/>
      <w:r w:rsidRPr="000C3DF9">
        <w:rPr>
          <w:rStyle w:val="TextoNormalNegritaCaracter"/>
        </w:rPr>
        <w:t>Desarrollo de derechos fundamentales</w:t>
      </w:r>
      <w:bookmarkEnd w:id="1164"/>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13.</w:t>
      </w:r>
    </w:p>
    <w:p w:rsidR="000C3DF9" w:rsidRPr="000C3DF9" w:rsidRDefault="000C3DF9" w:rsidP="000C3DF9">
      <w:pPr>
        <w:pStyle w:val="TextoNormalSangraFrancesa"/>
        <w:rPr>
          <w:rStyle w:val="TextoNormalCaracter"/>
        </w:rPr>
      </w:pPr>
      <w:bookmarkStart w:id="1165" w:name="DESCRIPTORALFABETICO199"/>
      <w:r w:rsidRPr="000C3DF9">
        <w:rPr>
          <w:rStyle w:val="TextoNormalNegritaCaracter"/>
        </w:rPr>
        <w:t>Desestimación de recurso de súplica contra Autos del Tribunal Constitucional</w:t>
      </w:r>
      <w:bookmarkEnd w:id="1165"/>
      <w:r w:rsidRPr="000C3DF9">
        <w:rPr>
          <w:rStyle w:val="TextoNormalCaracter"/>
        </w:rPr>
        <w:t xml:space="preserve">, Auto </w:t>
      </w:r>
      <w:hyperlink w:anchor="AUTO_2002_16" w:history="1">
        <w:r w:rsidRPr="000C3DF9">
          <w:rPr>
            <w:rStyle w:val="TextoNormalCaracter"/>
          </w:rPr>
          <w:t>16/2002</w:t>
        </w:r>
      </w:hyperlink>
      <w:r w:rsidRPr="000C3DF9">
        <w:rPr>
          <w:rStyle w:val="TextoNormalCaracter"/>
        </w:rPr>
        <w:t>.</w:t>
      </w:r>
    </w:p>
    <w:p w:rsidR="000C3DF9" w:rsidRPr="000C3DF9" w:rsidRDefault="000C3DF9" w:rsidP="000C3DF9">
      <w:pPr>
        <w:pStyle w:val="TextoNormalSangraFrancesa"/>
        <w:rPr>
          <w:rStyle w:val="TextoNormalCaracter"/>
        </w:rPr>
      </w:pPr>
      <w:bookmarkStart w:id="1166" w:name="DESCRIPTORALFABETICO659"/>
      <w:r w:rsidRPr="000C3DF9">
        <w:rPr>
          <w:rStyle w:val="TextoNormalNegritaCaracter"/>
        </w:rPr>
        <w:t>Desistimiento en el proceso judicial</w:t>
      </w:r>
      <w:bookmarkEnd w:id="1166"/>
      <w:r w:rsidRPr="000C3DF9">
        <w:rPr>
          <w:rStyle w:val="TextoNormalCaracter"/>
        </w:rPr>
        <w:t xml:space="preserve">, Sentencia </w:t>
      </w:r>
      <w:hyperlink w:anchor="SENTENCIA_2002_56" w:history="1">
        <w:r w:rsidRPr="000C3DF9">
          <w:rPr>
            <w:rStyle w:val="TextoNormalCaracter"/>
          </w:rPr>
          <w:t>56/2002</w:t>
        </w:r>
      </w:hyperlink>
      <w:r w:rsidRPr="000C3DF9">
        <w:rPr>
          <w:rStyle w:val="TextoNormalCaracter"/>
        </w:rPr>
        <w:t>, f. 6.</w:t>
      </w:r>
    </w:p>
    <w:p w:rsidR="000C3DF9" w:rsidRPr="000C3DF9" w:rsidRDefault="000C3DF9" w:rsidP="000C3DF9">
      <w:pPr>
        <w:pStyle w:val="TextoNormalSangraFrancesa"/>
        <w:rPr>
          <w:rStyle w:val="TextoNormalCaracter"/>
        </w:rPr>
      </w:pPr>
      <w:bookmarkStart w:id="1167" w:name="DESCRIPTORALFABETICO200"/>
      <w:r w:rsidRPr="000C3DF9">
        <w:rPr>
          <w:rStyle w:val="TextoNormalNegritaCaracter"/>
        </w:rPr>
        <w:t>Desistimiento en el recurso de amparo</w:t>
      </w:r>
      <w:bookmarkEnd w:id="1167"/>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Procedencia, </w:t>
      </w:r>
      <w:r w:rsidRPr="000C3DF9">
        <w:rPr>
          <w:rStyle w:val="TextoNormalCaracter"/>
        </w:rPr>
        <w:t xml:space="preserve">Auto </w:t>
      </w:r>
      <w:hyperlink w:anchor="AUTO_2002_33" w:history="1">
        <w:r w:rsidRPr="000C3DF9">
          <w:rPr>
            <w:rStyle w:val="TextoNormalCaracter"/>
          </w:rPr>
          <w:t>33/2002</w:t>
        </w:r>
      </w:hyperlink>
      <w:r w:rsidRPr="000C3DF9">
        <w:rPr>
          <w:rStyle w:val="TextoNormalCaracter"/>
        </w:rPr>
        <w:t>.</w:t>
      </w:r>
    </w:p>
    <w:p w:rsidR="000C3DF9" w:rsidRPr="000C3DF9" w:rsidRDefault="000C3DF9" w:rsidP="000C3DF9">
      <w:pPr>
        <w:pStyle w:val="TextoNormalSangraFrancesa"/>
        <w:rPr>
          <w:rStyle w:val="TextoNormalCaracter"/>
        </w:rPr>
      </w:pPr>
      <w:bookmarkStart w:id="1168" w:name="DESCRIPTORALFABETICO507"/>
      <w:r w:rsidRPr="000C3DF9">
        <w:rPr>
          <w:rStyle w:val="TextoNormalNegritaCaracter"/>
        </w:rPr>
        <w:t>Despido de trabajadores con ocasión de convocatoria de huelga</w:t>
      </w:r>
      <w:bookmarkEnd w:id="1168"/>
      <w:r w:rsidRPr="000C3DF9">
        <w:rPr>
          <w:rStyle w:val="TextoNormalCaracter"/>
        </w:rPr>
        <w:t xml:space="preserve">, Sentencia </w:t>
      </w:r>
      <w:hyperlink w:anchor="SENTENCIA_2002_66" w:history="1">
        <w:r w:rsidRPr="000C3DF9">
          <w:rPr>
            <w:rStyle w:val="TextoNormalCaracter"/>
          </w:rPr>
          <w:t>66/2002</w:t>
        </w:r>
      </w:hyperlink>
      <w:r w:rsidRPr="000C3DF9">
        <w:rPr>
          <w:rStyle w:val="TextoNormalCaracter"/>
        </w:rPr>
        <w:t>, f. 8.</w:t>
      </w:r>
    </w:p>
    <w:p w:rsidR="000C3DF9" w:rsidRPr="000C3DF9" w:rsidRDefault="000C3DF9" w:rsidP="000C3DF9">
      <w:pPr>
        <w:pStyle w:val="TextoNormalSangraFrancesa"/>
        <w:rPr>
          <w:rStyle w:val="TextoNormalCaracter"/>
        </w:rPr>
      </w:pPr>
      <w:bookmarkStart w:id="1169" w:name="DESCRIPTORALFABETICO508"/>
      <w:r w:rsidRPr="000C3DF9">
        <w:rPr>
          <w:rStyle w:val="TextoNormalNegritaCaracter"/>
        </w:rPr>
        <w:t>Despido disciplinario</w:t>
      </w:r>
      <w:bookmarkEnd w:id="1169"/>
      <w:r w:rsidRPr="000C3DF9">
        <w:rPr>
          <w:rStyle w:val="TextoNormalCaracter"/>
        </w:rPr>
        <w:t xml:space="preserve">, Sentencia </w:t>
      </w:r>
      <w:hyperlink w:anchor="SENTENCIA_2002_48" w:history="1">
        <w:r w:rsidRPr="000C3DF9">
          <w:rPr>
            <w:rStyle w:val="TextoNormalCaracter"/>
          </w:rPr>
          <w:t>48/2002</w:t>
        </w:r>
      </w:hyperlink>
      <w:r w:rsidRPr="000C3DF9">
        <w:rPr>
          <w:rStyle w:val="TextoNormalCaracter"/>
        </w:rPr>
        <w:t>, f. 8.</w:t>
      </w:r>
    </w:p>
    <w:p w:rsidR="000C3DF9" w:rsidRPr="000C3DF9" w:rsidRDefault="000C3DF9" w:rsidP="000C3DF9">
      <w:pPr>
        <w:pStyle w:val="TextoNormalSangraFrancesa"/>
        <w:rPr>
          <w:rStyle w:val="TextoNormalCaracter"/>
        </w:rPr>
      </w:pPr>
      <w:bookmarkStart w:id="1170" w:name="DESCRIPTORALFABETICO509"/>
      <w:r w:rsidRPr="000C3DF9">
        <w:rPr>
          <w:rStyle w:val="TextoNormalNegritaCaracter"/>
        </w:rPr>
        <w:t>Despido improcedente</w:t>
      </w:r>
      <w:bookmarkEnd w:id="1170"/>
      <w:r w:rsidRPr="000C3DF9">
        <w:rPr>
          <w:rStyle w:val="TextoNormalCaracter"/>
        </w:rPr>
        <w:t xml:space="preserve">, Sentencia </w:t>
      </w:r>
      <w:hyperlink w:anchor="SENTENCIA_2002_14" w:history="1">
        <w:r w:rsidRPr="000C3DF9">
          <w:rPr>
            <w:rStyle w:val="TextoNormalCaracter"/>
          </w:rPr>
          <w:t>14/2002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171" w:name="DESCRIPTORALFABETICO510"/>
      <w:r w:rsidRPr="000C3DF9">
        <w:rPr>
          <w:rStyle w:val="TextoNormalNegritaCaracter"/>
        </w:rPr>
        <w:t>Despido no discriminatorio</w:t>
      </w:r>
      <w:bookmarkEnd w:id="1171"/>
      <w:r w:rsidRPr="000C3DF9">
        <w:rPr>
          <w:rStyle w:val="TextoNormalCaracter"/>
        </w:rPr>
        <w:t xml:space="preserve">, Sentencia </w:t>
      </w:r>
      <w:hyperlink w:anchor="SENTENCIA_2002_41" w:history="1">
        <w:r w:rsidRPr="000C3DF9">
          <w:rPr>
            <w:rStyle w:val="TextoNormalCaracter"/>
          </w:rPr>
          <w:t>41/2002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72" w:name="DESCRIPTORALFABETICO506"/>
      <w:r w:rsidRPr="000C3DF9">
        <w:rPr>
          <w:rStyle w:val="TextoNormalNegritaCaracter"/>
        </w:rPr>
        <w:t>Despido pluricausal</w:t>
      </w:r>
      <w:bookmarkEnd w:id="1172"/>
      <w:r w:rsidRPr="000C3DF9">
        <w:rPr>
          <w:rStyle w:val="TextoNormalCaracter"/>
        </w:rPr>
        <w:t xml:space="preserve">, Sentencia </w:t>
      </w:r>
      <w:hyperlink w:anchor="SENTENCIA_2002_48" w:history="1">
        <w:r w:rsidRPr="000C3DF9">
          <w:rPr>
            <w:rStyle w:val="TextoNormalCaracter"/>
          </w:rPr>
          <w:t>48/2002</w:t>
        </w:r>
      </w:hyperlink>
      <w:r w:rsidRPr="000C3DF9">
        <w:rPr>
          <w:rStyle w:val="TextoNormalCaracter"/>
        </w:rPr>
        <w:t>, f. 8.</w:t>
      </w:r>
    </w:p>
    <w:p w:rsidR="000C3DF9" w:rsidRPr="000C3DF9" w:rsidRDefault="000C3DF9" w:rsidP="000C3DF9">
      <w:pPr>
        <w:pStyle w:val="TextoNormalSangraFrancesa"/>
        <w:rPr>
          <w:rStyle w:val="TextoNormalCaracter"/>
        </w:rPr>
      </w:pPr>
      <w:bookmarkStart w:id="1173" w:name="DESCRIPTORALFABETICO511"/>
      <w:r w:rsidRPr="000C3DF9">
        <w:rPr>
          <w:rStyle w:val="TextoNormalNegritaCaracter"/>
        </w:rPr>
        <w:t>Despido radicalmente nulo</w:t>
      </w:r>
      <w:bookmarkEnd w:id="1173"/>
      <w:r w:rsidRPr="000C3DF9">
        <w:rPr>
          <w:rStyle w:val="TextoNormalCaracter"/>
        </w:rPr>
        <w:t xml:space="preserve">, Sentencia </w:t>
      </w:r>
      <w:hyperlink w:anchor="SENTENCIA_2002_20" w:history="1">
        <w:r w:rsidRPr="000C3DF9">
          <w:rPr>
            <w:rStyle w:val="TextoNormalCaracter"/>
          </w:rPr>
          <w:t>20/2002</w:t>
        </w:r>
      </w:hyperlink>
      <w:r w:rsidRPr="000C3DF9">
        <w:rPr>
          <w:rStyle w:val="TextoNormalCaracter"/>
        </w:rPr>
        <w:t>, f. 8.</w:t>
      </w:r>
    </w:p>
    <w:p w:rsidR="000C3DF9" w:rsidRPr="000C3DF9" w:rsidRDefault="000C3DF9" w:rsidP="000C3DF9">
      <w:pPr>
        <w:pStyle w:val="TextoNormalSangraFrancesa"/>
        <w:rPr>
          <w:rStyle w:val="TextoNormalCaracter"/>
        </w:rPr>
      </w:pPr>
      <w:bookmarkStart w:id="1174" w:name="DESCRIPTORALFABETICO691"/>
      <w:r w:rsidRPr="000C3DF9">
        <w:rPr>
          <w:rStyle w:val="TextoNormalNegritaCaracter"/>
        </w:rPr>
        <w:t>Detenidos</w:t>
      </w:r>
      <w:bookmarkEnd w:id="1174"/>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10 b).</w:t>
      </w:r>
    </w:p>
    <w:p w:rsidR="000C3DF9" w:rsidRPr="000C3DF9" w:rsidRDefault="000C3DF9" w:rsidP="000C3DF9">
      <w:pPr>
        <w:pStyle w:val="TextoNormalSangraFrancesa"/>
        <w:rPr>
          <w:rStyle w:val="TextoNormalCaracter"/>
        </w:rPr>
      </w:pPr>
      <w:bookmarkStart w:id="1175" w:name="DESCRIPTORALFABETICO331"/>
      <w:r w:rsidRPr="000C3DF9">
        <w:rPr>
          <w:rStyle w:val="TextoNormalNegritaCaracter"/>
        </w:rPr>
        <w:t>Determinación de sanciones administrativas</w:t>
      </w:r>
      <w:bookmarkEnd w:id="1175"/>
      <w:r w:rsidRPr="000C3DF9">
        <w:rPr>
          <w:rStyle w:val="TextoNormalCaracter"/>
        </w:rPr>
        <w:t xml:space="preserve">, Sentencia </w:t>
      </w:r>
      <w:hyperlink w:anchor="SENTENCIA_2002_25" w:history="1">
        <w:r w:rsidRPr="000C3DF9">
          <w:rPr>
            <w:rStyle w:val="TextoNormalCaracter"/>
          </w:rPr>
          <w:t>25/2002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Dies a quo</w:t>
      </w:r>
      <w:r>
        <w:t xml:space="preserve"> véase </w:t>
      </w:r>
      <w:hyperlink w:anchor="DESCRIPTORALFABETICO625" w:history="1">
        <w:r w:rsidRPr="000C3DF9">
          <w:rPr>
            <w:rStyle w:val="TextoNormalNegritaCaracter"/>
          </w:rPr>
          <w:t>Término inicial</w:t>
        </w:r>
      </w:hyperlink>
    </w:p>
    <w:p w:rsidR="000C3DF9" w:rsidRPr="000C3DF9" w:rsidRDefault="000C3DF9" w:rsidP="000C3DF9">
      <w:pPr>
        <w:pStyle w:val="TextoNormalSangraFrancesa"/>
        <w:rPr>
          <w:rStyle w:val="TextoNormalNegritaCaracter"/>
        </w:rPr>
      </w:pPr>
      <w:r w:rsidRPr="000C3DF9">
        <w:rPr>
          <w:rStyle w:val="TextoNormalCursivaCaracter"/>
        </w:rPr>
        <w:t>Diferencia de trato</w:t>
      </w:r>
      <w:r>
        <w:t xml:space="preserve"> véase </w:t>
      </w:r>
      <w:hyperlink w:anchor="DESCRIPTORALFABETICO60" w:history="1">
        <w:r w:rsidRPr="000C3DF9">
          <w:rPr>
            <w:rStyle w:val="TextoNormalNegritaCaracter"/>
          </w:rPr>
          <w:t>Tratamiento diferenciado</w:t>
        </w:r>
      </w:hyperlink>
    </w:p>
    <w:p w:rsidR="000C3DF9" w:rsidRPr="000C3DF9" w:rsidRDefault="000C3DF9" w:rsidP="000C3DF9">
      <w:pPr>
        <w:pStyle w:val="TextoNormalSangraFrancesa"/>
        <w:rPr>
          <w:rStyle w:val="TextoNormalCaracter"/>
        </w:rPr>
      </w:pPr>
      <w:bookmarkStart w:id="1176" w:name="DESCRIPTORALFABETICO475"/>
      <w:r w:rsidRPr="000C3DF9">
        <w:rPr>
          <w:rStyle w:val="TextoNormalNegritaCaracter"/>
        </w:rPr>
        <w:t>Dignidad de la persona</w:t>
      </w:r>
      <w:bookmarkEnd w:id="1176"/>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4 b).</w:t>
      </w:r>
    </w:p>
    <w:p w:rsidR="000C3DF9" w:rsidRPr="000C3DF9" w:rsidRDefault="000C3DF9" w:rsidP="000C3DF9">
      <w:pPr>
        <w:pStyle w:val="TextoNormalSangraFrancesa"/>
        <w:rPr>
          <w:rStyle w:val="TextoNormalCaracter"/>
        </w:rPr>
      </w:pPr>
      <w:bookmarkStart w:id="1177" w:name="DESCRIPTORALFABETICO564"/>
      <w:r w:rsidRPr="000C3DF9">
        <w:rPr>
          <w:rStyle w:val="TextoNormalNegritaCaracter"/>
        </w:rPr>
        <w:t>Dilaciones en ejecución de sentencia</w:t>
      </w:r>
      <w:bookmarkEnd w:id="1177"/>
      <w:r w:rsidRPr="000C3DF9">
        <w:rPr>
          <w:rStyle w:val="TextoNormalCaracter"/>
        </w:rPr>
        <w:t xml:space="preserve">, Sentencia </w:t>
      </w:r>
      <w:hyperlink w:anchor="SENTENCIA_2002_7" w:history="1">
        <w:r w:rsidRPr="000C3DF9">
          <w:rPr>
            <w:rStyle w:val="TextoNormalCaracter"/>
          </w:rPr>
          <w:t>7/2002</w:t>
        </w:r>
      </w:hyperlink>
      <w:r w:rsidRPr="000C3DF9">
        <w:rPr>
          <w:rStyle w:val="TextoNormalCaracter"/>
        </w:rPr>
        <w:t>, ff. 9 a 11.</w:t>
      </w:r>
    </w:p>
    <w:p w:rsidR="000C3DF9" w:rsidRPr="000C3DF9" w:rsidRDefault="000C3DF9" w:rsidP="000C3DF9">
      <w:pPr>
        <w:pStyle w:val="TextoNormalSangraFrancesa"/>
        <w:rPr>
          <w:rStyle w:val="TextoNormalCaracter"/>
        </w:rPr>
      </w:pPr>
      <w:bookmarkStart w:id="1178" w:name="DESCRIPTORALFABETICO47"/>
      <w:r w:rsidRPr="000C3DF9">
        <w:rPr>
          <w:rStyle w:val="TextoNormalNegritaCaracter"/>
        </w:rPr>
        <w:t>Diligencia de los partícipes en el procedimiento electoral</w:t>
      </w:r>
      <w:bookmarkEnd w:id="1178"/>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3 a).</w:t>
      </w:r>
    </w:p>
    <w:p w:rsidR="000C3DF9" w:rsidRPr="000C3DF9" w:rsidRDefault="000C3DF9" w:rsidP="000C3DF9">
      <w:pPr>
        <w:pStyle w:val="TextoNormalSangraFrancesa"/>
        <w:rPr>
          <w:rStyle w:val="TextoNormalCaracter"/>
        </w:rPr>
      </w:pPr>
      <w:bookmarkStart w:id="1179" w:name="DESCRIPTORALFABETICO565"/>
      <w:r w:rsidRPr="000C3DF9">
        <w:rPr>
          <w:rStyle w:val="TextoNormalNegritaCaracter"/>
        </w:rPr>
        <w:t>Diligencia procesal de la parte</w:t>
      </w:r>
      <w:bookmarkEnd w:id="1179"/>
      <w:r w:rsidRPr="000C3DF9">
        <w:rPr>
          <w:rStyle w:val="TextoNormalCaracter"/>
        </w:rPr>
        <w:t xml:space="preserve">, Auto </w:t>
      </w:r>
      <w:hyperlink w:anchor="AUTO_2002_54" w:history="1">
        <w:r w:rsidRPr="000C3DF9">
          <w:rPr>
            <w:rStyle w:val="TextoNormalCaracter"/>
          </w:rPr>
          <w:t>54/2002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Diligencia procesal de la parte</w:t>
      </w:r>
      <w:r>
        <w:t xml:space="preserve"> véase </w:t>
      </w:r>
      <w:hyperlink w:anchor="DESCRIPTORALFABETICO565" w:history="1">
        <w:r w:rsidRPr="000C3DF9">
          <w:rPr>
            <w:rStyle w:val="TextoNormalNegritaCaracter"/>
          </w:rPr>
          <w:t>Diligencia procesal de la parte</w:t>
        </w:r>
      </w:hyperlink>
    </w:p>
    <w:p w:rsidR="000C3DF9" w:rsidRPr="000C3DF9" w:rsidRDefault="000C3DF9" w:rsidP="000C3DF9">
      <w:pPr>
        <w:pStyle w:val="TextoNormalSangraFrancesa"/>
        <w:rPr>
          <w:rStyle w:val="TextoNormalCaracter"/>
        </w:rPr>
      </w:pPr>
      <w:bookmarkStart w:id="1180" w:name="DESCRIPTORALFABETICO695"/>
      <w:r w:rsidRPr="000C3DF9">
        <w:rPr>
          <w:rStyle w:val="TextoNormalNegritaCaracter"/>
        </w:rPr>
        <w:t>Diligencias sumariales</w:t>
      </w:r>
      <w:bookmarkEnd w:id="1180"/>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ff. 4, 6; </w:t>
      </w:r>
      <w:hyperlink w:anchor="SENTENCIA_2002_12" w:history="1">
        <w:r w:rsidRPr="000C3DF9">
          <w:rPr>
            <w:rStyle w:val="TextoNormalCaracter"/>
          </w:rPr>
          <w:t>12/2002</w:t>
        </w:r>
      </w:hyperlink>
      <w:r w:rsidRPr="000C3DF9">
        <w:rPr>
          <w:rStyle w:val="TextoNormalCaracter"/>
        </w:rPr>
        <w:t xml:space="preserve">, f. 4; </w:t>
      </w:r>
      <w:hyperlink w:anchor="SENTENCIA_2002_57" w:history="1">
        <w:r w:rsidRPr="000C3DF9">
          <w:rPr>
            <w:rStyle w:val="TextoNormalCaracter"/>
          </w:rPr>
          <w:t>57/2002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1" w:history="1">
        <w:r w:rsidRPr="000C3DF9">
          <w:rPr>
            <w:rStyle w:val="TextoNormalCaracter"/>
          </w:rPr>
          <w:t>11/2002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Discriminación normativa</w:t>
      </w:r>
      <w:r>
        <w:t xml:space="preserve"> véase </w:t>
      </w:r>
      <w:hyperlink w:anchor="DESCRIPTORALFABETICO62" w:history="1">
        <w:r w:rsidRPr="000C3DF9">
          <w:rPr>
            <w:rStyle w:val="TextoNormalNegritaCaracter"/>
          </w:rPr>
          <w:t>Tratamiento legal diferenciado</w:t>
        </w:r>
      </w:hyperlink>
    </w:p>
    <w:p w:rsidR="000C3DF9" w:rsidRPr="000C3DF9" w:rsidRDefault="000C3DF9" w:rsidP="000C3DF9">
      <w:pPr>
        <w:pStyle w:val="TextoNormalSangraFrancesa"/>
        <w:rPr>
          <w:rStyle w:val="TextoNormalCaracter"/>
        </w:rPr>
      </w:pPr>
      <w:bookmarkStart w:id="1181" w:name="DESCRIPTORALFABETICO154"/>
      <w:r w:rsidRPr="000C3DF9">
        <w:rPr>
          <w:rStyle w:val="TextoNormalNegritaCaracter"/>
        </w:rPr>
        <w:t>Discriminación por afiliación sindical</w:t>
      </w:r>
      <w:bookmarkEnd w:id="1181"/>
      <w:r w:rsidRPr="000C3DF9">
        <w:rPr>
          <w:rStyle w:val="TextoNormalCaracter"/>
        </w:rPr>
        <w:t xml:space="preserve">, Sentencia </w:t>
      </w:r>
      <w:hyperlink w:anchor="SENTENCIA_2002_84" w:history="1">
        <w:r w:rsidRPr="000C3DF9">
          <w:rPr>
            <w:rStyle w:val="TextoNormalCaracter"/>
          </w:rPr>
          <w:t>84/2002</w:t>
        </w:r>
      </w:hyperlink>
      <w:r w:rsidRPr="000C3DF9">
        <w:rPr>
          <w:rStyle w:val="TextoNormalCaracter"/>
        </w:rPr>
        <w:t>, ff. 5, 6.</w:t>
      </w:r>
    </w:p>
    <w:p w:rsidR="000C3DF9" w:rsidRPr="000C3DF9" w:rsidRDefault="000C3DF9" w:rsidP="000C3DF9">
      <w:pPr>
        <w:pStyle w:val="TextoNormalSangraFrancesa"/>
        <w:rPr>
          <w:rStyle w:val="TextoNormalCaracter"/>
        </w:rPr>
      </w:pPr>
      <w:bookmarkStart w:id="1182" w:name="DESCRIPTORALFABETICO109"/>
      <w:r w:rsidRPr="000C3DF9">
        <w:rPr>
          <w:rStyle w:val="TextoNormalNegritaCaracter"/>
        </w:rPr>
        <w:t>Discriminación por razón de sexo</w:t>
      </w:r>
      <w:bookmarkEnd w:id="1182"/>
      <w:r w:rsidRPr="000C3DF9">
        <w:rPr>
          <w:rStyle w:val="TextoNormalCaracter"/>
        </w:rPr>
        <w:t xml:space="preserve">, Sentencias </w:t>
      </w:r>
      <w:hyperlink w:anchor="SENTENCIA_2002_39" w:history="1">
        <w:r w:rsidRPr="000C3DF9">
          <w:rPr>
            <w:rStyle w:val="TextoNormalCaracter"/>
          </w:rPr>
          <w:t>39/2002</w:t>
        </w:r>
      </w:hyperlink>
      <w:r w:rsidRPr="000C3DF9">
        <w:rPr>
          <w:rStyle w:val="TextoNormalCaracter"/>
        </w:rPr>
        <w:t xml:space="preserve">, f. 5; </w:t>
      </w:r>
      <w:hyperlink w:anchor="SENTENCIA_2002_41" w:history="1">
        <w:r w:rsidRPr="000C3DF9">
          <w:rPr>
            <w:rStyle w:val="TextoNormalCaracter"/>
          </w:rPr>
          <w:t>41/2002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183" w:name="DESCRIPTORALFABETICO153"/>
      <w:r w:rsidRPr="000C3DF9">
        <w:rPr>
          <w:rStyle w:val="TextoNormalNegritaCaracter"/>
        </w:rPr>
        <w:t>Discriminación sindical</w:t>
      </w:r>
      <w:bookmarkEnd w:id="1183"/>
      <w:r w:rsidRPr="000C3DF9">
        <w:rPr>
          <w:rStyle w:val="TextoNormalCaracter"/>
        </w:rPr>
        <w:t xml:space="preserve">, Sentencias </w:t>
      </w:r>
      <w:hyperlink w:anchor="SENTENCIA_2002_14" w:history="1">
        <w:r w:rsidRPr="000C3DF9">
          <w:rPr>
            <w:rStyle w:val="TextoNormalCaracter"/>
          </w:rPr>
          <w:t>14/2002</w:t>
        </w:r>
      </w:hyperlink>
      <w:r w:rsidRPr="000C3DF9">
        <w:rPr>
          <w:rStyle w:val="TextoNormalCaracter"/>
        </w:rPr>
        <w:t xml:space="preserve">, f. 2; </w:t>
      </w:r>
      <w:hyperlink w:anchor="SENTENCIA_2002_29" w:history="1">
        <w:r w:rsidRPr="000C3DF9">
          <w:rPr>
            <w:rStyle w:val="TextoNormalCaracter"/>
          </w:rPr>
          <w:t>29/2002</w:t>
        </w:r>
      </w:hyperlink>
      <w:r w:rsidRPr="000C3DF9">
        <w:rPr>
          <w:rStyle w:val="TextoNormalCaracter"/>
        </w:rPr>
        <w:t xml:space="preserve">, ff. 2, 3, 7; </w:t>
      </w:r>
      <w:hyperlink w:anchor="SENTENCIA_2002_48" w:history="1">
        <w:r w:rsidRPr="000C3DF9">
          <w:rPr>
            <w:rStyle w:val="TextoNormalCaracter"/>
          </w:rPr>
          <w:t>48/2002</w:t>
        </w:r>
      </w:hyperlink>
      <w:r w:rsidRPr="000C3DF9">
        <w:rPr>
          <w:rStyle w:val="TextoNormalCaracter"/>
        </w:rPr>
        <w:t xml:space="preserve">, f. 4; </w:t>
      </w:r>
      <w:hyperlink w:anchor="SENTENCIA_2002_84" w:history="1">
        <w:r w:rsidRPr="000C3DF9">
          <w:rPr>
            <w:rStyle w:val="TextoNormalCaracter"/>
          </w:rPr>
          <w:t>84/2002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184" w:name="DESCRIPTORALFABETICO309"/>
      <w:r w:rsidRPr="000C3DF9">
        <w:rPr>
          <w:rStyle w:val="TextoNormalNegritaCaracter"/>
        </w:rPr>
        <w:t>Disolución de grupos parlamentarios</w:t>
      </w:r>
      <w:bookmarkEnd w:id="1184"/>
      <w:r w:rsidRPr="000C3DF9">
        <w:rPr>
          <w:rStyle w:val="TextoNormalCaracter"/>
        </w:rPr>
        <w:t xml:space="preserve">, Auto </w:t>
      </w:r>
      <w:hyperlink w:anchor="AUTO_2002_18" w:history="1">
        <w:r w:rsidRPr="000C3DF9">
          <w:rPr>
            <w:rStyle w:val="TextoNormalCaracter"/>
          </w:rPr>
          <w:t>18/2002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Distribución de competencias</w:t>
      </w:r>
      <w:r>
        <w:t xml:space="preserve"> véase </w:t>
      </w:r>
      <w:hyperlink w:anchor="DESCRIPTORALFABETICO1" w:history="1">
        <w:r w:rsidRPr="000C3DF9">
          <w:rPr>
            <w:rStyle w:val="TextoNormalNegritaCaracter"/>
          </w:rPr>
          <w:t>Orden constitucional de competencias</w:t>
        </w:r>
      </w:hyperlink>
    </w:p>
    <w:p w:rsidR="000C3DF9" w:rsidRPr="000C3DF9" w:rsidRDefault="000C3DF9" w:rsidP="000C3DF9">
      <w:pPr>
        <w:pStyle w:val="TextoNormalSangraFrancesa"/>
        <w:rPr>
          <w:rStyle w:val="TextoNormalCaracter"/>
        </w:rPr>
      </w:pPr>
      <w:bookmarkStart w:id="1185" w:name="DESCRIPTORALFABETICO145"/>
      <w:r w:rsidRPr="000C3DF9">
        <w:rPr>
          <w:rStyle w:val="TextoNormalNegritaCaracter"/>
        </w:rPr>
        <w:t>Divulgación de antecedentes penales</w:t>
      </w:r>
      <w:bookmarkEnd w:id="1185"/>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ff. 6, 7; </w:t>
      </w:r>
      <w:hyperlink w:anchor="SENTENCIA_2002_52" w:history="1">
        <w:r w:rsidRPr="000C3DF9">
          <w:rPr>
            <w:rStyle w:val="TextoNormalCaracter"/>
          </w:rPr>
          <w:t>52/2002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86" w:name="DESCRIPTORALFABETICO146"/>
      <w:r w:rsidRPr="000C3DF9">
        <w:rPr>
          <w:rStyle w:val="TextoNormalNegritaCaracter"/>
        </w:rPr>
        <w:t>Divulgación de datos obtenidos en procesos judiciales</w:t>
      </w:r>
      <w:bookmarkEnd w:id="1186"/>
      <w:r w:rsidRPr="000C3DF9">
        <w:rPr>
          <w:rStyle w:val="TextoNormalCaracter"/>
        </w:rPr>
        <w:t xml:space="preserve">, Sentencia </w:t>
      </w:r>
      <w:hyperlink w:anchor="SENTENCIA_2002_46" w:history="1">
        <w:r w:rsidRPr="000C3DF9">
          <w:rPr>
            <w:rStyle w:val="TextoNormalCaracter"/>
          </w:rPr>
          <w:t>46/2002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187" w:name="DESCRIPTORALFABETICO89"/>
      <w:r w:rsidRPr="000C3DF9">
        <w:rPr>
          <w:rStyle w:val="TextoNormalNegritaCaracter"/>
        </w:rPr>
        <w:t>Doble instancia penal</w:t>
      </w:r>
      <w:bookmarkEnd w:id="1187"/>
      <w:r w:rsidRPr="000C3DF9">
        <w:rPr>
          <w:rStyle w:val="TextoNormalCaracter"/>
        </w:rPr>
        <w:t xml:space="preserve">, Sentencias </w:t>
      </w:r>
      <w:hyperlink w:anchor="SENTENCIA_2002_12" w:history="1">
        <w:r w:rsidRPr="000C3DF9">
          <w:rPr>
            <w:rStyle w:val="TextoNormalCaracter"/>
          </w:rPr>
          <w:t>12/2002</w:t>
        </w:r>
      </w:hyperlink>
      <w:r w:rsidRPr="000C3DF9">
        <w:rPr>
          <w:rStyle w:val="TextoNormalCaracter"/>
        </w:rPr>
        <w:t xml:space="preserve">, f. 2; </w:t>
      </w:r>
      <w:hyperlink w:anchor="SENTENCIA_2002_70" w:history="1">
        <w:r w:rsidRPr="000C3DF9">
          <w:rPr>
            <w:rStyle w:val="TextoNormalCaracter"/>
          </w:rPr>
          <w:t>70/2002</w:t>
        </w:r>
      </w:hyperlink>
      <w:r w:rsidRPr="000C3DF9">
        <w:rPr>
          <w:rStyle w:val="TextoNormalCaracter"/>
        </w:rPr>
        <w:t>, f. 7.</w:t>
      </w:r>
    </w:p>
    <w:p w:rsidR="000C3DF9" w:rsidRPr="000C3DF9" w:rsidRDefault="000C3DF9" w:rsidP="000C3DF9">
      <w:pPr>
        <w:pStyle w:val="TextoNormalSangraFrancesa"/>
        <w:rPr>
          <w:rStyle w:val="TextoNormalCaracter"/>
        </w:rPr>
      </w:pPr>
      <w:bookmarkStart w:id="1188" w:name="DESCRIPTORALFABETICO423"/>
      <w:r w:rsidRPr="000C3DF9">
        <w:rPr>
          <w:rStyle w:val="TextoNormalNegritaCaracter"/>
        </w:rPr>
        <w:t>Doctrina del Tribunal Europeo de Derechos Humanos</w:t>
      </w:r>
      <w:bookmarkEnd w:id="1188"/>
      <w:r w:rsidRPr="000C3DF9">
        <w:rPr>
          <w:rStyle w:val="TextoNormalCaracter"/>
        </w:rPr>
        <w:t xml:space="preserve">, Auto </w:t>
      </w:r>
      <w:hyperlink w:anchor="AUTO_2002_68" w:history="1">
        <w:r w:rsidRPr="000C3DF9">
          <w:rPr>
            <w:rStyle w:val="TextoNormalCaracter"/>
          </w:rPr>
          <w:t>68/2002</w:t>
        </w:r>
      </w:hyperlink>
      <w:r w:rsidRPr="000C3DF9">
        <w:rPr>
          <w:rStyle w:val="TextoNormalCaracter"/>
        </w:rPr>
        <w:t>.</w:t>
      </w:r>
    </w:p>
    <w:p w:rsidR="000C3DF9" w:rsidRPr="000C3DF9" w:rsidRDefault="000C3DF9" w:rsidP="000C3DF9">
      <w:pPr>
        <w:pStyle w:val="TextoNormalSangraFrancesa"/>
        <w:rPr>
          <w:rStyle w:val="TextoNormalCaracter"/>
        </w:rPr>
      </w:pPr>
      <w:bookmarkStart w:id="1189" w:name="DESCRIPTORALFABETICO338"/>
      <w:r w:rsidRPr="000C3DF9">
        <w:rPr>
          <w:rStyle w:val="TextoNormalNegritaCaracter"/>
        </w:rPr>
        <w:t>Domicilio</w:t>
      </w:r>
      <w:bookmarkEnd w:id="1189"/>
      <w:r w:rsidRPr="000C3DF9">
        <w:rPr>
          <w:rStyle w:val="TextoNormalCaracter"/>
        </w:rPr>
        <w:t xml:space="preserve">, Sentencia </w:t>
      </w:r>
      <w:hyperlink w:anchor="SENTENCIA_2002_10" w:history="1">
        <w:r w:rsidRPr="000C3DF9">
          <w:rPr>
            <w:rStyle w:val="TextoNormalCaracter"/>
          </w:rPr>
          <w:t>10/2002</w:t>
        </w:r>
      </w:hyperlink>
      <w:r w:rsidRPr="000C3DF9">
        <w:rPr>
          <w:rStyle w:val="TextoNormalCaracter"/>
        </w:rPr>
        <w:t>, ff. 7, 8.</w:t>
      </w:r>
    </w:p>
    <w:p w:rsidR="000C3DF9" w:rsidRPr="000C3DF9" w:rsidRDefault="000C3DF9" w:rsidP="000C3DF9">
      <w:pPr>
        <w:pStyle w:val="TextoNormalSangraFrancesa"/>
        <w:rPr>
          <w:rStyle w:val="TextoNormalCaracter"/>
        </w:rPr>
      </w:pPr>
      <w:bookmarkStart w:id="1190" w:name="DESCRIPTORALFABETICO617"/>
      <w:r w:rsidRPr="000C3DF9">
        <w:rPr>
          <w:rStyle w:val="TextoNormalNegritaCaracter"/>
        </w:rPr>
        <w:t>Domicilio profesional</w:t>
      </w:r>
      <w:bookmarkEnd w:id="1190"/>
      <w:r w:rsidRPr="000C3DF9">
        <w:rPr>
          <w:rStyle w:val="TextoNormalCaracter"/>
        </w:rPr>
        <w:t xml:space="preserve">, Sentencia </w:t>
      </w:r>
      <w:hyperlink w:anchor="SENTENCIA_2002_87" w:history="1">
        <w:r w:rsidRPr="000C3DF9">
          <w:rPr>
            <w:rStyle w:val="TextoNormalCaracter"/>
          </w:rPr>
          <w:t>87/2002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91" w:name="DESCRIPTORALFABETICO370"/>
      <w:r w:rsidRPr="000C3DF9">
        <w:rPr>
          <w:rStyle w:val="TextoNormalNegritaCaracter"/>
        </w:rPr>
        <w:t>Dominio público</w:t>
      </w:r>
      <w:bookmarkEnd w:id="1191"/>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9 c).</w:t>
      </w:r>
    </w:p>
    <w:p w:rsidR="000C3DF9" w:rsidRPr="000C3DF9" w:rsidRDefault="000C3DF9" w:rsidP="000C3DF9">
      <w:pPr>
        <w:pStyle w:val="TextoNormalSangraFrancesa"/>
        <w:rPr>
          <w:rStyle w:val="TextoNormalCaracter"/>
        </w:rPr>
      </w:pPr>
      <w:bookmarkStart w:id="1192" w:name="DESCRIPTORALFABETICO692"/>
      <w:r w:rsidRPr="000C3DF9">
        <w:rPr>
          <w:rStyle w:val="TextoNormalNegritaCaracter"/>
        </w:rPr>
        <w:t>Duración máxima de la detención preventiva en supuesto de extradición</w:t>
      </w:r>
      <w:bookmarkEnd w:id="1192"/>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Duración máxima de la prisión provisional</w:t>
      </w:r>
      <w:r>
        <w:t xml:space="preserve"> véase </w:t>
      </w:r>
      <w:hyperlink w:anchor="DESCRIPTORALFABETICO703" w:history="1">
        <w:r w:rsidRPr="000C3DF9">
          <w:rPr>
            <w:rStyle w:val="TextoNormalNegritaCaracter"/>
          </w:rPr>
          <w:t>Plazo máximo de prisión provisional</w:t>
        </w:r>
      </w:hyperlink>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E</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193" w:name="DESCRIPTORALFABETICO221"/>
      <w:r w:rsidRPr="000C3DF9">
        <w:rPr>
          <w:rStyle w:val="TextoNormalNegritaCaracter"/>
        </w:rPr>
        <w:t>Efectos de la anulación de una ley</w:t>
      </w:r>
      <w:bookmarkEnd w:id="1193"/>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 9.</w:t>
      </w:r>
    </w:p>
    <w:p w:rsidR="000C3DF9" w:rsidRPr="000C3DF9" w:rsidRDefault="000C3DF9" w:rsidP="000C3DF9">
      <w:pPr>
        <w:pStyle w:val="TextoNormalSangraFrancesa"/>
        <w:rPr>
          <w:rStyle w:val="TextoNormalCaracter"/>
        </w:rPr>
      </w:pPr>
      <w:bookmarkStart w:id="1194" w:name="DESCRIPTORALFABETICO274"/>
      <w:r w:rsidRPr="000C3DF9">
        <w:rPr>
          <w:rStyle w:val="TextoNormalNegritaCaracter"/>
        </w:rPr>
        <w:t>Efectos sobre procesos pendientes</w:t>
      </w:r>
      <w:bookmarkEnd w:id="1194"/>
      <w:r w:rsidRPr="000C3DF9">
        <w:rPr>
          <w:rStyle w:val="TextoNormalCaracter"/>
        </w:rPr>
        <w:t xml:space="preserve">, Auto </w:t>
      </w:r>
      <w:hyperlink w:anchor="AUTO_2002_3" w:history="1">
        <w:r w:rsidRPr="000C3DF9">
          <w:rPr>
            <w:rStyle w:val="TextoNormalCaracter"/>
          </w:rPr>
          <w:t>3/2002</w:t>
        </w:r>
      </w:hyperlink>
      <w:r w:rsidRPr="000C3DF9">
        <w:rPr>
          <w:rStyle w:val="TextoNormalCaracter"/>
        </w:rPr>
        <w:t>.</w:t>
      </w:r>
    </w:p>
    <w:p w:rsidR="000C3DF9" w:rsidRPr="000C3DF9" w:rsidRDefault="000C3DF9" w:rsidP="000C3DF9">
      <w:pPr>
        <w:pStyle w:val="TextoNormalSangraFrancesa"/>
        <w:rPr>
          <w:rStyle w:val="TextoNormalCaracter"/>
        </w:rPr>
      </w:pPr>
      <w:bookmarkStart w:id="1195" w:name="DESCRIPTORALFABETICO219"/>
      <w:r w:rsidRPr="000C3DF9">
        <w:rPr>
          <w:rStyle w:val="TextoNormalNegritaCaracter"/>
        </w:rPr>
        <w:t>Efectos temporales de la declaración de inconstitucionalidad</w:t>
      </w:r>
      <w:bookmarkEnd w:id="1195"/>
      <w:r w:rsidRPr="000C3DF9">
        <w:rPr>
          <w:rStyle w:val="TextoNormalCaracter"/>
        </w:rPr>
        <w:t xml:space="preserve">, Sentencia </w:t>
      </w:r>
      <w:hyperlink w:anchor="SENTENCIA_2002_54" w:history="1">
        <w:r w:rsidRPr="000C3DF9">
          <w:rPr>
            <w:rStyle w:val="TextoNormalCaracter"/>
          </w:rPr>
          <w:t>54/2002</w:t>
        </w:r>
      </w:hyperlink>
      <w:r w:rsidRPr="000C3DF9">
        <w:rPr>
          <w:rStyle w:val="TextoNormalCaracter"/>
        </w:rPr>
        <w:t>, f. 9.</w:t>
      </w:r>
    </w:p>
    <w:p w:rsidR="000C3DF9" w:rsidRPr="000C3DF9" w:rsidRDefault="000C3DF9" w:rsidP="000C3DF9">
      <w:pPr>
        <w:pStyle w:val="TextoNormalSangraFrancesa"/>
        <w:rPr>
          <w:rStyle w:val="TextoNormalCaracter"/>
        </w:rPr>
      </w:pPr>
      <w:bookmarkStart w:id="1196" w:name="DESCRIPTORALFABETICO558"/>
      <w:r w:rsidRPr="000C3DF9">
        <w:rPr>
          <w:rStyle w:val="TextoNormalNegritaCaracter"/>
        </w:rPr>
        <w:t>Eficacia de cosa juzgada penal</w:t>
      </w:r>
      <w:bookmarkEnd w:id="1196"/>
      <w:r w:rsidRPr="000C3DF9">
        <w:rPr>
          <w:rStyle w:val="TextoNormalCaracter"/>
        </w:rPr>
        <w:t xml:space="preserve">, Sentencia </w:t>
      </w:r>
      <w:hyperlink w:anchor="SENTENCIA_2002_15" w:history="1">
        <w:r w:rsidRPr="000C3DF9">
          <w:rPr>
            <w:rStyle w:val="TextoNormalCaracter"/>
          </w:rPr>
          <w:t>15/2002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97" w:name="DESCRIPTORALFABETICO352"/>
      <w:r w:rsidRPr="000C3DF9">
        <w:rPr>
          <w:rStyle w:val="TextoNormalNegritaCaracter"/>
        </w:rPr>
        <w:t>Ejecución de actos administrativos</w:t>
      </w:r>
      <w:bookmarkEnd w:id="1197"/>
      <w:r w:rsidRPr="000C3DF9">
        <w:rPr>
          <w:rStyle w:val="TextoNormalCaracter"/>
        </w:rPr>
        <w:t xml:space="preserve">, Sentencia </w:t>
      </w:r>
      <w:hyperlink w:anchor="SENTENCIA_2002_92" w:history="1">
        <w:r w:rsidRPr="000C3DF9">
          <w:rPr>
            <w:rStyle w:val="TextoNormalCaracter"/>
          </w:rPr>
          <w:t>92/2002</w:t>
        </w:r>
      </w:hyperlink>
      <w:r w:rsidRPr="000C3DF9">
        <w:rPr>
          <w:rStyle w:val="TextoNormalCaracter"/>
        </w:rPr>
        <w:t>, f. 4.</w:t>
      </w:r>
    </w:p>
    <w:p w:rsidR="000C3DF9" w:rsidRPr="000C3DF9" w:rsidRDefault="000C3DF9" w:rsidP="000C3DF9">
      <w:pPr>
        <w:pStyle w:val="TextoNormalSangraFrancesa"/>
        <w:rPr>
          <w:rStyle w:val="TextoNormalCaracter"/>
        </w:rPr>
      </w:pPr>
      <w:bookmarkStart w:id="1198" w:name="DESCRIPTORALFABETICO569"/>
      <w:r w:rsidRPr="000C3DF9">
        <w:rPr>
          <w:rStyle w:val="TextoNormalNegritaCaracter"/>
        </w:rPr>
        <w:t>Ejecución de sentencias</w:t>
      </w:r>
      <w:bookmarkEnd w:id="1198"/>
      <w:r w:rsidRPr="000C3DF9">
        <w:rPr>
          <w:rStyle w:val="TextoNormalCaracter"/>
        </w:rPr>
        <w:t xml:space="preserve">, Sentencias </w:t>
      </w:r>
      <w:hyperlink w:anchor="SENTENCIA_2002_3" w:history="1">
        <w:r w:rsidRPr="000C3DF9">
          <w:rPr>
            <w:rStyle w:val="TextoNormalCaracter"/>
          </w:rPr>
          <w:t>3/2002</w:t>
        </w:r>
      </w:hyperlink>
      <w:r w:rsidRPr="000C3DF9">
        <w:rPr>
          <w:rStyle w:val="TextoNormalCaracter"/>
        </w:rPr>
        <w:t xml:space="preserve">, f. 4; </w:t>
      </w:r>
      <w:hyperlink w:anchor="SENTENCIA_2002_7" w:history="1">
        <w:r w:rsidRPr="000C3DF9">
          <w:rPr>
            <w:rStyle w:val="TextoNormalCaracter"/>
          </w:rPr>
          <w:t>7/2002</w:t>
        </w:r>
      </w:hyperlink>
      <w:r w:rsidRPr="000C3DF9">
        <w:rPr>
          <w:rStyle w:val="TextoNormalCaracter"/>
        </w:rPr>
        <w:t>, f. 3.</w:t>
      </w:r>
    </w:p>
    <w:p w:rsidR="000C3DF9" w:rsidRPr="000C3DF9" w:rsidRDefault="000C3DF9" w:rsidP="000C3DF9">
      <w:pPr>
        <w:pStyle w:val="TextoNormalSangraFrancesa"/>
        <w:rPr>
          <w:rStyle w:val="TextoNormalCaracter"/>
        </w:rPr>
      </w:pPr>
      <w:bookmarkStart w:id="1199" w:name="DESCRIPTORALFABETICO531"/>
      <w:r w:rsidRPr="000C3DF9">
        <w:rPr>
          <w:rStyle w:val="TextoNormalNegritaCaracter"/>
        </w:rPr>
        <w:t>Ejecución judicial de laudos arbitrales</w:t>
      </w:r>
      <w:bookmarkEnd w:id="1199"/>
      <w:r w:rsidRPr="000C3DF9">
        <w:rPr>
          <w:rStyle w:val="TextoNormalCaracter"/>
        </w:rPr>
        <w:t xml:space="preserve">, Auto </w:t>
      </w:r>
      <w:hyperlink w:anchor="AUTO_2002_54" w:history="1">
        <w:r w:rsidRPr="000C3DF9">
          <w:rPr>
            <w:rStyle w:val="TextoNormalCaracter"/>
          </w:rPr>
          <w:t>54/2002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Ejecutividad de las sentencias</w:t>
      </w:r>
      <w:r>
        <w:t xml:space="preserve"> véase </w:t>
      </w:r>
      <w:hyperlink w:anchor="DESCRIPTORALFABETICO569" w:history="1">
        <w:r w:rsidRPr="000C3DF9">
          <w:rPr>
            <w:rStyle w:val="TextoNormalNegritaCaracter"/>
          </w:rPr>
          <w:t>Ejecución de sentencias</w:t>
        </w:r>
      </w:hyperlink>
    </w:p>
    <w:p w:rsidR="000C3DF9" w:rsidRPr="000C3DF9" w:rsidRDefault="000C3DF9" w:rsidP="000C3DF9">
      <w:pPr>
        <w:pStyle w:val="TextoNormalSangraFrancesa"/>
        <w:rPr>
          <w:rStyle w:val="TextoNormalCaracter"/>
        </w:rPr>
      </w:pPr>
      <w:bookmarkStart w:id="1200" w:name="DESCRIPTORALFABETICO294"/>
      <w:r w:rsidRPr="000C3DF9">
        <w:rPr>
          <w:rStyle w:val="TextoNormalNegritaCaracter"/>
        </w:rPr>
        <w:t>Ejercicio de acciones civiles por el Ministerio Fiscal</w:t>
      </w:r>
      <w:bookmarkEnd w:id="1200"/>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Pr="000C3DF9" w:rsidRDefault="000C3DF9" w:rsidP="000C3DF9">
      <w:pPr>
        <w:pStyle w:val="TextoNormalSangraFrancesa"/>
        <w:rPr>
          <w:rStyle w:val="TextoNormalCaracter"/>
        </w:rPr>
      </w:pPr>
      <w:bookmarkStart w:id="1201" w:name="DESCRIPTORALFABETICO357"/>
      <w:r w:rsidRPr="000C3DF9">
        <w:rPr>
          <w:rStyle w:val="TextoNormalNegritaCaracter"/>
        </w:rPr>
        <w:t>Ejercicio profesional</w:t>
      </w:r>
      <w:bookmarkEnd w:id="1201"/>
      <w:r w:rsidRPr="000C3DF9">
        <w:rPr>
          <w:rStyle w:val="TextoNormalCaracter"/>
        </w:rPr>
        <w:t xml:space="preserve">, Auto </w:t>
      </w:r>
      <w:hyperlink w:anchor="AUTO_2002_22" w:history="1">
        <w:r w:rsidRPr="000C3DF9">
          <w:rPr>
            <w:rStyle w:val="TextoNormalCaracter"/>
          </w:rPr>
          <w:t>22/2002</w:t>
        </w:r>
      </w:hyperlink>
      <w:r w:rsidRPr="000C3DF9">
        <w:rPr>
          <w:rStyle w:val="TextoNormalCaracter"/>
        </w:rPr>
        <w:t>.</w:t>
      </w:r>
    </w:p>
    <w:p w:rsidR="000C3DF9" w:rsidRPr="000C3DF9" w:rsidRDefault="000C3DF9" w:rsidP="000C3DF9">
      <w:pPr>
        <w:pStyle w:val="TextoNormalSangraFrancesa"/>
        <w:rPr>
          <w:rStyle w:val="TextoNormalCaracter"/>
        </w:rPr>
      </w:pPr>
      <w:bookmarkStart w:id="1202" w:name="DESCRIPTORALFABETICO498"/>
      <w:r w:rsidRPr="000C3DF9">
        <w:rPr>
          <w:rStyle w:val="TextoNormalNegritaCaracter"/>
        </w:rPr>
        <w:t>Elecciones a representantes de los trabajadores</w:t>
      </w:r>
      <w:bookmarkEnd w:id="1202"/>
      <w:r w:rsidRPr="000C3DF9">
        <w:rPr>
          <w:rStyle w:val="TextoNormalCaracter"/>
        </w:rPr>
        <w:t xml:space="preserve">, Auto </w:t>
      </w:r>
      <w:hyperlink w:anchor="AUTO_2002_12" w:history="1">
        <w:r w:rsidRPr="000C3DF9">
          <w:rPr>
            <w:rStyle w:val="TextoNormalCaracter"/>
          </w:rPr>
          <w:t>12/2002</w:t>
        </w:r>
      </w:hyperlink>
      <w:r w:rsidRPr="000C3DF9">
        <w:rPr>
          <w:rStyle w:val="TextoNormalCaracter"/>
        </w:rPr>
        <w:t>.</w:t>
      </w:r>
    </w:p>
    <w:p w:rsidR="000C3DF9" w:rsidRPr="000C3DF9" w:rsidRDefault="000C3DF9" w:rsidP="000C3DF9">
      <w:pPr>
        <w:pStyle w:val="TextoNormalSangraFrancesa"/>
        <w:rPr>
          <w:rStyle w:val="TextoNormalCaracter"/>
        </w:rPr>
      </w:pPr>
      <w:bookmarkStart w:id="1203" w:name="DESCRIPTORALFABETICO478"/>
      <w:r w:rsidRPr="000C3DF9">
        <w:rPr>
          <w:rStyle w:val="TextoNormalNegritaCaracter"/>
        </w:rPr>
        <w:t>Embarazo</w:t>
      </w:r>
      <w:bookmarkEnd w:id="1203"/>
      <w:r w:rsidRPr="000C3DF9">
        <w:rPr>
          <w:rStyle w:val="TextoNormalCaracter"/>
        </w:rPr>
        <w:t xml:space="preserve">, Sentencia </w:t>
      </w:r>
      <w:hyperlink w:anchor="SENTENCIA_2002_41" w:history="1">
        <w:r w:rsidRPr="000C3DF9">
          <w:rPr>
            <w:rStyle w:val="TextoNormalCaracter"/>
          </w:rPr>
          <w:t>41/2002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04" w:name="DESCRIPTORALFABETICO535"/>
      <w:r w:rsidRPr="000C3DF9">
        <w:rPr>
          <w:rStyle w:val="TextoNormalNegritaCaracter"/>
        </w:rPr>
        <w:t>Emplazamiento</w:t>
      </w:r>
      <w:bookmarkEnd w:id="1204"/>
      <w:r w:rsidRPr="000C3DF9">
        <w:rPr>
          <w:rStyle w:val="TextoNormalCaracter"/>
        </w:rPr>
        <w:t xml:space="preserve">, Sentencias </w:t>
      </w:r>
      <w:hyperlink w:anchor="SENTENCIA_2002_1" w:history="1">
        <w:r w:rsidRPr="000C3DF9">
          <w:rPr>
            <w:rStyle w:val="TextoNormalCaracter"/>
          </w:rPr>
          <w:t>1/2002</w:t>
        </w:r>
      </w:hyperlink>
      <w:r w:rsidRPr="000C3DF9">
        <w:rPr>
          <w:rStyle w:val="TextoNormalCaracter"/>
        </w:rPr>
        <w:t xml:space="preserve">, ff. 3, 4; </w:t>
      </w:r>
      <w:hyperlink w:anchor="SENTENCIA_2002_18" w:history="1">
        <w:r w:rsidRPr="000C3DF9">
          <w:rPr>
            <w:rStyle w:val="TextoNormalCaracter"/>
          </w:rPr>
          <w:t>18/2002</w:t>
        </w:r>
      </w:hyperlink>
      <w:r w:rsidRPr="000C3DF9">
        <w:rPr>
          <w:rStyle w:val="TextoNormalCaracter"/>
        </w:rPr>
        <w:t xml:space="preserve">, f. 8; </w:t>
      </w:r>
      <w:hyperlink w:anchor="SENTENCIA_2002_31" w:history="1">
        <w:r w:rsidRPr="000C3DF9">
          <w:rPr>
            <w:rStyle w:val="TextoNormalCaracter"/>
          </w:rPr>
          <w:t>31/2002</w:t>
        </w:r>
      </w:hyperlink>
      <w:r w:rsidRPr="000C3DF9">
        <w:rPr>
          <w:rStyle w:val="TextoNormalCaracter"/>
        </w:rPr>
        <w:t xml:space="preserve">, f. 4; </w:t>
      </w:r>
      <w:hyperlink w:anchor="SENTENCIA_2002_59" w:history="1">
        <w:r w:rsidRPr="000C3DF9">
          <w:rPr>
            <w:rStyle w:val="TextoNormalCaracter"/>
          </w:rPr>
          <w:t>59/2002</w:t>
        </w:r>
      </w:hyperlink>
      <w:r w:rsidRPr="000C3DF9">
        <w:rPr>
          <w:rStyle w:val="TextoNormalCaracter"/>
        </w:rPr>
        <w:t xml:space="preserve">, ff. 3, 4; </w:t>
      </w:r>
      <w:hyperlink w:anchor="SENTENCIA_2002_87" w:history="1">
        <w:r w:rsidRPr="000C3DF9">
          <w:rPr>
            <w:rStyle w:val="TextoNormalCaracter"/>
          </w:rPr>
          <w:t>87/2002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05" w:name="DESCRIPTORALFABETICO536"/>
      <w:r w:rsidRPr="000C3DF9">
        <w:rPr>
          <w:rStyle w:val="TextoNormalNegritaCaracter"/>
        </w:rPr>
        <w:t>Emplazamiento edictal</w:t>
      </w:r>
      <w:bookmarkEnd w:id="1205"/>
      <w:r w:rsidRPr="000C3DF9">
        <w:rPr>
          <w:rStyle w:val="TextoNormalCaracter"/>
        </w:rPr>
        <w:t xml:space="preserve">, Sentencias </w:t>
      </w:r>
      <w:hyperlink w:anchor="SENTENCIA_2002_18" w:history="1">
        <w:r w:rsidRPr="000C3DF9">
          <w:rPr>
            <w:rStyle w:val="TextoNormalCaracter"/>
          </w:rPr>
          <w:t>18/2002</w:t>
        </w:r>
      </w:hyperlink>
      <w:r w:rsidRPr="000C3DF9">
        <w:rPr>
          <w:rStyle w:val="TextoNormalCaracter"/>
        </w:rPr>
        <w:t xml:space="preserve">, f. 8; </w:t>
      </w:r>
      <w:hyperlink w:anchor="SENTENCIA_2002_87" w:history="1">
        <w:r w:rsidRPr="000C3DF9">
          <w:rPr>
            <w:rStyle w:val="TextoNormalCaracter"/>
          </w:rPr>
          <w:t>87/2002</w:t>
        </w:r>
      </w:hyperlink>
      <w:r w:rsidRPr="000C3DF9">
        <w:rPr>
          <w:rStyle w:val="TextoNormalCaracter"/>
        </w:rPr>
        <w:t>, ff. 4, 5.</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87" w:history="1">
        <w:r w:rsidRPr="000C3DF9">
          <w:rPr>
            <w:rStyle w:val="TextoNormalCaracter"/>
          </w:rPr>
          <w:t>87/2002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06" w:name="DESCRIPTORALFABETICO538"/>
      <w:r w:rsidRPr="000C3DF9">
        <w:rPr>
          <w:rStyle w:val="TextoNormalNegritaCaracter"/>
        </w:rPr>
        <w:t>Emplazamiento edictal de profesional colegiado</w:t>
      </w:r>
      <w:bookmarkEnd w:id="1206"/>
      <w:r w:rsidRPr="000C3DF9">
        <w:rPr>
          <w:rStyle w:val="TextoNormalCaracter"/>
        </w:rPr>
        <w:t xml:space="preserve">, Sentencia </w:t>
      </w:r>
      <w:hyperlink w:anchor="SENTENCIA_2002_87" w:history="1">
        <w:r w:rsidRPr="000C3DF9">
          <w:rPr>
            <w:rStyle w:val="TextoNormalCaracter"/>
          </w:rPr>
          <w:t>87/2002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207" w:name="DESCRIPTORALFABETICO539"/>
      <w:r w:rsidRPr="000C3DF9">
        <w:rPr>
          <w:rStyle w:val="TextoNormalNegritaCaracter"/>
        </w:rPr>
        <w:t>Emplazamiento en el domicilio del interesado</w:t>
      </w:r>
      <w:bookmarkEnd w:id="1207"/>
      <w:r w:rsidRPr="000C3DF9">
        <w:rPr>
          <w:rStyle w:val="TextoNormalCaracter"/>
        </w:rPr>
        <w:t xml:space="preserve">, Sentencia </w:t>
      </w:r>
      <w:hyperlink w:anchor="SENTENCIA_2002_31" w:history="1">
        <w:r w:rsidRPr="000C3DF9">
          <w:rPr>
            <w:rStyle w:val="TextoNormalCaracter"/>
          </w:rPr>
          <w:t>31/2002</w:t>
        </w:r>
      </w:hyperlink>
      <w:r w:rsidRPr="000C3DF9">
        <w:rPr>
          <w:rStyle w:val="TextoNormalCaracter"/>
        </w:rPr>
        <w:t>, f. 6.</w:t>
      </w:r>
    </w:p>
    <w:p w:rsidR="000C3DF9" w:rsidRPr="000C3DF9" w:rsidRDefault="000C3DF9" w:rsidP="000C3DF9">
      <w:pPr>
        <w:pStyle w:val="TextoNormalSangraFrancesa"/>
        <w:rPr>
          <w:rStyle w:val="TextoNormalCaracter"/>
        </w:rPr>
      </w:pPr>
      <w:bookmarkStart w:id="1208" w:name="DESCRIPTORALFABETICO65"/>
      <w:r w:rsidRPr="000C3DF9">
        <w:rPr>
          <w:rStyle w:val="TextoNormalNegritaCaracter"/>
        </w:rPr>
        <w:t>Enfermedad del penado</w:t>
      </w:r>
      <w:bookmarkEnd w:id="1208"/>
      <w:r w:rsidRPr="000C3DF9">
        <w:rPr>
          <w:rStyle w:val="TextoNormalCaracter"/>
        </w:rPr>
        <w:t xml:space="preserve">, Sentencia </w:t>
      </w:r>
      <w:hyperlink w:anchor="SENTENCIA_2002_5" w:history="1">
        <w:r w:rsidRPr="000C3DF9">
          <w:rPr>
            <w:rStyle w:val="TextoNormalCaracter"/>
          </w:rPr>
          <w:t>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09" w:name="DESCRIPTORALFABETICO303"/>
      <w:r w:rsidRPr="000C3DF9">
        <w:rPr>
          <w:rStyle w:val="TextoNormalNegritaCaracter"/>
        </w:rPr>
        <w:t>Enmiendas en el Senado</w:t>
      </w:r>
      <w:bookmarkEnd w:id="1209"/>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ff. 4, 5.</w:t>
      </w:r>
    </w:p>
    <w:p w:rsidR="000C3DF9" w:rsidRPr="000C3DF9" w:rsidRDefault="000C3DF9" w:rsidP="000C3DF9">
      <w:pPr>
        <w:pStyle w:val="TextoNormalSangraFrancesa"/>
        <w:rPr>
          <w:rStyle w:val="TextoNormalNegritaCaracter"/>
        </w:rPr>
      </w:pPr>
      <w:r w:rsidRPr="000C3DF9">
        <w:rPr>
          <w:rStyle w:val="TextoNormalCursivaCaracter"/>
        </w:rPr>
        <w:t>Entidades bancarias</w:t>
      </w:r>
      <w:r>
        <w:t xml:space="preserve"> véase </w:t>
      </w:r>
      <w:hyperlink w:anchor="DESCRIPTORALFABETICO358" w:history="1">
        <w:r w:rsidRPr="000C3DF9">
          <w:rPr>
            <w:rStyle w:val="TextoNormalNegritaCaracter"/>
          </w:rPr>
          <w:t>Entidades de crédito</w:t>
        </w:r>
      </w:hyperlink>
    </w:p>
    <w:p w:rsidR="000C3DF9" w:rsidRPr="000C3DF9" w:rsidRDefault="000C3DF9" w:rsidP="000C3DF9">
      <w:pPr>
        <w:pStyle w:val="TextoNormalSangraFrancesa"/>
        <w:rPr>
          <w:rStyle w:val="TextoNormalCaracter"/>
        </w:rPr>
      </w:pPr>
      <w:bookmarkStart w:id="1210" w:name="DESCRIPTORALFABETICO358"/>
      <w:r w:rsidRPr="000C3DF9">
        <w:rPr>
          <w:rStyle w:val="TextoNormalNegritaCaracter"/>
        </w:rPr>
        <w:t>Entidades de crédito</w:t>
      </w:r>
      <w:bookmarkEnd w:id="1210"/>
      <w:r w:rsidRPr="000C3DF9">
        <w:rPr>
          <w:rStyle w:val="TextoNormalCaracter"/>
        </w:rPr>
        <w:t xml:space="preserve">, Auto </w:t>
      </w:r>
      <w:hyperlink w:anchor="AUTO_2002_20" w:history="1">
        <w:r w:rsidRPr="000C3DF9">
          <w:rPr>
            <w:rStyle w:val="TextoNormalCaracter"/>
          </w:rPr>
          <w:t>20/2002</w:t>
        </w:r>
      </w:hyperlink>
      <w:r w:rsidRPr="000C3DF9">
        <w:rPr>
          <w:rStyle w:val="TextoNormalCaracter"/>
        </w:rPr>
        <w:t>.</w:t>
      </w:r>
    </w:p>
    <w:p w:rsidR="000C3DF9" w:rsidRPr="000C3DF9" w:rsidRDefault="000C3DF9" w:rsidP="000C3DF9">
      <w:pPr>
        <w:pStyle w:val="TextoNormalSangraFrancesa"/>
        <w:rPr>
          <w:rStyle w:val="TextoNormalCaracter"/>
        </w:rPr>
      </w:pPr>
      <w:bookmarkStart w:id="1211" w:name="DESCRIPTORALFABETICO553"/>
      <w:r w:rsidRPr="000C3DF9">
        <w:rPr>
          <w:rStyle w:val="TextoNormalNegritaCaracter"/>
        </w:rPr>
        <w:t>Entrada y registro en lugar cerrado</w:t>
      </w:r>
      <w:bookmarkEnd w:id="1211"/>
      <w:r w:rsidRPr="000C3DF9">
        <w:rPr>
          <w:rStyle w:val="TextoNormalCaracter"/>
        </w:rPr>
        <w:t xml:space="preserve">, Sentencia </w:t>
      </w:r>
      <w:hyperlink w:anchor="SENTENCIA_2002_82" w:history="1">
        <w:r w:rsidRPr="000C3DF9">
          <w:rPr>
            <w:rStyle w:val="TextoNormalCaracter"/>
          </w:rPr>
          <w:t>82/2002</w:t>
        </w:r>
      </w:hyperlink>
      <w:r w:rsidRPr="000C3DF9">
        <w:rPr>
          <w:rStyle w:val="TextoNormalCaracter"/>
        </w:rPr>
        <w:t>, f. 8.</w:t>
      </w:r>
    </w:p>
    <w:p w:rsidR="000C3DF9" w:rsidRPr="000C3DF9" w:rsidRDefault="000C3DF9" w:rsidP="000C3DF9">
      <w:pPr>
        <w:pStyle w:val="TextoNormalSangraFrancesa"/>
        <w:rPr>
          <w:rStyle w:val="TextoNormalCaracter"/>
        </w:rPr>
      </w:pPr>
      <w:bookmarkStart w:id="1212" w:name="DESCRIPTORALFABETICO572"/>
      <w:r w:rsidRPr="000C3DF9">
        <w:rPr>
          <w:rStyle w:val="TextoNormalNegritaCaracter"/>
        </w:rPr>
        <w:t>Error irrelevante</w:t>
      </w:r>
      <w:bookmarkEnd w:id="1212"/>
      <w:r w:rsidRPr="000C3DF9">
        <w:rPr>
          <w:rStyle w:val="TextoNormalCaracter"/>
        </w:rPr>
        <w:t xml:space="preserve">, Auto </w:t>
      </w:r>
      <w:hyperlink w:anchor="AUTO_2002_17" w:history="1">
        <w:r w:rsidRPr="000C3DF9">
          <w:rPr>
            <w:rStyle w:val="TextoNormalCaracter"/>
          </w:rPr>
          <w:t>17/2002</w:t>
        </w:r>
      </w:hyperlink>
      <w:r w:rsidRPr="000C3DF9">
        <w:rPr>
          <w:rStyle w:val="TextoNormalCaracter"/>
        </w:rPr>
        <w:t>.</w:t>
      </w:r>
    </w:p>
    <w:p w:rsidR="000C3DF9" w:rsidRPr="000C3DF9" w:rsidRDefault="000C3DF9" w:rsidP="000C3DF9">
      <w:pPr>
        <w:pStyle w:val="TextoNormalSangraFrancesa"/>
        <w:rPr>
          <w:rStyle w:val="TextoNormalCaracter"/>
        </w:rPr>
      </w:pPr>
      <w:bookmarkStart w:id="1213" w:name="DESCRIPTORALFABETICO90"/>
      <w:r w:rsidRPr="000C3DF9">
        <w:rPr>
          <w:rStyle w:val="TextoNormalNegritaCaracter"/>
        </w:rPr>
        <w:t>Error patente</w:t>
      </w:r>
      <w:bookmarkEnd w:id="1213"/>
      <w:r w:rsidRPr="000C3DF9">
        <w:rPr>
          <w:rStyle w:val="TextoNormalCaracter"/>
        </w:rPr>
        <w:t xml:space="preserve">, Sentencias </w:t>
      </w:r>
      <w:hyperlink w:anchor="SENTENCIA_2002_13" w:history="1">
        <w:r w:rsidRPr="000C3DF9">
          <w:rPr>
            <w:rStyle w:val="TextoNormalCaracter"/>
          </w:rPr>
          <w:t>13/2002</w:t>
        </w:r>
      </w:hyperlink>
      <w:r w:rsidRPr="000C3DF9">
        <w:rPr>
          <w:rStyle w:val="TextoNormalCaracter"/>
        </w:rPr>
        <w:t xml:space="preserve">, f. 5; </w:t>
      </w:r>
      <w:hyperlink w:anchor="SENTENCIA_2002_16" w:history="1">
        <w:r w:rsidRPr="000C3DF9">
          <w:rPr>
            <w:rStyle w:val="TextoNormalCaracter"/>
          </w:rPr>
          <w:t>16/2002</w:t>
        </w:r>
      </w:hyperlink>
      <w:r w:rsidRPr="000C3DF9">
        <w:rPr>
          <w:rStyle w:val="TextoNormalCaracter"/>
        </w:rPr>
        <w:t xml:space="preserve">, f. 4; </w:t>
      </w:r>
      <w:hyperlink w:anchor="SENTENCIA_2002_22" w:history="1">
        <w:r w:rsidRPr="000C3DF9">
          <w:rPr>
            <w:rStyle w:val="TextoNormalCaracter"/>
          </w:rPr>
          <w:t>22/2002</w:t>
        </w:r>
      </w:hyperlink>
      <w:r w:rsidRPr="000C3DF9">
        <w:rPr>
          <w:rStyle w:val="TextoNormalCaracter"/>
        </w:rPr>
        <w:t xml:space="preserve">, ff. 3, 5, 6; </w:t>
      </w:r>
      <w:hyperlink w:anchor="SENTENCIA_2002_34" w:history="1">
        <w:r w:rsidRPr="000C3DF9">
          <w:rPr>
            <w:rStyle w:val="TextoNormalCaracter"/>
          </w:rPr>
          <w:t>34/2002</w:t>
        </w:r>
      </w:hyperlink>
      <w:r w:rsidRPr="000C3DF9">
        <w:rPr>
          <w:rStyle w:val="TextoNormalCaracter"/>
        </w:rPr>
        <w:t xml:space="preserve">, ff. 4, 5, 6; </w:t>
      </w:r>
      <w:hyperlink w:anchor="SENTENCIA_2002_36" w:history="1">
        <w:r w:rsidRPr="000C3DF9">
          <w:rPr>
            <w:rStyle w:val="TextoNormalCaracter"/>
          </w:rPr>
          <w:t>36/2002</w:t>
        </w:r>
      </w:hyperlink>
      <w:r w:rsidRPr="000C3DF9">
        <w:rPr>
          <w:rStyle w:val="TextoNormalCaracter"/>
        </w:rPr>
        <w:t xml:space="preserve">, f. 6; </w:t>
      </w:r>
      <w:hyperlink w:anchor="SENTENCIA_2002_43" w:history="1">
        <w:r w:rsidRPr="000C3DF9">
          <w:rPr>
            <w:rStyle w:val="TextoNormalCaracter"/>
          </w:rPr>
          <w:t>43/2002</w:t>
        </w:r>
      </w:hyperlink>
      <w:r w:rsidRPr="000C3DF9">
        <w:rPr>
          <w:rStyle w:val="TextoNormalCaracter"/>
        </w:rPr>
        <w:t xml:space="preserve">, f. 3; </w:t>
      </w:r>
      <w:hyperlink w:anchor="SENTENCIA_2002_78" w:history="1">
        <w:r w:rsidRPr="000C3DF9">
          <w:rPr>
            <w:rStyle w:val="TextoNormalCaracter"/>
          </w:rPr>
          <w:t>78/2002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 </w:t>
      </w:r>
      <w:hyperlink w:anchor="SENTENCIA_2002_43" w:history="1">
        <w:r w:rsidRPr="000C3DF9">
          <w:rPr>
            <w:rStyle w:val="TextoNormalCaracter"/>
          </w:rPr>
          <w:t>43/2002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14" w:name="DESCRIPTORALFABETICO91"/>
      <w:r w:rsidRPr="000C3DF9">
        <w:rPr>
          <w:rStyle w:val="TextoNormalNegritaCaracter"/>
        </w:rPr>
        <w:t>Error patente inexistente</w:t>
      </w:r>
      <w:bookmarkEnd w:id="1214"/>
      <w:r w:rsidRPr="000C3DF9">
        <w:rPr>
          <w:rStyle w:val="TextoNormalCaracter"/>
        </w:rPr>
        <w:t xml:space="preserve">, Sentencias </w:t>
      </w:r>
      <w:hyperlink w:anchor="SENTENCIA_2002_13" w:history="1">
        <w:r w:rsidRPr="000C3DF9">
          <w:rPr>
            <w:rStyle w:val="TextoNormalCaracter"/>
          </w:rPr>
          <w:t>13/2002</w:t>
        </w:r>
      </w:hyperlink>
      <w:r w:rsidRPr="000C3DF9">
        <w:rPr>
          <w:rStyle w:val="TextoNormalCaracter"/>
        </w:rPr>
        <w:t xml:space="preserve">, f. 5; </w:t>
      </w:r>
      <w:hyperlink w:anchor="SENTENCIA_2002_55" w:history="1">
        <w:r w:rsidRPr="000C3DF9">
          <w:rPr>
            <w:rStyle w:val="TextoNormalCaracter"/>
          </w:rPr>
          <w:t>55/2002</w:t>
        </w:r>
      </w:hyperlink>
      <w:r w:rsidRPr="000C3DF9">
        <w:rPr>
          <w:rStyle w:val="TextoNormalCaracter"/>
        </w:rPr>
        <w:t xml:space="preserve">, f. 5; </w:t>
      </w:r>
      <w:hyperlink w:anchor="SENTENCIA_2002_88" w:history="1">
        <w:r w:rsidRPr="000C3DF9">
          <w:rPr>
            <w:rStyle w:val="TextoNormalCaracter"/>
          </w:rPr>
          <w:t>88/2002</w:t>
        </w:r>
      </w:hyperlink>
      <w:r w:rsidRPr="000C3DF9">
        <w:rPr>
          <w:rStyle w:val="TextoNormalCaracter"/>
        </w:rPr>
        <w:t>, ff. 2, 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7" w:history="1">
        <w:r w:rsidRPr="000C3DF9">
          <w:rPr>
            <w:rStyle w:val="TextoNormalCaracter"/>
          </w:rPr>
          <w:t>17/2002</w:t>
        </w:r>
      </w:hyperlink>
      <w:r w:rsidRPr="000C3DF9">
        <w:rPr>
          <w:rStyle w:val="TextoNormalCaracter"/>
        </w:rPr>
        <w:t>.</w:t>
      </w:r>
    </w:p>
    <w:p w:rsidR="000C3DF9" w:rsidRPr="000C3DF9" w:rsidRDefault="000C3DF9" w:rsidP="000C3DF9">
      <w:pPr>
        <w:pStyle w:val="TextoNormalSangraFrancesa"/>
        <w:rPr>
          <w:rStyle w:val="TextoNormalCaracter"/>
        </w:rPr>
      </w:pPr>
      <w:bookmarkStart w:id="1215" w:name="DESCRIPTORALFABETICO147"/>
      <w:r w:rsidRPr="000C3DF9">
        <w:rPr>
          <w:rStyle w:val="TextoNormalNegritaCaracter"/>
        </w:rPr>
        <w:t>Escritos anónimos</w:t>
      </w:r>
      <w:bookmarkEnd w:id="1215"/>
      <w:r w:rsidRPr="000C3DF9">
        <w:rPr>
          <w:rStyle w:val="TextoNormalCaracter"/>
        </w:rPr>
        <w:t xml:space="preserve">, Auto </w:t>
      </w:r>
      <w:hyperlink w:anchor="AUTO_2002_56" w:history="1">
        <w:r w:rsidRPr="000C3DF9">
          <w:rPr>
            <w:rStyle w:val="TextoNormalCaracter"/>
          </w:rPr>
          <w:t>56/2002</w:t>
        </w:r>
      </w:hyperlink>
      <w:r w:rsidRPr="000C3DF9">
        <w:rPr>
          <w:rStyle w:val="TextoNormalCaracter"/>
        </w:rPr>
        <w:t>.</w:t>
      </w:r>
    </w:p>
    <w:p w:rsidR="000C3DF9" w:rsidRPr="000C3DF9" w:rsidRDefault="000C3DF9" w:rsidP="000C3DF9">
      <w:pPr>
        <w:pStyle w:val="TextoNormalSangraFrancesa"/>
        <w:rPr>
          <w:rStyle w:val="TextoNormalCaracter"/>
        </w:rPr>
      </w:pPr>
      <w:bookmarkStart w:id="1216" w:name="DESCRIPTORALFABETICO405"/>
      <w:r w:rsidRPr="000C3DF9">
        <w:rPr>
          <w:rStyle w:val="TextoNormalNegritaCaracter"/>
        </w:rPr>
        <w:t>Espacios naturales protegidos</w:t>
      </w:r>
      <w:bookmarkEnd w:id="1216"/>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ff. 5, 6, 7.</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72" w:history="1">
        <w:r w:rsidRPr="000C3DF9">
          <w:rPr>
            <w:rStyle w:val="TextoNormalCaracter"/>
          </w:rPr>
          <w:t>72/2002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Concepto, </w:t>
      </w:r>
      <w:r w:rsidRPr="000C3DF9">
        <w:rPr>
          <w:rStyle w:val="TextoNormalCaracter"/>
        </w:rPr>
        <w:t xml:space="preserve">Sentencia </w:t>
      </w:r>
      <w:hyperlink w:anchor="SENTENCIA_2002_97" w:history="1">
        <w:r w:rsidRPr="000C3DF9">
          <w:rPr>
            <w:rStyle w:val="TextoNormalCaracter"/>
          </w:rPr>
          <w:t>97/2002</w:t>
        </w:r>
      </w:hyperlink>
      <w:r w:rsidRPr="000C3DF9">
        <w:rPr>
          <w:rStyle w:val="TextoNormalCaracter"/>
        </w:rPr>
        <w:t>, f. 9.</w:t>
      </w:r>
    </w:p>
    <w:p w:rsidR="000C3DF9" w:rsidRPr="000C3DF9" w:rsidRDefault="000C3DF9" w:rsidP="000C3DF9">
      <w:pPr>
        <w:pStyle w:val="TextoNormalSangraFrancesa"/>
        <w:rPr>
          <w:rStyle w:val="TextoNormalCaracter"/>
        </w:rPr>
      </w:pPr>
      <w:bookmarkStart w:id="1217" w:name="DESCRIPTORALFABETICO566"/>
      <w:r w:rsidRPr="000C3DF9">
        <w:rPr>
          <w:rStyle w:val="TextoNormalNegritaCaracter"/>
        </w:rPr>
        <w:t>Especial diligencia en el recurso de casación</w:t>
      </w:r>
      <w:bookmarkEnd w:id="1217"/>
      <w:r w:rsidRPr="000C3DF9">
        <w:rPr>
          <w:rStyle w:val="TextoNormalCaracter"/>
        </w:rPr>
        <w:t xml:space="preserve">, Sentencia </w:t>
      </w:r>
      <w:hyperlink w:anchor="SENTENCIA_2002_89" w:history="1">
        <w:r w:rsidRPr="000C3DF9">
          <w:rPr>
            <w:rStyle w:val="TextoNormalCaracter"/>
          </w:rPr>
          <w:t>89/2002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18" w:name="DESCRIPTORALFABETICO359"/>
      <w:r w:rsidRPr="000C3DF9">
        <w:rPr>
          <w:rStyle w:val="TextoNormalNegritaCaracter"/>
        </w:rPr>
        <w:t>Establecimientos comerciales</w:t>
      </w:r>
      <w:bookmarkEnd w:id="1218"/>
      <w:r w:rsidRPr="000C3DF9">
        <w:rPr>
          <w:rStyle w:val="TextoNormalCaracter"/>
        </w:rPr>
        <w:t xml:space="preserve">, Autos </w:t>
      </w:r>
      <w:hyperlink w:anchor="AUTO_2002_20" w:history="1">
        <w:r w:rsidRPr="000C3DF9">
          <w:rPr>
            <w:rStyle w:val="TextoNormalCaracter"/>
          </w:rPr>
          <w:t>20/2002</w:t>
        </w:r>
      </w:hyperlink>
      <w:r w:rsidRPr="000C3DF9">
        <w:rPr>
          <w:rStyle w:val="TextoNormalCaracter"/>
        </w:rPr>
        <w:t xml:space="preserve">;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Caracter"/>
        </w:rPr>
      </w:pPr>
      <w:bookmarkStart w:id="1219" w:name="DESCRIPTORALFABETICO342"/>
      <w:r w:rsidRPr="000C3DF9">
        <w:rPr>
          <w:rStyle w:val="TextoNormalNegritaCaracter"/>
        </w:rPr>
        <w:t>Estado de Derecho</w:t>
      </w:r>
      <w:bookmarkEnd w:id="1219"/>
      <w:r w:rsidRPr="000C3DF9">
        <w:rPr>
          <w:rStyle w:val="TextoNormalCaracter"/>
        </w:rPr>
        <w:t xml:space="preserve">, Sentencia </w:t>
      </w:r>
      <w:hyperlink w:anchor="SENTENCIA_2002_35" w:history="1">
        <w:r w:rsidRPr="000C3DF9">
          <w:rPr>
            <w:rStyle w:val="TextoNormalCaracter"/>
          </w:rPr>
          <w:t>35/2002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20" w:name="DESCRIPTORALFABETICO345"/>
      <w:r w:rsidRPr="000C3DF9">
        <w:rPr>
          <w:rStyle w:val="TextoNormalNegritaCaracter"/>
        </w:rPr>
        <w:t>Estado de las autonomías</w:t>
      </w:r>
      <w:bookmarkEnd w:id="1220"/>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11.</w:t>
      </w:r>
    </w:p>
    <w:p w:rsidR="000C3DF9" w:rsidRPr="000C3DF9" w:rsidRDefault="000C3DF9" w:rsidP="000C3DF9">
      <w:pPr>
        <w:pStyle w:val="TextoNormalSangraFrancesa"/>
        <w:rPr>
          <w:rStyle w:val="TextoNormalCaracter"/>
        </w:rPr>
      </w:pPr>
      <w:bookmarkStart w:id="1221" w:name="DESCRIPTORALFABETICO130"/>
      <w:r w:rsidRPr="000C3DF9">
        <w:rPr>
          <w:rStyle w:val="TextoNormalNegritaCaracter"/>
        </w:rPr>
        <w:t>Estatuto constitucional del solicitante de asilo</w:t>
      </w:r>
      <w:bookmarkEnd w:id="1221"/>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22" w:name="DESCRIPTORALFABETICO397"/>
      <w:r w:rsidRPr="000C3DF9">
        <w:rPr>
          <w:rStyle w:val="TextoNormalNegritaCaracter"/>
        </w:rPr>
        <w:t>Estatuto de los funcionarios públicos</w:t>
      </w:r>
      <w:bookmarkEnd w:id="1222"/>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ff. 5, 6.</w:t>
      </w:r>
    </w:p>
    <w:p w:rsidR="000C3DF9" w:rsidRPr="000C3DF9" w:rsidRDefault="000C3DF9" w:rsidP="000C3DF9">
      <w:pPr>
        <w:pStyle w:val="TextoNormalSangraFrancesa"/>
        <w:rPr>
          <w:rStyle w:val="TextoNormalCaracter"/>
        </w:rPr>
      </w:pPr>
      <w:bookmarkStart w:id="1223" w:name="DESCRIPTORALFABETICO576"/>
      <w:r w:rsidRPr="000C3DF9">
        <w:rPr>
          <w:rStyle w:val="TextoNormalNegritaCaracter"/>
        </w:rPr>
        <w:t>Estimación de excepción de cosa juzgada</w:t>
      </w:r>
      <w:bookmarkEnd w:id="1223"/>
      <w:r w:rsidRPr="000C3DF9">
        <w:rPr>
          <w:rStyle w:val="TextoNormalCaracter"/>
        </w:rPr>
        <w:t xml:space="preserve">, Sentencia </w:t>
      </w:r>
      <w:hyperlink w:anchor="SENTENCIA_2002_43" w:history="1">
        <w:r w:rsidRPr="000C3DF9">
          <w:rPr>
            <w:rStyle w:val="TextoNormalCaracter"/>
          </w:rPr>
          <w:t>43/2002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24" w:name="DESCRIPTORALFABETICO239"/>
      <w:r w:rsidRPr="000C3DF9">
        <w:rPr>
          <w:rStyle w:val="TextoNormalNegritaCaracter"/>
        </w:rPr>
        <w:t>Examen de oficio de requisitos procesales de la demanda de amparo</w:t>
      </w:r>
      <w:bookmarkEnd w:id="1224"/>
      <w:r w:rsidRPr="000C3DF9">
        <w:rPr>
          <w:rStyle w:val="TextoNormalCaracter"/>
        </w:rPr>
        <w:t xml:space="preserve">, Sentencias </w:t>
      </w:r>
      <w:hyperlink w:anchor="SENTENCIA_2002_18" w:history="1">
        <w:r w:rsidRPr="000C3DF9">
          <w:rPr>
            <w:rStyle w:val="TextoNormalCaracter"/>
          </w:rPr>
          <w:t>18/2002</w:t>
        </w:r>
      </w:hyperlink>
      <w:r w:rsidRPr="000C3DF9">
        <w:rPr>
          <w:rStyle w:val="TextoNormalCaracter"/>
        </w:rPr>
        <w:t xml:space="preserve">, f. 3; </w:t>
      </w:r>
      <w:hyperlink w:anchor="SENTENCIA_2002_44" w:history="1">
        <w:r w:rsidRPr="000C3DF9">
          <w:rPr>
            <w:rStyle w:val="TextoNormalCaracter"/>
          </w:rPr>
          <w:t>44/2002</w:t>
        </w:r>
      </w:hyperlink>
      <w:r w:rsidRPr="000C3DF9">
        <w:rPr>
          <w:rStyle w:val="TextoNormalCaracter"/>
        </w:rPr>
        <w:t xml:space="preserve">, f. 2; </w:t>
      </w:r>
      <w:hyperlink w:anchor="SENTENCIA_2002_93" w:history="1">
        <w:r w:rsidRPr="000C3DF9">
          <w:rPr>
            <w:rStyle w:val="TextoNormalCaracter"/>
          </w:rPr>
          <w:t>93/2002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25" w:name="DESCRIPTORALFABETICO577"/>
      <w:r w:rsidRPr="000C3DF9">
        <w:rPr>
          <w:rStyle w:val="TextoNormalNegritaCaracter"/>
        </w:rPr>
        <w:t>Excepción de inadecuación de procedimiento</w:t>
      </w:r>
      <w:bookmarkEnd w:id="1225"/>
      <w:r w:rsidRPr="000C3DF9">
        <w:rPr>
          <w:rStyle w:val="TextoNormalCaracter"/>
        </w:rPr>
        <w:t xml:space="preserve">, Auto </w:t>
      </w:r>
      <w:hyperlink w:anchor="AUTO_2002_42" w:history="1">
        <w:r w:rsidRPr="000C3DF9">
          <w:rPr>
            <w:rStyle w:val="TextoNormalCaracter"/>
          </w:rPr>
          <w:t>42/2002</w:t>
        </w:r>
      </w:hyperlink>
      <w:r w:rsidRPr="000C3DF9">
        <w:rPr>
          <w:rStyle w:val="TextoNormalCaracter"/>
        </w:rPr>
        <w:t>.</w:t>
      </w:r>
    </w:p>
    <w:p w:rsidR="000C3DF9" w:rsidRPr="000C3DF9" w:rsidRDefault="000C3DF9" w:rsidP="000C3DF9">
      <w:pPr>
        <w:pStyle w:val="TextoNormalSangraFrancesa"/>
        <w:rPr>
          <w:rStyle w:val="TextoNormalCaracter"/>
        </w:rPr>
      </w:pPr>
      <w:bookmarkStart w:id="1226" w:name="DESCRIPTORALFABETICO87"/>
      <w:r w:rsidRPr="000C3DF9">
        <w:rPr>
          <w:rStyle w:val="TextoNormalNegritaCaracter"/>
        </w:rPr>
        <w:t>Exclusión de un derecho a los recursos en materias ajenas a lo penal</w:t>
      </w:r>
      <w:bookmarkEnd w:id="1226"/>
      <w:r w:rsidRPr="000C3DF9">
        <w:rPr>
          <w:rStyle w:val="TextoNormalCaracter"/>
        </w:rPr>
        <w:t xml:space="preserve">, Sentencia </w:t>
      </w:r>
      <w:hyperlink w:anchor="SENTENCIA_2002_71" w:history="1">
        <w:r w:rsidRPr="000C3DF9">
          <w:rPr>
            <w:rStyle w:val="TextoNormalCaracter"/>
          </w:rPr>
          <w:t>71/2002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27" w:name="DESCRIPTORALFABETICO104"/>
      <w:r w:rsidRPr="000C3DF9">
        <w:rPr>
          <w:rStyle w:val="TextoNormalNegritaCaracter"/>
        </w:rPr>
        <w:lastRenderedPageBreak/>
        <w:t>Exclusión de un derecho al acierto judicial</w:t>
      </w:r>
      <w:bookmarkEnd w:id="1227"/>
      <w:r w:rsidRPr="000C3DF9">
        <w:rPr>
          <w:rStyle w:val="TextoNormalCaracter"/>
        </w:rPr>
        <w:t xml:space="preserve">, Auto </w:t>
      </w:r>
      <w:hyperlink w:anchor="AUTO_2002_4" w:history="1">
        <w:r w:rsidRPr="000C3DF9">
          <w:rPr>
            <w:rStyle w:val="TextoNormalCaracter"/>
          </w:rPr>
          <w:t>4/2002</w:t>
        </w:r>
      </w:hyperlink>
      <w:r w:rsidRPr="000C3DF9">
        <w:rPr>
          <w:rStyle w:val="TextoNormalCaracter"/>
        </w:rPr>
        <w:t>.</w:t>
      </w:r>
    </w:p>
    <w:p w:rsidR="000C3DF9" w:rsidRPr="000C3DF9" w:rsidRDefault="000C3DF9" w:rsidP="000C3DF9">
      <w:pPr>
        <w:pStyle w:val="TextoNormalSangraFrancesa"/>
        <w:rPr>
          <w:rStyle w:val="TextoNormalCaracter"/>
        </w:rPr>
      </w:pPr>
      <w:bookmarkStart w:id="1228" w:name="DESCRIPTORALFABETICO585"/>
      <w:r w:rsidRPr="000C3DF9">
        <w:rPr>
          <w:rStyle w:val="TextoNormalNegritaCaracter"/>
        </w:rPr>
        <w:t>Exhaustividad de la prueba en el proceso laboral</w:t>
      </w:r>
      <w:bookmarkEnd w:id="1228"/>
      <w:r w:rsidRPr="000C3DF9">
        <w:rPr>
          <w:rStyle w:val="TextoNormalCaracter"/>
        </w:rPr>
        <w:t xml:space="preserve">, Sentencia </w:t>
      </w:r>
      <w:hyperlink w:anchor="SENTENCIA_2002_61" w:history="1">
        <w:r w:rsidRPr="000C3DF9">
          <w:rPr>
            <w:rStyle w:val="TextoNormalCaracter"/>
          </w:rPr>
          <w:t>61/2002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29" w:name="DESCRIPTORALFABETICO255"/>
      <w:r w:rsidRPr="000C3DF9">
        <w:rPr>
          <w:rStyle w:val="TextoNormalNegritaCaracter"/>
        </w:rPr>
        <w:t>Existencia de agotamiento</w:t>
      </w:r>
      <w:bookmarkEnd w:id="1229"/>
      <w:r w:rsidRPr="000C3DF9">
        <w:rPr>
          <w:rStyle w:val="TextoNormalCaracter"/>
        </w:rPr>
        <w:t xml:space="preserve">, Sentencia </w:t>
      </w:r>
      <w:hyperlink w:anchor="SENTENCIA_2002_65" w:history="1">
        <w:r w:rsidRPr="000C3DF9">
          <w:rPr>
            <w:rStyle w:val="TextoNormalCaracter"/>
          </w:rPr>
          <w:t>65/2002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30" w:name="DESCRIPTORALFABETICO179"/>
      <w:r w:rsidRPr="000C3DF9">
        <w:rPr>
          <w:rStyle w:val="TextoNormalNegritaCaracter"/>
        </w:rPr>
        <w:t>Extensión de la suspensión</w:t>
      </w:r>
      <w:bookmarkEnd w:id="1230"/>
      <w:r w:rsidRPr="000C3DF9">
        <w:rPr>
          <w:rStyle w:val="TextoNormalCaracter"/>
        </w:rPr>
        <w:t xml:space="preserve">, Autos </w:t>
      </w:r>
      <w:hyperlink w:anchor="AUTO_2002_22" w:history="1">
        <w:r w:rsidRPr="000C3DF9">
          <w:rPr>
            <w:rStyle w:val="TextoNormalCaracter"/>
          </w:rPr>
          <w:t>22/2002</w:t>
        </w:r>
      </w:hyperlink>
      <w:r w:rsidRPr="000C3DF9">
        <w:rPr>
          <w:rStyle w:val="TextoNormalCaracter"/>
        </w:rPr>
        <w:t xml:space="preserve">; </w:t>
      </w:r>
      <w:hyperlink w:anchor="AUTO_2002_39" w:history="1">
        <w:r w:rsidRPr="000C3DF9">
          <w:rPr>
            <w:rStyle w:val="TextoNormalCaracter"/>
          </w:rPr>
          <w:t>39/2002</w:t>
        </w:r>
      </w:hyperlink>
      <w:r w:rsidRPr="000C3DF9">
        <w:rPr>
          <w:rStyle w:val="TextoNormalCaracter"/>
        </w:rPr>
        <w:t>.</w:t>
      </w:r>
    </w:p>
    <w:p w:rsidR="000C3DF9" w:rsidRPr="000C3DF9" w:rsidRDefault="000C3DF9" w:rsidP="000C3DF9">
      <w:pPr>
        <w:pStyle w:val="TextoNormalSangraFrancesa"/>
        <w:rPr>
          <w:rStyle w:val="TextoNormalCaracter"/>
        </w:rPr>
      </w:pPr>
      <w:bookmarkStart w:id="1231" w:name="DESCRIPTORALFABETICO500"/>
      <w:r w:rsidRPr="000C3DF9">
        <w:rPr>
          <w:rStyle w:val="TextoNormalNegritaCaracter"/>
        </w:rPr>
        <w:t>Extinción de contratos de los afiliados a un sindicato</w:t>
      </w:r>
      <w:bookmarkEnd w:id="1231"/>
      <w:r w:rsidRPr="000C3DF9">
        <w:rPr>
          <w:rStyle w:val="TextoNormalCaracter"/>
        </w:rPr>
        <w:t xml:space="preserve">, Sentencia </w:t>
      </w:r>
      <w:hyperlink w:anchor="SENTENCIA_2002_48" w:history="1">
        <w:r w:rsidRPr="000C3DF9">
          <w:rPr>
            <w:rStyle w:val="TextoNormalCaracter"/>
          </w:rPr>
          <w:t>48/2002</w:t>
        </w:r>
      </w:hyperlink>
      <w:r w:rsidRPr="000C3DF9">
        <w:rPr>
          <w:rStyle w:val="TextoNormalCaracter"/>
        </w:rPr>
        <w:t>, ff. 6 a 9.</w:t>
      </w:r>
    </w:p>
    <w:p w:rsidR="000C3DF9" w:rsidRPr="000C3DF9" w:rsidRDefault="000C3DF9" w:rsidP="000C3DF9">
      <w:pPr>
        <w:pStyle w:val="TextoNormalSangraFrancesa"/>
        <w:rPr>
          <w:rStyle w:val="TextoNormalCaracter"/>
        </w:rPr>
      </w:pPr>
      <w:bookmarkStart w:id="1232" w:name="DESCRIPTORALFABETICO501"/>
      <w:r w:rsidRPr="000C3DF9">
        <w:rPr>
          <w:rStyle w:val="TextoNormalNegritaCaracter"/>
        </w:rPr>
        <w:t>Extinción del contrato en prácticas de un miembro del comité de empresa</w:t>
      </w:r>
      <w:bookmarkEnd w:id="1232"/>
      <w:r w:rsidRPr="000C3DF9">
        <w:rPr>
          <w:rStyle w:val="TextoNormalCaracter"/>
        </w:rPr>
        <w:t xml:space="preserve">, Sentencia </w:t>
      </w:r>
      <w:hyperlink w:anchor="SENTENCIA_2002_29" w:history="1">
        <w:r w:rsidRPr="000C3DF9">
          <w:rPr>
            <w:rStyle w:val="TextoNormalCaracter"/>
          </w:rPr>
          <w:t>29/2002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233" w:name="DESCRIPTORALFABETICO502"/>
      <w:r w:rsidRPr="000C3DF9">
        <w:rPr>
          <w:rStyle w:val="TextoNormalNegritaCaracter"/>
        </w:rPr>
        <w:t>Extinción del contrato en prácticas de una trabajadora ligada a su actuación sindical</w:t>
      </w:r>
      <w:bookmarkEnd w:id="1233"/>
      <w:r w:rsidRPr="000C3DF9">
        <w:rPr>
          <w:rStyle w:val="TextoNormalCaracter"/>
        </w:rPr>
        <w:t xml:space="preserve">, Sentencia </w:t>
      </w:r>
      <w:hyperlink w:anchor="SENTENCIA_2002_30" w:history="1">
        <w:r w:rsidRPr="000C3DF9">
          <w:rPr>
            <w:rStyle w:val="TextoNormalCaracter"/>
          </w:rPr>
          <w:t>30/2002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234" w:name="DESCRIPTORALFABETICO696"/>
      <w:r w:rsidRPr="000C3DF9">
        <w:rPr>
          <w:rStyle w:val="TextoNormalNegritaCaracter"/>
        </w:rPr>
        <w:t>Extradición</w:t>
      </w:r>
      <w:bookmarkEnd w:id="1234"/>
      <w:r w:rsidRPr="000C3DF9">
        <w:rPr>
          <w:rStyle w:val="TextoNormalCaracter"/>
        </w:rPr>
        <w:t xml:space="preserve">, Auto </w:t>
      </w:r>
      <w:hyperlink w:anchor="AUTO_2002_2" w:history="1">
        <w:r w:rsidRPr="000C3DF9">
          <w:rPr>
            <w:rStyle w:val="TextoNormalCaracter"/>
          </w:rPr>
          <w:t>2/2002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Extradición pasiva</w:t>
      </w:r>
      <w:r>
        <w:t xml:space="preserve"> véase </w:t>
      </w:r>
      <w:hyperlink w:anchor="DESCRIPTORALFABETICO696" w:history="1">
        <w:r w:rsidRPr="000C3DF9">
          <w:rPr>
            <w:rStyle w:val="TextoNormalNegritaCaracter"/>
          </w:rPr>
          <w:t>Extradición</w:t>
        </w:r>
      </w:hyperlink>
    </w:p>
    <w:p w:rsidR="000C3DF9" w:rsidRPr="000C3DF9" w:rsidRDefault="000C3DF9" w:rsidP="000C3DF9">
      <w:pPr>
        <w:pStyle w:val="TextoNormalSangraFrancesa"/>
        <w:rPr>
          <w:rStyle w:val="TextoNormalCaracter"/>
        </w:rPr>
      </w:pPr>
      <w:bookmarkStart w:id="1235" w:name="DESCRIPTORALFABETICO339"/>
      <w:r w:rsidRPr="000C3DF9">
        <w:rPr>
          <w:rStyle w:val="TextoNormalNegritaCaracter"/>
        </w:rPr>
        <w:t>Extranjería</w:t>
      </w:r>
      <w:bookmarkEnd w:id="1235"/>
      <w:r w:rsidRPr="000C3DF9">
        <w:rPr>
          <w:rStyle w:val="TextoNormalCaracter"/>
        </w:rPr>
        <w:t xml:space="preserve">, Auto </w:t>
      </w:r>
      <w:hyperlink w:anchor="AUTO_2002_64" w:history="1">
        <w:r w:rsidRPr="000C3DF9">
          <w:rPr>
            <w:rStyle w:val="TextoNormalCaracter"/>
          </w:rPr>
          <w:t>64/2002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Extranjeros</w:t>
      </w:r>
      <w:r>
        <w:t xml:space="preserve"> véase </w:t>
      </w:r>
      <w:hyperlink w:anchor="DESCRIPTORALFABETICO339" w:history="1">
        <w:r w:rsidRPr="000C3DF9">
          <w:rPr>
            <w:rStyle w:val="TextoNormalNegritaCaracter"/>
          </w:rPr>
          <w:t>Extranjería</w:t>
        </w:r>
      </w:hyperlink>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F</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NegritaCaracter"/>
        </w:rPr>
      </w:pPr>
      <w:r w:rsidRPr="000C3DF9">
        <w:rPr>
          <w:rStyle w:val="TextoNormalCursivaCaracter"/>
        </w:rPr>
        <w:t>Facultad sancionadora</w:t>
      </w:r>
      <w:r>
        <w:t xml:space="preserve"> véase </w:t>
      </w:r>
      <w:hyperlink w:anchor="DESCRIPTORALFABETICO286" w:history="1">
        <w:r w:rsidRPr="000C3DF9">
          <w:rPr>
            <w:rStyle w:val="TextoNormalNegritaCaracter"/>
          </w:rPr>
          <w:t>Potestad sancionadora</w:t>
        </w:r>
      </w:hyperlink>
    </w:p>
    <w:p w:rsidR="000C3DF9" w:rsidRPr="000C3DF9" w:rsidRDefault="000C3DF9" w:rsidP="000C3DF9">
      <w:pPr>
        <w:pStyle w:val="TextoNormalSangraFrancesa"/>
        <w:rPr>
          <w:rStyle w:val="TextoNormalCaracter"/>
        </w:rPr>
      </w:pPr>
      <w:bookmarkStart w:id="1236" w:name="DESCRIPTORALFABETICO264"/>
      <w:r w:rsidRPr="000C3DF9">
        <w:rPr>
          <w:rStyle w:val="TextoNormalNegritaCaracter"/>
        </w:rPr>
        <w:t>Falta de agotamiento de la vía judicial</w:t>
      </w:r>
      <w:bookmarkEnd w:id="1236"/>
      <w:r w:rsidRPr="000C3DF9">
        <w:rPr>
          <w:rStyle w:val="TextoNormalCaracter"/>
        </w:rPr>
        <w:t xml:space="preserve">, Sentencia </w:t>
      </w:r>
      <w:hyperlink w:anchor="SENTENCIA_2002_71" w:history="1">
        <w:r w:rsidRPr="000C3DF9">
          <w:rPr>
            <w:rStyle w:val="TextoNormalCaracter"/>
          </w:rPr>
          <w:t>71/2002</w:t>
        </w:r>
      </w:hyperlink>
      <w:r w:rsidRPr="000C3DF9">
        <w:rPr>
          <w:rStyle w:val="TextoNormalCaracter"/>
        </w:rPr>
        <w:t>, f. 7.</w:t>
      </w:r>
    </w:p>
    <w:p w:rsidR="000C3DF9" w:rsidRPr="000C3DF9" w:rsidRDefault="000C3DF9" w:rsidP="000C3DF9">
      <w:pPr>
        <w:pStyle w:val="TextoNormalSangraFrancesa"/>
        <w:rPr>
          <w:rStyle w:val="TextoNormalCaracter"/>
        </w:rPr>
      </w:pPr>
      <w:bookmarkStart w:id="1237" w:name="DESCRIPTORALFABETICO119"/>
      <w:r w:rsidRPr="000C3DF9">
        <w:rPr>
          <w:rStyle w:val="TextoNormalNegritaCaracter"/>
        </w:rPr>
        <w:t>Falta de denuncia de las dilaciones</w:t>
      </w:r>
      <w:bookmarkEnd w:id="1237"/>
      <w:r w:rsidRPr="000C3DF9">
        <w:rPr>
          <w:rStyle w:val="TextoNormalCaracter"/>
        </w:rPr>
        <w:t xml:space="preserve">, Sentencia </w:t>
      </w:r>
      <w:hyperlink w:anchor="SENTENCIA_2002_51" w:history="1">
        <w:r w:rsidRPr="000C3DF9">
          <w:rPr>
            <w:rStyle w:val="TextoNormalCaracter"/>
          </w:rPr>
          <w:t>51/2002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38" w:name="DESCRIPTORALFABETICO234"/>
      <w:r w:rsidRPr="000C3DF9">
        <w:rPr>
          <w:rStyle w:val="TextoNormalNegritaCaracter"/>
        </w:rPr>
        <w:t>Falta de invocación del derecho vulnerado</w:t>
      </w:r>
      <w:bookmarkEnd w:id="1238"/>
      <w:r w:rsidRPr="000C3DF9">
        <w:rPr>
          <w:rStyle w:val="TextoNormalCaracter"/>
        </w:rPr>
        <w:t xml:space="preserve">, Sentencia </w:t>
      </w:r>
      <w:hyperlink w:anchor="SENTENCIA_2002_3" w:history="1">
        <w:r w:rsidRPr="000C3DF9">
          <w:rPr>
            <w:rStyle w:val="TextoNormalCaracter"/>
          </w:rPr>
          <w:t>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39" w:name="DESCRIPTORALFABETICO583"/>
      <w:r w:rsidRPr="000C3DF9">
        <w:rPr>
          <w:rStyle w:val="TextoNormalNegritaCaracter"/>
        </w:rPr>
        <w:t>Falta de práctica de prueba</w:t>
      </w:r>
      <w:bookmarkEnd w:id="1239"/>
      <w:r w:rsidRPr="000C3DF9">
        <w:rPr>
          <w:rStyle w:val="TextoNormalCaracter"/>
        </w:rPr>
        <w:t xml:space="preserve">, Sentencia </w:t>
      </w:r>
      <w:hyperlink w:anchor="SENTENCIA_2002_81" w:history="1">
        <w:r w:rsidRPr="000C3DF9">
          <w:rPr>
            <w:rStyle w:val="TextoNormalCaracter"/>
          </w:rPr>
          <w:t>81/2002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240" w:name="DESCRIPTORALFABETICO584"/>
      <w:r w:rsidRPr="000C3DF9">
        <w:rPr>
          <w:rStyle w:val="TextoNormalNegritaCaracter"/>
        </w:rPr>
        <w:t>Falta de pronunciamiento a la proposición de prueba</w:t>
      </w:r>
      <w:bookmarkEnd w:id="1240"/>
      <w:r w:rsidRPr="000C3DF9">
        <w:rPr>
          <w:rStyle w:val="TextoNormalCaracter"/>
        </w:rPr>
        <w:t xml:space="preserve">, Sentencia </w:t>
      </w:r>
      <w:hyperlink w:anchor="SENTENCIA_2002_81" w:history="1">
        <w:r w:rsidRPr="000C3DF9">
          <w:rPr>
            <w:rStyle w:val="TextoNormalCaracter"/>
          </w:rPr>
          <w:t>81/2002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241" w:name="DESCRIPTORALFABETICO614"/>
      <w:r w:rsidRPr="000C3DF9">
        <w:rPr>
          <w:rStyle w:val="TextoNormalNegritaCaracter"/>
        </w:rPr>
        <w:t>Fianza</w:t>
      </w:r>
      <w:bookmarkEnd w:id="1241"/>
      <w:r w:rsidRPr="000C3DF9">
        <w:rPr>
          <w:rStyle w:val="TextoNormalCaracter"/>
        </w:rPr>
        <w:t xml:space="preserve">, Sentencia </w:t>
      </w:r>
      <w:hyperlink w:anchor="SENTENCIA_2002_45" w:history="1">
        <w:r w:rsidRPr="000C3DF9">
          <w:rPr>
            <w:rStyle w:val="TextoNormalCaracter"/>
          </w:rPr>
          <w:t>45/2002</w:t>
        </w:r>
      </w:hyperlink>
      <w:r w:rsidRPr="000C3DF9">
        <w:rPr>
          <w:rStyle w:val="TextoNormalCaracter"/>
        </w:rPr>
        <w:t>, ff. 2, 3, 4, 5.</w:t>
      </w:r>
    </w:p>
    <w:p w:rsidR="000C3DF9" w:rsidRPr="000C3DF9" w:rsidRDefault="000C3DF9" w:rsidP="000C3DF9">
      <w:pPr>
        <w:pStyle w:val="TextoNormalSangraFrancesa"/>
        <w:rPr>
          <w:rStyle w:val="TextoNormalCaracter"/>
        </w:rPr>
      </w:pPr>
      <w:bookmarkStart w:id="1242" w:name="DESCRIPTORALFABETICO615"/>
      <w:r w:rsidRPr="000C3DF9">
        <w:rPr>
          <w:rStyle w:val="TextoNormalNegritaCaracter"/>
        </w:rPr>
        <w:t>Fianza en el proceso civil</w:t>
      </w:r>
      <w:bookmarkEnd w:id="1242"/>
      <w:r w:rsidRPr="000C3DF9">
        <w:rPr>
          <w:rStyle w:val="TextoNormalCaracter"/>
        </w:rPr>
        <w:t xml:space="preserve">, Sentencia </w:t>
      </w:r>
      <w:hyperlink w:anchor="SENTENCIA_2002_45" w:history="1">
        <w:r w:rsidRPr="000C3DF9">
          <w:rPr>
            <w:rStyle w:val="TextoNormalCaracter"/>
          </w:rPr>
          <w:t>45/2002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43" w:name="DESCRIPTORALFABETICO238"/>
      <w:r w:rsidRPr="000C3DF9">
        <w:rPr>
          <w:rStyle w:val="TextoNormalNegritaCaracter"/>
        </w:rPr>
        <w:t>Fijación de la pretensión de amparo</w:t>
      </w:r>
      <w:bookmarkEnd w:id="1243"/>
      <w:r w:rsidRPr="000C3DF9">
        <w:rPr>
          <w:rStyle w:val="TextoNormalCaracter"/>
        </w:rPr>
        <w:t xml:space="preserve">, Sentencia </w:t>
      </w:r>
      <w:hyperlink w:anchor="SENTENCIA_2002_93" w:history="1">
        <w:r w:rsidRPr="000C3DF9">
          <w:rPr>
            <w:rStyle w:val="TextoNormalCaracter"/>
          </w:rPr>
          <w:t>93/2002</w:t>
        </w:r>
      </w:hyperlink>
      <w:r w:rsidRPr="000C3DF9">
        <w:rPr>
          <w:rStyle w:val="TextoNormalCaracter"/>
        </w:rPr>
        <w:t>, f. 1.</w:t>
      </w:r>
    </w:p>
    <w:p w:rsidR="000C3DF9" w:rsidRPr="000C3DF9" w:rsidRDefault="000C3DF9" w:rsidP="000C3DF9">
      <w:pPr>
        <w:pStyle w:val="TextoNormalSangraFrancesa"/>
        <w:rPr>
          <w:rStyle w:val="TextoNormalCaracter"/>
        </w:rPr>
      </w:pPr>
      <w:bookmarkStart w:id="1244" w:name="DESCRIPTORALFABETICO235"/>
      <w:r w:rsidRPr="000C3DF9">
        <w:rPr>
          <w:rStyle w:val="TextoNormalNegritaCaracter"/>
        </w:rPr>
        <w:t>Finalidad del requisito de invocación del derecho vulnerado</w:t>
      </w:r>
      <w:bookmarkEnd w:id="1244"/>
      <w:r w:rsidRPr="000C3DF9">
        <w:rPr>
          <w:rStyle w:val="TextoNormalCaracter"/>
        </w:rPr>
        <w:t xml:space="preserve">, Sentencia </w:t>
      </w:r>
      <w:hyperlink w:anchor="SENTENCIA_2002_60" w:history="1">
        <w:r w:rsidRPr="000C3DF9">
          <w:rPr>
            <w:rStyle w:val="TextoNormalCaracter"/>
          </w:rPr>
          <w:t>60/2002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45" w:name="DESCRIPTORALFABETICO236"/>
      <w:r w:rsidRPr="000C3DF9">
        <w:rPr>
          <w:rStyle w:val="TextoNormalNegritaCaracter"/>
        </w:rPr>
        <w:t>Flexibilidad del requisito de invocación del derecho vulnerado</w:t>
      </w:r>
      <w:bookmarkEnd w:id="1245"/>
      <w:r w:rsidRPr="000C3DF9">
        <w:rPr>
          <w:rStyle w:val="TextoNormalCaracter"/>
        </w:rPr>
        <w:t xml:space="preserve">, Sentencias </w:t>
      </w:r>
      <w:hyperlink w:anchor="SENTENCIA_2002_15" w:history="1">
        <w:r w:rsidRPr="000C3DF9">
          <w:rPr>
            <w:rStyle w:val="TextoNormalCaracter"/>
          </w:rPr>
          <w:t>15/2002</w:t>
        </w:r>
      </w:hyperlink>
      <w:r w:rsidRPr="000C3DF9">
        <w:rPr>
          <w:rStyle w:val="TextoNormalCaracter"/>
        </w:rPr>
        <w:t xml:space="preserve">, f. 2; </w:t>
      </w:r>
      <w:hyperlink w:anchor="SENTENCIA_2002_75" w:history="1">
        <w:r w:rsidRPr="000C3DF9">
          <w:rPr>
            <w:rStyle w:val="TextoNormalCaracter"/>
          </w:rPr>
          <w:t>75/2002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46" w:name="DESCRIPTORALFABETICO24"/>
      <w:r w:rsidRPr="000C3DF9">
        <w:rPr>
          <w:rStyle w:val="TextoNormalNegritaCaracter"/>
        </w:rPr>
        <w:t>Fondos de ámbito nacional</w:t>
      </w:r>
      <w:bookmarkEnd w:id="1246"/>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11, VP I, VP II, VP III, VP IV.</w:t>
      </w:r>
    </w:p>
    <w:p w:rsidR="000C3DF9" w:rsidRPr="000C3DF9" w:rsidRDefault="000C3DF9" w:rsidP="000C3DF9">
      <w:pPr>
        <w:pStyle w:val="TextoNormalSangraFrancesa"/>
        <w:rPr>
          <w:rStyle w:val="TextoNormalCaracter"/>
        </w:rPr>
      </w:pPr>
      <w:bookmarkStart w:id="1247" w:name="DESCRIPTORALFABETICO25"/>
      <w:r w:rsidRPr="000C3DF9">
        <w:rPr>
          <w:rStyle w:val="TextoNormalNegritaCaracter"/>
        </w:rPr>
        <w:t>Fondos de empleo</w:t>
      </w:r>
      <w:bookmarkEnd w:id="1247"/>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ff. 11 a 13, VP I, VP II, VP III, VP IV.</w:t>
      </w:r>
    </w:p>
    <w:p w:rsidR="000C3DF9" w:rsidRPr="000C3DF9" w:rsidRDefault="000C3DF9" w:rsidP="000C3DF9">
      <w:pPr>
        <w:pStyle w:val="TextoNormalSangraFrancesa"/>
        <w:rPr>
          <w:rStyle w:val="TextoNormalCaracter"/>
        </w:rPr>
      </w:pPr>
      <w:bookmarkStart w:id="1248" w:name="DESCRIPTORALFABETICO655"/>
      <w:r w:rsidRPr="000C3DF9">
        <w:rPr>
          <w:rStyle w:val="TextoNormalNegritaCaracter"/>
        </w:rPr>
        <w:t>Forma de la resolución judicial</w:t>
      </w:r>
      <w:bookmarkEnd w:id="1248"/>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2; </w:t>
      </w:r>
      <w:hyperlink w:anchor="SENTENCIA_2002_40" w:history="1">
        <w:r w:rsidRPr="000C3DF9">
          <w:rPr>
            <w:rStyle w:val="TextoNormalCaracter"/>
          </w:rPr>
          <w:t>40/2002</w:t>
        </w:r>
      </w:hyperlink>
      <w:r w:rsidRPr="000C3DF9">
        <w:rPr>
          <w:rStyle w:val="TextoNormalCaracter"/>
        </w:rPr>
        <w:t>, f. 5.</w:t>
      </w:r>
    </w:p>
    <w:p w:rsidR="000C3DF9" w:rsidRPr="000C3DF9" w:rsidRDefault="000C3DF9" w:rsidP="000C3DF9">
      <w:pPr>
        <w:pStyle w:val="TextoNormalSangraFrancesa"/>
        <w:rPr>
          <w:rStyle w:val="TextoNormalCaracter"/>
        </w:rPr>
      </w:pPr>
      <w:bookmarkStart w:id="1249" w:name="DESCRIPTORALFABETICO504"/>
      <w:r w:rsidRPr="000C3DF9">
        <w:rPr>
          <w:rStyle w:val="TextoNormalNegritaCaracter"/>
        </w:rPr>
        <w:t>Formación continua</w:t>
      </w:r>
      <w:bookmarkEnd w:id="1249"/>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ff. 1, 2, 3, 4, 5, 6, 7, 8, 9, 10, 11, 12, 13, 14, 15, 16, 17, 18, 19, 20, 21, 22.</w:t>
      </w:r>
    </w:p>
    <w:p w:rsidR="000C3DF9" w:rsidRPr="000C3DF9" w:rsidRDefault="000C3DF9" w:rsidP="000C3DF9">
      <w:pPr>
        <w:pStyle w:val="TextoNormalSangraFrancesa"/>
        <w:rPr>
          <w:rStyle w:val="TextoNormalCaracter"/>
        </w:rPr>
      </w:pPr>
      <w:bookmarkStart w:id="1250" w:name="DESCRIPTORALFABETICO374"/>
      <w:r w:rsidRPr="000C3DF9">
        <w:rPr>
          <w:rStyle w:val="TextoNormalNegritaCaracter"/>
        </w:rPr>
        <w:t>Formación profesional</w:t>
      </w:r>
      <w:bookmarkEnd w:id="1250"/>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ff. 6, 10, 11, 12, 13, 14, 15, 16, 17, 18, 19, 20.</w:t>
      </w:r>
    </w:p>
    <w:p w:rsidR="000C3DF9" w:rsidRPr="000C3DF9" w:rsidRDefault="000C3DF9" w:rsidP="000C3DF9">
      <w:pPr>
        <w:pStyle w:val="TextoNormalSangraFrancesa"/>
        <w:rPr>
          <w:rStyle w:val="TextoNormalCaracter"/>
        </w:rPr>
      </w:pPr>
      <w:r w:rsidRPr="000C3DF9">
        <w:rPr>
          <w:rStyle w:val="TextoNormalCursivaCaracter"/>
        </w:rPr>
        <w:t xml:space="preserve">    Concepto, </w:t>
      </w:r>
      <w:r w:rsidRPr="000C3DF9">
        <w:rPr>
          <w:rStyle w:val="TextoNormalCaracter"/>
        </w:rPr>
        <w:t xml:space="preserve">Sentencia </w:t>
      </w:r>
      <w:hyperlink w:anchor="SENTENCIA_2002_95" w:history="1">
        <w:r w:rsidRPr="000C3DF9">
          <w:rPr>
            <w:rStyle w:val="TextoNormalCaracter"/>
          </w:rPr>
          <w:t>95/2002</w:t>
        </w:r>
      </w:hyperlink>
      <w:r w:rsidRPr="000C3DF9">
        <w:rPr>
          <w:rStyle w:val="TextoNormalCaracter"/>
        </w:rPr>
        <w:t>, f. 6.</w:t>
      </w:r>
    </w:p>
    <w:p w:rsidR="000C3DF9" w:rsidRPr="000C3DF9" w:rsidRDefault="000C3DF9" w:rsidP="000C3DF9">
      <w:pPr>
        <w:pStyle w:val="TextoNormalSangraFrancesa"/>
        <w:rPr>
          <w:rStyle w:val="TextoNormalCaracter"/>
        </w:rPr>
      </w:pPr>
      <w:bookmarkStart w:id="1251" w:name="DESCRIPTORALFABETICO99"/>
      <w:r w:rsidRPr="000C3DF9">
        <w:rPr>
          <w:rStyle w:val="TextoNormalNegritaCaracter"/>
        </w:rPr>
        <w:t>Fórmulas estereotipadas</w:t>
      </w:r>
      <w:bookmarkEnd w:id="1251"/>
      <w:r w:rsidRPr="000C3DF9">
        <w:rPr>
          <w:rStyle w:val="TextoNormalCaracter"/>
        </w:rPr>
        <w:t xml:space="preserve">, Sentencia </w:t>
      </w:r>
      <w:hyperlink w:anchor="SENTENCIA_2002_8" w:history="1">
        <w:r w:rsidRPr="000C3DF9">
          <w:rPr>
            <w:rStyle w:val="TextoNormalCaracter"/>
          </w:rPr>
          <w:t>8/2002</w:t>
        </w:r>
      </w:hyperlink>
      <w:r w:rsidRPr="000C3DF9">
        <w:rPr>
          <w:rStyle w:val="TextoNormalCaracter"/>
        </w:rPr>
        <w:t>, f. 5.</w:t>
      </w:r>
    </w:p>
    <w:p w:rsidR="000C3DF9" w:rsidRPr="000C3DF9" w:rsidRDefault="000C3DF9" w:rsidP="000C3DF9">
      <w:pPr>
        <w:pStyle w:val="TextoNormalSangraFrancesa"/>
        <w:rPr>
          <w:rStyle w:val="TextoNormalCaracter"/>
        </w:rPr>
      </w:pPr>
      <w:bookmarkStart w:id="1252" w:name="DESCRIPTORALFABETICO400"/>
      <w:r w:rsidRPr="000C3DF9">
        <w:rPr>
          <w:rStyle w:val="TextoNormalNegritaCaracter"/>
        </w:rPr>
        <w:t>Fuentes policiales</w:t>
      </w:r>
      <w:bookmarkEnd w:id="1252"/>
      <w:r w:rsidRPr="000C3DF9">
        <w:rPr>
          <w:rStyle w:val="TextoNormalCaracter"/>
        </w:rPr>
        <w:t xml:space="preserve">, Sentencia </w:t>
      </w:r>
      <w:hyperlink w:anchor="SENTENCIA_2002_52" w:history="1">
        <w:r w:rsidRPr="000C3DF9">
          <w:rPr>
            <w:rStyle w:val="TextoNormalCaracter"/>
          </w:rPr>
          <w:t>52/2002</w:t>
        </w:r>
      </w:hyperlink>
      <w:r w:rsidRPr="000C3DF9">
        <w:rPr>
          <w:rStyle w:val="TextoNormalCaracter"/>
        </w:rPr>
        <w:t>, f. 7.</w:t>
      </w:r>
    </w:p>
    <w:p w:rsidR="000C3DF9" w:rsidRPr="000C3DF9" w:rsidRDefault="000C3DF9" w:rsidP="000C3DF9">
      <w:pPr>
        <w:pStyle w:val="TextoNormalSangraFrancesa"/>
        <w:rPr>
          <w:rStyle w:val="TextoNormalCaracter"/>
        </w:rPr>
      </w:pPr>
      <w:bookmarkStart w:id="1253" w:name="DESCRIPTORALFABETICO388"/>
      <w:r w:rsidRPr="000C3DF9">
        <w:rPr>
          <w:rStyle w:val="TextoNormalNegritaCaracter"/>
        </w:rPr>
        <w:t>Función pública</w:t>
      </w:r>
      <w:bookmarkEnd w:id="1253"/>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 4, VP.</w:t>
      </w:r>
    </w:p>
    <w:p w:rsidR="000C3DF9" w:rsidRPr="000C3DF9" w:rsidRDefault="000C3DF9" w:rsidP="000C3DF9">
      <w:pPr>
        <w:pStyle w:val="TextoNormalSangraFrancesa"/>
        <w:rPr>
          <w:rStyle w:val="TextoNormalCaracter"/>
        </w:rPr>
      </w:pPr>
      <w:bookmarkStart w:id="1254" w:name="DESCRIPTORALFABETICO642"/>
      <w:r w:rsidRPr="000C3DF9">
        <w:rPr>
          <w:rStyle w:val="TextoNormalNegritaCaracter"/>
        </w:rPr>
        <w:t>Función revisora del recurso de apelación</w:t>
      </w:r>
      <w:bookmarkEnd w:id="1254"/>
      <w:r w:rsidRPr="000C3DF9">
        <w:rPr>
          <w:rStyle w:val="TextoNormalCaracter"/>
        </w:rPr>
        <w:t xml:space="preserve">, Sentencia </w:t>
      </w:r>
      <w:hyperlink w:anchor="SENTENCIA_2002_47" w:history="1">
        <w:r w:rsidRPr="000C3DF9">
          <w:rPr>
            <w:rStyle w:val="TextoNormalCaracter"/>
          </w:rPr>
          <w:t>47/2002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55" w:name="DESCRIPTORALFABETICO299"/>
      <w:r w:rsidRPr="000C3DF9">
        <w:rPr>
          <w:rStyle w:val="TextoNormalNegritaCaracter"/>
        </w:rPr>
        <w:t>Función tutelar</w:t>
      </w:r>
      <w:bookmarkEnd w:id="1255"/>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256" w:name="DESCRIPTORALFABETICO391"/>
      <w:r w:rsidRPr="000C3DF9">
        <w:rPr>
          <w:rStyle w:val="TextoNormalNegritaCaracter"/>
        </w:rPr>
        <w:t>Funcionarios de la Administración local</w:t>
      </w:r>
      <w:bookmarkEnd w:id="1256"/>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ff. 5, 8.</w:t>
      </w:r>
    </w:p>
    <w:p w:rsidR="000C3DF9" w:rsidRPr="000C3DF9" w:rsidRDefault="000C3DF9" w:rsidP="000C3DF9">
      <w:pPr>
        <w:pStyle w:val="TextoNormalSangraFrancesa"/>
        <w:rPr>
          <w:rStyle w:val="TextoNormalCaracter"/>
        </w:rPr>
      </w:pPr>
      <w:bookmarkStart w:id="1257" w:name="DESCRIPTORALFABETICO390"/>
      <w:r w:rsidRPr="000C3DF9">
        <w:rPr>
          <w:rStyle w:val="TextoNormalNegritaCaracter"/>
        </w:rPr>
        <w:t>Funcionarios públicos</w:t>
      </w:r>
      <w:bookmarkEnd w:id="1257"/>
      <w:r w:rsidRPr="000C3DF9">
        <w:rPr>
          <w:rStyle w:val="TextoNormalCaracter"/>
        </w:rPr>
        <w:t xml:space="preserve">, Sentencias </w:t>
      </w:r>
      <w:hyperlink w:anchor="SENTENCIA_2002_37" w:history="1">
        <w:r w:rsidRPr="000C3DF9">
          <w:rPr>
            <w:rStyle w:val="TextoNormalCaracter"/>
          </w:rPr>
          <w:t>37/2002</w:t>
        </w:r>
      </w:hyperlink>
      <w:r w:rsidRPr="000C3DF9">
        <w:rPr>
          <w:rStyle w:val="TextoNormalCaracter"/>
        </w:rPr>
        <w:t xml:space="preserve">, ff. 9, 10; </w:t>
      </w:r>
      <w:hyperlink w:anchor="SENTENCIA_2002_67" w:history="1">
        <w:r w:rsidRPr="000C3DF9">
          <w:rPr>
            <w:rStyle w:val="TextoNormalCaracter"/>
          </w:rPr>
          <w:t>67/2002</w:t>
        </w:r>
      </w:hyperlink>
      <w:r w:rsidRPr="000C3DF9">
        <w:rPr>
          <w:rStyle w:val="TextoNormalCaracter"/>
        </w:rPr>
        <w:t>, f. 4, VP.</w:t>
      </w:r>
    </w:p>
    <w:p w:rsidR="000C3DF9" w:rsidRPr="000C3DF9" w:rsidRDefault="000C3DF9" w:rsidP="000C3DF9">
      <w:pPr>
        <w:pStyle w:val="TextoNormalSangraFrancesa"/>
        <w:rPr>
          <w:rStyle w:val="TextoNormalCaracter"/>
        </w:rPr>
      </w:pPr>
      <w:bookmarkStart w:id="1258" w:name="DESCRIPTORALFABETICO231"/>
      <w:r w:rsidRPr="000C3DF9">
        <w:rPr>
          <w:rStyle w:val="TextoNormalNegritaCaracter"/>
        </w:rPr>
        <w:t>Fundamentación de la demanda de amparo</w:t>
      </w:r>
      <w:bookmarkEnd w:id="1258"/>
      <w:r w:rsidRPr="000C3DF9">
        <w:rPr>
          <w:rStyle w:val="TextoNormalCaracter"/>
        </w:rPr>
        <w:t xml:space="preserve">, Sentencias </w:t>
      </w:r>
      <w:hyperlink w:anchor="SENTENCIA_2002_5" w:history="1">
        <w:r w:rsidRPr="000C3DF9">
          <w:rPr>
            <w:rStyle w:val="TextoNormalCaracter"/>
          </w:rPr>
          <w:t>5/2002</w:t>
        </w:r>
      </w:hyperlink>
      <w:r w:rsidRPr="000C3DF9">
        <w:rPr>
          <w:rStyle w:val="TextoNormalCaracter"/>
        </w:rPr>
        <w:t xml:space="preserve">, f. 1; </w:t>
      </w:r>
      <w:hyperlink w:anchor="SENTENCIA_2002_40" w:history="1">
        <w:r w:rsidRPr="000C3DF9">
          <w:rPr>
            <w:rStyle w:val="TextoNormalCaracter"/>
          </w:rPr>
          <w:t>40/2002</w:t>
        </w:r>
      </w:hyperlink>
      <w:r w:rsidRPr="000C3DF9">
        <w:rPr>
          <w:rStyle w:val="TextoNormalCaracter"/>
        </w:rPr>
        <w:t xml:space="preserve">, f. 6; </w:t>
      </w:r>
      <w:hyperlink w:anchor="SENTENCIA_2002_64" w:history="1">
        <w:r w:rsidRPr="000C3DF9">
          <w:rPr>
            <w:rStyle w:val="TextoNormalCaracter"/>
          </w:rPr>
          <w:t>64/2002</w:t>
        </w:r>
      </w:hyperlink>
      <w:r w:rsidRPr="000C3DF9">
        <w:rPr>
          <w:rStyle w:val="TextoNormalCaracter"/>
        </w:rPr>
        <w:t xml:space="preserve">, f. 8; </w:t>
      </w:r>
      <w:hyperlink w:anchor="SENTENCIA_2002_79" w:history="1">
        <w:r w:rsidRPr="000C3DF9">
          <w:rPr>
            <w:rStyle w:val="TextoNormalCaracter"/>
          </w:rPr>
          <w:t>79/2002</w:t>
        </w:r>
      </w:hyperlink>
      <w:r w:rsidRPr="000C3DF9">
        <w:rPr>
          <w:rStyle w:val="TextoNormalCaracter"/>
        </w:rPr>
        <w:t xml:space="preserve">, f. 3; </w:t>
      </w:r>
      <w:hyperlink w:anchor="SENTENCIA_2002_93" w:history="1">
        <w:r w:rsidRPr="000C3DF9">
          <w:rPr>
            <w:rStyle w:val="TextoNormalCaracter"/>
          </w:rPr>
          <w:t>93/2002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lastRenderedPageBreak/>
        <w:t xml:space="preserve">    Autos </w:t>
      </w:r>
      <w:hyperlink w:anchor="AUTO_2002_9" w:history="1">
        <w:r w:rsidRPr="000C3DF9">
          <w:rPr>
            <w:rStyle w:val="TextoNormalCaracter"/>
          </w:rPr>
          <w:t>9/2002</w:t>
        </w:r>
      </w:hyperlink>
      <w:r w:rsidRPr="000C3DF9">
        <w:rPr>
          <w:rStyle w:val="TextoNormalCaracter"/>
        </w:rPr>
        <w:t xml:space="preserve">; </w:t>
      </w:r>
      <w:hyperlink w:anchor="AUTO_2002_11" w:history="1">
        <w:r w:rsidRPr="000C3DF9">
          <w:rPr>
            <w:rStyle w:val="TextoNormalCaracter"/>
          </w:rPr>
          <w:t>11/2002</w:t>
        </w:r>
      </w:hyperlink>
      <w:r w:rsidRPr="000C3DF9">
        <w:rPr>
          <w:rStyle w:val="TextoNormalCaracter"/>
        </w:rPr>
        <w:t>.</w:t>
      </w:r>
    </w:p>
    <w:p w:rsidR="000C3DF9" w:rsidRPr="000C3DF9" w:rsidRDefault="000C3DF9" w:rsidP="000C3DF9">
      <w:pPr>
        <w:pStyle w:val="TextoNormalSangraFrancesa"/>
        <w:rPr>
          <w:rStyle w:val="TextoNormalCaracter"/>
        </w:rPr>
      </w:pPr>
      <w:bookmarkStart w:id="1259" w:name="DESCRIPTORALFABETICO224"/>
      <w:r w:rsidRPr="000C3DF9">
        <w:rPr>
          <w:rStyle w:val="TextoNormalNegritaCaracter"/>
        </w:rPr>
        <w:t>Fundamentación de la demanda de inconstitucionalidad</w:t>
      </w:r>
      <w:bookmarkEnd w:id="1259"/>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4.</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G</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NegritaCaracter"/>
        </w:rPr>
      </w:pPr>
      <w:r w:rsidRPr="000C3DF9">
        <w:rPr>
          <w:rStyle w:val="TextoNormalCursivaCaracter"/>
        </w:rPr>
        <w:t>Garantía indemnizatoria</w:t>
      </w:r>
      <w:r>
        <w:t xml:space="preserve"> véase </w:t>
      </w:r>
      <w:hyperlink w:anchor="DESCRIPTORALFABETICO494" w:history="1">
        <w:r w:rsidRPr="000C3DF9">
          <w:rPr>
            <w:rStyle w:val="TextoNormalNegritaCaracter"/>
          </w:rPr>
          <w:t>Indemnización</w:t>
        </w:r>
      </w:hyperlink>
    </w:p>
    <w:p w:rsidR="000C3DF9" w:rsidRPr="000C3DF9" w:rsidRDefault="000C3DF9" w:rsidP="000C3DF9">
      <w:pPr>
        <w:pStyle w:val="TextoNormalSangraFrancesa"/>
        <w:rPr>
          <w:rStyle w:val="TextoNormalCaracter"/>
        </w:rPr>
      </w:pPr>
      <w:bookmarkStart w:id="1260" w:name="DESCRIPTORALFABETICO337"/>
      <w:r w:rsidRPr="000C3DF9">
        <w:rPr>
          <w:rStyle w:val="TextoNormalNegritaCaracter"/>
        </w:rPr>
        <w:t>Garantías constitucionales</w:t>
      </w:r>
      <w:bookmarkEnd w:id="1260"/>
      <w:r w:rsidRPr="000C3DF9">
        <w:rPr>
          <w:rStyle w:val="TextoNormalCaracter"/>
        </w:rPr>
        <w:t xml:space="preserve">, Sentencias </w:t>
      </w:r>
      <w:hyperlink w:anchor="SENTENCIA_2002_10" w:history="1">
        <w:r w:rsidRPr="000C3DF9">
          <w:rPr>
            <w:rStyle w:val="TextoNormalCaracter"/>
          </w:rPr>
          <w:t>10/2002</w:t>
        </w:r>
      </w:hyperlink>
      <w:r w:rsidRPr="000C3DF9">
        <w:rPr>
          <w:rStyle w:val="TextoNormalCaracter"/>
        </w:rPr>
        <w:t xml:space="preserve">, f. 5; </w:t>
      </w:r>
      <w:hyperlink w:anchor="SENTENCIA_2002_84" w:history="1">
        <w:r w:rsidRPr="000C3DF9">
          <w:rPr>
            <w:rStyle w:val="TextoNormalCaracter"/>
          </w:rPr>
          <w:t>84/2002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61" w:name="DESCRIPTORALFABETICO188"/>
      <w:r w:rsidRPr="000C3DF9">
        <w:rPr>
          <w:rStyle w:val="TextoNormalNegritaCaracter"/>
        </w:rPr>
        <w:t>Gravedad de la pena</w:t>
      </w:r>
      <w:bookmarkEnd w:id="1261"/>
      <w:r w:rsidRPr="000C3DF9">
        <w:rPr>
          <w:rStyle w:val="TextoNormalCaracter"/>
        </w:rPr>
        <w:t xml:space="preserve">, Auto </w:t>
      </w:r>
      <w:hyperlink w:anchor="AUTO_2002_69" w:history="1">
        <w:r w:rsidRPr="000C3DF9">
          <w:rPr>
            <w:rStyle w:val="TextoNormalCaracter"/>
          </w:rPr>
          <w:t>69/2002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H</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262" w:name="DESCRIPTORALFABETICO72"/>
      <w:r w:rsidRPr="000C3DF9">
        <w:rPr>
          <w:rStyle w:val="TextoNormalNegritaCaracter"/>
          <w:i/>
        </w:rPr>
        <w:t>Habeas corpus</w:t>
      </w:r>
      <w:bookmarkEnd w:id="1262"/>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11.</w:t>
      </w:r>
    </w:p>
    <w:p w:rsidR="000C3DF9" w:rsidRPr="000C3DF9" w:rsidRDefault="000C3DF9" w:rsidP="000C3DF9">
      <w:pPr>
        <w:pStyle w:val="TextoNormalSangraFrancesa"/>
        <w:rPr>
          <w:rStyle w:val="TextoNormalCaracter"/>
        </w:rPr>
      </w:pPr>
      <w:bookmarkStart w:id="1263" w:name="DESCRIPTORALFABETICO627"/>
      <w:r w:rsidRPr="000C3DF9">
        <w:rPr>
          <w:rStyle w:val="TextoNormalNegritaCaracter"/>
        </w:rPr>
        <w:t>Habilitación de abogado</w:t>
      </w:r>
      <w:bookmarkEnd w:id="1263"/>
      <w:r w:rsidRPr="000C3DF9">
        <w:rPr>
          <w:rStyle w:val="TextoNormalCaracter"/>
        </w:rPr>
        <w:t xml:space="preserve">, Sentencia </w:t>
      </w:r>
      <w:hyperlink w:anchor="SENTENCIA_2002_40" w:history="1">
        <w:r w:rsidRPr="000C3DF9">
          <w:rPr>
            <w:rStyle w:val="TextoNormalCaracter"/>
          </w:rPr>
          <w:t>40/2002</w:t>
        </w:r>
      </w:hyperlink>
      <w:r w:rsidRPr="000C3DF9">
        <w:rPr>
          <w:rStyle w:val="TextoNormalCaracter"/>
        </w:rPr>
        <w:t>, f. 6.</w:t>
      </w:r>
    </w:p>
    <w:p w:rsidR="000C3DF9" w:rsidRPr="000C3DF9" w:rsidRDefault="000C3DF9" w:rsidP="000C3DF9">
      <w:pPr>
        <w:pStyle w:val="TextoNormalSangraFrancesa"/>
        <w:rPr>
          <w:rStyle w:val="TextoNormalCaracter"/>
        </w:rPr>
      </w:pPr>
      <w:bookmarkStart w:id="1264" w:name="DESCRIPTORALFABETICO70"/>
      <w:r w:rsidRPr="000C3DF9">
        <w:rPr>
          <w:rStyle w:val="TextoNormalNegritaCaracter"/>
        </w:rPr>
        <w:t>Habitaciones de hotel</w:t>
      </w:r>
      <w:bookmarkEnd w:id="1264"/>
      <w:r w:rsidRPr="000C3DF9">
        <w:rPr>
          <w:rStyle w:val="TextoNormalCaracter"/>
        </w:rPr>
        <w:t xml:space="preserve">, Sentencia </w:t>
      </w:r>
      <w:hyperlink w:anchor="SENTENCIA_2002_10" w:history="1">
        <w:r w:rsidRPr="000C3DF9">
          <w:rPr>
            <w:rStyle w:val="TextoNormalCaracter"/>
          </w:rPr>
          <w:t>10/2002</w:t>
        </w:r>
      </w:hyperlink>
      <w:r w:rsidRPr="000C3DF9">
        <w:rPr>
          <w:rStyle w:val="TextoNormalCaracter"/>
        </w:rPr>
        <w:t>, ff. 8, 10.</w:t>
      </w:r>
    </w:p>
    <w:p w:rsidR="000C3DF9" w:rsidRPr="000C3DF9" w:rsidRDefault="000C3DF9" w:rsidP="000C3DF9">
      <w:pPr>
        <w:pStyle w:val="TextoNormalSangraFrancesa"/>
        <w:rPr>
          <w:rStyle w:val="TextoNormalCaracter"/>
        </w:rPr>
      </w:pPr>
      <w:bookmarkStart w:id="1265" w:name="DESCRIPTORALFABETICO28"/>
      <w:r w:rsidRPr="000C3DF9">
        <w:rPr>
          <w:rStyle w:val="TextoNormalNegritaCaracter"/>
        </w:rPr>
        <w:t>Hacienda autonómica</w:t>
      </w:r>
      <w:bookmarkEnd w:id="1265"/>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66" w:name="DESCRIPTORALFABETICO29"/>
      <w:r w:rsidRPr="000C3DF9">
        <w:rPr>
          <w:rStyle w:val="TextoNormalNegritaCaracter"/>
        </w:rPr>
        <w:t>Hacienda general</w:t>
      </w:r>
      <w:bookmarkEnd w:id="1266"/>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 5.</w:t>
      </w:r>
    </w:p>
    <w:p w:rsidR="000C3DF9" w:rsidRPr="000C3DF9" w:rsidRDefault="000C3DF9" w:rsidP="000C3DF9">
      <w:pPr>
        <w:pStyle w:val="TextoNormalSangraFrancesa"/>
        <w:rPr>
          <w:rStyle w:val="TextoNormalCaracter"/>
        </w:rPr>
      </w:pPr>
      <w:bookmarkStart w:id="1267" w:name="DESCRIPTORALFABETICO586"/>
      <w:r w:rsidRPr="000C3DF9">
        <w:rPr>
          <w:rStyle w:val="TextoNormalNegritaCaracter"/>
        </w:rPr>
        <w:t>Hechos probados</w:t>
      </w:r>
      <w:bookmarkEnd w:id="1267"/>
      <w:r w:rsidRPr="000C3DF9">
        <w:rPr>
          <w:rStyle w:val="TextoNormalCaracter"/>
        </w:rPr>
        <w:t xml:space="preserve">, Sentencia </w:t>
      </w:r>
      <w:hyperlink w:anchor="SENTENCIA_2002_50" w:history="1">
        <w:r w:rsidRPr="000C3DF9">
          <w:rPr>
            <w:rStyle w:val="TextoNormalCaracter"/>
          </w:rPr>
          <w:t>50/2002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68" w:name="DESCRIPTORALFABETICO380"/>
      <w:r w:rsidRPr="000C3DF9">
        <w:rPr>
          <w:rStyle w:val="TextoNormalNegritaCaracter"/>
        </w:rPr>
        <w:t>Homologación de títulos universitarios</w:t>
      </w:r>
      <w:bookmarkEnd w:id="1268"/>
      <w:r w:rsidRPr="000C3DF9">
        <w:rPr>
          <w:rStyle w:val="TextoNormalCaracter"/>
        </w:rPr>
        <w:t xml:space="preserve">, Auto </w:t>
      </w:r>
      <w:hyperlink w:anchor="AUTO_2002_46" w:history="1">
        <w:r w:rsidRPr="000C3DF9">
          <w:rPr>
            <w:rStyle w:val="TextoNormalCaracter"/>
          </w:rPr>
          <w:t>46/2002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I</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269" w:name="DESCRIPTORALFABETICO115"/>
      <w:r w:rsidRPr="000C3DF9">
        <w:rPr>
          <w:rStyle w:val="TextoNormalNegritaCaracter"/>
        </w:rPr>
        <w:t>Identidad del hecho punible</w:t>
      </w:r>
      <w:bookmarkEnd w:id="1269"/>
      <w:r w:rsidRPr="000C3DF9">
        <w:rPr>
          <w:rStyle w:val="TextoNormalCaracter"/>
        </w:rPr>
        <w:t xml:space="preserve">, Sentencia </w:t>
      </w:r>
      <w:hyperlink w:anchor="SENTENCIA_2002_4" w:history="1">
        <w:r w:rsidRPr="000C3DF9">
          <w:rPr>
            <w:rStyle w:val="TextoNormalCaracter"/>
          </w:rPr>
          <w:t>4/2002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70" w:name="DESCRIPTORALFABETICO476"/>
      <w:r w:rsidRPr="000C3DF9">
        <w:rPr>
          <w:rStyle w:val="TextoNormalNegritaCaracter"/>
        </w:rPr>
        <w:t>Identificación del autor</w:t>
      </w:r>
      <w:bookmarkEnd w:id="1270"/>
      <w:r w:rsidRPr="000C3DF9">
        <w:rPr>
          <w:rStyle w:val="TextoNormalCaracter"/>
        </w:rPr>
        <w:t xml:space="preserve">, Auto </w:t>
      </w:r>
      <w:hyperlink w:anchor="AUTO_2002_56" w:history="1">
        <w:r w:rsidRPr="000C3DF9">
          <w:rPr>
            <w:rStyle w:val="TextoNormalCaracter"/>
          </w:rPr>
          <w:t>56/2002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Igualdad básica de los españoles</w:t>
      </w:r>
      <w:r>
        <w:t xml:space="preserve"> véase </w:t>
      </w:r>
      <w:hyperlink w:anchor="DESCRIPTORALFABETICO20" w:history="1">
        <w:r w:rsidRPr="000C3DF9">
          <w:rPr>
            <w:rStyle w:val="TextoNormalNegritaCaracter"/>
          </w:rPr>
          <w:t>Competencias en materia de regulación de condiciones básicas de igualdad</w:t>
        </w:r>
      </w:hyperlink>
    </w:p>
    <w:p w:rsidR="000C3DF9" w:rsidRPr="000C3DF9" w:rsidRDefault="000C3DF9" w:rsidP="000C3DF9">
      <w:pPr>
        <w:pStyle w:val="TextoNormalSangraFrancesa"/>
        <w:rPr>
          <w:rStyle w:val="TextoNormalCaracter"/>
        </w:rPr>
      </w:pPr>
      <w:bookmarkStart w:id="1271" w:name="DESCRIPTORALFABETICO323"/>
      <w:r w:rsidRPr="000C3DF9">
        <w:rPr>
          <w:rStyle w:val="TextoNormalNegritaCaracter"/>
        </w:rPr>
        <w:t>Igualdad de los cónyuges</w:t>
      </w:r>
      <w:bookmarkEnd w:id="1271"/>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5.</w:t>
      </w:r>
    </w:p>
    <w:p w:rsidR="000C3DF9" w:rsidRPr="000C3DF9" w:rsidRDefault="000C3DF9" w:rsidP="000C3DF9">
      <w:pPr>
        <w:pStyle w:val="TextoNormalSangraFrancesa"/>
        <w:rPr>
          <w:rStyle w:val="TextoNormalCaracter"/>
        </w:rPr>
      </w:pPr>
      <w:bookmarkStart w:id="1272" w:name="DESCRIPTORALFABETICO52"/>
      <w:r w:rsidRPr="000C3DF9">
        <w:rPr>
          <w:rStyle w:val="TextoNormalNegritaCaracter"/>
        </w:rPr>
        <w:t>Igualdad en el acceso a los cargos públicos</w:t>
      </w:r>
      <w:bookmarkEnd w:id="1272"/>
      <w:r w:rsidRPr="000C3DF9">
        <w:rPr>
          <w:rStyle w:val="TextoNormalCaracter"/>
        </w:rPr>
        <w:t xml:space="preserve">, Sentencia </w:t>
      </w:r>
      <w:hyperlink w:anchor="SENTENCIA_2002_64" w:history="1">
        <w:r w:rsidRPr="000C3DF9">
          <w:rPr>
            <w:rStyle w:val="TextoNormalCaracter"/>
          </w:rPr>
          <w:t>64/2002</w:t>
        </w:r>
      </w:hyperlink>
      <w:r w:rsidRPr="000C3DF9">
        <w:rPr>
          <w:rStyle w:val="TextoNormalCaracter"/>
        </w:rPr>
        <w:t>, f. 8.</w:t>
      </w:r>
    </w:p>
    <w:p w:rsidR="000C3DF9" w:rsidRPr="000C3DF9" w:rsidRDefault="000C3DF9" w:rsidP="000C3DF9">
      <w:pPr>
        <w:pStyle w:val="TextoNormalSangraFrancesa"/>
        <w:rPr>
          <w:rStyle w:val="TextoNormalCaracter"/>
        </w:rPr>
      </w:pPr>
      <w:bookmarkStart w:id="1273" w:name="DESCRIPTORALFABETICO56"/>
      <w:r w:rsidRPr="000C3DF9">
        <w:rPr>
          <w:rStyle w:val="TextoNormalNegritaCaracter"/>
        </w:rPr>
        <w:t>Igualdad en la aplicación de la ley</w:t>
      </w:r>
      <w:bookmarkEnd w:id="1273"/>
      <w:r w:rsidRPr="000C3DF9">
        <w:rPr>
          <w:rStyle w:val="TextoNormalCaracter"/>
        </w:rPr>
        <w:t xml:space="preserve">, Sentencia </w:t>
      </w:r>
      <w:hyperlink w:anchor="SENTENCIA_2002_33" w:history="1">
        <w:r w:rsidRPr="000C3DF9">
          <w:rPr>
            <w:rStyle w:val="TextoNormalCaracter"/>
          </w:rPr>
          <w:t>33/2002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74" w:history="1">
        <w:r w:rsidRPr="000C3DF9">
          <w:rPr>
            <w:rStyle w:val="TextoNormalCaracter"/>
          </w:rPr>
          <w:t>74/2002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Vulnerada, </w:t>
      </w:r>
      <w:r w:rsidRPr="000C3DF9">
        <w:rPr>
          <w:rStyle w:val="TextoNormalCaracter"/>
        </w:rPr>
        <w:t xml:space="preserve">Sentencia </w:t>
      </w:r>
      <w:hyperlink w:anchor="SENTENCIA_2002_74" w:history="1">
        <w:r w:rsidRPr="000C3DF9">
          <w:rPr>
            <w:rStyle w:val="TextoNormalCaracter"/>
          </w:rPr>
          <w:t>74/2002</w:t>
        </w:r>
      </w:hyperlink>
      <w:r w:rsidRPr="000C3DF9">
        <w:rPr>
          <w:rStyle w:val="TextoNormalCaracter"/>
        </w:rPr>
        <w:t>, ff. 4 a 7.</w:t>
      </w:r>
    </w:p>
    <w:p w:rsidR="000C3DF9" w:rsidRPr="000C3DF9" w:rsidRDefault="000C3DF9" w:rsidP="000C3DF9">
      <w:pPr>
        <w:pStyle w:val="TextoNormalSangraFrancesa"/>
        <w:rPr>
          <w:rStyle w:val="TextoNormalCaracter"/>
        </w:rPr>
      </w:pPr>
      <w:bookmarkStart w:id="1274" w:name="DESCRIPTORALFABETICO58"/>
      <w:r w:rsidRPr="000C3DF9">
        <w:rPr>
          <w:rStyle w:val="TextoNormalNegritaCaracter"/>
        </w:rPr>
        <w:t>Igualdad en la ley</w:t>
      </w:r>
      <w:bookmarkEnd w:id="1274"/>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7.</w:t>
      </w:r>
    </w:p>
    <w:p w:rsidR="000C3DF9" w:rsidRPr="000C3DF9" w:rsidRDefault="000C3DF9" w:rsidP="000C3DF9">
      <w:pPr>
        <w:pStyle w:val="TextoNormalSangraFrancesa"/>
        <w:rPr>
          <w:rStyle w:val="TextoNormalCaracter"/>
        </w:rPr>
      </w:pPr>
      <w:r w:rsidRPr="000C3DF9">
        <w:rPr>
          <w:rStyle w:val="TextoNormalCursivaCaracter"/>
        </w:rPr>
        <w:t xml:space="preserve">    Respetada, </w:t>
      </w:r>
      <w:r w:rsidRPr="000C3DF9">
        <w:rPr>
          <w:rStyle w:val="TextoNormalCaracter"/>
        </w:rPr>
        <w:t xml:space="preserve">Sentencias </w:t>
      </w:r>
      <w:hyperlink w:anchor="SENTENCIA_2002_9" w:history="1">
        <w:r w:rsidRPr="000C3DF9">
          <w:rPr>
            <w:rStyle w:val="TextoNormalCaracter"/>
          </w:rPr>
          <w:t>9/2002</w:t>
        </w:r>
      </w:hyperlink>
      <w:r w:rsidRPr="000C3DF9">
        <w:rPr>
          <w:rStyle w:val="TextoNormalCaracter"/>
        </w:rPr>
        <w:t xml:space="preserve">, f. 3; </w:t>
      </w:r>
      <w:hyperlink w:anchor="SENTENCIA_2002_49" w:history="1">
        <w:r w:rsidRPr="000C3DF9">
          <w:rPr>
            <w:rStyle w:val="TextoNormalCaracter"/>
          </w:rPr>
          <w:t>49/2002</w:t>
        </w:r>
      </w:hyperlink>
      <w:r w:rsidRPr="000C3DF9">
        <w:rPr>
          <w:rStyle w:val="TextoNormalCaracter"/>
        </w:rPr>
        <w:t>, f. 2.</w:t>
      </w:r>
    </w:p>
    <w:p w:rsidR="000C3DF9" w:rsidRPr="000C3DF9" w:rsidRDefault="000C3DF9" w:rsidP="000C3DF9">
      <w:pPr>
        <w:pStyle w:val="TextoNormalSangraFrancesa"/>
        <w:rPr>
          <w:rStyle w:val="TextoNormalNegritaCaracter"/>
        </w:rPr>
      </w:pPr>
      <w:r w:rsidRPr="000C3DF9">
        <w:rPr>
          <w:rStyle w:val="TextoNormalCursivaCaracter"/>
        </w:rPr>
        <w:t>Igualdad en materia tributaria</w:t>
      </w:r>
      <w:r>
        <w:t xml:space="preserve"> véase </w:t>
      </w:r>
      <w:hyperlink w:anchor="DESCRIPTORALFABETICO325" w:history="1">
        <w:r w:rsidRPr="000C3DF9">
          <w:rPr>
            <w:rStyle w:val="TextoNormalNegritaCaracter"/>
          </w:rPr>
          <w:t>Igualdad tributaria</w:t>
        </w:r>
      </w:hyperlink>
    </w:p>
    <w:p w:rsidR="000C3DF9" w:rsidRPr="000C3DF9" w:rsidRDefault="000C3DF9" w:rsidP="000C3DF9">
      <w:pPr>
        <w:pStyle w:val="TextoNormalSangraFrancesa"/>
        <w:rPr>
          <w:rStyle w:val="TextoNormalCaracter"/>
        </w:rPr>
      </w:pPr>
      <w:bookmarkStart w:id="1275" w:name="DESCRIPTORALFABETICO324"/>
      <w:r w:rsidRPr="000C3DF9">
        <w:rPr>
          <w:rStyle w:val="TextoNormalNegritaCaracter"/>
        </w:rPr>
        <w:t>Igualdad territorial</w:t>
      </w:r>
      <w:bookmarkEnd w:id="1275"/>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11, 12.</w:t>
      </w:r>
    </w:p>
    <w:p w:rsidR="000C3DF9" w:rsidRPr="000C3DF9" w:rsidRDefault="000C3DF9" w:rsidP="000C3DF9">
      <w:pPr>
        <w:pStyle w:val="TextoNormalSangraFrancesa"/>
        <w:rPr>
          <w:rStyle w:val="TextoNormalCaracter"/>
        </w:rPr>
      </w:pPr>
      <w:bookmarkStart w:id="1276" w:name="DESCRIPTORALFABETICO325"/>
      <w:r w:rsidRPr="000C3DF9">
        <w:rPr>
          <w:rStyle w:val="TextoNormalNegritaCaracter"/>
        </w:rPr>
        <w:t>Igualdad tributaria</w:t>
      </w:r>
      <w:bookmarkEnd w:id="1276"/>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8, 9, 10, VP I, VP II.</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96" w:history="1">
        <w:r w:rsidRPr="000C3DF9">
          <w:rPr>
            <w:rStyle w:val="TextoNormalCaracter"/>
          </w:rPr>
          <w:t>96/2002</w:t>
        </w:r>
      </w:hyperlink>
      <w:r w:rsidRPr="000C3DF9">
        <w:rPr>
          <w:rStyle w:val="TextoNormalCaracter"/>
        </w:rPr>
        <w:t>, f. 7.</w:t>
      </w:r>
    </w:p>
    <w:p w:rsidR="000C3DF9" w:rsidRPr="000C3DF9" w:rsidRDefault="000C3DF9" w:rsidP="000C3DF9">
      <w:pPr>
        <w:pStyle w:val="TextoNormalSangraFrancesa"/>
        <w:rPr>
          <w:rStyle w:val="TextoNormalCaracter"/>
        </w:rPr>
      </w:pPr>
      <w:bookmarkStart w:id="1277" w:name="DESCRIPTORALFABETICO291"/>
      <w:r w:rsidRPr="000C3DF9">
        <w:rPr>
          <w:rStyle w:val="TextoNormalNegritaCaracter"/>
        </w:rPr>
        <w:t>Imparcialidad objetiva</w:t>
      </w:r>
      <w:bookmarkEnd w:id="1277"/>
      <w:r w:rsidRPr="000C3DF9">
        <w:rPr>
          <w:rStyle w:val="TextoNormalCaracter"/>
        </w:rPr>
        <w:t xml:space="preserve">, Autos </w:t>
      </w:r>
      <w:hyperlink w:anchor="AUTO_2002_8" w:history="1">
        <w:r w:rsidRPr="000C3DF9">
          <w:rPr>
            <w:rStyle w:val="TextoNormalCaracter"/>
          </w:rPr>
          <w:t>8/2002</w:t>
        </w:r>
      </w:hyperlink>
      <w:r w:rsidRPr="000C3DF9">
        <w:rPr>
          <w:rStyle w:val="TextoNormalCaracter"/>
        </w:rPr>
        <w:t xml:space="preserve">; </w:t>
      </w:r>
      <w:hyperlink w:anchor="AUTO_2002_68" w:history="1">
        <w:r w:rsidRPr="000C3DF9">
          <w:rPr>
            <w:rStyle w:val="TextoNormalCaracter"/>
          </w:rPr>
          <w:t>68/2002</w:t>
        </w:r>
      </w:hyperlink>
      <w:r w:rsidRPr="000C3DF9">
        <w:rPr>
          <w:rStyle w:val="TextoNormalCaracter"/>
        </w:rPr>
        <w:t>.</w:t>
      </w:r>
    </w:p>
    <w:p w:rsidR="000C3DF9" w:rsidRPr="000C3DF9" w:rsidRDefault="000C3DF9" w:rsidP="000C3DF9">
      <w:pPr>
        <w:pStyle w:val="TextoNormalSangraFrancesa"/>
        <w:rPr>
          <w:rStyle w:val="TextoNormalCaracter"/>
        </w:rPr>
      </w:pPr>
      <w:bookmarkStart w:id="1278" w:name="DESCRIPTORALFABETICO293"/>
      <w:r w:rsidRPr="000C3DF9">
        <w:rPr>
          <w:rStyle w:val="TextoNormalNegritaCaracter"/>
        </w:rPr>
        <w:lastRenderedPageBreak/>
        <w:t>Impugnabilidad de resoluciones de los Juzgados de Vigilancia Penitenciaria</w:t>
      </w:r>
      <w:bookmarkEnd w:id="1278"/>
      <w:r w:rsidRPr="000C3DF9">
        <w:rPr>
          <w:rStyle w:val="TextoNormalCaracter"/>
        </w:rPr>
        <w:t xml:space="preserve">, Sentencia </w:t>
      </w:r>
      <w:hyperlink w:anchor="SENTENCIA_2002_65" w:history="1">
        <w:r w:rsidRPr="000C3DF9">
          <w:rPr>
            <w:rStyle w:val="TextoNormalCaracter"/>
          </w:rPr>
          <w:t>65/2002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79" w:name="DESCRIPTORALFABETICO203"/>
      <w:r w:rsidRPr="000C3DF9">
        <w:rPr>
          <w:rStyle w:val="TextoNormalNegritaCaracter"/>
        </w:rPr>
        <w:t>Impugnación de acuerdo contractual</w:t>
      </w:r>
      <w:bookmarkEnd w:id="1279"/>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80" w:name="DESCRIPTORALFABETICO44"/>
      <w:r w:rsidRPr="000C3DF9">
        <w:rPr>
          <w:rStyle w:val="TextoNormalNegritaCaracter"/>
        </w:rPr>
        <w:t>Impugnación de elecciones</w:t>
      </w:r>
      <w:bookmarkEnd w:id="1280"/>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81" w:name="DESCRIPTORALFABETICO697"/>
      <w:r w:rsidRPr="000C3DF9">
        <w:rPr>
          <w:rStyle w:val="TextoNormalNegritaCaracter"/>
        </w:rPr>
        <w:t>Imputados</w:t>
      </w:r>
      <w:bookmarkEnd w:id="1281"/>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4.</w:t>
      </w:r>
    </w:p>
    <w:p w:rsidR="000C3DF9" w:rsidRPr="000C3DF9" w:rsidRDefault="000C3DF9" w:rsidP="000C3DF9">
      <w:pPr>
        <w:pStyle w:val="TextoNormalSangraFrancesa"/>
        <w:rPr>
          <w:rStyle w:val="TextoNormalNegritaCaracter"/>
        </w:rPr>
      </w:pPr>
      <w:r w:rsidRPr="000C3DF9">
        <w:rPr>
          <w:rStyle w:val="TextoNormalCursivaCaracter"/>
        </w:rPr>
        <w:t>Inadecuación de procedimiento</w:t>
      </w:r>
      <w:r>
        <w:t xml:space="preserve"> véase </w:t>
      </w:r>
      <w:hyperlink w:anchor="DESCRIPTORALFABETICO577" w:history="1">
        <w:r w:rsidRPr="000C3DF9">
          <w:rPr>
            <w:rStyle w:val="TextoNormalNegritaCaracter"/>
          </w:rPr>
          <w:t>Excepción de inadecuación de procedimiento</w:t>
        </w:r>
      </w:hyperlink>
    </w:p>
    <w:p w:rsidR="000C3DF9" w:rsidRPr="000C3DF9" w:rsidRDefault="000C3DF9" w:rsidP="000C3DF9">
      <w:pPr>
        <w:pStyle w:val="TextoNormalSangraFrancesa"/>
        <w:rPr>
          <w:rStyle w:val="TextoNormalCaracter"/>
        </w:rPr>
      </w:pPr>
      <w:bookmarkStart w:id="1282" w:name="DESCRIPTORALFABETICO207"/>
      <w:r w:rsidRPr="000C3DF9">
        <w:rPr>
          <w:rStyle w:val="TextoNormalNegritaCaracter"/>
        </w:rPr>
        <w:t>Inadmisión de cuestión de inconstitucionalidad</w:t>
      </w:r>
      <w:bookmarkEnd w:id="1282"/>
      <w:r w:rsidRPr="000C3DF9">
        <w:rPr>
          <w:rStyle w:val="TextoNormalCaracter"/>
        </w:rPr>
        <w:t xml:space="preserve">, Autos </w:t>
      </w:r>
      <w:hyperlink w:anchor="AUTO_2002_26" w:history="1">
        <w:r w:rsidRPr="000C3DF9">
          <w:rPr>
            <w:rStyle w:val="TextoNormalCaracter"/>
          </w:rPr>
          <w:t>26/2002</w:t>
        </w:r>
      </w:hyperlink>
      <w:r w:rsidRPr="000C3DF9">
        <w:rPr>
          <w:rStyle w:val="TextoNormalCaracter"/>
        </w:rPr>
        <w:t xml:space="preserve">; </w:t>
      </w:r>
      <w:hyperlink w:anchor="AUTO_2002_38" w:history="1">
        <w:r w:rsidRPr="000C3DF9">
          <w:rPr>
            <w:rStyle w:val="TextoNormalCaracter"/>
          </w:rPr>
          <w:t>38/2002</w:t>
        </w:r>
      </w:hyperlink>
      <w:r w:rsidRPr="000C3DF9">
        <w:rPr>
          <w:rStyle w:val="TextoNormalCaracter"/>
        </w:rPr>
        <w:t>.</w:t>
      </w:r>
    </w:p>
    <w:p w:rsidR="000C3DF9" w:rsidRPr="000C3DF9" w:rsidRDefault="000C3DF9" w:rsidP="000C3DF9">
      <w:pPr>
        <w:pStyle w:val="TextoNormalSangraFrancesa"/>
        <w:rPr>
          <w:rStyle w:val="TextoNormalCaracter"/>
        </w:rPr>
      </w:pPr>
      <w:bookmarkStart w:id="1283" w:name="DESCRIPTORALFABETICO666"/>
      <w:r w:rsidRPr="000C3DF9">
        <w:rPr>
          <w:rStyle w:val="TextoNormalNegritaCaracter"/>
        </w:rPr>
        <w:t>Inadmisión de demanda civil por cosa juzgada penal</w:t>
      </w:r>
      <w:bookmarkEnd w:id="1283"/>
      <w:r w:rsidRPr="000C3DF9">
        <w:rPr>
          <w:rStyle w:val="TextoNormalCaracter"/>
        </w:rPr>
        <w:t xml:space="preserve">, Sentencia </w:t>
      </w:r>
      <w:hyperlink w:anchor="SENTENCIA_2002_15" w:history="1">
        <w:r w:rsidRPr="000C3DF9">
          <w:rPr>
            <w:rStyle w:val="TextoNormalCaracter"/>
          </w:rPr>
          <w:t>15/2002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Pr="000C3DF9" w:rsidRDefault="000C3DF9" w:rsidP="000C3DF9">
      <w:pPr>
        <w:pStyle w:val="TextoNormalSangraFrancesa"/>
        <w:rPr>
          <w:rStyle w:val="TextoNormalCaracter"/>
        </w:rPr>
      </w:pPr>
      <w:bookmarkStart w:id="1284" w:name="DESCRIPTORALFABETICO683"/>
      <w:r w:rsidRPr="000C3DF9">
        <w:rPr>
          <w:rStyle w:val="TextoNormalNegritaCaracter"/>
        </w:rPr>
        <w:t>Inadmisión de demanda laboral</w:t>
      </w:r>
      <w:bookmarkEnd w:id="1284"/>
      <w:r w:rsidRPr="000C3DF9">
        <w:rPr>
          <w:rStyle w:val="TextoNormalCaracter"/>
        </w:rPr>
        <w:t xml:space="preserve">, Sentencia </w:t>
      </w:r>
      <w:hyperlink w:anchor="SENTENCIA_2002_58" w:history="1">
        <w:r w:rsidRPr="000C3DF9">
          <w:rPr>
            <w:rStyle w:val="TextoNormalCaracter"/>
          </w:rPr>
          <w:t>58/2002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Inadmisión de demanda social</w:t>
      </w:r>
      <w:r>
        <w:t xml:space="preserve"> véase </w:t>
      </w:r>
      <w:hyperlink w:anchor="DESCRIPTORALFABETICO683" w:history="1">
        <w:r w:rsidRPr="000C3DF9">
          <w:rPr>
            <w:rStyle w:val="TextoNormalNegritaCaracter"/>
          </w:rPr>
          <w:t>Inadmisión de demanda laboral</w:t>
        </w:r>
      </w:hyperlink>
    </w:p>
    <w:p w:rsidR="000C3DF9" w:rsidRPr="000C3DF9" w:rsidRDefault="000C3DF9" w:rsidP="000C3DF9">
      <w:pPr>
        <w:pStyle w:val="TextoNormalSangraFrancesa"/>
        <w:rPr>
          <w:rStyle w:val="TextoNormalCaracter"/>
        </w:rPr>
      </w:pPr>
      <w:bookmarkStart w:id="1285" w:name="DESCRIPTORALFABETICO582"/>
      <w:r w:rsidRPr="000C3DF9">
        <w:rPr>
          <w:rStyle w:val="TextoNormalNegritaCaracter"/>
        </w:rPr>
        <w:t>Inadmisión de pregunta en el juicio oral</w:t>
      </w:r>
      <w:bookmarkEnd w:id="1285"/>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5.</w:t>
      </w:r>
    </w:p>
    <w:p w:rsidR="000C3DF9" w:rsidRPr="000C3DF9" w:rsidRDefault="000C3DF9" w:rsidP="000C3DF9">
      <w:pPr>
        <w:pStyle w:val="TextoNormalSangraFrancesa"/>
        <w:rPr>
          <w:rStyle w:val="TextoNormalCaracter"/>
        </w:rPr>
      </w:pPr>
      <w:bookmarkStart w:id="1286" w:name="DESCRIPTORALFABETICO675"/>
      <w:r w:rsidRPr="000C3DF9">
        <w:rPr>
          <w:rStyle w:val="TextoNormalNegritaCaracter"/>
        </w:rPr>
        <w:t>Inadmisión de recurso contencioso-administrativo</w:t>
      </w:r>
      <w:bookmarkEnd w:id="1286"/>
      <w:r w:rsidRPr="000C3DF9">
        <w:rPr>
          <w:rStyle w:val="TextoNormalCaracter"/>
        </w:rPr>
        <w:t xml:space="preserve">, Sentencias </w:t>
      </w:r>
      <w:hyperlink w:anchor="SENTENCIA_2002_60" w:history="1">
        <w:r w:rsidRPr="000C3DF9">
          <w:rPr>
            <w:rStyle w:val="TextoNormalCaracter"/>
          </w:rPr>
          <w:t>60/2002</w:t>
        </w:r>
      </w:hyperlink>
      <w:r w:rsidRPr="000C3DF9">
        <w:rPr>
          <w:rStyle w:val="TextoNormalCaracter"/>
        </w:rPr>
        <w:t xml:space="preserve">, f. 4; </w:t>
      </w:r>
      <w:hyperlink w:anchor="SENTENCIA_2002_72" w:history="1">
        <w:r w:rsidRPr="000C3DF9">
          <w:rPr>
            <w:rStyle w:val="TextoNormalCaracter"/>
          </w:rPr>
          <w:t>72/2002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87" w:name="DESCRIPTORALFABETICO676"/>
      <w:r w:rsidRPr="000C3DF9">
        <w:rPr>
          <w:rStyle w:val="TextoNormalNegritaCaracter"/>
        </w:rPr>
        <w:t>Inadmisión de recurso contencioso-electoral por extemporaneidad</w:t>
      </w:r>
      <w:bookmarkEnd w:id="1287"/>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88" w:name="DESCRIPTORALFABETICO262"/>
      <w:r w:rsidRPr="000C3DF9">
        <w:rPr>
          <w:rStyle w:val="TextoNormalNegritaCaracter"/>
        </w:rPr>
        <w:t>Inadmisión de recurso de amparo</w:t>
      </w:r>
      <w:bookmarkEnd w:id="1288"/>
      <w:r w:rsidRPr="000C3DF9">
        <w:rPr>
          <w:rStyle w:val="TextoNormalCaracter"/>
        </w:rPr>
        <w:t xml:space="preserve">, Sentencias </w:t>
      </w:r>
      <w:hyperlink w:anchor="SENTENCIA_2002_71" w:history="1">
        <w:r w:rsidRPr="000C3DF9">
          <w:rPr>
            <w:rStyle w:val="TextoNormalCaracter"/>
          </w:rPr>
          <w:t>71/2002</w:t>
        </w:r>
      </w:hyperlink>
      <w:r w:rsidRPr="000C3DF9">
        <w:rPr>
          <w:rStyle w:val="TextoNormalCaracter"/>
        </w:rPr>
        <w:t xml:space="preserve">, f. 7; </w:t>
      </w:r>
      <w:hyperlink w:anchor="SENTENCIA_2002_85" w:history="1">
        <w:r w:rsidRPr="000C3DF9">
          <w:rPr>
            <w:rStyle w:val="TextoNormalCaracter"/>
          </w:rPr>
          <w:t>85/2002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0" w:history="1">
        <w:r w:rsidRPr="000C3DF9">
          <w:rPr>
            <w:rStyle w:val="TextoNormalCaracter"/>
          </w:rPr>
          <w:t>10/2002</w:t>
        </w:r>
      </w:hyperlink>
      <w:r w:rsidRPr="000C3DF9">
        <w:rPr>
          <w:rStyle w:val="TextoNormalCaracter"/>
        </w:rPr>
        <w:t>.</w:t>
      </w:r>
    </w:p>
    <w:p w:rsidR="000C3DF9" w:rsidRPr="000C3DF9" w:rsidRDefault="000C3DF9" w:rsidP="000C3DF9">
      <w:pPr>
        <w:pStyle w:val="TextoNormalSangraFrancesa"/>
        <w:rPr>
          <w:rStyle w:val="TextoNormalCaracter"/>
        </w:rPr>
      </w:pPr>
      <w:bookmarkStart w:id="1289" w:name="DESCRIPTORALFABETICO265"/>
      <w:r w:rsidRPr="000C3DF9">
        <w:rPr>
          <w:rStyle w:val="TextoNormalNegritaCaracter"/>
        </w:rPr>
        <w:t>Inadmisión de recurso de amparo por sentencia</w:t>
      </w:r>
      <w:bookmarkEnd w:id="1289"/>
      <w:r w:rsidRPr="000C3DF9">
        <w:rPr>
          <w:rStyle w:val="TextoNormalCaracter"/>
        </w:rPr>
        <w:t xml:space="preserve">, Sentencias </w:t>
      </w:r>
      <w:hyperlink w:anchor="SENTENCIA_2002_85" w:history="1">
        <w:r w:rsidRPr="000C3DF9">
          <w:rPr>
            <w:rStyle w:val="TextoNormalCaracter"/>
          </w:rPr>
          <w:t>85/2002</w:t>
        </w:r>
      </w:hyperlink>
      <w:r w:rsidRPr="000C3DF9">
        <w:rPr>
          <w:rStyle w:val="TextoNormalCaracter"/>
        </w:rPr>
        <w:t xml:space="preserve">, f. 4; </w:t>
      </w:r>
      <w:hyperlink w:anchor="SENTENCIA_2002_93" w:history="1">
        <w:r w:rsidRPr="000C3DF9">
          <w:rPr>
            <w:rStyle w:val="TextoNormalCaracter"/>
          </w:rPr>
          <w:t>93/2002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90" w:name="DESCRIPTORALFABETICO670"/>
      <w:r w:rsidRPr="000C3DF9">
        <w:rPr>
          <w:rStyle w:val="TextoNormalNegritaCaracter"/>
        </w:rPr>
        <w:t>Inadmisión de recurso de apelación civil</w:t>
      </w:r>
      <w:bookmarkEnd w:id="1290"/>
      <w:r w:rsidRPr="000C3DF9">
        <w:rPr>
          <w:rStyle w:val="TextoNormalCaracter"/>
        </w:rPr>
        <w:t xml:space="preserve">, Sentencia </w:t>
      </w:r>
      <w:hyperlink w:anchor="SENTENCIA_2002_22" w:history="1">
        <w:r w:rsidRPr="000C3DF9">
          <w:rPr>
            <w:rStyle w:val="TextoNormalCaracter"/>
          </w:rPr>
          <w:t>22/2002</w:t>
        </w:r>
      </w:hyperlink>
      <w:r w:rsidRPr="000C3DF9">
        <w:rPr>
          <w:rStyle w:val="TextoNormalCaracter"/>
        </w:rPr>
        <w:t>, ff. 5 a 7.</w:t>
      </w:r>
    </w:p>
    <w:p w:rsidR="000C3DF9" w:rsidRPr="000C3DF9" w:rsidRDefault="000C3DF9" w:rsidP="000C3DF9">
      <w:pPr>
        <w:pStyle w:val="TextoNormalSangraFrancesa"/>
        <w:rPr>
          <w:rStyle w:val="TextoNormalCaracter"/>
        </w:rPr>
      </w:pPr>
      <w:bookmarkStart w:id="1291" w:name="DESCRIPTORALFABETICO717"/>
      <w:r w:rsidRPr="000C3DF9">
        <w:rPr>
          <w:rStyle w:val="TextoNormalNegritaCaracter"/>
        </w:rPr>
        <w:t>Inadmisión de recurso de apelación penal</w:t>
      </w:r>
      <w:bookmarkEnd w:id="1291"/>
      <w:r w:rsidRPr="000C3DF9">
        <w:rPr>
          <w:rStyle w:val="TextoNormalCaracter"/>
        </w:rPr>
        <w:t xml:space="preserve">, Sentencia </w:t>
      </w:r>
      <w:hyperlink w:anchor="SENTENCIA_2002_91" w:history="1">
        <w:r w:rsidRPr="000C3DF9">
          <w:rPr>
            <w:rStyle w:val="TextoNormalCaracter"/>
          </w:rPr>
          <w:t>91/2002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92" w:name="DESCRIPTORALFABETICO672"/>
      <w:r w:rsidRPr="000C3DF9">
        <w:rPr>
          <w:rStyle w:val="TextoNormalNegritaCaracter"/>
        </w:rPr>
        <w:t>Inadmisión de recurso de casación civil</w:t>
      </w:r>
      <w:bookmarkEnd w:id="1292"/>
      <w:r w:rsidRPr="000C3DF9">
        <w:rPr>
          <w:rStyle w:val="TextoNormalCaracter"/>
        </w:rPr>
        <w:t xml:space="preserve">, Sentencia </w:t>
      </w:r>
      <w:hyperlink w:anchor="SENTENCIA_2002_78" w:history="1">
        <w:r w:rsidRPr="000C3DF9">
          <w:rPr>
            <w:rStyle w:val="TextoNormalCaracter"/>
          </w:rPr>
          <w:t>78/2002</w:t>
        </w:r>
      </w:hyperlink>
      <w:r w:rsidRPr="000C3DF9">
        <w:rPr>
          <w:rStyle w:val="TextoNormalCaracter"/>
        </w:rPr>
        <w:t>, f. 4.</w:t>
      </w:r>
    </w:p>
    <w:p w:rsidR="000C3DF9" w:rsidRPr="000C3DF9" w:rsidRDefault="000C3DF9" w:rsidP="000C3DF9">
      <w:pPr>
        <w:pStyle w:val="TextoNormalSangraFrancesa"/>
        <w:rPr>
          <w:rStyle w:val="TextoNormalCaracter"/>
        </w:rPr>
      </w:pPr>
      <w:bookmarkStart w:id="1293" w:name="DESCRIPTORALFABETICO679"/>
      <w:r w:rsidRPr="000C3DF9">
        <w:rPr>
          <w:rStyle w:val="TextoNormalNegritaCaracter"/>
        </w:rPr>
        <w:t>Inadmisión de recurso de casación contencioso-administrativo</w:t>
      </w:r>
      <w:bookmarkEnd w:id="1293"/>
      <w:r w:rsidRPr="000C3DF9">
        <w:rPr>
          <w:rStyle w:val="TextoNormalCaracter"/>
        </w:rPr>
        <w:t xml:space="preserve">, Sentencias </w:t>
      </w:r>
      <w:hyperlink w:anchor="SENTENCIA_2002_60" w:history="1">
        <w:r w:rsidRPr="000C3DF9">
          <w:rPr>
            <w:rStyle w:val="TextoNormalCaracter"/>
          </w:rPr>
          <w:t>60/2002</w:t>
        </w:r>
      </w:hyperlink>
      <w:r w:rsidRPr="000C3DF9">
        <w:rPr>
          <w:rStyle w:val="TextoNormalCaracter"/>
        </w:rPr>
        <w:t xml:space="preserve">, f. 5; </w:t>
      </w:r>
      <w:hyperlink w:anchor="SENTENCIA_2002_89" w:history="1">
        <w:r w:rsidRPr="000C3DF9">
          <w:rPr>
            <w:rStyle w:val="TextoNormalCaracter"/>
          </w:rPr>
          <w:t>89/2002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294" w:name="DESCRIPTORALFABETICO646"/>
      <w:r w:rsidRPr="000C3DF9">
        <w:rPr>
          <w:rStyle w:val="TextoNormalNegritaCaracter"/>
        </w:rPr>
        <w:t>Inadmisión de recurso de casación no manifiestamente improcedente</w:t>
      </w:r>
      <w:bookmarkEnd w:id="1294"/>
      <w:r w:rsidRPr="000C3DF9">
        <w:rPr>
          <w:rStyle w:val="TextoNormalCaracter"/>
        </w:rPr>
        <w:t xml:space="preserve">, Sentencia </w:t>
      </w:r>
      <w:hyperlink w:anchor="SENTENCIA_2002_61" w:history="1">
        <w:r w:rsidRPr="000C3DF9">
          <w:rPr>
            <w:rStyle w:val="TextoNormalCaracter"/>
          </w:rPr>
          <w:t>61/2002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95" w:name="DESCRIPTORALFABETICO648"/>
      <w:r w:rsidRPr="000C3DF9">
        <w:rPr>
          <w:rStyle w:val="TextoNormalNegritaCaracter"/>
        </w:rPr>
        <w:t>Inadmisión de recurso de casación para la unificación de doctrina</w:t>
      </w:r>
      <w:bookmarkEnd w:id="1295"/>
      <w:r w:rsidRPr="000C3DF9">
        <w:rPr>
          <w:rStyle w:val="TextoNormalCaracter"/>
        </w:rPr>
        <w:t xml:space="preserve">, Sentencia </w:t>
      </w:r>
      <w:hyperlink w:anchor="SENTENCIA_2002_61" w:history="1">
        <w:r w:rsidRPr="000C3DF9">
          <w:rPr>
            <w:rStyle w:val="TextoNormalCaracter"/>
          </w:rPr>
          <w:t>61/2002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296" w:name="DESCRIPTORALFABETICO652"/>
      <w:r w:rsidRPr="000C3DF9">
        <w:rPr>
          <w:rStyle w:val="TextoNormalNegritaCaracter"/>
        </w:rPr>
        <w:t>Inadmisión de recurso de queja</w:t>
      </w:r>
      <w:bookmarkEnd w:id="1296"/>
      <w:r w:rsidRPr="000C3DF9">
        <w:rPr>
          <w:rStyle w:val="TextoNormalCaracter"/>
        </w:rPr>
        <w:t xml:space="preserve">, Sentencia </w:t>
      </w:r>
      <w:hyperlink w:anchor="SENTENCIA_2002_88" w:history="1">
        <w:r w:rsidRPr="000C3DF9">
          <w:rPr>
            <w:rStyle w:val="TextoNormalCaracter"/>
          </w:rPr>
          <w:t>88/2002</w:t>
        </w:r>
      </w:hyperlink>
      <w:r w:rsidRPr="000C3DF9">
        <w:rPr>
          <w:rStyle w:val="TextoNormalCaracter"/>
        </w:rPr>
        <w:t>, f. 3.</w:t>
      </w:r>
    </w:p>
    <w:p w:rsidR="000C3DF9" w:rsidRPr="000C3DF9" w:rsidRDefault="000C3DF9" w:rsidP="000C3DF9">
      <w:pPr>
        <w:pStyle w:val="TextoNormalSangraFrancesa"/>
        <w:rPr>
          <w:rStyle w:val="TextoNormalCaracter"/>
        </w:rPr>
      </w:pPr>
      <w:bookmarkStart w:id="1297" w:name="DESCRIPTORALFABETICO686"/>
      <w:r w:rsidRPr="000C3DF9">
        <w:rPr>
          <w:rStyle w:val="TextoNormalNegritaCaracter"/>
        </w:rPr>
        <w:t>Inadmisión de recurso de reposición laboral</w:t>
      </w:r>
      <w:bookmarkEnd w:id="1297"/>
      <w:r w:rsidRPr="000C3DF9">
        <w:rPr>
          <w:rStyle w:val="TextoNormalCaracter"/>
        </w:rPr>
        <w:t xml:space="preserve">, Sentencia </w:t>
      </w:r>
      <w:hyperlink w:anchor="SENTENCIA_2002_62" w:history="1">
        <w:r w:rsidRPr="000C3DF9">
          <w:rPr>
            <w:rStyle w:val="TextoNormalCaracter"/>
          </w:rPr>
          <w:t>62/2002</w:t>
        </w:r>
      </w:hyperlink>
      <w:r w:rsidRPr="000C3DF9">
        <w:rPr>
          <w:rStyle w:val="TextoNormalCaracter"/>
        </w:rPr>
        <w:t>, ff. 3 a 5.</w:t>
      </w:r>
    </w:p>
    <w:p w:rsidR="000C3DF9" w:rsidRPr="000C3DF9" w:rsidRDefault="000C3DF9" w:rsidP="000C3DF9">
      <w:pPr>
        <w:pStyle w:val="TextoNormalSangraFrancesa"/>
        <w:rPr>
          <w:rStyle w:val="TextoNormalCaracter"/>
        </w:rPr>
      </w:pPr>
      <w:bookmarkStart w:id="1298" w:name="DESCRIPTORALFABETICO687"/>
      <w:r w:rsidRPr="000C3DF9">
        <w:rPr>
          <w:rStyle w:val="TextoNormalNegritaCaracter"/>
        </w:rPr>
        <w:t>Inadmisión de recurso de suplicación</w:t>
      </w:r>
      <w:bookmarkEnd w:id="1298"/>
      <w:r w:rsidRPr="000C3DF9">
        <w:rPr>
          <w:rStyle w:val="TextoNormalCaracter"/>
        </w:rPr>
        <w:t xml:space="preserve">, Sentencia </w:t>
      </w:r>
      <w:hyperlink w:anchor="SENTENCIA_2002_71" w:history="1">
        <w:r w:rsidRPr="000C3DF9">
          <w:rPr>
            <w:rStyle w:val="TextoNormalCaracter"/>
          </w:rPr>
          <w:t>71/2002</w:t>
        </w:r>
      </w:hyperlink>
      <w:r w:rsidRPr="000C3DF9">
        <w:rPr>
          <w:rStyle w:val="TextoNormalCaracter"/>
        </w:rPr>
        <w:t>, f. 6.</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3" w:history="1">
        <w:r w:rsidRPr="000C3DF9">
          <w:rPr>
            <w:rStyle w:val="TextoNormalCaracter"/>
          </w:rPr>
          <w:t>13/2002</w:t>
        </w:r>
      </w:hyperlink>
      <w:r w:rsidRPr="000C3DF9">
        <w:rPr>
          <w:rStyle w:val="TextoNormalCaracter"/>
        </w:rPr>
        <w:t>.</w:t>
      </w:r>
    </w:p>
    <w:p w:rsidR="000C3DF9" w:rsidRPr="000C3DF9" w:rsidRDefault="000C3DF9" w:rsidP="000C3DF9">
      <w:pPr>
        <w:pStyle w:val="TextoNormalSangraFrancesa"/>
        <w:rPr>
          <w:rStyle w:val="TextoNormalCaracter"/>
        </w:rPr>
      </w:pPr>
      <w:bookmarkStart w:id="1299" w:name="DESCRIPTORALFABETICO634"/>
      <w:r w:rsidRPr="000C3DF9">
        <w:rPr>
          <w:rStyle w:val="TextoNormalNegritaCaracter"/>
        </w:rPr>
        <w:t>Inadmisión motivada</w:t>
      </w:r>
      <w:bookmarkEnd w:id="1299"/>
      <w:r w:rsidRPr="000C3DF9">
        <w:rPr>
          <w:rStyle w:val="TextoNormalCaracter"/>
        </w:rPr>
        <w:t xml:space="preserve">, Sentencia </w:t>
      </w:r>
      <w:hyperlink w:anchor="SENTENCIA_2002_13" w:history="1">
        <w:r w:rsidRPr="000C3DF9">
          <w:rPr>
            <w:rStyle w:val="TextoNormalCaracter"/>
          </w:rPr>
          <w:t>13/2002</w:t>
        </w:r>
      </w:hyperlink>
      <w:r w:rsidRPr="000C3DF9">
        <w:rPr>
          <w:rStyle w:val="TextoNormalCaracter"/>
        </w:rPr>
        <w:t>, f. 8.</w:t>
      </w:r>
    </w:p>
    <w:p w:rsidR="000C3DF9" w:rsidRPr="000C3DF9" w:rsidRDefault="000C3DF9" w:rsidP="000C3DF9">
      <w:pPr>
        <w:pStyle w:val="TextoNormalSangraFrancesa"/>
        <w:rPr>
          <w:rStyle w:val="TextoNormalCaracter"/>
        </w:rPr>
      </w:pPr>
      <w:bookmarkStart w:id="1300" w:name="DESCRIPTORALFABETICO635"/>
      <w:r w:rsidRPr="000C3DF9">
        <w:rPr>
          <w:rStyle w:val="TextoNormalNegritaCaracter"/>
        </w:rPr>
        <w:t>Inadmisión por extemporaneidad de recurso presentado en la sede de otro órgano judicial</w:t>
      </w:r>
      <w:bookmarkEnd w:id="1300"/>
      <w:r w:rsidRPr="000C3DF9">
        <w:rPr>
          <w:rStyle w:val="TextoNormalCaracter"/>
        </w:rPr>
        <w:t xml:space="preserve">, Sentencia </w:t>
      </w:r>
      <w:hyperlink w:anchor="SENTENCIA_2002_90" w:history="1">
        <w:r w:rsidRPr="000C3DF9">
          <w:rPr>
            <w:rStyle w:val="TextoNormalCaracter"/>
          </w:rPr>
          <w:t>90/2002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01" w:name="DESCRIPTORALFABETICO636"/>
      <w:r w:rsidRPr="000C3DF9">
        <w:rPr>
          <w:rStyle w:val="TextoNormalNegritaCaracter"/>
        </w:rPr>
        <w:t>Inadmisión por manifiesta carencia de fundamento</w:t>
      </w:r>
      <w:bookmarkEnd w:id="1301"/>
      <w:r w:rsidRPr="000C3DF9">
        <w:rPr>
          <w:rStyle w:val="TextoNormalCaracter"/>
        </w:rPr>
        <w:t xml:space="preserve">, Sentencia </w:t>
      </w:r>
      <w:hyperlink w:anchor="SENTENCIA_2002_12" w:history="1">
        <w:r w:rsidRPr="000C3DF9">
          <w:rPr>
            <w:rStyle w:val="TextoNormalCaracter"/>
          </w:rPr>
          <w:t>12/2002</w:t>
        </w:r>
      </w:hyperlink>
      <w:r w:rsidRPr="000C3DF9">
        <w:rPr>
          <w:rStyle w:val="TextoNormalCaracter"/>
        </w:rPr>
        <w:t>, f. 2.</w:t>
      </w:r>
    </w:p>
    <w:p w:rsidR="000C3DF9" w:rsidRPr="000C3DF9" w:rsidRDefault="000C3DF9" w:rsidP="000C3DF9">
      <w:pPr>
        <w:pStyle w:val="TextoNormalSangraFrancesa"/>
        <w:rPr>
          <w:rStyle w:val="TextoNormalCaracter"/>
        </w:rPr>
      </w:pPr>
      <w:bookmarkStart w:id="1302" w:name="DESCRIPTORALFABETICO191"/>
      <w:r w:rsidRPr="000C3DF9">
        <w:rPr>
          <w:rStyle w:val="TextoNormalNegritaCaracter"/>
        </w:rPr>
        <w:t>Incidente de ejecución de la suspensión cautelar</w:t>
      </w:r>
      <w:bookmarkEnd w:id="1302"/>
      <w:r w:rsidRPr="000C3DF9">
        <w:rPr>
          <w:rStyle w:val="TextoNormalCaracter"/>
        </w:rPr>
        <w:t xml:space="preserve">, Auto </w:t>
      </w:r>
      <w:hyperlink w:anchor="AUTO_2002_61" w:history="1">
        <w:r w:rsidRPr="000C3DF9">
          <w:rPr>
            <w:rStyle w:val="TextoNormalCaracter"/>
          </w:rPr>
          <w:t>61/2002</w:t>
        </w:r>
      </w:hyperlink>
      <w:r w:rsidRPr="000C3DF9">
        <w:rPr>
          <w:rStyle w:val="TextoNormalCaracter"/>
        </w:rPr>
        <w:t>.</w:t>
      </w:r>
    </w:p>
    <w:p w:rsidR="000C3DF9" w:rsidRPr="000C3DF9" w:rsidRDefault="000C3DF9" w:rsidP="000C3DF9">
      <w:pPr>
        <w:pStyle w:val="TextoNormalSangraFrancesa"/>
        <w:rPr>
          <w:rStyle w:val="TextoNormalCaracter"/>
        </w:rPr>
      </w:pPr>
      <w:bookmarkStart w:id="1303" w:name="DESCRIPTORALFABETICO605"/>
      <w:r w:rsidRPr="000C3DF9">
        <w:rPr>
          <w:rStyle w:val="TextoNormalNegritaCaracter"/>
        </w:rPr>
        <w:t>Incidente de ejecución de sentencia no finalizado</w:t>
      </w:r>
      <w:bookmarkEnd w:id="1303"/>
      <w:r w:rsidRPr="000C3DF9">
        <w:rPr>
          <w:rStyle w:val="TextoNormalCaracter"/>
        </w:rPr>
        <w:t xml:space="preserve">, Sentencia </w:t>
      </w:r>
      <w:hyperlink w:anchor="SENTENCIA_2002_7" w:history="1">
        <w:r w:rsidRPr="000C3DF9">
          <w:rPr>
            <w:rStyle w:val="TextoNormalCaracter"/>
          </w:rPr>
          <w:t>7/2002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04" w:name="DESCRIPTORALFABETICO606"/>
      <w:r w:rsidRPr="000C3DF9">
        <w:rPr>
          <w:rStyle w:val="TextoNormalNegritaCaracter"/>
        </w:rPr>
        <w:t>Incidente de nulidad de actuaciones</w:t>
      </w:r>
      <w:bookmarkEnd w:id="1304"/>
      <w:r w:rsidRPr="000C3DF9">
        <w:rPr>
          <w:rStyle w:val="TextoNormalCaracter"/>
        </w:rPr>
        <w:t xml:space="preserve">, Sentencias </w:t>
      </w:r>
      <w:hyperlink w:anchor="SENTENCIA_2002_18" w:history="1">
        <w:r w:rsidRPr="000C3DF9">
          <w:rPr>
            <w:rStyle w:val="TextoNormalCaracter"/>
          </w:rPr>
          <w:t>18/2002</w:t>
        </w:r>
      </w:hyperlink>
      <w:r w:rsidRPr="000C3DF9">
        <w:rPr>
          <w:rStyle w:val="TextoNormalCaracter"/>
        </w:rPr>
        <w:t xml:space="preserve">, f. 5; </w:t>
      </w:r>
      <w:hyperlink w:anchor="SENTENCIA_2002_31" w:history="1">
        <w:r w:rsidRPr="000C3DF9">
          <w:rPr>
            <w:rStyle w:val="TextoNormalCaracter"/>
          </w:rPr>
          <w:t>31/2002</w:t>
        </w:r>
      </w:hyperlink>
      <w:r w:rsidRPr="000C3DF9">
        <w:rPr>
          <w:rStyle w:val="TextoNormalCaracter"/>
        </w:rPr>
        <w:t xml:space="preserve">, f. 3; </w:t>
      </w:r>
      <w:hyperlink w:anchor="SENTENCIA_2002_32" w:history="1">
        <w:r w:rsidRPr="000C3DF9">
          <w:rPr>
            <w:rStyle w:val="TextoNormalCaracter"/>
          </w:rPr>
          <w:t>32/2002</w:t>
        </w:r>
      </w:hyperlink>
      <w:r w:rsidRPr="000C3DF9">
        <w:rPr>
          <w:rStyle w:val="TextoNormalCaracter"/>
        </w:rPr>
        <w:t xml:space="preserve">, f. 2; </w:t>
      </w:r>
      <w:hyperlink w:anchor="SENTENCIA_2002_50" w:history="1">
        <w:r w:rsidRPr="000C3DF9">
          <w:rPr>
            <w:rStyle w:val="TextoNormalCaracter"/>
          </w:rPr>
          <w:t>50/2002</w:t>
        </w:r>
      </w:hyperlink>
      <w:r w:rsidRPr="000C3DF9">
        <w:rPr>
          <w:rStyle w:val="TextoNormalCaracter"/>
        </w:rPr>
        <w:t xml:space="preserve">, f. 4; </w:t>
      </w:r>
      <w:hyperlink w:anchor="SENTENCIA_2002_56" w:history="1">
        <w:r w:rsidRPr="000C3DF9">
          <w:rPr>
            <w:rStyle w:val="TextoNormalCaracter"/>
          </w:rPr>
          <w:t>56/2002</w:t>
        </w:r>
      </w:hyperlink>
      <w:r w:rsidRPr="000C3DF9">
        <w:rPr>
          <w:rStyle w:val="TextoNormalCaracter"/>
        </w:rPr>
        <w:t xml:space="preserve">, f. 6; </w:t>
      </w:r>
      <w:hyperlink w:anchor="SENTENCIA_2002_87" w:history="1">
        <w:r w:rsidRPr="000C3DF9">
          <w:rPr>
            <w:rStyle w:val="TextoNormalCaracter"/>
          </w:rPr>
          <w:t>87/2002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305" w:name="DESCRIPTORALFABETICO607"/>
      <w:r w:rsidRPr="000C3DF9">
        <w:rPr>
          <w:rStyle w:val="TextoNormalNegritaCaracter"/>
        </w:rPr>
        <w:t>Incidente de nulidad de actuaciones exigible</w:t>
      </w:r>
      <w:bookmarkEnd w:id="1305"/>
      <w:r w:rsidRPr="000C3DF9">
        <w:rPr>
          <w:rStyle w:val="TextoNormalCaracter"/>
        </w:rPr>
        <w:t xml:space="preserve">, Sentencias </w:t>
      </w:r>
      <w:hyperlink w:anchor="SENTENCIA_2002_32" w:history="1">
        <w:r w:rsidRPr="000C3DF9">
          <w:rPr>
            <w:rStyle w:val="TextoNormalCaracter"/>
          </w:rPr>
          <w:t>32/2002</w:t>
        </w:r>
      </w:hyperlink>
      <w:r w:rsidRPr="000C3DF9">
        <w:rPr>
          <w:rStyle w:val="TextoNormalCaracter"/>
        </w:rPr>
        <w:t xml:space="preserve">, f. 2; </w:t>
      </w:r>
      <w:hyperlink w:anchor="SENTENCIA_2002_74" w:history="1">
        <w:r w:rsidRPr="000C3DF9">
          <w:rPr>
            <w:rStyle w:val="TextoNormalCaracter"/>
          </w:rPr>
          <w:t>74/2002</w:t>
        </w:r>
      </w:hyperlink>
      <w:r w:rsidRPr="000C3DF9">
        <w:rPr>
          <w:rStyle w:val="TextoNormalCaracter"/>
        </w:rPr>
        <w:t>, f. 2.</w:t>
      </w:r>
    </w:p>
    <w:p w:rsidR="000C3DF9" w:rsidRPr="000C3DF9" w:rsidRDefault="000C3DF9" w:rsidP="000C3DF9">
      <w:pPr>
        <w:pStyle w:val="TextoNormalSangraFrancesa"/>
        <w:rPr>
          <w:rStyle w:val="TextoNormalCaracter"/>
        </w:rPr>
      </w:pPr>
      <w:bookmarkStart w:id="1306" w:name="DESCRIPTORALFABETICO608"/>
      <w:r w:rsidRPr="000C3DF9">
        <w:rPr>
          <w:rStyle w:val="TextoNormalNegritaCaracter"/>
        </w:rPr>
        <w:t>Incidente de nulidad de actuaciones extemporáneo</w:t>
      </w:r>
      <w:bookmarkEnd w:id="1306"/>
      <w:r w:rsidRPr="000C3DF9">
        <w:rPr>
          <w:rStyle w:val="TextoNormalCaracter"/>
        </w:rPr>
        <w:t xml:space="preserve">, Sentencia </w:t>
      </w:r>
      <w:hyperlink w:anchor="SENTENCIA_2002_93" w:history="1">
        <w:r w:rsidRPr="000C3DF9">
          <w:rPr>
            <w:rStyle w:val="TextoNormalCaracter"/>
          </w:rPr>
          <w:t>93/2002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07" w:name="DESCRIPTORALFABETICO609"/>
      <w:r w:rsidRPr="000C3DF9">
        <w:rPr>
          <w:rStyle w:val="TextoNormalNegritaCaracter"/>
        </w:rPr>
        <w:t>Incidente de nulidad de actuaciones improcedente</w:t>
      </w:r>
      <w:bookmarkEnd w:id="1307"/>
      <w:r w:rsidRPr="000C3DF9">
        <w:rPr>
          <w:rStyle w:val="TextoNormalCaracter"/>
        </w:rPr>
        <w:t xml:space="preserve">, Sentencia </w:t>
      </w:r>
      <w:hyperlink w:anchor="SENTENCIA_2002_56" w:history="1">
        <w:r w:rsidRPr="000C3DF9">
          <w:rPr>
            <w:rStyle w:val="TextoNormalCaracter"/>
          </w:rPr>
          <w:t>56/2002</w:t>
        </w:r>
      </w:hyperlink>
      <w:r w:rsidRPr="000C3DF9">
        <w:rPr>
          <w:rStyle w:val="TextoNormalCaracter"/>
        </w:rPr>
        <w:t>, f. 2.</w:t>
      </w:r>
    </w:p>
    <w:p w:rsidR="000C3DF9" w:rsidRPr="000C3DF9" w:rsidRDefault="000C3DF9" w:rsidP="000C3DF9">
      <w:pPr>
        <w:pStyle w:val="TextoNormalSangraFrancesa"/>
        <w:rPr>
          <w:rStyle w:val="TextoNormalCaracter"/>
        </w:rPr>
      </w:pPr>
      <w:bookmarkStart w:id="1308" w:name="DESCRIPTORALFABETICO610"/>
      <w:r w:rsidRPr="000C3DF9">
        <w:rPr>
          <w:rStyle w:val="TextoNormalNegritaCaracter"/>
        </w:rPr>
        <w:t>Incidente de nulidad de actuaciones por incongruencia exigible</w:t>
      </w:r>
      <w:bookmarkEnd w:id="1308"/>
      <w:r w:rsidRPr="000C3DF9">
        <w:rPr>
          <w:rStyle w:val="TextoNormalCaracter"/>
        </w:rPr>
        <w:t xml:space="preserve">, Sentencia </w:t>
      </w:r>
      <w:hyperlink w:anchor="SENTENCIA_2002_85" w:history="1">
        <w:r w:rsidRPr="000C3DF9">
          <w:rPr>
            <w:rStyle w:val="TextoNormalCaracter"/>
          </w:rPr>
          <w:t>85/2002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09" w:name="DESCRIPTORALFABETICO117"/>
      <w:r w:rsidRPr="000C3DF9">
        <w:rPr>
          <w:rStyle w:val="TextoNormalNegritaCaracter"/>
        </w:rPr>
        <w:t>Incompatibilidad de las funciones de juez de instancia y de apelación</w:t>
      </w:r>
      <w:bookmarkEnd w:id="1309"/>
      <w:r w:rsidRPr="000C3DF9">
        <w:rPr>
          <w:rStyle w:val="TextoNormalCaracter"/>
        </w:rPr>
        <w:t xml:space="preserve">, Sentencia </w:t>
      </w:r>
      <w:hyperlink w:anchor="SENTENCIA_2002_51" w:history="1">
        <w:r w:rsidRPr="000C3DF9">
          <w:rPr>
            <w:rStyle w:val="TextoNormalCaracter"/>
          </w:rPr>
          <w:t>51/2002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10" w:name="DESCRIPTORALFABETICO513"/>
      <w:r w:rsidRPr="000C3DF9">
        <w:rPr>
          <w:rStyle w:val="TextoNormalNegritaCaracter"/>
        </w:rPr>
        <w:t>Incompetencia de la jurisdicción civil</w:t>
      </w:r>
      <w:bookmarkEnd w:id="1310"/>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11" w:name="DESCRIPTORALFABETICO92"/>
      <w:r w:rsidRPr="000C3DF9">
        <w:rPr>
          <w:rStyle w:val="TextoNormalNegritaCaracter"/>
        </w:rPr>
        <w:lastRenderedPageBreak/>
        <w:t>Incongruencia de las sentencias</w:t>
      </w:r>
      <w:bookmarkEnd w:id="1311"/>
      <w:r w:rsidRPr="000C3DF9">
        <w:rPr>
          <w:rStyle w:val="TextoNormalCaracter"/>
        </w:rPr>
        <w:t xml:space="preserve">, Sentencias </w:t>
      </w:r>
      <w:hyperlink w:anchor="SENTENCIA_2002_20" w:history="1">
        <w:r w:rsidRPr="000C3DF9">
          <w:rPr>
            <w:rStyle w:val="TextoNormalCaracter"/>
          </w:rPr>
          <w:t>20/2002</w:t>
        </w:r>
      </w:hyperlink>
      <w:r w:rsidRPr="000C3DF9">
        <w:rPr>
          <w:rStyle w:val="TextoNormalCaracter"/>
        </w:rPr>
        <w:t xml:space="preserve">, f. 2; </w:t>
      </w:r>
      <w:hyperlink w:anchor="SENTENCIA_2002_27" w:history="1">
        <w:r w:rsidRPr="000C3DF9">
          <w:rPr>
            <w:rStyle w:val="TextoNormalCaracter"/>
          </w:rPr>
          <w:t>27/2002</w:t>
        </w:r>
      </w:hyperlink>
      <w:r w:rsidRPr="000C3DF9">
        <w:rPr>
          <w:rStyle w:val="TextoNormalCaracter"/>
        </w:rPr>
        <w:t xml:space="preserve">, f. 6; </w:t>
      </w:r>
      <w:hyperlink w:anchor="SENTENCIA_2002_32" w:history="1">
        <w:r w:rsidRPr="000C3DF9">
          <w:rPr>
            <w:rStyle w:val="TextoNormalCaracter"/>
          </w:rPr>
          <w:t>32/2002</w:t>
        </w:r>
      </w:hyperlink>
      <w:r w:rsidRPr="000C3DF9">
        <w:rPr>
          <w:rStyle w:val="TextoNormalCaracter"/>
        </w:rPr>
        <w:t xml:space="preserve">, f. 2; </w:t>
      </w:r>
      <w:hyperlink w:anchor="SENTENCIA_2002_50" w:history="1">
        <w:r w:rsidRPr="000C3DF9">
          <w:rPr>
            <w:rStyle w:val="TextoNormalCaracter"/>
          </w:rPr>
          <w:t>50/2002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Concepto, </w:t>
      </w:r>
      <w:r w:rsidRPr="000C3DF9">
        <w:rPr>
          <w:rStyle w:val="TextoNormalCaracter"/>
        </w:rPr>
        <w:t xml:space="preserve">Sentencia </w:t>
      </w:r>
      <w:hyperlink w:anchor="SENTENCIA_2002_33" w:history="1">
        <w:r w:rsidRPr="000C3DF9">
          <w:rPr>
            <w:rStyle w:val="TextoNormalCaracter"/>
          </w:rPr>
          <w:t>33/2002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36" w:history="1">
        <w:r w:rsidRPr="000C3DF9">
          <w:rPr>
            <w:rStyle w:val="TextoNormalCaracter"/>
          </w:rPr>
          <w:t>36/2002</w:t>
        </w:r>
      </w:hyperlink>
      <w:r w:rsidRPr="000C3DF9">
        <w:rPr>
          <w:rStyle w:val="TextoNormalCaracter"/>
        </w:rPr>
        <w:t xml:space="preserve">, f. 6; </w:t>
      </w:r>
      <w:hyperlink w:anchor="SENTENCIA_2002_70" w:history="1">
        <w:r w:rsidRPr="000C3DF9">
          <w:rPr>
            <w:rStyle w:val="TextoNormalCaracter"/>
          </w:rPr>
          <w:t>70/2002</w:t>
        </w:r>
      </w:hyperlink>
      <w:r w:rsidRPr="000C3DF9">
        <w:rPr>
          <w:rStyle w:val="TextoNormalCaracter"/>
        </w:rPr>
        <w:t>, f. 8.</w:t>
      </w:r>
    </w:p>
    <w:p w:rsidR="000C3DF9" w:rsidRPr="000C3DF9" w:rsidRDefault="000C3DF9" w:rsidP="000C3DF9">
      <w:pPr>
        <w:pStyle w:val="TextoNormalSangraFrancesa"/>
        <w:rPr>
          <w:rStyle w:val="TextoNormalCaracter"/>
        </w:rPr>
      </w:pPr>
      <w:bookmarkStart w:id="1312" w:name="DESCRIPTORALFABETICO93"/>
      <w:r w:rsidRPr="000C3DF9">
        <w:rPr>
          <w:rStyle w:val="TextoNormalNegritaCaracter"/>
        </w:rPr>
        <w:t>Incongruencia omisiva</w:t>
      </w:r>
      <w:bookmarkEnd w:id="1312"/>
      <w:r w:rsidRPr="000C3DF9">
        <w:rPr>
          <w:rStyle w:val="TextoNormalCaracter"/>
        </w:rPr>
        <w:t xml:space="preserve">, Sentencias </w:t>
      </w:r>
      <w:hyperlink w:anchor="SENTENCIA_2002_20" w:history="1">
        <w:r w:rsidRPr="000C3DF9">
          <w:rPr>
            <w:rStyle w:val="TextoNormalCaracter"/>
          </w:rPr>
          <w:t>20/2002</w:t>
        </w:r>
      </w:hyperlink>
      <w:r w:rsidRPr="000C3DF9">
        <w:rPr>
          <w:rStyle w:val="TextoNormalCaracter"/>
        </w:rPr>
        <w:t xml:space="preserve">, f. 2; </w:t>
      </w:r>
      <w:hyperlink w:anchor="SENTENCIA_2002_35" w:history="1">
        <w:r w:rsidRPr="000C3DF9">
          <w:rPr>
            <w:rStyle w:val="TextoNormalCaracter"/>
          </w:rPr>
          <w:t>35/2002</w:t>
        </w:r>
      </w:hyperlink>
      <w:r w:rsidRPr="000C3DF9">
        <w:rPr>
          <w:rStyle w:val="TextoNormalCaracter"/>
        </w:rPr>
        <w:t xml:space="preserve">, f. 2; </w:t>
      </w:r>
      <w:hyperlink w:anchor="SENTENCIA_2002_36" w:history="1">
        <w:r w:rsidRPr="000C3DF9">
          <w:rPr>
            <w:rStyle w:val="TextoNormalCaracter"/>
          </w:rPr>
          <w:t>36/2002</w:t>
        </w:r>
      </w:hyperlink>
      <w:r w:rsidRPr="000C3DF9">
        <w:rPr>
          <w:rStyle w:val="TextoNormalCaracter"/>
        </w:rPr>
        <w:t xml:space="preserve">, f. 6; </w:t>
      </w:r>
      <w:hyperlink w:anchor="SENTENCIA_2002_70" w:history="1">
        <w:r w:rsidRPr="000C3DF9">
          <w:rPr>
            <w:rStyle w:val="TextoNormalCaracter"/>
          </w:rPr>
          <w:t>70/2002</w:t>
        </w:r>
      </w:hyperlink>
      <w:r w:rsidRPr="000C3DF9">
        <w:rPr>
          <w:rStyle w:val="TextoNormalCaracter"/>
        </w:rPr>
        <w:t>, f. 8.</w:t>
      </w:r>
    </w:p>
    <w:p w:rsidR="000C3DF9" w:rsidRPr="000C3DF9" w:rsidRDefault="000C3DF9" w:rsidP="000C3DF9">
      <w:pPr>
        <w:pStyle w:val="TextoNormalSangraFrancesa"/>
        <w:rPr>
          <w:rStyle w:val="TextoNormalCaracter"/>
        </w:rPr>
      </w:pPr>
      <w:bookmarkStart w:id="1313" w:name="DESCRIPTORALFABETICO220"/>
      <w:r w:rsidRPr="000C3DF9">
        <w:rPr>
          <w:rStyle w:val="TextoNormalNegritaCaracter"/>
        </w:rPr>
        <w:t>Inconstitucionalidad por conexión</w:t>
      </w:r>
      <w:bookmarkEnd w:id="1313"/>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 10.</w:t>
      </w:r>
    </w:p>
    <w:p w:rsidR="000C3DF9" w:rsidRPr="000C3DF9" w:rsidRDefault="000C3DF9" w:rsidP="000C3DF9">
      <w:pPr>
        <w:pStyle w:val="TextoNormalSangraFrancesa"/>
        <w:rPr>
          <w:rStyle w:val="TextoNormalNegritaCaracter"/>
        </w:rPr>
      </w:pPr>
      <w:r w:rsidRPr="000C3DF9">
        <w:rPr>
          <w:rStyle w:val="TextoNormalCursivaCaracter"/>
        </w:rPr>
        <w:t>Inconstitucionalidad por consecuencia</w:t>
      </w:r>
      <w:r>
        <w:t xml:space="preserve"> véase </w:t>
      </w:r>
      <w:hyperlink w:anchor="DESCRIPTORALFABETICO220" w:history="1">
        <w:r w:rsidRPr="000C3DF9">
          <w:rPr>
            <w:rStyle w:val="TextoNormalNegritaCaracter"/>
          </w:rPr>
          <w:t>Inconstitucionalidad por conexión</w:t>
        </w:r>
      </w:hyperlink>
    </w:p>
    <w:p w:rsidR="000C3DF9" w:rsidRPr="000C3DF9" w:rsidRDefault="000C3DF9" w:rsidP="000C3DF9">
      <w:pPr>
        <w:pStyle w:val="TextoNormalSangraFrancesa"/>
        <w:rPr>
          <w:rStyle w:val="TextoNormalCaracter"/>
        </w:rPr>
      </w:pPr>
      <w:bookmarkStart w:id="1314" w:name="DESCRIPTORALFABETICO372"/>
      <w:r w:rsidRPr="000C3DF9">
        <w:rPr>
          <w:rStyle w:val="TextoNormalNegritaCaracter"/>
        </w:rPr>
        <w:t>Incorporación de bienes al patrimonio de la Administración</w:t>
      </w:r>
      <w:bookmarkEnd w:id="1314"/>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10.</w:t>
      </w:r>
    </w:p>
    <w:p w:rsidR="000C3DF9" w:rsidRPr="000C3DF9" w:rsidRDefault="000C3DF9" w:rsidP="000C3DF9">
      <w:pPr>
        <w:pStyle w:val="TextoNormalSangraFrancesa"/>
        <w:rPr>
          <w:rStyle w:val="TextoNormalNegritaCaracter"/>
        </w:rPr>
      </w:pPr>
      <w:r w:rsidRPr="000C3DF9">
        <w:rPr>
          <w:rStyle w:val="TextoNormalCursivaCaracter"/>
        </w:rPr>
        <w:t>Inculpados</w:t>
      </w:r>
      <w:r>
        <w:t xml:space="preserve"> véase </w:t>
      </w:r>
      <w:hyperlink w:anchor="DESCRIPTORALFABETICO697" w:history="1">
        <w:r w:rsidRPr="000C3DF9">
          <w:rPr>
            <w:rStyle w:val="TextoNormalNegritaCaracter"/>
          </w:rPr>
          <w:t>Imputados</w:t>
        </w:r>
      </w:hyperlink>
    </w:p>
    <w:p w:rsidR="000C3DF9" w:rsidRPr="000C3DF9" w:rsidRDefault="000C3DF9" w:rsidP="000C3DF9">
      <w:pPr>
        <w:pStyle w:val="TextoNormalSangraFrancesa"/>
        <w:rPr>
          <w:rStyle w:val="TextoNormalCaracter"/>
        </w:rPr>
      </w:pPr>
      <w:bookmarkStart w:id="1315" w:name="DESCRIPTORALFABETICO428"/>
      <w:r w:rsidRPr="000C3DF9">
        <w:rPr>
          <w:rStyle w:val="TextoNormalNegritaCaracter"/>
        </w:rPr>
        <w:t>Incumplimiento de normas básicas</w:t>
      </w:r>
      <w:bookmarkEnd w:id="1315"/>
      <w:r w:rsidRPr="000C3DF9">
        <w:rPr>
          <w:rStyle w:val="TextoNormalCaracter"/>
        </w:rPr>
        <w:t xml:space="preserve">, Auto </w:t>
      </w:r>
      <w:hyperlink w:anchor="AUTO_2002_72" w:history="1">
        <w:r w:rsidRPr="000C3DF9">
          <w:rPr>
            <w:rStyle w:val="TextoNormalCaracter"/>
          </w:rPr>
          <w:t>72/2002</w:t>
        </w:r>
      </w:hyperlink>
      <w:r w:rsidRPr="000C3DF9">
        <w:rPr>
          <w:rStyle w:val="TextoNormalCaracter"/>
        </w:rPr>
        <w:t>.</w:t>
      </w:r>
    </w:p>
    <w:p w:rsidR="000C3DF9" w:rsidRPr="000C3DF9" w:rsidRDefault="000C3DF9" w:rsidP="000C3DF9">
      <w:pPr>
        <w:pStyle w:val="TextoNormalSangraFrancesa"/>
        <w:rPr>
          <w:rStyle w:val="TextoNormalCaracter"/>
        </w:rPr>
      </w:pPr>
      <w:bookmarkStart w:id="1316" w:name="DESCRIPTORALFABETICO611"/>
      <w:r w:rsidRPr="000C3DF9">
        <w:rPr>
          <w:rStyle w:val="TextoNormalNegritaCaracter"/>
        </w:rPr>
        <w:t>Indefensión</w:t>
      </w:r>
      <w:bookmarkEnd w:id="1316"/>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2; </w:t>
      </w:r>
      <w:hyperlink w:anchor="SENTENCIA_2002_50" w:history="1">
        <w:r w:rsidRPr="000C3DF9">
          <w:rPr>
            <w:rStyle w:val="TextoNormalCaracter"/>
          </w:rPr>
          <w:t>50/2002</w:t>
        </w:r>
      </w:hyperlink>
      <w:r w:rsidRPr="000C3DF9">
        <w:rPr>
          <w:rStyle w:val="TextoNormalCaracter"/>
        </w:rPr>
        <w:t xml:space="preserve">, ff. 2 a 4; </w:t>
      </w:r>
      <w:hyperlink w:anchor="SENTENCIA_2002_61" w:history="1">
        <w:r w:rsidRPr="000C3DF9">
          <w:rPr>
            <w:rStyle w:val="TextoNormalCaracter"/>
          </w:rPr>
          <w:t>61/2002</w:t>
        </w:r>
      </w:hyperlink>
      <w:r w:rsidRPr="000C3DF9">
        <w:rPr>
          <w:rStyle w:val="TextoNormalCaracter"/>
        </w:rPr>
        <w:t xml:space="preserve">, f. 3; </w:t>
      </w:r>
      <w:hyperlink w:anchor="SENTENCIA_2002_79" w:history="1">
        <w:r w:rsidRPr="000C3DF9">
          <w:rPr>
            <w:rStyle w:val="TextoNormalCaracter"/>
          </w:rPr>
          <w:t>79/2002</w:t>
        </w:r>
      </w:hyperlink>
      <w:r w:rsidRPr="000C3DF9">
        <w:rPr>
          <w:rStyle w:val="TextoNormalCaracter"/>
        </w:rPr>
        <w:t xml:space="preserve">, f. 5; </w:t>
      </w:r>
      <w:hyperlink w:anchor="SENTENCIA_2002_81" w:history="1">
        <w:r w:rsidRPr="000C3DF9">
          <w:rPr>
            <w:rStyle w:val="TextoNormalCaracter"/>
          </w:rPr>
          <w:t>81/2002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317" w:name="DESCRIPTORALFABETICO107"/>
      <w:r w:rsidRPr="000C3DF9">
        <w:rPr>
          <w:rStyle w:val="TextoNormalNegritaCaracter"/>
        </w:rPr>
        <w:t>Indefensión material</w:t>
      </w:r>
      <w:bookmarkEnd w:id="1317"/>
      <w:r w:rsidRPr="000C3DF9">
        <w:rPr>
          <w:rStyle w:val="TextoNormalCaracter"/>
        </w:rPr>
        <w:t xml:space="preserve">, Sentencias </w:t>
      </w:r>
      <w:hyperlink w:anchor="SENTENCIA_2002_40" w:history="1">
        <w:r w:rsidRPr="000C3DF9">
          <w:rPr>
            <w:rStyle w:val="TextoNormalCaracter"/>
          </w:rPr>
          <w:t>40/2002</w:t>
        </w:r>
      </w:hyperlink>
      <w:r w:rsidRPr="000C3DF9">
        <w:rPr>
          <w:rStyle w:val="TextoNormalCaracter"/>
        </w:rPr>
        <w:t xml:space="preserve">, f. 4; </w:t>
      </w:r>
      <w:hyperlink w:anchor="SENTENCIA_2002_59" w:history="1">
        <w:r w:rsidRPr="000C3DF9">
          <w:rPr>
            <w:rStyle w:val="TextoNormalCaracter"/>
          </w:rPr>
          <w:t>59/2002</w:t>
        </w:r>
      </w:hyperlink>
      <w:r w:rsidRPr="000C3DF9">
        <w:rPr>
          <w:rStyle w:val="TextoNormalCaracter"/>
        </w:rPr>
        <w:t xml:space="preserve">, f. 2; </w:t>
      </w:r>
      <w:hyperlink w:anchor="SENTENCIA_2002_73" w:history="1">
        <w:r w:rsidRPr="000C3DF9">
          <w:rPr>
            <w:rStyle w:val="TextoNormalCaracter"/>
          </w:rPr>
          <w:t>73/2002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18" w:name="DESCRIPTORALFABETICO494"/>
      <w:r w:rsidRPr="000C3DF9">
        <w:rPr>
          <w:rStyle w:val="TextoNormalNegritaCaracter"/>
        </w:rPr>
        <w:t>Indemnización</w:t>
      </w:r>
      <w:bookmarkEnd w:id="1318"/>
      <w:r w:rsidRPr="000C3DF9">
        <w:rPr>
          <w:rStyle w:val="TextoNormalCaracter"/>
        </w:rPr>
        <w:t xml:space="preserve">, Sentencia </w:t>
      </w:r>
      <w:hyperlink w:anchor="SENTENCIA_2002_6" w:history="1">
        <w:r w:rsidRPr="000C3DF9">
          <w:rPr>
            <w:rStyle w:val="TextoNormalCaracter"/>
          </w:rPr>
          <w:t>6/2002</w:t>
        </w:r>
      </w:hyperlink>
      <w:r w:rsidRPr="000C3DF9">
        <w:rPr>
          <w:rStyle w:val="TextoNormalCaracter"/>
        </w:rPr>
        <w:t>, ff. 4, 5.</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41" w:history="1">
        <w:r w:rsidRPr="000C3DF9">
          <w:rPr>
            <w:rStyle w:val="TextoNormalCaracter"/>
          </w:rPr>
          <w:t>41/2002</w:t>
        </w:r>
      </w:hyperlink>
      <w:r w:rsidRPr="000C3DF9">
        <w:rPr>
          <w:rStyle w:val="TextoNormalCaracter"/>
        </w:rPr>
        <w:t xml:space="preserve">; </w:t>
      </w:r>
      <w:hyperlink w:anchor="AUTO_2002_65" w:history="1">
        <w:r w:rsidRPr="000C3DF9">
          <w:rPr>
            <w:rStyle w:val="TextoNormalCaracter"/>
          </w:rPr>
          <w:t>65/2002</w:t>
        </w:r>
      </w:hyperlink>
      <w:r w:rsidRPr="000C3DF9">
        <w:rPr>
          <w:rStyle w:val="TextoNormalCaracter"/>
        </w:rPr>
        <w:t xml:space="preserve">; </w:t>
      </w:r>
      <w:hyperlink w:anchor="AUTO_2002_69" w:history="1">
        <w:r w:rsidRPr="000C3DF9">
          <w:rPr>
            <w:rStyle w:val="TextoNormalCaracter"/>
          </w:rPr>
          <w:t>69/2002</w:t>
        </w:r>
      </w:hyperlink>
      <w:r w:rsidRPr="000C3DF9">
        <w:rPr>
          <w:rStyle w:val="TextoNormalCaracter"/>
        </w:rPr>
        <w:t>.</w:t>
      </w:r>
    </w:p>
    <w:p w:rsidR="000C3DF9" w:rsidRPr="000C3DF9" w:rsidRDefault="000C3DF9" w:rsidP="000C3DF9">
      <w:pPr>
        <w:pStyle w:val="TextoNormalSangraFrancesa"/>
        <w:rPr>
          <w:rStyle w:val="TextoNormalCaracter"/>
        </w:rPr>
      </w:pPr>
      <w:bookmarkStart w:id="1319" w:name="DESCRIPTORALFABETICO495"/>
      <w:r w:rsidRPr="000C3DF9">
        <w:rPr>
          <w:rStyle w:val="TextoNormalNegritaCaracter"/>
        </w:rPr>
        <w:t>Indemnización conforme a baremo legal de valoración de daños</w:t>
      </w:r>
      <w:bookmarkEnd w:id="1319"/>
      <w:r w:rsidRPr="000C3DF9">
        <w:rPr>
          <w:rStyle w:val="TextoNormalCaracter"/>
        </w:rPr>
        <w:t xml:space="preserve">, Sentencia </w:t>
      </w:r>
      <w:hyperlink w:anchor="SENTENCIA_2002_9" w:history="1">
        <w:r w:rsidRPr="000C3DF9">
          <w:rPr>
            <w:rStyle w:val="TextoNormalCaracter"/>
          </w:rPr>
          <w:t>9/2002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20" w:name="DESCRIPTORALFABETICO9"/>
      <w:r w:rsidRPr="000C3DF9">
        <w:rPr>
          <w:rStyle w:val="TextoNormalNegritaCaracter"/>
        </w:rPr>
        <w:t>Indisponibilidad de las competencias</w:t>
      </w:r>
      <w:bookmarkEnd w:id="1320"/>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2.</w:t>
      </w:r>
    </w:p>
    <w:p w:rsidR="000C3DF9" w:rsidRPr="000C3DF9" w:rsidRDefault="000C3DF9" w:rsidP="000C3DF9">
      <w:pPr>
        <w:pStyle w:val="TextoNormalSangraFrancesa"/>
        <w:rPr>
          <w:rStyle w:val="TextoNormalCaracter"/>
        </w:rPr>
      </w:pPr>
      <w:bookmarkStart w:id="1321" w:name="DESCRIPTORALFABETICO593"/>
      <w:r w:rsidRPr="000C3DF9">
        <w:rPr>
          <w:rStyle w:val="TextoNormalNegritaCaracter"/>
        </w:rPr>
        <w:t>Ineficacia probatoria de la prueba ilícita</w:t>
      </w:r>
      <w:bookmarkEnd w:id="1321"/>
      <w:r w:rsidRPr="000C3DF9">
        <w:rPr>
          <w:rStyle w:val="TextoNormalCaracter"/>
        </w:rPr>
        <w:t xml:space="preserve">, Sentencia </w:t>
      </w:r>
      <w:hyperlink w:anchor="SENTENCIA_2002_28" w:history="1">
        <w:r w:rsidRPr="000C3DF9">
          <w:rPr>
            <w:rStyle w:val="TextoNormalCaracter"/>
          </w:rPr>
          <w:t>28/2002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22" w:name="DESCRIPTORALFABETICO452"/>
      <w:r w:rsidRPr="000C3DF9">
        <w:rPr>
          <w:rStyle w:val="TextoNormalNegritaCaracter"/>
        </w:rPr>
        <w:t>Inexistencia de deslegalización</w:t>
      </w:r>
      <w:bookmarkEnd w:id="1322"/>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7.</w:t>
      </w:r>
    </w:p>
    <w:p w:rsidR="000C3DF9" w:rsidRPr="000C3DF9" w:rsidRDefault="000C3DF9" w:rsidP="000C3DF9">
      <w:pPr>
        <w:pStyle w:val="TextoNormalSangraFrancesa"/>
        <w:rPr>
          <w:rStyle w:val="TextoNormalCaracter"/>
        </w:rPr>
      </w:pPr>
      <w:bookmarkStart w:id="1323" w:name="DESCRIPTORALFABETICO638"/>
      <w:r w:rsidRPr="000C3DF9">
        <w:rPr>
          <w:rStyle w:val="TextoNormalNegritaCaracter"/>
        </w:rPr>
        <w:t>Inexistencia de recurso</w:t>
      </w:r>
      <w:bookmarkEnd w:id="1323"/>
      <w:r w:rsidRPr="000C3DF9">
        <w:rPr>
          <w:rStyle w:val="TextoNormalCaracter"/>
        </w:rPr>
        <w:t xml:space="preserve">, Sentencia </w:t>
      </w:r>
      <w:hyperlink w:anchor="SENTENCIA_2002_65" w:history="1">
        <w:r w:rsidRPr="000C3DF9">
          <w:rPr>
            <w:rStyle w:val="TextoNormalCaracter"/>
          </w:rPr>
          <w:t>65/2002</w:t>
        </w:r>
      </w:hyperlink>
      <w:r w:rsidRPr="000C3DF9">
        <w:rPr>
          <w:rStyle w:val="TextoNormalCaracter"/>
        </w:rPr>
        <w:t>, ff. 5 a 7.</w:t>
      </w:r>
    </w:p>
    <w:p w:rsidR="000C3DF9" w:rsidRPr="000C3DF9" w:rsidRDefault="000C3DF9" w:rsidP="000C3DF9">
      <w:pPr>
        <w:pStyle w:val="TextoNormalSangraFrancesa"/>
        <w:rPr>
          <w:rStyle w:val="TextoNormalCaracter"/>
        </w:rPr>
      </w:pPr>
      <w:bookmarkStart w:id="1324" w:name="DESCRIPTORALFABETICO647"/>
      <w:r w:rsidRPr="000C3DF9">
        <w:rPr>
          <w:rStyle w:val="TextoNormalNegritaCaracter"/>
        </w:rPr>
        <w:t>Infracción de norma no emanada de la Comunidad Autónoma</w:t>
      </w:r>
      <w:bookmarkEnd w:id="1324"/>
      <w:r w:rsidRPr="000C3DF9">
        <w:rPr>
          <w:rStyle w:val="TextoNormalCaracter"/>
        </w:rPr>
        <w:t xml:space="preserve">, Sentencia </w:t>
      </w:r>
      <w:hyperlink w:anchor="SENTENCIA_2002_89" w:history="1">
        <w:r w:rsidRPr="000C3DF9">
          <w:rPr>
            <w:rStyle w:val="TextoNormalCaracter"/>
          </w:rPr>
          <w:t>89/2002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Infracciones y sanciones administrativas</w:t>
      </w:r>
      <w:r>
        <w:t xml:space="preserve"> véase </w:t>
      </w:r>
      <w:hyperlink w:anchor="DESCRIPTORALFABETICO365" w:history="1">
        <w:r w:rsidRPr="000C3DF9">
          <w:rPr>
            <w:rStyle w:val="TextoNormalNegritaCaracter"/>
          </w:rPr>
          <w:t>Derecho administrativo sancionador</w:t>
        </w:r>
      </w:hyperlink>
    </w:p>
    <w:p w:rsidR="000C3DF9" w:rsidRPr="000C3DF9" w:rsidRDefault="000C3DF9" w:rsidP="000C3DF9">
      <w:pPr>
        <w:pStyle w:val="TextoNormalSangraFrancesa"/>
        <w:rPr>
          <w:rStyle w:val="TextoNormalCaracter"/>
        </w:rPr>
      </w:pPr>
      <w:bookmarkStart w:id="1325" w:name="DESCRIPTORALFABETICO459"/>
      <w:r w:rsidRPr="000C3DF9">
        <w:rPr>
          <w:rStyle w:val="TextoNormalNegritaCaracter"/>
        </w:rPr>
        <w:t>Inhabilitación absoluta</w:t>
      </w:r>
      <w:bookmarkEnd w:id="1325"/>
      <w:r w:rsidRPr="000C3DF9">
        <w:rPr>
          <w:rStyle w:val="TextoNormalCaracter"/>
        </w:rPr>
        <w:t xml:space="preserve">, Auto </w:t>
      </w:r>
      <w:hyperlink w:anchor="AUTO_2002_63" w:history="1">
        <w:r w:rsidRPr="000C3DF9">
          <w:rPr>
            <w:rStyle w:val="TextoNormalCaracter"/>
          </w:rPr>
          <w:t>63/2002</w:t>
        </w:r>
      </w:hyperlink>
      <w:r w:rsidRPr="000C3DF9">
        <w:rPr>
          <w:rStyle w:val="TextoNormalCaracter"/>
        </w:rPr>
        <w:t>.</w:t>
      </w:r>
    </w:p>
    <w:p w:rsidR="000C3DF9" w:rsidRPr="000C3DF9" w:rsidRDefault="000C3DF9" w:rsidP="000C3DF9">
      <w:pPr>
        <w:pStyle w:val="TextoNormalSangraFrancesa"/>
        <w:rPr>
          <w:rStyle w:val="TextoNormalCaracter"/>
        </w:rPr>
      </w:pPr>
      <w:bookmarkStart w:id="1326" w:name="DESCRIPTORALFABETICO460"/>
      <w:r w:rsidRPr="000C3DF9">
        <w:rPr>
          <w:rStyle w:val="TextoNormalNegritaCaracter"/>
        </w:rPr>
        <w:t>Inhabilitación especial</w:t>
      </w:r>
      <w:bookmarkEnd w:id="1326"/>
      <w:r w:rsidRPr="000C3DF9">
        <w:rPr>
          <w:rStyle w:val="TextoNormalCaracter"/>
        </w:rPr>
        <w:t xml:space="preserve">, Auto </w:t>
      </w:r>
      <w:hyperlink w:anchor="AUTO_2002_22" w:history="1">
        <w:r w:rsidRPr="000C3DF9">
          <w:rPr>
            <w:rStyle w:val="TextoNormalCaracter"/>
          </w:rPr>
          <w:t>22/2002</w:t>
        </w:r>
      </w:hyperlink>
      <w:r w:rsidRPr="000C3DF9">
        <w:rPr>
          <w:rStyle w:val="TextoNormalCaracter"/>
        </w:rPr>
        <w:t>.</w:t>
      </w:r>
    </w:p>
    <w:p w:rsidR="000C3DF9" w:rsidRPr="000C3DF9" w:rsidRDefault="000C3DF9" w:rsidP="000C3DF9">
      <w:pPr>
        <w:pStyle w:val="TextoNormalSangraFrancesa"/>
        <w:rPr>
          <w:rStyle w:val="TextoNormalCaracter"/>
        </w:rPr>
      </w:pPr>
      <w:bookmarkStart w:id="1327" w:name="DESCRIPTORALFABETICO461"/>
      <w:r w:rsidRPr="000C3DF9">
        <w:rPr>
          <w:rStyle w:val="TextoNormalNegritaCaracter"/>
        </w:rPr>
        <w:t>Inhabilitación especial para el derecho de sufragio pasivo</w:t>
      </w:r>
      <w:bookmarkEnd w:id="1327"/>
      <w:r w:rsidRPr="000C3DF9">
        <w:rPr>
          <w:rStyle w:val="TextoNormalCaracter"/>
        </w:rPr>
        <w:t xml:space="preserve">, Auto </w:t>
      </w:r>
      <w:hyperlink w:anchor="AUTO_2002_22" w:history="1">
        <w:r w:rsidRPr="000C3DF9">
          <w:rPr>
            <w:rStyle w:val="TextoNormalCaracter"/>
          </w:rPr>
          <w:t>22/2002</w:t>
        </w:r>
      </w:hyperlink>
      <w:r w:rsidRPr="000C3DF9">
        <w:rPr>
          <w:rStyle w:val="TextoNormalCaracter"/>
        </w:rPr>
        <w:t>.</w:t>
      </w:r>
    </w:p>
    <w:p w:rsidR="000C3DF9" w:rsidRPr="000C3DF9" w:rsidRDefault="000C3DF9" w:rsidP="000C3DF9">
      <w:pPr>
        <w:pStyle w:val="TextoNormalSangraFrancesa"/>
        <w:rPr>
          <w:rStyle w:val="TextoNormalCaracter"/>
        </w:rPr>
      </w:pPr>
      <w:bookmarkStart w:id="1328" w:name="DESCRIPTORALFABETICO462"/>
      <w:r w:rsidRPr="000C3DF9">
        <w:rPr>
          <w:rStyle w:val="TextoNormalNegritaCaracter"/>
        </w:rPr>
        <w:t>Inhabilitación especial para profesión</w:t>
      </w:r>
      <w:bookmarkEnd w:id="1328"/>
      <w:r w:rsidRPr="000C3DF9">
        <w:rPr>
          <w:rStyle w:val="TextoNormalCaracter"/>
        </w:rPr>
        <w:t xml:space="preserve">, Auto </w:t>
      </w:r>
      <w:hyperlink w:anchor="AUTO_2002_22" w:history="1">
        <w:r w:rsidRPr="000C3DF9">
          <w:rPr>
            <w:rStyle w:val="TextoNormalCaracter"/>
          </w:rPr>
          <w:t>22/2002</w:t>
        </w:r>
      </w:hyperlink>
      <w:r w:rsidRPr="000C3DF9">
        <w:rPr>
          <w:rStyle w:val="TextoNormalCaracter"/>
        </w:rPr>
        <w:t>.</w:t>
      </w:r>
    </w:p>
    <w:p w:rsidR="000C3DF9" w:rsidRPr="000C3DF9" w:rsidRDefault="000C3DF9" w:rsidP="000C3DF9">
      <w:pPr>
        <w:pStyle w:val="TextoNormalSangraFrancesa"/>
        <w:rPr>
          <w:rStyle w:val="TextoNormalCaracter"/>
        </w:rPr>
      </w:pPr>
      <w:bookmarkStart w:id="1329" w:name="DESCRIPTORALFABETICO94"/>
      <w:r w:rsidRPr="000C3DF9">
        <w:rPr>
          <w:rStyle w:val="TextoNormalNegritaCaracter"/>
        </w:rPr>
        <w:t>Inmodificabilidad de las resoluciones judiciales</w:t>
      </w:r>
      <w:bookmarkEnd w:id="1329"/>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13" w:history="1">
        <w:r w:rsidRPr="000C3DF9">
          <w:rPr>
            <w:rStyle w:val="TextoNormalCaracter"/>
          </w:rPr>
          <w:t>13/2002</w:t>
        </w:r>
      </w:hyperlink>
      <w:r w:rsidRPr="000C3DF9">
        <w:rPr>
          <w:rStyle w:val="TextoNormalCaracter"/>
        </w:rPr>
        <w:t>, f. 7.</w:t>
      </w:r>
    </w:p>
    <w:p w:rsidR="000C3DF9" w:rsidRPr="000C3DF9" w:rsidRDefault="000C3DF9" w:rsidP="000C3DF9">
      <w:pPr>
        <w:pStyle w:val="TextoNormalSangraFrancesa"/>
        <w:rPr>
          <w:rStyle w:val="TextoNormalCaracter"/>
        </w:rPr>
      </w:pPr>
      <w:bookmarkStart w:id="1330" w:name="DESCRIPTORALFABETICO95"/>
      <w:r w:rsidRPr="000C3DF9">
        <w:rPr>
          <w:rStyle w:val="TextoNormalNegritaCaracter"/>
        </w:rPr>
        <w:t>Inmodificabilidad de las sentencias</w:t>
      </w:r>
      <w:bookmarkEnd w:id="1330"/>
      <w:r w:rsidRPr="000C3DF9">
        <w:rPr>
          <w:rStyle w:val="TextoNormalCaracter"/>
        </w:rPr>
        <w:t xml:space="preserve">, Sentencias </w:t>
      </w:r>
      <w:hyperlink w:anchor="SENTENCIA_2002_55" w:history="1">
        <w:r w:rsidRPr="000C3DF9">
          <w:rPr>
            <w:rStyle w:val="TextoNormalCaracter"/>
          </w:rPr>
          <w:t>55/2002</w:t>
        </w:r>
      </w:hyperlink>
      <w:r w:rsidRPr="000C3DF9">
        <w:rPr>
          <w:rStyle w:val="TextoNormalCaracter"/>
        </w:rPr>
        <w:t xml:space="preserve">, f. 4; </w:t>
      </w:r>
      <w:hyperlink w:anchor="SENTENCIA_2002_56" w:history="1">
        <w:r w:rsidRPr="000C3DF9">
          <w:rPr>
            <w:rStyle w:val="TextoNormalCaracter"/>
          </w:rPr>
          <w:t>56/2002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Sentencias </w:t>
      </w:r>
      <w:hyperlink w:anchor="SENTENCIA_2002_55" w:history="1">
        <w:r w:rsidRPr="000C3DF9">
          <w:rPr>
            <w:rStyle w:val="TextoNormalCaracter"/>
          </w:rPr>
          <w:t>55/2002</w:t>
        </w:r>
      </w:hyperlink>
      <w:r w:rsidRPr="000C3DF9">
        <w:rPr>
          <w:rStyle w:val="TextoNormalCaracter"/>
        </w:rPr>
        <w:t xml:space="preserve">, f. 2; </w:t>
      </w:r>
      <w:hyperlink w:anchor="SENTENCIA_2002_56" w:history="1">
        <w:r w:rsidRPr="000C3DF9">
          <w:rPr>
            <w:rStyle w:val="TextoNormalCaracter"/>
          </w:rPr>
          <w:t>56/2002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55" w:history="1">
        <w:r w:rsidRPr="000C3DF9">
          <w:rPr>
            <w:rStyle w:val="TextoNormalCaracter"/>
          </w:rPr>
          <w:t>55/2002</w:t>
        </w:r>
      </w:hyperlink>
      <w:r w:rsidRPr="000C3DF9">
        <w:rPr>
          <w:rStyle w:val="TextoNormalCaracter"/>
        </w:rPr>
        <w:t xml:space="preserve">, ff. 4, 5; </w:t>
      </w:r>
      <w:hyperlink w:anchor="SENTENCIA_2002_56" w:history="1">
        <w:r w:rsidRPr="000C3DF9">
          <w:rPr>
            <w:rStyle w:val="TextoNormalCaracter"/>
          </w:rPr>
          <w:t>56/2002</w:t>
        </w:r>
      </w:hyperlink>
      <w:r w:rsidRPr="000C3DF9">
        <w:rPr>
          <w:rStyle w:val="TextoNormalCaracter"/>
        </w:rPr>
        <w:t>, f. 5.</w:t>
      </w:r>
    </w:p>
    <w:p w:rsidR="000C3DF9" w:rsidRPr="000C3DF9" w:rsidRDefault="000C3DF9" w:rsidP="000C3DF9">
      <w:pPr>
        <w:pStyle w:val="TextoNormalSangraFrancesa"/>
        <w:rPr>
          <w:rStyle w:val="TextoNormalCaracter"/>
        </w:rPr>
      </w:pPr>
      <w:bookmarkStart w:id="1331" w:name="DESCRIPTORALFABETICO222"/>
      <w:r w:rsidRPr="000C3DF9">
        <w:rPr>
          <w:rStyle w:val="TextoNormalNegritaCaracter"/>
        </w:rPr>
        <w:t>Integración de la laguna producida por la anulación de una ley</w:t>
      </w:r>
      <w:bookmarkEnd w:id="1331"/>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Interdicción de la arbitrariedad de los poderes públicos</w:t>
      </w:r>
      <w:r>
        <w:t xml:space="preserve"> véase </w:t>
      </w:r>
      <w:hyperlink w:anchor="DESCRIPTORALFABETICO326" w:history="1">
        <w:r w:rsidRPr="000C3DF9">
          <w:rPr>
            <w:rStyle w:val="TextoNormalNegritaCaracter"/>
          </w:rPr>
          <w:t>Principio de interdicción de la arbitrariedad</w:t>
        </w:r>
      </w:hyperlink>
    </w:p>
    <w:p w:rsidR="000C3DF9" w:rsidRPr="000C3DF9" w:rsidRDefault="000C3DF9" w:rsidP="000C3DF9">
      <w:pPr>
        <w:pStyle w:val="TextoNormalSangraFrancesa"/>
        <w:rPr>
          <w:rStyle w:val="TextoNormalCaracter"/>
        </w:rPr>
      </w:pPr>
      <w:bookmarkStart w:id="1332" w:name="DESCRIPTORALFABETICO344"/>
      <w:r w:rsidRPr="000C3DF9">
        <w:rPr>
          <w:rStyle w:val="TextoNormalNegritaCaracter"/>
        </w:rPr>
        <w:t>Interés general</w:t>
      </w:r>
      <w:bookmarkEnd w:id="1332"/>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9 d).</w:t>
      </w:r>
    </w:p>
    <w:p w:rsidR="000C3DF9" w:rsidRPr="000C3DF9" w:rsidRDefault="000C3DF9" w:rsidP="000C3DF9">
      <w:pPr>
        <w:pStyle w:val="TextoNormalSangraFrancesa"/>
        <w:rPr>
          <w:rStyle w:val="TextoNormalCaracter"/>
        </w:rPr>
      </w:pPr>
      <w:bookmarkStart w:id="1333" w:name="DESCRIPTORALFABETICO619"/>
      <w:r w:rsidRPr="000C3DF9">
        <w:rPr>
          <w:rStyle w:val="TextoNormalNegritaCaracter"/>
        </w:rPr>
        <w:t>Interés legítimo</w:t>
      </w:r>
      <w:bookmarkEnd w:id="1333"/>
      <w:r w:rsidRPr="000C3DF9">
        <w:rPr>
          <w:rStyle w:val="TextoNormalCaracter"/>
        </w:rPr>
        <w:t xml:space="preserve">, Sentencia </w:t>
      </w:r>
      <w:hyperlink w:anchor="SENTENCIA_2002_31" w:history="1">
        <w:r w:rsidRPr="000C3DF9">
          <w:rPr>
            <w:rStyle w:val="TextoNormalCaracter"/>
          </w:rPr>
          <w:t>31/2002</w:t>
        </w:r>
      </w:hyperlink>
      <w:r w:rsidRPr="000C3DF9">
        <w:rPr>
          <w:rStyle w:val="TextoNormalCaracter"/>
        </w:rPr>
        <w:t>, f. 5.</w:t>
      </w:r>
    </w:p>
    <w:p w:rsidR="000C3DF9" w:rsidRPr="000C3DF9" w:rsidRDefault="000C3DF9" w:rsidP="000C3DF9">
      <w:pPr>
        <w:pStyle w:val="TextoNormalSangraFrancesa"/>
        <w:rPr>
          <w:rStyle w:val="TextoNormalCaracter"/>
        </w:rPr>
      </w:pPr>
      <w:bookmarkStart w:id="1334" w:name="DESCRIPTORALFABETICO249"/>
      <w:r w:rsidRPr="000C3DF9">
        <w:rPr>
          <w:rStyle w:val="TextoNormalNegritaCaracter"/>
        </w:rPr>
        <w:t>Interés legítimo en el recurso de amparo</w:t>
      </w:r>
      <w:bookmarkEnd w:id="1334"/>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Interés procesal</w:t>
      </w:r>
      <w:r>
        <w:t xml:space="preserve"> véase </w:t>
      </w:r>
      <w:hyperlink w:anchor="DESCRIPTORALFABETICO619" w:history="1">
        <w:r w:rsidRPr="000C3DF9">
          <w:rPr>
            <w:rStyle w:val="TextoNormalNegritaCaracter"/>
          </w:rPr>
          <w:t>Interés legítimo</w:t>
        </w:r>
      </w:hyperlink>
    </w:p>
    <w:p w:rsidR="000C3DF9" w:rsidRPr="000C3DF9" w:rsidRDefault="000C3DF9" w:rsidP="000C3DF9">
      <w:pPr>
        <w:pStyle w:val="TextoNormalSangraFrancesa"/>
        <w:rPr>
          <w:rStyle w:val="TextoNormalNegritaCaracter"/>
        </w:rPr>
      </w:pPr>
      <w:r w:rsidRPr="000C3DF9">
        <w:rPr>
          <w:rStyle w:val="TextoNormalCursivaCaracter"/>
        </w:rPr>
        <w:t>Interés propio</w:t>
      </w:r>
      <w:r>
        <w:t xml:space="preserve"> véase </w:t>
      </w:r>
      <w:hyperlink w:anchor="DESCRIPTORALFABETICO619" w:history="1">
        <w:r w:rsidRPr="000C3DF9">
          <w:rPr>
            <w:rStyle w:val="TextoNormalNegritaCaracter"/>
          </w:rPr>
          <w:t>Interés legítimo</w:t>
        </w:r>
      </w:hyperlink>
    </w:p>
    <w:p w:rsidR="000C3DF9" w:rsidRPr="000C3DF9" w:rsidRDefault="000C3DF9" w:rsidP="000C3DF9">
      <w:pPr>
        <w:pStyle w:val="TextoNormalSangraFrancesa"/>
        <w:rPr>
          <w:rStyle w:val="TextoNormalNegritaCaracter"/>
        </w:rPr>
      </w:pPr>
      <w:r w:rsidRPr="000C3DF9">
        <w:rPr>
          <w:rStyle w:val="TextoNormalCursivaCaracter"/>
        </w:rPr>
        <w:t>Interés público</w:t>
      </w:r>
      <w:r>
        <w:t xml:space="preserve"> véase </w:t>
      </w:r>
      <w:hyperlink w:anchor="DESCRIPTORALFABETICO344" w:history="1">
        <w:r w:rsidRPr="000C3DF9">
          <w:rPr>
            <w:rStyle w:val="TextoNormalNegritaCaracter"/>
          </w:rPr>
          <w:t>Interés general</w:t>
        </w:r>
      </w:hyperlink>
    </w:p>
    <w:p w:rsidR="000C3DF9" w:rsidRPr="000C3DF9" w:rsidRDefault="000C3DF9" w:rsidP="000C3DF9">
      <w:pPr>
        <w:pStyle w:val="TextoNormalSangraFrancesa"/>
        <w:rPr>
          <w:rStyle w:val="TextoNormalNegritaCaracter"/>
        </w:rPr>
      </w:pPr>
      <w:r w:rsidRPr="000C3DF9">
        <w:rPr>
          <w:rStyle w:val="TextoNormalCursivaCaracter"/>
        </w:rPr>
        <w:t>Interés público de la información</w:t>
      </w:r>
      <w:r>
        <w:t xml:space="preserve"> véase </w:t>
      </w:r>
      <w:hyperlink w:anchor="DESCRIPTORALFABETICO150" w:history="1">
        <w:r w:rsidRPr="000C3DF9">
          <w:rPr>
            <w:rStyle w:val="TextoNormalNegritaCaracter"/>
          </w:rPr>
          <w:t>Relevancia pública de la información</w:t>
        </w:r>
      </w:hyperlink>
    </w:p>
    <w:p w:rsidR="000C3DF9" w:rsidRPr="000C3DF9" w:rsidRDefault="000C3DF9" w:rsidP="000C3DF9">
      <w:pPr>
        <w:pStyle w:val="TextoNormalSangraFrancesa"/>
        <w:rPr>
          <w:rStyle w:val="TextoNormalCaracter"/>
        </w:rPr>
      </w:pPr>
      <w:bookmarkStart w:id="1335" w:name="DESCRIPTORALFABETICO477"/>
      <w:r w:rsidRPr="000C3DF9">
        <w:rPr>
          <w:rStyle w:val="TextoNormalNegritaCaracter"/>
        </w:rPr>
        <w:t>Interés superior del menor</w:t>
      </w:r>
      <w:bookmarkEnd w:id="1335"/>
      <w:r w:rsidRPr="000C3DF9">
        <w:rPr>
          <w:rStyle w:val="TextoNormalCaracter"/>
        </w:rPr>
        <w:t xml:space="preserve">, Auto </w:t>
      </w:r>
      <w:hyperlink w:anchor="AUTO_2002_21" w:history="1">
        <w:r w:rsidRPr="000C3DF9">
          <w:rPr>
            <w:rStyle w:val="TextoNormalCaracter"/>
          </w:rPr>
          <w:t>21/2002</w:t>
        </w:r>
      </w:hyperlink>
      <w:r w:rsidRPr="000C3DF9">
        <w:rPr>
          <w:rStyle w:val="TextoNormalCaracter"/>
        </w:rPr>
        <w:t>.</w:t>
      </w:r>
    </w:p>
    <w:p w:rsidR="000C3DF9" w:rsidRPr="000C3DF9" w:rsidRDefault="000C3DF9" w:rsidP="000C3DF9">
      <w:pPr>
        <w:pStyle w:val="TextoNormalSangraFrancesa"/>
        <w:rPr>
          <w:rStyle w:val="TextoNormalCaracter"/>
        </w:rPr>
      </w:pPr>
      <w:bookmarkStart w:id="1336" w:name="DESCRIPTORALFABETICO620"/>
      <w:r w:rsidRPr="000C3DF9">
        <w:rPr>
          <w:rStyle w:val="TextoNormalNegritaCaracter"/>
        </w:rPr>
        <w:t>Interesados sobrevenidos</w:t>
      </w:r>
      <w:bookmarkEnd w:id="1336"/>
      <w:r w:rsidRPr="000C3DF9">
        <w:rPr>
          <w:rStyle w:val="TextoNormalCaracter"/>
        </w:rPr>
        <w:t xml:space="preserve">, Sentencia </w:t>
      </w:r>
      <w:hyperlink w:anchor="SENTENCIA_2002_18" w:history="1">
        <w:r w:rsidRPr="000C3DF9">
          <w:rPr>
            <w:rStyle w:val="TextoNormalCaracter"/>
          </w:rPr>
          <w:t>18/2002</w:t>
        </w:r>
      </w:hyperlink>
      <w:r w:rsidRPr="000C3DF9">
        <w:rPr>
          <w:rStyle w:val="TextoNormalCaracter"/>
        </w:rPr>
        <w:t>, f. 8.</w:t>
      </w:r>
    </w:p>
    <w:p w:rsidR="000C3DF9" w:rsidRPr="000C3DF9" w:rsidRDefault="000C3DF9" w:rsidP="000C3DF9">
      <w:pPr>
        <w:pStyle w:val="TextoNormalSangraFrancesa"/>
        <w:rPr>
          <w:rStyle w:val="TextoNormalCaracter"/>
        </w:rPr>
      </w:pPr>
      <w:bookmarkStart w:id="1337" w:name="DESCRIPTORALFABETICO621"/>
      <w:r w:rsidRPr="000C3DF9">
        <w:rPr>
          <w:rStyle w:val="TextoNormalNegritaCaracter"/>
        </w:rPr>
        <w:t>Intereses contrapuestos</w:t>
      </w:r>
      <w:bookmarkEnd w:id="1337"/>
      <w:r w:rsidRPr="000C3DF9">
        <w:rPr>
          <w:rStyle w:val="TextoNormalCaracter"/>
        </w:rPr>
        <w:t xml:space="preserve">, Sentencia </w:t>
      </w:r>
      <w:hyperlink w:anchor="SENTENCIA_2002_42" w:history="1">
        <w:r w:rsidRPr="000C3DF9">
          <w:rPr>
            <w:rStyle w:val="TextoNormalCaracter"/>
          </w:rPr>
          <w:t>42/2002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38" w:name="DESCRIPTORALFABETICO256"/>
      <w:r w:rsidRPr="000C3DF9">
        <w:rPr>
          <w:rStyle w:val="TextoNormalNegritaCaracter"/>
        </w:rPr>
        <w:lastRenderedPageBreak/>
        <w:t>Interposición de recursos en tiempo y forma</w:t>
      </w:r>
      <w:bookmarkEnd w:id="1338"/>
      <w:r w:rsidRPr="000C3DF9">
        <w:rPr>
          <w:rStyle w:val="TextoNormalCaracter"/>
        </w:rPr>
        <w:t xml:space="preserve">, Sentencia </w:t>
      </w:r>
      <w:hyperlink w:anchor="SENTENCIA_2002_71" w:history="1">
        <w:r w:rsidRPr="000C3DF9">
          <w:rPr>
            <w:rStyle w:val="TextoNormalCaracter"/>
          </w:rPr>
          <w:t>71/2002</w:t>
        </w:r>
      </w:hyperlink>
      <w:r w:rsidRPr="000C3DF9">
        <w:rPr>
          <w:rStyle w:val="TextoNormalCaracter"/>
        </w:rPr>
        <w:t>, f. 7.</w:t>
      </w:r>
    </w:p>
    <w:p w:rsidR="000C3DF9" w:rsidRPr="000C3DF9" w:rsidRDefault="000C3DF9" w:rsidP="000C3DF9">
      <w:pPr>
        <w:pStyle w:val="TextoNormalSangraFrancesa"/>
        <w:rPr>
          <w:rStyle w:val="TextoNormalCaracter"/>
        </w:rPr>
      </w:pPr>
      <w:bookmarkStart w:id="1339" w:name="DESCRIPTORALFABETICO442"/>
      <w:r w:rsidRPr="000C3DF9">
        <w:rPr>
          <w:rStyle w:val="TextoNormalNegritaCaracter"/>
        </w:rPr>
        <w:t>Interpretación conforme a la Constitución</w:t>
      </w:r>
      <w:bookmarkEnd w:id="1339"/>
      <w:r w:rsidRPr="000C3DF9">
        <w:rPr>
          <w:rStyle w:val="TextoNormalCaracter"/>
        </w:rPr>
        <w:t xml:space="preserve">, Sentencia </w:t>
      </w:r>
      <w:hyperlink w:anchor="SENTENCIA_2002_10" w:history="1">
        <w:r w:rsidRPr="000C3DF9">
          <w:rPr>
            <w:rStyle w:val="TextoNormalCaracter"/>
          </w:rPr>
          <w:t>10/2002</w:t>
        </w:r>
      </w:hyperlink>
      <w:r w:rsidRPr="000C3DF9">
        <w:rPr>
          <w:rStyle w:val="TextoNormalCaracter"/>
        </w:rPr>
        <w:t>, f. 10.</w:t>
      </w:r>
    </w:p>
    <w:p w:rsidR="000C3DF9" w:rsidRPr="000C3DF9" w:rsidRDefault="000C3DF9" w:rsidP="000C3DF9">
      <w:pPr>
        <w:pStyle w:val="TextoNormalSangraFrancesa"/>
        <w:rPr>
          <w:rStyle w:val="TextoNormalCaracter"/>
        </w:rPr>
      </w:pPr>
      <w:bookmarkStart w:id="1340" w:name="DESCRIPTORALFABETICO443"/>
      <w:r w:rsidRPr="000C3DF9">
        <w:rPr>
          <w:rStyle w:val="TextoNormalNegritaCaracter"/>
        </w:rPr>
        <w:t>Interpretación de la Constitución</w:t>
      </w:r>
      <w:bookmarkEnd w:id="1340"/>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5.</w:t>
      </w:r>
    </w:p>
    <w:p w:rsidR="000C3DF9" w:rsidRPr="000C3DF9" w:rsidRDefault="000C3DF9" w:rsidP="000C3DF9">
      <w:pPr>
        <w:pStyle w:val="TextoNormalSangraFrancesa"/>
        <w:rPr>
          <w:rStyle w:val="TextoNormalCaracter"/>
        </w:rPr>
      </w:pPr>
      <w:bookmarkStart w:id="1341" w:name="DESCRIPTORALFABETICO441"/>
      <w:r w:rsidRPr="000C3DF9">
        <w:rPr>
          <w:rStyle w:val="TextoNormalNegritaCaracter"/>
        </w:rPr>
        <w:t>Interpretación de las normas jurídicas</w:t>
      </w:r>
      <w:bookmarkEnd w:id="1341"/>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11.</w:t>
      </w:r>
    </w:p>
    <w:p w:rsidR="000C3DF9" w:rsidRPr="000C3DF9" w:rsidRDefault="000C3DF9" w:rsidP="000C3DF9">
      <w:pPr>
        <w:pStyle w:val="TextoNormalSangraFrancesa"/>
        <w:rPr>
          <w:rStyle w:val="TextoNormalCaracter"/>
        </w:rPr>
      </w:pPr>
      <w:bookmarkStart w:id="1342" w:name="DESCRIPTORALFABETICO444"/>
      <w:r w:rsidRPr="000C3DF9">
        <w:rPr>
          <w:rStyle w:val="TextoNormalNegritaCaracter"/>
        </w:rPr>
        <w:t>Interpretación de las normas más favorable a los derechos fundamentales</w:t>
      </w:r>
      <w:bookmarkEnd w:id="1342"/>
      <w:r w:rsidRPr="000C3DF9">
        <w:rPr>
          <w:rStyle w:val="TextoNormalCaracter"/>
        </w:rPr>
        <w:t xml:space="preserve">, Sentencia </w:t>
      </w:r>
      <w:hyperlink w:anchor="SENTENCIA_2002_5" w:history="1">
        <w:r w:rsidRPr="000C3DF9">
          <w:rPr>
            <w:rStyle w:val="TextoNormalCaracter"/>
          </w:rPr>
          <w:t>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43" w:name="DESCRIPTORALFABETICO446"/>
      <w:r w:rsidRPr="000C3DF9">
        <w:rPr>
          <w:rStyle w:val="TextoNormalNegritaCaracter"/>
        </w:rPr>
        <w:t>Interpretación de los requisitos procesales</w:t>
      </w:r>
      <w:bookmarkEnd w:id="1343"/>
      <w:r w:rsidRPr="000C3DF9">
        <w:rPr>
          <w:rStyle w:val="TextoNormalCaracter"/>
        </w:rPr>
        <w:t xml:space="preserve">, Sentencia </w:t>
      </w:r>
      <w:hyperlink w:anchor="SENTENCIA_2002_71" w:history="1">
        <w:r w:rsidRPr="000C3DF9">
          <w:rPr>
            <w:rStyle w:val="TextoNormalCaracter"/>
          </w:rPr>
          <w:t>71/2002</w:t>
        </w:r>
      </w:hyperlink>
      <w:r w:rsidRPr="000C3DF9">
        <w:rPr>
          <w:rStyle w:val="TextoNormalCaracter"/>
        </w:rPr>
        <w:t>, f. 5.</w:t>
      </w:r>
    </w:p>
    <w:p w:rsidR="000C3DF9" w:rsidRPr="000C3DF9" w:rsidRDefault="000C3DF9" w:rsidP="000C3DF9">
      <w:pPr>
        <w:pStyle w:val="TextoNormalSangraFrancesa"/>
        <w:rPr>
          <w:rStyle w:val="TextoNormalCaracter"/>
        </w:rPr>
      </w:pPr>
      <w:bookmarkStart w:id="1344" w:name="DESCRIPTORALFABETICO445"/>
      <w:r w:rsidRPr="000C3DF9">
        <w:rPr>
          <w:rStyle w:val="TextoNormalNegritaCaracter"/>
        </w:rPr>
        <w:t>Interpretación de normas procesales</w:t>
      </w:r>
      <w:bookmarkEnd w:id="1344"/>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ff. 3, 5.</w:t>
      </w:r>
    </w:p>
    <w:p w:rsidR="000C3DF9" w:rsidRPr="000C3DF9" w:rsidRDefault="000C3DF9" w:rsidP="000C3DF9">
      <w:pPr>
        <w:pStyle w:val="TextoNormalSangraFrancesa"/>
        <w:rPr>
          <w:rStyle w:val="TextoNormalCaracter"/>
        </w:rPr>
      </w:pPr>
      <w:bookmarkStart w:id="1345" w:name="DESCRIPTORALFABETICO570"/>
      <w:r w:rsidRPr="000C3DF9">
        <w:rPr>
          <w:rStyle w:val="TextoNormalNegritaCaracter"/>
        </w:rPr>
        <w:t>Interpretación del fallo</w:t>
      </w:r>
      <w:bookmarkEnd w:id="1345"/>
      <w:r w:rsidRPr="000C3DF9">
        <w:rPr>
          <w:rStyle w:val="TextoNormalCaracter"/>
        </w:rPr>
        <w:t xml:space="preserve">, Sentencia </w:t>
      </w:r>
      <w:hyperlink w:anchor="SENTENCIA_2002_3" w:history="1">
        <w:r w:rsidRPr="000C3DF9">
          <w:rPr>
            <w:rStyle w:val="TextoNormalCaracter"/>
          </w:rPr>
          <w:t>3/2002</w:t>
        </w:r>
      </w:hyperlink>
      <w:r w:rsidRPr="000C3DF9">
        <w:rPr>
          <w:rStyle w:val="TextoNormalCaracter"/>
        </w:rPr>
        <w:t>, f. 4 c).</w:t>
      </w:r>
    </w:p>
    <w:p w:rsidR="000C3DF9" w:rsidRPr="000C3DF9" w:rsidRDefault="000C3DF9" w:rsidP="000C3DF9">
      <w:pPr>
        <w:pStyle w:val="TextoNormalSangraFrancesa"/>
        <w:rPr>
          <w:rStyle w:val="TextoNormalCaracter"/>
        </w:rPr>
      </w:pPr>
      <w:bookmarkStart w:id="1346" w:name="DESCRIPTORALFABETICO447"/>
      <w:r w:rsidRPr="000C3DF9">
        <w:rPr>
          <w:rStyle w:val="TextoNormalNegritaCaracter"/>
        </w:rPr>
        <w:t>Interpretación formalista</w:t>
      </w:r>
      <w:bookmarkEnd w:id="1346"/>
      <w:r w:rsidRPr="000C3DF9">
        <w:rPr>
          <w:rStyle w:val="TextoNormalCaracter"/>
        </w:rPr>
        <w:t xml:space="preserve">, Sentencia </w:t>
      </w:r>
      <w:hyperlink w:anchor="SENTENCIA_2002_72" w:history="1">
        <w:r w:rsidRPr="000C3DF9">
          <w:rPr>
            <w:rStyle w:val="TextoNormalCaracter"/>
          </w:rPr>
          <w:t>72/2002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47" w:name="DESCRIPTORALFABETICO693"/>
      <w:r w:rsidRPr="000C3DF9">
        <w:rPr>
          <w:rStyle w:val="TextoNormalNegritaCaracter"/>
        </w:rPr>
        <w:t>Intervención de documentos en poder de un detenido</w:t>
      </w:r>
      <w:bookmarkEnd w:id="1347"/>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ff. 9, 10.</w:t>
      </w:r>
    </w:p>
    <w:p w:rsidR="000C3DF9" w:rsidRPr="000C3DF9" w:rsidRDefault="000C3DF9" w:rsidP="000C3DF9">
      <w:pPr>
        <w:pStyle w:val="TextoNormalSangraFrancesa"/>
        <w:rPr>
          <w:rStyle w:val="TextoNormalNegritaCaracter"/>
        </w:rPr>
      </w:pPr>
      <w:r w:rsidRPr="000C3DF9">
        <w:rPr>
          <w:rStyle w:val="TextoNormalCursivaCaracter"/>
        </w:rPr>
        <w:t>Intervención de las comunicaciones telefónicas</w:t>
      </w:r>
      <w:r>
        <w:t xml:space="preserve"> véase </w:t>
      </w:r>
      <w:hyperlink w:anchor="DESCRIPTORALFABETICO124" w:history="1">
        <w:r w:rsidRPr="000C3DF9">
          <w:rPr>
            <w:rStyle w:val="TextoNormalNegritaCaracter"/>
          </w:rPr>
          <w:t>Intervención telefónica</w:t>
        </w:r>
      </w:hyperlink>
    </w:p>
    <w:p w:rsidR="000C3DF9" w:rsidRPr="000C3DF9" w:rsidRDefault="000C3DF9" w:rsidP="000C3DF9">
      <w:pPr>
        <w:pStyle w:val="TextoNormalSangraFrancesa"/>
        <w:rPr>
          <w:rStyle w:val="TextoNormalCaracter"/>
        </w:rPr>
      </w:pPr>
      <w:bookmarkStart w:id="1348" w:name="DESCRIPTORALFABETICO124"/>
      <w:r w:rsidRPr="000C3DF9">
        <w:rPr>
          <w:rStyle w:val="TextoNormalNegritaCaracter"/>
        </w:rPr>
        <w:t>Intervención telefónica</w:t>
      </w:r>
      <w:bookmarkEnd w:id="1348"/>
      <w:r w:rsidRPr="000C3DF9">
        <w:rPr>
          <w:rStyle w:val="TextoNormalCaracter"/>
        </w:rPr>
        <w:t xml:space="preserve">, Sentencia </w:t>
      </w:r>
      <w:hyperlink w:anchor="SENTENCIA_2002_82" w:history="1">
        <w:r w:rsidRPr="000C3DF9">
          <w:rPr>
            <w:rStyle w:val="TextoNormalCaracter"/>
          </w:rPr>
          <w:t>82/2002</w:t>
        </w:r>
      </w:hyperlink>
      <w:r w:rsidRPr="000C3DF9">
        <w:rPr>
          <w:rStyle w:val="TextoNormalCaracter"/>
        </w:rPr>
        <w:t>, ff. 4, 5, 6.</w:t>
      </w:r>
    </w:p>
    <w:p w:rsidR="000C3DF9" w:rsidRPr="000C3DF9" w:rsidRDefault="000C3DF9" w:rsidP="000C3DF9">
      <w:pPr>
        <w:pStyle w:val="TextoNormalSangraFrancesa"/>
        <w:rPr>
          <w:rStyle w:val="TextoNormalCaracter"/>
        </w:rPr>
      </w:pPr>
      <w:bookmarkStart w:id="1349" w:name="DESCRIPTORALFABETICO711"/>
      <w:r w:rsidRPr="000C3DF9">
        <w:rPr>
          <w:rStyle w:val="TextoNormalNegritaCaracter"/>
        </w:rPr>
        <w:t>Introducción de declaraciones sumariales en el juicio oral</w:t>
      </w:r>
      <w:bookmarkEnd w:id="1349"/>
      <w:r w:rsidRPr="000C3DF9">
        <w:rPr>
          <w:rStyle w:val="TextoNormalCaracter"/>
        </w:rPr>
        <w:t xml:space="preserve">, Sentencia </w:t>
      </w:r>
      <w:hyperlink w:anchor="SENTENCIA_2002_2" w:history="1">
        <w:r w:rsidRPr="000C3DF9">
          <w:rPr>
            <w:rStyle w:val="TextoNormalCaracter"/>
          </w:rPr>
          <w:t>2/2002</w:t>
        </w:r>
      </w:hyperlink>
      <w:r w:rsidRPr="000C3DF9">
        <w:rPr>
          <w:rStyle w:val="TextoNormalCaracter"/>
        </w:rPr>
        <w:t>, ff. 5 a 7.</w:t>
      </w:r>
    </w:p>
    <w:p w:rsidR="000C3DF9" w:rsidRPr="000C3DF9" w:rsidRDefault="000C3DF9" w:rsidP="000C3DF9">
      <w:pPr>
        <w:pStyle w:val="TextoNormalSangraFrancesa"/>
        <w:rPr>
          <w:rStyle w:val="TextoNormalCaracter"/>
        </w:rPr>
      </w:pPr>
      <w:bookmarkStart w:id="1350" w:name="DESCRIPTORALFABETICO232"/>
      <w:r w:rsidRPr="000C3DF9">
        <w:rPr>
          <w:rStyle w:val="TextoNormalNegritaCaracter"/>
        </w:rPr>
        <w:t>Invocación del derecho vulnerado</w:t>
      </w:r>
      <w:bookmarkEnd w:id="1350"/>
      <w:r w:rsidRPr="000C3DF9">
        <w:rPr>
          <w:rStyle w:val="TextoNormalCaracter"/>
        </w:rPr>
        <w:t xml:space="preserve">, Sentencia </w:t>
      </w:r>
      <w:hyperlink w:anchor="SENTENCIA_2002_65" w:history="1">
        <w:r w:rsidRPr="000C3DF9">
          <w:rPr>
            <w:rStyle w:val="TextoNormalCaracter"/>
          </w:rPr>
          <w:t>65/2002</w:t>
        </w:r>
      </w:hyperlink>
      <w:r w:rsidRPr="000C3DF9">
        <w:rPr>
          <w:rStyle w:val="TextoNormalCaracter"/>
        </w:rPr>
        <w:t>, f. 2.</w:t>
      </w:r>
    </w:p>
    <w:p w:rsidR="000C3DF9" w:rsidRPr="000C3DF9" w:rsidRDefault="000C3DF9" w:rsidP="000C3DF9">
      <w:pPr>
        <w:pStyle w:val="TextoNormalSangraFrancesa"/>
        <w:rPr>
          <w:rStyle w:val="TextoNormalNegritaCaracter"/>
        </w:rPr>
      </w:pPr>
      <w:r w:rsidRPr="000C3DF9">
        <w:rPr>
          <w:rStyle w:val="TextoNormalCursivaCaracter"/>
        </w:rPr>
        <w:t>Irregularidades en el procedimiento legislativo</w:t>
      </w:r>
      <w:r>
        <w:t xml:space="preserve"> véase </w:t>
      </w:r>
      <w:hyperlink w:anchor="DESCRIPTORALFABETICO304" w:history="1">
        <w:r w:rsidRPr="000C3DF9">
          <w:rPr>
            <w:rStyle w:val="TextoNormalNegritaCaracter"/>
          </w:rPr>
          <w:t>Vicios en el procedimiento legislativo</w:t>
        </w:r>
      </w:hyperlink>
    </w:p>
    <w:p w:rsidR="000C3DF9" w:rsidRPr="000C3DF9" w:rsidRDefault="000C3DF9" w:rsidP="000C3DF9">
      <w:pPr>
        <w:pStyle w:val="TextoNormalSangraFrancesa"/>
        <w:rPr>
          <w:rStyle w:val="TextoNormalCaracter"/>
        </w:rPr>
      </w:pPr>
      <w:bookmarkStart w:id="1351" w:name="DESCRIPTORALFABETICO169"/>
      <w:r w:rsidRPr="000C3DF9">
        <w:rPr>
          <w:rStyle w:val="TextoNormalNegritaCaracter"/>
          <w:i/>
        </w:rPr>
        <w:t>Ius superveniens</w:t>
      </w:r>
      <w:bookmarkEnd w:id="1351"/>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10.</w:t>
      </w:r>
    </w:p>
    <w:p w:rsidR="000C3DF9" w:rsidRPr="000C3DF9" w:rsidRDefault="000C3DF9" w:rsidP="000C3DF9">
      <w:pPr>
        <w:pStyle w:val="TextoNormalSangraFrancesa"/>
        <w:rPr>
          <w:rStyle w:val="TextoNormalCaracter"/>
        </w:rPr>
      </w:pPr>
      <w:bookmarkStart w:id="1352" w:name="DESCRIPTORALFABETICO81"/>
      <w:r w:rsidRPr="000C3DF9">
        <w:rPr>
          <w:rStyle w:val="TextoNormalNegritaCaracter"/>
          <w:i/>
        </w:rPr>
        <w:t>Ius ut procedatur</w:t>
      </w:r>
      <w:bookmarkEnd w:id="1352"/>
      <w:r w:rsidRPr="000C3DF9">
        <w:rPr>
          <w:rStyle w:val="TextoNormalCaracter"/>
        </w:rPr>
        <w:t xml:space="preserve">, Sentencia </w:t>
      </w:r>
      <w:hyperlink w:anchor="SENTENCIA_2002_81" w:history="1">
        <w:r w:rsidRPr="000C3DF9">
          <w:rPr>
            <w:rStyle w:val="TextoNormalCaracter"/>
          </w:rPr>
          <w:t>81/2002</w:t>
        </w:r>
      </w:hyperlink>
      <w:r w:rsidRPr="000C3DF9">
        <w:rPr>
          <w:rStyle w:val="TextoNormalCaracter"/>
        </w:rPr>
        <w:t>, f. 2.</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J</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353" w:name="DESCRIPTORALFABETICO210"/>
      <w:r w:rsidRPr="000C3DF9">
        <w:rPr>
          <w:rStyle w:val="TextoNormalNegritaCaracter"/>
        </w:rPr>
        <w:t>Juicio de relevancia</w:t>
      </w:r>
      <w:bookmarkEnd w:id="1353"/>
      <w:r w:rsidRPr="000C3DF9">
        <w:rPr>
          <w:rStyle w:val="TextoNormalCaracter"/>
        </w:rPr>
        <w:t xml:space="preserve">, Sentencias </w:t>
      </w:r>
      <w:hyperlink w:anchor="SENTENCIA_2002_37" w:history="1">
        <w:r w:rsidRPr="000C3DF9">
          <w:rPr>
            <w:rStyle w:val="TextoNormalCaracter"/>
          </w:rPr>
          <w:t>37/2002</w:t>
        </w:r>
      </w:hyperlink>
      <w:r w:rsidRPr="000C3DF9">
        <w:rPr>
          <w:rStyle w:val="TextoNormalCaracter"/>
        </w:rPr>
        <w:t xml:space="preserve">, f. 2; </w:t>
      </w:r>
      <w:hyperlink w:anchor="SENTENCIA_2002_39" w:history="1">
        <w:r w:rsidRPr="000C3DF9">
          <w:rPr>
            <w:rStyle w:val="TextoNormalCaracter"/>
          </w:rPr>
          <w:t>39/2002</w:t>
        </w:r>
      </w:hyperlink>
      <w:r w:rsidRPr="000C3DF9">
        <w:rPr>
          <w:rStyle w:val="TextoNormalCaracter"/>
        </w:rPr>
        <w:t xml:space="preserve">, f. 2 b); </w:t>
      </w:r>
      <w:hyperlink w:anchor="SENTENCIA_2002_67" w:history="1">
        <w:r w:rsidRPr="000C3DF9">
          <w:rPr>
            <w:rStyle w:val="TextoNormalCaracter"/>
          </w:rPr>
          <w:t>67/2002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354" w:name="DESCRIPTORALFABETICO211"/>
      <w:r w:rsidRPr="000C3DF9">
        <w:rPr>
          <w:rStyle w:val="TextoNormalNegritaCaracter"/>
        </w:rPr>
        <w:t>Juicio de relevancia en causa penal</w:t>
      </w:r>
      <w:bookmarkEnd w:id="1354"/>
      <w:r w:rsidRPr="000C3DF9">
        <w:rPr>
          <w:rStyle w:val="TextoNormalCaracter"/>
        </w:rPr>
        <w:t xml:space="preserve">, Sentencia </w:t>
      </w:r>
      <w:hyperlink w:anchor="SENTENCIA_2002_10" w:history="1">
        <w:r w:rsidRPr="000C3DF9">
          <w:rPr>
            <w:rStyle w:val="TextoNormalCaracter"/>
          </w:rPr>
          <w:t>10/2002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55" w:name="DESCRIPTORALFABETICO212"/>
      <w:r w:rsidRPr="000C3DF9">
        <w:rPr>
          <w:rStyle w:val="TextoNormalNegritaCaracter"/>
        </w:rPr>
        <w:t>Juicio de relevancia inconsistente</w:t>
      </w:r>
      <w:bookmarkEnd w:id="1355"/>
      <w:r w:rsidRPr="000C3DF9">
        <w:rPr>
          <w:rStyle w:val="TextoNormalCaracter"/>
        </w:rPr>
        <w:t xml:space="preserve">, Autos </w:t>
      </w:r>
      <w:hyperlink w:anchor="AUTO_2002_26" w:history="1">
        <w:r w:rsidRPr="000C3DF9">
          <w:rPr>
            <w:rStyle w:val="TextoNormalCaracter"/>
          </w:rPr>
          <w:t>26/2002</w:t>
        </w:r>
      </w:hyperlink>
      <w:r w:rsidRPr="000C3DF9">
        <w:rPr>
          <w:rStyle w:val="TextoNormalCaracter"/>
        </w:rPr>
        <w:t xml:space="preserve">; </w:t>
      </w:r>
      <w:hyperlink w:anchor="AUTO_2002_38" w:history="1">
        <w:r w:rsidRPr="000C3DF9">
          <w:rPr>
            <w:rStyle w:val="TextoNormalCaracter"/>
          </w:rPr>
          <w:t>38/2002</w:t>
        </w:r>
      </w:hyperlink>
      <w:r w:rsidRPr="000C3DF9">
        <w:rPr>
          <w:rStyle w:val="TextoNormalCaracter"/>
        </w:rPr>
        <w:t>.</w:t>
      </w:r>
    </w:p>
    <w:p w:rsidR="000C3DF9" w:rsidRPr="000C3DF9" w:rsidRDefault="000C3DF9" w:rsidP="000C3DF9">
      <w:pPr>
        <w:pStyle w:val="TextoNormalSangraFrancesa"/>
        <w:rPr>
          <w:rStyle w:val="TextoNormalCaracter"/>
        </w:rPr>
      </w:pPr>
      <w:bookmarkStart w:id="1356" w:name="DESCRIPTORALFABETICO667"/>
      <w:r w:rsidRPr="000C3DF9">
        <w:rPr>
          <w:rStyle w:val="TextoNormalNegritaCaracter"/>
        </w:rPr>
        <w:t>Juicio declarativo tras proceso ejecutivo no exigible</w:t>
      </w:r>
      <w:bookmarkEnd w:id="1356"/>
      <w:r w:rsidRPr="000C3DF9">
        <w:rPr>
          <w:rStyle w:val="TextoNormalCaracter"/>
        </w:rPr>
        <w:t xml:space="preserve">, Sentencia </w:t>
      </w:r>
      <w:hyperlink w:anchor="SENTENCIA_2002_36" w:history="1">
        <w:r w:rsidRPr="000C3DF9">
          <w:rPr>
            <w:rStyle w:val="TextoNormalCaracter"/>
          </w:rPr>
          <w:t>36/2002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57" w:name="DESCRIPTORALFABETICO482"/>
      <w:r w:rsidRPr="000C3DF9">
        <w:rPr>
          <w:rStyle w:val="TextoNormalNegritaCaracter"/>
        </w:rPr>
        <w:t>Junta general de accionistas</w:t>
      </w:r>
      <w:bookmarkEnd w:id="1357"/>
      <w:r w:rsidRPr="000C3DF9">
        <w:rPr>
          <w:rStyle w:val="TextoNormalCaracter"/>
        </w:rPr>
        <w:t xml:space="preserve">, Sentencia </w:t>
      </w:r>
      <w:hyperlink w:anchor="SENTENCIA_2002_20" w:history="1">
        <w:r w:rsidRPr="000C3DF9">
          <w:rPr>
            <w:rStyle w:val="TextoNormalCaracter"/>
          </w:rPr>
          <w:t>20/2002</w:t>
        </w:r>
      </w:hyperlink>
      <w:r w:rsidRPr="000C3DF9">
        <w:rPr>
          <w:rStyle w:val="TextoNormalCaracter"/>
        </w:rPr>
        <w:t>, f. 5.</w:t>
      </w:r>
    </w:p>
    <w:p w:rsidR="000C3DF9" w:rsidRPr="000C3DF9" w:rsidRDefault="000C3DF9" w:rsidP="000C3DF9">
      <w:pPr>
        <w:pStyle w:val="TextoNormalSangraFrancesa"/>
        <w:rPr>
          <w:rStyle w:val="TextoNormalCaracter"/>
        </w:rPr>
      </w:pPr>
      <w:bookmarkStart w:id="1358" w:name="DESCRIPTORALFABETICO629"/>
      <w:r w:rsidRPr="000C3DF9">
        <w:rPr>
          <w:rStyle w:val="TextoNormalNegritaCaracter"/>
        </w:rPr>
        <w:t>Jura de cuentas</w:t>
      </w:r>
      <w:bookmarkEnd w:id="1358"/>
      <w:r w:rsidRPr="000C3DF9">
        <w:rPr>
          <w:rStyle w:val="TextoNormalCaracter"/>
        </w:rPr>
        <w:t xml:space="preserve">, Auto </w:t>
      </w:r>
      <w:hyperlink w:anchor="AUTO_2002_42" w:history="1">
        <w:r w:rsidRPr="000C3DF9">
          <w:rPr>
            <w:rStyle w:val="TextoNormalCaracter"/>
          </w:rPr>
          <w:t>42/2002</w:t>
        </w:r>
      </w:hyperlink>
      <w:r w:rsidRPr="000C3DF9">
        <w:rPr>
          <w:rStyle w:val="TextoNormalCaracter"/>
        </w:rPr>
        <w:t>.</w:t>
      </w:r>
    </w:p>
    <w:p w:rsidR="000C3DF9" w:rsidRPr="000C3DF9" w:rsidRDefault="000C3DF9" w:rsidP="000C3DF9">
      <w:pPr>
        <w:pStyle w:val="TextoNormalSangraFrancesa"/>
        <w:rPr>
          <w:rStyle w:val="TextoNormalCaracter"/>
        </w:rPr>
      </w:pPr>
      <w:bookmarkStart w:id="1359" w:name="DESCRIPTORALFABETICO522"/>
      <w:r w:rsidRPr="000C3DF9">
        <w:rPr>
          <w:rStyle w:val="TextoNormalNegritaCaracter"/>
        </w:rPr>
        <w:t>Jurisdicción civil</w:t>
      </w:r>
      <w:bookmarkEnd w:id="1359"/>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360" w:name="DESCRIPTORALFABETICO520"/>
      <w:r w:rsidRPr="000C3DF9">
        <w:rPr>
          <w:rStyle w:val="TextoNormalNegritaCaracter"/>
        </w:rPr>
        <w:t>Jurisdicción competente</w:t>
      </w:r>
      <w:bookmarkEnd w:id="1360"/>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61" w:name="DESCRIPTORALFABETICO612"/>
      <w:r w:rsidRPr="000C3DF9">
        <w:rPr>
          <w:rStyle w:val="TextoNormalNegritaCaracter"/>
        </w:rPr>
        <w:t>Justicia gratuita</w:t>
      </w:r>
      <w:bookmarkEnd w:id="1361"/>
      <w:r w:rsidRPr="000C3DF9">
        <w:rPr>
          <w:rStyle w:val="TextoNormalCaracter"/>
        </w:rPr>
        <w:t xml:space="preserve">, Sentencia </w:t>
      </w:r>
      <w:hyperlink w:anchor="SENTENCIA_2002_45" w:history="1">
        <w:r w:rsidRPr="000C3DF9">
          <w:rPr>
            <w:rStyle w:val="TextoNormalCaracter"/>
          </w:rPr>
          <w:t>45/2002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5" w:history="1">
        <w:r w:rsidRPr="000C3DF9">
          <w:rPr>
            <w:rStyle w:val="TextoNormalCaracter"/>
          </w:rPr>
          <w:t>55/2002</w:t>
        </w:r>
      </w:hyperlink>
      <w:r w:rsidRPr="000C3DF9">
        <w:rPr>
          <w:rStyle w:val="TextoNormalCaracter"/>
        </w:rPr>
        <w:t>.</w:t>
      </w:r>
    </w:p>
    <w:p w:rsidR="000C3DF9" w:rsidRPr="000C3DF9" w:rsidRDefault="000C3DF9" w:rsidP="000C3DF9">
      <w:pPr>
        <w:pStyle w:val="TextoNormalSangraFrancesa"/>
        <w:rPr>
          <w:rStyle w:val="TextoNormalCaracter"/>
        </w:rPr>
      </w:pPr>
      <w:bookmarkStart w:id="1362" w:name="DESCRIPTORALFABETICO296"/>
      <w:r w:rsidRPr="000C3DF9">
        <w:rPr>
          <w:rStyle w:val="TextoNormalNegritaCaracter"/>
        </w:rPr>
        <w:t>Juzgado de Vigilancia Penitenciaria</w:t>
      </w:r>
      <w:bookmarkEnd w:id="1362"/>
      <w:r w:rsidRPr="000C3DF9">
        <w:rPr>
          <w:rStyle w:val="TextoNormalCaracter"/>
        </w:rPr>
        <w:t xml:space="preserve">, Sentencia </w:t>
      </w:r>
      <w:hyperlink w:anchor="SENTENCIA_2002_65" w:history="1">
        <w:r w:rsidRPr="000C3DF9">
          <w:rPr>
            <w:rStyle w:val="TextoNormalCaracter"/>
          </w:rPr>
          <w:t>65/2002</w:t>
        </w:r>
      </w:hyperlink>
      <w:r w:rsidRPr="000C3DF9">
        <w:rPr>
          <w:rStyle w:val="TextoNormalCaracter"/>
        </w:rPr>
        <w:t>, f. 4.</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L</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363" w:name="DESCRIPTORALFABETICO742"/>
      <w:r w:rsidRPr="000C3DF9">
        <w:rPr>
          <w:rStyle w:val="TextoNormalNegritaCaracter"/>
        </w:rPr>
        <w:t>La Rioja</w:t>
      </w:r>
      <w:bookmarkEnd w:id="1363"/>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5 a 12.</w:t>
      </w:r>
    </w:p>
    <w:p w:rsidR="000C3DF9" w:rsidRPr="000C3DF9" w:rsidRDefault="000C3DF9" w:rsidP="000C3DF9">
      <w:pPr>
        <w:pStyle w:val="TextoNormalSangraFrancesa"/>
        <w:rPr>
          <w:rStyle w:val="TextoNormalCaracter"/>
        </w:rPr>
      </w:pPr>
      <w:bookmarkStart w:id="1364" w:name="DESCRIPTORALFABETICO448"/>
      <w:r w:rsidRPr="000C3DF9">
        <w:rPr>
          <w:rStyle w:val="TextoNormalNegritaCaracter"/>
        </w:rPr>
        <w:t>Lagunas legales</w:t>
      </w:r>
      <w:bookmarkEnd w:id="1364"/>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5.</w:t>
      </w:r>
    </w:p>
    <w:p w:rsidR="000C3DF9" w:rsidRPr="000C3DF9" w:rsidRDefault="000C3DF9" w:rsidP="000C3DF9">
      <w:pPr>
        <w:pStyle w:val="TextoNormalSangraFrancesa"/>
        <w:rPr>
          <w:rStyle w:val="TextoNormalCaracter"/>
        </w:rPr>
      </w:pPr>
      <w:bookmarkStart w:id="1365" w:name="DESCRIPTORALFABETICO530"/>
      <w:r w:rsidRPr="000C3DF9">
        <w:rPr>
          <w:rStyle w:val="TextoNormalNegritaCaracter"/>
        </w:rPr>
        <w:t>Laudo arbitral</w:t>
      </w:r>
      <w:bookmarkEnd w:id="1365"/>
      <w:r w:rsidRPr="000C3DF9">
        <w:rPr>
          <w:rStyle w:val="TextoNormalCaracter"/>
        </w:rPr>
        <w:t xml:space="preserve">, Sentencia </w:t>
      </w:r>
      <w:hyperlink w:anchor="SENTENCIA_2002_32" w:history="1">
        <w:r w:rsidRPr="000C3DF9">
          <w:rPr>
            <w:rStyle w:val="TextoNormalCaracter"/>
          </w:rPr>
          <w:t>32/2002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66" w:name="DESCRIPTORALFABETICO426"/>
      <w:r w:rsidRPr="000C3DF9">
        <w:rPr>
          <w:rStyle w:val="TextoNormalNegritaCaracter"/>
        </w:rPr>
        <w:t>Legislación básica</w:t>
      </w:r>
      <w:bookmarkEnd w:id="1366"/>
      <w:r w:rsidRPr="000C3DF9">
        <w:rPr>
          <w:rStyle w:val="TextoNormalCaracter"/>
        </w:rPr>
        <w:t xml:space="preserve">, Sentencias </w:t>
      </w:r>
      <w:hyperlink w:anchor="SENTENCIA_2002_11" w:history="1">
        <w:r w:rsidRPr="000C3DF9">
          <w:rPr>
            <w:rStyle w:val="TextoNormalCaracter"/>
          </w:rPr>
          <w:t>11/2002</w:t>
        </w:r>
      </w:hyperlink>
      <w:r w:rsidRPr="000C3DF9">
        <w:rPr>
          <w:rStyle w:val="TextoNormalCaracter"/>
        </w:rPr>
        <w:t xml:space="preserve">, f. 8; </w:t>
      </w:r>
      <w:hyperlink w:anchor="SENTENCIA_2002_37" w:history="1">
        <w:r w:rsidRPr="000C3DF9">
          <w:rPr>
            <w:rStyle w:val="TextoNormalCaracter"/>
          </w:rPr>
          <w:t>37/2002</w:t>
        </w:r>
      </w:hyperlink>
      <w:r w:rsidRPr="000C3DF9">
        <w:rPr>
          <w:rStyle w:val="TextoNormalCaracter"/>
        </w:rPr>
        <w:t xml:space="preserve">, ff. 9, 10; </w:t>
      </w:r>
      <w:hyperlink w:anchor="SENTENCIA_2002_54" w:history="1">
        <w:r w:rsidRPr="000C3DF9">
          <w:rPr>
            <w:rStyle w:val="TextoNormalCaracter"/>
          </w:rPr>
          <w:t>54/2002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67" w:name="DESCRIPTORALFABETICO431"/>
      <w:r w:rsidRPr="000C3DF9">
        <w:rPr>
          <w:rStyle w:val="TextoNormalNegritaCaracter"/>
        </w:rPr>
        <w:t>Legislación laboral</w:t>
      </w:r>
      <w:bookmarkEnd w:id="1367"/>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ff. 8, 9, 11, 12, 13, 18, VP I, VP II, VP III, VP IV.</w:t>
      </w:r>
    </w:p>
    <w:p w:rsidR="000C3DF9" w:rsidRPr="000C3DF9" w:rsidRDefault="000C3DF9" w:rsidP="000C3DF9">
      <w:pPr>
        <w:pStyle w:val="TextoNormalSangraFrancesa"/>
        <w:rPr>
          <w:rStyle w:val="TextoNormalCaracter"/>
        </w:rPr>
      </w:pPr>
      <w:bookmarkStart w:id="1368" w:name="DESCRIPTORALFABETICO432"/>
      <w:r w:rsidRPr="000C3DF9">
        <w:rPr>
          <w:rStyle w:val="TextoNormalNegritaCaracter"/>
        </w:rPr>
        <w:lastRenderedPageBreak/>
        <w:t>Legislación tributaria</w:t>
      </w:r>
      <w:bookmarkEnd w:id="1368"/>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6, VP I, VP II.</w:t>
      </w:r>
    </w:p>
    <w:p w:rsidR="000C3DF9" w:rsidRPr="000C3DF9" w:rsidRDefault="000C3DF9" w:rsidP="000C3DF9">
      <w:pPr>
        <w:pStyle w:val="TextoNormalSangraFrancesa"/>
        <w:rPr>
          <w:rStyle w:val="TextoNormalCaracter"/>
        </w:rPr>
      </w:pPr>
      <w:bookmarkStart w:id="1369" w:name="DESCRIPTORALFABETICO622"/>
      <w:r w:rsidRPr="000C3DF9">
        <w:rPr>
          <w:rStyle w:val="TextoNormalNegritaCaracter"/>
        </w:rPr>
        <w:t>Legitimación de las compañías de seguros</w:t>
      </w:r>
      <w:bookmarkEnd w:id="1369"/>
      <w:r w:rsidRPr="000C3DF9">
        <w:rPr>
          <w:rStyle w:val="TextoNormalCaracter"/>
        </w:rPr>
        <w:t xml:space="preserve">, Sentencia </w:t>
      </w:r>
      <w:hyperlink w:anchor="SENTENCIA_2002_19" w:history="1">
        <w:r w:rsidRPr="000C3DF9">
          <w:rPr>
            <w:rStyle w:val="TextoNormalCaracter"/>
          </w:rPr>
          <w:t>19/2002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70" w:name="DESCRIPTORALFABETICO197"/>
      <w:r w:rsidRPr="000C3DF9">
        <w:rPr>
          <w:rStyle w:val="TextoNormalNegritaCaracter"/>
        </w:rPr>
        <w:t>Legitimación de las Comunidades Autónomas</w:t>
      </w:r>
      <w:bookmarkEnd w:id="1370"/>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71" w:name="DESCRIPTORALFABETICO196"/>
      <w:r w:rsidRPr="000C3DF9">
        <w:rPr>
          <w:rStyle w:val="TextoNormalNegritaCaracter"/>
        </w:rPr>
        <w:t>Legitimación en el proceso constitucional</w:t>
      </w:r>
      <w:bookmarkEnd w:id="1371"/>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72" w:name="DESCRIPTORALFABETICO250"/>
      <w:r w:rsidRPr="000C3DF9">
        <w:rPr>
          <w:rStyle w:val="TextoNormalNegritaCaracter"/>
        </w:rPr>
        <w:t>Legitimación para aducir vulneraciones sufridas por la contraparte</w:t>
      </w:r>
      <w:bookmarkEnd w:id="1372"/>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5.</w:t>
      </w:r>
    </w:p>
    <w:p w:rsidR="000C3DF9" w:rsidRPr="000C3DF9" w:rsidRDefault="000C3DF9" w:rsidP="000C3DF9">
      <w:pPr>
        <w:pStyle w:val="TextoNormalSangraFrancesa"/>
        <w:rPr>
          <w:rStyle w:val="TextoNormalCaracter"/>
        </w:rPr>
      </w:pPr>
      <w:bookmarkStart w:id="1373" w:name="DESCRIPTORALFABETICO618"/>
      <w:r w:rsidRPr="000C3DF9">
        <w:rPr>
          <w:rStyle w:val="TextoNormalNegritaCaracter"/>
        </w:rPr>
        <w:t>Legitimación procesal</w:t>
      </w:r>
      <w:bookmarkEnd w:id="1373"/>
      <w:r w:rsidRPr="000C3DF9">
        <w:rPr>
          <w:rStyle w:val="TextoNormalCaracter"/>
        </w:rPr>
        <w:t xml:space="preserve">, Sentencia </w:t>
      </w:r>
      <w:hyperlink w:anchor="SENTENCIA_2002_19" w:history="1">
        <w:r w:rsidRPr="000C3DF9">
          <w:rPr>
            <w:rStyle w:val="TextoNormalCaracter"/>
          </w:rPr>
          <w:t>19/2002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374" w:name="DESCRIPTORALFABETICO241"/>
      <w:r w:rsidRPr="000C3DF9">
        <w:rPr>
          <w:rStyle w:val="TextoNormalNegritaCaracter"/>
        </w:rPr>
        <w:t>Lesión efectiva del derecho fundamental</w:t>
      </w:r>
      <w:bookmarkEnd w:id="1374"/>
      <w:r w:rsidRPr="000C3DF9">
        <w:rPr>
          <w:rStyle w:val="TextoNormalCaracter"/>
        </w:rPr>
        <w:t xml:space="preserve">, Auto </w:t>
      </w:r>
      <w:hyperlink w:anchor="AUTO_2002_51" w:history="1">
        <w:r w:rsidRPr="000C3DF9">
          <w:rPr>
            <w:rStyle w:val="TextoNormalCaracter"/>
          </w:rPr>
          <w:t>51/2002</w:t>
        </w:r>
      </w:hyperlink>
      <w:r w:rsidRPr="000C3DF9">
        <w:rPr>
          <w:rStyle w:val="TextoNormalCaracter"/>
        </w:rPr>
        <w:t>.</w:t>
      </w:r>
    </w:p>
    <w:p w:rsidR="000C3DF9" w:rsidRPr="000C3DF9" w:rsidRDefault="000C3DF9" w:rsidP="000C3DF9">
      <w:pPr>
        <w:pStyle w:val="TextoNormalSangraFrancesa"/>
        <w:rPr>
          <w:rStyle w:val="TextoNormalCaracter"/>
        </w:rPr>
      </w:pPr>
      <w:bookmarkStart w:id="1375" w:name="DESCRIPTORALFABETICO192"/>
      <w:r w:rsidRPr="000C3DF9">
        <w:rPr>
          <w:rStyle w:val="TextoNormalNegritaCaracter"/>
        </w:rPr>
        <w:t>Levantamiento de la suspensión de disposiciones de las Comunidades Autónomas</w:t>
      </w:r>
      <w:bookmarkEnd w:id="1375"/>
      <w:r w:rsidRPr="000C3DF9">
        <w:rPr>
          <w:rStyle w:val="TextoNormalCaracter"/>
        </w:rPr>
        <w:t xml:space="preserve">, Auto </w:t>
      </w:r>
      <w:hyperlink w:anchor="AUTO_2002_5" w:history="1">
        <w:r w:rsidRPr="000C3DF9">
          <w:rPr>
            <w:rStyle w:val="TextoNormalCaracter"/>
          </w:rPr>
          <w:t>5/2002</w:t>
        </w:r>
      </w:hyperlink>
      <w:r w:rsidRPr="000C3DF9">
        <w:rPr>
          <w:rStyle w:val="TextoNormalCaracter"/>
        </w:rPr>
        <w:t>.</w:t>
      </w:r>
    </w:p>
    <w:p w:rsidR="000C3DF9" w:rsidRPr="000C3DF9" w:rsidRDefault="000C3DF9" w:rsidP="000C3DF9">
      <w:pPr>
        <w:pStyle w:val="TextoNormalSangraFrancesa"/>
        <w:rPr>
          <w:rStyle w:val="TextoNormalCaracter"/>
        </w:rPr>
      </w:pPr>
      <w:bookmarkStart w:id="1376" w:name="DESCRIPTORALFABETICO193"/>
      <w:r w:rsidRPr="000C3DF9">
        <w:rPr>
          <w:rStyle w:val="TextoNormalNegritaCaracter"/>
        </w:rPr>
        <w:t>Levantamiento parcial de la suspensión</w:t>
      </w:r>
      <w:bookmarkEnd w:id="1376"/>
      <w:r w:rsidRPr="000C3DF9">
        <w:rPr>
          <w:rStyle w:val="TextoNormalCaracter"/>
        </w:rPr>
        <w:t xml:space="preserve">, Autos </w:t>
      </w:r>
      <w:hyperlink w:anchor="AUTO_2002_20" w:history="1">
        <w:r w:rsidRPr="000C3DF9">
          <w:rPr>
            <w:rStyle w:val="TextoNormalCaracter"/>
          </w:rPr>
          <w:t>20/2002</w:t>
        </w:r>
      </w:hyperlink>
      <w:r w:rsidRPr="000C3DF9">
        <w:rPr>
          <w:rStyle w:val="TextoNormalCaracter"/>
        </w:rPr>
        <w:t xml:space="preserve">;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Lex certa</w:t>
      </w:r>
      <w:r>
        <w:t xml:space="preserve"> véase </w:t>
      </w:r>
      <w:hyperlink w:anchor="DESCRIPTORALFABETICO327" w:history="1">
        <w:r w:rsidRPr="000C3DF9">
          <w:rPr>
            <w:rStyle w:val="TextoNormalNegritaCaracter"/>
          </w:rPr>
          <w:t>Principio de taxatividad</w:t>
        </w:r>
      </w:hyperlink>
    </w:p>
    <w:p w:rsidR="000C3DF9" w:rsidRPr="000C3DF9" w:rsidRDefault="000C3DF9" w:rsidP="000C3DF9">
      <w:pPr>
        <w:pStyle w:val="TextoNormalSangraFrancesa"/>
        <w:rPr>
          <w:rStyle w:val="TextoNormalCaracter"/>
        </w:rPr>
      </w:pPr>
      <w:bookmarkStart w:id="1377" w:name="DESCRIPTORALFABETICO383"/>
      <w:r w:rsidRPr="000C3DF9">
        <w:rPr>
          <w:rStyle w:val="TextoNormalNegritaCaracter"/>
        </w:rPr>
        <w:t>Ley personal del marido</w:t>
      </w:r>
      <w:bookmarkEnd w:id="1377"/>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Leyes anteriores a la Constitución</w:t>
      </w:r>
      <w:r>
        <w:t xml:space="preserve"> véase </w:t>
      </w:r>
      <w:hyperlink w:anchor="DESCRIPTORALFABETICO451" w:history="1">
        <w:r w:rsidRPr="000C3DF9">
          <w:rPr>
            <w:rStyle w:val="TextoNormalNegritaCaracter"/>
          </w:rPr>
          <w:t>Normas preconstitucionales</w:t>
        </w:r>
      </w:hyperlink>
    </w:p>
    <w:p w:rsidR="000C3DF9" w:rsidRPr="000C3DF9" w:rsidRDefault="000C3DF9" w:rsidP="000C3DF9">
      <w:pPr>
        <w:pStyle w:val="TextoNormalSangraFrancesa"/>
        <w:rPr>
          <w:rStyle w:val="TextoNormalNegritaCaracter"/>
        </w:rPr>
      </w:pPr>
      <w:r w:rsidRPr="000C3DF9">
        <w:rPr>
          <w:rStyle w:val="TextoNormalCursivaCaracter"/>
        </w:rPr>
        <w:t>Leyes de bases</w:t>
      </w:r>
      <w:r>
        <w:t xml:space="preserve"> véase </w:t>
      </w:r>
      <w:hyperlink w:anchor="DESCRIPTORALFABETICO426" w:history="1">
        <w:r w:rsidRPr="000C3DF9">
          <w:rPr>
            <w:rStyle w:val="TextoNormalNegritaCaracter"/>
          </w:rPr>
          <w:t>Legislación básica</w:t>
        </w:r>
      </w:hyperlink>
    </w:p>
    <w:p w:rsidR="000C3DF9" w:rsidRPr="000C3DF9" w:rsidRDefault="000C3DF9" w:rsidP="000C3DF9">
      <w:pPr>
        <w:pStyle w:val="TextoNormalSangraFrancesa"/>
        <w:rPr>
          <w:rStyle w:val="TextoNormalCaracter"/>
        </w:rPr>
      </w:pPr>
      <w:bookmarkStart w:id="1378" w:name="DESCRIPTORALFABETICO433"/>
      <w:r w:rsidRPr="000C3DF9">
        <w:rPr>
          <w:rStyle w:val="TextoNormalNegritaCaracter"/>
        </w:rPr>
        <w:t>Leyes de presupuestos</w:t>
      </w:r>
      <w:bookmarkEnd w:id="1378"/>
      <w:r w:rsidRPr="000C3DF9">
        <w:rPr>
          <w:rStyle w:val="TextoNormalCaracter"/>
        </w:rPr>
        <w:t xml:space="preserve">, Sentencias </w:t>
      </w:r>
      <w:hyperlink w:anchor="SENTENCIA_2002_24" w:history="1">
        <w:r w:rsidRPr="000C3DF9">
          <w:rPr>
            <w:rStyle w:val="TextoNormalCaracter"/>
          </w:rPr>
          <w:t>24/2002</w:t>
        </w:r>
      </w:hyperlink>
      <w:r w:rsidRPr="000C3DF9">
        <w:rPr>
          <w:rStyle w:val="TextoNormalCaracter"/>
        </w:rPr>
        <w:t xml:space="preserve">, ff. 7, 8; </w:t>
      </w:r>
      <w:hyperlink w:anchor="SENTENCIA_2002_67" w:history="1">
        <w:r w:rsidRPr="000C3DF9">
          <w:rPr>
            <w:rStyle w:val="TextoNormalCaracter"/>
          </w:rPr>
          <w:t>67/2002</w:t>
        </w:r>
      </w:hyperlink>
      <w:r w:rsidRPr="000C3DF9">
        <w:rPr>
          <w:rStyle w:val="TextoNormalCaracter"/>
        </w:rPr>
        <w:t>, ff. 4, 5, VP.</w:t>
      </w:r>
    </w:p>
    <w:p w:rsidR="000C3DF9" w:rsidRPr="000C3DF9" w:rsidRDefault="000C3DF9" w:rsidP="000C3DF9">
      <w:pPr>
        <w:pStyle w:val="TextoNormalSangraFrancesa"/>
        <w:rPr>
          <w:rStyle w:val="TextoNormalCaracter"/>
        </w:rPr>
      </w:pPr>
      <w:bookmarkStart w:id="1379" w:name="DESCRIPTORALFABETICO434"/>
      <w:r w:rsidRPr="000C3DF9">
        <w:rPr>
          <w:rStyle w:val="TextoNormalNegritaCaracter"/>
        </w:rPr>
        <w:t>Leyes de presupuestos generales del Estado</w:t>
      </w:r>
      <w:bookmarkEnd w:id="1379"/>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ff. 3, 4, VP.</w:t>
      </w:r>
    </w:p>
    <w:p w:rsidR="000C3DF9" w:rsidRPr="000C3DF9" w:rsidRDefault="000C3DF9" w:rsidP="000C3DF9">
      <w:pPr>
        <w:pStyle w:val="TextoNormalSangraFrancesa"/>
        <w:rPr>
          <w:rStyle w:val="TextoNormalNegritaCaracter"/>
        </w:rPr>
      </w:pPr>
      <w:r w:rsidRPr="000C3DF9">
        <w:rPr>
          <w:rStyle w:val="TextoNormalCursivaCaracter"/>
        </w:rPr>
        <w:t>Leyes tributarias</w:t>
      </w:r>
      <w:r>
        <w:t xml:space="preserve"> véase </w:t>
      </w:r>
      <w:hyperlink w:anchor="DESCRIPTORALFABETICO432" w:history="1">
        <w:r w:rsidRPr="000C3DF9">
          <w:rPr>
            <w:rStyle w:val="TextoNormalNegritaCaracter"/>
          </w:rPr>
          <w:t>Legislación tributaria</w:t>
        </w:r>
      </w:hyperlink>
    </w:p>
    <w:p w:rsidR="000C3DF9" w:rsidRPr="000C3DF9" w:rsidRDefault="000C3DF9" w:rsidP="000C3DF9">
      <w:pPr>
        <w:pStyle w:val="TextoNormalSangraFrancesa"/>
        <w:rPr>
          <w:rStyle w:val="TextoNormalCaracter"/>
        </w:rPr>
      </w:pPr>
      <w:bookmarkStart w:id="1380" w:name="DESCRIPTORALFABETICO133"/>
      <w:r w:rsidRPr="000C3DF9">
        <w:rPr>
          <w:rStyle w:val="TextoNormalNegritaCaracter"/>
        </w:rPr>
        <w:t>Libertad de circulación</w:t>
      </w:r>
      <w:bookmarkEnd w:id="1380"/>
      <w:r w:rsidRPr="000C3DF9">
        <w:rPr>
          <w:rStyle w:val="TextoNormalCaracter"/>
        </w:rPr>
        <w:t xml:space="preserve">, Sentencias </w:t>
      </w:r>
      <w:hyperlink w:anchor="SENTENCIA_2002_53" w:history="1">
        <w:r w:rsidRPr="000C3DF9">
          <w:rPr>
            <w:rStyle w:val="TextoNormalCaracter"/>
          </w:rPr>
          <w:t>53/2002</w:t>
        </w:r>
      </w:hyperlink>
      <w:r w:rsidRPr="000C3DF9">
        <w:rPr>
          <w:rStyle w:val="TextoNormalCaracter"/>
        </w:rPr>
        <w:t xml:space="preserve">, f. 4; </w:t>
      </w:r>
      <w:hyperlink w:anchor="SENTENCIA_2002_96" w:history="1">
        <w:r w:rsidRPr="000C3DF9">
          <w:rPr>
            <w:rStyle w:val="TextoNormalCaracter"/>
          </w:rPr>
          <w:t>96/2002</w:t>
        </w:r>
      </w:hyperlink>
      <w:r w:rsidRPr="000C3DF9">
        <w:rPr>
          <w:rStyle w:val="TextoNormalCaracter"/>
        </w:rPr>
        <w:t>, f. 11, VP II.</w:t>
      </w:r>
    </w:p>
    <w:p w:rsidR="000C3DF9" w:rsidRPr="000C3DF9" w:rsidRDefault="000C3DF9" w:rsidP="000C3DF9">
      <w:pPr>
        <w:pStyle w:val="TextoNormalSangraFrancesa"/>
        <w:rPr>
          <w:rStyle w:val="TextoNormalNegritaCaracter"/>
        </w:rPr>
      </w:pPr>
      <w:r w:rsidRPr="000C3DF9">
        <w:rPr>
          <w:rStyle w:val="TextoNormalCursivaCaracter"/>
        </w:rPr>
        <w:t>Libertad de comunicación</w:t>
      </w:r>
      <w:r>
        <w:t xml:space="preserve"> véase </w:t>
      </w:r>
      <w:hyperlink w:anchor="DESCRIPTORALFABETICO142" w:history="1">
        <w:r w:rsidRPr="000C3DF9">
          <w:rPr>
            <w:rStyle w:val="TextoNormalNegritaCaracter"/>
          </w:rPr>
          <w:t>Derecho a comunicar libremente información</w:t>
        </w:r>
      </w:hyperlink>
    </w:p>
    <w:p w:rsidR="000C3DF9" w:rsidRPr="000C3DF9" w:rsidRDefault="000C3DF9" w:rsidP="000C3DF9">
      <w:pPr>
        <w:pStyle w:val="TextoNormalSangraFrancesa"/>
        <w:rPr>
          <w:rStyle w:val="TextoNormalCaracter"/>
        </w:rPr>
      </w:pPr>
      <w:bookmarkStart w:id="1381" w:name="DESCRIPTORALFABETICO300"/>
      <w:r w:rsidRPr="000C3DF9">
        <w:rPr>
          <w:rStyle w:val="TextoNormalNegritaCaracter"/>
        </w:rPr>
        <w:t>Libertad de configuración del legislador</w:t>
      </w:r>
      <w:bookmarkEnd w:id="1381"/>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382" w:name="DESCRIPTORALFABETICO135"/>
      <w:r w:rsidRPr="000C3DF9">
        <w:rPr>
          <w:rStyle w:val="TextoNormalNegritaCaracter"/>
        </w:rPr>
        <w:t>Libertad de contratación</w:t>
      </w:r>
      <w:bookmarkEnd w:id="1382"/>
      <w:r w:rsidRPr="000C3DF9">
        <w:rPr>
          <w:rStyle w:val="TextoNormalCaracter"/>
        </w:rPr>
        <w:t xml:space="preserve">, Sentencia </w:t>
      </w:r>
      <w:hyperlink w:anchor="SENTENCIA_2002_66" w:history="1">
        <w:r w:rsidRPr="000C3DF9">
          <w:rPr>
            <w:rStyle w:val="TextoNormalCaracter"/>
          </w:rPr>
          <w:t>66/2002</w:t>
        </w:r>
      </w:hyperlink>
      <w:r w:rsidRPr="000C3DF9">
        <w:rPr>
          <w:rStyle w:val="TextoNormalCaracter"/>
        </w:rPr>
        <w:t>, f. 7.</w:t>
      </w:r>
    </w:p>
    <w:p w:rsidR="000C3DF9" w:rsidRPr="000C3DF9" w:rsidRDefault="000C3DF9" w:rsidP="000C3DF9">
      <w:pPr>
        <w:pStyle w:val="TextoNormalSangraFrancesa"/>
        <w:rPr>
          <w:rStyle w:val="TextoNormalCaracter"/>
        </w:rPr>
      </w:pPr>
      <w:bookmarkStart w:id="1383" w:name="DESCRIPTORALFABETICO134"/>
      <w:r w:rsidRPr="000C3DF9">
        <w:rPr>
          <w:rStyle w:val="TextoNormalNegritaCaracter"/>
        </w:rPr>
        <w:t>Libertad de empresa</w:t>
      </w:r>
      <w:bookmarkEnd w:id="1383"/>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11, 12, VP II.</w:t>
      </w:r>
    </w:p>
    <w:p w:rsidR="000C3DF9" w:rsidRPr="000C3DF9" w:rsidRDefault="000C3DF9" w:rsidP="000C3DF9">
      <w:pPr>
        <w:pStyle w:val="TextoNormalSangraFrancesa"/>
        <w:rPr>
          <w:rStyle w:val="TextoNormalCaracter"/>
        </w:rPr>
      </w:pPr>
      <w:bookmarkStart w:id="1384" w:name="DESCRIPTORALFABETICO136"/>
      <w:r w:rsidRPr="000C3DF9">
        <w:rPr>
          <w:rStyle w:val="TextoNormalNegritaCaracter"/>
        </w:rPr>
        <w:t>Libertad de expresión</w:t>
      </w:r>
      <w:bookmarkEnd w:id="1384"/>
      <w:r w:rsidRPr="000C3DF9">
        <w:rPr>
          <w:rStyle w:val="TextoNormalCaracter"/>
        </w:rPr>
        <w:t xml:space="preserve">, Sentencias </w:t>
      </w:r>
      <w:hyperlink w:anchor="SENTENCIA_2002_20" w:history="1">
        <w:r w:rsidRPr="000C3DF9">
          <w:rPr>
            <w:rStyle w:val="TextoNormalCaracter"/>
          </w:rPr>
          <w:t>20/2002</w:t>
        </w:r>
      </w:hyperlink>
      <w:r w:rsidRPr="000C3DF9">
        <w:rPr>
          <w:rStyle w:val="TextoNormalCaracter"/>
        </w:rPr>
        <w:t xml:space="preserve">, ff. 3, 4, 5, 7; </w:t>
      </w:r>
      <w:hyperlink w:anchor="SENTENCIA_2002_76" w:history="1">
        <w:r w:rsidRPr="000C3DF9">
          <w:rPr>
            <w:rStyle w:val="TextoNormalCaracter"/>
          </w:rPr>
          <w:t>76/2002</w:t>
        </w:r>
      </w:hyperlink>
      <w:r w:rsidRPr="000C3DF9">
        <w:rPr>
          <w:rStyle w:val="TextoNormalCaracter"/>
        </w:rPr>
        <w:t xml:space="preserve">, f. 2; </w:t>
      </w:r>
      <w:hyperlink w:anchor="SENTENCIA_2002_79" w:history="1">
        <w:r w:rsidRPr="000C3DF9">
          <w:rPr>
            <w:rStyle w:val="TextoNormalCaracter"/>
          </w:rPr>
          <w:t>79/2002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385" w:name="DESCRIPTORALFABETICO139"/>
      <w:r w:rsidRPr="000C3DF9">
        <w:rPr>
          <w:rStyle w:val="TextoNormalNegritaCaracter"/>
        </w:rPr>
        <w:t>Libertad de expresión en el ejercicio de la defensa letrada</w:t>
      </w:r>
      <w:bookmarkEnd w:id="1385"/>
      <w:r w:rsidRPr="000C3DF9">
        <w:rPr>
          <w:rStyle w:val="TextoNormalCaracter"/>
        </w:rPr>
        <w:t xml:space="preserve">, Sentencia </w:t>
      </w:r>
      <w:hyperlink w:anchor="SENTENCIA_2002_79" w:history="1">
        <w:r w:rsidRPr="000C3DF9">
          <w:rPr>
            <w:rStyle w:val="TextoNormalCaracter"/>
          </w:rPr>
          <w:t>79/2002</w:t>
        </w:r>
      </w:hyperlink>
      <w:r w:rsidRPr="000C3DF9">
        <w:rPr>
          <w:rStyle w:val="TextoNormalCaracter"/>
        </w:rPr>
        <w:t>, f. 6, VP.</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43" w:history="1">
        <w:r w:rsidRPr="000C3DF9">
          <w:rPr>
            <w:rStyle w:val="TextoNormalCaracter"/>
          </w:rPr>
          <w:t>43/2002</w:t>
        </w:r>
      </w:hyperlink>
      <w:r w:rsidRPr="000C3DF9">
        <w:rPr>
          <w:rStyle w:val="TextoNormalCaracter"/>
        </w:rPr>
        <w:t>.</w:t>
      </w:r>
    </w:p>
    <w:p w:rsidR="000C3DF9" w:rsidRPr="000C3DF9" w:rsidRDefault="000C3DF9" w:rsidP="000C3DF9">
      <w:pPr>
        <w:pStyle w:val="TextoNormalSangraFrancesa"/>
        <w:rPr>
          <w:rStyle w:val="TextoNormalCaracter"/>
        </w:rPr>
      </w:pPr>
      <w:bookmarkStart w:id="1386" w:name="DESCRIPTORALFABETICO141"/>
      <w:r w:rsidRPr="000C3DF9">
        <w:rPr>
          <w:rStyle w:val="TextoNormalNegritaCaracter"/>
        </w:rPr>
        <w:t>Libertad de información</w:t>
      </w:r>
      <w:bookmarkEnd w:id="1386"/>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 7; </w:t>
      </w:r>
      <w:hyperlink w:anchor="SENTENCIA_2002_47" w:history="1">
        <w:r w:rsidRPr="000C3DF9">
          <w:rPr>
            <w:rStyle w:val="TextoNormalCaracter"/>
          </w:rPr>
          <w:t>47/2002</w:t>
        </w:r>
      </w:hyperlink>
      <w:r w:rsidRPr="000C3DF9">
        <w:rPr>
          <w:rStyle w:val="TextoNormalCaracter"/>
        </w:rPr>
        <w:t xml:space="preserve">, f. 4; </w:t>
      </w:r>
      <w:hyperlink w:anchor="SENTENCIA_2002_52" w:history="1">
        <w:r w:rsidRPr="000C3DF9">
          <w:rPr>
            <w:rStyle w:val="TextoNormalCaracter"/>
          </w:rPr>
          <w:t>52/2002</w:t>
        </w:r>
      </w:hyperlink>
      <w:r w:rsidRPr="000C3DF9">
        <w:rPr>
          <w:rStyle w:val="TextoNormalCaracter"/>
        </w:rPr>
        <w:t xml:space="preserve">, ff. 4, 7;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6" w:history="1">
        <w:r w:rsidRPr="000C3DF9">
          <w:rPr>
            <w:rStyle w:val="TextoNormalCaracter"/>
          </w:rPr>
          <w:t>56/2002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Sentencias </w:t>
      </w:r>
      <w:hyperlink w:anchor="SENTENCIA_2002_46" w:history="1">
        <w:r w:rsidRPr="000C3DF9">
          <w:rPr>
            <w:rStyle w:val="TextoNormalCaracter"/>
          </w:rPr>
          <w:t>46/2002</w:t>
        </w:r>
      </w:hyperlink>
      <w:r w:rsidRPr="000C3DF9">
        <w:rPr>
          <w:rStyle w:val="TextoNormalCaracter"/>
        </w:rPr>
        <w:t xml:space="preserve">, ff. 5 a 7; </w:t>
      </w:r>
      <w:hyperlink w:anchor="SENTENCIA_2002_76" w:history="1">
        <w:r w:rsidRPr="000C3DF9">
          <w:rPr>
            <w:rStyle w:val="TextoNormalCaracter"/>
          </w:rPr>
          <w:t>76/2002</w:t>
        </w:r>
      </w:hyperlink>
      <w:r w:rsidRPr="000C3DF9">
        <w:rPr>
          <w:rStyle w:val="TextoNormalCaracter"/>
        </w:rPr>
        <w:t>, ff. 2, 3.</w:t>
      </w:r>
    </w:p>
    <w:p w:rsidR="000C3DF9" w:rsidRPr="000C3DF9" w:rsidRDefault="000C3DF9" w:rsidP="000C3DF9">
      <w:pPr>
        <w:pStyle w:val="TextoNormalSangraFrancesa"/>
        <w:rPr>
          <w:rStyle w:val="TextoNormalCaracter"/>
        </w:rPr>
      </w:pPr>
      <w:r w:rsidRPr="000C3DF9">
        <w:rPr>
          <w:rStyle w:val="TextoNormalCursivaCaracter"/>
        </w:rPr>
        <w:t xml:space="preserve">    Respetada, </w:t>
      </w:r>
      <w:r w:rsidRPr="000C3DF9">
        <w:rPr>
          <w:rStyle w:val="TextoNormalCaracter"/>
        </w:rPr>
        <w:t xml:space="preserve">Sentencia </w:t>
      </w:r>
      <w:hyperlink w:anchor="SENTENCIA_2002_47" w:history="1">
        <w:r w:rsidRPr="000C3DF9">
          <w:rPr>
            <w:rStyle w:val="TextoNormalCaracter"/>
          </w:rPr>
          <w:t>47/2002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6" w:history="1">
        <w:r w:rsidRPr="000C3DF9">
          <w:rPr>
            <w:rStyle w:val="TextoNormalCaracter"/>
          </w:rPr>
          <w:t>56/2002</w:t>
        </w:r>
      </w:hyperlink>
      <w:r w:rsidRPr="000C3DF9">
        <w:rPr>
          <w:rStyle w:val="TextoNormalCaracter"/>
        </w:rPr>
        <w:t>.</w:t>
      </w:r>
    </w:p>
    <w:p w:rsidR="000C3DF9" w:rsidRPr="000C3DF9" w:rsidRDefault="000C3DF9" w:rsidP="000C3DF9">
      <w:pPr>
        <w:pStyle w:val="TextoNormalSangraFrancesa"/>
        <w:rPr>
          <w:rStyle w:val="TextoNormalCaracter"/>
        </w:rPr>
      </w:pPr>
      <w:bookmarkStart w:id="1387" w:name="DESCRIPTORALFABETICO152"/>
      <w:r w:rsidRPr="000C3DF9">
        <w:rPr>
          <w:rStyle w:val="TextoNormalNegritaCaracter"/>
        </w:rPr>
        <w:t>Libertad sindical</w:t>
      </w:r>
      <w:bookmarkEnd w:id="1387"/>
      <w:r w:rsidRPr="000C3DF9">
        <w:rPr>
          <w:rStyle w:val="TextoNormalCaracter"/>
        </w:rPr>
        <w:t xml:space="preserve">, Sentencias </w:t>
      </w:r>
      <w:hyperlink w:anchor="SENTENCIA_2002_29" w:history="1">
        <w:r w:rsidRPr="000C3DF9">
          <w:rPr>
            <w:rStyle w:val="TextoNormalCaracter"/>
          </w:rPr>
          <w:t>29/2002</w:t>
        </w:r>
      </w:hyperlink>
      <w:r w:rsidRPr="000C3DF9">
        <w:rPr>
          <w:rStyle w:val="TextoNormalCaracter"/>
        </w:rPr>
        <w:t xml:space="preserve">, f. 4; </w:t>
      </w:r>
      <w:hyperlink w:anchor="SENTENCIA_2002_30" w:history="1">
        <w:r w:rsidRPr="000C3DF9">
          <w:rPr>
            <w:rStyle w:val="TextoNormalCaracter"/>
          </w:rPr>
          <w:t>30/2002</w:t>
        </w:r>
      </w:hyperlink>
      <w:r w:rsidRPr="000C3DF9">
        <w:rPr>
          <w:rStyle w:val="TextoNormalCaracter"/>
        </w:rPr>
        <w:t xml:space="preserve">, f. 4; </w:t>
      </w:r>
      <w:hyperlink w:anchor="SENTENCIA_2002_66" w:history="1">
        <w:r w:rsidRPr="000C3DF9">
          <w:rPr>
            <w:rStyle w:val="TextoNormalCaracter"/>
          </w:rPr>
          <w:t>66/2002</w:t>
        </w:r>
      </w:hyperlink>
      <w:r w:rsidRPr="000C3DF9">
        <w:rPr>
          <w:rStyle w:val="TextoNormalCaracter"/>
        </w:rPr>
        <w:t xml:space="preserve">, ff. 2, 3; </w:t>
      </w:r>
      <w:hyperlink w:anchor="SENTENCIA_2002_84" w:history="1">
        <w:r w:rsidRPr="000C3DF9">
          <w:rPr>
            <w:rStyle w:val="TextoNormalCaracter"/>
          </w:rPr>
          <w:t>84/2002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2" w:history="1">
        <w:r w:rsidRPr="000C3DF9">
          <w:rPr>
            <w:rStyle w:val="TextoNormalCaracter"/>
          </w:rPr>
          <w:t>12/2002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Respetada, </w:t>
      </w:r>
      <w:r w:rsidRPr="000C3DF9">
        <w:rPr>
          <w:rStyle w:val="TextoNormalCaracter"/>
        </w:rPr>
        <w:t xml:space="preserve">Sentencia </w:t>
      </w:r>
      <w:hyperlink w:anchor="SENTENCIA_2002_14" w:history="1">
        <w:r w:rsidRPr="000C3DF9">
          <w:rPr>
            <w:rStyle w:val="TextoNormalCaracter"/>
          </w:rPr>
          <w:t>14/2002</w:t>
        </w:r>
      </w:hyperlink>
      <w:r w:rsidRPr="000C3DF9">
        <w:rPr>
          <w:rStyle w:val="TextoNormalCaracter"/>
        </w:rPr>
        <w:t>, ff. 6, 7.</w:t>
      </w:r>
    </w:p>
    <w:p w:rsidR="000C3DF9" w:rsidRPr="000C3DF9" w:rsidRDefault="000C3DF9" w:rsidP="000C3DF9">
      <w:pPr>
        <w:pStyle w:val="TextoNormalSangraFrancesa"/>
        <w:rPr>
          <w:rStyle w:val="TextoNormalCaracter"/>
        </w:rPr>
      </w:pPr>
      <w:r w:rsidRPr="000C3DF9">
        <w:rPr>
          <w:rStyle w:val="TextoNormalCursivaCaracter"/>
        </w:rPr>
        <w:t xml:space="preserve">    Vulnerada, </w:t>
      </w:r>
      <w:r w:rsidRPr="000C3DF9">
        <w:rPr>
          <w:rStyle w:val="TextoNormalCaracter"/>
        </w:rPr>
        <w:t xml:space="preserve">Sentencias </w:t>
      </w:r>
      <w:hyperlink w:anchor="SENTENCIA_2002_29" w:history="1">
        <w:r w:rsidRPr="000C3DF9">
          <w:rPr>
            <w:rStyle w:val="TextoNormalCaracter"/>
          </w:rPr>
          <w:t>29/2002</w:t>
        </w:r>
      </w:hyperlink>
      <w:r w:rsidRPr="000C3DF9">
        <w:rPr>
          <w:rStyle w:val="TextoNormalCaracter"/>
        </w:rPr>
        <w:t xml:space="preserve">, ff. 6, 7; </w:t>
      </w:r>
      <w:hyperlink w:anchor="SENTENCIA_2002_30" w:history="1">
        <w:r w:rsidRPr="000C3DF9">
          <w:rPr>
            <w:rStyle w:val="TextoNormalCaracter"/>
          </w:rPr>
          <w:t>30/2002</w:t>
        </w:r>
      </w:hyperlink>
      <w:r w:rsidRPr="000C3DF9">
        <w:rPr>
          <w:rStyle w:val="TextoNormalCaracter"/>
        </w:rPr>
        <w:t xml:space="preserve">, ff. 6, 7; </w:t>
      </w:r>
      <w:hyperlink w:anchor="SENTENCIA_2002_48" w:history="1">
        <w:r w:rsidRPr="000C3DF9">
          <w:rPr>
            <w:rStyle w:val="TextoNormalCaracter"/>
          </w:rPr>
          <w:t>48/2002</w:t>
        </w:r>
      </w:hyperlink>
      <w:r w:rsidRPr="000C3DF9">
        <w:rPr>
          <w:rStyle w:val="TextoNormalCaracter"/>
        </w:rPr>
        <w:t>, ff. 6 a 9.</w:t>
      </w:r>
    </w:p>
    <w:p w:rsidR="000C3DF9" w:rsidRPr="000C3DF9" w:rsidRDefault="000C3DF9" w:rsidP="000C3DF9">
      <w:pPr>
        <w:pStyle w:val="TextoNormalSangraFrancesa"/>
        <w:rPr>
          <w:rStyle w:val="TextoNormalCaracter"/>
        </w:rPr>
      </w:pPr>
      <w:bookmarkStart w:id="1388" w:name="DESCRIPTORALFABETICO414"/>
      <w:r w:rsidRPr="000C3DF9">
        <w:rPr>
          <w:rStyle w:val="TextoNormalNegritaCaracter"/>
        </w:rPr>
        <w:t>Libre circulación de personas, servicios y capitales</w:t>
      </w:r>
      <w:bookmarkEnd w:id="1388"/>
      <w:r w:rsidRPr="000C3DF9">
        <w:rPr>
          <w:rStyle w:val="TextoNormalCaracter"/>
        </w:rPr>
        <w:t xml:space="preserve">, Sentencias </w:t>
      </w:r>
      <w:hyperlink w:anchor="SENTENCIA_2002_75" w:history="1">
        <w:r w:rsidRPr="000C3DF9">
          <w:rPr>
            <w:rStyle w:val="TextoNormalCaracter"/>
          </w:rPr>
          <w:t>75/2002</w:t>
        </w:r>
      </w:hyperlink>
      <w:r w:rsidRPr="000C3DF9">
        <w:rPr>
          <w:rStyle w:val="TextoNormalCaracter"/>
        </w:rPr>
        <w:t xml:space="preserve">, f. 6; </w:t>
      </w:r>
      <w:hyperlink w:anchor="SENTENCIA_2002_96" w:history="1">
        <w:r w:rsidRPr="000C3DF9">
          <w:rPr>
            <w:rStyle w:val="TextoNormalCaracter"/>
          </w:rPr>
          <w:t>96/2002</w:t>
        </w:r>
      </w:hyperlink>
      <w:r w:rsidRPr="000C3DF9">
        <w:rPr>
          <w:rStyle w:val="TextoNormalCaracter"/>
        </w:rPr>
        <w:t>, f. 12.</w:t>
      </w:r>
    </w:p>
    <w:p w:rsidR="000C3DF9" w:rsidRPr="000C3DF9" w:rsidRDefault="000C3DF9" w:rsidP="000C3DF9">
      <w:pPr>
        <w:pStyle w:val="TextoNormalSangraFrancesa"/>
        <w:rPr>
          <w:rStyle w:val="TextoNormalCaracter"/>
        </w:rPr>
      </w:pPr>
      <w:bookmarkStart w:id="1389" w:name="DESCRIPTORALFABETICO650"/>
      <w:r w:rsidRPr="000C3DF9">
        <w:rPr>
          <w:rStyle w:val="TextoNormalNegritaCaracter"/>
        </w:rPr>
        <w:t>Limitación del número de sentencias de contraste</w:t>
      </w:r>
      <w:bookmarkEnd w:id="1389"/>
      <w:r w:rsidRPr="000C3DF9">
        <w:rPr>
          <w:rStyle w:val="TextoNormalCaracter"/>
        </w:rPr>
        <w:t xml:space="preserve">, Sentencia </w:t>
      </w:r>
      <w:hyperlink w:anchor="SENTENCIA_2002_33" w:history="1">
        <w:r w:rsidRPr="000C3DF9">
          <w:rPr>
            <w:rStyle w:val="TextoNormalCaracter"/>
          </w:rPr>
          <w:t>33/2002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390" w:name="DESCRIPTORALFABETICO155"/>
      <w:r w:rsidRPr="000C3DF9">
        <w:rPr>
          <w:rStyle w:val="TextoNormalNegritaCaracter"/>
        </w:rPr>
        <w:t>Límite de la libre organización empresarial</w:t>
      </w:r>
      <w:bookmarkEnd w:id="1390"/>
      <w:r w:rsidRPr="000C3DF9">
        <w:rPr>
          <w:rStyle w:val="TextoNormalCaracter"/>
        </w:rPr>
        <w:t xml:space="preserve">, Sentencia </w:t>
      </w:r>
      <w:hyperlink w:anchor="SENTENCIA_2002_84" w:history="1">
        <w:r w:rsidRPr="000C3DF9">
          <w:rPr>
            <w:rStyle w:val="TextoNormalCaracter"/>
          </w:rPr>
          <w:t>84/2002</w:t>
        </w:r>
      </w:hyperlink>
      <w:r w:rsidRPr="000C3DF9">
        <w:rPr>
          <w:rStyle w:val="TextoNormalCaracter"/>
        </w:rPr>
        <w:t>, f. 6.</w:t>
      </w:r>
    </w:p>
    <w:p w:rsidR="000C3DF9" w:rsidRPr="000C3DF9" w:rsidRDefault="000C3DF9" w:rsidP="000C3DF9">
      <w:pPr>
        <w:pStyle w:val="TextoNormalSangraFrancesa"/>
        <w:rPr>
          <w:rStyle w:val="TextoNormalCaracter"/>
        </w:rPr>
      </w:pPr>
      <w:bookmarkStart w:id="1391" w:name="DESCRIPTORALFABETICO140"/>
      <w:r w:rsidRPr="000C3DF9">
        <w:rPr>
          <w:rStyle w:val="TextoNormalNegritaCaracter"/>
        </w:rPr>
        <w:t>Límites a la libertad de expresión</w:t>
      </w:r>
      <w:bookmarkEnd w:id="1391"/>
      <w:r w:rsidRPr="000C3DF9">
        <w:rPr>
          <w:rStyle w:val="TextoNormalCaracter"/>
        </w:rPr>
        <w:t xml:space="preserve">, Sentencia </w:t>
      </w:r>
      <w:hyperlink w:anchor="SENTENCIA_2002_20" w:history="1">
        <w:r w:rsidRPr="000C3DF9">
          <w:rPr>
            <w:rStyle w:val="TextoNormalCaracter"/>
          </w:rPr>
          <w:t>20/2002</w:t>
        </w:r>
      </w:hyperlink>
      <w:r w:rsidRPr="000C3DF9">
        <w:rPr>
          <w:rStyle w:val="TextoNormalCaracter"/>
        </w:rPr>
        <w:t>, ff. 4, 7.</w:t>
      </w:r>
    </w:p>
    <w:p w:rsidR="000C3DF9" w:rsidRPr="000C3DF9" w:rsidRDefault="000C3DF9" w:rsidP="000C3DF9">
      <w:pPr>
        <w:pStyle w:val="TextoNormalSangraFrancesa"/>
        <w:rPr>
          <w:rStyle w:val="TextoNormalCaracter"/>
        </w:rPr>
      </w:pPr>
      <w:bookmarkStart w:id="1392" w:name="DESCRIPTORALFABETICO435"/>
      <w:r w:rsidRPr="000C3DF9">
        <w:rPr>
          <w:rStyle w:val="TextoNormalNegritaCaracter"/>
        </w:rPr>
        <w:t>Límites de las leyes de presupuestos</w:t>
      </w:r>
      <w:bookmarkEnd w:id="1392"/>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393" w:name="DESCRIPTORALFABETICO436"/>
      <w:r w:rsidRPr="000C3DF9">
        <w:rPr>
          <w:rStyle w:val="TextoNormalNegritaCaracter"/>
        </w:rPr>
        <w:t>Límites materiales de las leyes de presupuestos</w:t>
      </w:r>
      <w:bookmarkEnd w:id="1393"/>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 3.</w:t>
      </w:r>
    </w:p>
    <w:p w:rsidR="000C3DF9" w:rsidRPr="000C3DF9" w:rsidRDefault="000C3DF9" w:rsidP="000C3DF9">
      <w:pPr>
        <w:pStyle w:val="TextoNormalSangraFrancesa"/>
        <w:rPr>
          <w:rStyle w:val="TextoNormalCaracter"/>
        </w:rPr>
      </w:pPr>
      <w:bookmarkStart w:id="1394" w:name="DESCRIPTORALFABETICO36"/>
      <w:r w:rsidRPr="000C3DF9">
        <w:rPr>
          <w:rStyle w:val="TextoNormalNegritaCaracter"/>
        </w:rPr>
        <w:t>Liquidaciones tributarias</w:t>
      </w:r>
      <w:bookmarkEnd w:id="1394"/>
      <w:r w:rsidRPr="000C3DF9">
        <w:rPr>
          <w:rStyle w:val="TextoNormalCaracter"/>
        </w:rPr>
        <w:t xml:space="preserve">, Auto </w:t>
      </w:r>
      <w:hyperlink w:anchor="AUTO_2002_9" w:history="1">
        <w:r w:rsidRPr="000C3DF9">
          <w:rPr>
            <w:rStyle w:val="TextoNormalCaracter"/>
          </w:rPr>
          <w:t>9/2002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M</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NegritaCaracter"/>
        </w:rPr>
      </w:pPr>
      <w:r w:rsidRPr="000C3DF9">
        <w:rPr>
          <w:rStyle w:val="TextoNormalCursivaCaracter"/>
        </w:rPr>
        <w:t>Mar litorial</w:t>
      </w:r>
      <w:r>
        <w:t xml:space="preserve"> véase </w:t>
      </w:r>
      <w:hyperlink w:anchor="DESCRIPTORALFABETICO348" w:history="1">
        <w:r w:rsidRPr="000C3DF9">
          <w:rPr>
            <w:rStyle w:val="TextoNormalNegritaCaracter"/>
          </w:rPr>
          <w:t>Aguas jurisdiccionales</w:t>
        </w:r>
      </w:hyperlink>
    </w:p>
    <w:p w:rsidR="000C3DF9" w:rsidRPr="000C3DF9" w:rsidRDefault="000C3DF9" w:rsidP="000C3DF9">
      <w:pPr>
        <w:pStyle w:val="TextoNormalSangraFrancesa"/>
        <w:rPr>
          <w:rStyle w:val="TextoNormalCaracter"/>
        </w:rPr>
      </w:pPr>
      <w:bookmarkStart w:id="1395" w:name="DESCRIPTORALFABETICO349"/>
      <w:r w:rsidRPr="000C3DF9">
        <w:rPr>
          <w:rStyle w:val="TextoNormalNegritaCaracter"/>
        </w:rPr>
        <w:t>Mar territorial</w:t>
      </w:r>
      <w:bookmarkEnd w:id="1395"/>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396" w:name="DESCRIPTORALFABETICO616"/>
      <w:r w:rsidRPr="000C3DF9">
        <w:rPr>
          <w:rStyle w:val="TextoNormalNegritaCaracter"/>
        </w:rPr>
        <w:t>Medidas provisionales</w:t>
      </w:r>
      <w:bookmarkEnd w:id="1396"/>
      <w:r w:rsidRPr="000C3DF9">
        <w:rPr>
          <w:rStyle w:val="TextoNormalCaracter"/>
        </w:rPr>
        <w:t xml:space="preserve">, Auto </w:t>
      </w:r>
      <w:hyperlink w:anchor="AUTO_2002_21" w:history="1">
        <w:r w:rsidRPr="000C3DF9">
          <w:rPr>
            <w:rStyle w:val="TextoNormalCaracter"/>
          </w:rPr>
          <w:t>21/2002</w:t>
        </w:r>
      </w:hyperlink>
      <w:r w:rsidRPr="000C3DF9">
        <w:rPr>
          <w:rStyle w:val="TextoNormalCaracter"/>
        </w:rPr>
        <w:t>.</w:t>
      </w:r>
    </w:p>
    <w:p w:rsidR="000C3DF9" w:rsidRPr="000C3DF9" w:rsidRDefault="000C3DF9" w:rsidP="000C3DF9">
      <w:pPr>
        <w:pStyle w:val="TextoNormalSangraFrancesa"/>
        <w:rPr>
          <w:rStyle w:val="TextoNormalCaracter"/>
        </w:rPr>
      </w:pPr>
      <w:bookmarkStart w:id="1397" w:name="DESCRIPTORALFABETICO404"/>
      <w:r w:rsidRPr="000C3DF9">
        <w:rPr>
          <w:rStyle w:val="TextoNormalNegritaCaracter"/>
        </w:rPr>
        <w:t>Medio ambiente</w:t>
      </w:r>
      <w:bookmarkEnd w:id="1397"/>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Concepto, </w:t>
      </w:r>
      <w:r w:rsidRPr="000C3DF9">
        <w:rPr>
          <w:rStyle w:val="TextoNormalCaracter"/>
        </w:rPr>
        <w:t xml:space="preserve">Sentencia </w:t>
      </w:r>
      <w:hyperlink w:anchor="SENTENCIA_2002_97" w:history="1">
        <w:r w:rsidRPr="000C3DF9">
          <w:rPr>
            <w:rStyle w:val="TextoNormalCaracter"/>
          </w:rPr>
          <w:t>97/2002</w:t>
        </w:r>
      </w:hyperlink>
      <w:r w:rsidRPr="000C3DF9">
        <w:rPr>
          <w:rStyle w:val="TextoNormalCaracter"/>
        </w:rPr>
        <w:t>, f. 9.</w:t>
      </w:r>
    </w:p>
    <w:p w:rsidR="000C3DF9" w:rsidRPr="000C3DF9" w:rsidRDefault="000C3DF9" w:rsidP="000C3DF9">
      <w:pPr>
        <w:pStyle w:val="TextoNormalSangraFrancesa"/>
        <w:rPr>
          <w:rStyle w:val="TextoNormalCaracter"/>
        </w:rPr>
      </w:pPr>
      <w:bookmarkStart w:id="1398" w:name="DESCRIPTORALFABETICO408"/>
      <w:r w:rsidRPr="000C3DF9">
        <w:rPr>
          <w:rStyle w:val="TextoNormalNegritaCaracter"/>
        </w:rPr>
        <w:t>Medios de comunicación</w:t>
      </w:r>
      <w:bookmarkEnd w:id="1398"/>
      <w:r w:rsidRPr="000C3DF9">
        <w:rPr>
          <w:rStyle w:val="TextoNormalCaracter"/>
        </w:rPr>
        <w:t xml:space="preserve">, Sentencia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399" w:name="DESCRIPTORALFABETICO624"/>
      <w:r w:rsidRPr="000C3DF9">
        <w:rPr>
          <w:rStyle w:val="TextoNormalNegritaCaracter"/>
        </w:rPr>
        <w:t>Mes de agosto inhábil</w:t>
      </w:r>
      <w:bookmarkEnd w:id="1399"/>
      <w:r w:rsidRPr="000C3DF9">
        <w:rPr>
          <w:rStyle w:val="TextoNormalCaracter"/>
        </w:rPr>
        <w:t xml:space="preserve">, Sentencia </w:t>
      </w:r>
      <w:hyperlink w:anchor="SENTENCIA_2002_69" w:history="1">
        <w:r w:rsidRPr="000C3DF9">
          <w:rPr>
            <w:rStyle w:val="TextoNormalCaracter"/>
          </w:rPr>
          <w:t>69/2002</w:t>
        </w:r>
      </w:hyperlink>
      <w:r w:rsidRPr="000C3DF9">
        <w:rPr>
          <w:rStyle w:val="TextoNormalCaracter"/>
        </w:rPr>
        <w:t>, f. 3.</w:t>
      </w:r>
    </w:p>
    <w:p w:rsidR="000C3DF9" w:rsidRPr="000C3DF9" w:rsidRDefault="000C3DF9" w:rsidP="000C3DF9">
      <w:pPr>
        <w:pStyle w:val="TextoNormalSangraFrancesa"/>
        <w:rPr>
          <w:rStyle w:val="TextoNormalCaracter"/>
        </w:rPr>
      </w:pPr>
      <w:bookmarkStart w:id="1400" w:name="DESCRIPTORALFABETICO360"/>
      <w:r w:rsidRPr="000C3DF9">
        <w:rPr>
          <w:rStyle w:val="TextoNormalNegritaCaracter"/>
        </w:rPr>
        <w:t>Modalidades de venta</w:t>
      </w:r>
      <w:bookmarkEnd w:id="1400"/>
      <w:r w:rsidRPr="000C3DF9">
        <w:rPr>
          <w:rStyle w:val="TextoNormalCaracter"/>
        </w:rPr>
        <w:t xml:space="preserve">, Autos </w:t>
      </w:r>
      <w:hyperlink w:anchor="AUTO_2002_20" w:history="1">
        <w:r w:rsidRPr="000C3DF9">
          <w:rPr>
            <w:rStyle w:val="TextoNormalCaracter"/>
          </w:rPr>
          <w:t>20/2002</w:t>
        </w:r>
      </w:hyperlink>
      <w:r w:rsidRPr="000C3DF9">
        <w:rPr>
          <w:rStyle w:val="TextoNormalCaracter"/>
        </w:rPr>
        <w:t xml:space="preserve">;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Caracter"/>
        </w:rPr>
      </w:pPr>
      <w:bookmarkStart w:id="1401" w:name="DESCRIPTORALFABETICO180"/>
      <w:r w:rsidRPr="000C3DF9">
        <w:rPr>
          <w:rStyle w:val="TextoNormalNegritaCaracter"/>
        </w:rPr>
        <w:t>Modificación de la suspensión</w:t>
      </w:r>
      <w:bookmarkEnd w:id="1401"/>
      <w:r w:rsidRPr="000C3DF9">
        <w:rPr>
          <w:rStyle w:val="TextoNormalCaracter"/>
        </w:rPr>
        <w:t xml:space="preserve">, Auto </w:t>
      </w:r>
      <w:hyperlink w:anchor="AUTO_2002_1" w:history="1">
        <w:r w:rsidRPr="000C3DF9">
          <w:rPr>
            <w:rStyle w:val="TextoNormalCaracter"/>
          </w:rPr>
          <w:t>1/2002</w:t>
        </w:r>
      </w:hyperlink>
      <w:r w:rsidRPr="000C3DF9">
        <w:rPr>
          <w:rStyle w:val="TextoNormalCaracter"/>
        </w:rPr>
        <w:t>.</w:t>
      </w:r>
    </w:p>
    <w:p w:rsidR="000C3DF9" w:rsidRPr="000C3DF9" w:rsidRDefault="000C3DF9" w:rsidP="000C3DF9">
      <w:pPr>
        <w:pStyle w:val="TextoNormalSangraFrancesa"/>
        <w:rPr>
          <w:rStyle w:val="TextoNormalCaracter"/>
        </w:rPr>
      </w:pPr>
      <w:bookmarkStart w:id="1402" w:name="DESCRIPTORALFABETICO218"/>
      <w:r w:rsidRPr="000C3DF9">
        <w:rPr>
          <w:rStyle w:val="TextoNormalNegritaCaracter"/>
        </w:rPr>
        <w:t>Modulación del alcance de la declaración de inconstitucionalidad</w:t>
      </w:r>
      <w:bookmarkEnd w:id="1402"/>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11.</w:t>
      </w:r>
    </w:p>
    <w:p w:rsidR="000C3DF9" w:rsidRPr="000C3DF9" w:rsidRDefault="000C3DF9" w:rsidP="000C3DF9">
      <w:pPr>
        <w:pStyle w:val="TextoNormalSangraFrancesa"/>
        <w:rPr>
          <w:rStyle w:val="TextoNormalCaracter"/>
        </w:rPr>
      </w:pPr>
      <w:bookmarkStart w:id="1403" w:name="DESCRIPTORALFABETICO698"/>
      <w:r w:rsidRPr="000C3DF9">
        <w:rPr>
          <w:rStyle w:val="TextoNormalNegritaCaracter"/>
        </w:rPr>
        <w:t>Momento en que nace el derecho a la defensa del imputado</w:t>
      </w:r>
      <w:bookmarkEnd w:id="1403"/>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04" w:name="DESCRIPTORALFABETICO125"/>
      <w:r w:rsidRPr="000C3DF9">
        <w:rPr>
          <w:rStyle w:val="TextoNormalNegritaCaracter"/>
        </w:rPr>
        <w:t>Motivación de la intervención telefónica</w:t>
      </w:r>
      <w:bookmarkEnd w:id="1404"/>
      <w:r w:rsidRPr="000C3DF9">
        <w:rPr>
          <w:rStyle w:val="TextoNormalCaracter"/>
        </w:rPr>
        <w:t xml:space="preserve">, Sentencia </w:t>
      </w:r>
      <w:hyperlink w:anchor="SENTENCIA_2002_82" w:history="1">
        <w:r w:rsidRPr="000C3DF9">
          <w:rPr>
            <w:rStyle w:val="TextoNormalCaracter"/>
          </w:rPr>
          <w:t>82/2002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05" w:name="DESCRIPTORALFABETICO701"/>
      <w:r w:rsidRPr="000C3DF9">
        <w:rPr>
          <w:rStyle w:val="TextoNormalNegritaCaracter"/>
        </w:rPr>
        <w:t>Motivación de la prisión provisional</w:t>
      </w:r>
      <w:bookmarkEnd w:id="1405"/>
      <w:r w:rsidRPr="000C3DF9">
        <w:rPr>
          <w:rStyle w:val="TextoNormalCaracter"/>
        </w:rPr>
        <w:t xml:space="preserve">, Auto </w:t>
      </w:r>
      <w:hyperlink w:anchor="AUTO_2002_51" w:history="1">
        <w:r w:rsidRPr="000C3DF9">
          <w:rPr>
            <w:rStyle w:val="TextoNormalCaracter"/>
          </w:rPr>
          <w:t>51/2002</w:t>
        </w:r>
      </w:hyperlink>
      <w:r w:rsidRPr="000C3DF9">
        <w:rPr>
          <w:rStyle w:val="TextoNormalCaracter"/>
        </w:rPr>
        <w:t>.</w:t>
      </w:r>
    </w:p>
    <w:p w:rsidR="000C3DF9" w:rsidRPr="000C3DF9" w:rsidRDefault="000C3DF9" w:rsidP="000C3DF9">
      <w:pPr>
        <w:pStyle w:val="TextoNormalSangraFrancesa"/>
        <w:rPr>
          <w:rStyle w:val="TextoNormalCaracter"/>
        </w:rPr>
      </w:pPr>
      <w:bookmarkStart w:id="1406" w:name="DESCRIPTORALFABETICO97"/>
      <w:r w:rsidRPr="000C3DF9">
        <w:rPr>
          <w:rStyle w:val="TextoNormalNegritaCaracter"/>
        </w:rPr>
        <w:t>Motivación de las resoluciones judiciales</w:t>
      </w:r>
      <w:bookmarkEnd w:id="1406"/>
      <w:r w:rsidRPr="000C3DF9">
        <w:rPr>
          <w:rStyle w:val="TextoNormalCaracter"/>
        </w:rPr>
        <w:t xml:space="preserve">, Sentencias </w:t>
      </w:r>
      <w:hyperlink w:anchor="SENTENCIA_2002_5" w:history="1">
        <w:r w:rsidRPr="000C3DF9">
          <w:rPr>
            <w:rStyle w:val="TextoNormalCaracter"/>
          </w:rPr>
          <w:t>5/2002</w:t>
        </w:r>
      </w:hyperlink>
      <w:r w:rsidRPr="000C3DF9">
        <w:rPr>
          <w:rStyle w:val="TextoNormalCaracter"/>
        </w:rPr>
        <w:t xml:space="preserve">, f. 2; </w:t>
      </w:r>
      <w:hyperlink w:anchor="SENTENCIA_2002_15" w:history="1">
        <w:r w:rsidRPr="000C3DF9">
          <w:rPr>
            <w:rStyle w:val="TextoNormalCaracter"/>
          </w:rPr>
          <w:t>15/2002</w:t>
        </w:r>
      </w:hyperlink>
      <w:r w:rsidRPr="000C3DF9">
        <w:rPr>
          <w:rStyle w:val="TextoNormalCaracter"/>
        </w:rPr>
        <w:t xml:space="preserve">, f. 2; </w:t>
      </w:r>
      <w:hyperlink w:anchor="SENTENCIA_2002_29" w:history="1">
        <w:r w:rsidRPr="000C3DF9">
          <w:rPr>
            <w:rStyle w:val="TextoNormalCaracter"/>
          </w:rPr>
          <w:t>29/2002</w:t>
        </w:r>
      </w:hyperlink>
      <w:r w:rsidRPr="000C3DF9">
        <w:rPr>
          <w:rStyle w:val="TextoNormalCaracter"/>
        </w:rPr>
        <w:t xml:space="preserve">, f. 4; </w:t>
      </w:r>
      <w:hyperlink w:anchor="SENTENCIA_2002_30" w:history="1">
        <w:r w:rsidRPr="000C3DF9">
          <w:rPr>
            <w:rStyle w:val="TextoNormalCaracter"/>
          </w:rPr>
          <w:t>30/2002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5" w:history="1">
        <w:r w:rsidRPr="000C3DF9">
          <w:rPr>
            <w:rStyle w:val="TextoNormalCaracter"/>
          </w:rPr>
          <w:t>5/2002</w:t>
        </w:r>
      </w:hyperlink>
      <w:r w:rsidRPr="000C3DF9">
        <w:rPr>
          <w:rStyle w:val="TextoNormalCaracter"/>
        </w:rPr>
        <w:t xml:space="preserve">, ff. 2, 3; </w:t>
      </w:r>
      <w:hyperlink w:anchor="SENTENCIA_2002_91" w:history="1">
        <w:r w:rsidRPr="000C3DF9">
          <w:rPr>
            <w:rStyle w:val="TextoNormalCaracter"/>
          </w:rPr>
          <w:t>91/2002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07" w:name="DESCRIPTORALFABETICO100"/>
      <w:r w:rsidRPr="000C3DF9">
        <w:rPr>
          <w:rStyle w:val="TextoNormalNegritaCaracter"/>
        </w:rPr>
        <w:t>Motivación de las resoluciones judiciales por remisión</w:t>
      </w:r>
      <w:bookmarkEnd w:id="1407"/>
      <w:r w:rsidRPr="000C3DF9">
        <w:rPr>
          <w:rStyle w:val="TextoNormalCaracter"/>
        </w:rPr>
        <w:t xml:space="preserve">, Sentencia </w:t>
      </w:r>
      <w:hyperlink w:anchor="SENTENCIA_2002_5" w:history="1">
        <w:r w:rsidRPr="000C3DF9">
          <w:rPr>
            <w:rStyle w:val="TextoNormalCaracter"/>
          </w:rPr>
          <w:t>5/2002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408" w:name="DESCRIPTORALFABETICO101"/>
      <w:r w:rsidRPr="000C3DF9">
        <w:rPr>
          <w:rStyle w:val="TextoNormalNegritaCaracter"/>
        </w:rPr>
        <w:t>Motivación de las sentencias</w:t>
      </w:r>
      <w:bookmarkEnd w:id="1408"/>
      <w:r w:rsidRPr="000C3DF9">
        <w:rPr>
          <w:rStyle w:val="TextoNormalCaracter"/>
        </w:rPr>
        <w:t xml:space="preserve">, Sentencias </w:t>
      </w:r>
      <w:hyperlink w:anchor="SENTENCIA_2002_6" w:history="1">
        <w:r w:rsidRPr="000C3DF9">
          <w:rPr>
            <w:rStyle w:val="TextoNormalCaracter"/>
          </w:rPr>
          <w:t>6/2002</w:t>
        </w:r>
      </w:hyperlink>
      <w:r w:rsidRPr="000C3DF9">
        <w:rPr>
          <w:rStyle w:val="TextoNormalCaracter"/>
        </w:rPr>
        <w:t xml:space="preserve">, ff. 3, 4, 5; </w:t>
      </w:r>
      <w:hyperlink w:anchor="SENTENCIA_2002_20" w:history="1">
        <w:r w:rsidRPr="000C3DF9">
          <w:rPr>
            <w:rStyle w:val="TextoNormalCaracter"/>
          </w:rPr>
          <w:t>20/2002</w:t>
        </w:r>
      </w:hyperlink>
      <w:r w:rsidRPr="000C3DF9">
        <w:rPr>
          <w:rStyle w:val="TextoNormalCaracter"/>
        </w:rPr>
        <w:t xml:space="preserve">, f. 3; </w:t>
      </w:r>
      <w:hyperlink w:anchor="SENTENCIA_2002_35" w:history="1">
        <w:r w:rsidRPr="000C3DF9">
          <w:rPr>
            <w:rStyle w:val="TextoNormalCaracter"/>
          </w:rPr>
          <w:t>35/2002</w:t>
        </w:r>
      </w:hyperlink>
      <w:r w:rsidRPr="000C3DF9">
        <w:rPr>
          <w:rStyle w:val="TextoNormalCaracter"/>
        </w:rPr>
        <w:t xml:space="preserve">, f. 3; </w:t>
      </w:r>
      <w:hyperlink w:anchor="SENTENCIA_2002_66" w:history="1">
        <w:r w:rsidRPr="000C3DF9">
          <w:rPr>
            <w:rStyle w:val="TextoNormalCaracter"/>
          </w:rPr>
          <w:t>66/2002</w:t>
        </w:r>
      </w:hyperlink>
      <w:r w:rsidRPr="000C3DF9">
        <w:rPr>
          <w:rStyle w:val="TextoNormalCaracter"/>
        </w:rPr>
        <w:t xml:space="preserve">, f. 4; </w:t>
      </w:r>
      <w:hyperlink w:anchor="SENTENCIA_2002_68" w:history="1">
        <w:r w:rsidRPr="000C3DF9">
          <w:rPr>
            <w:rStyle w:val="TextoNormalCaracter"/>
          </w:rPr>
          <w:t>68/2002</w:t>
        </w:r>
      </w:hyperlink>
      <w:r w:rsidRPr="000C3DF9">
        <w:rPr>
          <w:rStyle w:val="TextoNormalCaracter"/>
        </w:rPr>
        <w:t xml:space="preserve">, f. 4; </w:t>
      </w:r>
      <w:hyperlink w:anchor="SENTENCIA_2002_83" w:history="1">
        <w:r w:rsidRPr="000C3DF9">
          <w:rPr>
            <w:rStyle w:val="TextoNormalCaracter"/>
          </w:rPr>
          <w:t>83/2002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68" w:history="1">
        <w:r w:rsidRPr="000C3DF9">
          <w:rPr>
            <w:rStyle w:val="TextoNormalCaracter"/>
          </w:rPr>
          <w:t>68/2002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6" w:history="1">
        <w:r w:rsidRPr="000C3DF9">
          <w:rPr>
            <w:rStyle w:val="TextoNormalCaracter"/>
          </w:rPr>
          <w:t>6/2002</w:t>
        </w:r>
      </w:hyperlink>
      <w:r w:rsidRPr="000C3DF9">
        <w:rPr>
          <w:rStyle w:val="TextoNormalCaracter"/>
        </w:rPr>
        <w:t xml:space="preserve">, ff. 4, 5; </w:t>
      </w:r>
      <w:hyperlink w:anchor="SENTENCIA_2002_35" w:history="1">
        <w:r w:rsidRPr="000C3DF9">
          <w:rPr>
            <w:rStyle w:val="TextoNormalCaracter"/>
          </w:rPr>
          <w:t>35/2002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Motivación del Auto de intervención telefónica</w:t>
      </w:r>
      <w:r>
        <w:t xml:space="preserve"> véase </w:t>
      </w:r>
      <w:hyperlink w:anchor="DESCRIPTORALFABETICO125" w:history="1">
        <w:r w:rsidRPr="000C3DF9">
          <w:rPr>
            <w:rStyle w:val="TextoNormalNegritaCaracter"/>
          </w:rPr>
          <w:t>Motivación de la intervención telefónica</w:t>
        </w:r>
      </w:hyperlink>
    </w:p>
    <w:p w:rsidR="000C3DF9" w:rsidRPr="000C3DF9" w:rsidRDefault="000C3DF9" w:rsidP="000C3DF9">
      <w:pPr>
        <w:pStyle w:val="TextoNormalSangraFrancesa"/>
        <w:rPr>
          <w:rStyle w:val="TextoNormalCaracter"/>
        </w:rPr>
      </w:pPr>
      <w:bookmarkStart w:id="1409" w:name="DESCRIPTORALFABETICO213"/>
      <w:r w:rsidRPr="000C3DF9">
        <w:rPr>
          <w:rStyle w:val="TextoNormalNegritaCaracter"/>
        </w:rPr>
        <w:t>Motivación del Auto de planteamiento de cuestión de inconstitucionalidad</w:t>
      </w:r>
      <w:bookmarkEnd w:id="1409"/>
      <w:r w:rsidRPr="000C3DF9">
        <w:rPr>
          <w:rStyle w:val="TextoNormalCaracter"/>
        </w:rPr>
        <w:t xml:space="preserve">, Sentencia </w:t>
      </w:r>
      <w:hyperlink w:anchor="SENTENCIA_2002_35" w:history="1">
        <w:r w:rsidRPr="000C3DF9">
          <w:rPr>
            <w:rStyle w:val="TextoNormalCaracter"/>
          </w:rPr>
          <w:t>35/2002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Motivación del Auto de prisión provisional</w:t>
      </w:r>
      <w:r>
        <w:t xml:space="preserve"> véase </w:t>
      </w:r>
      <w:hyperlink w:anchor="DESCRIPTORALFABETICO701" w:history="1">
        <w:r w:rsidRPr="000C3DF9">
          <w:rPr>
            <w:rStyle w:val="TextoNormalNegritaCaracter"/>
          </w:rPr>
          <w:t>Motivación de la prisión provisional</w:t>
        </w:r>
      </w:hyperlink>
    </w:p>
    <w:p w:rsidR="000C3DF9" w:rsidRPr="000C3DF9" w:rsidRDefault="000C3DF9" w:rsidP="000C3DF9">
      <w:pPr>
        <w:pStyle w:val="TextoNormalSangraFrancesa"/>
        <w:rPr>
          <w:rStyle w:val="TextoNormalCaracter"/>
        </w:rPr>
      </w:pPr>
      <w:bookmarkStart w:id="1410" w:name="DESCRIPTORALFABETICO702"/>
      <w:r w:rsidRPr="000C3DF9">
        <w:rPr>
          <w:rStyle w:val="TextoNormalNegritaCaracter"/>
        </w:rPr>
        <w:t>Motivación insuficiente de la prisión provisional</w:t>
      </w:r>
      <w:bookmarkEnd w:id="1410"/>
      <w:r w:rsidRPr="000C3DF9">
        <w:rPr>
          <w:rStyle w:val="TextoNormalCaracter"/>
        </w:rPr>
        <w:t xml:space="preserve">, Sentencias </w:t>
      </w:r>
      <w:hyperlink w:anchor="SENTENCIA_2002_8" w:history="1">
        <w:r w:rsidRPr="000C3DF9">
          <w:rPr>
            <w:rStyle w:val="TextoNormalCaracter"/>
          </w:rPr>
          <w:t>8/2002</w:t>
        </w:r>
      </w:hyperlink>
      <w:r w:rsidRPr="000C3DF9">
        <w:rPr>
          <w:rStyle w:val="TextoNormalCaracter"/>
        </w:rPr>
        <w:t xml:space="preserve">, f. 6; </w:t>
      </w:r>
      <w:hyperlink w:anchor="SENTENCIA_2002_23" w:history="1">
        <w:r w:rsidRPr="000C3DF9">
          <w:rPr>
            <w:rStyle w:val="TextoNormalCaracter"/>
          </w:rPr>
          <w:t>23/2002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11" w:name="DESCRIPTORALFABETICO463"/>
      <w:r w:rsidRPr="000C3DF9">
        <w:rPr>
          <w:rStyle w:val="TextoNormalNegritaCaracter"/>
        </w:rPr>
        <w:t>Multa</w:t>
      </w:r>
      <w:bookmarkEnd w:id="1411"/>
      <w:r w:rsidRPr="000C3DF9">
        <w:rPr>
          <w:rStyle w:val="TextoNormalCaracter"/>
        </w:rPr>
        <w:t xml:space="preserve">, Autos </w:t>
      </w:r>
      <w:hyperlink w:anchor="AUTO_2002_22" w:history="1">
        <w:r w:rsidRPr="000C3DF9">
          <w:rPr>
            <w:rStyle w:val="TextoNormalCaracter"/>
          </w:rPr>
          <w:t>22/2002</w:t>
        </w:r>
      </w:hyperlink>
      <w:r w:rsidRPr="000C3DF9">
        <w:rPr>
          <w:rStyle w:val="TextoNormalCaracter"/>
        </w:rPr>
        <w:t xml:space="preserve">; </w:t>
      </w:r>
      <w:hyperlink w:anchor="AUTO_2002_25" w:history="1">
        <w:r w:rsidRPr="000C3DF9">
          <w:rPr>
            <w:rStyle w:val="TextoNormalCaracter"/>
          </w:rPr>
          <w:t>25/2002</w:t>
        </w:r>
      </w:hyperlink>
      <w:r w:rsidRPr="000C3DF9">
        <w:rPr>
          <w:rStyle w:val="TextoNormalCaracter"/>
        </w:rPr>
        <w:t xml:space="preserve">; </w:t>
      </w:r>
      <w:hyperlink w:anchor="AUTO_2002_35" w:history="1">
        <w:r w:rsidRPr="000C3DF9">
          <w:rPr>
            <w:rStyle w:val="TextoNormalCaracter"/>
          </w:rPr>
          <w:t>35/2002</w:t>
        </w:r>
      </w:hyperlink>
      <w:r w:rsidRPr="000C3DF9">
        <w:rPr>
          <w:rStyle w:val="TextoNormalCaracter"/>
        </w:rPr>
        <w:t xml:space="preserve">; </w:t>
      </w:r>
      <w:hyperlink w:anchor="AUTO_2002_41" w:history="1">
        <w:r w:rsidRPr="000C3DF9">
          <w:rPr>
            <w:rStyle w:val="TextoNormalCaracter"/>
          </w:rPr>
          <w:t>41/2002</w:t>
        </w:r>
      </w:hyperlink>
      <w:r w:rsidRPr="000C3DF9">
        <w:rPr>
          <w:rStyle w:val="TextoNormalCaracter"/>
        </w:rPr>
        <w:t xml:space="preserve">; </w:t>
      </w:r>
      <w:hyperlink w:anchor="AUTO_2002_58" w:history="1">
        <w:r w:rsidRPr="000C3DF9">
          <w:rPr>
            <w:rStyle w:val="TextoNormalCaracter"/>
          </w:rPr>
          <w:t>58/2002</w:t>
        </w:r>
      </w:hyperlink>
      <w:r w:rsidRPr="000C3DF9">
        <w:rPr>
          <w:rStyle w:val="TextoNormalCaracter"/>
        </w:rPr>
        <w:t>.</w:t>
      </w:r>
    </w:p>
    <w:p w:rsidR="000C3DF9" w:rsidRPr="000C3DF9" w:rsidRDefault="000C3DF9" w:rsidP="000C3DF9">
      <w:pPr>
        <w:pStyle w:val="TextoNormalSangraFrancesa"/>
        <w:rPr>
          <w:rStyle w:val="TextoNormalCaracter"/>
        </w:rPr>
      </w:pPr>
      <w:bookmarkStart w:id="1412" w:name="DESCRIPTORALFABETICO464"/>
      <w:r w:rsidRPr="000C3DF9">
        <w:rPr>
          <w:rStyle w:val="TextoNormalNegritaCaracter"/>
        </w:rPr>
        <w:t>Multa cuantiosa</w:t>
      </w:r>
      <w:bookmarkEnd w:id="1412"/>
      <w:r w:rsidRPr="000C3DF9">
        <w:rPr>
          <w:rStyle w:val="TextoNormalCaracter"/>
        </w:rPr>
        <w:t xml:space="preserve">, Auto </w:t>
      </w:r>
      <w:hyperlink w:anchor="AUTO_2002_63" w:history="1">
        <w:r w:rsidRPr="000C3DF9">
          <w:rPr>
            <w:rStyle w:val="TextoNormalCaracter"/>
          </w:rPr>
          <w:t>63/2002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N</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413" w:name="DESCRIPTORALFABETICO743"/>
      <w:r w:rsidRPr="000C3DF9">
        <w:rPr>
          <w:rStyle w:val="TextoNormalNegritaCaracter"/>
        </w:rPr>
        <w:t>Navarra</w:t>
      </w:r>
      <w:bookmarkEnd w:id="1413"/>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5 a 12.</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Normas anteriores a la Constitución</w:t>
      </w:r>
      <w:r>
        <w:t xml:space="preserve"> véase </w:t>
      </w:r>
      <w:hyperlink w:anchor="DESCRIPTORALFABETICO451" w:history="1">
        <w:r w:rsidRPr="000C3DF9">
          <w:rPr>
            <w:rStyle w:val="TextoNormalNegritaCaracter"/>
          </w:rPr>
          <w:t>Normas preconstitucionales</w:t>
        </w:r>
      </w:hyperlink>
    </w:p>
    <w:p w:rsidR="000C3DF9" w:rsidRPr="000C3DF9" w:rsidRDefault="000C3DF9" w:rsidP="000C3DF9">
      <w:pPr>
        <w:pStyle w:val="TextoNormalSangraFrancesa"/>
        <w:rPr>
          <w:rStyle w:val="TextoNormalCaracter"/>
        </w:rPr>
      </w:pPr>
      <w:bookmarkStart w:id="1414" w:name="DESCRIPTORALFABETICO430"/>
      <w:r w:rsidRPr="000C3DF9">
        <w:rPr>
          <w:rStyle w:val="TextoNormalNegritaCaracter"/>
        </w:rPr>
        <w:t>Normas básicas en forma de decreto-ley</w:t>
      </w:r>
      <w:bookmarkEnd w:id="1414"/>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8.</w:t>
      </w:r>
    </w:p>
    <w:p w:rsidR="000C3DF9" w:rsidRPr="000C3DF9" w:rsidRDefault="000C3DF9" w:rsidP="000C3DF9">
      <w:pPr>
        <w:pStyle w:val="TextoNormalSangraFrancesa"/>
        <w:rPr>
          <w:rStyle w:val="TextoNormalCaracter"/>
        </w:rPr>
      </w:pPr>
      <w:bookmarkStart w:id="1415" w:name="DESCRIPTORALFABETICO450"/>
      <w:r w:rsidRPr="000C3DF9">
        <w:rPr>
          <w:rStyle w:val="TextoNormalNegritaCaracter"/>
        </w:rPr>
        <w:t>Normas dispositivas</w:t>
      </w:r>
      <w:bookmarkEnd w:id="1415"/>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Normas internacionales</w:t>
      </w:r>
      <w:r>
        <w:t xml:space="preserve"> véase </w:t>
      </w:r>
      <w:hyperlink w:anchor="DESCRIPTORALFABETICO418" w:history="1">
        <w:r w:rsidRPr="000C3DF9">
          <w:rPr>
            <w:rStyle w:val="TextoNormalNegritaCaracter"/>
          </w:rPr>
          <w:t>Derecho internacional</w:t>
        </w:r>
      </w:hyperlink>
    </w:p>
    <w:p w:rsidR="000C3DF9" w:rsidRPr="000C3DF9" w:rsidRDefault="000C3DF9" w:rsidP="000C3DF9">
      <w:pPr>
        <w:pStyle w:val="TextoNormalSangraFrancesa"/>
        <w:rPr>
          <w:rStyle w:val="TextoNormalCaracter"/>
        </w:rPr>
      </w:pPr>
      <w:bookmarkStart w:id="1416" w:name="DESCRIPTORALFABETICO451"/>
      <w:r w:rsidRPr="000C3DF9">
        <w:rPr>
          <w:rStyle w:val="TextoNormalNegritaCaracter"/>
        </w:rPr>
        <w:t>Normas preconstitucionales</w:t>
      </w:r>
      <w:bookmarkEnd w:id="1416"/>
      <w:r w:rsidRPr="000C3DF9">
        <w:rPr>
          <w:rStyle w:val="TextoNormalCaracter"/>
        </w:rPr>
        <w:t xml:space="preserve">, Sentencias </w:t>
      </w:r>
      <w:hyperlink w:anchor="SENTENCIA_2002_10" w:history="1">
        <w:r w:rsidRPr="000C3DF9">
          <w:rPr>
            <w:rStyle w:val="TextoNormalCaracter"/>
          </w:rPr>
          <w:t>10/2002</w:t>
        </w:r>
      </w:hyperlink>
      <w:r w:rsidRPr="000C3DF9">
        <w:rPr>
          <w:rStyle w:val="TextoNormalCaracter"/>
        </w:rPr>
        <w:t xml:space="preserve">, f. 2; </w:t>
      </w:r>
      <w:hyperlink w:anchor="SENTENCIA_2002_37" w:history="1">
        <w:r w:rsidRPr="000C3DF9">
          <w:rPr>
            <w:rStyle w:val="TextoNormalCaracter"/>
          </w:rPr>
          <w:t>37/2002</w:t>
        </w:r>
      </w:hyperlink>
      <w:r w:rsidRPr="000C3DF9">
        <w:rPr>
          <w:rStyle w:val="TextoNormalCaracter"/>
        </w:rPr>
        <w:t xml:space="preserve">, f. 9; </w:t>
      </w:r>
      <w:hyperlink w:anchor="SENTENCIA_2002_39" w:history="1">
        <w:r w:rsidRPr="000C3DF9">
          <w:rPr>
            <w:rStyle w:val="TextoNormalCaracter"/>
          </w:rPr>
          <w:t>39/2002</w:t>
        </w:r>
      </w:hyperlink>
      <w:r w:rsidRPr="000C3DF9">
        <w:rPr>
          <w:rStyle w:val="TextoNormalCaracter"/>
        </w:rPr>
        <w:t>, f. 2 a).</w:t>
      </w:r>
    </w:p>
    <w:p w:rsidR="000C3DF9" w:rsidRPr="000C3DF9" w:rsidRDefault="000C3DF9" w:rsidP="000C3DF9">
      <w:pPr>
        <w:pStyle w:val="TextoNormalSangraFrancesa"/>
        <w:rPr>
          <w:rStyle w:val="TextoNormalNegritaCaracter"/>
        </w:rPr>
      </w:pPr>
      <w:r w:rsidRPr="000C3DF9">
        <w:rPr>
          <w:rStyle w:val="TextoNormalCursivaCaracter"/>
        </w:rPr>
        <w:t>Normas tributarias</w:t>
      </w:r>
      <w:r>
        <w:t xml:space="preserve"> véase </w:t>
      </w:r>
      <w:hyperlink w:anchor="DESCRIPTORALFABETICO432" w:history="1">
        <w:r w:rsidRPr="000C3DF9">
          <w:rPr>
            <w:rStyle w:val="TextoNormalNegritaCaracter"/>
          </w:rPr>
          <w:t>Legislación tributaria</w:t>
        </w:r>
      </w:hyperlink>
    </w:p>
    <w:p w:rsidR="000C3DF9" w:rsidRPr="000C3DF9" w:rsidRDefault="000C3DF9" w:rsidP="000C3DF9">
      <w:pPr>
        <w:pStyle w:val="TextoNormalSangraFrancesa"/>
        <w:rPr>
          <w:rStyle w:val="TextoNormalNegritaCaracter"/>
        </w:rPr>
      </w:pPr>
      <w:r w:rsidRPr="000C3DF9">
        <w:rPr>
          <w:rStyle w:val="TextoNormalCursivaCaracter"/>
        </w:rPr>
        <w:t>Normativa internacional</w:t>
      </w:r>
      <w:r>
        <w:t xml:space="preserve"> véase </w:t>
      </w:r>
      <w:hyperlink w:anchor="DESCRIPTORALFABETICO418" w:history="1">
        <w:r w:rsidRPr="000C3DF9">
          <w:rPr>
            <w:rStyle w:val="TextoNormalNegritaCaracter"/>
          </w:rPr>
          <w:t>Derecho internacional</w:t>
        </w:r>
      </w:hyperlink>
    </w:p>
    <w:p w:rsidR="000C3DF9" w:rsidRPr="000C3DF9" w:rsidRDefault="000C3DF9" w:rsidP="000C3DF9">
      <w:pPr>
        <w:pStyle w:val="TextoNormalSangraFrancesa"/>
        <w:rPr>
          <w:rStyle w:val="TextoNormalNegritaCaracter"/>
        </w:rPr>
      </w:pPr>
      <w:r w:rsidRPr="000C3DF9">
        <w:rPr>
          <w:rStyle w:val="TextoNormalCursivaCaracter"/>
        </w:rPr>
        <w:t>Notificación de resoluciones judiciales</w:t>
      </w:r>
      <w:r>
        <w:t xml:space="preserve"> véase </w:t>
      </w:r>
      <w:hyperlink w:anchor="DESCRIPTORALFABETICO540" w:history="1">
        <w:r w:rsidRPr="000C3DF9">
          <w:rPr>
            <w:rStyle w:val="TextoNormalNegritaCaracter"/>
          </w:rPr>
          <w:t>Notificación judicial</w:t>
        </w:r>
      </w:hyperlink>
    </w:p>
    <w:p w:rsidR="000C3DF9" w:rsidRPr="000C3DF9" w:rsidRDefault="000C3DF9" w:rsidP="000C3DF9">
      <w:pPr>
        <w:pStyle w:val="TextoNormalSangraFrancesa"/>
        <w:rPr>
          <w:rStyle w:val="TextoNormalCaracter"/>
        </w:rPr>
      </w:pPr>
      <w:bookmarkStart w:id="1417" w:name="DESCRIPTORALFABETICO542"/>
      <w:r w:rsidRPr="000C3DF9">
        <w:rPr>
          <w:rStyle w:val="TextoNormalNegritaCaracter"/>
        </w:rPr>
        <w:lastRenderedPageBreak/>
        <w:t>Notificación de sentencias</w:t>
      </w:r>
      <w:bookmarkEnd w:id="1417"/>
      <w:r w:rsidRPr="000C3DF9">
        <w:rPr>
          <w:rStyle w:val="TextoNormalCaracter"/>
        </w:rPr>
        <w:t xml:space="preserve">, Sentencias </w:t>
      </w:r>
      <w:hyperlink w:anchor="SENTENCIA_2002_42" w:history="1">
        <w:r w:rsidRPr="000C3DF9">
          <w:rPr>
            <w:rStyle w:val="TextoNormalCaracter"/>
          </w:rPr>
          <w:t>42/2002</w:t>
        </w:r>
      </w:hyperlink>
      <w:r w:rsidRPr="000C3DF9">
        <w:rPr>
          <w:rStyle w:val="TextoNormalCaracter"/>
        </w:rPr>
        <w:t xml:space="preserve">, ff. 2, 3; </w:t>
      </w:r>
      <w:hyperlink w:anchor="SENTENCIA_2002_91" w:history="1">
        <w:r w:rsidRPr="000C3DF9">
          <w:rPr>
            <w:rStyle w:val="TextoNormalCaracter"/>
          </w:rPr>
          <w:t>91/2002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18" w:name="DESCRIPTORALFABETICO540"/>
      <w:r w:rsidRPr="000C3DF9">
        <w:rPr>
          <w:rStyle w:val="TextoNormalNegritaCaracter"/>
        </w:rPr>
        <w:t>Notificación judicial</w:t>
      </w:r>
      <w:bookmarkEnd w:id="1418"/>
      <w:r w:rsidRPr="000C3DF9">
        <w:rPr>
          <w:rStyle w:val="TextoNormalCaracter"/>
        </w:rPr>
        <w:t xml:space="preserve">, Sentencias </w:t>
      </w:r>
      <w:hyperlink w:anchor="SENTENCIA_2002_42" w:history="1">
        <w:r w:rsidRPr="000C3DF9">
          <w:rPr>
            <w:rStyle w:val="TextoNormalCaracter"/>
          </w:rPr>
          <w:t>42/2002</w:t>
        </w:r>
      </w:hyperlink>
      <w:r w:rsidRPr="000C3DF9">
        <w:rPr>
          <w:rStyle w:val="TextoNormalCaracter"/>
        </w:rPr>
        <w:t xml:space="preserve">, f. 3; </w:t>
      </w:r>
      <w:hyperlink w:anchor="SENTENCIA_2002_91" w:history="1">
        <w:r w:rsidRPr="000C3DF9">
          <w:rPr>
            <w:rStyle w:val="TextoNormalCaracter"/>
          </w:rPr>
          <w:t>91/2002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19" w:name="DESCRIPTORALFABETICO543"/>
      <w:r w:rsidRPr="000C3DF9">
        <w:rPr>
          <w:rStyle w:val="TextoNormalNegritaCaracter"/>
        </w:rPr>
        <w:t>Notificación personal</w:t>
      </w:r>
      <w:bookmarkEnd w:id="1419"/>
      <w:r w:rsidRPr="000C3DF9">
        <w:rPr>
          <w:rStyle w:val="TextoNormalCaracter"/>
        </w:rPr>
        <w:t xml:space="preserve">, Sentencia </w:t>
      </w:r>
      <w:hyperlink w:anchor="SENTENCIA_2002_91" w:history="1">
        <w:r w:rsidRPr="000C3DF9">
          <w:rPr>
            <w:rStyle w:val="TextoNormalCaracter"/>
          </w:rPr>
          <w:t>91/2002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20" w:name="DESCRIPTORALFABETICO544"/>
      <w:r w:rsidRPr="000C3DF9">
        <w:rPr>
          <w:rStyle w:val="TextoNormalNegritaCaracter"/>
        </w:rPr>
        <w:t>Notificación por correo certificado</w:t>
      </w:r>
      <w:bookmarkEnd w:id="1420"/>
      <w:r w:rsidRPr="000C3DF9">
        <w:rPr>
          <w:rStyle w:val="TextoNormalCaracter"/>
        </w:rPr>
        <w:t xml:space="preserve">, Sentencia </w:t>
      </w:r>
      <w:hyperlink w:anchor="SENTENCIA_2002_42" w:history="1">
        <w:r w:rsidRPr="000C3DF9">
          <w:rPr>
            <w:rStyle w:val="TextoNormalCaracter"/>
          </w:rPr>
          <w:t>42/2002</w:t>
        </w:r>
      </w:hyperlink>
      <w:r w:rsidRPr="000C3DF9">
        <w:rPr>
          <w:rStyle w:val="TextoNormalCaracter"/>
        </w:rPr>
        <w:t>, ff. 2, 3.</w:t>
      </w:r>
    </w:p>
    <w:p w:rsidR="000C3DF9" w:rsidRPr="000C3DF9" w:rsidRDefault="000C3DF9" w:rsidP="000C3DF9">
      <w:pPr>
        <w:pStyle w:val="TextoNormalSangraFrancesa"/>
        <w:rPr>
          <w:rStyle w:val="TextoNormalCaracter"/>
        </w:rPr>
      </w:pPr>
      <w:bookmarkStart w:id="1421" w:name="DESCRIPTORALFABETICO643"/>
      <w:r w:rsidRPr="000C3DF9">
        <w:rPr>
          <w:rStyle w:val="TextoNormalNegritaCaracter"/>
          <w:i/>
        </w:rPr>
        <w:t>Novum iudicium</w:t>
      </w:r>
      <w:bookmarkEnd w:id="1421"/>
      <w:r w:rsidRPr="000C3DF9">
        <w:rPr>
          <w:rStyle w:val="TextoNormalCaracter"/>
        </w:rPr>
        <w:t xml:space="preserve">, Sentencia </w:t>
      </w:r>
      <w:hyperlink w:anchor="SENTENCIA_2002_6" w:history="1">
        <w:r w:rsidRPr="000C3DF9">
          <w:rPr>
            <w:rStyle w:val="TextoNormalCaracter"/>
          </w:rPr>
          <w:t>6/2002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2" w:history="1">
        <w:r w:rsidRPr="000C3DF9">
          <w:rPr>
            <w:rStyle w:val="TextoNormalCaracter"/>
          </w:rPr>
          <w:t>52/2002</w:t>
        </w:r>
      </w:hyperlink>
      <w:r w:rsidRPr="000C3DF9">
        <w:rPr>
          <w:rStyle w:val="TextoNormalCaracter"/>
        </w:rPr>
        <w:t>.</w:t>
      </w:r>
    </w:p>
    <w:p w:rsidR="000C3DF9" w:rsidRPr="000C3DF9" w:rsidRDefault="000C3DF9" w:rsidP="000C3DF9">
      <w:pPr>
        <w:pStyle w:val="TextoNormalSangraFrancesa"/>
        <w:rPr>
          <w:rStyle w:val="TextoNormalCaracter"/>
        </w:rPr>
      </w:pPr>
      <w:bookmarkStart w:id="1422" w:name="DESCRIPTORALFABETICO545"/>
      <w:r w:rsidRPr="000C3DF9">
        <w:rPr>
          <w:rStyle w:val="TextoNormalNegritaCaracter"/>
        </w:rPr>
        <w:t>Nulidad de actuaciones</w:t>
      </w:r>
      <w:bookmarkEnd w:id="1422"/>
      <w:r w:rsidRPr="000C3DF9">
        <w:rPr>
          <w:rStyle w:val="TextoNormalCaracter"/>
        </w:rPr>
        <w:t xml:space="preserve">, Sentencia </w:t>
      </w:r>
      <w:hyperlink w:anchor="SENTENCIA_2002_42" w:history="1">
        <w:r w:rsidRPr="000C3DF9">
          <w:rPr>
            <w:rStyle w:val="TextoNormalCaracter"/>
          </w:rPr>
          <w:t>42/2002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23" w:name="DESCRIPTORALFABETICO275"/>
      <w:r w:rsidRPr="000C3DF9">
        <w:rPr>
          <w:rStyle w:val="TextoNormalNegritaCaracter"/>
        </w:rPr>
        <w:t>Nulidad de resoluciones judiciales</w:t>
      </w:r>
      <w:bookmarkEnd w:id="1423"/>
      <w:r w:rsidRPr="000C3DF9">
        <w:rPr>
          <w:rStyle w:val="TextoNormalCaracter"/>
        </w:rPr>
        <w:t xml:space="preserve">, Sentencia </w:t>
      </w:r>
      <w:hyperlink w:anchor="SENTENCIA_2002_61" w:history="1">
        <w:r w:rsidRPr="000C3DF9">
          <w:rPr>
            <w:rStyle w:val="TextoNormalCaracter"/>
          </w:rPr>
          <w:t>61/2002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24" w:name="DESCRIPTORALFABETICO276"/>
      <w:r w:rsidRPr="000C3DF9">
        <w:rPr>
          <w:rStyle w:val="TextoNormalNegritaCaracter"/>
        </w:rPr>
        <w:t>Nulidad de sentencia penal absolutoria</w:t>
      </w:r>
      <w:bookmarkEnd w:id="1424"/>
      <w:r w:rsidRPr="000C3DF9">
        <w:rPr>
          <w:rStyle w:val="TextoNormalCaracter"/>
        </w:rPr>
        <w:t xml:space="preserve">, Sentencia </w:t>
      </w:r>
      <w:hyperlink w:anchor="SENTENCIA_2002_81" w:history="1">
        <w:r w:rsidRPr="000C3DF9">
          <w:rPr>
            <w:rStyle w:val="TextoNormalCaracter"/>
          </w:rPr>
          <w:t>81/2002</w:t>
        </w:r>
      </w:hyperlink>
      <w:r w:rsidRPr="000C3DF9">
        <w:rPr>
          <w:rStyle w:val="TextoNormalCaracter"/>
        </w:rPr>
        <w:t>, f. 6, VP.</w:t>
      </w:r>
    </w:p>
    <w:p w:rsidR="000C3DF9" w:rsidRPr="000C3DF9" w:rsidRDefault="000C3DF9" w:rsidP="000C3DF9">
      <w:pPr>
        <w:pStyle w:val="TextoNormalSangraFrancesa"/>
        <w:rPr>
          <w:rStyle w:val="TextoNormalCaracter"/>
        </w:rPr>
      </w:pPr>
      <w:bookmarkStart w:id="1425" w:name="DESCRIPTORALFABETICO277"/>
      <w:r w:rsidRPr="000C3DF9">
        <w:rPr>
          <w:rStyle w:val="TextoNormalNegritaCaracter"/>
        </w:rPr>
        <w:t>Nulidad parcial de sentencia penal</w:t>
      </w:r>
      <w:bookmarkEnd w:id="1425"/>
      <w:r w:rsidRPr="000C3DF9">
        <w:rPr>
          <w:rStyle w:val="TextoNormalCaracter"/>
        </w:rPr>
        <w:t xml:space="preserve">, Sentencia </w:t>
      </w:r>
      <w:hyperlink w:anchor="SENTENCIA_2002_49" w:history="1">
        <w:r w:rsidRPr="000C3DF9">
          <w:rPr>
            <w:rStyle w:val="TextoNormalCaracter"/>
          </w:rPr>
          <w:t>49/2002</w:t>
        </w:r>
      </w:hyperlink>
      <w:r w:rsidRPr="000C3DF9">
        <w:rPr>
          <w:rStyle w:val="TextoNormalCaracter"/>
        </w:rPr>
        <w:t>, f. 4.</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O</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426" w:name="DESCRIPTORALFABETICO244"/>
      <w:r w:rsidRPr="000C3DF9">
        <w:rPr>
          <w:rStyle w:val="TextoNormalNegritaCaracter"/>
        </w:rPr>
        <w:t>Objeto del recurso de amparo</w:t>
      </w:r>
      <w:bookmarkEnd w:id="1426"/>
      <w:r w:rsidRPr="000C3DF9">
        <w:rPr>
          <w:rStyle w:val="TextoNormalCaracter"/>
        </w:rPr>
        <w:t xml:space="preserve">, Sentencias </w:t>
      </w:r>
      <w:hyperlink w:anchor="SENTENCIA_2002_36" w:history="1">
        <w:r w:rsidRPr="000C3DF9">
          <w:rPr>
            <w:rStyle w:val="TextoNormalCaracter"/>
          </w:rPr>
          <w:t>36/2002</w:t>
        </w:r>
      </w:hyperlink>
      <w:r w:rsidRPr="000C3DF9">
        <w:rPr>
          <w:rStyle w:val="TextoNormalCaracter"/>
        </w:rPr>
        <w:t xml:space="preserve">, f. 5; </w:t>
      </w:r>
      <w:hyperlink w:anchor="SENTENCIA_2002_40" w:history="1">
        <w:r w:rsidRPr="000C3DF9">
          <w:rPr>
            <w:rStyle w:val="TextoNormalCaracter"/>
          </w:rPr>
          <w:t>40/2002</w:t>
        </w:r>
      </w:hyperlink>
      <w:r w:rsidRPr="000C3DF9">
        <w:rPr>
          <w:rStyle w:val="TextoNormalCaracter"/>
        </w:rPr>
        <w:t xml:space="preserve">, f. 1; </w:t>
      </w:r>
      <w:hyperlink w:anchor="SENTENCIA_2002_77" w:history="1">
        <w:r w:rsidRPr="000C3DF9">
          <w:rPr>
            <w:rStyle w:val="TextoNormalCaracter"/>
          </w:rPr>
          <w:t>77/2002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27" w:name="DESCRIPTORALFABETICO656"/>
      <w:r w:rsidRPr="000C3DF9">
        <w:rPr>
          <w:rStyle w:val="TextoNormalNegritaCaracter"/>
        </w:rPr>
        <w:t>Omisión de pronunciamiento</w:t>
      </w:r>
      <w:bookmarkEnd w:id="1427"/>
      <w:r w:rsidRPr="000C3DF9">
        <w:rPr>
          <w:rStyle w:val="TextoNormalCaracter"/>
        </w:rPr>
        <w:t xml:space="preserve">, Sentencia </w:t>
      </w:r>
      <w:hyperlink w:anchor="SENTENCIA_2002_27" w:history="1">
        <w:r w:rsidRPr="000C3DF9">
          <w:rPr>
            <w:rStyle w:val="TextoNormalCaracter"/>
          </w:rPr>
          <w:t>27/2002</w:t>
        </w:r>
      </w:hyperlink>
      <w:r w:rsidRPr="000C3DF9">
        <w:rPr>
          <w:rStyle w:val="TextoNormalCaracter"/>
        </w:rPr>
        <w:t>, ff. 5, 6.</w:t>
      </w:r>
    </w:p>
    <w:p w:rsidR="000C3DF9" w:rsidRPr="000C3DF9" w:rsidRDefault="000C3DF9" w:rsidP="000C3DF9">
      <w:pPr>
        <w:pStyle w:val="TextoNormalSangraFrancesa"/>
        <w:rPr>
          <w:rStyle w:val="TextoNormalNegritaCaracter"/>
        </w:rPr>
      </w:pPr>
      <w:r w:rsidRPr="000C3DF9">
        <w:rPr>
          <w:rStyle w:val="TextoNormalCursivaCaracter"/>
        </w:rPr>
        <w:t>Omisión legislativa</w:t>
      </w:r>
      <w:r>
        <w:t xml:space="preserve"> véase </w:t>
      </w:r>
      <w:hyperlink w:anchor="DESCRIPTORALFABETICO448" w:history="1">
        <w:r w:rsidRPr="000C3DF9">
          <w:rPr>
            <w:rStyle w:val="TextoNormalNegritaCaracter"/>
          </w:rPr>
          <w:t>Lagunas legales</w:t>
        </w:r>
      </w:hyperlink>
    </w:p>
    <w:p w:rsidR="000C3DF9" w:rsidRPr="000C3DF9" w:rsidRDefault="000C3DF9" w:rsidP="000C3DF9">
      <w:pPr>
        <w:pStyle w:val="TextoNormalSangraFrancesa"/>
        <w:rPr>
          <w:rStyle w:val="TextoNormalNegritaCaracter"/>
        </w:rPr>
      </w:pPr>
      <w:r w:rsidRPr="000C3DF9">
        <w:rPr>
          <w:rStyle w:val="TextoNormalCursivaCaracter"/>
        </w:rPr>
        <w:t>Onus probandi</w:t>
      </w:r>
      <w:r>
        <w:t xml:space="preserve"> véase </w:t>
      </w:r>
      <w:hyperlink w:anchor="DESCRIPTORALFABETICO580" w:history="1">
        <w:r w:rsidRPr="000C3DF9">
          <w:rPr>
            <w:rStyle w:val="TextoNormalNegritaCaracter"/>
          </w:rPr>
          <w:t>Carga de la prueba</w:t>
        </w:r>
      </w:hyperlink>
    </w:p>
    <w:p w:rsidR="000C3DF9" w:rsidRPr="000C3DF9" w:rsidRDefault="000C3DF9" w:rsidP="000C3DF9">
      <w:pPr>
        <w:pStyle w:val="TextoNormalSangraFrancesa"/>
        <w:rPr>
          <w:rStyle w:val="TextoNormalCaracter"/>
        </w:rPr>
      </w:pPr>
      <w:bookmarkStart w:id="1428" w:name="DESCRIPTORALFABETICO1"/>
      <w:r w:rsidRPr="000C3DF9">
        <w:rPr>
          <w:rStyle w:val="TextoNormalNegritaCaracter"/>
        </w:rPr>
        <w:t>Orden constitucional de competencias</w:t>
      </w:r>
      <w:bookmarkEnd w:id="1428"/>
      <w:r w:rsidRPr="000C3DF9">
        <w:rPr>
          <w:rStyle w:val="TextoNormalCaracter"/>
        </w:rPr>
        <w:t xml:space="preserve">, Sentencias </w:t>
      </w:r>
      <w:hyperlink w:anchor="SENTENCIA_2002_37" w:history="1">
        <w:r w:rsidRPr="000C3DF9">
          <w:rPr>
            <w:rStyle w:val="TextoNormalCaracter"/>
          </w:rPr>
          <w:t>37/2002</w:t>
        </w:r>
      </w:hyperlink>
      <w:r w:rsidRPr="000C3DF9">
        <w:rPr>
          <w:rStyle w:val="TextoNormalCaracter"/>
        </w:rPr>
        <w:t xml:space="preserve">, ff. 8, 12; </w:t>
      </w:r>
      <w:hyperlink w:anchor="SENTENCIA_2002_38" w:history="1">
        <w:r w:rsidRPr="000C3DF9">
          <w:rPr>
            <w:rStyle w:val="TextoNormalCaracter"/>
          </w:rPr>
          <w:t>38/2002</w:t>
        </w:r>
      </w:hyperlink>
      <w:r w:rsidRPr="000C3DF9">
        <w:rPr>
          <w:rStyle w:val="TextoNormalCaracter"/>
        </w:rPr>
        <w:t xml:space="preserve">, ff. 7, 11; </w:t>
      </w:r>
      <w:hyperlink w:anchor="SENTENCIA_2002_54" w:history="1">
        <w:r w:rsidRPr="000C3DF9">
          <w:rPr>
            <w:rStyle w:val="TextoNormalCaracter"/>
          </w:rPr>
          <w:t>54/2002</w:t>
        </w:r>
      </w:hyperlink>
      <w:r w:rsidRPr="000C3DF9">
        <w:rPr>
          <w:rStyle w:val="TextoNormalCaracter"/>
        </w:rPr>
        <w:t xml:space="preserve">, f. 3; </w:t>
      </w:r>
      <w:hyperlink w:anchor="SENTENCIA_2002_95" w:history="1">
        <w:r w:rsidRPr="000C3DF9">
          <w:rPr>
            <w:rStyle w:val="TextoNormalCaracter"/>
          </w:rPr>
          <w:t>95/2002</w:t>
        </w:r>
      </w:hyperlink>
      <w:r w:rsidRPr="000C3DF9">
        <w:rPr>
          <w:rStyle w:val="TextoNormalCaracter"/>
        </w:rPr>
        <w:t xml:space="preserve">, ff. 8, 9, 10, 11, 12, 13, 14, 15, 16, 17, 18, 19, 20; </w:t>
      </w:r>
      <w:hyperlink w:anchor="SENTENCIA_2002_96" w:history="1">
        <w:r w:rsidRPr="000C3DF9">
          <w:rPr>
            <w:rStyle w:val="TextoNormalCaracter"/>
          </w:rPr>
          <w:t>96/2002</w:t>
        </w:r>
      </w:hyperlink>
      <w:r w:rsidRPr="000C3DF9">
        <w:rPr>
          <w:rStyle w:val="TextoNormalCaracter"/>
        </w:rPr>
        <w:t xml:space="preserve">, f. 10; </w:t>
      </w:r>
      <w:hyperlink w:anchor="SENTENCIA_2002_97" w:history="1">
        <w:r w:rsidRPr="000C3DF9">
          <w:rPr>
            <w:rStyle w:val="TextoNormalCaracter"/>
          </w:rPr>
          <w:t>97/2002</w:t>
        </w:r>
      </w:hyperlink>
      <w:r w:rsidRPr="000C3DF9">
        <w:rPr>
          <w:rStyle w:val="TextoNormalCaracter"/>
        </w:rPr>
        <w:t>, f. 9.</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26" w:history="1">
        <w:r w:rsidRPr="000C3DF9">
          <w:rPr>
            <w:rStyle w:val="TextoNormalCaracter"/>
          </w:rPr>
          <w:t>26/2002</w:t>
        </w:r>
      </w:hyperlink>
      <w:r w:rsidRPr="000C3DF9">
        <w:rPr>
          <w:rStyle w:val="TextoNormalCaracter"/>
        </w:rPr>
        <w:t xml:space="preserve">; </w:t>
      </w:r>
      <w:hyperlink w:anchor="AUTO_2002_72" w:history="1">
        <w:r w:rsidRPr="000C3DF9">
          <w:rPr>
            <w:rStyle w:val="TextoNormalCaracter"/>
          </w:rPr>
          <w:t>72/2002</w:t>
        </w:r>
      </w:hyperlink>
      <w:r w:rsidRPr="000C3DF9">
        <w:rPr>
          <w:rStyle w:val="TextoNormalCaracter"/>
        </w:rPr>
        <w:t>.</w:t>
      </w:r>
    </w:p>
    <w:p w:rsidR="000C3DF9" w:rsidRPr="000C3DF9" w:rsidRDefault="000C3DF9" w:rsidP="000C3DF9">
      <w:pPr>
        <w:pStyle w:val="TextoNormalSangraFrancesa"/>
        <w:rPr>
          <w:rStyle w:val="TextoNormalCaracter"/>
        </w:rPr>
      </w:pPr>
      <w:bookmarkStart w:id="1429" w:name="DESCRIPTORALFABETICO247"/>
      <w:r w:rsidRPr="000C3DF9">
        <w:rPr>
          <w:rStyle w:val="TextoNormalNegritaCaracter"/>
        </w:rPr>
        <w:t>Orden de análisis del recurso de amparo</w:t>
      </w:r>
      <w:bookmarkEnd w:id="1429"/>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1; </w:t>
      </w:r>
      <w:hyperlink w:anchor="SENTENCIA_2002_7" w:history="1">
        <w:r w:rsidRPr="000C3DF9">
          <w:rPr>
            <w:rStyle w:val="TextoNormalCaracter"/>
          </w:rPr>
          <w:t>7/2002</w:t>
        </w:r>
      </w:hyperlink>
      <w:r w:rsidRPr="000C3DF9">
        <w:rPr>
          <w:rStyle w:val="TextoNormalCaracter"/>
        </w:rPr>
        <w:t xml:space="preserve">, f. 1; </w:t>
      </w:r>
      <w:hyperlink w:anchor="SENTENCIA_2002_25" w:history="1">
        <w:r w:rsidRPr="000C3DF9">
          <w:rPr>
            <w:rStyle w:val="TextoNormalCaracter"/>
          </w:rPr>
          <w:t>25/2002</w:t>
        </w:r>
      </w:hyperlink>
      <w:r w:rsidRPr="000C3DF9">
        <w:rPr>
          <w:rStyle w:val="TextoNormalCaracter"/>
        </w:rPr>
        <w:t xml:space="preserve">, f. 2; </w:t>
      </w:r>
      <w:hyperlink w:anchor="SENTENCIA_2002_27" w:history="1">
        <w:r w:rsidRPr="000C3DF9">
          <w:rPr>
            <w:rStyle w:val="TextoNormalCaracter"/>
          </w:rPr>
          <w:t>27/2002</w:t>
        </w:r>
      </w:hyperlink>
      <w:r w:rsidRPr="000C3DF9">
        <w:rPr>
          <w:rStyle w:val="TextoNormalCaracter"/>
        </w:rPr>
        <w:t xml:space="preserve">, f. 3; </w:t>
      </w:r>
      <w:hyperlink w:anchor="SENTENCIA_2002_48" w:history="1">
        <w:r w:rsidRPr="000C3DF9">
          <w:rPr>
            <w:rStyle w:val="TextoNormalCaracter"/>
          </w:rPr>
          <w:t>48/2002</w:t>
        </w:r>
      </w:hyperlink>
      <w:r w:rsidRPr="000C3DF9">
        <w:rPr>
          <w:rStyle w:val="TextoNormalCaracter"/>
        </w:rPr>
        <w:t xml:space="preserve">, f. 2; </w:t>
      </w:r>
      <w:hyperlink w:anchor="SENTENCIA_2002_68" w:history="1">
        <w:r w:rsidRPr="000C3DF9">
          <w:rPr>
            <w:rStyle w:val="TextoNormalCaracter"/>
          </w:rPr>
          <w:t>68/2002</w:t>
        </w:r>
      </w:hyperlink>
      <w:r w:rsidRPr="000C3DF9">
        <w:rPr>
          <w:rStyle w:val="TextoNormalCaracter"/>
        </w:rPr>
        <w:t xml:space="preserve">, f. 1; </w:t>
      </w:r>
      <w:hyperlink w:anchor="SENTENCIA_2002_70" w:history="1">
        <w:r w:rsidRPr="000C3DF9">
          <w:rPr>
            <w:rStyle w:val="TextoNormalCaracter"/>
          </w:rPr>
          <w:t>70/2002</w:t>
        </w:r>
      </w:hyperlink>
      <w:r w:rsidRPr="000C3DF9">
        <w:rPr>
          <w:rStyle w:val="TextoNormalCaracter"/>
        </w:rPr>
        <w:t xml:space="preserve">, f. 2; </w:t>
      </w:r>
      <w:hyperlink w:anchor="SENTENCIA_2002_79" w:history="1">
        <w:r w:rsidRPr="000C3DF9">
          <w:rPr>
            <w:rStyle w:val="TextoNormalCaracter"/>
          </w:rPr>
          <w:t>79/2002</w:t>
        </w:r>
      </w:hyperlink>
      <w:r w:rsidRPr="000C3DF9">
        <w:rPr>
          <w:rStyle w:val="TextoNormalCaracter"/>
        </w:rPr>
        <w:t xml:space="preserve">, f. 1; </w:t>
      </w:r>
      <w:hyperlink w:anchor="SENTENCIA_2002_80" w:history="1">
        <w:r w:rsidRPr="000C3DF9">
          <w:rPr>
            <w:rStyle w:val="TextoNormalCaracter"/>
          </w:rPr>
          <w:t>80/2002</w:t>
        </w:r>
      </w:hyperlink>
      <w:r w:rsidRPr="000C3DF9">
        <w:rPr>
          <w:rStyle w:val="TextoNormalCaracter"/>
        </w:rPr>
        <w:t xml:space="preserve">, f. 2; </w:t>
      </w:r>
      <w:hyperlink w:anchor="SENTENCIA_2002_98" w:history="1">
        <w:r w:rsidRPr="000C3DF9">
          <w:rPr>
            <w:rStyle w:val="TextoNormalCaracter"/>
          </w:rPr>
          <w:t>98/2002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30" w:name="DESCRIPTORALFABETICO228"/>
      <w:r w:rsidRPr="000C3DF9">
        <w:rPr>
          <w:rStyle w:val="TextoNormalNegritaCaracter"/>
        </w:rPr>
        <w:t>Orden de análisis del recurso de inconstitucionalidad</w:t>
      </w:r>
      <w:bookmarkEnd w:id="1430"/>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31" w:name="DESCRIPTORALFABETICO30"/>
      <w:r w:rsidRPr="000C3DF9">
        <w:rPr>
          <w:rStyle w:val="TextoNormalNegritaCaracter"/>
        </w:rPr>
        <w:t>Ordenación del comercio</w:t>
      </w:r>
      <w:bookmarkEnd w:id="1431"/>
      <w:r w:rsidRPr="000C3DF9">
        <w:rPr>
          <w:rStyle w:val="TextoNormalCaracter"/>
        </w:rPr>
        <w:t xml:space="preserve">, Autos </w:t>
      </w:r>
      <w:hyperlink w:anchor="AUTO_2002_20" w:history="1">
        <w:r w:rsidRPr="000C3DF9">
          <w:rPr>
            <w:rStyle w:val="TextoNormalCaracter"/>
          </w:rPr>
          <w:t>20/2002</w:t>
        </w:r>
      </w:hyperlink>
      <w:r w:rsidRPr="000C3DF9">
        <w:rPr>
          <w:rStyle w:val="TextoNormalCaracter"/>
        </w:rPr>
        <w:t xml:space="preserve">;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Caracter"/>
        </w:rPr>
      </w:pPr>
      <w:bookmarkStart w:id="1432" w:name="DESCRIPTORALFABETICO516"/>
      <w:r w:rsidRPr="000C3DF9">
        <w:rPr>
          <w:rStyle w:val="TextoNormalNegritaCaracter"/>
        </w:rPr>
        <w:t>Órdenes civil y social</w:t>
      </w:r>
      <w:bookmarkEnd w:id="1432"/>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433" w:name="DESCRIPTORALFABETICO517"/>
      <w:r w:rsidRPr="000C3DF9">
        <w:rPr>
          <w:rStyle w:val="TextoNormalNegritaCaracter"/>
        </w:rPr>
        <w:t>Órdenes contencioso-administrativo y penal</w:t>
      </w:r>
      <w:bookmarkEnd w:id="1433"/>
      <w:r w:rsidRPr="000C3DF9">
        <w:rPr>
          <w:rStyle w:val="TextoNormalCaracter"/>
        </w:rPr>
        <w:t xml:space="preserve">, Sentencia </w:t>
      </w:r>
      <w:hyperlink w:anchor="SENTENCIA_2002_92" w:history="1">
        <w:r w:rsidRPr="000C3DF9">
          <w:rPr>
            <w:rStyle w:val="TextoNormalCaracter"/>
          </w:rPr>
          <w:t>92/2002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434" w:name="DESCRIPTORALFABETICO521"/>
      <w:r w:rsidRPr="000C3DF9">
        <w:rPr>
          <w:rStyle w:val="TextoNormalNegritaCaracter"/>
        </w:rPr>
        <w:t>Órdenes jurisdiccionales</w:t>
      </w:r>
      <w:bookmarkEnd w:id="1434"/>
      <w:r w:rsidRPr="000C3DF9">
        <w:rPr>
          <w:rStyle w:val="TextoNormalCaracter"/>
        </w:rPr>
        <w:t xml:space="preserve">, Sentencias </w:t>
      </w:r>
      <w:hyperlink w:anchor="SENTENCIA_2002_77" w:history="1">
        <w:r w:rsidRPr="000C3DF9">
          <w:rPr>
            <w:rStyle w:val="TextoNormalCaracter"/>
          </w:rPr>
          <w:t>77/2002</w:t>
        </w:r>
      </w:hyperlink>
      <w:r w:rsidRPr="000C3DF9">
        <w:rPr>
          <w:rStyle w:val="TextoNormalCaracter"/>
        </w:rPr>
        <w:t xml:space="preserve">, f. 4; </w:t>
      </w:r>
      <w:hyperlink w:anchor="SENTENCIA_2002_86" w:history="1">
        <w:r w:rsidRPr="000C3DF9">
          <w:rPr>
            <w:rStyle w:val="TextoNormalCaracter"/>
          </w:rPr>
          <w:t>86/2002</w:t>
        </w:r>
      </w:hyperlink>
      <w:r w:rsidRPr="000C3DF9">
        <w:rPr>
          <w:rStyle w:val="TextoNormalCaracter"/>
        </w:rPr>
        <w:t xml:space="preserve">, f. 3; </w:t>
      </w:r>
      <w:hyperlink w:anchor="SENTENCIA_2002_92" w:history="1">
        <w:r w:rsidRPr="000C3DF9">
          <w:rPr>
            <w:rStyle w:val="TextoNormalCaracter"/>
          </w:rPr>
          <w:t>92/2002</w:t>
        </w:r>
      </w:hyperlink>
      <w:r w:rsidRPr="000C3DF9">
        <w:rPr>
          <w:rStyle w:val="TextoNormalCaracter"/>
        </w:rPr>
        <w:t>, ff. 3,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Pr="000C3DF9" w:rsidRDefault="000C3DF9" w:rsidP="000C3DF9">
      <w:pPr>
        <w:pStyle w:val="TextoNormalSangraFrancesa"/>
        <w:rPr>
          <w:rStyle w:val="TextoNormalCaracter"/>
        </w:rPr>
      </w:pPr>
      <w:bookmarkStart w:id="1435" w:name="DESCRIPTORALFABETICO518"/>
      <w:r w:rsidRPr="000C3DF9">
        <w:rPr>
          <w:rStyle w:val="TextoNormalNegritaCaracter"/>
        </w:rPr>
        <w:t>Órdenes penal y civil</w:t>
      </w:r>
      <w:bookmarkEnd w:id="1435"/>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P</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436" w:name="DESCRIPTORALFABETICO363"/>
      <w:r w:rsidRPr="000C3DF9">
        <w:rPr>
          <w:rStyle w:val="TextoNormalNegritaCaracter"/>
        </w:rPr>
        <w:t>Pago de rentas vencidas</w:t>
      </w:r>
      <w:bookmarkEnd w:id="1436"/>
      <w:r w:rsidRPr="000C3DF9">
        <w:rPr>
          <w:rStyle w:val="TextoNormalCaracter"/>
        </w:rPr>
        <w:t xml:space="preserve">, Sentencia </w:t>
      </w:r>
      <w:hyperlink w:anchor="SENTENCIA_2002_74" w:history="1">
        <w:r w:rsidRPr="000C3DF9">
          <w:rPr>
            <w:rStyle w:val="TextoNormalCaracter"/>
          </w:rPr>
          <w:t>74/2002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37" w:name="DESCRIPTORALFABETICO362"/>
      <w:r w:rsidRPr="000C3DF9">
        <w:rPr>
          <w:rStyle w:val="TextoNormalNegritaCaracter"/>
        </w:rPr>
        <w:t>Pago de una cantidad</w:t>
      </w:r>
      <w:bookmarkEnd w:id="1437"/>
      <w:r w:rsidRPr="000C3DF9">
        <w:rPr>
          <w:rStyle w:val="TextoNormalCaracter"/>
        </w:rPr>
        <w:t xml:space="preserve">, Auto </w:t>
      </w:r>
      <w:hyperlink w:anchor="AUTO_2002_64" w:history="1">
        <w:r w:rsidRPr="000C3DF9">
          <w:rPr>
            <w:rStyle w:val="TextoNormalCaracter"/>
          </w:rPr>
          <w:t>64/2002</w:t>
        </w:r>
      </w:hyperlink>
      <w:r w:rsidRPr="000C3DF9">
        <w:rPr>
          <w:rStyle w:val="TextoNormalCaracter"/>
        </w:rPr>
        <w:t>.</w:t>
      </w:r>
    </w:p>
    <w:p w:rsidR="000C3DF9" w:rsidRPr="000C3DF9" w:rsidRDefault="000C3DF9" w:rsidP="000C3DF9">
      <w:pPr>
        <w:pStyle w:val="TextoNormalSangraFrancesa"/>
        <w:rPr>
          <w:rStyle w:val="TextoNormalCaracter"/>
        </w:rPr>
      </w:pPr>
      <w:bookmarkStart w:id="1438" w:name="DESCRIPTORALFABETICO744"/>
      <w:r w:rsidRPr="000C3DF9">
        <w:rPr>
          <w:rStyle w:val="TextoNormalNegritaCaracter"/>
        </w:rPr>
        <w:t>País Vasco</w:t>
      </w:r>
      <w:bookmarkEnd w:id="1438"/>
      <w:r w:rsidRPr="000C3DF9">
        <w:rPr>
          <w:rStyle w:val="TextoNormalCaracter"/>
        </w:rPr>
        <w:t xml:space="preserve">, Sentencias </w:t>
      </w:r>
      <w:hyperlink w:anchor="SENTENCIA_2002_54" w:history="1">
        <w:r w:rsidRPr="000C3DF9">
          <w:rPr>
            <w:rStyle w:val="TextoNormalCaracter"/>
          </w:rPr>
          <w:t>54/2002</w:t>
        </w:r>
      </w:hyperlink>
      <w:r w:rsidRPr="000C3DF9">
        <w:rPr>
          <w:rStyle w:val="TextoNormalCaracter"/>
        </w:rPr>
        <w:t xml:space="preserve">, ff. 4 a 6; </w:t>
      </w:r>
      <w:hyperlink w:anchor="SENTENCIA_2002_96" w:history="1">
        <w:r w:rsidRPr="000C3DF9">
          <w:rPr>
            <w:rStyle w:val="TextoNormalCaracter"/>
          </w:rPr>
          <w:t>96/2002</w:t>
        </w:r>
      </w:hyperlink>
      <w:r w:rsidRPr="000C3DF9">
        <w:rPr>
          <w:rStyle w:val="TextoNormalCaracter"/>
        </w:rPr>
        <w:t>, ff. 5 a 12.</w:t>
      </w:r>
    </w:p>
    <w:p w:rsidR="000C3DF9" w:rsidRPr="000C3DF9" w:rsidRDefault="000C3DF9" w:rsidP="000C3DF9">
      <w:pPr>
        <w:pStyle w:val="TextoNormalSangraFrancesa"/>
        <w:rPr>
          <w:rStyle w:val="TextoNormalCaracter"/>
        </w:rPr>
      </w:pPr>
      <w:bookmarkStart w:id="1439" w:name="DESCRIPTORALFABETICO311"/>
      <w:r w:rsidRPr="000C3DF9">
        <w:rPr>
          <w:rStyle w:val="TextoNormalNegritaCaracter"/>
        </w:rPr>
        <w:t>Parlamento de La Rioja</w:t>
      </w:r>
      <w:bookmarkEnd w:id="1439"/>
      <w:r w:rsidRPr="000C3DF9">
        <w:rPr>
          <w:rStyle w:val="TextoNormalCaracter"/>
        </w:rPr>
        <w:t xml:space="preserve">, Auto </w:t>
      </w:r>
      <w:hyperlink w:anchor="AUTO_2002_18" w:history="1">
        <w:r w:rsidRPr="000C3DF9">
          <w:rPr>
            <w:rStyle w:val="TextoNormalCaracter"/>
          </w:rPr>
          <w:t>18/2002</w:t>
        </w:r>
      </w:hyperlink>
      <w:r w:rsidRPr="000C3DF9">
        <w:rPr>
          <w:rStyle w:val="TextoNormalCaracter"/>
        </w:rPr>
        <w:t>.</w:t>
      </w:r>
    </w:p>
    <w:p w:rsidR="000C3DF9" w:rsidRPr="000C3DF9" w:rsidRDefault="000C3DF9" w:rsidP="000C3DF9">
      <w:pPr>
        <w:pStyle w:val="TextoNormalSangraFrancesa"/>
        <w:rPr>
          <w:rStyle w:val="TextoNormalCaracter"/>
        </w:rPr>
      </w:pPr>
      <w:bookmarkStart w:id="1440" w:name="DESCRIPTORALFABETICO458"/>
      <w:r w:rsidRPr="000C3DF9">
        <w:rPr>
          <w:rStyle w:val="TextoNormalNegritaCaracter"/>
        </w:rPr>
        <w:t>Penas accesorias</w:t>
      </w:r>
      <w:bookmarkEnd w:id="1440"/>
      <w:r w:rsidRPr="000C3DF9">
        <w:rPr>
          <w:rStyle w:val="TextoNormalCaracter"/>
        </w:rPr>
        <w:t xml:space="preserve">, Auto </w:t>
      </w:r>
      <w:hyperlink w:anchor="AUTO_2002_22" w:history="1">
        <w:r w:rsidRPr="000C3DF9">
          <w:rPr>
            <w:rStyle w:val="TextoNormalCaracter"/>
          </w:rPr>
          <w:t>22/2002</w:t>
        </w:r>
      </w:hyperlink>
      <w:r w:rsidRPr="000C3DF9">
        <w:rPr>
          <w:rStyle w:val="TextoNormalCaracter"/>
        </w:rPr>
        <w:t>.</w:t>
      </w:r>
    </w:p>
    <w:p w:rsidR="000C3DF9" w:rsidRPr="000C3DF9" w:rsidRDefault="000C3DF9" w:rsidP="000C3DF9">
      <w:pPr>
        <w:pStyle w:val="TextoNormalSangraFrancesa"/>
        <w:rPr>
          <w:rStyle w:val="TextoNormalCaracter"/>
        </w:rPr>
      </w:pPr>
      <w:bookmarkStart w:id="1441" w:name="DESCRIPTORALFABETICO64"/>
      <w:r w:rsidRPr="000C3DF9">
        <w:rPr>
          <w:rStyle w:val="TextoNormalNegritaCaracter"/>
        </w:rPr>
        <w:t>Penas inhumanas o degradantes</w:t>
      </w:r>
      <w:bookmarkEnd w:id="1441"/>
      <w:r w:rsidRPr="000C3DF9">
        <w:rPr>
          <w:rStyle w:val="TextoNormalCaracter"/>
        </w:rPr>
        <w:t xml:space="preserve">, Sentencia </w:t>
      </w:r>
      <w:hyperlink w:anchor="SENTENCIA_2002_5" w:history="1">
        <w:r w:rsidRPr="000C3DF9">
          <w:rPr>
            <w:rStyle w:val="TextoNormalCaracter"/>
          </w:rPr>
          <w:t>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42" w:name="DESCRIPTORALFABETICO465"/>
      <w:r w:rsidRPr="000C3DF9">
        <w:rPr>
          <w:rStyle w:val="TextoNormalNegritaCaracter"/>
        </w:rPr>
        <w:t>Penas privativas de libertad</w:t>
      </w:r>
      <w:bookmarkEnd w:id="1442"/>
      <w:r w:rsidRPr="000C3DF9">
        <w:rPr>
          <w:rStyle w:val="TextoNormalCaracter"/>
        </w:rPr>
        <w:t xml:space="preserve">, Autos </w:t>
      </w:r>
      <w:hyperlink w:anchor="AUTO_2002_25" w:history="1">
        <w:r w:rsidRPr="000C3DF9">
          <w:rPr>
            <w:rStyle w:val="TextoNormalCaracter"/>
          </w:rPr>
          <w:t>25/2002</w:t>
        </w:r>
      </w:hyperlink>
      <w:r w:rsidRPr="000C3DF9">
        <w:rPr>
          <w:rStyle w:val="TextoNormalCaracter"/>
        </w:rPr>
        <w:t xml:space="preserve">; </w:t>
      </w:r>
      <w:hyperlink w:anchor="AUTO_2002_37" w:history="1">
        <w:r w:rsidRPr="000C3DF9">
          <w:rPr>
            <w:rStyle w:val="TextoNormalCaracter"/>
          </w:rPr>
          <w:t>37/2002</w:t>
        </w:r>
      </w:hyperlink>
      <w:r w:rsidRPr="000C3DF9">
        <w:rPr>
          <w:rStyle w:val="TextoNormalCaracter"/>
        </w:rPr>
        <w:t xml:space="preserve">; </w:t>
      </w:r>
      <w:hyperlink w:anchor="AUTO_2002_65" w:history="1">
        <w:r w:rsidRPr="000C3DF9">
          <w:rPr>
            <w:rStyle w:val="TextoNormalCaracter"/>
          </w:rPr>
          <w:t>65/2002</w:t>
        </w:r>
      </w:hyperlink>
      <w:r w:rsidRPr="000C3DF9">
        <w:rPr>
          <w:rStyle w:val="TextoNormalCaracter"/>
        </w:rPr>
        <w:t>.</w:t>
      </w:r>
    </w:p>
    <w:p w:rsidR="000C3DF9" w:rsidRPr="000C3DF9" w:rsidRDefault="000C3DF9" w:rsidP="000C3DF9">
      <w:pPr>
        <w:pStyle w:val="TextoNormalSangraFrancesa"/>
        <w:rPr>
          <w:rStyle w:val="TextoNormalCaracter"/>
        </w:rPr>
      </w:pPr>
      <w:bookmarkStart w:id="1443" w:name="DESCRIPTORALFABETICO258"/>
      <w:r w:rsidRPr="000C3DF9">
        <w:rPr>
          <w:rStyle w:val="TextoNormalNegritaCaracter"/>
        </w:rPr>
        <w:lastRenderedPageBreak/>
        <w:t>Pendencia de recursos judiciales</w:t>
      </w:r>
      <w:bookmarkEnd w:id="1443"/>
      <w:r w:rsidRPr="000C3DF9">
        <w:rPr>
          <w:rStyle w:val="TextoNormalCaracter"/>
        </w:rPr>
        <w:t xml:space="preserve">, Sentencia </w:t>
      </w:r>
      <w:hyperlink w:anchor="SENTENCIA_2002_44" w:history="1">
        <w:r w:rsidRPr="000C3DF9">
          <w:rPr>
            <w:rStyle w:val="TextoNormalCaracter"/>
          </w:rPr>
          <w:t>44/2002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44" w:name="DESCRIPTORALFABETICO245"/>
      <w:r w:rsidRPr="000C3DF9">
        <w:rPr>
          <w:rStyle w:val="TextoNormalNegritaCaracter"/>
        </w:rPr>
        <w:t>Pérdida sobrevenida de objeto del recurso de amparo</w:t>
      </w:r>
      <w:bookmarkEnd w:id="1444"/>
      <w:r w:rsidRPr="000C3DF9">
        <w:rPr>
          <w:rStyle w:val="TextoNormalCaracter"/>
        </w:rPr>
        <w:t xml:space="preserve">, Sentencia </w:t>
      </w:r>
      <w:hyperlink w:anchor="SENTENCIA_2002_44" w:history="1">
        <w:r w:rsidRPr="000C3DF9">
          <w:rPr>
            <w:rStyle w:val="TextoNormalCaracter"/>
          </w:rPr>
          <w:t>44/2002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3" w:history="1">
        <w:r w:rsidRPr="000C3DF9">
          <w:rPr>
            <w:rStyle w:val="TextoNormalCaracter"/>
          </w:rPr>
          <w:t>3/2002</w:t>
        </w:r>
      </w:hyperlink>
      <w:r w:rsidRPr="000C3DF9">
        <w:rPr>
          <w:rStyle w:val="TextoNormalCaracter"/>
        </w:rPr>
        <w:t xml:space="preserve">; </w:t>
      </w:r>
      <w:hyperlink w:anchor="AUTO_2002_10" w:history="1">
        <w:r w:rsidRPr="000C3DF9">
          <w:rPr>
            <w:rStyle w:val="TextoNormalCaracter"/>
          </w:rPr>
          <w:t>10/2002</w:t>
        </w:r>
      </w:hyperlink>
      <w:r w:rsidRPr="000C3DF9">
        <w:rPr>
          <w:rStyle w:val="TextoNormalCaracter"/>
        </w:rPr>
        <w:t xml:space="preserve">; </w:t>
      </w:r>
      <w:hyperlink w:anchor="AUTO_2002_31" w:history="1">
        <w:r w:rsidRPr="000C3DF9">
          <w:rPr>
            <w:rStyle w:val="TextoNormalCaracter"/>
          </w:rPr>
          <w:t>31/2002</w:t>
        </w:r>
      </w:hyperlink>
      <w:r w:rsidRPr="000C3DF9">
        <w:rPr>
          <w:rStyle w:val="TextoNormalCaracter"/>
        </w:rPr>
        <w:t>.</w:t>
      </w:r>
    </w:p>
    <w:p w:rsidR="000C3DF9" w:rsidRPr="000C3DF9" w:rsidRDefault="000C3DF9" w:rsidP="000C3DF9">
      <w:pPr>
        <w:pStyle w:val="TextoNormalSangraFrancesa"/>
        <w:rPr>
          <w:rStyle w:val="TextoNormalCaracter"/>
        </w:rPr>
      </w:pPr>
      <w:bookmarkStart w:id="1445" w:name="DESCRIPTORALFABETICO514"/>
      <w:r w:rsidRPr="000C3DF9">
        <w:rPr>
          <w:rStyle w:val="TextoNormalNegritaCaracter"/>
        </w:rPr>
        <w:t>Peregrinaje de jurisdicción</w:t>
      </w:r>
      <w:bookmarkEnd w:id="1445"/>
      <w:r w:rsidRPr="000C3DF9">
        <w:rPr>
          <w:rStyle w:val="TextoNormalCaracter"/>
        </w:rPr>
        <w:t xml:space="preserve">, Sentencia </w:t>
      </w:r>
      <w:hyperlink w:anchor="SENTENCIA_2002_92" w:history="1">
        <w:r w:rsidRPr="000C3DF9">
          <w:rPr>
            <w:rStyle w:val="TextoNormalCaracter"/>
          </w:rPr>
          <w:t>92/2002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446" w:name="DESCRIPTORALFABETICO677"/>
      <w:r w:rsidRPr="000C3DF9">
        <w:rPr>
          <w:rStyle w:val="TextoNormalNegritaCaracter"/>
        </w:rPr>
        <w:t>Perentoriedad de los plazos en el proceso contencioso-electoral</w:t>
      </w:r>
      <w:bookmarkEnd w:id="1446"/>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Perjuicios eventuales</w:t>
      </w:r>
      <w:r>
        <w:t xml:space="preserve"> véase </w:t>
      </w:r>
      <w:hyperlink w:anchor="DESCRIPTORALFABETICO173" w:history="1">
        <w:r w:rsidRPr="000C3DF9">
          <w:rPr>
            <w:rStyle w:val="TextoNormalNegritaCaracter"/>
          </w:rPr>
          <w:t>Perjuicios hipotéticos</w:t>
        </w:r>
      </w:hyperlink>
    </w:p>
    <w:p w:rsidR="000C3DF9" w:rsidRPr="000C3DF9" w:rsidRDefault="000C3DF9" w:rsidP="000C3DF9">
      <w:pPr>
        <w:pStyle w:val="TextoNormalSangraFrancesa"/>
        <w:rPr>
          <w:rStyle w:val="TextoNormalNegritaCaracter"/>
        </w:rPr>
      </w:pPr>
      <w:r w:rsidRPr="000C3DF9">
        <w:rPr>
          <w:rStyle w:val="TextoNormalCursivaCaracter"/>
        </w:rPr>
        <w:t>Perjuicios futuros</w:t>
      </w:r>
      <w:r>
        <w:t xml:space="preserve"> véase </w:t>
      </w:r>
      <w:hyperlink w:anchor="DESCRIPTORALFABETICO173" w:history="1">
        <w:r w:rsidRPr="000C3DF9">
          <w:rPr>
            <w:rStyle w:val="TextoNormalNegritaCaracter"/>
          </w:rPr>
          <w:t>Perjuicios hipotéticos</w:t>
        </w:r>
      </w:hyperlink>
    </w:p>
    <w:p w:rsidR="000C3DF9" w:rsidRPr="000C3DF9" w:rsidRDefault="000C3DF9" w:rsidP="000C3DF9">
      <w:pPr>
        <w:pStyle w:val="TextoNormalSangraFrancesa"/>
        <w:rPr>
          <w:rStyle w:val="TextoNormalCaracter"/>
        </w:rPr>
      </w:pPr>
      <w:bookmarkStart w:id="1447" w:name="DESCRIPTORALFABETICO173"/>
      <w:r w:rsidRPr="000C3DF9">
        <w:rPr>
          <w:rStyle w:val="TextoNormalNegritaCaracter"/>
        </w:rPr>
        <w:t>Perjuicios hipotéticos</w:t>
      </w:r>
      <w:bookmarkEnd w:id="1447"/>
      <w:r w:rsidRPr="000C3DF9">
        <w:rPr>
          <w:rStyle w:val="TextoNormalCaracter"/>
        </w:rPr>
        <w:t xml:space="preserve">, Autos </w:t>
      </w:r>
      <w:hyperlink w:anchor="AUTO_2002_5" w:history="1">
        <w:r w:rsidRPr="000C3DF9">
          <w:rPr>
            <w:rStyle w:val="TextoNormalCaracter"/>
          </w:rPr>
          <w:t>5/2002</w:t>
        </w:r>
      </w:hyperlink>
      <w:r w:rsidRPr="000C3DF9">
        <w:rPr>
          <w:rStyle w:val="TextoNormalCaracter"/>
        </w:rPr>
        <w:t xml:space="preserve">; </w:t>
      </w:r>
      <w:hyperlink w:anchor="AUTO_2002_49" w:history="1">
        <w:r w:rsidRPr="000C3DF9">
          <w:rPr>
            <w:rStyle w:val="TextoNormalCaracter"/>
          </w:rPr>
          <w:t>49/2002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Perjuicios inexistentes</w:t>
      </w:r>
      <w:r>
        <w:t xml:space="preserve"> véase </w:t>
      </w:r>
      <w:hyperlink w:anchor="DESCRIPTORALFABETICO173" w:history="1">
        <w:r w:rsidRPr="000C3DF9">
          <w:rPr>
            <w:rStyle w:val="TextoNormalNegritaCaracter"/>
          </w:rPr>
          <w:t>Perjuicios hipotéticos</w:t>
        </w:r>
      </w:hyperlink>
    </w:p>
    <w:p w:rsidR="000C3DF9" w:rsidRPr="000C3DF9" w:rsidRDefault="000C3DF9" w:rsidP="000C3DF9">
      <w:pPr>
        <w:pStyle w:val="TextoNormalSangraFrancesa"/>
        <w:rPr>
          <w:rStyle w:val="TextoNormalCaracter"/>
        </w:rPr>
      </w:pPr>
      <w:bookmarkStart w:id="1448" w:name="DESCRIPTORALFABETICO174"/>
      <w:r w:rsidRPr="000C3DF9">
        <w:rPr>
          <w:rStyle w:val="TextoNormalNegritaCaracter"/>
        </w:rPr>
        <w:t>Perjuicios irreparables</w:t>
      </w:r>
      <w:bookmarkEnd w:id="1448"/>
      <w:r w:rsidRPr="000C3DF9">
        <w:rPr>
          <w:rStyle w:val="TextoNormalCaracter"/>
        </w:rPr>
        <w:t xml:space="preserve">, Auto </w:t>
      </w:r>
      <w:hyperlink w:anchor="AUTO_2002_71" w:history="1">
        <w:r w:rsidRPr="000C3DF9">
          <w:rPr>
            <w:rStyle w:val="TextoNormalCaracter"/>
          </w:rPr>
          <w:t>71/2002</w:t>
        </w:r>
      </w:hyperlink>
      <w:r w:rsidRPr="000C3DF9">
        <w:rPr>
          <w:rStyle w:val="TextoNormalCaracter"/>
        </w:rPr>
        <w:t>.</w:t>
      </w:r>
    </w:p>
    <w:p w:rsidR="000C3DF9" w:rsidRPr="000C3DF9" w:rsidRDefault="000C3DF9" w:rsidP="000C3DF9">
      <w:pPr>
        <w:pStyle w:val="TextoNormalSangraFrancesa"/>
        <w:rPr>
          <w:rStyle w:val="TextoNormalCaracter"/>
        </w:rPr>
      </w:pPr>
      <w:bookmarkStart w:id="1449" w:name="DESCRIPTORALFABETICO694"/>
      <w:r w:rsidRPr="000C3DF9">
        <w:rPr>
          <w:rStyle w:val="TextoNormalNegritaCaracter"/>
        </w:rPr>
        <w:t>Permanencia en frontera</w:t>
      </w:r>
      <w:bookmarkEnd w:id="1449"/>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ff. 6, 7, 8, 9, 10, 11.</w:t>
      </w:r>
    </w:p>
    <w:p w:rsidR="000C3DF9" w:rsidRPr="000C3DF9" w:rsidRDefault="000C3DF9" w:rsidP="000C3DF9">
      <w:pPr>
        <w:pStyle w:val="TextoNormalSangraFrancesa"/>
        <w:rPr>
          <w:rStyle w:val="TextoNormalCaracter"/>
        </w:rPr>
      </w:pPr>
      <w:bookmarkStart w:id="1450" w:name="DESCRIPTORALFABETICO131"/>
      <w:r w:rsidRPr="000C3DF9">
        <w:rPr>
          <w:rStyle w:val="TextoNormalNegritaCaracter"/>
        </w:rPr>
        <w:t>Permanencia en frontera de los solicitantes de asilo</w:t>
      </w:r>
      <w:bookmarkEnd w:id="1450"/>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ff. 6, 7, 8, 9, 10, 11, 14.</w:t>
      </w:r>
    </w:p>
    <w:p w:rsidR="000C3DF9" w:rsidRPr="000C3DF9" w:rsidRDefault="000C3DF9" w:rsidP="000C3DF9">
      <w:pPr>
        <w:pStyle w:val="TextoNormalSangraFrancesa"/>
        <w:rPr>
          <w:rStyle w:val="TextoNormalCaracter"/>
        </w:rPr>
      </w:pPr>
      <w:bookmarkStart w:id="1451" w:name="DESCRIPTORALFABETICO578"/>
      <w:r w:rsidRPr="000C3DF9">
        <w:rPr>
          <w:rStyle w:val="TextoNormalNegritaCaracter"/>
        </w:rPr>
        <w:t>Personación</w:t>
      </w:r>
      <w:bookmarkEnd w:id="1451"/>
      <w:r w:rsidRPr="000C3DF9">
        <w:rPr>
          <w:rStyle w:val="TextoNormalCaracter"/>
        </w:rPr>
        <w:t xml:space="preserve">, Sentencia </w:t>
      </w:r>
      <w:hyperlink w:anchor="SENTENCIA_2002_40" w:history="1">
        <w:r w:rsidRPr="000C3DF9">
          <w:rPr>
            <w:rStyle w:val="TextoNormalCaracter"/>
          </w:rPr>
          <w:t>40/2002</w:t>
        </w:r>
      </w:hyperlink>
      <w:r w:rsidRPr="000C3DF9">
        <w:rPr>
          <w:rStyle w:val="TextoNormalCaracter"/>
        </w:rPr>
        <w:t>, ff. 8, 9.</w:t>
      </w:r>
    </w:p>
    <w:p w:rsidR="000C3DF9" w:rsidRPr="000C3DF9" w:rsidRDefault="000C3DF9" w:rsidP="000C3DF9">
      <w:pPr>
        <w:pStyle w:val="TextoNormalSangraFrancesa"/>
        <w:rPr>
          <w:rStyle w:val="TextoNormalCaracter"/>
        </w:rPr>
      </w:pPr>
      <w:bookmarkStart w:id="1452" w:name="DESCRIPTORALFABETICO645"/>
      <w:r w:rsidRPr="000C3DF9">
        <w:rPr>
          <w:rStyle w:val="TextoNormalNegritaCaracter"/>
        </w:rPr>
        <w:t>Personación del apelante</w:t>
      </w:r>
      <w:bookmarkEnd w:id="1452"/>
      <w:r w:rsidRPr="000C3DF9">
        <w:rPr>
          <w:rStyle w:val="TextoNormalCaracter"/>
        </w:rPr>
        <w:t xml:space="preserve">, Sentencia </w:t>
      </w:r>
      <w:hyperlink w:anchor="SENTENCIA_2002_40" w:history="1">
        <w:r w:rsidRPr="000C3DF9">
          <w:rPr>
            <w:rStyle w:val="TextoNormalCaracter"/>
          </w:rPr>
          <w:t>40/2002</w:t>
        </w:r>
      </w:hyperlink>
      <w:r w:rsidRPr="000C3DF9">
        <w:rPr>
          <w:rStyle w:val="TextoNormalCaracter"/>
        </w:rPr>
        <w:t>, f. 7.</w:t>
      </w:r>
    </w:p>
    <w:p w:rsidR="000C3DF9" w:rsidRPr="000C3DF9" w:rsidRDefault="000C3DF9" w:rsidP="000C3DF9">
      <w:pPr>
        <w:pStyle w:val="TextoNormalSangraFrancesa"/>
        <w:rPr>
          <w:rStyle w:val="TextoNormalCaracter"/>
        </w:rPr>
      </w:pPr>
      <w:bookmarkStart w:id="1453" w:name="DESCRIPTORALFABETICO644"/>
      <w:r w:rsidRPr="000C3DF9">
        <w:rPr>
          <w:rStyle w:val="TextoNormalNegritaCaracter"/>
        </w:rPr>
        <w:t>Personación en el recurso de apelación</w:t>
      </w:r>
      <w:bookmarkEnd w:id="1453"/>
      <w:r w:rsidRPr="000C3DF9">
        <w:rPr>
          <w:rStyle w:val="TextoNormalCaracter"/>
        </w:rPr>
        <w:t xml:space="preserve">, Sentencia </w:t>
      </w:r>
      <w:hyperlink w:anchor="SENTENCIA_2002_40" w:history="1">
        <w:r w:rsidRPr="000C3DF9">
          <w:rPr>
            <w:rStyle w:val="TextoNormalCaracter"/>
          </w:rPr>
          <w:t>40/2002</w:t>
        </w:r>
      </w:hyperlink>
      <w:r w:rsidRPr="000C3DF9">
        <w:rPr>
          <w:rStyle w:val="TextoNormalCaracter"/>
        </w:rPr>
        <w:t>, f. 9.</w:t>
      </w:r>
    </w:p>
    <w:p w:rsidR="000C3DF9" w:rsidRPr="000C3DF9" w:rsidRDefault="000C3DF9" w:rsidP="000C3DF9">
      <w:pPr>
        <w:pStyle w:val="TextoNormalSangraFrancesa"/>
        <w:rPr>
          <w:rStyle w:val="TextoNormalNegritaCaracter"/>
        </w:rPr>
      </w:pPr>
      <w:r w:rsidRPr="000C3DF9">
        <w:rPr>
          <w:rStyle w:val="TextoNormalCursivaCaracter"/>
        </w:rPr>
        <w:t>Personajes públicos</w:t>
      </w:r>
      <w:r>
        <w:t xml:space="preserve"> véase </w:t>
      </w:r>
      <w:hyperlink w:anchor="DESCRIPTORALFABETICO479" w:history="1">
        <w:r w:rsidRPr="000C3DF9">
          <w:rPr>
            <w:rStyle w:val="TextoNormalNegritaCaracter"/>
          </w:rPr>
          <w:t>Personas con relevancia pública</w:t>
        </w:r>
      </w:hyperlink>
    </w:p>
    <w:p w:rsidR="000C3DF9" w:rsidRPr="000C3DF9" w:rsidRDefault="000C3DF9" w:rsidP="000C3DF9">
      <w:pPr>
        <w:pStyle w:val="TextoNormalSangraFrancesa"/>
        <w:rPr>
          <w:rStyle w:val="TextoNormalCaracter"/>
        </w:rPr>
      </w:pPr>
      <w:bookmarkStart w:id="1454" w:name="DESCRIPTORALFABETICO393"/>
      <w:r w:rsidRPr="000C3DF9">
        <w:rPr>
          <w:rStyle w:val="TextoNormalNegritaCaracter"/>
        </w:rPr>
        <w:t>Personal al servicio de las Administraciones públicas</w:t>
      </w:r>
      <w:bookmarkEnd w:id="1454"/>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Personas con notoriedad pública</w:t>
      </w:r>
      <w:r>
        <w:t xml:space="preserve"> véase </w:t>
      </w:r>
      <w:hyperlink w:anchor="DESCRIPTORALFABETICO479" w:history="1">
        <w:r w:rsidRPr="000C3DF9">
          <w:rPr>
            <w:rStyle w:val="TextoNormalNegritaCaracter"/>
          </w:rPr>
          <w:t>Personas con relevancia pública</w:t>
        </w:r>
      </w:hyperlink>
    </w:p>
    <w:p w:rsidR="000C3DF9" w:rsidRPr="000C3DF9" w:rsidRDefault="000C3DF9" w:rsidP="000C3DF9">
      <w:pPr>
        <w:pStyle w:val="TextoNormalSangraFrancesa"/>
        <w:rPr>
          <w:rStyle w:val="TextoNormalCaracter"/>
        </w:rPr>
      </w:pPr>
      <w:bookmarkStart w:id="1455" w:name="DESCRIPTORALFABETICO479"/>
      <w:r w:rsidRPr="000C3DF9">
        <w:rPr>
          <w:rStyle w:val="TextoNormalNegritaCaracter"/>
        </w:rPr>
        <w:t>Personas con relevancia pública</w:t>
      </w:r>
      <w:bookmarkEnd w:id="1455"/>
      <w:r w:rsidRPr="000C3DF9">
        <w:rPr>
          <w:rStyle w:val="TextoNormalCaracter"/>
        </w:rPr>
        <w:t xml:space="preserve">, Sentencias </w:t>
      </w:r>
      <w:hyperlink w:anchor="SENTENCIA_2002_20" w:history="1">
        <w:r w:rsidRPr="000C3DF9">
          <w:rPr>
            <w:rStyle w:val="TextoNormalCaracter"/>
          </w:rPr>
          <w:t>20/2002</w:t>
        </w:r>
      </w:hyperlink>
      <w:r w:rsidRPr="000C3DF9">
        <w:rPr>
          <w:rStyle w:val="TextoNormalCaracter"/>
        </w:rPr>
        <w:t xml:space="preserve">, f. 5; </w:t>
      </w:r>
      <w:hyperlink w:anchor="SENTENCIA_2002_47" w:history="1">
        <w:r w:rsidRPr="000C3DF9">
          <w:rPr>
            <w:rStyle w:val="TextoNormalCaracter"/>
          </w:rPr>
          <w:t>47/2002</w:t>
        </w:r>
      </w:hyperlink>
      <w:r w:rsidRPr="000C3DF9">
        <w:rPr>
          <w:rStyle w:val="TextoNormalCaracter"/>
        </w:rPr>
        <w:t xml:space="preserve">, f. 4; </w:t>
      </w:r>
      <w:hyperlink w:anchor="SENTENCIA_2002_83" w:history="1">
        <w:r w:rsidRPr="000C3DF9">
          <w:rPr>
            <w:rStyle w:val="TextoNormalCaracter"/>
          </w:rPr>
          <w:t>83/2002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Personas jurídicas de Derecho público</w:t>
      </w:r>
      <w:r>
        <w:t xml:space="preserve"> véase </w:t>
      </w:r>
      <w:hyperlink w:anchor="DESCRIPTORALFABETICO290" w:history="1">
        <w:r w:rsidRPr="000C3DF9">
          <w:rPr>
            <w:rStyle w:val="TextoNormalNegritaCaracter"/>
          </w:rPr>
          <w:t>Personas jurídicas públicas</w:t>
        </w:r>
      </w:hyperlink>
    </w:p>
    <w:p w:rsidR="000C3DF9" w:rsidRPr="000C3DF9" w:rsidRDefault="000C3DF9" w:rsidP="000C3DF9">
      <w:pPr>
        <w:pStyle w:val="TextoNormalSangraFrancesa"/>
        <w:rPr>
          <w:rStyle w:val="TextoNormalCaracter"/>
        </w:rPr>
      </w:pPr>
      <w:bookmarkStart w:id="1456" w:name="DESCRIPTORALFABETICO290"/>
      <w:r w:rsidRPr="000C3DF9">
        <w:rPr>
          <w:rStyle w:val="TextoNormalNegritaCaracter"/>
        </w:rPr>
        <w:t>Personas jurídicas públicas</w:t>
      </w:r>
      <w:bookmarkEnd w:id="1456"/>
      <w:r w:rsidRPr="000C3DF9">
        <w:rPr>
          <w:rStyle w:val="TextoNormalCaracter"/>
        </w:rPr>
        <w:t xml:space="preserve">, Sentencia </w:t>
      </w:r>
      <w:hyperlink w:anchor="SENTENCIA_2002_69" w:history="1">
        <w:r w:rsidRPr="000C3DF9">
          <w:rPr>
            <w:rStyle w:val="TextoNormalCaracter"/>
          </w:rPr>
          <w:t>69/2002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57" w:name="DESCRIPTORALFABETICO204"/>
      <w:r w:rsidRPr="000C3DF9">
        <w:rPr>
          <w:rStyle w:val="TextoNormalNegritaCaracter"/>
        </w:rPr>
        <w:t>Pervivencia del objeto del conflicto positivo de competencia</w:t>
      </w:r>
      <w:bookmarkEnd w:id="1457"/>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3.</w:t>
      </w:r>
    </w:p>
    <w:p w:rsidR="000C3DF9" w:rsidRPr="000C3DF9" w:rsidRDefault="000C3DF9" w:rsidP="000C3DF9">
      <w:pPr>
        <w:pStyle w:val="TextoNormalSangraFrancesa"/>
        <w:rPr>
          <w:rStyle w:val="TextoNormalCaracter"/>
        </w:rPr>
      </w:pPr>
      <w:bookmarkStart w:id="1458" w:name="DESCRIPTORALFABETICO246"/>
      <w:r w:rsidRPr="000C3DF9">
        <w:rPr>
          <w:rStyle w:val="TextoNormalNegritaCaracter"/>
        </w:rPr>
        <w:t>Pervivencia del objeto del recurso de amparo</w:t>
      </w:r>
      <w:bookmarkEnd w:id="1458"/>
      <w:r w:rsidRPr="000C3DF9">
        <w:rPr>
          <w:rStyle w:val="TextoNormalCaracter"/>
        </w:rPr>
        <w:t xml:space="preserve">, Sentencias </w:t>
      </w:r>
      <w:hyperlink w:anchor="SENTENCIA_2002_8" w:history="1">
        <w:r w:rsidRPr="000C3DF9">
          <w:rPr>
            <w:rStyle w:val="TextoNormalCaracter"/>
          </w:rPr>
          <w:t>8/2002</w:t>
        </w:r>
      </w:hyperlink>
      <w:r w:rsidRPr="000C3DF9">
        <w:rPr>
          <w:rStyle w:val="TextoNormalCaracter"/>
        </w:rPr>
        <w:t xml:space="preserve">, f. 2; </w:t>
      </w:r>
      <w:hyperlink w:anchor="SENTENCIA_2002_23" w:history="1">
        <w:r w:rsidRPr="000C3DF9">
          <w:rPr>
            <w:rStyle w:val="TextoNormalCaracter"/>
          </w:rPr>
          <w:t>23/2002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59" w:name="DESCRIPTORALFABETICO227"/>
      <w:r w:rsidRPr="000C3DF9">
        <w:rPr>
          <w:rStyle w:val="TextoNormalNegritaCaracter"/>
        </w:rPr>
        <w:t>Pervivencia del objeto del recurso de inconstitucionalidad</w:t>
      </w:r>
      <w:bookmarkEnd w:id="1459"/>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60" w:name="DESCRIPTORALFABETICO198"/>
      <w:r w:rsidRPr="000C3DF9">
        <w:rPr>
          <w:rStyle w:val="TextoNormalNegritaCaracter"/>
        </w:rPr>
        <w:t>Pervivencia del objeto pese a la derogación de la norma</w:t>
      </w:r>
      <w:bookmarkEnd w:id="1460"/>
      <w:r w:rsidRPr="000C3DF9">
        <w:rPr>
          <w:rStyle w:val="TextoNormalCaracter"/>
        </w:rPr>
        <w:t xml:space="preserve">, Sentencias </w:t>
      </w:r>
      <w:hyperlink w:anchor="SENTENCIA_2002_37" w:history="1">
        <w:r w:rsidRPr="000C3DF9">
          <w:rPr>
            <w:rStyle w:val="TextoNormalCaracter"/>
          </w:rPr>
          <w:t>37/2002</w:t>
        </w:r>
      </w:hyperlink>
      <w:r w:rsidRPr="000C3DF9">
        <w:rPr>
          <w:rStyle w:val="TextoNormalCaracter"/>
        </w:rPr>
        <w:t xml:space="preserve">, f. 3; </w:t>
      </w:r>
      <w:hyperlink w:anchor="SENTENCIA_2002_97" w:history="1">
        <w:r w:rsidRPr="000C3DF9">
          <w:rPr>
            <w:rStyle w:val="TextoNormalCaracter"/>
          </w:rPr>
          <w:t>97/2002</w:t>
        </w:r>
      </w:hyperlink>
      <w:r w:rsidRPr="000C3DF9">
        <w:rPr>
          <w:rStyle w:val="TextoNormalCaracter"/>
        </w:rPr>
        <w:t>, f. 8 a).</w:t>
      </w:r>
    </w:p>
    <w:p w:rsidR="000C3DF9" w:rsidRPr="000C3DF9" w:rsidRDefault="000C3DF9" w:rsidP="000C3DF9">
      <w:pPr>
        <w:pStyle w:val="TextoNormalSangraFrancesa"/>
        <w:rPr>
          <w:rStyle w:val="TextoNormalCaracter"/>
        </w:rPr>
      </w:pPr>
      <w:bookmarkStart w:id="1461" w:name="DESCRIPTORALFABETICO485"/>
      <w:r w:rsidRPr="000C3DF9">
        <w:rPr>
          <w:rStyle w:val="TextoNormalNegritaCaracter"/>
        </w:rPr>
        <w:t>Pesca marítima</w:t>
      </w:r>
      <w:bookmarkEnd w:id="1461"/>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ff. 5, 8, 11.</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38" w:history="1">
        <w:r w:rsidRPr="000C3DF9">
          <w:rPr>
            <w:rStyle w:val="TextoNormalCaracter"/>
          </w:rPr>
          <w:t>38/2002</w:t>
        </w:r>
      </w:hyperlink>
      <w:r w:rsidRPr="000C3DF9">
        <w:rPr>
          <w:rStyle w:val="TextoNormalCaracter"/>
        </w:rPr>
        <w:t>, f. 8.</w:t>
      </w:r>
    </w:p>
    <w:p w:rsidR="000C3DF9" w:rsidRPr="000C3DF9" w:rsidRDefault="000C3DF9" w:rsidP="000C3DF9">
      <w:pPr>
        <w:pStyle w:val="TextoNormalSangraFrancesa"/>
        <w:rPr>
          <w:rStyle w:val="TextoNormalNegritaCaracter"/>
        </w:rPr>
      </w:pPr>
      <w:r w:rsidRPr="000C3DF9">
        <w:rPr>
          <w:rStyle w:val="TextoNormalCursivaCaracter"/>
        </w:rPr>
        <w:t>Planificación de la actividad económica</w:t>
      </w:r>
      <w:r>
        <w:t xml:space="preserve"> véase </w:t>
      </w:r>
      <w:hyperlink w:anchor="DESCRIPTORALFABETICO31" w:history="1">
        <w:r w:rsidRPr="000C3DF9">
          <w:rPr>
            <w:rStyle w:val="TextoNormalNegritaCaracter"/>
          </w:rPr>
          <w:t>Planificación económica</w:t>
        </w:r>
      </w:hyperlink>
    </w:p>
    <w:p w:rsidR="000C3DF9" w:rsidRPr="000C3DF9" w:rsidRDefault="000C3DF9" w:rsidP="000C3DF9">
      <w:pPr>
        <w:pStyle w:val="TextoNormalSangraFrancesa"/>
        <w:rPr>
          <w:rStyle w:val="TextoNormalCaracter"/>
        </w:rPr>
      </w:pPr>
      <w:bookmarkStart w:id="1462" w:name="DESCRIPTORALFABETICO31"/>
      <w:r w:rsidRPr="000C3DF9">
        <w:rPr>
          <w:rStyle w:val="TextoNormalNegritaCaracter"/>
        </w:rPr>
        <w:t>Planificación económica</w:t>
      </w:r>
      <w:bookmarkEnd w:id="1462"/>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63" w:name="DESCRIPTORALFABETICO529"/>
      <w:r w:rsidRPr="000C3DF9">
        <w:rPr>
          <w:rStyle w:val="TextoNormalNegritaCaracter"/>
        </w:rPr>
        <w:t>Plazo de prescripción de acciones</w:t>
      </w:r>
      <w:bookmarkEnd w:id="1463"/>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64" w:name="DESCRIPTORALFABETICO703"/>
      <w:r w:rsidRPr="000C3DF9">
        <w:rPr>
          <w:rStyle w:val="TextoNormalNegritaCaracter"/>
        </w:rPr>
        <w:t>Plazo máximo de prisión provisional</w:t>
      </w:r>
      <w:bookmarkEnd w:id="1464"/>
      <w:r w:rsidRPr="000C3DF9">
        <w:rPr>
          <w:rStyle w:val="TextoNormalCaracter"/>
        </w:rPr>
        <w:t xml:space="preserve">, Sentencia </w:t>
      </w:r>
      <w:hyperlink w:anchor="SENTENCIA_2002_98" w:history="1">
        <w:r w:rsidRPr="000C3DF9">
          <w:rPr>
            <w:rStyle w:val="TextoNormalCaracter"/>
          </w:rPr>
          <w:t>98/2002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65" w:name="DESCRIPTORALFABETICO251"/>
      <w:r w:rsidRPr="000C3DF9">
        <w:rPr>
          <w:rStyle w:val="TextoNormalNegritaCaracter"/>
        </w:rPr>
        <w:t>Plazos del recurso de amparo</w:t>
      </w:r>
      <w:bookmarkEnd w:id="1465"/>
      <w:r w:rsidRPr="000C3DF9">
        <w:rPr>
          <w:rStyle w:val="TextoNormalCaracter"/>
        </w:rPr>
        <w:t xml:space="preserve">, Sentencias </w:t>
      </w:r>
      <w:hyperlink w:anchor="SENTENCIA_2002_61" w:history="1">
        <w:r w:rsidRPr="000C3DF9">
          <w:rPr>
            <w:rStyle w:val="TextoNormalCaracter"/>
          </w:rPr>
          <w:t>61/2002</w:t>
        </w:r>
      </w:hyperlink>
      <w:r w:rsidRPr="000C3DF9">
        <w:rPr>
          <w:rStyle w:val="TextoNormalCaracter"/>
        </w:rPr>
        <w:t xml:space="preserve">, f. 2; </w:t>
      </w:r>
      <w:hyperlink w:anchor="SENTENCIA_2002_69" w:history="1">
        <w:r w:rsidRPr="000C3DF9">
          <w:rPr>
            <w:rStyle w:val="TextoNormalCaracter"/>
          </w:rPr>
          <w:t>69/2002</w:t>
        </w:r>
      </w:hyperlink>
      <w:r w:rsidRPr="000C3DF9">
        <w:rPr>
          <w:rStyle w:val="TextoNormalCaracter"/>
        </w:rPr>
        <w:t xml:space="preserve">, f. 3; </w:t>
      </w:r>
      <w:hyperlink w:anchor="SENTENCIA_2002_73" w:history="1">
        <w:r w:rsidRPr="000C3DF9">
          <w:rPr>
            <w:rStyle w:val="TextoNormalCaracter"/>
          </w:rPr>
          <w:t>73/2002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66" w:name="DESCRIPTORALFABETICO623"/>
      <w:r w:rsidRPr="000C3DF9">
        <w:rPr>
          <w:rStyle w:val="TextoNormalNegritaCaracter"/>
        </w:rPr>
        <w:t>Plazos procesales</w:t>
      </w:r>
      <w:bookmarkEnd w:id="1466"/>
      <w:r w:rsidRPr="000C3DF9">
        <w:rPr>
          <w:rStyle w:val="TextoNormalCaracter"/>
        </w:rPr>
        <w:t xml:space="preserve">, Sentencia </w:t>
      </w:r>
      <w:hyperlink w:anchor="SENTENCIA_2002_90" w:history="1">
        <w:r w:rsidRPr="000C3DF9">
          <w:rPr>
            <w:rStyle w:val="TextoNormalCaracter"/>
          </w:rPr>
          <w:t>90/2002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467" w:name="DESCRIPTORALFABETICO343"/>
      <w:r w:rsidRPr="000C3DF9">
        <w:rPr>
          <w:rStyle w:val="TextoNormalNegritaCaracter"/>
        </w:rPr>
        <w:t>Pluralismo político</w:t>
      </w:r>
      <w:bookmarkEnd w:id="1467"/>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68" w:name="DESCRIPTORALFABETICO159"/>
      <w:r w:rsidRPr="000C3DF9">
        <w:rPr>
          <w:rStyle w:val="TextoNormalNegritaCaracter"/>
        </w:rPr>
        <w:t>Ponderación de derechos fundamentales</w:t>
      </w:r>
      <w:bookmarkEnd w:id="1468"/>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9.</w:t>
      </w:r>
    </w:p>
    <w:p w:rsidR="000C3DF9" w:rsidRPr="000C3DF9" w:rsidRDefault="000C3DF9" w:rsidP="000C3DF9">
      <w:pPr>
        <w:pStyle w:val="TextoNormalSangraFrancesa"/>
        <w:rPr>
          <w:rStyle w:val="TextoNormalCaracter"/>
        </w:rPr>
      </w:pPr>
      <w:bookmarkStart w:id="1469" w:name="DESCRIPTORALFABETICO333"/>
      <w:r w:rsidRPr="000C3DF9">
        <w:rPr>
          <w:rStyle w:val="TextoNormalNegritaCaracter"/>
        </w:rPr>
        <w:t>Ponderación de intereses</w:t>
      </w:r>
      <w:bookmarkEnd w:id="1469"/>
      <w:r w:rsidRPr="000C3DF9">
        <w:rPr>
          <w:rStyle w:val="TextoNormalCaracter"/>
        </w:rPr>
        <w:t xml:space="preserve">, Auto </w:t>
      </w:r>
      <w:hyperlink w:anchor="AUTO_2002_9" w:history="1">
        <w:r w:rsidRPr="000C3DF9">
          <w:rPr>
            <w:rStyle w:val="TextoNormalCaracter"/>
          </w:rPr>
          <w:t>9/2002</w:t>
        </w:r>
      </w:hyperlink>
      <w:r w:rsidRPr="000C3DF9">
        <w:rPr>
          <w:rStyle w:val="TextoNormalCaracter"/>
        </w:rPr>
        <w:t>.</w:t>
      </w:r>
    </w:p>
    <w:p w:rsidR="000C3DF9" w:rsidRPr="000C3DF9" w:rsidRDefault="000C3DF9" w:rsidP="000C3DF9">
      <w:pPr>
        <w:pStyle w:val="TextoNormalSangraFrancesa"/>
        <w:rPr>
          <w:rStyle w:val="TextoNormalCaracter"/>
        </w:rPr>
      </w:pPr>
      <w:bookmarkStart w:id="1470" w:name="DESCRIPTORALFABETICO175"/>
      <w:r w:rsidRPr="000C3DF9">
        <w:rPr>
          <w:rStyle w:val="TextoNormalNegritaCaracter"/>
        </w:rPr>
        <w:t>Ponderación de perjuicios</w:t>
      </w:r>
      <w:bookmarkEnd w:id="1470"/>
      <w:r w:rsidRPr="000C3DF9">
        <w:rPr>
          <w:rStyle w:val="TextoNormalCaracter"/>
        </w:rPr>
        <w:t xml:space="preserve">, Auto </w:t>
      </w:r>
      <w:hyperlink w:anchor="AUTO_2002_67" w:history="1">
        <w:r w:rsidRPr="000C3DF9">
          <w:rPr>
            <w:rStyle w:val="TextoNormalCaracter"/>
          </w:rPr>
          <w:t>67/2002</w:t>
        </w:r>
      </w:hyperlink>
      <w:r w:rsidRPr="000C3DF9">
        <w:rPr>
          <w:rStyle w:val="TextoNormalCaracter"/>
        </w:rPr>
        <w:t>.</w:t>
      </w:r>
    </w:p>
    <w:p w:rsidR="000C3DF9" w:rsidRPr="000C3DF9" w:rsidRDefault="000C3DF9" w:rsidP="000C3DF9">
      <w:pPr>
        <w:pStyle w:val="TextoNormalSangraFrancesa"/>
        <w:rPr>
          <w:rStyle w:val="TextoNormalCaracter"/>
        </w:rPr>
      </w:pPr>
      <w:bookmarkStart w:id="1471" w:name="DESCRIPTORALFABETICO160"/>
      <w:r w:rsidRPr="000C3DF9">
        <w:rPr>
          <w:rStyle w:val="TextoNormalNegritaCaracter"/>
        </w:rPr>
        <w:t>Ponderación entre el derecho a la intimidad y la libertad de información</w:t>
      </w:r>
      <w:bookmarkEnd w:id="1471"/>
      <w:r w:rsidRPr="000C3DF9">
        <w:rPr>
          <w:rStyle w:val="TextoNormalCaracter"/>
        </w:rPr>
        <w:t xml:space="preserve">, Sentencia </w:t>
      </w:r>
      <w:hyperlink w:anchor="SENTENCIA_2002_83" w:history="1">
        <w:r w:rsidRPr="000C3DF9">
          <w:rPr>
            <w:rStyle w:val="TextoNormalCaracter"/>
          </w:rPr>
          <w:t>83/2002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72" w:name="DESCRIPTORALFABETICO161"/>
      <w:r w:rsidRPr="000C3DF9">
        <w:rPr>
          <w:rStyle w:val="TextoNormalNegritaCaracter"/>
        </w:rPr>
        <w:t>Ponderación entre el derecho a la propia imagen y la libertad de información</w:t>
      </w:r>
      <w:bookmarkEnd w:id="1472"/>
      <w:r w:rsidRPr="000C3DF9">
        <w:rPr>
          <w:rStyle w:val="TextoNormalCaracter"/>
        </w:rPr>
        <w:t xml:space="preserve">, Sentencia </w:t>
      </w:r>
      <w:hyperlink w:anchor="SENTENCIA_2002_83" w:history="1">
        <w:r w:rsidRPr="000C3DF9">
          <w:rPr>
            <w:rStyle w:val="TextoNormalCaracter"/>
          </w:rPr>
          <w:t>83/2002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73" w:name="DESCRIPTORALFABETICO314"/>
      <w:r w:rsidRPr="000C3DF9">
        <w:rPr>
          <w:rStyle w:val="TextoNormalNegritaCaracter"/>
        </w:rPr>
        <w:t>Potestad colegisladora</w:t>
      </w:r>
      <w:bookmarkEnd w:id="1473"/>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474" w:name="DESCRIPTORALFABETICO601"/>
      <w:r w:rsidRPr="000C3DF9">
        <w:rPr>
          <w:rStyle w:val="TextoNormalNegritaCaracter"/>
        </w:rPr>
        <w:t>Potestad jurisdiccional de valoración de la prueba</w:t>
      </w:r>
      <w:bookmarkEnd w:id="1474"/>
      <w:r w:rsidRPr="000C3DF9">
        <w:rPr>
          <w:rStyle w:val="TextoNormalCaracter"/>
        </w:rPr>
        <w:t xml:space="preserve">, Sentencia </w:t>
      </w:r>
      <w:hyperlink w:anchor="SENTENCIA_2002_57" w:history="1">
        <w:r w:rsidRPr="000C3DF9">
          <w:rPr>
            <w:rStyle w:val="TextoNormalCaracter"/>
          </w:rPr>
          <w:t>57/2002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75" w:name="DESCRIPTORALFABETICO301"/>
      <w:r w:rsidRPr="000C3DF9">
        <w:rPr>
          <w:rStyle w:val="TextoNormalNegritaCaracter"/>
        </w:rPr>
        <w:t>Potestad legislativa</w:t>
      </w:r>
      <w:bookmarkEnd w:id="1475"/>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72" w:history="1">
        <w:r w:rsidRPr="000C3DF9">
          <w:rPr>
            <w:rStyle w:val="TextoNormalCaracter"/>
          </w:rPr>
          <w:t>72/2002</w:t>
        </w:r>
      </w:hyperlink>
      <w:r w:rsidRPr="000C3DF9">
        <w:rPr>
          <w:rStyle w:val="TextoNormalCaracter"/>
        </w:rPr>
        <w:t>.</w:t>
      </w:r>
    </w:p>
    <w:p w:rsidR="000C3DF9" w:rsidRPr="000C3DF9" w:rsidRDefault="000C3DF9" w:rsidP="000C3DF9">
      <w:pPr>
        <w:pStyle w:val="TextoNormalSangraFrancesa"/>
        <w:rPr>
          <w:rStyle w:val="TextoNormalCaracter"/>
        </w:rPr>
      </w:pPr>
      <w:bookmarkStart w:id="1476" w:name="DESCRIPTORALFABETICO286"/>
      <w:r w:rsidRPr="000C3DF9">
        <w:rPr>
          <w:rStyle w:val="TextoNormalNegritaCaracter"/>
        </w:rPr>
        <w:lastRenderedPageBreak/>
        <w:t>Potestad sancionadora</w:t>
      </w:r>
      <w:bookmarkEnd w:id="1476"/>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13.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Caracter"/>
        </w:rPr>
      </w:pPr>
      <w:bookmarkStart w:id="1477" w:name="DESCRIPTORALFABETICO523"/>
      <w:r w:rsidRPr="000C3DF9">
        <w:rPr>
          <w:rStyle w:val="TextoNormalNegritaCaracter"/>
        </w:rPr>
        <w:t>Preferencia de la jurisdicción penal</w:t>
      </w:r>
      <w:bookmarkEnd w:id="1477"/>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78" w:name="DESCRIPTORALFABETICO527"/>
      <w:r w:rsidRPr="000C3DF9">
        <w:rPr>
          <w:rStyle w:val="TextoNormalNegritaCaracter"/>
        </w:rPr>
        <w:t>Prescripción y caducidad de acciones</w:t>
      </w:r>
      <w:bookmarkEnd w:id="1478"/>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ff. 3, 4, 5.</w:t>
      </w:r>
    </w:p>
    <w:p w:rsidR="000C3DF9" w:rsidRPr="000C3DF9" w:rsidRDefault="000C3DF9" w:rsidP="000C3DF9">
      <w:pPr>
        <w:pStyle w:val="TextoNormalSangraFrancesa"/>
        <w:rPr>
          <w:rStyle w:val="TextoNormalCaracter"/>
        </w:rPr>
      </w:pPr>
      <w:bookmarkStart w:id="1479" w:name="DESCRIPTORALFABETICO295"/>
      <w:r w:rsidRPr="000C3DF9">
        <w:rPr>
          <w:rStyle w:val="TextoNormalNegritaCaracter"/>
        </w:rPr>
        <w:t>Presentación de escritos ante los juzgados y tribunales</w:t>
      </w:r>
      <w:bookmarkEnd w:id="1479"/>
      <w:r w:rsidRPr="000C3DF9">
        <w:rPr>
          <w:rStyle w:val="TextoNormalCaracter"/>
        </w:rPr>
        <w:t xml:space="preserve">, Sentencia </w:t>
      </w:r>
      <w:hyperlink w:anchor="SENTENCIA_2002_90" w:history="1">
        <w:r w:rsidRPr="000C3DF9">
          <w:rPr>
            <w:rStyle w:val="TextoNormalCaracter"/>
          </w:rPr>
          <w:t>90/2002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480" w:name="DESCRIPTORALFABETICO598"/>
      <w:r w:rsidRPr="000C3DF9">
        <w:rPr>
          <w:rStyle w:val="TextoNormalNegritaCaracter"/>
        </w:rPr>
        <w:t>Presiones a testigo no probadas</w:t>
      </w:r>
      <w:bookmarkEnd w:id="1480"/>
      <w:r w:rsidRPr="000C3DF9">
        <w:rPr>
          <w:rStyle w:val="TextoNormalCaracter"/>
        </w:rPr>
        <w:t xml:space="preserve">, Sentencia </w:t>
      </w:r>
      <w:hyperlink w:anchor="SENTENCIA_2002_57" w:history="1">
        <w:r w:rsidRPr="000C3DF9">
          <w:rPr>
            <w:rStyle w:val="TextoNormalCaracter"/>
          </w:rPr>
          <w:t>57/2002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81" w:name="DESCRIPTORALFABETICO534"/>
      <w:r w:rsidRPr="000C3DF9">
        <w:rPr>
          <w:rStyle w:val="TextoNormalNegritaCaracter"/>
        </w:rPr>
        <w:t>Presunción de desconocimiento del proceso</w:t>
      </w:r>
      <w:bookmarkEnd w:id="1481"/>
      <w:r w:rsidRPr="000C3DF9">
        <w:rPr>
          <w:rStyle w:val="TextoNormalCaracter"/>
        </w:rPr>
        <w:t xml:space="preserve">, Sentencia </w:t>
      </w:r>
      <w:hyperlink w:anchor="SENTENCIA_2002_18" w:history="1">
        <w:r w:rsidRPr="000C3DF9">
          <w:rPr>
            <w:rStyle w:val="TextoNormalCaracter"/>
          </w:rPr>
          <w:t>18/2002</w:t>
        </w:r>
      </w:hyperlink>
      <w:r w:rsidRPr="000C3DF9">
        <w:rPr>
          <w:rStyle w:val="TextoNormalCaracter"/>
        </w:rPr>
        <w:t>, f. 7.</w:t>
      </w:r>
    </w:p>
    <w:p w:rsidR="000C3DF9" w:rsidRPr="000C3DF9" w:rsidRDefault="000C3DF9" w:rsidP="000C3DF9">
      <w:pPr>
        <w:pStyle w:val="TextoNormalSangraFrancesa"/>
        <w:rPr>
          <w:rStyle w:val="TextoNormalNegritaCaracter"/>
        </w:rPr>
      </w:pPr>
      <w:r w:rsidRPr="000C3DF9">
        <w:rPr>
          <w:rStyle w:val="TextoNormalCursivaCaracter"/>
        </w:rPr>
        <w:t>Presunción de inocencia</w:t>
      </w:r>
      <w:r>
        <w:t xml:space="preserve"> véase </w:t>
      </w:r>
      <w:hyperlink w:anchor="DESCRIPTORALFABETICO75" w:history="1">
        <w:r w:rsidRPr="000C3DF9">
          <w:rPr>
            <w:rStyle w:val="TextoNormalNegritaCaracter"/>
          </w:rPr>
          <w:t>Derecho a la presunción de inocencia</w:t>
        </w:r>
      </w:hyperlink>
    </w:p>
    <w:p w:rsidR="000C3DF9" w:rsidRPr="000C3DF9" w:rsidRDefault="000C3DF9" w:rsidP="000C3DF9">
      <w:pPr>
        <w:pStyle w:val="TextoNormalSangraFrancesa"/>
        <w:rPr>
          <w:rStyle w:val="TextoNormalCaracter"/>
        </w:rPr>
      </w:pPr>
      <w:bookmarkStart w:id="1482" w:name="DESCRIPTORALFABETICO425"/>
      <w:r w:rsidRPr="000C3DF9">
        <w:rPr>
          <w:rStyle w:val="TextoNormalNegritaCaracter"/>
        </w:rPr>
        <w:t>Presupuesto habilitante</w:t>
      </w:r>
      <w:bookmarkEnd w:id="1482"/>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83" w:name="DESCRIPTORALFABETICO33"/>
      <w:r w:rsidRPr="000C3DF9">
        <w:rPr>
          <w:rStyle w:val="TextoNormalNegritaCaracter"/>
        </w:rPr>
        <w:t>Presupuestos Generales del Estado</w:t>
      </w:r>
      <w:bookmarkEnd w:id="1483"/>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ff. 3, 4.</w:t>
      </w:r>
    </w:p>
    <w:p w:rsidR="000C3DF9" w:rsidRPr="000C3DF9" w:rsidRDefault="000C3DF9" w:rsidP="000C3DF9">
      <w:pPr>
        <w:pStyle w:val="TextoNormalSangraFrancesa"/>
        <w:rPr>
          <w:rStyle w:val="TextoNormalNegritaCaracter"/>
        </w:rPr>
      </w:pPr>
      <w:r w:rsidRPr="000C3DF9">
        <w:rPr>
          <w:rStyle w:val="TextoNormalCursivaCaracter"/>
        </w:rPr>
        <w:t>Prevalencia del orden penal</w:t>
      </w:r>
      <w:r>
        <w:t xml:space="preserve"> véase </w:t>
      </w:r>
      <w:hyperlink w:anchor="DESCRIPTORALFABETICO523" w:history="1">
        <w:r w:rsidRPr="000C3DF9">
          <w:rPr>
            <w:rStyle w:val="TextoNormalNegritaCaracter"/>
          </w:rPr>
          <w:t>Preferencia de la jurisdicción penal</w:t>
        </w:r>
      </w:hyperlink>
    </w:p>
    <w:p w:rsidR="000C3DF9" w:rsidRPr="000C3DF9" w:rsidRDefault="000C3DF9" w:rsidP="000C3DF9">
      <w:pPr>
        <w:pStyle w:val="TextoNormalSangraFrancesa"/>
        <w:rPr>
          <w:rStyle w:val="TextoNormalCaracter"/>
        </w:rPr>
      </w:pPr>
      <w:bookmarkStart w:id="1484" w:name="DESCRIPTORALFABETICO7"/>
      <w:r w:rsidRPr="000C3DF9">
        <w:rPr>
          <w:rStyle w:val="TextoNormalNegritaCaracter"/>
        </w:rPr>
        <w:t>Prevalencia del título específico sobre el genérico</w:t>
      </w:r>
      <w:bookmarkEnd w:id="1484"/>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85" w:name="DESCRIPTORALFABETICO630"/>
      <w:r w:rsidRPr="000C3DF9">
        <w:rPr>
          <w:rStyle w:val="TextoNormalNegritaCaracter"/>
        </w:rPr>
        <w:t>Principio acusatorio</w:t>
      </w:r>
      <w:bookmarkEnd w:id="1485"/>
      <w:r w:rsidRPr="000C3DF9">
        <w:rPr>
          <w:rStyle w:val="TextoNormalCaracter"/>
        </w:rPr>
        <w:t xml:space="preserve">, Sentencias </w:t>
      </w:r>
      <w:hyperlink w:anchor="SENTENCIA_2002_4" w:history="1">
        <w:r w:rsidRPr="000C3DF9">
          <w:rPr>
            <w:rStyle w:val="TextoNormalCaracter"/>
          </w:rPr>
          <w:t>4/2002</w:t>
        </w:r>
      </w:hyperlink>
      <w:r w:rsidRPr="000C3DF9">
        <w:rPr>
          <w:rStyle w:val="TextoNormalCaracter"/>
        </w:rPr>
        <w:t xml:space="preserve">, f. 3; </w:t>
      </w:r>
      <w:hyperlink w:anchor="SENTENCIA_2002_79" w:history="1">
        <w:r w:rsidRPr="000C3DF9">
          <w:rPr>
            <w:rStyle w:val="TextoNormalCaracter"/>
          </w:rPr>
          <w:t>79/2002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4" w:history="1">
        <w:r w:rsidRPr="000C3DF9">
          <w:rPr>
            <w:rStyle w:val="TextoNormalCaracter"/>
          </w:rPr>
          <w:t>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486" w:name="DESCRIPTORALFABETICO632"/>
      <w:r w:rsidRPr="000C3DF9">
        <w:rPr>
          <w:rStyle w:val="TextoNormalNegritaCaracter"/>
        </w:rPr>
        <w:t>Principio de contradicción</w:t>
      </w:r>
      <w:bookmarkEnd w:id="1486"/>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4; </w:t>
      </w:r>
      <w:hyperlink w:anchor="SENTENCIA_2002_57" w:history="1">
        <w:r w:rsidRPr="000C3DF9">
          <w:rPr>
            <w:rStyle w:val="TextoNormalCaracter"/>
          </w:rPr>
          <w:t>57/2002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Principio de igualdad tributaria</w:t>
      </w:r>
      <w:r>
        <w:t xml:space="preserve"> véase </w:t>
      </w:r>
      <w:hyperlink w:anchor="DESCRIPTORALFABETICO325" w:history="1">
        <w:r w:rsidRPr="000C3DF9">
          <w:rPr>
            <w:rStyle w:val="TextoNormalNegritaCaracter"/>
          </w:rPr>
          <w:t>Igualdad tributaria</w:t>
        </w:r>
      </w:hyperlink>
    </w:p>
    <w:p w:rsidR="000C3DF9" w:rsidRPr="000C3DF9" w:rsidRDefault="000C3DF9" w:rsidP="000C3DF9">
      <w:pPr>
        <w:pStyle w:val="TextoNormalSangraFrancesa"/>
        <w:rPr>
          <w:rStyle w:val="TextoNormalCaracter"/>
        </w:rPr>
      </w:pPr>
      <w:bookmarkStart w:id="1487" w:name="DESCRIPTORALFABETICO326"/>
      <w:r w:rsidRPr="000C3DF9">
        <w:rPr>
          <w:rStyle w:val="TextoNormalNegritaCaracter"/>
        </w:rPr>
        <w:t>Principio de interdicción de la arbitrariedad</w:t>
      </w:r>
      <w:bookmarkEnd w:id="1487"/>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6, VP I, VP II.</w:t>
      </w:r>
    </w:p>
    <w:p w:rsidR="000C3DF9" w:rsidRPr="000C3DF9" w:rsidRDefault="000C3DF9" w:rsidP="000C3DF9">
      <w:pPr>
        <w:pStyle w:val="TextoNormalSangraFrancesa"/>
        <w:rPr>
          <w:rStyle w:val="TextoNormalCaracter"/>
        </w:rPr>
      </w:pPr>
      <w:bookmarkStart w:id="1488" w:name="DESCRIPTORALFABETICO329"/>
      <w:r w:rsidRPr="000C3DF9">
        <w:rPr>
          <w:rStyle w:val="TextoNormalNegritaCaracter"/>
        </w:rPr>
        <w:t>Principio de legalidad sancionadora</w:t>
      </w:r>
      <w:bookmarkEnd w:id="1488"/>
      <w:r w:rsidRPr="000C3DF9">
        <w:rPr>
          <w:rStyle w:val="TextoNormalCaracter"/>
        </w:rPr>
        <w:t xml:space="preserve">, Sentencias </w:t>
      </w:r>
      <w:hyperlink w:anchor="SENTENCIA_2002_25" w:history="1">
        <w:r w:rsidRPr="000C3DF9">
          <w:rPr>
            <w:rStyle w:val="TextoNormalCaracter"/>
          </w:rPr>
          <w:t>25/2002</w:t>
        </w:r>
      </w:hyperlink>
      <w:r w:rsidRPr="000C3DF9">
        <w:rPr>
          <w:rStyle w:val="TextoNormalCaracter"/>
        </w:rPr>
        <w:t xml:space="preserve">, ff. 4, 5; </w:t>
      </w:r>
      <w:hyperlink w:anchor="SENTENCIA_2002_26" w:history="1">
        <w:r w:rsidRPr="000C3DF9">
          <w:rPr>
            <w:rStyle w:val="TextoNormalCaracter"/>
          </w:rPr>
          <w:t>26/2002</w:t>
        </w:r>
      </w:hyperlink>
      <w:r w:rsidRPr="000C3DF9">
        <w:rPr>
          <w:rStyle w:val="TextoNormalCaracter"/>
        </w:rPr>
        <w:t xml:space="preserve">, f. 3; </w:t>
      </w:r>
      <w:hyperlink w:anchor="SENTENCIA_2002_75" w:history="1">
        <w:r w:rsidRPr="000C3DF9">
          <w:rPr>
            <w:rStyle w:val="TextoNormalCaracter"/>
          </w:rPr>
          <w:t>75/2002</w:t>
        </w:r>
      </w:hyperlink>
      <w:r w:rsidRPr="000C3DF9">
        <w:rPr>
          <w:rStyle w:val="TextoNormalCaracter"/>
        </w:rPr>
        <w:t>, ff. 4, 6.</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75" w:history="1">
        <w:r w:rsidRPr="000C3DF9">
          <w:rPr>
            <w:rStyle w:val="TextoNormalCaracter"/>
          </w:rPr>
          <w:t>75/2002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89" w:name="DESCRIPTORALFABETICO48"/>
      <w:r w:rsidRPr="000C3DF9">
        <w:rPr>
          <w:rStyle w:val="TextoNormalNegritaCaracter"/>
        </w:rPr>
        <w:t>Principio de primacía de la verdad material</w:t>
      </w:r>
      <w:bookmarkEnd w:id="1489"/>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2.</w:t>
      </w:r>
    </w:p>
    <w:p w:rsidR="000C3DF9" w:rsidRPr="000C3DF9" w:rsidRDefault="000C3DF9" w:rsidP="000C3DF9">
      <w:pPr>
        <w:pStyle w:val="TextoNormalSangraFrancesa"/>
        <w:rPr>
          <w:rStyle w:val="TextoNormalCaracter"/>
        </w:rPr>
      </w:pPr>
      <w:bookmarkStart w:id="1490" w:name="DESCRIPTORALFABETICO332"/>
      <w:r w:rsidRPr="000C3DF9">
        <w:rPr>
          <w:rStyle w:val="TextoNormalNegritaCaracter"/>
        </w:rPr>
        <w:t>Principio de proporcionalidad</w:t>
      </w:r>
      <w:bookmarkEnd w:id="1490"/>
      <w:r w:rsidRPr="000C3DF9">
        <w:rPr>
          <w:rStyle w:val="TextoNormalCaracter"/>
        </w:rPr>
        <w:t xml:space="preserve">, Sentencia </w:t>
      </w:r>
      <w:hyperlink w:anchor="SENTENCIA_2002_82" w:history="1">
        <w:r w:rsidRPr="000C3DF9">
          <w:rPr>
            <w:rStyle w:val="TextoNormalCaracter"/>
          </w:rPr>
          <w:t>82/2002</w:t>
        </w:r>
      </w:hyperlink>
      <w:r w:rsidRPr="000C3DF9">
        <w:rPr>
          <w:rStyle w:val="TextoNormalCaracter"/>
        </w:rPr>
        <w:t>, f. 4.</w:t>
      </w:r>
    </w:p>
    <w:p w:rsidR="000C3DF9" w:rsidRPr="000C3DF9" w:rsidRDefault="000C3DF9" w:rsidP="000C3DF9">
      <w:pPr>
        <w:pStyle w:val="TextoNormalSangraFrancesa"/>
        <w:rPr>
          <w:rStyle w:val="TextoNormalCaracter"/>
        </w:rPr>
      </w:pPr>
      <w:bookmarkStart w:id="1491" w:name="DESCRIPTORALFABETICO334"/>
      <w:r w:rsidRPr="000C3DF9">
        <w:rPr>
          <w:rStyle w:val="TextoNormalNegritaCaracter"/>
        </w:rPr>
        <w:t>Principio de seguridad jurídica</w:t>
      </w:r>
      <w:bookmarkEnd w:id="1491"/>
      <w:r w:rsidRPr="000C3DF9">
        <w:rPr>
          <w:rStyle w:val="TextoNormalCaracter"/>
        </w:rPr>
        <w:t xml:space="preserve">, Sentencias </w:t>
      </w:r>
      <w:hyperlink w:anchor="SENTENCIA_2002_3" w:history="1">
        <w:r w:rsidRPr="000C3DF9">
          <w:rPr>
            <w:rStyle w:val="TextoNormalCaracter"/>
          </w:rPr>
          <w:t>3/2002</w:t>
        </w:r>
      </w:hyperlink>
      <w:r w:rsidRPr="000C3DF9">
        <w:rPr>
          <w:rStyle w:val="TextoNormalCaracter"/>
        </w:rPr>
        <w:t xml:space="preserve">, f. 2; </w:t>
      </w:r>
      <w:hyperlink w:anchor="SENTENCIA_2002_54" w:history="1">
        <w:r w:rsidRPr="000C3DF9">
          <w:rPr>
            <w:rStyle w:val="TextoNormalCaracter"/>
          </w:rPr>
          <w:t>54/2002</w:t>
        </w:r>
      </w:hyperlink>
      <w:r w:rsidRPr="000C3DF9">
        <w:rPr>
          <w:rStyle w:val="TextoNormalCaracter"/>
        </w:rPr>
        <w:t xml:space="preserve">, f. 9; </w:t>
      </w:r>
      <w:hyperlink w:anchor="SENTENCIA_2002_67" w:history="1">
        <w:r w:rsidRPr="000C3DF9">
          <w:rPr>
            <w:rStyle w:val="TextoNormalCaracter"/>
          </w:rPr>
          <w:t>67/2002</w:t>
        </w:r>
      </w:hyperlink>
      <w:r w:rsidRPr="000C3DF9">
        <w:rPr>
          <w:rStyle w:val="TextoNormalCaracter"/>
        </w:rPr>
        <w:t xml:space="preserve">, f. 5; </w:t>
      </w:r>
      <w:hyperlink w:anchor="SENTENCIA_2002_80" w:history="1">
        <w:r w:rsidRPr="000C3DF9">
          <w:rPr>
            <w:rStyle w:val="TextoNormalCaracter"/>
          </w:rPr>
          <w:t>80/2002</w:t>
        </w:r>
      </w:hyperlink>
      <w:r w:rsidRPr="000C3DF9">
        <w:rPr>
          <w:rStyle w:val="TextoNormalCaracter"/>
        </w:rPr>
        <w:t xml:space="preserve">, f. 6; </w:t>
      </w:r>
      <w:hyperlink w:anchor="SENTENCIA_2002_96" w:history="1">
        <w:r w:rsidRPr="000C3DF9">
          <w:rPr>
            <w:rStyle w:val="TextoNormalCaracter"/>
          </w:rPr>
          <w:t>96/2002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96" w:history="1">
        <w:r w:rsidRPr="000C3DF9">
          <w:rPr>
            <w:rStyle w:val="TextoNormalCaracter"/>
          </w:rPr>
          <w:t>96/2002</w:t>
        </w:r>
      </w:hyperlink>
      <w:r w:rsidRPr="000C3DF9">
        <w:rPr>
          <w:rStyle w:val="TextoNormalCaracter"/>
        </w:rPr>
        <w:t>, f. 5.</w:t>
      </w:r>
    </w:p>
    <w:p w:rsidR="000C3DF9" w:rsidRPr="000C3DF9" w:rsidRDefault="000C3DF9" w:rsidP="000C3DF9">
      <w:pPr>
        <w:pStyle w:val="TextoNormalSangraFrancesa"/>
        <w:rPr>
          <w:rStyle w:val="TextoNormalCaracter"/>
        </w:rPr>
      </w:pPr>
      <w:bookmarkStart w:id="1492" w:name="DESCRIPTORALFABETICO327"/>
      <w:r w:rsidRPr="000C3DF9">
        <w:rPr>
          <w:rStyle w:val="TextoNormalNegritaCaracter"/>
        </w:rPr>
        <w:t>Principio de taxatividad</w:t>
      </w:r>
      <w:bookmarkEnd w:id="1492"/>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Principio favor actionis</w:t>
      </w:r>
      <w:r>
        <w:t xml:space="preserve"> véase </w:t>
      </w:r>
      <w:hyperlink w:anchor="DESCRIPTORALFABETICO633" w:history="1">
        <w:r w:rsidRPr="000C3DF9">
          <w:rPr>
            <w:rStyle w:val="TextoNormalNegritaCaracter"/>
          </w:rPr>
          <w:t xml:space="preserve">Principio </w:t>
        </w:r>
        <w:r w:rsidRPr="000C3DF9">
          <w:rPr>
            <w:rStyle w:val="TextoNormalNegritaCaracter"/>
            <w:i/>
          </w:rPr>
          <w:t>pro actione</w:t>
        </w:r>
      </w:hyperlink>
    </w:p>
    <w:p w:rsidR="000C3DF9" w:rsidRPr="000C3DF9" w:rsidRDefault="000C3DF9" w:rsidP="000C3DF9">
      <w:pPr>
        <w:pStyle w:val="TextoNormalSangraFrancesa"/>
        <w:rPr>
          <w:rStyle w:val="TextoNormalCaracter"/>
        </w:rPr>
      </w:pPr>
      <w:bookmarkStart w:id="1493" w:name="DESCRIPTORALFABETICO328"/>
      <w:r w:rsidRPr="000C3DF9">
        <w:rPr>
          <w:rStyle w:val="TextoNormalNegritaCaracter"/>
        </w:rPr>
        <w:t xml:space="preserve">Principio </w:t>
      </w:r>
      <w:r w:rsidRPr="000C3DF9">
        <w:rPr>
          <w:rStyle w:val="TextoNormalNegritaCaracter"/>
          <w:i/>
        </w:rPr>
        <w:t>non bis in idem</w:t>
      </w:r>
      <w:bookmarkEnd w:id="1493"/>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Concepto, </w:t>
      </w:r>
      <w:r w:rsidRPr="000C3DF9">
        <w:rPr>
          <w:rStyle w:val="TextoNormalCaracter"/>
        </w:rPr>
        <w:t xml:space="preserve">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Caracter"/>
        </w:rPr>
      </w:pPr>
      <w:bookmarkStart w:id="1494" w:name="DESCRIPTORALFABETICO633"/>
      <w:r w:rsidRPr="000C3DF9">
        <w:rPr>
          <w:rStyle w:val="TextoNormalNegritaCaracter"/>
        </w:rPr>
        <w:t xml:space="preserve">Principio </w:t>
      </w:r>
      <w:r w:rsidRPr="000C3DF9">
        <w:rPr>
          <w:rStyle w:val="TextoNormalNegritaCaracter"/>
          <w:i/>
        </w:rPr>
        <w:t>pro actione</w:t>
      </w:r>
      <w:bookmarkEnd w:id="1494"/>
      <w:r w:rsidRPr="000C3DF9">
        <w:rPr>
          <w:rStyle w:val="TextoNormalCaracter"/>
        </w:rPr>
        <w:t xml:space="preserve">, Sentencias </w:t>
      </w:r>
      <w:hyperlink w:anchor="SENTENCIA_2002_12" w:history="1">
        <w:r w:rsidRPr="000C3DF9">
          <w:rPr>
            <w:rStyle w:val="TextoNormalCaracter"/>
          </w:rPr>
          <w:t>12/2002</w:t>
        </w:r>
      </w:hyperlink>
      <w:r w:rsidRPr="000C3DF9">
        <w:rPr>
          <w:rStyle w:val="TextoNormalCaracter"/>
        </w:rPr>
        <w:t xml:space="preserve">, f. 2; </w:t>
      </w:r>
      <w:hyperlink w:anchor="SENTENCIA_2002_58" w:history="1">
        <w:r w:rsidRPr="000C3DF9">
          <w:rPr>
            <w:rStyle w:val="TextoNormalCaracter"/>
          </w:rPr>
          <w:t>58/2002</w:t>
        </w:r>
      </w:hyperlink>
      <w:r w:rsidRPr="000C3DF9">
        <w:rPr>
          <w:rStyle w:val="TextoNormalCaracter"/>
        </w:rPr>
        <w:t xml:space="preserve">, f. 2; </w:t>
      </w:r>
      <w:hyperlink w:anchor="SENTENCIA_2002_60" w:history="1">
        <w:r w:rsidRPr="000C3DF9">
          <w:rPr>
            <w:rStyle w:val="TextoNormalCaracter"/>
          </w:rPr>
          <w:t>60/2002</w:t>
        </w:r>
      </w:hyperlink>
      <w:r w:rsidRPr="000C3DF9">
        <w:rPr>
          <w:rStyle w:val="TextoNormalCaracter"/>
        </w:rPr>
        <w:t xml:space="preserve">, f. 3; </w:t>
      </w:r>
      <w:hyperlink w:anchor="SENTENCIA_2002_72" w:history="1">
        <w:r w:rsidRPr="000C3DF9">
          <w:rPr>
            <w:rStyle w:val="TextoNormalCaracter"/>
          </w:rPr>
          <w:t>72/2002</w:t>
        </w:r>
      </w:hyperlink>
      <w:r w:rsidRPr="000C3DF9">
        <w:rPr>
          <w:rStyle w:val="TextoNormalCaracter"/>
        </w:rPr>
        <w:t xml:space="preserve">, f. 2; </w:t>
      </w:r>
      <w:hyperlink w:anchor="SENTENCIA_2002_91" w:history="1">
        <w:r w:rsidRPr="000C3DF9">
          <w:rPr>
            <w:rStyle w:val="TextoNormalCaracter"/>
          </w:rPr>
          <w:t>91/2002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Prioridad de la jurisdicción penal</w:t>
      </w:r>
      <w:r>
        <w:t xml:space="preserve"> véase </w:t>
      </w:r>
      <w:hyperlink w:anchor="DESCRIPTORALFABETICO523" w:history="1">
        <w:r w:rsidRPr="000C3DF9">
          <w:rPr>
            <w:rStyle w:val="TextoNormalNegritaCaracter"/>
          </w:rPr>
          <w:t>Preferencia de la jurisdicción penal</w:t>
        </w:r>
      </w:hyperlink>
    </w:p>
    <w:p w:rsidR="000C3DF9" w:rsidRPr="000C3DF9" w:rsidRDefault="000C3DF9" w:rsidP="000C3DF9">
      <w:pPr>
        <w:pStyle w:val="TextoNormalSangraFrancesa"/>
        <w:rPr>
          <w:rStyle w:val="TextoNormalCaracter"/>
        </w:rPr>
      </w:pPr>
      <w:bookmarkStart w:id="1495" w:name="DESCRIPTORALFABETICO466"/>
      <w:r w:rsidRPr="000C3DF9">
        <w:rPr>
          <w:rStyle w:val="TextoNormalNegritaCaracter"/>
        </w:rPr>
        <w:t>Prisión de un año</w:t>
      </w:r>
      <w:bookmarkEnd w:id="1495"/>
      <w:r w:rsidRPr="000C3DF9">
        <w:rPr>
          <w:rStyle w:val="TextoNormalCaracter"/>
        </w:rPr>
        <w:t xml:space="preserve">, Auto </w:t>
      </w:r>
      <w:hyperlink w:anchor="AUTO_2002_41" w:history="1">
        <w:r w:rsidRPr="000C3DF9">
          <w:rPr>
            <w:rStyle w:val="TextoNormalCaracter"/>
          </w:rPr>
          <w:t>41/2002</w:t>
        </w:r>
      </w:hyperlink>
      <w:r w:rsidRPr="000C3DF9">
        <w:rPr>
          <w:rStyle w:val="TextoNormalCaracter"/>
        </w:rPr>
        <w:t>.</w:t>
      </w:r>
    </w:p>
    <w:p w:rsidR="000C3DF9" w:rsidRPr="000C3DF9" w:rsidRDefault="000C3DF9" w:rsidP="000C3DF9">
      <w:pPr>
        <w:pStyle w:val="TextoNormalSangraFrancesa"/>
        <w:rPr>
          <w:rStyle w:val="TextoNormalCaracter"/>
        </w:rPr>
      </w:pPr>
      <w:bookmarkStart w:id="1496" w:name="DESCRIPTORALFABETICO467"/>
      <w:r w:rsidRPr="000C3DF9">
        <w:rPr>
          <w:rStyle w:val="TextoNormalNegritaCaracter"/>
        </w:rPr>
        <w:t>Prisión de tres años</w:t>
      </w:r>
      <w:bookmarkEnd w:id="1496"/>
      <w:r w:rsidRPr="000C3DF9">
        <w:rPr>
          <w:rStyle w:val="TextoNormalCaracter"/>
        </w:rPr>
        <w:t xml:space="preserve">, Auto </w:t>
      </w:r>
      <w:hyperlink w:anchor="AUTO_2002_65" w:history="1">
        <w:r w:rsidRPr="000C3DF9">
          <w:rPr>
            <w:rStyle w:val="TextoNormalCaracter"/>
          </w:rPr>
          <w:t>65/2002</w:t>
        </w:r>
      </w:hyperlink>
      <w:r w:rsidRPr="000C3DF9">
        <w:rPr>
          <w:rStyle w:val="TextoNormalCaracter"/>
        </w:rPr>
        <w:t>.</w:t>
      </w:r>
    </w:p>
    <w:p w:rsidR="000C3DF9" w:rsidRPr="000C3DF9" w:rsidRDefault="000C3DF9" w:rsidP="000C3DF9">
      <w:pPr>
        <w:pStyle w:val="TextoNormalSangraFrancesa"/>
        <w:rPr>
          <w:rStyle w:val="TextoNormalCaracter"/>
        </w:rPr>
      </w:pPr>
      <w:bookmarkStart w:id="1497" w:name="DESCRIPTORALFABETICO468"/>
      <w:r w:rsidRPr="000C3DF9">
        <w:rPr>
          <w:rStyle w:val="TextoNormalNegritaCaracter"/>
        </w:rPr>
        <w:t>Prisión de cinco años</w:t>
      </w:r>
      <w:bookmarkEnd w:id="1497"/>
      <w:r w:rsidRPr="000C3DF9">
        <w:rPr>
          <w:rStyle w:val="TextoNormalCaracter"/>
        </w:rPr>
        <w:t xml:space="preserve">, Auto </w:t>
      </w:r>
      <w:hyperlink w:anchor="AUTO_2002_22" w:history="1">
        <w:r w:rsidRPr="000C3DF9">
          <w:rPr>
            <w:rStyle w:val="TextoNormalCaracter"/>
          </w:rPr>
          <w:t>22/2002</w:t>
        </w:r>
      </w:hyperlink>
      <w:r w:rsidRPr="000C3DF9">
        <w:rPr>
          <w:rStyle w:val="TextoNormalCaracter"/>
        </w:rPr>
        <w:t>.</w:t>
      </w:r>
    </w:p>
    <w:p w:rsidR="000C3DF9" w:rsidRPr="000C3DF9" w:rsidRDefault="000C3DF9" w:rsidP="000C3DF9">
      <w:pPr>
        <w:pStyle w:val="TextoNormalSangraFrancesa"/>
        <w:rPr>
          <w:rStyle w:val="TextoNormalCaracter"/>
        </w:rPr>
      </w:pPr>
      <w:bookmarkStart w:id="1498" w:name="DESCRIPTORALFABETICO469"/>
      <w:r w:rsidRPr="000C3DF9">
        <w:rPr>
          <w:rStyle w:val="TextoNormalNegritaCaracter"/>
        </w:rPr>
        <w:t>Prisión de siete años</w:t>
      </w:r>
      <w:bookmarkEnd w:id="1498"/>
      <w:r w:rsidRPr="000C3DF9">
        <w:rPr>
          <w:rStyle w:val="TextoNormalCaracter"/>
        </w:rPr>
        <w:t xml:space="preserve">, Auto </w:t>
      </w:r>
      <w:hyperlink w:anchor="AUTO_2002_69" w:history="1">
        <w:r w:rsidRPr="000C3DF9">
          <w:rPr>
            <w:rStyle w:val="TextoNormalCaracter"/>
          </w:rPr>
          <w:t>69/2002</w:t>
        </w:r>
      </w:hyperlink>
      <w:r w:rsidRPr="000C3DF9">
        <w:rPr>
          <w:rStyle w:val="TextoNormalCaracter"/>
        </w:rPr>
        <w:t>.</w:t>
      </w:r>
    </w:p>
    <w:p w:rsidR="000C3DF9" w:rsidRPr="000C3DF9" w:rsidRDefault="000C3DF9" w:rsidP="000C3DF9">
      <w:pPr>
        <w:pStyle w:val="TextoNormalSangraFrancesa"/>
        <w:rPr>
          <w:rStyle w:val="TextoNormalCaracter"/>
        </w:rPr>
      </w:pPr>
      <w:bookmarkStart w:id="1499" w:name="DESCRIPTORALFABETICO470"/>
      <w:r w:rsidRPr="000C3DF9">
        <w:rPr>
          <w:rStyle w:val="TextoNormalNegritaCaracter"/>
        </w:rPr>
        <w:t>Prisión de nueve años</w:t>
      </w:r>
      <w:bookmarkEnd w:id="1499"/>
      <w:r w:rsidRPr="000C3DF9">
        <w:rPr>
          <w:rStyle w:val="TextoNormalCaracter"/>
        </w:rPr>
        <w:t xml:space="preserve">, Auto </w:t>
      </w:r>
      <w:hyperlink w:anchor="AUTO_2002_25" w:history="1">
        <w:r w:rsidRPr="000C3DF9">
          <w:rPr>
            <w:rStyle w:val="TextoNormalCaracter"/>
          </w:rPr>
          <w:t>25/2002</w:t>
        </w:r>
      </w:hyperlink>
      <w:r w:rsidRPr="000C3DF9">
        <w:rPr>
          <w:rStyle w:val="TextoNormalCaracter"/>
        </w:rPr>
        <w:t>.</w:t>
      </w:r>
    </w:p>
    <w:p w:rsidR="000C3DF9" w:rsidRPr="000C3DF9" w:rsidRDefault="000C3DF9" w:rsidP="000C3DF9">
      <w:pPr>
        <w:pStyle w:val="TextoNormalSangraFrancesa"/>
        <w:rPr>
          <w:rStyle w:val="TextoNormalCaracter"/>
        </w:rPr>
      </w:pPr>
      <w:bookmarkStart w:id="1500" w:name="DESCRIPTORALFABETICO471"/>
      <w:r w:rsidRPr="000C3DF9">
        <w:rPr>
          <w:rStyle w:val="TextoNormalNegritaCaracter"/>
        </w:rPr>
        <w:t>Prisión de doce años</w:t>
      </w:r>
      <w:bookmarkEnd w:id="1500"/>
      <w:r w:rsidRPr="000C3DF9">
        <w:rPr>
          <w:rStyle w:val="TextoNormalCaracter"/>
        </w:rPr>
        <w:t xml:space="preserve">, Auto </w:t>
      </w:r>
      <w:hyperlink w:anchor="AUTO_2002_37" w:history="1">
        <w:r w:rsidRPr="000C3DF9">
          <w:rPr>
            <w:rStyle w:val="TextoNormalCaracter"/>
          </w:rPr>
          <w:t>37/2002</w:t>
        </w:r>
      </w:hyperlink>
      <w:r w:rsidRPr="000C3DF9">
        <w:rPr>
          <w:rStyle w:val="TextoNormalCaracter"/>
        </w:rPr>
        <w:t>.</w:t>
      </w:r>
    </w:p>
    <w:p w:rsidR="000C3DF9" w:rsidRPr="000C3DF9" w:rsidRDefault="000C3DF9" w:rsidP="000C3DF9">
      <w:pPr>
        <w:pStyle w:val="TextoNormalSangraFrancesa"/>
        <w:rPr>
          <w:rStyle w:val="TextoNormalCaracter"/>
        </w:rPr>
      </w:pPr>
      <w:bookmarkStart w:id="1501" w:name="DESCRIPTORALFABETICO472"/>
      <w:r w:rsidRPr="000C3DF9">
        <w:rPr>
          <w:rStyle w:val="TextoNormalNegritaCaracter"/>
        </w:rPr>
        <w:t>Prisión de diecisiete años</w:t>
      </w:r>
      <w:bookmarkEnd w:id="1501"/>
      <w:r w:rsidRPr="000C3DF9">
        <w:rPr>
          <w:rStyle w:val="TextoNormalCaracter"/>
        </w:rPr>
        <w:t xml:space="preserve">, Auto </w:t>
      </w:r>
      <w:hyperlink w:anchor="AUTO_2002_63" w:history="1">
        <w:r w:rsidRPr="000C3DF9">
          <w:rPr>
            <w:rStyle w:val="TextoNormalCaracter"/>
          </w:rPr>
          <w:t>63/2002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Prisión preventiva</w:t>
      </w:r>
      <w:r>
        <w:t xml:space="preserve"> véase </w:t>
      </w:r>
      <w:hyperlink w:anchor="DESCRIPTORALFABETICO699" w:history="1">
        <w:r w:rsidRPr="000C3DF9">
          <w:rPr>
            <w:rStyle w:val="TextoNormalNegritaCaracter"/>
          </w:rPr>
          <w:t>Prisión provisional</w:t>
        </w:r>
      </w:hyperlink>
    </w:p>
    <w:p w:rsidR="000C3DF9" w:rsidRPr="000C3DF9" w:rsidRDefault="000C3DF9" w:rsidP="000C3DF9">
      <w:pPr>
        <w:pStyle w:val="TextoNormalSangraFrancesa"/>
        <w:rPr>
          <w:rStyle w:val="TextoNormalCaracter"/>
        </w:rPr>
      </w:pPr>
      <w:bookmarkStart w:id="1502" w:name="DESCRIPTORALFABETICO699"/>
      <w:r w:rsidRPr="000C3DF9">
        <w:rPr>
          <w:rStyle w:val="TextoNormalNegritaCaracter"/>
        </w:rPr>
        <w:t>Prisión provisional</w:t>
      </w:r>
      <w:bookmarkEnd w:id="1502"/>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Sentencias </w:t>
      </w:r>
      <w:hyperlink w:anchor="SENTENCIA_2002_8" w:history="1">
        <w:r w:rsidRPr="000C3DF9">
          <w:rPr>
            <w:rStyle w:val="TextoNormalCaracter"/>
          </w:rPr>
          <w:t>8/2002</w:t>
        </w:r>
      </w:hyperlink>
      <w:r w:rsidRPr="000C3DF9">
        <w:rPr>
          <w:rStyle w:val="TextoNormalCaracter"/>
        </w:rPr>
        <w:t xml:space="preserve">, f. 4; </w:t>
      </w:r>
      <w:hyperlink w:anchor="SENTENCIA_2002_23" w:history="1">
        <w:r w:rsidRPr="000C3DF9">
          <w:rPr>
            <w:rStyle w:val="TextoNormalCaracter"/>
          </w:rPr>
          <w:t>23/2002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03" w:name="DESCRIPTORALFABETICO704"/>
      <w:r w:rsidRPr="000C3DF9">
        <w:rPr>
          <w:rStyle w:val="TextoNormalNegritaCaracter"/>
        </w:rPr>
        <w:t>Prisión provisional confirmada en apelación</w:t>
      </w:r>
      <w:bookmarkEnd w:id="1503"/>
      <w:r w:rsidRPr="000C3DF9">
        <w:rPr>
          <w:rStyle w:val="TextoNormalCaracter"/>
        </w:rPr>
        <w:t xml:space="preserve">, Auto </w:t>
      </w:r>
      <w:hyperlink w:anchor="AUTO_2002_68" w:history="1">
        <w:r w:rsidRPr="000C3DF9">
          <w:rPr>
            <w:rStyle w:val="TextoNormalCaracter"/>
          </w:rPr>
          <w:t>68/2002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Prisión provisional motivada</w:t>
      </w:r>
      <w:r>
        <w:t xml:space="preserve"> véase </w:t>
      </w:r>
      <w:hyperlink w:anchor="DESCRIPTORALFABETICO701" w:history="1">
        <w:r w:rsidRPr="000C3DF9">
          <w:rPr>
            <w:rStyle w:val="TextoNormalNegritaCaracter"/>
          </w:rPr>
          <w:t>Motivación de la prisión provisional</w:t>
        </w:r>
      </w:hyperlink>
    </w:p>
    <w:p w:rsidR="000C3DF9" w:rsidRPr="000C3DF9" w:rsidRDefault="000C3DF9" w:rsidP="000C3DF9">
      <w:pPr>
        <w:pStyle w:val="TextoNormalSangraFrancesa"/>
        <w:rPr>
          <w:rStyle w:val="TextoNormalCaracter"/>
        </w:rPr>
      </w:pPr>
      <w:bookmarkStart w:id="1504" w:name="DESCRIPTORALFABETICO73"/>
      <w:r w:rsidRPr="000C3DF9">
        <w:rPr>
          <w:rStyle w:val="TextoNormalNegritaCaracter"/>
        </w:rPr>
        <w:t>Privación de libertad</w:t>
      </w:r>
      <w:bookmarkEnd w:id="1504"/>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13.</w:t>
      </w:r>
    </w:p>
    <w:p w:rsidR="000C3DF9" w:rsidRPr="000C3DF9" w:rsidRDefault="000C3DF9" w:rsidP="000C3DF9">
      <w:pPr>
        <w:pStyle w:val="TextoNormalSangraFrancesa"/>
        <w:rPr>
          <w:rStyle w:val="TextoNormalCaracter"/>
        </w:rPr>
      </w:pPr>
      <w:bookmarkStart w:id="1505" w:name="DESCRIPTORALFABETICO74"/>
      <w:r w:rsidRPr="000C3DF9">
        <w:rPr>
          <w:rStyle w:val="TextoNormalNegritaCaracter"/>
        </w:rPr>
        <w:t>Privación de libertad que no es detención</w:t>
      </w:r>
      <w:bookmarkEnd w:id="1505"/>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6.</w:t>
      </w:r>
    </w:p>
    <w:p w:rsidR="000C3DF9" w:rsidRPr="000C3DF9" w:rsidRDefault="000C3DF9" w:rsidP="000C3DF9">
      <w:pPr>
        <w:pStyle w:val="TextoNormalSangraFrancesa"/>
        <w:rPr>
          <w:rStyle w:val="TextoNormalCaracter"/>
        </w:rPr>
      </w:pPr>
      <w:bookmarkStart w:id="1506" w:name="DESCRIPTORALFABETICO637"/>
      <w:r w:rsidRPr="000C3DF9">
        <w:rPr>
          <w:rStyle w:val="TextoNormalNegritaCaracter"/>
        </w:rPr>
        <w:lastRenderedPageBreak/>
        <w:t>Privación de recurso de apelación por indicación errónea de recursos</w:t>
      </w:r>
      <w:bookmarkEnd w:id="1506"/>
      <w:r w:rsidRPr="000C3DF9">
        <w:rPr>
          <w:rStyle w:val="TextoNormalCaracter"/>
        </w:rPr>
        <w:t xml:space="preserve">, Sentencia </w:t>
      </w:r>
      <w:hyperlink w:anchor="SENTENCIA_2002_65" w:history="1">
        <w:r w:rsidRPr="000C3DF9">
          <w:rPr>
            <w:rStyle w:val="TextoNormalCaracter"/>
          </w:rPr>
          <w:t>65/2002</w:t>
        </w:r>
      </w:hyperlink>
      <w:r w:rsidRPr="000C3DF9">
        <w:rPr>
          <w:rStyle w:val="TextoNormalCaracter"/>
        </w:rPr>
        <w:t>, ff. 4 a 6.</w:t>
      </w:r>
    </w:p>
    <w:p w:rsidR="000C3DF9" w:rsidRPr="000C3DF9" w:rsidRDefault="000C3DF9" w:rsidP="000C3DF9">
      <w:pPr>
        <w:pStyle w:val="TextoNormalSangraFrancesa"/>
        <w:rPr>
          <w:rStyle w:val="TextoNormalNegritaCaracter"/>
        </w:rPr>
      </w:pPr>
      <w:r w:rsidRPr="000C3DF9">
        <w:rPr>
          <w:rStyle w:val="TextoNormalCursivaCaracter"/>
        </w:rPr>
        <w:t>Privación del permiso de conducir</w:t>
      </w:r>
      <w:r>
        <w:t xml:space="preserve"> véase </w:t>
      </w:r>
      <w:hyperlink w:anchor="DESCRIPTORALFABETICO368" w:history="1">
        <w:r w:rsidRPr="000C3DF9">
          <w:rPr>
            <w:rStyle w:val="TextoNormalNegritaCaracter"/>
          </w:rPr>
          <w:t>Suspensión de permiso de conducir</w:t>
        </w:r>
      </w:hyperlink>
    </w:p>
    <w:p w:rsidR="000C3DF9" w:rsidRPr="000C3DF9" w:rsidRDefault="000C3DF9" w:rsidP="000C3DF9">
      <w:pPr>
        <w:pStyle w:val="TextoNormalSangraFrancesa"/>
        <w:rPr>
          <w:rStyle w:val="TextoNormalCaracter"/>
        </w:rPr>
      </w:pPr>
      <w:bookmarkStart w:id="1507" w:name="DESCRIPTORALFABETICO487"/>
      <w:r w:rsidRPr="000C3DF9">
        <w:rPr>
          <w:rStyle w:val="TextoNormalNegritaCaracter"/>
        </w:rPr>
        <w:t>Procedimiento administrativo</w:t>
      </w:r>
      <w:bookmarkEnd w:id="1507"/>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 11.</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Caracter"/>
        </w:rPr>
      </w:pPr>
      <w:bookmarkStart w:id="1508" w:name="DESCRIPTORALFABETICO366"/>
      <w:r w:rsidRPr="000C3DF9">
        <w:rPr>
          <w:rStyle w:val="TextoNormalNegritaCaracter"/>
        </w:rPr>
        <w:t>Procedimiento administrativo sancionador</w:t>
      </w:r>
      <w:bookmarkEnd w:id="1508"/>
      <w:r w:rsidRPr="000C3DF9">
        <w:rPr>
          <w:rStyle w:val="TextoNormalCaracter"/>
        </w:rPr>
        <w:t xml:space="preserve">, 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Procedimiento de cuenta jurada</w:t>
      </w:r>
      <w:r>
        <w:t xml:space="preserve"> véase </w:t>
      </w:r>
      <w:hyperlink w:anchor="DESCRIPTORALFABETICO629" w:history="1">
        <w:r w:rsidRPr="000C3DF9">
          <w:rPr>
            <w:rStyle w:val="TextoNormalNegritaCaracter"/>
          </w:rPr>
          <w:t>Jura de cuentas</w:t>
        </w:r>
      </w:hyperlink>
    </w:p>
    <w:p w:rsidR="000C3DF9" w:rsidRPr="000C3DF9" w:rsidRDefault="000C3DF9" w:rsidP="000C3DF9">
      <w:pPr>
        <w:pStyle w:val="TextoNormalSangraFrancesa"/>
        <w:rPr>
          <w:rStyle w:val="TextoNormalCaracter"/>
        </w:rPr>
      </w:pPr>
      <w:bookmarkStart w:id="1509" w:name="DESCRIPTORALFABETICO524"/>
      <w:r w:rsidRPr="000C3DF9">
        <w:rPr>
          <w:rStyle w:val="TextoNormalNegritaCaracter"/>
        </w:rPr>
        <w:t>Procedimiento de protección judicial de derechos fundamentales</w:t>
      </w:r>
      <w:bookmarkEnd w:id="1509"/>
      <w:r w:rsidRPr="000C3DF9">
        <w:rPr>
          <w:rStyle w:val="TextoNormalCaracter"/>
        </w:rPr>
        <w:t xml:space="preserve">, Sentencias </w:t>
      </w:r>
      <w:hyperlink w:anchor="SENTENCIA_2002_72" w:history="1">
        <w:r w:rsidRPr="000C3DF9">
          <w:rPr>
            <w:rStyle w:val="TextoNormalCaracter"/>
          </w:rPr>
          <w:t>72/2002</w:t>
        </w:r>
      </w:hyperlink>
      <w:r w:rsidRPr="000C3DF9">
        <w:rPr>
          <w:rStyle w:val="TextoNormalCaracter"/>
        </w:rPr>
        <w:t xml:space="preserve">, f. 3; </w:t>
      </w:r>
      <w:hyperlink w:anchor="SENTENCIA_2002_77" w:history="1">
        <w:r w:rsidRPr="000C3DF9">
          <w:rPr>
            <w:rStyle w:val="TextoNormalCaracter"/>
          </w:rPr>
          <w:t>77/2002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10" w:name="DESCRIPTORALFABETICO489"/>
      <w:r w:rsidRPr="000C3DF9">
        <w:rPr>
          <w:rStyle w:val="TextoNormalNegritaCaracter"/>
        </w:rPr>
        <w:t>Procedimiento disciplinario penitenciario</w:t>
      </w:r>
      <w:bookmarkEnd w:id="1510"/>
      <w:r w:rsidRPr="000C3DF9">
        <w:rPr>
          <w:rStyle w:val="TextoNormalCaracter"/>
        </w:rPr>
        <w:t xml:space="preserve">, Auto </w:t>
      </w:r>
      <w:hyperlink w:anchor="AUTO_2002_50" w:history="1">
        <w:r w:rsidRPr="000C3DF9">
          <w:rPr>
            <w:rStyle w:val="TextoNormalCaracter"/>
          </w:rPr>
          <w:t>50/2002</w:t>
        </w:r>
      </w:hyperlink>
      <w:r w:rsidRPr="000C3DF9">
        <w:rPr>
          <w:rStyle w:val="TextoNormalCaracter"/>
        </w:rPr>
        <w:t>.</w:t>
      </w:r>
    </w:p>
    <w:p w:rsidR="000C3DF9" w:rsidRPr="000C3DF9" w:rsidRDefault="000C3DF9" w:rsidP="000C3DF9">
      <w:pPr>
        <w:pStyle w:val="TextoNormalSangraFrancesa"/>
        <w:rPr>
          <w:rStyle w:val="TextoNormalCaracter"/>
        </w:rPr>
      </w:pPr>
      <w:bookmarkStart w:id="1511" w:name="DESCRIPTORALFABETICO45"/>
      <w:r w:rsidRPr="000C3DF9">
        <w:rPr>
          <w:rStyle w:val="TextoNormalNegritaCaracter"/>
        </w:rPr>
        <w:t>Procedimiento electoral</w:t>
      </w:r>
      <w:bookmarkEnd w:id="1511"/>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ff. 2, 3, 5, 6, 7.</w:t>
      </w:r>
    </w:p>
    <w:p w:rsidR="000C3DF9" w:rsidRPr="000C3DF9" w:rsidRDefault="000C3DF9" w:rsidP="000C3DF9">
      <w:pPr>
        <w:pStyle w:val="TextoNormalSangraFrancesa"/>
        <w:rPr>
          <w:rStyle w:val="TextoNormalCaracter"/>
        </w:rPr>
      </w:pPr>
      <w:bookmarkStart w:id="1512" w:name="DESCRIPTORALFABETICO302"/>
      <w:r w:rsidRPr="000C3DF9">
        <w:rPr>
          <w:rStyle w:val="TextoNormalNegritaCaracter"/>
        </w:rPr>
        <w:t>Procedimiento legislativo</w:t>
      </w:r>
      <w:bookmarkEnd w:id="1512"/>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ff. 2, 6.</w:t>
      </w:r>
    </w:p>
    <w:p w:rsidR="000C3DF9" w:rsidRPr="000C3DF9" w:rsidRDefault="000C3DF9" w:rsidP="000C3DF9">
      <w:pPr>
        <w:pStyle w:val="TextoNormalSangraFrancesa"/>
        <w:rPr>
          <w:rStyle w:val="TextoNormalCaracter"/>
        </w:rPr>
      </w:pPr>
      <w:bookmarkStart w:id="1513" w:name="DESCRIPTORALFABETICO613"/>
      <w:r w:rsidRPr="000C3DF9">
        <w:rPr>
          <w:rStyle w:val="TextoNormalNegritaCaracter"/>
        </w:rPr>
        <w:t>Procedimiento para la obtención de justicia gratuita</w:t>
      </w:r>
      <w:bookmarkEnd w:id="1513"/>
      <w:r w:rsidRPr="000C3DF9">
        <w:rPr>
          <w:rStyle w:val="TextoNormalCaracter"/>
        </w:rPr>
        <w:t xml:space="preserve">, Auto </w:t>
      </w:r>
      <w:hyperlink w:anchor="AUTO_2002_55" w:history="1">
        <w:r w:rsidRPr="000C3DF9">
          <w:rPr>
            <w:rStyle w:val="TextoNormalCaracter"/>
          </w:rPr>
          <w:t>55/2002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Procedimiento penitenciario sancionador</w:t>
      </w:r>
      <w:r>
        <w:t xml:space="preserve"> véase </w:t>
      </w:r>
      <w:hyperlink w:anchor="DESCRIPTORALFABETICO489" w:history="1">
        <w:r w:rsidRPr="000C3DF9">
          <w:rPr>
            <w:rStyle w:val="TextoNormalNegritaCaracter"/>
          </w:rPr>
          <w:t>Procedimiento disciplinario penitenciario</w:t>
        </w:r>
      </w:hyperlink>
    </w:p>
    <w:p w:rsidR="000C3DF9" w:rsidRPr="000C3DF9" w:rsidRDefault="000C3DF9" w:rsidP="000C3DF9">
      <w:pPr>
        <w:pStyle w:val="TextoNormalSangraFrancesa"/>
        <w:rPr>
          <w:rStyle w:val="TextoNormalCaracter"/>
        </w:rPr>
      </w:pPr>
      <w:bookmarkStart w:id="1514" w:name="DESCRIPTORALFABETICO707"/>
      <w:r w:rsidRPr="000C3DF9">
        <w:rPr>
          <w:rStyle w:val="TextoNormalNegritaCaracter"/>
        </w:rPr>
        <w:t>Procesamiento</w:t>
      </w:r>
      <w:bookmarkEnd w:id="1514"/>
      <w:r w:rsidRPr="000C3DF9">
        <w:rPr>
          <w:rStyle w:val="TextoNormalCaracter"/>
        </w:rPr>
        <w:t xml:space="preserve">, Auto </w:t>
      </w:r>
      <w:hyperlink w:anchor="AUTO_2002_8" w:history="1">
        <w:r w:rsidRPr="000C3DF9">
          <w:rPr>
            <w:rStyle w:val="TextoNormalCaracter"/>
          </w:rPr>
          <w:t>8/2002</w:t>
        </w:r>
      </w:hyperlink>
      <w:r w:rsidRPr="000C3DF9">
        <w:rPr>
          <w:rStyle w:val="TextoNormalCaracter"/>
        </w:rPr>
        <w:t>.</w:t>
      </w:r>
    </w:p>
    <w:p w:rsidR="000C3DF9" w:rsidRPr="000C3DF9" w:rsidRDefault="000C3DF9" w:rsidP="000C3DF9">
      <w:pPr>
        <w:pStyle w:val="TextoNormalSangraFrancesa"/>
        <w:rPr>
          <w:rStyle w:val="TextoNormalCaracter"/>
        </w:rPr>
      </w:pPr>
      <w:bookmarkStart w:id="1515" w:name="DESCRIPTORALFABETICO663"/>
      <w:r w:rsidRPr="000C3DF9">
        <w:rPr>
          <w:rStyle w:val="TextoNormalNegritaCaracter"/>
        </w:rPr>
        <w:t>Proceso civil</w:t>
      </w:r>
      <w:bookmarkEnd w:id="1515"/>
      <w:r w:rsidRPr="000C3DF9">
        <w:rPr>
          <w:rStyle w:val="TextoNormalCaracter"/>
        </w:rPr>
        <w:t xml:space="preserve">, Sentencias </w:t>
      </w:r>
      <w:hyperlink w:anchor="SENTENCIA_2002_1" w:history="1">
        <w:r w:rsidRPr="000C3DF9">
          <w:rPr>
            <w:rStyle w:val="TextoNormalCaracter"/>
          </w:rPr>
          <w:t>1/2002</w:t>
        </w:r>
      </w:hyperlink>
      <w:r w:rsidRPr="000C3DF9">
        <w:rPr>
          <w:rStyle w:val="TextoNormalCaracter"/>
        </w:rPr>
        <w:t xml:space="preserve">, f. 4; </w:t>
      </w:r>
      <w:hyperlink w:anchor="SENTENCIA_2002_15" w:history="1">
        <w:r w:rsidRPr="000C3DF9">
          <w:rPr>
            <w:rStyle w:val="TextoNormalCaracter"/>
          </w:rPr>
          <w:t>15/2002</w:t>
        </w:r>
      </w:hyperlink>
      <w:r w:rsidRPr="000C3DF9">
        <w:rPr>
          <w:rStyle w:val="TextoNormalCaracter"/>
        </w:rPr>
        <w:t xml:space="preserve">, f. 4; </w:t>
      </w:r>
      <w:hyperlink w:anchor="SENTENCIA_2002_59" w:history="1">
        <w:r w:rsidRPr="000C3DF9">
          <w:rPr>
            <w:rStyle w:val="TextoNormalCaracter"/>
          </w:rPr>
          <w:t>59/2002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16" w:name="DESCRIPTORALFABETICO674"/>
      <w:r w:rsidRPr="000C3DF9">
        <w:rPr>
          <w:rStyle w:val="TextoNormalNegritaCaracter"/>
        </w:rPr>
        <w:t>Proceso contencioso-administrativo</w:t>
      </w:r>
      <w:bookmarkEnd w:id="1516"/>
      <w:r w:rsidRPr="000C3DF9">
        <w:rPr>
          <w:rStyle w:val="TextoNormalCaracter"/>
        </w:rPr>
        <w:t xml:space="preserve">, Sentencias </w:t>
      </w:r>
      <w:hyperlink w:anchor="SENTENCIA_2002_18" w:history="1">
        <w:r w:rsidRPr="000C3DF9">
          <w:rPr>
            <w:rStyle w:val="TextoNormalCaracter"/>
          </w:rPr>
          <w:t>18/2002</w:t>
        </w:r>
      </w:hyperlink>
      <w:r w:rsidRPr="000C3DF9">
        <w:rPr>
          <w:rStyle w:val="TextoNormalCaracter"/>
        </w:rPr>
        <w:t xml:space="preserve">, f. 8; </w:t>
      </w:r>
      <w:hyperlink w:anchor="SENTENCIA_2002_31" w:history="1">
        <w:r w:rsidRPr="000C3DF9">
          <w:rPr>
            <w:rStyle w:val="TextoNormalCaracter"/>
          </w:rPr>
          <w:t>31/2002</w:t>
        </w:r>
      </w:hyperlink>
      <w:r w:rsidRPr="000C3DF9">
        <w:rPr>
          <w:rStyle w:val="TextoNormalCaracter"/>
        </w:rPr>
        <w:t xml:space="preserve">, f. 4; </w:t>
      </w:r>
      <w:hyperlink w:anchor="SENTENCIA_2002_60" w:history="1">
        <w:r w:rsidRPr="000C3DF9">
          <w:rPr>
            <w:rStyle w:val="TextoNormalCaracter"/>
          </w:rPr>
          <w:t>60/2002</w:t>
        </w:r>
      </w:hyperlink>
      <w:r w:rsidRPr="000C3DF9">
        <w:rPr>
          <w:rStyle w:val="TextoNormalCaracter"/>
        </w:rPr>
        <w:t>, f. 5.</w:t>
      </w:r>
    </w:p>
    <w:p w:rsidR="000C3DF9" w:rsidRPr="000C3DF9" w:rsidRDefault="000C3DF9" w:rsidP="000C3DF9">
      <w:pPr>
        <w:pStyle w:val="TextoNormalSangraFrancesa"/>
        <w:rPr>
          <w:rStyle w:val="TextoNormalCaracter"/>
        </w:rPr>
      </w:pPr>
      <w:bookmarkStart w:id="1517" w:name="DESCRIPTORALFABETICO257"/>
      <w:r w:rsidRPr="000C3DF9">
        <w:rPr>
          <w:rStyle w:val="TextoNormalNegritaCaracter"/>
        </w:rPr>
        <w:t>Proceso contencioso-administrativo pendiente</w:t>
      </w:r>
      <w:bookmarkEnd w:id="1517"/>
      <w:r w:rsidRPr="000C3DF9">
        <w:rPr>
          <w:rStyle w:val="TextoNormalCaracter"/>
        </w:rPr>
        <w:t xml:space="preserve">, Sentencia </w:t>
      </w:r>
      <w:hyperlink w:anchor="SENTENCIA_2002_92" w:history="1">
        <w:r w:rsidRPr="000C3DF9">
          <w:rPr>
            <w:rStyle w:val="TextoNormalCaracter"/>
          </w:rPr>
          <w:t>92/2002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18" w:name="DESCRIPTORALFABETICO681"/>
      <w:r w:rsidRPr="000C3DF9">
        <w:rPr>
          <w:rStyle w:val="TextoNormalNegritaCaracter"/>
        </w:rPr>
        <w:t>Proceso laboral</w:t>
      </w:r>
      <w:bookmarkEnd w:id="1518"/>
      <w:r w:rsidRPr="000C3DF9">
        <w:rPr>
          <w:rStyle w:val="TextoNormalCaracter"/>
        </w:rPr>
        <w:t xml:space="preserve">, Sentencia </w:t>
      </w:r>
      <w:hyperlink w:anchor="SENTENCIA_2002_66" w:history="1">
        <w:r w:rsidRPr="000C3DF9">
          <w:rPr>
            <w:rStyle w:val="TextoNormalCaracter"/>
          </w:rPr>
          <w:t>66/2002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19" w:name="DESCRIPTORALFABETICO688"/>
      <w:r w:rsidRPr="000C3DF9">
        <w:rPr>
          <w:rStyle w:val="TextoNormalNegritaCaracter"/>
        </w:rPr>
        <w:t>Proceso penal</w:t>
      </w:r>
      <w:bookmarkEnd w:id="1519"/>
      <w:r w:rsidRPr="000C3DF9">
        <w:rPr>
          <w:rStyle w:val="TextoNormalCaracter"/>
        </w:rPr>
        <w:t xml:space="preserve">, Sentencias </w:t>
      </w:r>
      <w:hyperlink w:anchor="SENTENCIA_2002_76" w:history="1">
        <w:r w:rsidRPr="000C3DF9">
          <w:rPr>
            <w:rStyle w:val="TextoNormalCaracter"/>
          </w:rPr>
          <w:t>76/2002</w:t>
        </w:r>
      </w:hyperlink>
      <w:r w:rsidRPr="000C3DF9">
        <w:rPr>
          <w:rStyle w:val="TextoNormalCaracter"/>
        </w:rPr>
        <w:t xml:space="preserve">, f. 2; </w:t>
      </w:r>
      <w:hyperlink w:anchor="SENTENCIA_2002_91" w:history="1">
        <w:r w:rsidRPr="000C3DF9">
          <w:rPr>
            <w:rStyle w:val="TextoNormalCaracter"/>
          </w:rPr>
          <w:t>91/2002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4" w:history="1">
        <w:r w:rsidRPr="000C3DF9">
          <w:rPr>
            <w:rStyle w:val="TextoNormalCaracter"/>
          </w:rPr>
          <w:t>14/2002</w:t>
        </w:r>
      </w:hyperlink>
      <w:r w:rsidRPr="000C3DF9">
        <w:rPr>
          <w:rStyle w:val="TextoNormalCaracter"/>
        </w:rPr>
        <w:t>.</w:t>
      </w:r>
    </w:p>
    <w:p w:rsidR="000C3DF9" w:rsidRPr="000C3DF9" w:rsidRDefault="000C3DF9" w:rsidP="000C3DF9">
      <w:pPr>
        <w:pStyle w:val="TextoNormalSangraFrancesa"/>
        <w:rPr>
          <w:rStyle w:val="TextoNormalCaracter"/>
        </w:rPr>
      </w:pPr>
      <w:bookmarkStart w:id="1520" w:name="DESCRIPTORALFABETICO375"/>
      <w:r w:rsidRPr="000C3DF9">
        <w:rPr>
          <w:rStyle w:val="TextoNormalNegritaCaracter"/>
        </w:rPr>
        <w:t>Profesores de universidad</w:t>
      </w:r>
      <w:bookmarkEnd w:id="1520"/>
      <w:r w:rsidRPr="000C3DF9">
        <w:rPr>
          <w:rStyle w:val="TextoNormalCaracter"/>
        </w:rPr>
        <w:t xml:space="preserve">, Sentencia </w:t>
      </w:r>
      <w:hyperlink w:anchor="SENTENCIA_2002_31" w:history="1">
        <w:r w:rsidRPr="000C3DF9">
          <w:rPr>
            <w:rStyle w:val="TextoNormalCaracter"/>
          </w:rPr>
          <w:t>31/2002</w:t>
        </w:r>
      </w:hyperlink>
      <w:r w:rsidRPr="000C3DF9">
        <w:rPr>
          <w:rStyle w:val="TextoNormalCaracter"/>
        </w:rPr>
        <w:t>, f. 5.</w:t>
      </w:r>
    </w:p>
    <w:p w:rsidR="000C3DF9" w:rsidRPr="000C3DF9" w:rsidRDefault="000C3DF9" w:rsidP="000C3DF9">
      <w:pPr>
        <w:pStyle w:val="TextoNormalSangraFrancesa"/>
        <w:rPr>
          <w:rStyle w:val="TextoNormalCaracter"/>
        </w:rPr>
      </w:pPr>
      <w:bookmarkStart w:id="1521" w:name="DESCRIPTORALFABETICO705"/>
      <w:r w:rsidRPr="000C3DF9">
        <w:rPr>
          <w:rStyle w:val="TextoNormalNegritaCaracter"/>
        </w:rPr>
        <w:t>Prórroga extemporánea de prisión provisional</w:t>
      </w:r>
      <w:bookmarkEnd w:id="1521"/>
      <w:r w:rsidRPr="000C3DF9">
        <w:rPr>
          <w:rStyle w:val="TextoNormalCaracter"/>
        </w:rPr>
        <w:t xml:space="preserve">, Sentencia </w:t>
      </w:r>
      <w:hyperlink w:anchor="SENTENCIA_2002_98" w:history="1">
        <w:r w:rsidRPr="000C3DF9">
          <w:rPr>
            <w:rStyle w:val="TextoNormalCaracter"/>
          </w:rPr>
          <w:t>98/2002</w:t>
        </w:r>
      </w:hyperlink>
      <w:r w:rsidRPr="000C3DF9">
        <w:rPr>
          <w:rStyle w:val="TextoNormalCaracter"/>
        </w:rPr>
        <w:t>, ff. 6, 7.</w:t>
      </w:r>
    </w:p>
    <w:p w:rsidR="000C3DF9" w:rsidRPr="000C3DF9" w:rsidRDefault="000C3DF9" w:rsidP="000C3DF9">
      <w:pPr>
        <w:pStyle w:val="TextoNormalSangraFrancesa"/>
        <w:rPr>
          <w:rStyle w:val="TextoNormalCaracter"/>
        </w:rPr>
      </w:pPr>
      <w:bookmarkStart w:id="1522" w:name="DESCRIPTORALFABETICO34"/>
      <w:r w:rsidRPr="000C3DF9">
        <w:rPr>
          <w:rStyle w:val="TextoNormalNegritaCaracter"/>
        </w:rPr>
        <w:t>Prórrogas presupuestarias</w:t>
      </w:r>
      <w:bookmarkEnd w:id="1522"/>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 7.</w:t>
      </w:r>
    </w:p>
    <w:p w:rsidR="000C3DF9" w:rsidRPr="000C3DF9" w:rsidRDefault="000C3DF9" w:rsidP="000C3DF9">
      <w:pPr>
        <w:pStyle w:val="TextoNormalSangraFrancesa"/>
        <w:rPr>
          <w:rStyle w:val="TextoNormalCaracter"/>
        </w:rPr>
      </w:pPr>
      <w:bookmarkStart w:id="1523" w:name="DESCRIPTORALFABETICO121"/>
      <w:r w:rsidRPr="000C3DF9">
        <w:rPr>
          <w:rStyle w:val="TextoNormalNegritaCaracter"/>
        </w:rPr>
        <w:t>Protección civil del honor</w:t>
      </w:r>
      <w:bookmarkEnd w:id="1523"/>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524" w:name="DESCRIPTORALFABETICO407"/>
      <w:r w:rsidRPr="000C3DF9">
        <w:rPr>
          <w:rStyle w:val="TextoNormalNegritaCaracter"/>
        </w:rPr>
        <w:t>Protección del medio ambiente</w:t>
      </w:r>
      <w:bookmarkEnd w:id="1524"/>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7.</w:t>
      </w:r>
    </w:p>
    <w:p w:rsidR="000C3DF9" w:rsidRPr="000C3DF9" w:rsidRDefault="000C3DF9" w:rsidP="000C3DF9">
      <w:pPr>
        <w:pStyle w:val="TextoNormalSangraFrancesa"/>
        <w:rPr>
          <w:rStyle w:val="TextoNormalCaracter"/>
        </w:rPr>
      </w:pPr>
      <w:bookmarkStart w:id="1525" w:name="DESCRIPTORALFABETICO628"/>
      <w:r w:rsidRPr="000C3DF9">
        <w:rPr>
          <w:rStyle w:val="TextoNormalNegritaCaracter"/>
        </w:rPr>
        <w:t>Protesta procesal</w:t>
      </w:r>
      <w:bookmarkEnd w:id="1525"/>
      <w:r w:rsidRPr="000C3DF9">
        <w:rPr>
          <w:rStyle w:val="TextoNormalCaracter"/>
        </w:rPr>
        <w:t xml:space="preserve">, Sentencia </w:t>
      </w:r>
      <w:hyperlink w:anchor="SENTENCIA_2002_79" w:history="1">
        <w:r w:rsidRPr="000C3DF9">
          <w:rPr>
            <w:rStyle w:val="TextoNormalCaracter"/>
          </w:rPr>
          <w:t>79/2002</w:t>
        </w:r>
      </w:hyperlink>
      <w:r w:rsidRPr="000C3DF9">
        <w:rPr>
          <w:rStyle w:val="TextoNormalCaracter"/>
        </w:rPr>
        <w:t>, f. 7, VP.</w:t>
      </w:r>
    </w:p>
    <w:p w:rsidR="000C3DF9" w:rsidRPr="000C3DF9" w:rsidRDefault="000C3DF9" w:rsidP="000C3DF9">
      <w:pPr>
        <w:pStyle w:val="TextoNormalSangraFrancesa"/>
        <w:rPr>
          <w:rStyle w:val="TextoNormalCaracter"/>
        </w:rPr>
      </w:pPr>
      <w:bookmarkStart w:id="1526" w:name="DESCRIPTORALFABETICO269"/>
      <w:r w:rsidRPr="000C3DF9">
        <w:rPr>
          <w:rStyle w:val="TextoNormalNegritaCaracter"/>
        </w:rPr>
        <w:t>Providencias que deniegan personación</w:t>
      </w:r>
      <w:bookmarkEnd w:id="1526"/>
      <w:r w:rsidRPr="000C3DF9">
        <w:rPr>
          <w:rStyle w:val="TextoNormalCaracter"/>
        </w:rPr>
        <w:t xml:space="preserve">, Sentencia </w:t>
      </w:r>
      <w:hyperlink w:anchor="SENTENCIA_2002_73" w:history="1">
        <w:r w:rsidRPr="000C3DF9">
          <w:rPr>
            <w:rStyle w:val="TextoNormalCaracter"/>
          </w:rPr>
          <w:t>73/2002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27" w:name="DESCRIPTORALFABETICO712"/>
      <w:r w:rsidRPr="000C3DF9">
        <w:rPr>
          <w:rStyle w:val="TextoNormalNegritaCaracter"/>
        </w:rPr>
        <w:t>Prueba de cargo</w:t>
      </w:r>
      <w:bookmarkEnd w:id="1527"/>
      <w:r w:rsidRPr="000C3DF9">
        <w:rPr>
          <w:rStyle w:val="TextoNormalCaracter"/>
        </w:rPr>
        <w:t xml:space="preserve">, Sentencias </w:t>
      </w:r>
      <w:hyperlink w:anchor="SENTENCIA_2002_68" w:history="1">
        <w:r w:rsidRPr="000C3DF9">
          <w:rPr>
            <w:rStyle w:val="TextoNormalCaracter"/>
          </w:rPr>
          <w:t>68/2002</w:t>
        </w:r>
      </w:hyperlink>
      <w:r w:rsidRPr="000C3DF9">
        <w:rPr>
          <w:rStyle w:val="TextoNormalCaracter"/>
        </w:rPr>
        <w:t xml:space="preserve">, ff. 3, 10; </w:t>
      </w:r>
      <w:hyperlink w:anchor="SENTENCIA_2002_94" w:history="1">
        <w:r w:rsidRPr="000C3DF9">
          <w:rPr>
            <w:rStyle w:val="TextoNormalCaracter"/>
          </w:rPr>
          <w:t>94/2002</w:t>
        </w:r>
      </w:hyperlink>
      <w:r w:rsidRPr="000C3DF9">
        <w:rPr>
          <w:rStyle w:val="TextoNormalCaracter"/>
        </w:rPr>
        <w:t>, ff. 3, 4.</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8" w:history="1">
        <w:r w:rsidRPr="000C3DF9">
          <w:rPr>
            <w:rStyle w:val="TextoNormalCaracter"/>
          </w:rPr>
          <w:t>8/2002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Prueba de cargo independiente</w:t>
      </w:r>
      <w:r>
        <w:t xml:space="preserve"> véase </w:t>
      </w:r>
      <w:hyperlink w:anchor="DESCRIPTORALFABETICO594" w:history="1">
        <w:r w:rsidRPr="000C3DF9">
          <w:rPr>
            <w:rStyle w:val="TextoNormalNegritaCaracter"/>
          </w:rPr>
          <w:t>Pruebas independientes</w:t>
        </w:r>
      </w:hyperlink>
    </w:p>
    <w:p w:rsidR="000C3DF9" w:rsidRPr="000C3DF9" w:rsidRDefault="000C3DF9" w:rsidP="000C3DF9">
      <w:pPr>
        <w:pStyle w:val="TextoNormalSangraFrancesa"/>
        <w:rPr>
          <w:rStyle w:val="TextoNormalCaracter"/>
        </w:rPr>
      </w:pPr>
      <w:bookmarkStart w:id="1528" w:name="DESCRIPTORALFABETICO713"/>
      <w:r w:rsidRPr="000C3DF9">
        <w:rPr>
          <w:rStyle w:val="TextoNormalNegritaCaracter"/>
        </w:rPr>
        <w:t>Prueba de cargo suficiente</w:t>
      </w:r>
      <w:bookmarkEnd w:id="1528"/>
      <w:r w:rsidRPr="000C3DF9">
        <w:rPr>
          <w:rStyle w:val="TextoNormalCaracter"/>
        </w:rPr>
        <w:t xml:space="preserve">, Sentencia </w:t>
      </w:r>
      <w:hyperlink w:anchor="SENTENCIA_2002_94" w:history="1">
        <w:r w:rsidRPr="000C3DF9">
          <w:rPr>
            <w:rStyle w:val="TextoNormalCaracter"/>
          </w:rPr>
          <w:t>94/2002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29" w:name="DESCRIPTORALFABETICO587"/>
      <w:r w:rsidRPr="000C3DF9">
        <w:rPr>
          <w:rStyle w:val="TextoNormalNegritaCaracter"/>
        </w:rPr>
        <w:t>Prueba de hechos negativa</w:t>
      </w:r>
      <w:bookmarkEnd w:id="1529"/>
      <w:r w:rsidRPr="000C3DF9">
        <w:rPr>
          <w:rStyle w:val="TextoNormalCaracter"/>
        </w:rPr>
        <w:t xml:space="preserve">, Sentencia </w:t>
      </w:r>
      <w:hyperlink w:anchor="SENTENCIA_2002_61" w:history="1">
        <w:r w:rsidRPr="000C3DF9">
          <w:rPr>
            <w:rStyle w:val="TextoNormalCaracter"/>
          </w:rPr>
          <w:t>61/2002</w:t>
        </w:r>
      </w:hyperlink>
      <w:r w:rsidRPr="000C3DF9">
        <w:rPr>
          <w:rStyle w:val="TextoNormalCaracter"/>
        </w:rPr>
        <w:t>, f. 3.</w:t>
      </w:r>
    </w:p>
    <w:p w:rsidR="000C3DF9" w:rsidRPr="000C3DF9" w:rsidRDefault="000C3DF9" w:rsidP="000C3DF9">
      <w:pPr>
        <w:pStyle w:val="TextoNormalSangraFrancesa"/>
        <w:rPr>
          <w:rStyle w:val="TextoNormalNegritaCaracter"/>
        </w:rPr>
      </w:pPr>
      <w:r w:rsidRPr="000C3DF9">
        <w:rPr>
          <w:rStyle w:val="TextoNormalCursivaCaracter"/>
        </w:rPr>
        <w:t>Prueba de indicios</w:t>
      </w:r>
      <w:r>
        <w:t xml:space="preserve"> véase </w:t>
      </w:r>
      <w:hyperlink w:anchor="DESCRIPTORALFABETICO595" w:history="1">
        <w:r w:rsidRPr="000C3DF9">
          <w:rPr>
            <w:rStyle w:val="TextoNormalNegritaCaracter"/>
          </w:rPr>
          <w:t>Prueba indiciaria</w:t>
        </w:r>
      </w:hyperlink>
    </w:p>
    <w:p w:rsidR="000C3DF9" w:rsidRPr="000C3DF9" w:rsidRDefault="000C3DF9" w:rsidP="000C3DF9">
      <w:pPr>
        <w:pStyle w:val="TextoNormalSangraFrancesa"/>
        <w:rPr>
          <w:rStyle w:val="TextoNormalCaracter"/>
        </w:rPr>
      </w:pPr>
      <w:bookmarkStart w:id="1530" w:name="DESCRIPTORALFABETICO590"/>
      <w:r w:rsidRPr="000C3DF9">
        <w:rPr>
          <w:rStyle w:val="TextoNormalNegritaCaracter"/>
        </w:rPr>
        <w:t>Prueba de informes</w:t>
      </w:r>
      <w:bookmarkEnd w:id="1530"/>
      <w:r w:rsidRPr="000C3DF9">
        <w:rPr>
          <w:rStyle w:val="TextoNormalCaracter"/>
        </w:rPr>
        <w:t xml:space="preserve">, Sentencia </w:t>
      </w:r>
      <w:hyperlink w:anchor="SENTENCIA_2002_61" w:history="1">
        <w:r w:rsidRPr="000C3DF9">
          <w:rPr>
            <w:rStyle w:val="TextoNormalCaracter"/>
          </w:rPr>
          <w:t>61/2002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Prueba de irreparabilidad de los perjuicios</w:t>
      </w:r>
      <w:r>
        <w:t xml:space="preserve"> véase </w:t>
      </w:r>
      <w:hyperlink w:anchor="DESCRIPTORALFABETICO176" w:history="1">
        <w:r w:rsidRPr="000C3DF9">
          <w:rPr>
            <w:rStyle w:val="TextoNormalNegritaCaracter"/>
          </w:rPr>
          <w:t>Prueba del perjuicio</w:t>
        </w:r>
      </w:hyperlink>
    </w:p>
    <w:p w:rsidR="000C3DF9" w:rsidRPr="000C3DF9" w:rsidRDefault="000C3DF9" w:rsidP="000C3DF9">
      <w:pPr>
        <w:pStyle w:val="TextoNormalSangraFrancesa"/>
        <w:rPr>
          <w:rStyle w:val="TextoNormalCaracter"/>
        </w:rPr>
      </w:pPr>
      <w:bookmarkStart w:id="1531" w:name="DESCRIPTORALFABETICO176"/>
      <w:r w:rsidRPr="000C3DF9">
        <w:rPr>
          <w:rStyle w:val="TextoNormalNegritaCaracter"/>
        </w:rPr>
        <w:t>Prueba del perjuicio</w:t>
      </w:r>
      <w:bookmarkEnd w:id="1531"/>
      <w:r w:rsidRPr="000C3DF9">
        <w:rPr>
          <w:rStyle w:val="TextoNormalCaracter"/>
        </w:rPr>
        <w:t xml:space="preserve">, Auto </w:t>
      </w:r>
      <w:hyperlink w:anchor="AUTO_2002_67" w:history="1">
        <w:r w:rsidRPr="000C3DF9">
          <w:rPr>
            <w:rStyle w:val="TextoNormalCaracter"/>
          </w:rPr>
          <w:t>67/2002</w:t>
        </w:r>
      </w:hyperlink>
      <w:r w:rsidRPr="000C3DF9">
        <w:rPr>
          <w:rStyle w:val="TextoNormalCaracter"/>
        </w:rPr>
        <w:t>.</w:t>
      </w:r>
    </w:p>
    <w:p w:rsidR="000C3DF9" w:rsidRPr="000C3DF9" w:rsidRDefault="000C3DF9" w:rsidP="000C3DF9">
      <w:pPr>
        <w:pStyle w:val="TextoNormalSangraFrancesa"/>
        <w:rPr>
          <w:rStyle w:val="TextoNormalCaracter"/>
        </w:rPr>
      </w:pPr>
      <w:bookmarkStart w:id="1532" w:name="DESCRIPTORALFABETICO591"/>
      <w:r w:rsidRPr="000C3DF9">
        <w:rPr>
          <w:rStyle w:val="TextoNormalNegritaCaracter"/>
        </w:rPr>
        <w:t>Prueba ilícita</w:t>
      </w:r>
      <w:bookmarkEnd w:id="1532"/>
      <w:r w:rsidRPr="000C3DF9">
        <w:rPr>
          <w:rStyle w:val="TextoNormalCaracter"/>
        </w:rPr>
        <w:t xml:space="preserve">, Sentencia </w:t>
      </w:r>
      <w:hyperlink w:anchor="SENTENCIA_2002_28" w:history="1">
        <w:r w:rsidRPr="000C3DF9">
          <w:rPr>
            <w:rStyle w:val="TextoNormalCaracter"/>
          </w:rPr>
          <w:t>28/2002</w:t>
        </w:r>
      </w:hyperlink>
      <w:r w:rsidRPr="000C3DF9">
        <w:rPr>
          <w:rStyle w:val="TextoNormalCaracter"/>
        </w:rPr>
        <w:t>, ff. 3, 5.</w:t>
      </w:r>
    </w:p>
    <w:p w:rsidR="000C3DF9" w:rsidRPr="000C3DF9" w:rsidRDefault="000C3DF9" w:rsidP="000C3DF9">
      <w:pPr>
        <w:pStyle w:val="TextoNormalSangraFrancesa"/>
        <w:rPr>
          <w:rStyle w:val="TextoNormalCaracter"/>
        </w:rPr>
      </w:pPr>
      <w:bookmarkStart w:id="1533" w:name="DESCRIPTORALFABETICO595"/>
      <w:r w:rsidRPr="000C3DF9">
        <w:rPr>
          <w:rStyle w:val="TextoNormalNegritaCaracter"/>
        </w:rPr>
        <w:t>Prueba indiciaria</w:t>
      </w:r>
      <w:bookmarkEnd w:id="1533"/>
      <w:r w:rsidRPr="000C3DF9">
        <w:rPr>
          <w:rStyle w:val="TextoNormalCaracter"/>
        </w:rPr>
        <w:t xml:space="preserve">, Sentencias </w:t>
      </w:r>
      <w:hyperlink w:anchor="SENTENCIA_2002_17" w:history="1">
        <w:r w:rsidRPr="000C3DF9">
          <w:rPr>
            <w:rStyle w:val="TextoNormalCaracter"/>
          </w:rPr>
          <w:t>17/2002</w:t>
        </w:r>
      </w:hyperlink>
      <w:r w:rsidRPr="000C3DF9">
        <w:rPr>
          <w:rStyle w:val="TextoNormalCaracter"/>
        </w:rPr>
        <w:t xml:space="preserve">, ff. 3, 5, 6; </w:t>
      </w:r>
      <w:hyperlink w:anchor="SENTENCIA_2002_94" w:history="1">
        <w:r w:rsidRPr="000C3DF9">
          <w:rPr>
            <w:rStyle w:val="TextoNormalCaracter"/>
          </w:rPr>
          <w:t>94/2002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44" w:history="1">
        <w:r w:rsidRPr="000C3DF9">
          <w:rPr>
            <w:rStyle w:val="TextoNormalCaracter"/>
          </w:rPr>
          <w:t>44/2002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Prueba indirecta</w:t>
      </w:r>
      <w:r>
        <w:t xml:space="preserve"> véase </w:t>
      </w:r>
      <w:hyperlink w:anchor="DESCRIPTORALFABETICO595" w:history="1">
        <w:r w:rsidRPr="000C3DF9">
          <w:rPr>
            <w:rStyle w:val="TextoNormalNegritaCaracter"/>
          </w:rPr>
          <w:t>Prueba indiciaria</w:t>
        </w:r>
      </w:hyperlink>
    </w:p>
    <w:p w:rsidR="000C3DF9" w:rsidRPr="000C3DF9" w:rsidRDefault="000C3DF9" w:rsidP="000C3DF9">
      <w:pPr>
        <w:pStyle w:val="TextoNormalSangraFrancesa"/>
        <w:rPr>
          <w:rStyle w:val="TextoNormalCaracter"/>
        </w:rPr>
      </w:pPr>
      <w:bookmarkStart w:id="1534" w:name="DESCRIPTORALFABETICO596"/>
      <w:r w:rsidRPr="000C3DF9">
        <w:rPr>
          <w:rStyle w:val="TextoNormalNegritaCaracter"/>
        </w:rPr>
        <w:t>Prueba preconstituida</w:t>
      </w:r>
      <w:bookmarkEnd w:id="1534"/>
      <w:r w:rsidRPr="000C3DF9">
        <w:rPr>
          <w:rStyle w:val="TextoNormalCaracter"/>
        </w:rPr>
        <w:t xml:space="preserve">, Sentencia </w:t>
      </w:r>
      <w:hyperlink w:anchor="SENTENCIA_2002_94" w:history="1">
        <w:r w:rsidRPr="000C3DF9">
          <w:rPr>
            <w:rStyle w:val="TextoNormalCaracter"/>
          </w:rPr>
          <w:t>94/2002</w:t>
        </w:r>
      </w:hyperlink>
      <w:r w:rsidRPr="000C3DF9">
        <w:rPr>
          <w:rStyle w:val="TextoNormalCaracter"/>
        </w:rPr>
        <w:t>, ff. 3, 4.</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94" w:history="1">
        <w:r w:rsidRPr="000C3DF9">
          <w:rPr>
            <w:rStyle w:val="TextoNormalCaracter"/>
          </w:rPr>
          <w:t>94/2002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35" w:name="DESCRIPTORALFABETICO597"/>
      <w:r w:rsidRPr="000C3DF9">
        <w:rPr>
          <w:rStyle w:val="TextoNormalNegritaCaracter"/>
        </w:rPr>
        <w:t>Prueba preconstituida sin contradicción</w:t>
      </w:r>
      <w:bookmarkEnd w:id="1535"/>
      <w:r w:rsidRPr="000C3DF9">
        <w:rPr>
          <w:rStyle w:val="TextoNormalCaracter"/>
        </w:rPr>
        <w:t xml:space="preserve">, Sentencia </w:t>
      </w:r>
      <w:hyperlink w:anchor="SENTENCIA_2002_94" w:history="1">
        <w:r w:rsidRPr="000C3DF9">
          <w:rPr>
            <w:rStyle w:val="TextoNormalCaracter"/>
          </w:rPr>
          <w:t>94/2002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36" w:name="DESCRIPTORALFABETICO594"/>
      <w:r w:rsidRPr="000C3DF9">
        <w:rPr>
          <w:rStyle w:val="TextoNormalNegritaCaracter"/>
        </w:rPr>
        <w:t>Pruebas independientes</w:t>
      </w:r>
      <w:bookmarkEnd w:id="1536"/>
      <w:r w:rsidRPr="000C3DF9">
        <w:rPr>
          <w:rStyle w:val="TextoNormalCaracter"/>
        </w:rPr>
        <w:t xml:space="preserve">, Sentencia </w:t>
      </w:r>
      <w:hyperlink w:anchor="SENTENCIA_2002_12" w:history="1">
        <w:r w:rsidRPr="000C3DF9">
          <w:rPr>
            <w:rStyle w:val="TextoNormalCaracter"/>
          </w:rPr>
          <w:t>12/2002</w:t>
        </w:r>
      </w:hyperlink>
      <w:r w:rsidRPr="000C3DF9">
        <w:rPr>
          <w:rStyle w:val="TextoNormalCaracter"/>
        </w:rPr>
        <w:t>, f. 5.</w:t>
      </w:r>
    </w:p>
    <w:p w:rsidR="000C3DF9" w:rsidRPr="000C3DF9" w:rsidRDefault="000C3DF9" w:rsidP="000C3DF9">
      <w:pPr>
        <w:pStyle w:val="TextoNormalSangraFrancesa"/>
        <w:rPr>
          <w:rStyle w:val="TextoNormalCaracter"/>
        </w:rPr>
      </w:pPr>
      <w:bookmarkStart w:id="1537" w:name="DESCRIPTORALFABETICO657"/>
      <w:r w:rsidRPr="000C3DF9">
        <w:rPr>
          <w:rStyle w:val="TextoNormalNegritaCaracter"/>
        </w:rPr>
        <w:t>Publicación de fallo en diario</w:t>
      </w:r>
      <w:bookmarkEnd w:id="1537"/>
      <w:r w:rsidRPr="000C3DF9">
        <w:rPr>
          <w:rStyle w:val="TextoNormalCaracter"/>
        </w:rPr>
        <w:t xml:space="preserve">, Auto </w:t>
      </w:r>
      <w:hyperlink w:anchor="AUTO_2002_7" w:history="1">
        <w:r w:rsidRPr="000C3DF9">
          <w:rPr>
            <w:rStyle w:val="TextoNormalCaracter"/>
          </w:rPr>
          <w:t>7/2002</w:t>
        </w:r>
      </w:hyperlink>
      <w:r w:rsidRPr="000C3DF9">
        <w:rPr>
          <w:rStyle w:val="TextoNormalCaracter"/>
        </w:rPr>
        <w:t>.</w:t>
      </w:r>
    </w:p>
    <w:p w:rsidR="000C3DF9" w:rsidRPr="000C3DF9" w:rsidRDefault="000C3DF9" w:rsidP="000C3DF9">
      <w:pPr>
        <w:pStyle w:val="TextoNormalSangraFrancesa"/>
        <w:rPr>
          <w:rStyle w:val="TextoNormalCaracter"/>
        </w:rPr>
      </w:pPr>
      <w:bookmarkStart w:id="1538" w:name="DESCRIPTORALFABETICO148"/>
      <w:r w:rsidRPr="000C3DF9">
        <w:rPr>
          <w:rStyle w:val="TextoNormalNegritaCaracter"/>
        </w:rPr>
        <w:lastRenderedPageBreak/>
        <w:t>Publicación de fotografías privadas</w:t>
      </w:r>
      <w:bookmarkEnd w:id="1538"/>
      <w:r w:rsidRPr="000C3DF9">
        <w:rPr>
          <w:rStyle w:val="TextoNormalCaracter"/>
        </w:rPr>
        <w:t xml:space="preserve">, Sentencia </w:t>
      </w:r>
      <w:hyperlink w:anchor="SENTENCIA_2002_83" w:history="1">
        <w:r w:rsidRPr="000C3DF9">
          <w:rPr>
            <w:rStyle w:val="TextoNormalCaracter"/>
          </w:rPr>
          <w:t>83/2002</w:t>
        </w:r>
      </w:hyperlink>
      <w:r w:rsidRPr="000C3DF9">
        <w:rPr>
          <w:rStyle w:val="TextoNormalCaracter"/>
        </w:rPr>
        <w:t>, ff. 4, 5.</w:t>
      </w:r>
    </w:p>
    <w:p w:rsidR="000C3DF9" w:rsidRPr="000C3DF9" w:rsidRDefault="000C3DF9" w:rsidP="000C3DF9">
      <w:pPr>
        <w:pStyle w:val="TextoNormalSangraFrancesa"/>
        <w:rPr>
          <w:rStyle w:val="TextoNormalCaracter"/>
        </w:rPr>
      </w:pPr>
      <w:bookmarkStart w:id="1539" w:name="DESCRIPTORALFABETICO714"/>
      <w:r w:rsidRPr="000C3DF9">
        <w:rPr>
          <w:rStyle w:val="TextoNormalNegritaCaracter"/>
        </w:rPr>
        <w:t>Puesta en libertad</w:t>
      </w:r>
      <w:bookmarkEnd w:id="1539"/>
      <w:r w:rsidRPr="000C3DF9">
        <w:rPr>
          <w:rStyle w:val="TextoNormalCaracter"/>
        </w:rPr>
        <w:t xml:space="preserve">, Sentencia </w:t>
      </w:r>
      <w:hyperlink w:anchor="SENTENCIA_2002_8" w:history="1">
        <w:r w:rsidRPr="000C3DF9">
          <w:rPr>
            <w:rStyle w:val="TextoNormalCaracter"/>
          </w:rPr>
          <w:t>8/2002</w:t>
        </w:r>
      </w:hyperlink>
      <w:r w:rsidRPr="000C3DF9">
        <w:rPr>
          <w:rStyle w:val="TextoNormalCaracter"/>
        </w:rPr>
        <w:t>, f. 2.</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0" w:history="1">
        <w:r w:rsidRPr="000C3DF9">
          <w:rPr>
            <w:rStyle w:val="TextoNormalCaracter"/>
          </w:rPr>
          <w:t>10/2002</w:t>
        </w:r>
      </w:hyperlink>
      <w:r w:rsidRPr="000C3DF9">
        <w:rPr>
          <w:rStyle w:val="TextoNormalCaracter"/>
        </w:rPr>
        <w:t>.</w:t>
      </w:r>
    </w:p>
    <w:p w:rsidR="000C3DF9" w:rsidRPr="000C3DF9" w:rsidRDefault="000C3DF9" w:rsidP="000C3DF9">
      <w:pPr>
        <w:pStyle w:val="TextoNormalSangraFrancesa"/>
        <w:rPr>
          <w:rStyle w:val="TextoNormalCaracter"/>
        </w:rPr>
      </w:pPr>
      <w:bookmarkStart w:id="1540" w:name="DESCRIPTORALFABETICO396"/>
      <w:r w:rsidRPr="000C3DF9">
        <w:rPr>
          <w:rStyle w:val="TextoNormalNegritaCaracter"/>
        </w:rPr>
        <w:t>Puestos reservados a funcionarios públicos</w:t>
      </w:r>
      <w:bookmarkEnd w:id="1540"/>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6.</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R</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541" w:name="DESCRIPTORALFABETICO555"/>
      <w:r w:rsidRPr="000C3DF9">
        <w:rPr>
          <w:rStyle w:val="TextoNormalNegritaCaracter"/>
        </w:rPr>
        <w:t>Reconocimiento judicial</w:t>
      </w:r>
      <w:bookmarkEnd w:id="1541"/>
      <w:r w:rsidRPr="000C3DF9">
        <w:rPr>
          <w:rStyle w:val="TextoNormalCaracter"/>
        </w:rPr>
        <w:t xml:space="preserve">, Auto </w:t>
      </w:r>
      <w:hyperlink w:anchor="AUTO_2002_8" w:history="1">
        <w:r w:rsidRPr="000C3DF9">
          <w:rPr>
            <w:rStyle w:val="TextoNormalCaracter"/>
          </w:rPr>
          <w:t>8/2002</w:t>
        </w:r>
      </w:hyperlink>
      <w:r w:rsidRPr="000C3DF9">
        <w:rPr>
          <w:rStyle w:val="TextoNormalCaracter"/>
        </w:rPr>
        <w:t>.</w:t>
      </w:r>
    </w:p>
    <w:p w:rsidR="000C3DF9" w:rsidRPr="000C3DF9" w:rsidRDefault="000C3DF9" w:rsidP="000C3DF9">
      <w:pPr>
        <w:pStyle w:val="TextoNormalSangraFrancesa"/>
        <w:rPr>
          <w:rStyle w:val="TextoNormalCaracter"/>
        </w:rPr>
      </w:pPr>
      <w:bookmarkStart w:id="1542" w:name="DESCRIPTORALFABETICO574"/>
      <w:r w:rsidRPr="000C3DF9">
        <w:rPr>
          <w:rStyle w:val="TextoNormalNegritaCaracter"/>
        </w:rPr>
        <w:t>Rectificación de error material</w:t>
      </w:r>
      <w:bookmarkEnd w:id="1542"/>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ff. 3, 5, 6, 7.</w:t>
      </w:r>
    </w:p>
    <w:p w:rsidR="000C3DF9" w:rsidRPr="000C3DF9" w:rsidRDefault="000C3DF9" w:rsidP="000C3DF9">
      <w:pPr>
        <w:pStyle w:val="TextoNormalSangraFrancesa"/>
        <w:rPr>
          <w:rStyle w:val="TextoNormalCaracter"/>
        </w:rPr>
      </w:pPr>
      <w:bookmarkStart w:id="1543" w:name="DESCRIPTORALFABETICO573"/>
      <w:r w:rsidRPr="000C3DF9">
        <w:rPr>
          <w:rStyle w:val="TextoNormalNegritaCaracter"/>
        </w:rPr>
        <w:t>Rectificación de errores</w:t>
      </w:r>
      <w:bookmarkEnd w:id="1543"/>
      <w:r w:rsidRPr="000C3DF9">
        <w:rPr>
          <w:rStyle w:val="TextoNormalCaracter"/>
        </w:rPr>
        <w:t xml:space="preserve">, Sentencia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44" w:name="DESCRIPTORALFABETICO144"/>
      <w:r w:rsidRPr="000C3DF9">
        <w:rPr>
          <w:rStyle w:val="TextoNormalNegritaCaracter"/>
        </w:rPr>
        <w:t>Rectificación de errores en la noticia</w:t>
      </w:r>
      <w:bookmarkEnd w:id="1544"/>
      <w:r w:rsidRPr="000C3DF9">
        <w:rPr>
          <w:rStyle w:val="TextoNormalCaracter"/>
        </w:rPr>
        <w:t xml:space="preserve">, Sentencia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45" w:name="DESCRIPTORALFABETICO575"/>
      <w:r w:rsidRPr="000C3DF9">
        <w:rPr>
          <w:rStyle w:val="TextoNormalNegritaCaracter"/>
        </w:rPr>
        <w:t>Rectificación en fallo judicial de indemnización</w:t>
      </w:r>
      <w:bookmarkEnd w:id="1545"/>
      <w:r w:rsidRPr="000C3DF9">
        <w:rPr>
          <w:rStyle w:val="TextoNormalCaracter"/>
        </w:rPr>
        <w:t xml:space="preserve">, Auto </w:t>
      </w:r>
      <w:hyperlink w:anchor="AUTO_2002_66" w:history="1">
        <w:r w:rsidRPr="000C3DF9">
          <w:rPr>
            <w:rStyle w:val="TextoNormalCaracter"/>
          </w:rPr>
          <w:t>66/2002</w:t>
        </w:r>
      </w:hyperlink>
      <w:r w:rsidRPr="000C3DF9">
        <w:rPr>
          <w:rStyle w:val="TextoNormalCaracter"/>
        </w:rPr>
        <w:t>.</w:t>
      </w:r>
    </w:p>
    <w:p w:rsidR="000C3DF9" w:rsidRPr="000C3DF9" w:rsidRDefault="000C3DF9" w:rsidP="000C3DF9">
      <w:pPr>
        <w:pStyle w:val="TextoNormalSangraFrancesa"/>
        <w:rPr>
          <w:rStyle w:val="TextoNormalCaracter"/>
        </w:rPr>
      </w:pPr>
      <w:bookmarkStart w:id="1546" w:name="DESCRIPTORALFABETICO259"/>
      <w:r w:rsidRPr="000C3DF9">
        <w:rPr>
          <w:rStyle w:val="TextoNormalNegritaCaracter"/>
        </w:rPr>
        <w:t>Recurso contra sentencia favorable</w:t>
      </w:r>
      <w:bookmarkEnd w:id="1546"/>
      <w:r w:rsidRPr="000C3DF9">
        <w:rPr>
          <w:rStyle w:val="TextoNormalCaracter"/>
        </w:rPr>
        <w:t xml:space="preserve">, Sentencia </w:t>
      </w:r>
      <w:hyperlink w:anchor="SENTENCIA_2002_43" w:history="1">
        <w:r w:rsidRPr="000C3DF9">
          <w:rPr>
            <w:rStyle w:val="TextoNormalCaracter"/>
          </w:rPr>
          <w:t>43/2002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47" w:name="DESCRIPTORALFABETICO639"/>
      <w:r w:rsidRPr="000C3DF9">
        <w:rPr>
          <w:rStyle w:val="TextoNormalNegritaCaracter"/>
        </w:rPr>
        <w:t>Recurso de aclaración</w:t>
      </w:r>
      <w:bookmarkEnd w:id="1547"/>
      <w:r w:rsidRPr="000C3DF9">
        <w:rPr>
          <w:rStyle w:val="TextoNormalCaracter"/>
        </w:rPr>
        <w:t xml:space="preserve">, Sentencia </w:t>
      </w:r>
      <w:hyperlink w:anchor="SENTENCIA_2002_56" w:history="1">
        <w:r w:rsidRPr="000C3DF9">
          <w:rPr>
            <w:rStyle w:val="TextoNormalCaracter"/>
          </w:rPr>
          <w:t>56/2002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55" w:history="1">
        <w:r w:rsidRPr="000C3DF9">
          <w:rPr>
            <w:rStyle w:val="TextoNormalCaracter"/>
          </w:rPr>
          <w:t>55/2002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48" w:name="DESCRIPTORALFABETICO242"/>
      <w:r w:rsidRPr="000C3DF9">
        <w:rPr>
          <w:rStyle w:val="TextoNormalNegritaCaracter"/>
        </w:rPr>
        <w:t>Recurso de amparo mixto</w:t>
      </w:r>
      <w:bookmarkEnd w:id="1548"/>
      <w:r w:rsidRPr="000C3DF9">
        <w:rPr>
          <w:rStyle w:val="TextoNormalCaracter"/>
        </w:rPr>
        <w:t xml:space="preserve">, Sentencias </w:t>
      </w:r>
      <w:hyperlink w:anchor="SENTENCIA_2002_25" w:history="1">
        <w:r w:rsidRPr="000C3DF9">
          <w:rPr>
            <w:rStyle w:val="TextoNormalCaracter"/>
          </w:rPr>
          <w:t>25/2002</w:t>
        </w:r>
      </w:hyperlink>
      <w:r w:rsidRPr="000C3DF9">
        <w:rPr>
          <w:rStyle w:val="TextoNormalCaracter"/>
        </w:rPr>
        <w:t xml:space="preserve">, f. 1; </w:t>
      </w:r>
      <w:hyperlink w:anchor="SENTENCIA_2002_26" w:history="1">
        <w:r w:rsidRPr="000C3DF9">
          <w:rPr>
            <w:rStyle w:val="TextoNormalCaracter"/>
          </w:rPr>
          <w:t>26/2002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49" w:name="DESCRIPTORALFABETICO243"/>
      <w:r w:rsidRPr="000C3DF9">
        <w:rPr>
          <w:rStyle w:val="TextoNormalNegritaCaracter"/>
        </w:rPr>
        <w:t>Recurso de amparo parcialmente prematuro</w:t>
      </w:r>
      <w:bookmarkEnd w:id="1549"/>
      <w:r w:rsidRPr="000C3DF9">
        <w:rPr>
          <w:rStyle w:val="TextoNormalCaracter"/>
        </w:rPr>
        <w:t xml:space="preserve">, Sentencias </w:t>
      </w:r>
      <w:hyperlink w:anchor="SENTENCIA_2002_7" w:history="1">
        <w:r w:rsidRPr="000C3DF9">
          <w:rPr>
            <w:rStyle w:val="TextoNormalCaracter"/>
          </w:rPr>
          <w:t>7/2002</w:t>
        </w:r>
      </w:hyperlink>
      <w:r w:rsidRPr="000C3DF9">
        <w:rPr>
          <w:rStyle w:val="TextoNormalCaracter"/>
        </w:rPr>
        <w:t xml:space="preserve">, ff. 3, 4; </w:t>
      </w:r>
      <w:hyperlink w:anchor="SENTENCIA_2002_82" w:history="1">
        <w:r w:rsidRPr="000C3DF9">
          <w:rPr>
            <w:rStyle w:val="TextoNormalCaracter"/>
          </w:rPr>
          <w:t>82/2002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50" w:name="DESCRIPTORALFABETICO669"/>
      <w:r w:rsidRPr="000C3DF9">
        <w:rPr>
          <w:rStyle w:val="TextoNormalNegritaCaracter"/>
        </w:rPr>
        <w:t>Recurso de apelación civil</w:t>
      </w:r>
      <w:bookmarkEnd w:id="1550"/>
      <w:r w:rsidRPr="000C3DF9">
        <w:rPr>
          <w:rStyle w:val="TextoNormalCaracter"/>
        </w:rPr>
        <w:t xml:space="preserve">, Sentencias </w:t>
      </w:r>
      <w:hyperlink w:anchor="SENTENCIA_2002_36" w:history="1">
        <w:r w:rsidRPr="000C3DF9">
          <w:rPr>
            <w:rStyle w:val="TextoNormalCaracter"/>
          </w:rPr>
          <w:t>36/2002</w:t>
        </w:r>
      </w:hyperlink>
      <w:r w:rsidRPr="000C3DF9">
        <w:rPr>
          <w:rStyle w:val="TextoNormalCaracter"/>
        </w:rPr>
        <w:t xml:space="preserve">, f. 7; </w:t>
      </w:r>
      <w:hyperlink w:anchor="SENTENCIA_2002_40" w:history="1">
        <w:r w:rsidRPr="000C3DF9">
          <w:rPr>
            <w:rStyle w:val="TextoNormalCaracter"/>
          </w:rPr>
          <w:t>40/2002</w:t>
        </w:r>
      </w:hyperlink>
      <w:r w:rsidRPr="000C3DF9">
        <w:rPr>
          <w:rStyle w:val="TextoNormalCaracter"/>
        </w:rPr>
        <w:t>, f. 9.</w:t>
      </w:r>
    </w:p>
    <w:p w:rsidR="000C3DF9" w:rsidRPr="000C3DF9" w:rsidRDefault="000C3DF9" w:rsidP="000C3DF9">
      <w:pPr>
        <w:pStyle w:val="TextoNormalSangraFrancesa"/>
        <w:rPr>
          <w:rStyle w:val="TextoNormalCaracter"/>
        </w:rPr>
      </w:pPr>
      <w:bookmarkStart w:id="1551" w:name="DESCRIPTORALFABETICO716"/>
      <w:r w:rsidRPr="000C3DF9">
        <w:rPr>
          <w:rStyle w:val="TextoNormalNegritaCaracter"/>
        </w:rPr>
        <w:t>Recurso de apelación penal</w:t>
      </w:r>
      <w:bookmarkEnd w:id="1551"/>
      <w:r w:rsidRPr="000C3DF9">
        <w:rPr>
          <w:rStyle w:val="TextoNormalCaracter"/>
        </w:rPr>
        <w:t xml:space="preserve">, Sentencias </w:t>
      </w:r>
      <w:hyperlink w:anchor="SENTENCIA_2002_6" w:history="1">
        <w:r w:rsidRPr="000C3DF9">
          <w:rPr>
            <w:rStyle w:val="TextoNormalCaracter"/>
          </w:rPr>
          <w:t>6/2002</w:t>
        </w:r>
      </w:hyperlink>
      <w:r w:rsidRPr="000C3DF9">
        <w:rPr>
          <w:rStyle w:val="TextoNormalCaracter"/>
        </w:rPr>
        <w:t xml:space="preserve">, f. 2; </w:t>
      </w:r>
      <w:hyperlink w:anchor="SENTENCIA_2002_47" w:history="1">
        <w:r w:rsidRPr="000C3DF9">
          <w:rPr>
            <w:rStyle w:val="TextoNormalCaracter"/>
          </w:rPr>
          <w:t>47/2002</w:t>
        </w:r>
      </w:hyperlink>
      <w:r w:rsidRPr="000C3DF9">
        <w:rPr>
          <w:rStyle w:val="TextoNormalCaracter"/>
        </w:rPr>
        <w:t xml:space="preserve">, f. 2; </w:t>
      </w:r>
      <w:hyperlink w:anchor="SENTENCIA_2002_65" w:history="1">
        <w:r w:rsidRPr="000C3DF9">
          <w:rPr>
            <w:rStyle w:val="TextoNormalCaracter"/>
          </w:rPr>
          <w:t>65/2002</w:t>
        </w:r>
      </w:hyperlink>
      <w:r w:rsidRPr="000C3DF9">
        <w:rPr>
          <w:rStyle w:val="TextoNormalCaracter"/>
        </w:rPr>
        <w:t xml:space="preserve">, f. 4; </w:t>
      </w:r>
      <w:hyperlink w:anchor="SENTENCIA_2002_81" w:history="1">
        <w:r w:rsidRPr="000C3DF9">
          <w:rPr>
            <w:rStyle w:val="TextoNormalCaracter"/>
          </w:rPr>
          <w:t>81/2002</w:t>
        </w:r>
      </w:hyperlink>
      <w:r w:rsidRPr="000C3DF9">
        <w:rPr>
          <w:rStyle w:val="TextoNormalCaracter"/>
        </w:rPr>
        <w:t>, ff. 4, 5.</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2" w:history="1">
        <w:r w:rsidRPr="000C3DF9">
          <w:rPr>
            <w:rStyle w:val="TextoNormalCaracter"/>
          </w:rPr>
          <w:t>52/2002</w:t>
        </w:r>
      </w:hyperlink>
      <w:r w:rsidRPr="000C3DF9">
        <w:rPr>
          <w:rStyle w:val="TextoNormalCaracter"/>
        </w:rPr>
        <w:t>.</w:t>
      </w:r>
    </w:p>
    <w:p w:rsidR="000C3DF9" w:rsidRPr="000C3DF9" w:rsidRDefault="000C3DF9" w:rsidP="000C3DF9">
      <w:pPr>
        <w:pStyle w:val="TextoNormalSangraFrancesa"/>
        <w:rPr>
          <w:rStyle w:val="TextoNormalCaracter"/>
        </w:rPr>
      </w:pPr>
      <w:bookmarkStart w:id="1552" w:name="DESCRIPTORALFABETICO671"/>
      <w:r w:rsidRPr="000C3DF9">
        <w:rPr>
          <w:rStyle w:val="TextoNormalNegritaCaracter"/>
        </w:rPr>
        <w:t>Recurso de casación civil</w:t>
      </w:r>
      <w:bookmarkEnd w:id="1552"/>
      <w:r w:rsidRPr="000C3DF9">
        <w:rPr>
          <w:rStyle w:val="TextoNormalCaracter"/>
        </w:rPr>
        <w:t xml:space="preserve">, Sentencias </w:t>
      </w:r>
      <w:hyperlink w:anchor="SENTENCIA_2002_13" w:history="1">
        <w:r w:rsidRPr="000C3DF9">
          <w:rPr>
            <w:rStyle w:val="TextoNormalCaracter"/>
          </w:rPr>
          <w:t>13/2002</w:t>
        </w:r>
      </w:hyperlink>
      <w:r w:rsidRPr="000C3DF9">
        <w:rPr>
          <w:rStyle w:val="TextoNormalCaracter"/>
        </w:rPr>
        <w:t xml:space="preserve">, ff. 6, 8; </w:t>
      </w:r>
      <w:hyperlink w:anchor="SENTENCIA_2002_78" w:history="1">
        <w:r w:rsidRPr="000C3DF9">
          <w:rPr>
            <w:rStyle w:val="TextoNormalCaracter"/>
          </w:rPr>
          <w:t>78/2002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53" w:name="DESCRIPTORALFABETICO680"/>
      <w:r w:rsidRPr="000C3DF9">
        <w:rPr>
          <w:rStyle w:val="TextoNormalNegritaCaracter"/>
        </w:rPr>
        <w:t>Recurso de casación contencioso-administrativo para la unificación de doctrina no exigible</w:t>
      </w:r>
      <w:bookmarkEnd w:id="1553"/>
      <w:r w:rsidRPr="000C3DF9">
        <w:rPr>
          <w:rStyle w:val="TextoNormalCaracter"/>
        </w:rPr>
        <w:t xml:space="preserve">, Sentencia </w:t>
      </w:r>
      <w:hyperlink w:anchor="SENTENCIA_2002_69" w:history="1">
        <w:r w:rsidRPr="000C3DF9">
          <w:rPr>
            <w:rStyle w:val="TextoNormalCaracter"/>
          </w:rPr>
          <w:t>69/2002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54" w:name="DESCRIPTORALFABETICO684"/>
      <w:r w:rsidRPr="000C3DF9">
        <w:rPr>
          <w:rStyle w:val="TextoNormalNegritaCaracter"/>
        </w:rPr>
        <w:t>Recurso de casación laboral para la unificación de doctrina</w:t>
      </w:r>
      <w:bookmarkEnd w:id="1554"/>
      <w:r w:rsidRPr="000C3DF9">
        <w:rPr>
          <w:rStyle w:val="TextoNormalCaracter"/>
        </w:rPr>
        <w:t xml:space="preserve">, Sentencia </w:t>
      </w:r>
      <w:hyperlink w:anchor="SENTENCIA_2002_16" w:history="1">
        <w:r w:rsidRPr="000C3DF9">
          <w:rPr>
            <w:rStyle w:val="TextoNormalCaracter"/>
          </w:rPr>
          <w:t>16/2002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55" w:name="DESCRIPTORALFABETICO685"/>
      <w:r w:rsidRPr="000C3DF9">
        <w:rPr>
          <w:rStyle w:val="TextoNormalNegritaCaracter"/>
        </w:rPr>
        <w:t>Recurso de casación laboral para la unificación de doctrina no exigible</w:t>
      </w:r>
      <w:bookmarkEnd w:id="1555"/>
      <w:r w:rsidRPr="000C3DF9">
        <w:rPr>
          <w:rStyle w:val="TextoNormalCaracter"/>
        </w:rPr>
        <w:t xml:space="preserve">, Sentencia </w:t>
      </w:r>
      <w:hyperlink w:anchor="SENTENCIA_2002_71" w:history="1">
        <w:r w:rsidRPr="000C3DF9">
          <w:rPr>
            <w:rStyle w:val="TextoNormalCaracter"/>
          </w:rPr>
          <w:t>71/2002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56" w:name="DESCRIPTORALFABETICO649"/>
      <w:r w:rsidRPr="000C3DF9">
        <w:rPr>
          <w:rStyle w:val="TextoNormalNegritaCaracter"/>
        </w:rPr>
        <w:t>Recurso de casación para la unificación de doctrina manifiestamente improcedente</w:t>
      </w:r>
      <w:bookmarkEnd w:id="1556"/>
      <w:r w:rsidRPr="000C3DF9">
        <w:rPr>
          <w:rStyle w:val="TextoNormalCaracter"/>
        </w:rPr>
        <w:t xml:space="preserve">, Sentencia </w:t>
      </w:r>
      <w:hyperlink w:anchor="SENTENCIA_2002_48" w:history="1">
        <w:r w:rsidRPr="000C3DF9">
          <w:rPr>
            <w:rStyle w:val="TextoNormalCaracter"/>
          </w:rPr>
          <w:t>48/2002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57" w:name="DESCRIPTORALFABETICO718"/>
      <w:r w:rsidRPr="000C3DF9">
        <w:rPr>
          <w:rStyle w:val="TextoNormalNegritaCaracter"/>
        </w:rPr>
        <w:t>Recurso de casación penal</w:t>
      </w:r>
      <w:bookmarkEnd w:id="1557"/>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2; </w:t>
      </w:r>
      <w:hyperlink w:anchor="SENTENCIA_2002_12" w:history="1">
        <w:r w:rsidRPr="000C3DF9">
          <w:rPr>
            <w:rStyle w:val="TextoNormalCaracter"/>
          </w:rPr>
          <w:t>12/2002</w:t>
        </w:r>
      </w:hyperlink>
      <w:r w:rsidRPr="000C3DF9">
        <w:rPr>
          <w:rStyle w:val="TextoNormalCaracter"/>
        </w:rPr>
        <w:t xml:space="preserve">, f. 2; </w:t>
      </w:r>
      <w:hyperlink w:anchor="SENTENCIA_2002_50" w:history="1">
        <w:r w:rsidRPr="000C3DF9">
          <w:rPr>
            <w:rStyle w:val="TextoNormalCaracter"/>
          </w:rPr>
          <w:t>50/2002</w:t>
        </w:r>
      </w:hyperlink>
      <w:r w:rsidRPr="000C3DF9">
        <w:rPr>
          <w:rStyle w:val="TextoNormalCaracter"/>
        </w:rPr>
        <w:t xml:space="preserve">, ff. 2, 3, 4, 5; </w:t>
      </w:r>
      <w:hyperlink w:anchor="SENTENCIA_2002_70" w:history="1">
        <w:r w:rsidRPr="000C3DF9">
          <w:rPr>
            <w:rStyle w:val="TextoNormalCaracter"/>
          </w:rPr>
          <w:t>70/2002</w:t>
        </w:r>
      </w:hyperlink>
      <w:r w:rsidRPr="000C3DF9">
        <w:rPr>
          <w:rStyle w:val="TextoNormalCaracter"/>
        </w:rPr>
        <w:t>, ff. 6, 7.</w:t>
      </w:r>
    </w:p>
    <w:p w:rsidR="000C3DF9" w:rsidRPr="000C3DF9" w:rsidRDefault="000C3DF9" w:rsidP="000C3DF9">
      <w:pPr>
        <w:pStyle w:val="TextoNormalSangraFrancesa"/>
        <w:rPr>
          <w:rStyle w:val="TextoNormalCaracter"/>
        </w:rPr>
      </w:pPr>
      <w:r w:rsidRPr="000C3DF9">
        <w:rPr>
          <w:rStyle w:val="TextoNormalCursivaCaracter"/>
        </w:rPr>
        <w:t xml:space="preserve">    Régimen jurídico, </w:t>
      </w:r>
      <w:r w:rsidRPr="000C3DF9">
        <w:rPr>
          <w:rStyle w:val="TextoNormalCaracter"/>
        </w:rPr>
        <w:t xml:space="preserve">Sentencia </w:t>
      </w:r>
      <w:hyperlink w:anchor="SENTENCIA_2002_50" w:history="1">
        <w:r w:rsidRPr="000C3DF9">
          <w:rPr>
            <w:rStyle w:val="TextoNormalCaracter"/>
          </w:rPr>
          <w:t>50/2002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58" w:name="DESCRIPTORALFABETICO223"/>
      <w:r w:rsidRPr="000C3DF9">
        <w:rPr>
          <w:rStyle w:val="TextoNormalNegritaCaracter"/>
        </w:rPr>
        <w:t>Recurso de inconstitucionalidad</w:t>
      </w:r>
      <w:bookmarkEnd w:id="1558"/>
      <w:r w:rsidRPr="000C3DF9">
        <w:rPr>
          <w:rStyle w:val="TextoNormalCaracter"/>
        </w:rPr>
        <w:t xml:space="preserve">, Sentencias </w:t>
      </w:r>
      <w:hyperlink w:anchor="SENTENCIA_2002_24" w:history="1">
        <w:r w:rsidRPr="000C3DF9">
          <w:rPr>
            <w:rStyle w:val="TextoNormalCaracter"/>
          </w:rPr>
          <w:t>24/2002</w:t>
        </w:r>
      </w:hyperlink>
      <w:r w:rsidRPr="000C3DF9">
        <w:rPr>
          <w:rStyle w:val="TextoNormalCaracter"/>
        </w:rPr>
        <w:t xml:space="preserve">, f. 8; </w:t>
      </w:r>
      <w:hyperlink w:anchor="SENTENCIA_2002_95" w:history="1">
        <w:r w:rsidRPr="000C3DF9">
          <w:rPr>
            <w:rStyle w:val="TextoNormalCaracter"/>
          </w:rPr>
          <w:t>95/2002</w:t>
        </w:r>
      </w:hyperlink>
      <w:r w:rsidRPr="000C3DF9">
        <w:rPr>
          <w:rStyle w:val="TextoNormalCaracter"/>
        </w:rPr>
        <w:t xml:space="preserve">, f. 20, VP II; </w:t>
      </w:r>
      <w:hyperlink w:anchor="SENTENCIA_2002_96" w:history="1">
        <w:r w:rsidRPr="000C3DF9">
          <w:rPr>
            <w:rStyle w:val="TextoNormalCaracter"/>
          </w:rPr>
          <w:t>96/2002</w:t>
        </w:r>
      </w:hyperlink>
      <w:r w:rsidRPr="000C3DF9">
        <w:rPr>
          <w:rStyle w:val="TextoNormalCaracter"/>
        </w:rPr>
        <w:t xml:space="preserve">, f. 3; </w:t>
      </w:r>
      <w:hyperlink w:anchor="SENTENCIA_2002_97" w:history="1">
        <w:r w:rsidRPr="000C3DF9">
          <w:rPr>
            <w:rStyle w:val="TextoNormalCaracter"/>
          </w:rPr>
          <w:t>97/2002</w:t>
        </w:r>
      </w:hyperlink>
      <w:r w:rsidRPr="000C3DF9">
        <w:rPr>
          <w:rStyle w:val="TextoNormalCaracter"/>
        </w:rPr>
        <w:t>, f. 8 a).</w:t>
      </w:r>
    </w:p>
    <w:p w:rsidR="000C3DF9" w:rsidRPr="000C3DF9" w:rsidRDefault="000C3DF9" w:rsidP="000C3DF9">
      <w:pPr>
        <w:pStyle w:val="TextoNormalSangraFrancesa"/>
        <w:rPr>
          <w:rStyle w:val="TextoNormalCaracter"/>
        </w:rPr>
      </w:pPr>
      <w:bookmarkStart w:id="1559" w:name="DESCRIPTORALFABETICO651"/>
      <w:r w:rsidRPr="000C3DF9">
        <w:rPr>
          <w:rStyle w:val="TextoNormalNegritaCaracter"/>
        </w:rPr>
        <w:t>Recurso de queja</w:t>
      </w:r>
      <w:bookmarkEnd w:id="1559"/>
      <w:r w:rsidRPr="000C3DF9">
        <w:rPr>
          <w:rStyle w:val="TextoNormalCaracter"/>
        </w:rPr>
        <w:t xml:space="preserve">, Sentencia </w:t>
      </w:r>
      <w:hyperlink w:anchor="SENTENCIA_2002_88" w:history="1">
        <w:r w:rsidRPr="000C3DF9">
          <w:rPr>
            <w:rStyle w:val="TextoNormalCaracter"/>
          </w:rPr>
          <w:t>88/2002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60" w:name="DESCRIPTORALFABETICO653"/>
      <w:r w:rsidRPr="000C3DF9">
        <w:rPr>
          <w:rStyle w:val="TextoNormalNegritaCaracter"/>
        </w:rPr>
        <w:t>Recurso de reposición</w:t>
      </w:r>
      <w:bookmarkEnd w:id="1560"/>
      <w:r w:rsidRPr="000C3DF9">
        <w:rPr>
          <w:rStyle w:val="TextoNormalCaracter"/>
        </w:rPr>
        <w:t xml:space="preserve">, Sentencia </w:t>
      </w:r>
      <w:hyperlink w:anchor="SENTENCIA_2002_62" w:history="1">
        <w:r w:rsidRPr="000C3DF9">
          <w:rPr>
            <w:rStyle w:val="TextoNormalCaracter"/>
          </w:rPr>
          <w:t>62/2002</w:t>
        </w:r>
      </w:hyperlink>
      <w:r w:rsidRPr="000C3DF9">
        <w:rPr>
          <w:rStyle w:val="TextoNormalCaracter"/>
        </w:rPr>
        <w:t>, ff. 2, 4.</w:t>
      </w:r>
    </w:p>
    <w:p w:rsidR="000C3DF9" w:rsidRPr="000C3DF9" w:rsidRDefault="000C3DF9" w:rsidP="000C3DF9">
      <w:pPr>
        <w:pStyle w:val="TextoNormalSangraFrancesa"/>
        <w:rPr>
          <w:rStyle w:val="TextoNormalCaracter"/>
        </w:rPr>
      </w:pPr>
      <w:bookmarkStart w:id="1561" w:name="DESCRIPTORALFABETICO673"/>
      <w:r w:rsidRPr="000C3DF9">
        <w:rPr>
          <w:rStyle w:val="TextoNormalNegritaCaracter"/>
        </w:rPr>
        <w:t>Recurso de revisión civil no exigible</w:t>
      </w:r>
      <w:bookmarkEnd w:id="1561"/>
      <w:r w:rsidRPr="000C3DF9">
        <w:rPr>
          <w:rStyle w:val="TextoNormalCaracter"/>
        </w:rPr>
        <w:t xml:space="preserve">, Sentencia </w:t>
      </w:r>
      <w:hyperlink w:anchor="SENTENCIA_2002_36" w:history="1">
        <w:r w:rsidRPr="000C3DF9">
          <w:rPr>
            <w:rStyle w:val="TextoNormalCaracter"/>
          </w:rPr>
          <w:t>36/2002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62" w:name="DESCRIPTORALFABETICO706"/>
      <w:r w:rsidRPr="000C3DF9">
        <w:rPr>
          <w:rStyle w:val="TextoNormalNegritaCaracter"/>
        </w:rPr>
        <w:t>Recurso de súplica contra Auto de prisión provisional</w:t>
      </w:r>
      <w:bookmarkEnd w:id="1562"/>
      <w:r w:rsidRPr="000C3DF9">
        <w:rPr>
          <w:rStyle w:val="TextoNormalCaracter"/>
        </w:rPr>
        <w:t xml:space="preserve">, Auto </w:t>
      </w:r>
      <w:hyperlink w:anchor="AUTO_2002_51" w:history="1">
        <w:r w:rsidRPr="000C3DF9">
          <w:rPr>
            <w:rStyle w:val="TextoNormalCaracter"/>
          </w:rPr>
          <w:t>51/2002</w:t>
        </w:r>
      </w:hyperlink>
      <w:r w:rsidRPr="000C3DF9">
        <w:rPr>
          <w:rStyle w:val="TextoNormalCaracter"/>
        </w:rPr>
        <w:t>.</w:t>
      </w:r>
    </w:p>
    <w:p w:rsidR="000C3DF9" w:rsidRPr="000C3DF9" w:rsidRDefault="000C3DF9" w:rsidP="000C3DF9">
      <w:pPr>
        <w:pStyle w:val="TextoNormalSangraFrancesa"/>
        <w:rPr>
          <w:rStyle w:val="TextoNormalCaracter"/>
        </w:rPr>
      </w:pPr>
      <w:bookmarkStart w:id="1563" w:name="DESCRIPTORALFABETICO260"/>
      <w:r w:rsidRPr="000C3DF9">
        <w:rPr>
          <w:rStyle w:val="TextoNormalNegritaCaracter"/>
        </w:rPr>
        <w:t>Recurso dudoso</w:t>
      </w:r>
      <w:bookmarkEnd w:id="1563"/>
      <w:r w:rsidRPr="000C3DF9">
        <w:rPr>
          <w:rStyle w:val="TextoNormalCaracter"/>
        </w:rPr>
        <w:t xml:space="preserve">, Sentencia </w:t>
      </w:r>
      <w:hyperlink w:anchor="SENTENCIA_2002_86" w:history="1">
        <w:r w:rsidRPr="000C3DF9">
          <w:rPr>
            <w:rStyle w:val="TextoNormalCaracter"/>
          </w:rPr>
          <w:t>86/2002</w:t>
        </w:r>
      </w:hyperlink>
      <w:r w:rsidRPr="000C3DF9">
        <w:rPr>
          <w:rStyle w:val="TextoNormalCaracter"/>
        </w:rPr>
        <w:t>, f. 2.</w:t>
      </w:r>
    </w:p>
    <w:p w:rsidR="000C3DF9" w:rsidRPr="000C3DF9" w:rsidRDefault="000C3DF9" w:rsidP="000C3DF9">
      <w:pPr>
        <w:pStyle w:val="TextoNormalSangraFrancesa"/>
        <w:rPr>
          <w:rStyle w:val="TextoNormalNegritaCaracter"/>
        </w:rPr>
      </w:pPr>
      <w:r w:rsidRPr="000C3DF9">
        <w:rPr>
          <w:rStyle w:val="TextoNormalCursivaCaracter"/>
        </w:rPr>
        <w:t>Recurso inexistente</w:t>
      </w:r>
      <w:r>
        <w:t xml:space="preserve"> véase </w:t>
      </w:r>
      <w:hyperlink w:anchor="DESCRIPTORALFABETICO638" w:history="1">
        <w:r w:rsidRPr="000C3DF9">
          <w:rPr>
            <w:rStyle w:val="TextoNormalNegritaCaracter"/>
          </w:rPr>
          <w:t>Inexistencia de recurso</w:t>
        </w:r>
      </w:hyperlink>
    </w:p>
    <w:p w:rsidR="000C3DF9" w:rsidRPr="000C3DF9" w:rsidRDefault="000C3DF9" w:rsidP="000C3DF9">
      <w:pPr>
        <w:pStyle w:val="TextoNormalSangraFrancesa"/>
        <w:rPr>
          <w:rStyle w:val="TextoNormalCaracter"/>
        </w:rPr>
      </w:pPr>
      <w:bookmarkStart w:id="1564" w:name="DESCRIPTORALFABETICO398"/>
      <w:r w:rsidRPr="000C3DF9">
        <w:rPr>
          <w:rStyle w:val="TextoNormalNegritaCaracter"/>
        </w:rPr>
        <w:t>Régimen de incompatibilidades de los funcionarios públicos</w:t>
      </w:r>
      <w:bookmarkEnd w:id="1564"/>
      <w:r w:rsidRPr="000C3DF9">
        <w:rPr>
          <w:rStyle w:val="TextoNormalCaracter"/>
        </w:rPr>
        <w:t xml:space="preserve">, Sentencia </w:t>
      </w:r>
      <w:hyperlink w:anchor="SENTENCIA_2002_67" w:history="1">
        <w:r w:rsidRPr="000C3DF9">
          <w:rPr>
            <w:rStyle w:val="TextoNormalCaracter"/>
          </w:rPr>
          <w:t>67/2002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65" w:name="DESCRIPTORALFABETICO392"/>
      <w:r w:rsidRPr="000C3DF9">
        <w:rPr>
          <w:rStyle w:val="TextoNormalNegritaCaracter"/>
        </w:rPr>
        <w:t>Régimen disciplinario de los funcionarios públicos</w:t>
      </w:r>
      <w:bookmarkEnd w:id="1565"/>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8.</w:t>
      </w:r>
    </w:p>
    <w:p w:rsidR="000C3DF9" w:rsidRPr="000C3DF9" w:rsidRDefault="000C3DF9" w:rsidP="000C3DF9">
      <w:pPr>
        <w:pStyle w:val="TextoNormalSangraFrancesa"/>
        <w:rPr>
          <w:rStyle w:val="TextoNormalCaracter"/>
        </w:rPr>
      </w:pPr>
      <w:bookmarkStart w:id="1566" w:name="DESCRIPTORALFABETICO384"/>
      <w:r w:rsidRPr="000C3DF9">
        <w:rPr>
          <w:rStyle w:val="TextoNormalNegritaCaracter"/>
        </w:rPr>
        <w:t>Régimen económico matrimonial</w:t>
      </w:r>
      <w:bookmarkEnd w:id="1566"/>
      <w:r w:rsidRPr="000C3DF9">
        <w:rPr>
          <w:rStyle w:val="TextoNormalCaracter"/>
        </w:rPr>
        <w:t xml:space="preserve">, Sentencia </w:t>
      </w:r>
      <w:hyperlink w:anchor="SENTENCIA_2002_39" w:history="1">
        <w:r w:rsidRPr="000C3DF9">
          <w:rPr>
            <w:rStyle w:val="TextoNormalCaracter"/>
          </w:rPr>
          <w:t>39/2002</w:t>
        </w:r>
      </w:hyperlink>
      <w:r w:rsidRPr="000C3DF9">
        <w:rPr>
          <w:rStyle w:val="TextoNormalCaracter"/>
        </w:rPr>
        <w:t>, f. 5.</w:t>
      </w:r>
    </w:p>
    <w:p w:rsidR="000C3DF9" w:rsidRPr="000C3DF9" w:rsidRDefault="000C3DF9" w:rsidP="000C3DF9">
      <w:pPr>
        <w:pStyle w:val="TextoNormalSangraFrancesa"/>
        <w:rPr>
          <w:rStyle w:val="TextoNormalCaracter"/>
        </w:rPr>
      </w:pPr>
      <w:bookmarkStart w:id="1567" w:name="DESCRIPTORALFABETICO49"/>
      <w:r w:rsidRPr="000C3DF9">
        <w:rPr>
          <w:rStyle w:val="TextoNormalNegritaCaracter"/>
        </w:rPr>
        <w:t>Régimen electoral</w:t>
      </w:r>
      <w:bookmarkEnd w:id="1567"/>
      <w:r w:rsidRPr="000C3DF9">
        <w:rPr>
          <w:rStyle w:val="TextoNormalCaracter"/>
        </w:rPr>
        <w:t xml:space="preserve">, Sentencia </w:t>
      </w:r>
      <w:hyperlink w:anchor="SENTENCIA_2002_80" w:history="1">
        <w:r w:rsidRPr="000C3DF9">
          <w:rPr>
            <w:rStyle w:val="TextoNormalCaracter"/>
          </w:rPr>
          <w:t>80/2002</w:t>
        </w:r>
      </w:hyperlink>
      <w:r w:rsidRPr="000C3DF9">
        <w:rPr>
          <w:rStyle w:val="TextoNormalCaracter"/>
        </w:rPr>
        <w:t>, f. 3 b).</w:t>
      </w:r>
    </w:p>
    <w:p w:rsidR="000C3DF9" w:rsidRPr="000C3DF9" w:rsidRDefault="000C3DF9" w:rsidP="000C3DF9">
      <w:pPr>
        <w:pStyle w:val="TextoNormalSangraFrancesa"/>
        <w:rPr>
          <w:rStyle w:val="TextoNormalCaracter"/>
        </w:rPr>
      </w:pPr>
      <w:bookmarkStart w:id="1568" w:name="DESCRIPTORALFABETICO316"/>
      <w:r w:rsidRPr="000C3DF9">
        <w:rPr>
          <w:rStyle w:val="TextoNormalNegritaCaracter"/>
        </w:rPr>
        <w:t>Reglamentos parlamentarios</w:t>
      </w:r>
      <w:bookmarkEnd w:id="1568"/>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lastRenderedPageBreak/>
        <w:t>Reintegro de cantidad</w:t>
      </w:r>
      <w:r>
        <w:t xml:space="preserve"> véase </w:t>
      </w:r>
      <w:hyperlink w:anchor="DESCRIPTORALFABETICO362" w:history="1">
        <w:r w:rsidRPr="000C3DF9">
          <w:rPr>
            <w:rStyle w:val="TextoNormalNegritaCaracter"/>
          </w:rPr>
          <w:t>Pago de una cantidad</w:t>
        </w:r>
      </w:hyperlink>
    </w:p>
    <w:p w:rsidR="000C3DF9" w:rsidRPr="000C3DF9" w:rsidRDefault="000C3DF9" w:rsidP="000C3DF9">
      <w:pPr>
        <w:pStyle w:val="TextoNormalSangraFrancesa"/>
        <w:rPr>
          <w:rStyle w:val="TextoNormalCaracter"/>
        </w:rPr>
      </w:pPr>
      <w:bookmarkStart w:id="1569" w:name="DESCRIPTORALFABETICO505"/>
      <w:r w:rsidRPr="000C3DF9">
        <w:rPr>
          <w:rStyle w:val="TextoNormalNegritaCaracter"/>
        </w:rPr>
        <w:t>Relaciones laborales</w:t>
      </w:r>
      <w:bookmarkEnd w:id="1569"/>
      <w:r w:rsidRPr="000C3DF9">
        <w:rPr>
          <w:rStyle w:val="TextoNormalCaracter"/>
        </w:rPr>
        <w:t xml:space="preserve">, Sentencias </w:t>
      </w:r>
      <w:hyperlink w:anchor="SENTENCIA_2002_20" w:history="1">
        <w:r w:rsidRPr="000C3DF9">
          <w:rPr>
            <w:rStyle w:val="TextoNormalCaracter"/>
          </w:rPr>
          <w:t>20/2002</w:t>
        </w:r>
      </w:hyperlink>
      <w:r w:rsidRPr="000C3DF9">
        <w:rPr>
          <w:rStyle w:val="TextoNormalCaracter"/>
        </w:rPr>
        <w:t xml:space="preserve">, ff. 3, 4; </w:t>
      </w:r>
      <w:hyperlink w:anchor="SENTENCIA_2002_41" w:history="1">
        <w:r w:rsidRPr="000C3DF9">
          <w:rPr>
            <w:rStyle w:val="TextoNormalCaracter"/>
          </w:rPr>
          <w:t>41/2002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70" w:name="DESCRIPTORALFABETICO150"/>
      <w:r w:rsidRPr="000C3DF9">
        <w:rPr>
          <w:rStyle w:val="TextoNormalNegritaCaracter"/>
        </w:rPr>
        <w:t>Relevancia pública de la información</w:t>
      </w:r>
      <w:bookmarkEnd w:id="1570"/>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 7; </w:t>
      </w:r>
      <w:hyperlink w:anchor="SENTENCIA_2002_52" w:history="1">
        <w:r w:rsidRPr="000C3DF9">
          <w:rPr>
            <w:rStyle w:val="TextoNormalCaracter"/>
          </w:rPr>
          <w:t>52/2002</w:t>
        </w:r>
      </w:hyperlink>
      <w:r w:rsidRPr="000C3DF9">
        <w:rPr>
          <w:rStyle w:val="TextoNormalCaracter"/>
        </w:rPr>
        <w:t xml:space="preserve">, f. 8; </w:t>
      </w:r>
      <w:hyperlink w:anchor="SENTENCIA_2002_83" w:history="1">
        <w:r w:rsidRPr="000C3DF9">
          <w:rPr>
            <w:rStyle w:val="TextoNormalCaracter"/>
          </w:rPr>
          <w:t>83/2002</w:t>
        </w:r>
      </w:hyperlink>
      <w:r w:rsidRPr="000C3DF9">
        <w:rPr>
          <w:rStyle w:val="TextoNormalCaracter"/>
        </w:rPr>
        <w:t>, f. 5.</w:t>
      </w:r>
    </w:p>
    <w:p w:rsidR="000C3DF9" w:rsidRPr="000C3DF9" w:rsidRDefault="000C3DF9" w:rsidP="000C3DF9">
      <w:pPr>
        <w:pStyle w:val="TextoNormalSangraFrancesa"/>
        <w:rPr>
          <w:rStyle w:val="TextoNormalCaracter"/>
        </w:rPr>
      </w:pPr>
      <w:bookmarkStart w:id="1571" w:name="DESCRIPTORALFABETICO449"/>
      <w:r w:rsidRPr="000C3DF9">
        <w:rPr>
          <w:rStyle w:val="TextoNormalNegritaCaracter"/>
        </w:rPr>
        <w:t>Remisión a normas reglamentarias</w:t>
      </w:r>
      <w:bookmarkEnd w:id="1571"/>
      <w:r w:rsidRPr="000C3DF9">
        <w:rPr>
          <w:rStyle w:val="TextoNormalCaracter"/>
        </w:rPr>
        <w:t xml:space="preserve">, Sentencias </w:t>
      </w:r>
      <w:hyperlink w:anchor="SENTENCIA_2002_25" w:history="1">
        <w:r w:rsidRPr="000C3DF9">
          <w:rPr>
            <w:rStyle w:val="TextoNormalCaracter"/>
          </w:rPr>
          <w:t>25/2002</w:t>
        </w:r>
      </w:hyperlink>
      <w:r w:rsidRPr="000C3DF9">
        <w:rPr>
          <w:rStyle w:val="TextoNormalCaracter"/>
        </w:rPr>
        <w:t xml:space="preserve">, f. 5; </w:t>
      </w:r>
      <w:hyperlink w:anchor="SENTENCIA_2002_96" w:history="1">
        <w:r w:rsidRPr="000C3DF9">
          <w:rPr>
            <w:rStyle w:val="TextoNormalCaracter"/>
          </w:rPr>
          <w:t>96/2002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Remisión al reglamento</w:t>
      </w:r>
      <w:r>
        <w:t xml:space="preserve"> véase </w:t>
      </w:r>
      <w:hyperlink w:anchor="DESCRIPTORALFABETICO449" w:history="1">
        <w:r w:rsidRPr="000C3DF9">
          <w:rPr>
            <w:rStyle w:val="TextoNormalNegritaCaracter"/>
          </w:rPr>
          <w:t>Remisión a normas reglamentarias</w:t>
        </w:r>
      </w:hyperlink>
    </w:p>
    <w:p w:rsidR="000C3DF9" w:rsidRPr="000C3DF9" w:rsidRDefault="000C3DF9" w:rsidP="000C3DF9">
      <w:pPr>
        <w:pStyle w:val="TextoNormalSangraFrancesa"/>
        <w:rPr>
          <w:rStyle w:val="TextoNormalCaracter"/>
        </w:rPr>
      </w:pPr>
      <w:bookmarkStart w:id="1572" w:name="DESCRIPTORALFABETICO149"/>
      <w:r w:rsidRPr="000C3DF9">
        <w:rPr>
          <w:rStyle w:val="TextoNormalNegritaCaracter"/>
        </w:rPr>
        <w:t>Reportaje neutral</w:t>
      </w:r>
      <w:bookmarkEnd w:id="1572"/>
      <w:r w:rsidRPr="000C3DF9">
        <w:rPr>
          <w:rStyle w:val="TextoNormalCaracter"/>
        </w:rPr>
        <w:t xml:space="preserve">, Sentencia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573" w:name="DESCRIPTORALFABETICO205"/>
      <w:r w:rsidRPr="000C3DF9">
        <w:rPr>
          <w:rStyle w:val="TextoNormalNegritaCaracter"/>
        </w:rPr>
        <w:t>Requerimiento de incompetencia</w:t>
      </w:r>
      <w:bookmarkEnd w:id="1573"/>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2.</w:t>
      </w:r>
    </w:p>
    <w:p w:rsidR="000C3DF9" w:rsidRPr="000C3DF9" w:rsidRDefault="000C3DF9" w:rsidP="000C3DF9">
      <w:pPr>
        <w:pStyle w:val="TextoNormalSangraFrancesa"/>
        <w:rPr>
          <w:rStyle w:val="TextoNormalCaracter"/>
        </w:rPr>
      </w:pPr>
      <w:bookmarkStart w:id="1574" w:name="DESCRIPTORALFABETICO126"/>
      <w:r w:rsidRPr="000C3DF9">
        <w:rPr>
          <w:rStyle w:val="TextoNormalNegritaCaracter"/>
        </w:rPr>
        <w:t>Requisitos de la intervención telefónica</w:t>
      </w:r>
      <w:bookmarkEnd w:id="1574"/>
      <w:r w:rsidRPr="000C3DF9">
        <w:rPr>
          <w:rStyle w:val="TextoNormalCaracter"/>
        </w:rPr>
        <w:t xml:space="preserve">, Sentencia </w:t>
      </w:r>
      <w:hyperlink w:anchor="SENTENCIA_2002_82" w:history="1">
        <w:r w:rsidRPr="000C3DF9">
          <w:rPr>
            <w:rStyle w:val="TextoNormalCaracter"/>
          </w:rPr>
          <w:t>82/2002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75" w:name="DESCRIPTORALFABETICO429"/>
      <w:r w:rsidRPr="000C3DF9">
        <w:rPr>
          <w:rStyle w:val="TextoNormalNegritaCaracter"/>
        </w:rPr>
        <w:t>Requisitos formales de la normativa básica</w:t>
      </w:r>
      <w:bookmarkEnd w:id="1575"/>
      <w:r w:rsidRPr="000C3DF9">
        <w:rPr>
          <w:rStyle w:val="TextoNormalCaracter"/>
        </w:rPr>
        <w:t xml:space="preserve">, Sentencias </w:t>
      </w:r>
      <w:hyperlink w:anchor="SENTENCIA_2002_24" w:history="1">
        <w:r w:rsidRPr="000C3DF9">
          <w:rPr>
            <w:rStyle w:val="TextoNormalCaracter"/>
          </w:rPr>
          <w:t>24/2002</w:t>
        </w:r>
      </w:hyperlink>
      <w:r w:rsidRPr="000C3DF9">
        <w:rPr>
          <w:rStyle w:val="TextoNormalCaracter"/>
        </w:rPr>
        <w:t xml:space="preserve">, f. 6; </w:t>
      </w:r>
      <w:hyperlink w:anchor="SENTENCIA_2002_37" w:history="1">
        <w:r w:rsidRPr="000C3DF9">
          <w:rPr>
            <w:rStyle w:val="TextoNormalCaracter"/>
          </w:rPr>
          <w:t>37/2002</w:t>
        </w:r>
      </w:hyperlink>
      <w:r w:rsidRPr="000C3DF9">
        <w:rPr>
          <w:rStyle w:val="TextoNormalCaracter"/>
        </w:rPr>
        <w:t>, f. 9.</w:t>
      </w:r>
    </w:p>
    <w:p w:rsidR="000C3DF9" w:rsidRPr="000C3DF9" w:rsidRDefault="000C3DF9" w:rsidP="000C3DF9">
      <w:pPr>
        <w:pStyle w:val="TextoNormalSangraFrancesa"/>
        <w:rPr>
          <w:rStyle w:val="TextoNormalCaracter"/>
        </w:rPr>
      </w:pPr>
      <w:bookmarkStart w:id="1576" w:name="DESCRIPTORALFABETICO308"/>
      <w:r w:rsidRPr="000C3DF9">
        <w:rPr>
          <w:rStyle w:val="TextoNormalNegritaCaracter"/>
        </w:rPr>
        <w:t>Requisitos para la constitución de grupos parlamentarios</w:t>
      </w:r>
      <w:bookmarkEnd w:id="1576"/>
      <w:r w:rsidRPr="000C3DF9">
        <w:rPr>
          <w:rStyle w:val="TextoNormalCaracter"/>
        </w:rPr>
        <w:t xml:space="preserve">, Sentencia </w:t>
      </w:r>
      <w:hyperlink w:anchor="SENTENCIA_2002_64" w:history="1">
        <w:r w:rsidRPr="000C3DF9">
          <w:rPr>
            <w:rStyle w:val="TextoNormalCaracter"/>
          </w:rPr>
          <w:t>64/2002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77" w:name="DESCRIPTORALFABETICO453"/>
      <w:r w:rsidRPr="000C3DF9">
        <w:rPr>
          <w:rStyle w:val="TextoNormalNegritaCaracter"/>
        </w:rPr>
        <w:t>Reserva de ley</w:t>
      </w:r>
      <w:bookmarkEnd w:id="1577"/>
      <w:r w:rsidRPr="000C3DF9">
        <w:rPr>
          <w:rStyle w:val="TextoNormalCaracter"/>
        </w:rPr>
        <w:t xml:space="preserve">, Sentencias </w:t>
      </w:r>
      <w:hyperlink w:anchor="SENTENCIA_2002_11" w:history="1">
        <w:r w:rsidRPr="000C3DF9">
          <w:rPr>
            <w:rStyle w:val="TextoNormalCaracter"/>
          </w:rPr>
          <w:t>11/2002</w:t>
        </w:r>
      </w:hyperlink>
      <w:r w:rsidRPr="000C3DF9">
        <w:rPr>
          <w:rStyle w:val="TextoNormalCaracter"/>
        </w:rPr>
        <w:t xml:space="preserve">, f. 11; </w:t>
      </w:r>
      <w:hyperlink w:anchor="SENTENCIA_2002_26" w:history="1">
        <w:r w:rsidRPr="000C3DF9">
          <w:rPr>
            <w:rStyle w:val="TextoNormalCaracter"/>
          </w:rPr>
          <w:t>26/2002</w:t>
        </w:r>
      </w:hyperlink>
      <w:r w:rsidRPr="000C3DF9">
        <w:rPr>
          <w:rStyle w:val="TextoNormalCaracter"/>
        </w:rPr>
        <w:t xml:space="preserve">, f. 3; </w:t>
      </w:r>
      <w:hyperlink w:anchor="SENTENCIA_2002_37" w:history="1">
        <w:r w:rsidRPr="000C3DF9">
          <w:rPr>
            <w:rStyle w:val="TextoNormalCaracter"/>
          </w:rPr>
          <w:t>37/2002</w:t>
        </w:r>
      </w:hyperlink>
      <w:r w:rsidRPr="000C3DF9">
        <w:rPr>
          <w:rStyle w:val="TextoNormalCaracter"/>
        </w:rPr>
        <w:t xml:space="preserve">, ff. 5, 6; </w:t>
      </w:r>
      <w:hyperlink w:anchor="SENTENCIA_2002_96" w:history="1">
        <w:r w:rsidRPr="000C3DF9">
          <w:rPr>
            <w:rStyle w:val="TextoNormalCaracter"/>
          </w:rPr>
          <w:t>96/2002</w:t>
        </w:r>
      </w:hyperlink>
      <w:r w:rsidRPr="000C3DF9">
        <w:rPr>
          <w:rStyle w:val="TextoNormalCaracter"/>
        </w:rPr>
        <w:t>, f. 5.</w:t>
      </w:r>
    </w:p>
    <w:p w:rsidR="000C3DF9" w:rsidRPr="000C3DF9" w:rsidRDefault="000C3DF9" w:rsidP="000C3DF9">
      <w:pPr>
        <w:pStyle w:val="TextoNormalSangraFrancesa"/>
        <w:rPr>
          <w:rStyle w:val="TextoNormalCaracter"/>
        </w:rPr>
      </w:pPr>
      <w:bookmarkStart w:id="1578" w:name="DESCRIPTORALFABETICO454"/>
      <w:r w:rsidRPr="000C3DF9">
        <w:rPr>
          <w:rStyle w:val="TextoNormalNegritaCaracter"/>
        </w:rPr>
        <w:t>Reserva de ley orgánica</w:t>
      </w:r>
      <w:bookmarkEnd w:id="1578"/>
      <w:r w:rsidRPr="000C3DF9">
        <w:rPr>
          <w:rStyle w:val="TextoNormalCaracter"/>
        </w:rPr>
        <w:t xml:space="preserve">, Sentencias </w:t>
      </w:r>
      <w:hyperlink w:anchor="SENTENCIA_2002_53" w:history="1">
        <w:r w:rsidRPr="000C3DF9">
          <w:rPr>
            <w:rStyle w:val="TextoNormalCaracter"/>
          </w:rPr>
          <w:t>53/2002</w:t>
        </w:r>
      </w:hyperlink>
      <w:r w:rsidRPr="000C3DF9">
        <w:rPr>
          <w:rStyle w:val="TextoNormalCaracter"/>
        </w:rPr>
        <w:t xml:space="preserve">, ff. 4, 12, 13, 14; </w:t>
      </w:r>
      <w:hyperlink w:anchor="SENTENCIA_2002_80" w:history="1">
        <w:r w:rsidRPr="000C3DF9">
          <w:rPr>
            <w:rStyle w:val="TextoNormalCaracter"/>
          </w:rPr>
          <w:t>80/2002</w:t>
        </w:r>
      </w:hyperlink>
      <w:r w:rsidRPr="000C3DF9">
        <w:rPr>
          <w:rStyle w:val="TextoNormalCaracter"/>
        </w:rPr>
        <w:t>, f. 3.</w:t>
      </w:r>
    </w:p>
    <w:p w:rsidR="000C3DF9" w:rsidRPr="000C3DF9" w:rsidRDefault="000C3DF9" w:rsidP="000C3DF9">
      <w:pPr>
        <w:pStyle w:val="TextoNormalSangraFrancesa"/>
        <w:rPr>
          <w:rStyle w:val="TextoNormalCaracter"/>
        </w:rPr>
      </w:pPr>
      <w:bookmarkStart w:id="1579" w:name="DESCRIPTORALFABETICO486"/>
      <w:r w:rsidRPr="000C3DF9">
        <w:rPr>
          <w:rStyle w:val="TextoNormalNegritaCaracter"/>
        </w:rPr>
        <w:t>Reserva marina</w:t>
      </w:r>
      <w:bookmarkEnd w:id="1579"/>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11.</w:t>
      </w:r>
    </w:p>
    <w:p w:rsidR="000C3DF9" w:rsidRPr="000C3DF9" w:rsidRDefault="000C3DF9" w:rsidP="000C3DF9">
      <w:pPr>
        <w:pStyle w:val="TextoNormalSangraFrancesa"/>
        <w:rPr>
          <w:rStyle w:val="TextoNormalCaracter"/>
        </w:rPr>
      </w:pPr>
      <w:bookmarkStart w:id="1580" w:name="DESCRIPTORALFABETICO341"/>
      <w:r w:rsidRPr="000C3DF9">
        <w:rPr>
          <w:rStyle w:val="TextoNormalNegritaCaracter"/>
        </w:rPr>
        <w:t>Residencia</w:t>
      </w:r>
      <w:bookmarkEnd w:id="1580"/>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8, VP I, VP II.</w:t>
      </w:r>
    </w:p>
    <w:p w:rsidR="000C3DF9" w:rsidRPr="000C3DF9" w:rsidRDefault="000C3DF9" w:rsidP="000C3DF9">
      <w:pPr>
        <w:pStyle w:val="TextoNormalSangraFrancesa"/>
        <w:rPr>
          <w:rStyle w:val="TextoNormalCaracter"/>
        </w:rPr>
      </w:pPr>
      <w:bookmarkStart w:id="1581" w:name="DESCRIPTORALFABETICO319"/>
      <w:r w:rsidRPr="000C3DF9">
        <w:rPr>
          <w:rStyle w:val="TextoNormalNegritaCaracter"/>
        </w:rPr>
        <w:t>Residentes en la Unión Europea</w:t>
      </w:r>
      <w:bookmarkEnd w:id="1581"/>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8 a 10, VP I, VP II.</w:t>
      </w:r>
    </w:p>
    <w:p w:rsidR="000C3DF9" w:rsidRPr="000C3DF9" w:rsidRDefault="000C3DF9" w:rsidP="000C3DF9">
      <w:pPr>
        <w:pStyle w:val="TextoNormalSangraFrancesa"/>
        <w:rPr>
          <w:rStyle w:val="TextoNormalCaracter"/>
        </w:rPr>
      </w:pPr>
      <w:bookmarkStart w:id="1582" w:name="DESCRIPTORALFABETICO102"/>
      <w:r w:rsidRPr="000C3DF9">
        <w:rPr>
          <w:rStyle w:val="TextoNormalNegritaCaracter"/>
        </w:rPr>
        <w:t>Resolución fundada en Derecho</w:t>
      </w:r>
      <w:bookmarkEnd w:id="1582"/>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ff. 4 a 6.</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82" w:history="1">
        <w:r w:rsidRPr="000C3DF9">
          <w:rPr>
            <w:rStyle w:val="TextoNormalCaracter"/>
          </w:rPr>
          <w:t>82/2002</w:t>
        </w:r>
      </w:hyperlink>
      <w:r w:rsidRPr="000C3DF9">
        <w:rPr>
          <w:rStyle w:val="TextoNormalCaracter"/>
        </w:rPr>
        <w:t>, f. 7.</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 </w:t>
      </w:r>
      <w:hyperlink w:anchor="SENTENCIA_2002_82" w:history="1">
        <w:r w:rsidRPr="000C3DF9">
          <w:rPr>
            <w:rStyle w:val="TextoNormalCaracter"/>
          </w:rPr>
          <w:t>82/2002</w:t>
        </w:r>
      </w:hyperlink>
      <w:r w:rsidRPr="000C3DF9">
        <w:rPr>
          <w:rStyle w:val="TextoNormalCaracter"/>
        </w:rPr>
        <w:t>, f. 8.</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49" w:history="1">
        <w:r w:rsidRPr="000C3DF9">
          <w:rPr>
            <w:rStyle w:val="TextoNormalCaracter"/>
          </w:rPr>
          <w:t>49/2002</w:t>
        </w:r>
      </w:hyperlink>
      <w:r w:rsidRPr="000C3DF9">
        <w:rPr>
          <w:rStyle w:val="TextoNormalCaracter"/>
        </w:rPr>
        <w:t xml:space="preserve">, f. 3; </w:t>
      </w:r>
      <w:hyperlink w:anchor="SENTENCIA_2002_63" w:history="1">
        <w:r w:rsidRPr="000C3DF9">
          <w:rPr>
            <w:rStyle w:val="TextoNormalCaracter"/>
          </w:rPr>
          <w:t>63/2002</w:t>
        </w:r>
      </w:hyperlink>
      <w:r w:rsidRPr="000C3DF9">
        <w:rPr>
          <w:rStyle w:val="TextoNormalCaracter"/>
        </w:rPr>
        <w:t>, ff. 4 a 6.</w:t>
      </w:r>
    </w:p>
    <w:p w:rsidR="000C3DF9" w:rsidRPr="000C3DF9" w:rsidRDefault="000C3DF9" w:rsidP="000C3DF9">
      <w:pPr>
        <w:pStyle w:val="TextoNormalSangraFrancesa"/>
        <w:rPr>
          <w:rStyle w:val="TextoNormalCaracter"/>
        </w:rPr>
      </w:pPr>
      <w:bookmarkStart w:id="1583" w:name="DESCRIPTORALFABETICO292"/>
      <w:r w:rsidRPr="000C3DF9">
        <w:rPr>
          <w:rStyle w:val="TextoNormalNegritaCaracter"/>
        </w:rPr>
        <w:t>Resoluciones de Juzgados de Vigilancia Penitenciaria</w:t>
      </w:r>
      <w:bookmarkEnd w:id="1583"/>
      <w:r w:rsidRPr="000C3DF9">
        <w:rPr>
          <w:rStyle w:val="TextoNormalCaracter"/>
        </w:rPr>
        <w:t xml:space="preserve">, Sentencia </w:t>
      </w:r>
      <w:hyperlink w:anchor="SENTENCIA_2002_65" w:history="1">
        <w:r w:rsidRPr="000C3DF9">
          <w:rPr>
            <w:rStyle w:val="TextoNormalCaracter"/>
          </w:rPr>
          <w:t>65/2002</w:t>
        </w:r>
      </w:hyperlink>
      <w:r w:rsidRPr="000C3DF9">
        <w:rPr>
          <w:rStyle w:val="TextoNormalCaracter"/>
        </w:rPr>
        <w:t>, ff. 2, 4.</w:t>
      </w:r>
    </w:p>
    <w:p w:rsidR="000C3DF9" w:rsidRPr="000C3DF9" w:rsidRDefault="000C3DF9" w:rsidP="000C3DF9">
      <w:pPr>
        <w:pStyle w:val="TextoNormalSangraFrancesa"/>
        <w:rPr>
          <w:rStyle w:val="TextoNormalCaracter"/>
        </w:rPr>
      </w:pPr>
      <w:bookmarkStart w:id="1584" w:name="DESCRIPTORALFABETICO336"/>
      <w:r w:rsidRPr="000C3DF9">
        <w:rPr>
          <w:rStyle w:val="TextoNormalNegritaCaracter"/>
        </w:rPr>
        <w:t>Respeto a la ley</w:t>
      </w:r>
      <w:bookmarkEnd w:id="1584"/>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9.</w:t>
      </w:r>
    </w:p>
    <w:p w:rsidR="000C3DF9" w:rsidRPr="000C3DF9" w:rsidRDefault="000C3DF9" w:rsidP="000C3DF9">
      <w:pPr>
        <w:pStyle w:val="TextoNormalSangraFrancesa"/>
        <w:rPr>
          <w:rStyle w:val="TextoNormalNegritaCaracter"/>
        </w:rPr>
      </w:pPr>
      <w:r w:rsidRPr="000C3DF9">
        <w:rPr>
          <w:rStyle w:val="TextoNormalCursivaCaracter"/>
        </w:rPr>
        <w:t>Responsabilidad penal subsidiaria</w:t>
      </w:r>
      <w:r>
        <w:t xml:space="preserve"> véase </w:t>
      </w:r>
      <w:hyperlink w:anchor="DESCRIPTORALFABETICO473" w:history="1">
        <w:r w:rsidRPr="000C3DF9">
          <w:rPr>
            <w:rStyle w:val="TextoNormalNegritaCaracter"/>
          </w:rPr>
          <w:t>Responsabilidad personal subsidiaria</w:t>
        </w:r>
      </w:hyperlink>
    </w:p>
    <w:p w:rsidR="000C3DF9" w:rsidRPr="000C3DF9" w:rsidRDefault="000C3DF9" w:rsidP="000C3DF9">
      <w:pPr>
        <w:pStyle w:val="TextoNormalSangraFrancesa"/>
        <w:rPr>
          <w:rStyle w:val="TextoNormalCaracter"/>
        </w:rPr>
      </w:pPr>
      <w:bookmarkStart w:id="1585" w:name="DESCRIPTORALFABETICO473"/>
      <w:r w:rsidRPr="000C3DF9">
        <w:rPr>
          <w:rStyle w:val="TextoNormalNegritaCaracter"/>
        </w:rPr>
        <w:t>Responsabilidad personal subsidiaria</w:t>
      </w:r>
      <w:bookmarkEnd w:id="1585"/>
      <w:r w:rsidRPr="000C3DF9">
        <w:rPr>
          <w:rStyle w:val="TextoNormalCaracter"/>
        </w:rPr>
        <w:t xml:space="preserve">, Autos </w:t>
      </w:r>
      <w:hyperlink w:anchor="AUTO_2002_35" w:history="1">
        <w:r w:rsidRPr="000C3DF9">
          <w:rPr>
            <w:rStyle w:val="TextoNormalCaracter"/>
          </w:rPr>
          <w:t>35/2002</w:t>
        </w:r>
      </w:hyperlink>
      <w:r w:rsidRPr="000C3DF9">
        <w:rPr>
          <w:rStyle w:val="TextoNormalCaracter"/>
        </w:rPr>
        <w:t xml:space="preserve">; </w:t>
      </w:r>
      <w:hyperlink w:anchor="AUTO_2002_41" w:history="1">
        <w:r w:rsidRPr="000C3DF9">
          <w:rPr>
            <w:rStyle w:val="TextoNormalCaracter"/>
          </w:rPr>
          <w:t>41/2002</w:t>
        </w:r>
      </w:hyperlink>
      <w:r w:rsidRPr="000C3DF9">
        <w:rPr>
          <w:rStyle w:val="TextoNormalCaracter"/>
        </w:rPr>
        <w:t xml:space="preserve">; </w:t>
      </w:r>
      <w:hyperlink w:anchor="AUTO_2002_58" w:history="1">
        <w:r w:rsidRPr="000C3DF9">
          <w:rPr>
            <w:rStyle w:val="TextoNormalCaracter"/>
          </w:rPr>
          <w:t>58/2002</w:t>
        </w:r>
      </w:hyperlink>
      <w:r w:rsidRPr="000C3DF9">
        <w:rPr>
          <w:rStyle w:val="TextoNormalCaracter"/>
        </w:rPr>
        <w:t>.</w:t>
      </w:r>
    </w:p>
    <w:p w:rsidR="000C3DF9" w:rsidRPr="000C3DF9" w:rsidRDefault="000C3DF9" w:rsidP="000C3DF9">
      <w:pPr>
        <w:pStyle w:val="TextoNormalSangraFrancesa"/>
        <w:rPr>
          <w:rStyle w:val="TextoNormalCaracter"/>
        </w:rPr>
      </w:pPr>
      <w:bookmarkStart w:id="1586" w:name="DESCRIPTORALFABETICO415"/>
      <w:r w:rsidRPr="000C3DF9">
        <w:rPr>
          <w:rStyle w:val="TextoNormalNegritaCaracter"/>
        </w:rPr>
        <w:t>Responsabilidad por incumplimiento del Derecho de la Unión Europea</w:t>
      </w:r>
      <w:bookmarkEnd w:id="1586"/>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10.</w:t>
      </w:r>
    </w:p>
    <w:p w:rsidR="000C3DF9" w:rsidRPr="000C3DF9" w:rsidRDefault="000C3DF9" w:rsidP="000C3DF9">
      <w:pPr>
        <w:pStyle w:val="TextoNormalSangraFrancesa"/>
        <w:rPr>
          <w:rStyle w:val="TextoNormalNegritaCaracter"/>
        </w:rPr>
      </w:pPr>
      <w:r w:rsidRPr="000C3DF9">
        <w:rPr>
          <w:rStyle w:val="TextoNormalCursivaCaracter"/>
        </w:rPr>
        <w:t>Retirada de permiso de conducir</w:t>
      </w:r>
      <w:r>
        <w:t xml:space="preserve"> véase </w:t>
      </w:r>
      <w:hyperlink w:anchor="DESCRIPTORALFABETICO368" w:history="1">
        <w:r w:rsidRPr="000C3DF9">
          <w:rPr>
            <w:rStyle w:val="TextoNormalNegritaCaracter"/>
          </w:rPr>
          <w:t>Suspensión de permiso de conducir</w:t>
        </w:r>
      </w:hyperlink>
    </w:p>
    <w:p w:rsidR="000C3DF9" w:rsidRPr="000C3DF9" w:rsidRDefault="000C3DF9" w:rsidP="000C3DF9">
      <w:pPr>
        <w:pStyle w:val="TextoNormalSangraFrancesa"/>
        <w:rPr>
          <w:rStyle w:val="TextoNormalCaracter"/>
        </w:rPr>
      </w:pPr>
      <w:bookmarkStart w:id="1587" w:name="DESCRIPTORALFABETICO394"/>
      <w:r w:rsidRPr="000C3DF9">
        <w:rPr>
          <w:rStyle w:val="TextoNormalNegritaCaracter"/>
        </w:rPr>
        <w:t>Retribuciones de empleados públicos</w:t>
      </w:r>
      <w:bookmarkEnd w:id="1587"/>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ff. 6 a 10.</w:t>
      </w:r>
    </w:p>
    <w:p w:rsidR="000C3DF9" w:rsidRPr="000C3DF9" w:rsidRDefault="000C3DF9" w:rsidP="000C3DF9">
      <w:pPr>
        <w:pStyle w:val="TextoNormalSangraFrancesa"/>
        <w:rPr>
          <w:rStyle w:val="TextoNormalNegritaCaracter"/>
        </w:rPr>
      </w:pPr>
      <w:r w:rsidRPr="000C3DF9">
        <w:rPr>
          <w:rStyle w:val="TextoNormalCursivaCaracter"/>
        </w:rPr>
        <w:t>Retribuciones de personal</w:t>
      </w:r>
      <w:r>
        <w:t xml:space="preserve"> véase </w:t>
      </w:r>
      <w:hyperlink w:anchor="DESCRIPTORALFABETICO394" w:history="1">
        <w:r w:rsidRPr="000C3DF9">
          <w:rPr>
            <w:rStyle w:val="TextoNormalNegritaCaracter"/>
          </w:rPr>
          <w:t>Retribuciones de empleados públicos</w:t>
        </w:r>
      </w:hyperlink>
    </w:p>
    <w:p w:rsidR="000C3DF9" w:rsidRPr="000C3DF9" w:rsidRDefault="000C3DF9" w:rsidP="000C3DF9">
      <w:pPr>
        <w:pStyle w:val="TextoNormalSangraFrancesa"/>
        <w:rPr>
          <w:rStyle w:val="TextoNormalNegritaCaracter"/>
        </w:rPr>
      </w:pPr>
      <w:r w:rsidRPr="000C3DF9">
        <w:rPr>
          <w:rStyle w:val="TextoNormalCursivaCaracter"/>
        </w:rPr>
        <w:t>Retribuciones en el sector público</w:t>
      </w:r>
      <w:r>
        <w:t xml:space="preserve"> véase </w:t>
      </w:r>
      <w:hyperlink w:anchor="DESCRIPTORALFABETICO394" w:history="1">
        <w:r w:rsidRPr="000C3DF9">
          <w:rPr>
            <w:rStyle w:val="TextoNormalNegritaCaracter"/>
          </w:rPr>
          <w:t>Retribuciones de empleados públicos</w:t>
        </w:r>
      </w:hyperlink>
    </w:p>
    <w:p w:rsidR="000C3DF9" w:rsidRPr="000C3DF9" w:rsidRDefault="000C3DF9" w:rsidP="000C3DF9">
      <w:pPr>
        <w:pStyle w:val="TextoNormalSangraFrancesa"/>
        <w:rPr>
          <w:rStyle w:val="TextoNormalCaracter"/>
        </w:rPr>
      </w:pPr>
      <w:bookmarkStart w:id="1588" w:name="DESCRIPTORALFABETICO546"/>
      <w:r w:rsidRPr="000C3DF9">
        <w:rPr>
          <w:rStyle w:val="TextoNormalNegritaCaracter"/>
        </w:rPr>
        <w:t>Retroacción de actuaciones al momento de dictar sentencia</w:t>
      </w:r>
      <w:bookmarkEnd w:id="1588"/>
      <w:r w:rsidRPr="000C3DF9">
        <w:rPr>
          <w:rStyle w:val="TextoNormalCaracter"/>
        </w:rPr>
        <w:t xml:space="preserve">, Sentencias </w:t>
      </w:r>
      <w:hyperlink w:anchor="SENTENCIA_2002_6" w:history="1">
        <w:r w:rsidRPr="000C3DF9">
          <w:rPr>
            <w:rStyle w:val="TextoNormalCaracter"/>
          </w:rPr>
          <w:t>6/2002</w:t>
        </w:r>
      </w:hyperlink>
      <w:r w:rsidRPr="000C3DF9">
        <w:rPr>
          <w:rStyle w:val="TextoNormalCaracter"/>
        </w:rPr>
        <w:t xml:space="preserve">, f. 5; </w:t>
      </w:r>
      <w:hyperlink w:anchor="SENTENCIA_2002_28" w:history="1">
        <w:r w:rsidRPr="000C3DF9">
          <w:rPr>
            <w:rStyle w:val="TextoNormalCaracter"/>
          </w:rPr>
          <w:t>28/2002</w:t>
        </w:r>
      </w:hyperlink>
      <w:r w:rsidRPr="000C3DF9">
        <w:rPr>
          <w:rStyle w:val="TextoNormalCaracter"/>
        </w:rPr>
        <w:t xml:space="preserve">, f. 6; </w:t>
      </w:r>
      <w:hyperlink w:anchor="SENTENCIA_2002_34" w:history="1">
        <w:r w:rsidRPr="000C3DF9">
          <w:rPr>
            <w:rStyle w:val="TextoNormalCaracter"/>
          </w:rPr>
          <w:t>34/2002</w:t>
        </w:r>
      </w:hyperlink>
      <w:r w:rsidRPr="000C3DF9">
        <w:rPr>
          <w:rStyle w:val="TextoNormalCaracter"/>
        </w:rPr>
        <w:t xml:space="preserve">, f. 7; </w:t>
      </w:r>
      <w:hyperlink w:anchor="SENTENCIA_2002_49" w:history="1">
        <w:r w:rsidRPr="000C3DF9">
          <w:rPr>
            <w:rStyle w:val="TextoNormalCaracter"/>
          </w:rPr>
          <w:t>49/2002</w:t>
        </w:r>
      </w:hyperlink>
      <w:r w:rsidRPr="000C3DF9">
        <w:rPr>
          <w:rStyle w:val="TextoNormalCaracter"/>
        </w:rPr>
        <w:t xml:space="preserve">, f. 4; </w:t>
      </w:r>
      <w:hyperlink w:anchor="SENTENCIA_2002_74" w:history="1">
        <w:r w:rsidRPr="000C3DF9">
          <w:rPr>
            <w:rStyle w:val="TextoNormalCaracter"/>
          </w:rPr>
          <w:t>74/2002</w:t>
        </w:r>
      </w:hyperlink>
      <w:r w:rsidRPr="000C3DF9">
        <w:rPr>
          <w:rStyle w:val="TextoNormalCaracter"/>
        </w:rPr>
        <w:t>, f. 7.</w:t>
      </w:r>
    </w:p>
    <w:p w:rsidR="000C3DF9" w:rsidRPr="000C3DF9" w:rsidRDefault="000C3DF9" w:rsidP="000C3DF9">
      <w:pPr>
        <w:pStyle w:val="TextoNormalSangraFrancesa"/>
        <w:rPr>
          <w:rStyle w:val="TextoNormalCaracter"/>
        </w:rPr>
      </w:pPr>
      <w:bookmarkStart w:id="1589" w:name="DESCRIPTORALFABETICO547"/>
      <w:r w:rsidRPr="000C3DF9">
        <w:rPr>
          <w:rStyle w:val="TextoNormalNegritaCaracter"/>
        </w:rPr>
        <w:t>Retroacción de actuaciones al momento de dictar sentencia de apelación</w:t>
      </w:r>
      <w:bookmarkEnd w:id="1589"/>
      <w:r w:rsidRPr="000C3DF9">
        <w:rPr>
          <w:rStyle w:val="TextoNormalCaracter"/>
        </w:rPr>
        <w:t xml:space="preserve">, Sentencia </w:t>
      </w:r>
      <w:hyperlink w:anchor="SENTENCIA_2002_36" w:history="1">
        <w:r w:rsidRPr="000C3DF9">
          <w:rPr>
            <w:rStyle w:val="TextoNormalCaracter"/>
          </w:rPr>
          <w:t>36/2002</w:t>
        </w:r>
      </w:hyperlink>
      <w:r w:rsidRPr="000C3DF9">
        <w:rPr>
          <w:rStyle w:val="TextoNormalCaracter"/>
        </w:rPr>
        <w:t>, f. 8.</w:t>
      </w:r>
    </w:p>
    <w:p w:rsidR="000C3DF9" w:rsidRPr="000C3DF9" w:rsidRDefault="000C3DF9" w:rsidP="000C3DF9">
      <w:pPr>
        <w:pStyle w:val="TextoNormalSangraFrancesa"/>
        <w:rPr>
          <w:rStyle w:val="TextoNormalCaracter"/>
        </w:rPr>
      </w:pPr>
      <w:bookmarkStart w:id="1590" w:name="DESCRIPTORALFABETICO548"/>
      <w:r w:rsidRPr="000C3DF9">
        <w:rPr>
          <w:rStyle w:val="TextoNormalNegritaCaracter"/>
        </w:rPr>
        <w:t>Retroacción de actuaciones al período probatorio</w:t>
      </w:r>
      <w:bookmarkEnd w:id="1590"/>
      <w:r w:rsidRPr="000C3DF9">
        <w:rPr>
          <w:rStyle w:val="TextoNormalCaracter"/>
        </w:rPr>
        <w:t xml:space="preserve">, Sentencia </w:t>
      </w:r>
      <w:hyperlink w:anchor="SENTENCIA_2002_81" w:history="1">
        <w:r w:rsidRPr="000C3DF9">
          <w:rPr>
            <w:rStyle w:val="TextoNormalCaracter"/>
          </w:rPr>
          <w:t>81/2002</w:t>
        </w:r>
      </w:hyperlink>
      <w:r w:rsidRPr="000C3DF9">
        <w:rPr>
          <w:rStyle w:val="TextoNormalCaracter"/>
        </w:rPr>
        <w:t>, f. 6, VP.</w:t>
      </w:r>
    </w:p>
    <w:p w:rsidR="000C3DF9" w:rsidRPr="000C3DF9" w:rsidRDefault="000C3DF9" w:rsidP="000C3DF9">
      <w:pPr>
        <w:pStyle w:val="TextoNormalSangraFrancesa"/>
        <w:rPr>
          <w:rStyle w:val="TextoNormalCaracter"/>
        </w:rPr>
      </w:pPr>
      <w:bookmarkStart w:id="1591" w:name="DESCRIPTORALFABETICO549"/>
      <w:r w:rsidRPr="000C3DF9">
        <w:rPr>
          <w:rStyle w:val="TextoNormalNegritaCaracter"/>
        </w:rPr>
        <w:t>Retroacción de actuaciones hasta el emplazamiento</w:t>
      </w:r>
      <w:bookmarkEnd w:id="1591"/>
      <w:r w:rsidRPr="000C3DF9">
        <w:rPr>
          <w:rStyle w:val="TextoNormalCaracter"/>
        </w:rPr>
        <w:t xml:space="preserve">, Sentencia </w:t>
      </w:r>
      <w:hyperlink w:anchor="SENTENCIA_2002_87" w:history="1">
        <w:r w:rsidRPr="000C3DF9">
          <w:rPr>
            <w:rStyle w:val="TextoNormalCaracter"/>
          </w:rPr>
          <w:t>87/2002</w:t>
        </w:r>
      </w:hyperlink>
      <w:r w:rsidRPr="000C3DF9">
        <w:rPr>
          <w:rStyle w:val="TextoNormalCaracter"/>
        </w:rPr>
        <w:t>, f. 5.</w:t>
      </w:r>
    </w:p>
    <w:p w:rsidR="000C3DF9" w:rsidRPr="000C3DF9" w:rsidRDefault="000C3DF9" w:rsidP="000C3DF9">
      <w:pPr>
        <w:pStyle w:val="TextoNormalSangraFrancesa"/>
        <w:rPr>
          <w:rStyle w:val="TextoNormalCaracter"/>
        </w:rPr>
      </w:pPr>
      <w:bookmarkStart w:id="1592" w:name="DESCRIPTORALFABETICO440"/>
      <w:r w:rsidRPr="000C3DF9">
        <w:rPr>
          <w:rStyle w:val="TextoNormalNegritaCaracter"/>
        </w:rPr>
        <w:t>Retroactividad de la ley penal</w:t>
      </w:r>
      <w:bookmarkEnd w:id="1592"/>
      <w:r w:rsidRPr="000C3DF9">
        <w:rPr>
          <w:rStyle w:val="TextoNormalCaracter"/>
        </w:rPr>
        <w:t xml:space="preserve">, Sentencia </w:t>
      </w:r>
      <w:hyperlink w:anchor="SENTENCIA_2002_75" w:history="1">
        <w:r w:rsidRPr="000C3DF9">
          <w:rPr>
            <w:rStyle w:val="TextoNormalCaracter"/>
          </w:rPr>
          <w:t>75/2002</w:t>
        </w:r>
      </w:hyperlink>
      <w:r w:rsidRPr="000C3DF9">
        <w:rPr>
          <w:rStyle w:val="TextoNormalCaracter"/>
        </w:rPr>
        <w:t>, f. 4.</w:t>
      </w:r>
    </w:p>
    <w:p w:rsidR="000C3DF9" w:rsidRPr="000C3DF9" w:rsidRDefault="000C3DF9" w:rsidP="000C3DF9">
      <w:pPr>
        <w:pStyle w:val="TextoNormalSangraFrancesa"/>
        <w:rPr>
          <w:rStyle w:val="TextoNormalNegritaCaracter"/>
        </w:rPr>
      </w:pPr>
      <w:r w:rsidRPr="000C3DF9">
        <w:rPr>
          <w:rStyle w:val="TextoNormalCursivaCaracter"/>
        </w:rPr>
        <w:t>Retroactividad de la ley penal más favorable</w:t>
      </w:r>
      <w:r>
        <w:t xml:space="preserve"> véase </w:t>
      </w:r>
      <w:hyperlink w:anchor="DESCRIPTORALFABETICO440" w:history="1">
        <w:r w:rsidRPr="000C3DF9">
          <w:rPr>
            <w:rStyle w:val="TextoNormalNegritaCaracter"/>
          </w:rPr>
          <w:t>Retroactividad de la ley penal</w:t>
        </w:r>
      </w:hyperlink>
    </w:p>
    <w:p w:rsidR="000C3DF9" w:rsidRPr="000C3DF9" w:rsidRDefault="000C3DF9" w:rsidP="000C3DF9">
      <w:pPr>
        <w:pStyle w:val="TextoNormalSangraFrancesa"/>
        <w:rPr>
          <w:rStyle w:val="TextoNormalCaracter"/>
        </w:rPr>
      </w:pPr>
      <w:bookmarkStart w:id="1593" w:name="DESCRIPTORALFABETICO588"/>
      <w:r w:rsidRPr="000C3DF9">
        <w:rPr>
          <w:rStyle w:val="TextoNormalNegritaCaracter"/>
        </w:rPr>
        <w:t>Revisión de hechos probados</w:t>
      </w:r>
      <w:bookmarkEnd w:id="1593"/>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7 c).</w:t>
      </w:r>
    </w:p>
    <w:p w:rsidR="000C3DF9" w:rsidRPr="000C3DF9" w:rsidRDefault="000C3DF9" w:rsidP="000C3DF9">
      <w:pPr>
        <w:pStyle w:val="TextoNormalSangraFrancesa"/>
        <w:rPr>
          <w:rStyle w:val="TextoNormalCaracter"/>
        </w:rPr>
      </w:pPr>
      <w:bookmarkStart w:id="1594" w:name="DESCRIPTORALFABETICO353"/>
      <w:r w:rsidRPr="000C3DF9">
        <w:rPr>
          <w:rStyle w:val="TextoNormalNegritaCaracter"/>
        </w:rPr>
        <w:t>Revisión de oficio de actos administrativos</w:t>
      </w:r>
      <w:bookmarkEnd w:id="1594"/>
      <w:r w:rsidRPr="000C3DF9">
        <w:rPr>
          <w:rStyle w:val="TextoNormalCaracter"/>
        </w:rPr>
        <w:t xml:space="preserve">, Sentencia </w:t>
      </w:r>
      <w:hyperlink w:anchor="SENTENCIA_2002_3" w:history="1">
        <w:r w:rsidRPr="000C3DF9">
          <w:rPr>
            <w:rStyle w:val="TextoNormalCaracter"/>
          </w:rPr>
          <w:t>3/2002</w:t>
        </w:r>
      </w:hyperlink>
      <w:r w:rsidRPr="000C3DF9">
        <w:rPr>
          <w:rStyle w:val="TextoNormalCaracter"/>
        </w:rPr>
        <w:t>, f. 4 c).</w:t>
      </w:r>
    </w:p>
    <w:p w:rsidR="000C3DF9" w:rsidRPr="000C3DF9" w:rsidRDefault="000C3DF9" w:rsidP="000C3DF9">
      <w:pPr>
        <w:pStyle w:val="TextoNormalSangraFrancesa"/>
        <w:rPr>
          <w:rStyle w:val="TextoNormalCaracter"/>
        </w:rPr>
      </w:pPr>
      <w:bookmarkStart w:id="1595" w:name="DESCRIPTORALFABETICO381"/>
      <w:r w:rsidRPr="000C3DF9">
        <w:rPr>
          <w:rStyle w:val="TextoNormalNegritaCaracter"/>
        </w:rPr>
        <w:t>Revocación de acogimiento familiar</w:t>
      </w:r>
      <w:bookmarkEnd w:id="1595"/>
      <w:r w:rsidRPr="000C3DF9">
        <w:rPr>
          <w:rStyle w:val="TextoNormalCaracter"/>
        </w:rPr>
        <w:t xml:space="preserve">, Auto </w:t>
      </w:r>
      <w:hyperlink w:anchor="AUTO_2002_21" w:history="1">
        <w:r w:rsidRPr="000C3DF9">
          <w:rPr>
            <w:rStyle w:val="TextoNormalCaracter"/>
          </w:rPr>
          <w:t>21/2002</w:t>
        </w:r>
      </w:hyperlink>
      <w:r w:rsidRPr="000C3DF9">
        <w:rPr>
          <w:rStyle w:val="TextoNormalCaracter"/>
        </w:rPr>
        <w:t>.</w:t>
      </w:r>
    </w:p>
    <w:p w:rsidR="000C3DF9" w:rsidRPr="000C3DF9" w:rsidRDefault="000C3DF9" w:rsidP="000C3DF9">
      <w:pPr>
        <w:pStyle w:val="TextoNormalSangraFrancesa"/>
        <w:rPr>
          <w:rStyle w:val="TextoNormalCaracter"/>
        </w:rPr>
      </w:pPr>
      <w:bookmarkStart w:id="1596" w:name="DESCRIPTORALFABETICO715"/>
      <w:r w:rsidRPr="000C3DF9">
        <w:rPr>
          <w:rStyle w:val="TextoNormalNegritaCaracter"/>
        </w:rPr>
        <w:t>Revocación de libertad condicional</w:t>
      </w:r>
      <w:bookmarkEnd w:id="1596"/>
      <w:r w:rsidRPr="000C3DF9">
        <w:rPr>
          <w:rStyle w:val="TextoNormalCaracter"/>
        </w:rPr>
        <w:t xml:space="preserve">, Auto </w:t>
      </w:r>
      <w:hyperlink w:anchor="AUTO_2002_16" w:history="1">
        <w:r w:rsidRPr="000C3DF9">
          <w:rPr>
            <w:rStyle w:val="TextoNormalCaracter"/>
          </w:rPr>
          <w:t>16/2002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S</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597" w:name="DESCRIPTORALFABETICO182"/>
      <w:r w:rsidRPr="000C3DF9">
        <w:rPr>
          <w:rStyle w:val="TextoNormalNegritaCaracter"/>
        </w:rPr>
        <w:lastRenderedPageBreak/>
        <w:t>Sanción cumplida</w:t>
      </w:r>
      <w:bookmarkEnd w:id="1597"/>
      <w:r w:rsidRPr="000C3DF9">
        <w:rPr>
          <w:rStyle w:val="TextoNormalCaracter"/>
        </w:rPr>
        <w:t xml:space="preserve">, Auto </w:t>
      </w:r>
      <w:hyperlink w:anchor="AUTO_2002_15" w:history="1">
        <w:r w:rsidRPr="000C3DF9">
          <w:rPr>
            <w:rStyle w:val="TextoNormalCaracter"/>
          </w:rPr>
          <w:t>15/2002</w:t>
        </w:r>
      </w:hyperlink>
      <w:r w:rsidRPr="000C3DF9">
        <w:rPr>
          <w:rStyle w:val="TextoNormalCaracter"/>
        </w:rPr>
        <w:t>.</w:t>
      </w:r>
    </w:p>
    <w:p w:rsidR="000C3DF9" w:rsidRPr="000C3DF9" w:rsidRDefault="000C3DF9" w:rsidP="000C3DF9">
      <w:pPr>
        <w:pStyle w:val="TextoNormalSangraFrancesa"/>
        <w:rPr>
          <w:rStyle w:val="TextoNormalCaracter"/>
        </w:rPr>
      </w:pPr>
      <w:bookmarkStart w:id="1598" w:name="DESCRIPTORALFABETICO367"/>
      <w:r w:rsidRPr="000C3DF9">
        <w:rPr>
          <w:rStyle w:val="TextoNormalNegritaCaracter"/>
        </w:rPr>
        <w:t>Sanciones administrativas</w:t>
      </w:r>
      <w:bookmarkEnd w:id="1598"/>
      <w:r w:rsidRPr="000C3DF9">
        <w:rPr>
          <w:rStyle w:val="TextoNormalCaracter"/>
        </w:rPr>
        <w:t xml:space="preserve">, Sentencia </w:t>
      </w:r>
      <w:hyperlink w:anchor="SENTENCIA_2002_75" w:history="1">
        <w:r w:rsidRPr="000C3DF9">
          <w:rPr>
            <w:rStyle w:val="TextoNormalCaracter"/>
          </w:rPr>
          <w:t>75/2002</w:t>
        </w:r>
      </w:hyperlink>
      <w:r w:rsidRPr="000C3DF9">
        <w:rPr>
          <w:rStyle w:val="TextoNormalCaracter"/>
        </w:rPr>
        <w:t>, f. 6.</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47" w:history="1">
        <w:r w:rsidRPr="000C3DF9">
          <w:rPr>
            <w:rStyle w:val="TextoNormalCaracter"/>
          </w:rPr>
          <w:t>47/2002</w:t>
        </w:r>
      </w:hyperlink>
      <w:r w:rsidRPr="000C3DF9">
        <w:rPr>
          <w:rStyle w:val="TextoNormalCaracter"/>
        </w:rPr>
        <w:t>.</w:t>
      </w:r>
    </w:p>
    <w:p w:rsidR="000C3DF9" w:rsidRPr="000C3DF9" w:rsidRDefault="000C3DF9" w:rsidP="000C3DF9">
      <w:pPr>
        <w:pStyle w:val="TextoNormalSangraFrancesa"/>
        <w:rPr>
          <w:rStyle w:val="TextoNormalCaracter"/>
        </w:rPr>
      </w:pPr>
      <w:bookmarkStart w:id="1599" w:name="DESCRIPTORALFABETICO330"/>
      <w:r w:rsidRPr="000C3DF9">
        <w:rPr>
          <w:rStyle w:val="TextoNormalNegritaCaracter"/>
        </w:rPr>
        <w:t>Sanciones administrativas sin cobertura legal</w:t>
      </w:r>
      <w:bookmarkEnd w:id="1599"/>
      <w:r w:rsidRPr="000C3DF9">
        <w:rPr>
          <w:rStyle w:val="TextoNormalCaracter"/>
        </w:rPr>
        <w:t xml:space="preserve">, Sentencia </w:t>
      </w:r>
      <w:hyperlink w:anchor="SENTENCIA_2002_26" w:history="1">
        <w:r w:rsidRPr="000C3DF9">
          <w:rPr>
            <w:rStyle w:val="TextoNormalCaracter"/>
          </w:rPr>
          <w:t>26/2002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600" w:name="DESCRIPTORALFABETICO490"/>
      <w:r w:rsidRPr="000C3DF9">
        <w:rPr>
          <w:rStyle w:val="TextoNormalNegritaCaracter"/>
        </w:rPr>
        <w:t>Sanciones penitenciarias</w:t>
      </w:r>
      <w:bookmarkEnd w:id="1600"/>
      <w:r w:rsidRPr="000C3DF9">
        <w:rPr>
          <w:rStyle w:val="TextoNormalCaracter"/>
        </w:rPr>
        <w:t xml:space="preserve">, Autos </w:t>
      </w:r>
      <w:hyperlink w:anchor="AUTO_2002_15" w:history="1">
        <w:r w:rsidRPr="000C3DF9">
          <w:rPr>
            <w:rStyle w:val="TextoNormalCaracter"/>
          </w:rPr>
          <w:t>15/2002</w:t>
        </w:r>
      </w:hyperlink>
      <w:r w:rsidRPr="000C3DF9">
        <w:rPr>
          <w:rStyle w:val="TextoNormalCaracter"/>
        </w:rPr>
        <w:t xml:space="preserve">; </w:t>
      </w:r>
      <w:hyperlink w:anchor="AUTO_2002_34" w:history="1">
        <w:r w:rsidRPr="000C3DF9">
          <w:rPr>
            <w:rStyle w:val="TextoNormalCaracter"/>
          </w:rPr>
          <w:t>34/2002</w:t>
        </w:r>
      </w:hyperlink>
      <w:r w:rsidRPr="000C3DF9">
        <w:rPr>
          <w:rStyle w:val="TextoNormalCaracter"/>
        </w:rPr>
        <w:t xml:space="preserve">; </w:t>
      </w:r>
      <w:hyperlink w:anchor="AUTO_2002_40" w:history="1">
        <w:r w:rsidRPr="000C3DF9">
          <w:rPr>
            <w:rStyle w:val="TextoNormalCaracter"/>
          </w:rPr>
          <w:t>40/2002</w:t>
        </w:r>
      </w:hyperlink>
      <w:r w:rsidRPr="000C3DF9">
        <w:rPr>
          <w:rStyle w:val="TextoNormalCaracter"/>
        </w:rPr>
        <w:t>.</w:t>
      </w:r>
    </w:p>
    <w:p w:rsidR="000C3DF9" w:rsidRPr="000C3DF9" w:rsidRDefault="000C3DF9" w:rsidP="000C3DF9">
      <w:pPr>
        <w:pStyle w:val="TextoNormalSangraFrancesa"/>
        <w:rPr>
          <w:rStyle w:val="TextoNormalCaracter"/>
        </w:rPr>
      </w:pPr>
      <w:bookmarkStart w:id="1601" w:name="DESCRIPTORALFABETICO660"/>
      <w:r w:rsidRPr="000C3DF9">
        <w:rPr>
          <w:rStyle w:val="TextoNormalNegritaCaracter"/>
        </w:rPr>
        <w:t>Satisfacción extraprocesal de la pretensión</w:t>
      </w:r>
      <w:bookmarkEnd w:id="1601"/>
      <w:r w:rsidRPr="000C3DF9">
        <w:rPr>
          <w:rStyle w:val="TextoNormalCaracter"/>
        </w:rPr>
        <w:t xml:space="preserve">, Sentencia </w:t>
      </w:r>
      <w:hyperlink w:anchor="SENTENCIA_2002_16" w:history="1">
        <w:r w:rsidRPr="000C3DF9">
          <w:rPr>
            <w:rStyle w:val="TextoNormalCaracter"/>
          </w:rPr>
          <w:t>16/2002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02" w:name="DESCRIPTORALFABETICO271"/>
      <w:r w:rsidRPr="000C3DF9">
        <w:rPr>
          <w:rStyle w:val="TextoNormalNegritaCaracter"/>
        </w:rPr>
        <w:t>Sentencia de amparo</w:t>
      </w:r>
      <w:bookmarkEnd w:id="1602"/>
      <w:r w:rsidRPr="000C3DF9">
        <w:rPr>
          <w:rStyle w:val="TextoNormalCaracter"/>
        </w:rPr>
        <w:t xml:space="preserve">, Sentencias </w:t>
      </w:r>
      <w:hyperlink w:anchor="SENTENCIA_2002_6" w:history="1">
        <w:r w:rsidRPr="000C3DF9">
          <w:rPr>
            <w:rStyle w:val="TextoNormalCaracter"/>
          </w:rPr>
          <w:t>6/2002</w:t>
        </w:r>
      </w:hyperlink>
      <w:r w:rsidRPr="000C3DF9">
        <w:rPr>
          <w:rStyle w:val="TextoNormalCaracter"/>
        </w:rPr>
        <w:t xml:space="preserve">, f. 5; </w:t>
      </w:r>
      <w:hyperlink w:anchor="SENTENCIA_2002_20" w:history="1">
        <w:r w:rsidRPr="000C3DF9">
          <w:rPr>
            <w:rStyle w:val="TextoNormalCaracter"/>
          </w:rPr>
          <w:t>20/2002</w:t>
        </w:r>
      </w:hyperlink>
      <w:r w:rsidRPr="000C3DF9">
        <w:rPr>
          <w:rStyle w:val="TextoNormalCaracter"/>
        </w:rPr>
        <w:t xml:space="preserve">, f. 8; </w:t>
      </w:r>
      <w:hyperlink w:anchor="SENTENCIA_2002_28" w:history="1">
        <w:r w:rsidRPr="000C3DF9">
          <w:rPr>
            <w:rStyle w:val="TextoNormalCaracter"/>
          </w:rPr>
          <w:t>28/2002</w:t>
        </w:r>
      </w:hyperlink>
      <w:r w:rsidRPr="000C3DF9">
        <w:rPr>
          <w:rStyle w:val="TextoNormalCaracter"/>
        </w:rPr>
        <w:t xml:space="preserve">, f. 6; </w:t>
      </w:r>
      <w:hyperlink w:anchor="SENTENCIA_2002_34" w:history="1">
        <w:r w:rsidRPr="000C3DF9">
          <w:rPr>
            <w:rStyle w:val="TextoNormalCaracter"/>
          </w:rPr>
          <w:t>34/2002</w:t>
        </w:r>
      </w:hyperlink>
      <w:r w:rsidRPr="000C3DF9">
        <w:rPr>
          <w:rStyle w:val="TextoNormalCaracter"/>
        </w:rPr>
        <w:t xml:space="preserve">, f. 7; </w:t>
      </w:r>
      <w:hyperlink w:anchor="SENTENCIA_2002_36" w:history="1">
        <w:r w:rsidRPr="000C3DF9">
          <w:rPr>
            <w:rStyle w:val="TextoNormalCaracter"/>
          </w:rPr>
          <w:t>36/2002</w:t>
        </w:r>
      </w:hyperlink>
      <w:r w:rsidRPr="000C3DF9">
        <w:rPr>
          <w:rStyle w:val="TextoNormalCaracter"/>
        </w:rPr>
        <w:t xml:space="preserve">, f. 8; </w:t>
      </w:r>
      <w:hyperlink w:anchor="SENTENCIA_2002_42" w:history="1">
        <w:r w:rsidRPr="000C3DF9">
          <w:rPr>
            <w:rStyle w:val="TextoNormalCaracter"/>
          </w:rPr>
          <w:t>42/2002</w:t>
        </w:r>
      </w:hyperlink>
      <w:r w:rsidRPr="000C3DF9">
        <w:rPr>
          <w:rStyle w:val="TextoNormalCaracter"/>
        </w:rPr>
        <w:t xml:space="preserve">, f. 2; </w:t>
      </w:r>
      <w:hyperlink w:anchor="SENTENCIA_2002_49" w:history="1">
        <w:r w:rsidRPr="000C3DF9">
          <w:rPr>
            <w:rStyle w:val="TextoNormalCaracter"/>
          </w:rPr>
          <w:t>49/2002</w:t>
        </w:r>
      </w:hyperlink>
      <w:r w:rsidRPr="000C3DF9">
        <w:rPr>
          <w:rStyle w:val="TextoNormalCaracter"/>
        </w:rPr>
        <w:t xml:space="preserve">, f. 4; </w:t>
      </w:r>
      <w:hyperlink w:anchor="SENTENCIA_2002_66" w:history="1">
        <w:r w:rsidRPr="000C3DF9">
          <w:rPr>
            <w:rStyle w:val="TextoNormalCaracter"/>
          </w:rPr>
          <w:t>66/2002</w:t>
        </w:r>
      </w:hyperlink>
      <w:r w:rsidRPr="000C3DF9">
        <w:rPr>
          <w:rStyle w:val="TextoNormalCaracter"/>
        </w:rPr>
        <w:t xml:space="preserve">, f. 9; </w:t>
      </w:r>
      <w:hyperlink w:anchor="SENTENCIA_2002_74" w:history="1">
        <w:r w:rsidRPr="000C3DF9">
          <w:rPr>
            <w:rStyle w:val="TextoNormalCaracter"/>
          </w:rPr>
          <w:t>74/2002</w:t>
        </w:r>
      </w:hyperlink>
      <w:r w:rsidRPr="000C3DF9">
        <w:rPr>
          <w:rStyle w:val="TextoNormalCaracter"/>
        </w:rPr>
        <w:t xml:space="preserve">, f. 7; </w:t>
      </w:r>
      <w:hyperlink w:anchor="SENTENCIA_2002_81" w:history="1">
        <w:r w:rsidRPr="000C3DF9">
          <w:rPr>
            <w:rStyle w:val="TextoNormalCaracter"/>
          </w:rPr>
          <w:t>81/2002</w:t>
        </w:r>
      </w:hyperlink>
      <w:r w:rsidRPr="000C3DF9">
        <w:rPr>
          <w:rStyle w:val="TextoNormalCaracter"/>
        </w:rPr>
        <w:t xml:space="preserve">, f. 6, VP; </w:t>
      </w:r>
      <w:hyperlink w:anchor="SENTENCIA_2002_87" w:history="1">
        <w:r w:rsidRPr="000C3DF9">
          <w:rPr>
            <w:rStyle w:val="TextoNormalCaracter"/>
          </w:rPr>
          <w:t>87/2002</w:t>
        </w:r>
      </w:hyperlink>
      <w:r w:rsidRPr="000C3DF9">
        <w:rPr>
          <w:rStyle w:val="TextoNormalCaracter"/>
        </w:rPr>
        <w:t>, f. 5.</w:t>
      </w:r>
    </w:p>
    <w:p w:rsidR="000C3DF9" w:rsidRPr="000C3DF9" w:rsidRDefault="000C3DF9" w:rsidP="000C3DF9">
      <w:pPr>
        <w:pStyle w:val="TextoNormalSangraFrancesa"/>
        <w:rPr>
          <w:rStyle w:val="TextoNormalCaracter"/>
        </w:rPr>
      </w:pPr>
      <w:bookmarkStart w:id="1603" w:name="DESCRIPTORALFABETICO278"/>
      <w:r w:rsidRPr="000C3DF9">
        <w:rPr>
          <w:rStyle w:val="TextoNormalNegritaCaracter"/>
        </w:rPr>
        <w:t>Sentencia de amparo de carácter declarativo</w:t>
      </w:r>
      <w:bookmarkEnd w:id="1603"/>
      <w:r w:rsidRPr="000C3DF9">
        <w:rPr>
          <w:rStyle w:val="TextoNormalCaracter"/>
        </w:rPr>
        <w:t xml:space="preserve">, Sentencias </w:t>
      </w:r>
      <w:hyperlink w:anchor="SENTENCIA_2002_66" w:history="1">
        <w:r w:rsidRPr="000C3DF9">
          <w:rPr>
            <w:rStyle w:val="TextoNormalCaracter"/>
          </w:rPr>
          <w:t>66/2002</w:t>
        </w:r>
      </w:hyperlink>
      <w:r w:rsidRPr="000C3DF9">
        <w:rPr>
          <w:rStyle w:val="TextoNormalCaracter"/>
        </w:rPr>
        <w:t xml:space="preserve">, f. 9; </w:t>
      </w:r>
      <w:hyperlink w:anchor="SENTENCIA_2002_81" w:history="1">
        <w:r w:rsidRPr="000C3DF9">
          <w:rPr>
            <w:rStyle w:val="TextoNormalCaracter"/>
          </w:rPr>
          <w:t>81/2002</w:t>
        </w:r>
      </w:hyperlink>
      <w:r w:rsidRPr="000C3DF9">
        <w:rPr>
          <w:rStyle w:val="TextoNormalCaracter"/>
        </w:rPr>
        <w:t>, VP.</w:t>
      </w:r>
    </w:p>
    <w:p w:rsidR="000C3DF9" w:rsidRPr="000C3DF9" w:rsidRDefault="000C3DF9" w:rsidP="000C3DF9">
      <w:pPr>
        <w:pStyle w:val="TextoNormalSangraFrancesa"/>
        <w:rPr>
          <w:rStyle w:val="TextoNormalCaracter"/>
        </w:rPr>
      </w:pPr>
      <w:bookmarkStart w:id="1604" w:name="DESCRIPTORALFABETICO103"/>
      <w:r w:rsidRPr="000C3DF9">
        <w:rPr>
          <w:rStyle w:val="TextoNormalNegritaCaracter"/>
        </w:rPr>
        <w:t>Sentencia fundada en Derecho</w:t>
      </w:r>
      <w:bookmarkEnd w:id="1604"/>
      <w:r w:rsidRPr="000C3DF9">
        <w:rPr>
          <w:rStyle w:val="TextoNormalCaracter"/>
        </w:rPr>
        <w:t xml:space="preserve">, Sentencias </w:t>
      </w:r>
      <w:hyperlink w:anchor="SENTENCIA_2002_15" w:history="1">
        <w:r w:rsidRPr="000C3DF9">
          <w:rPr>
            <w:rStyle w:val="TextoNormalCaracter"/>
          </w:rPr>
          <w:t>15/2002</w:t>
        </w:r>
      </w:hyperlink>
      <w:r w:rsidRPr="000C3DF9">
        <w:rPr>
          <w:rStyle w:val="TextoNormalCaracter"/>
        </w:rPr>
        <w:t xml:space="preserve">, f. 3; </w:t>
      </w:r>
      <w:hyperlink w:anchor="SENTENCIA_2002_19" w:history="1">
        <w:r w:rsidRPr="000C3DF9">
          <w:rPr>
            <w:rStyle w:val="TextoNormalCaracter"/>
          </w:rPr>
          <w:t>19/2002</w:t>
        </w:r>
      </w:hyperlink>
      <w:r w:rsidRPr="000C3DF9">
        <w:rPr>
          <w:rStyle w:val="TextoNormalCaracter"/>
        </w:rPr>
        <w:t xml:space="preserve">, f. 3; </w:t>
      </w:r>
      <w:hyperlink w:anchor="SENTENCIA_2002_32" w:history="1">
        <w:r w:rsidRPr="000C3DF9">
          <w:rPr>
            <w:rStyle w:val="TextoNormalCaracter"/>
          </w:rPr>
          <w:t>32/2002</w:t>
        </w:r>
      </w:hyperlink>
      <w:r w:rsidRPr="000C3DF9">
        <w:rPr>
          <w:rStyle w:val="TextoNormalCaracter"/>
        </w:rPr>
        <w:t xml:space="preserve">, f. 4; </w:t>
      </w:r>
      <w:hyperlink w:anchor="SENTENCIA_2002_33" w:history="1">
        <w:r w:rsidRPr="000C3DF9">
          <w:rPr>
            <w:rStyle w:val="TextoNormalCaracter"/>
          </w:rPr>
          <w:t>33/2002</w:t>
        </w:r>
      </w:hyperlink>
      <w:r w:rsidRPr="000C3DF9">
        <w:rPr>
          <w:rStyle w:val="TextoNormalCaracter"/>
        </w:rPr>
        <w:t xml:space="preserve">, f. 6; </w:t>
      </w:r>
      <w:hyperlink w:anchor="SENTENCIA_2002_34" w:history="1">
        <w:r w:rsidRPr="000C3DF9">
          <w:rPr>
            <w:rStyle w:val="TextoNormalCaracter"/>
          </w:rPr>
          <w:t>34/2002</w:t>
        </w:r>
      </w:hyperlink>
      <w:r w:rsidRPr="000C3DF9">
        <w:rPr>
          <w:rStyle w:val="TextoNormalCaracter"/>
        </w:rPr>
        <w:t xml:space="preserve">, ff. 5, 6; </w:t>
      </w:r>
      <w:hyperlink w:anchor="SENTENCIA_2002_49" w:history="1">
        <w:r w:rsidRPr="000C3DF9">
          <w:rPr>
            <w:rStyle w:val="TextoNormalCaracter"/>
          </w:rPr>
          <w:t>49/2002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14" w:history="1">
        <w:r w:rsidRPr="000C3DF9">
          <w:rPr>
            <w:rStyle w:val="TextoNormalCaracter"/>
          </w:rPr>
          <w:t>14/2002</w:t>
        </w:r>
      </w:hyperlink>
      <w:r w:rsidRPr="000C3DF9">
        <w:rPr>
          <w:rStyle w:val="TextoNormalCaracter"/>
        </w:rPr>
        <w:t xml:space="preserve">; </w:t>
      </w:r>
      <w:hyperlink w:anchor="AUTO_2002_42" w:history="1">
        <w:r w:rsidRPr="000C3DF9">
          <w:rPr>
            <w:rStyle w:val="TextoNormalCaracter"/>
          </w:rPr>
          <w:t>42/2002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Doctrina constitucional, </w:t>
      </w:r>
      <w:r w:rsidRPr="000C3DF9">
        <w:rPr>
          <w:rStyle w:val="TextoNormalCaracter"/>
        </w:rPr>
        <w:t xml:space="preserve">Sentencia </w:t>
      </w:r>
      <w:hyperlink w:anchor="SENTENCIA_2002_33" w:history="1">
        <w:r w:rsidRPr="000C3DF9">
          <w:rPr>
            <w:rStyle w:val="TextoNormalCaracter"/>
          </w:rPr>
          <w:t>33/2002</w:t>
        </w:r>
      </w:hyperlink>
      <w:r w:rsidRPr="000C3DF9">
        <w:rPr>
          <w:rStyle w:val="TextoNormalCaracter"/>
        </w:rPr>
        <w:t>, f. 5.</w:t>
      </w:r>
    </w:p>
    <w:p w:rsidR="000C3DF9" w:rsidRPr="000C3DF9" w:rsidRDefault="000C3DF9" w:rsidP="000C3DF9">
      <w:pPr>
        <w:pStyle w:val="TextoNormalSangraFrancesa"/>
        <w:rPr>
          <w:rStyle w:val="TextoNormalCaracter"/>
        </w:rPr>
      </w:pPr>
      <w:r w:rsidRPr="000C3DF9">
        <w:rPr>
          <w:rStyle w:val="TextoNormalCursivaCaracter"/>
        </w:rPr>
        <w:t xml:space="preserve">    Respetado, </w:t>
      </w:r>
      <w:r w:rsidRPr="000C3DF9">
        <w:rPr>
          <w:rStyle w:val="TextoNormalCaracter"/>
        </w:rPr>
        <w:t xml:space="preserve">Sentencias </w:t>
      </w:r>
      <w:hyperlink w:anchor="SENTENCIA_2002_16" w:history="1">
        <w:r w:rsidRPr="000C3DF9">
          <w:rPr>
            <w:rStyle w:val="TextoNormalCaracter"/>
          </w:rPr>
          <w:t>16/2002</w:t>
        </w:r>
      </w:hyperlink>
      <w:r w:rsidRPr="000C3DF9">
        <w:rPr>
          <w:rStyle w:val="TextoNormalCaracter"/>
        </w:rPr>
        <w:t xml:space="preserve">, ff. 4, 5; </w:t>
      </w:r>
      <w:hyperlink w:anchor="SENTENCIA_2002_19" w:history="1">
        <w:r w:rsidRPr="000C3DF9">
          <w:rPr>
            <w:rStyle w:val="TextoNormalCaracter"/>
          </w:rPr>
          <w:t>19/2002</w:t>
        </w:r>
      </w:hyperlink>
      <w:r w:rsidRPr="000C3DF9">
        <w:rPr>
          <w:rStyle w:val="TextoNormalCaracter"/>
        </w:rPr>
        <w:t xml:space="preserve">, f. 3; </w:t>
      </w:r>
      <w:hyperlink w:anchor="SENTENCIA_2002_32" w:history="1">
        <w:r w:rsidRPr="000C3DF9">
          <w:rPr>
            <w:rStyle w:val="TextoNormalCaracter"/>
          </w:rPr>
          <w:t>32/2002</w:t>
        </w:r>
      </w:hyperlink>
      <w:r w:rsidRPr="000C3DF9">
        <w:rPr>
          <w:rStyle w:val="TextoNormalCaracter"/>
        </w:rPr>
        <w:t>, f. 4.</w:t>
      </w:r>
    </w:p>
    <w:p w:rsidR="000C3DF9" w:rsidRPr="000C3DF9" w:rsidRDefault="000C3DF9" w:rsidP="000C3DF9">
      <w:pPr>
        <w:pStyle w:val="TextoNormalSangraFrancesa"/>
        <w:rPr>
          <w:rStyle w:val="TextoNormalCaracter"/>
        </w:rPr>
      </w:pPr>
      <w:r w:rsidRPr="000C3DF9">
        <w:rPr>
          <w:rStyle w:val="TextoNormalCaracter"/>
        </w:rPr>
        <w:t xml:space="preserve">    Autos </w:t>
      </w:r>
      <w:hyperlink w:anchor="AUTO_2002_14" w:history="1">
        <w:r w:rsidRPr="000C3DF9">
          <w:rPr>
            <w:rStyle w:val="TextoNormalCaracter"/>
          </w:rPr>
          <w:t>14/2002</w:t>
        </w:r>
      </w:hyperlink>
      <w:r w:rsidRPr="000C3DF9">
        <w:rPr>
          <w:rStyle w:val="TextoNormalCaracter"/>
        </w:rPr>
        <w:t xml:space="preserve">; </w:t>
      </w:r>
      <w:hyperlink w:anchor="AUTO_2002_17" w:history="1">
        <w:r w:rsidRPr="000C3DF9">
          <w:rPr>
            <w:rStyle w:val="TextoNormalCaracter"/>
          </w:rPr>
          <w:t>17/2002</w:t>
        </w:r>
      </w:hyperlink>
      <w:r w:rsidRPr="000C3DF9">
        <w:rPr>
          <w:rStyle w:val="TextoNormalCaracter"/>
        </w:rPr>
        <w:t xml:space="preserve">; </w:t>
      </w:r>
      <w:hyperlink w:anchor="AUTO_2002_42" w:history="1">
        <w:r w:rsidRPr="000C3DF9">
          <w:rPr>
            <w:rStyle w:val="TextoNormalCaracter"/>
          </w:rPr>
          <w:t>42/2002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Vulnerado, </w:t>
      </w:r>
      <w:r w:rsidRPr="000C3DF9">
        <w:rPr>
          <w:rStyle w:val="TextoNormalCaracter"/>
        </w:rPr>
        <w:t xml:space="preserve">Sentencias </w:t>
      </w:r>
      <w:hyperlink w:anchor="SENTENCIA_2002_33" w:history="1">
        <w:r w:rsidRPr="000C3DF9">
          <w:rPr>
            <w:rStyle w:val="TextoNormalCaracter"/>
          </w:rPr>
          <w:t>33/2002</w:t>
        </w:r>
      </w:hyperlink>
      <w:r w:rsidRPr="000C3DF9">
        <w:rPr>
          <w:rStyle w:val="TextoNormalCaracter"/>
        </w:rPr>
        <w:t xml:space="preserve">, f. 6; </w:t>
      </w:r>
      <w:hyperlink w:anchor="SENTENCIA_2002_34" w:history="1">
        <w:r w:rsidRPr="000C3DF9">
          <w:rPr>
            <w:rStyle w:val="TextoNormalCaracter"/>
          </w:rPr>
          <w:t>34/2002</w:t>
        </w:r>
      </w:hyperlink>
      <w:r w:rsidRPr="000C3DF9">
        <w:rPr>
          <w:rStyle w:val="TextoNormalCaracter"/>
        </w:rPr>
        <w:t xml:space="preserve">, ff. 5, 6; </w:t>
      </w:r>
      <w:hyperlink w:anchor="SENTENCIA_2002_36" w:history="1">
        <w:r w:rsidRPr="000C3DF9">
          <w:rPr>
            <w:rStyle w:val="TextoNormalCaracter"/>
          </w:rPr>
          <w:t>36/2002</w:t>
        </w:r>
      </w:hyperlink>
      <w:r w:rsidRPr="000C3DF9">
        <w:rPr>
          <w:rStyle w:val="TextoNormalCaracter"/>
        </w:rPr>
        <w:t>, f. 7.</w:t>
      </w:r>
    </w:p>
    <w:p w:rsidR="000C3DF9" w:rsidRPr="000C3DF9" w:rsidRDefault="000C3DF9" w:rsidP="000C3DF9">
      <w:pPr>
        <w:pStyle w:val="TextoNormalSangraFrancesa"/>
        <w:rPr>
          <w:rStyle w:val="TextoNormalCaracter"/>
        </w:rPr>
      </w:pPr>
      <w:bookmarkStart w:id="1605" w:name="DESCRIPTORALFABETICO723"/>
      <w:r w:rsidRPr="000C3DF9">
        <w:rPr>
          <w:rStyle w:val="TextoNormalNegritaCaracter"/>
        </w:rPr>
        <w:t>Sentencias condenatorias</w:t>
      </w:r>
      <w:bookmarkEnd w:id="1605"/>
      <w:r w:rsidRPr="000C3DF9">
        <w:rPr>
          <w:rStyle w:val="TextoNormalCaracter"/>
        </w:rPr>
        <w:t xml:space="preserve">, Sentencia </w:t>
      </w:r>
      <w:hyperlink w:anchor="SENTENCIA_2002_50" w:history="1">
        <w:r w:rsidRPr="000C3DF9">
          <w:rPr>
            <w:rStyle w:val="TextoNormalCaracter"/>
          </w:rPr>
          <w:t>50/2002</w:t>
        </w:r>
      </w:hyperlink>
      <w:r w:rsidRPr="000C3DF9">
        <w:rPr>
          <w:rStyle w:val="TextoNormalCaracter"/>
        </w:rPr>
        <w:t>, ff. 2 a 5.</w:t>
      </w:r>
    </w:p>
    <w:p w:rsidR="000C3DF9" w:rsidRPr="000C3DF9" w:rsidRDefault="000C3DF9" w:rsidP="000C3DF9">
      <w:pPr>
        <w:pStyle w:val="TextoNormalSangraFrancesa"/>
        <w:rPr>
          <w:rStyle w:val="TextoNormalCaracter"/>
        </w:rPr>
      </w:pPr>
      <w:bookmarkStart w:id="1606" w:name="DESCRIPTORALFABETICO57"/>
      <w:r w:rsidRPr="000C3DF9">
        <w:rPr>
          <w:rStyle w:val="TextoNormalNegritaCaracter"/>
        </w:rPr>
        <w:t>Sentencias contradictorias</w:t>
      </w:r>
      <w:bookmarkEnd w:id="1606"/>
      <w:r w:rsidRPr="000C3DF9">
        <w:rPr>
          <w:rStyle w:val="TextoNormalCaracter"/>
        </w:rPr>
        <w:t xml:space="preserve">, Sentencia </w:t>
      </w:r>
      <w:hyperlink w:anchor="SENTENCIA_2002_74" w:history="1">
        <w:r w:rsidRPr="000C3DF9">
          <w:rPr>
            <w:rStyle w:val="TextoNormalCaracter"/>
          </w:rPr>
          <w:t>74/2002</w:t>
        </w:r>
      </w:hyperlink>
      <w:r w:rsidRPr="000C3DF9">
        <w:rPr>
          <w:rStyle w:val="TextoNormalCaracter"/>
        </w:rPr>
        <w:t>, ff. 4 a 7.</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56" w:history="1">
        <w:r w:rsidRPr="000C3DF9">
          <w:rPr>
            <w:rStyle w:val="TextoNormalCaracter"/>
          </w:rPr>
          <w:t>56/2002</w:t>
        </w:r>
      </w:hyperlink>
      <w:r w:rsidRPr="000C3DF9">
        <w:rPr>
          <w:rStyle w:val="TextoNormalCaracter"/>
        </w:rPr>
        <w:t>.</w:t>
      </w:r>
    </w:p>
    <w:p w:rsidR="000C3DF9" w:rsidRPr="000C3DF9" w:rsidRDefault="000C3DF9" w:rsidP="000C3DF9">
      <w:pPr>
        <w:pStyle w:val="TextoNormalSangraFrancesa"/>
        <w:rPr>
          <w:rStyle w:val="TextoNormalCaracter"/>
        </w:rPr>
      </w:pPr>
      <w:bookmarkStart w:id="1607" w:name="DESCRIPTORALFABETICO270"/>
      <w:r w:rsidRPr="000C3DF9">
        <w:rPr>
          <w:rStyle w:val="TextoNormalNegritaCaracter"/>
        </w:rPr>
        <w:t>Sentencias del Tribunal Constitucional</w:t>
      </w:r>
      <w:bookmarkEnd w:id="1607"/>
      <w:r w:rsidRPr="000C3DF9">
        <w:rPr>
          <w:rStyle w:val="TextoNormalCaracter"/>
        </w:rPr>
        <w:t xml:space="preserve">, Auto </w:t>
      </w:r>
      <w:hyperlink w:anchor="AUTO_2002_53" w:history="1">
        <w:r w:rsidRPr="000C3DF9">
          <w:rPr>
            <w:rStyle w:val="TextoNormalCaracter"/>
          </w:rPr>
          <w:t>53/2002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Sentencias que contradicen una línea jurisprudencial consolidada</w:t>
      </w:r>
      <w:r>
        <w:t xml:space="preserve"> véase </w:t>
      </w:r>
      <w:hyperlink w:anchor="DESCRIPTORALFABETICO57" w:history="1">
        <w:r w:rsidRPr="000C3DF9">
          <w:rPr>
            <w:rStyle w:val="TextoNormalNegritaCaracter"/>
          </w:rPr>
          <w:t>Sentencias contradictorias</w:t>
        </w:r>
      </w:hyperlink>
    </w:p>
    <w:p w:rsidR="000C3DF9" w:rsidRPr="000C3DF9" w:rsidRDefault="000C3DF9" w:rsidP="000C3DF9">
      <w:pPr>
        <w:pStyle w:val="TextoNormalSangraFrancesa"/>
        <w:rPr>
          <w:rStyle w:val="TextoNormalCaracter"/>
        </w:rPr>
      </w:pPr>
      <w:bookmarkStart w:id="1608" w:name="DESCRIPTORALFABETICO253"/>
      <w:r w:rsidRPr="000C3DF9">
        <w:rPr>
          <w:rStyle w:val="TextoNormalNegritaCaracter"/>
        </w:rPr>
        <w:t>Señalamiento preferente de recurso de amparo</w:t>
      </w:r>
      <w:bookmarkEnd w:id="1608"/>
      <w:r w:rsidRPr="000C3DF9">
        <w:rPr>
          <w:rStyle w:val="TextoNormalCaracter"/>
        </w:rPr>
        <w:t xml:space="preserve">, Autos </w:t>
      </w:r>
      <w:hyperlink w:anchor="AUTO_2002_22" w:history="1">
        <w:r w:rsidRPr="000C3DF9">
          <w:rPr>
            <w:rStyle w:val="TextoNormalCaracter"/>
          </w:rPr>
          <w:t>22/2002</w:t>
        </w:r>
      </w:hyperlink>
      <w:r w:rsidRPr="000C3DF9">
        <w:rPr>
          <w:rStyle w:val="TextoNormalCaracter"/>
        </w:rPr>
        <w:t xml:space="preserve">; </w:t>
      </w:r>
      <w:hyperlink w:anchor="AUTO_2002_46" w:history="1">
        <w:r w:rsidRPr="000C3DF9">
          <w:rPr>
            <w:rStyle w:val="TextoNormalCaracter"/>
          </w:rPr>
          <w:t>46/2002</w:t>
        </w:r>
      </w:hyperlink>
      <w:r w:rsidRPr="000C3DF9">
        <w:rPr>
          <w:rStyle w:val="TextoNormalCaracter"/>
        </w:rPr>
        <w:t xml:space="preserve">; </w:t>
      </w:r>
      <w:hyperlink w:anchor="AUTO_2002_69" w:history="1">
        <w:r w:rsidRPr="000C3DF9">
          <w:rPr>
            <w:rStyle w:val="TextoNormalCaracter"/>
          </w:rPr>
          <w:t>69/2002</w:t>
        </w:r>
      </w:hyperlink>
      <w:r w:rsidRPr="000C3DF9">
        <w:rPr>
          <w:rStyle w:val="TextoNormalCaracter"/>
        </w:rPr>
        <w:t>.</w:t>
      </w:r>
    </w:p>
    <w:p w:rsidR="000C3DF9" w:rsidRPr="000C3DF9" w:rsidRDefault="000C3DF9" w:rsidP="000C3DF9">
      <w:pPr>
        <w:pStyle w:val="TextoNormalSangraFrancesa"/>
        <w:rPr>
          <w:rStyle w:val="TextoNormalCaracter"/>
        </w:rPr>
      </w:pPr>
      <w:bookmarkStart w:id="1609" w:name="DESCRIPTORALFABETICO377"/>
      <w:r w:rsidRPr="000C3DF9">
        <w:rPr>
          <w:rStyle w:val="TextoNormalNegritaCaracter"/>
        </w:rPr>
        <w:t>Sistema educativo</w:t>
      </w:r>
      <w:bookmarkEnd w:id="1609"/>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6.</w:t>
      </w:r>
    </w:p>
    <w:p w:rsidR="000C3DF9" w:rsidRPr="000C3DF9" w:rsidRDefault="000C3DF9" w:rsidP="000C3DF9">
      <w:pPr>
        <w:pStyle w:val="TextoNormalSangraFrancesa"/>
        <w:rPr>
          <w:rStyle w:val="TextoNormalNegritaCaracter"/>
        </w:rPr>
      </w:pPr>
      <w:r w:rsidRPr="000C3DF9">
        <w:rPr>
          <w:rStyle w:val="TextoNormalCursivaCaracter"/>
        </w:rPr>
        <w:t>Sistema retributivo</w:t>
      </w:r>
      <w:r>
        <w:t xml:space="preserve"> véase </w:t>
      </w:r>
      <w:hyperlink w:anchor="DESCRIPTORALFABETICO394" w:history="1">
        <w:r w:rsidRPr="000C3DF9">
          <w:rPr>
            <w:rStyle w:val="TextoNormalNegritaCaracter"/>
          </w:rPr>
          <w:t>Retribuciones de empleados públicos</w:t>
        </w:r>
      </w:hyperlink>
    </w:p>
    <w:p w:rsidR="000C3DF9" w:rsidRPr="000C3DF9" w:rsidRDefault="000C3DF9" w:rsidP="000C3DF9">
      <w:pPr>
        <w:pStyle w:val="TextoNormalSangraFrancesa"/>
        <w:rPr>
          <w:rStyle w:val="TextoNormalCaracter"/>
        </w:rPr>
      </w:pPr>
      <w:bookmarkStart w:id="1610" w:name="DESCRIPTORALFABETICO35"/>
      <w:r w:rsidRPr="000C3DF9">
        <w:rPr>
          <w:rStyle w:val="TextoNormalNegritaCaracter"/>
        </w:rPr>
        <w:t>Sistema tributario</w:t>
      </w:r>
      <w:bookmarkEnd w:id="1610"/>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VP II.</w:t>
      </w:r>
    </w:p>
    <w:p w:rsidR="000C3DF9" w:rsidRPr="000C3DF9" w:rsidRDefault="000C3DF9" w:rsidP="000C3DF9">
      <w:pPr>
        <w:pStyle w:val="TextoNormalSangraFrancesa"/>
        <w:rPr>
          <w:rStyle w:val="TextoNormalCaracter"/>
        </w:rPr>
      </w:pPr>
      <w:bookmarkStart w:id="1611" w:name="DESCRIPTORALFABETICO661"/>
      <w:r w:rsidRPr="000C3DF9">
        <w:rPr>
          <w:rStyle w:val="TextoNormalNegritaCaracter"/>
        </w:rPr>
        <w:t>Sobreseimiento</w:t>
      </w:r>
      <w:bookmarkEnd w:id="1611"/>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ff. 4 a 6.</w:t>
      </w:r>
    </w:p>
    <w:p w:rsidR="000C3DF9" w:rsidRPr="000C3DF9" w:rsidRDefault="000C3DF9" w:rsidP="000C3DF9">
      <w:pPr>
        <w:pStyle w:val="TextoNormalSangraFrancesa"/>
        <w:rPr>
          <w:rStyle w:val="TextoNormalCaracter"/>
        </w:rPr>
      </w:pPr>
      <w:bookmarkStart w:id="1612" w:name="DESCRIPTORALFABETICO662"/>
      <w:r w:rsidRPr="000C3DF9">
        <w:rPr>
          <w:rStyle w:val="TextoNormalNegritaCaracter"/>
        </w:rPr>
        <w:t>Sobreseimiento por pérdida sobrevenida de objeto</w:t>
      </w:r>
      <w:bookmarkEnd w:id="1612"/>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ff. 4 a 6.</w:t>
      </w:r>
    </w:p>
    <w:p w:rsidR="000C3DF9" w:rsidRPr="000C3DF9" w:rsidRDefault="000C3DF9" w:rsidP="000C3DF9">
      <w:pPr>
        <w:pStyle w:val="TextoNormalSangraFrancesa"/>
        <w:rPr>
          <w:rStyle w:val="TextoNormalCaracter"/>
        </w:rPr>
      </w:pPr>
      <w:bookmarkStart w:id="1613" w:name="DESCRIPTORALFABETICO129"/>
      <w:r w:rsidRPr="000C3DF9">
        <w:rPr>
          <w:rStyle w:val="TextoNormalNegritaCaracter"/>
        </w:rPr>
        <w:t>Solicitantes de asilo</w:t>
      </w:r>
      <w:bookmarkEnd w:id="1613"/>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ff. 4, 11.</w:t>
      </w:r>
    </w:p>
    <w:p w:rsidR="000C3DF9" w:rsidRPr="000C3DF9" w:rsidRDefault="000C3DF9" w:rsidP="000C3DF9">
      <w:pPr>
        <w:pStyle w:val="TextoNormalSangraFrancesa"/>
        <w:rPr>
          <w:rStyle w:val="TextoNormalNegritaCaracter"/>
        </w:rPr>
      </w:pPr>
      <w:r w:rsidRPr="000C3DF9">
        <w:rPr>
          <w:rStyle w:val="TextoNormalCursivaCaracter"/>
        </w:rPr>
        <w:t>Solicitud de nulidad de actuaciones</w:t>
      </w:r>
      <w:r>
        <w:t xml:space="preserve"> véase </w:t>
      </w:r>
      <w:hyperlink w:anchor="DESCRIPTORALFABETICO606" w:history="1">
        <w:r w:rsidRPr="000C3DF9">
          <w:rPr>
            <w:rStyle w:val="TextoNormalNegritaCaracter"/>
          </w:rPr>
          <w:t>Incidente de nulidad de actuaciones</w:t>
        </w:r>
      </w:hyperlink>
    </w:p>
    <w:p w:rsidR="000C3DF9" w:rsidRPr="000C3DF9" w:rsidRDefault="000C3DF9" w:rsidP="000C3DF9">
      <w:pPr>
        <w:pStyle w:val="TextoNormalSangraFrancesa"/>
        <w:rPr>
          <w:rStyle w:val="TextoNormalCaracter"/>
        </w:rPr>
      </w:pPr>
      <w:bookmarkStart w:id="1614" w:name="DESCRIPTORALFABETICO726"/>
      <w:r w:rsidRPr="000C3DF9">
        <w:rPr>
          <w:rStyle w:val="TextoNormalNegritaCaracter"/>
        </w:rPr>
        <w:t>STC 29/1982</w:t>
      </w:r>
      <w:bookmarkEnd w:id="1614"/>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11" w:history="1">
        <w:r w:rsidRPr="000C3DF9">
          <w:rPr>
            <w:rStyle w:val="TextoNormalCaracter"/>
          </w:rPr>
          <w:t>11/2002</w:t>
        </w:r>
      </w:hyperlink>
      <w:r w:rsidRPr="000C3DF9">
        <w:rPr>
          <w:rStyle w:val="TextoNormalCaracter"/>
        </w:rPr>
        <w:t>, f. 7.</w:t>
      </w:r>
    </w:p>
    <w:p w:rsidR="000C3DF9" w:rsidRPr="000C3DF9" w:rsidRDefault="000C3DF9" w:rsidP="000C3DF9">
      <w:pPr>
        <w:pStyle w:val="TextoNormalSangraFrancesa"/>
        <w:rPr>
          <w:rStyle w:val="TextoNormalCaracter"/>
        </w:rPr>
      </w:pPr>
      <w:bookmarkStart w:id="1615" w:name="DESCRIPTORALFABETICO727"/>
      <w:r w:rsidRPr="000C3DF9">
        <w:rPr>
          <w:rStyle w:val="TextoNormalNegritaCaracter"/>
        </w:rPr>
        <w:t>STC 155/1985</w:t>
      </w:r>
      <w:bookmarkEnd w:id="1615"/>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7" w:history="1">
        <w:r w:rsidRPr="000C3DF9">
          <w:rPr>
            <w:rStyle w:val="TextoNormalCaracter"/>
          </w:rPr>
          <w:t>7/2002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16" w:name="DESCRIPTORALFABETICO728"/>
      <w:r w:rsidRPr="000C3DF9">
        <w:rPr>
          <w:rStyle w:val="TextoNormalNegritaCaracter"/>
        </w:rPr>
        <w:t>STC 178/1994</w:t>
      </w:r>
      <w:bookmarkEnd w:id="1616"/>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Efectos, </w:t>
      </w:r>
      <w:r w:rsidRPr="000C3DF9">
        <w:rPr>
          <w:rStyle w:val="TextoNormalCaracter"/>
        </w:rPr>
        <w:t xml:space="preserve">Sentencia </w:t>
      </w:r>
      <w:hyperlink w:anchor="SENTENCIA_2002_11" w:history="1">
        <w:r w:rsidRPr="000C3DF9">
          <w:rPr>
            <w:rStyle w:val="TextoNormalCaracter"/>
          </w:rPr>
          <w:t>11/2002</w:t>
        </w:r>
      </w:hyperlink>
      <w:r w:rsidRPr="000C3DF9">
        <w:rPr>
          <w:rStyle w:val="TextoNormalCaracter"/>
        </w:rPr>
        <w:t>, ff. 6, 9, 11.</w:t>
      </w:r>
    </w:p>
    <w:p w:rsidR="000C3DF9" w:rsidRPr="000C3DF9" w:rsidRDefault="000C3DF9" w:rsidP="000C3DF9">
      <w:pPr>
        <w:pStyle w:val="TextoNormalSangraFrancesa"/>
        <w:rPr>
          <w:rStyle w:val="TextoNormalCaracter"/>
        </w:rPr>
      </w:pPr>
      <w:bookmarkStart w:id="1617" w:name="DESCRIPTORALFABETICO729"/>
      <w:r w:rsidRPr="000C3DF9">
        <w:rPr>
          <w:rStyle w:val="TextoNormalNegritaCaracter"/>
        </w:rPr>
        <w:t>STC 39/1995</w:t>
      </w:r>
      <w:bookmarkEnd w:id="1617"/>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7" w:history="1">
        <w:r w:rsidRPr="000C3DF9">
          <w:rPr>
            <w:rStyle w:val="TextoNormalCaracter"/>
          </w:rPr>
          <w:t>7/2002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18" w:name="DESCRIPTORALFABETICO730"/>
      <w:r w:rsidRPr="000C3DF9">
        <w:rPr>
          <w:rStyle w:val="TextoNormalNegritaCaracter"/>
        </w:rPr>
        <w:t>STC 195/1998</w:t>
      </w:r>
      <w:bookmarkEnd w:id="1618"/>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97" w:history="1">
        <w:r w:rsidRPr="000C3DF9">
          <w:rPr>
            <w:rStyle w:val="TextoNormalCaracter"/>
          </w:rPr>
          <w:t>97/2002</w:t>
        </w:r>
      </w:hyperlink>
      <w:r w:rsidRPr="000C3DF9">
        <w:rPr>
          <w:rStyle w:val="TextoNormalCaracter"/>
        </w:rPr>
        <w:t>, f. 11.</w:t>
      </w:r>
    </w:p>
    <w:p w:rsidR="000C3DF9" w:rsidRPr="000C3DF9" w:rsidRDefault="000C3DF9" w:rsidP="000C3DF9">
      <w:pPr>
        <w:pStyle w:val="TextoNormalSangraFrancesa"/>
        <w:rPr>
          <w:rStyle w:val="TextoNormalCaracter"/>
        </w:rPr>
      </w:pPr>
      <w:bookmarkStart w:id="1619" w:name="DESCRIPTORALFABETICO731"/>
      <w:r w:rsidRPr="000C3DF9">
        <w:rPr>
          <w:rStyle w:val="TextoNormalNegritaCaracter"/>
        </w:rPr>
        <w:t>STC 55/1999</w:t>
      </w:r>
      <w:bookmarkEnd w:id="1619"/>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5" w:history="1">
        <w:r w:rsidRPr="000C3DF9">
          <w:rPr>
            <w:rStyle w:val="TextoNormalCaracter"/>
          </w:rPr>
          <w:t>5/2002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20" w:name="DESCRIPTORALFABETICO732"/>
      <w:r w:rsidRPr="000C3DF9">
        <w:rPr>
          <w:rStyle w:val="TextoNormalNegritaCaracter"/>
        </w:rPr>
        <w:t>STC 164/1999</w:t>
      </w:r>
      <w:bookmarkEnd w:id="1620"/>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5" w:history="1">
        <w:r w:rsidRPr="000C3DF9">
          <w:rPr>
            <w:rStyle w:val="TextoNormalCaracter"/>
          </w:rPr>
          <w:t>5/2002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21" w:name="DESCRIPTORALFABETICO733"/>
      <w:r w:rsidRPr="000C3DF9">
        <w:rPr>
          <w:rStyle w:val="TextoNormalNegritaCaracter"/>
        </w:rPr>
        <w:t>STC 283/2000</w:t>
      </w:r>
      <w:bookmarkEnd w:id="1621"/>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92" w:history="1">
        <w:r w:rsidRPr="000C3DF9">
          <w:rPr>
            <w:rStyle w:val="TextoNormalCaracter"/>
          </w:rPr>
          <w:t>92/2002</w:t>
        </w:r>
      </w:hyperlink>
      <w:r w:rsidRPr="000C3DF9">
        <w:rPr>
          <w:rStyle w:val="TextoNormalCaracter"/>
        </w:rPr>
        <w:t>, f. 4.</w:t>
      </w:r>
    </w:p>
    <w:p w:rsidR="000C3DF9" w:rsidRPr="000C3DF9" w:rsidRDefault="000C3DF9" w:rsidP="000C3DF9">
      <w:pPr>
        <w:pStyle w:val="TextoNormalSangraFrancesa"/>
        <w:rPr>
          <w:rStyle w:val="TextoNormalCaracter"/>
        </w:rPr>
      </w:pPr>
      <w:bookmarkStart w:id="1622" w:name="DESCRIPTORALFABETICO734"/>
      <w:r w:rsidRPr="000C3DF9">
        <w:rPr>
          <w:rStyle w:val="TextoNormalNegritaCaracter"/>
        </w:rPr>
        <w:t>STC 305/2000</w:t>
      </w:r>
      <w:bookmarkEnd w:id="1622"/>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lastRenderedPageBreak/>
        <w:t xml:space="preserve">    Distingue, </w:t>
      </w:r>
      <w:r w:rsidRPr="000C3DF9">
        <w:rPr>
          <w:rStyle w:val="TextoNormalCaracter"/>
        </w:rPr>
        <w:t xml:space="preserve">Auto </w:t>
      </w:r>
      <w:hyperlink w:anchor="AUTO_2002_10" w:history="1">
        <w:r w:rsidRPr="000C3DF9">
          <w:rPr>
            <w:rStyle w:val="TextoNormalCaracter"/>
          </w:rPr>
          <w:t>10/2002</w:t>
        </w:r>
      </w:hyperlink>
      <w:r w:rsidRPr="000C3DF9">
        <w:rPr>
          <w:rStyle w:val="TextoNormalCaracter"/>
        </w:rPr>
        <w:t>.</w:t>
      </w:r>
    </w:p>
    <w:p w:rsidR="000C3DF9" w:rsidRPr="000C3DF9" w:rsidRDefault="000C3DF9" w:rsidP="000C3DF9">
      <w:pPr>
        <w:pStyle w:val="TextoNormalSangraFrancesa"/>
        <w:rPr>
          <w:rStyle w:val="TextoNormalCaracter"/>
        </w:rPr>
      </w:pPr>
      <w:bookmarkStart w:id="1623" w:name="DESCRIPTORALFABETICO735"/>
      <w:r w:rsidRPr="000C3DF9">
        <w:rPr>
          <w:rStyle w:val="TextoNormalNegritaCaracter"/>
        </w:rPr>
        <w:t>STC 115/2001</w:t>
      </w:r>
      <w:bookmarkEnd w:id="1623"/>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Efectos, </w:t>
      </w:r>
      <w:r w:rsidRPr="000C3DF9">
        <w:rPr>
          <w:rStyle w:val="TextoNormalCaracter"/>
        </w:rPr>
        <w:t xml:space="preserve">Auto </w:t>
      </w:r>
      <w:hyperlink w:anchor="AUTO_2002_31" w:history="1">
        <w:r w:rsidRPr="000C3DF9">
          <w:rPr>
            <w:rStyle w:val="TextoNormalCaracter"/>
          </w:rPr>
          <w:t>31/2002</w:t>
        </w:r>
      </w:hyperlink>
      <w:r w:rsidRPr="000C3DF9">
        <w:rPr>
          <w:rStyle w:val="TextoNormalCaracter"/>
        </w:rPr>
        <w:t>.</w:t>
      </w:r>
    </w:p>
    <w:p w:rsidR="000C3DF9" w:rsidRPr="000C3DF9" w:rsidRDefault="000C3DF9" w:rsidP="000C3DF9">
      <w:pPr>
        <w:pStyle w:val="TextoNormalSangraFrancesa"/>
        <w:rPr>
          <w:rStyle w:val="TextoNormalCaracter"/>
        </w:rPr>
      </w:pPr>
      <w:bookmarkStart w:id="1624" w:name="DESCRIPTORALFABETICO736"/>
      <w:r w:rsidRPr="000C3DF9">
        <w:rPr>
          <w:rStyle w:val="TextoNormalNegritaCaracter"/>
        </w:rPr>
        <w:t>STC 157/2001</w:t>
      </w:r>
      <w:bookmarkEnd w:id="1624"/>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Efectos, </w:t>
      </w:r>
      <w:r w:rsidRPr="000C3DF9">
        <w:rPr>
          <w:rStyle w:val="TextoNormalCaracter"/>
        </w:rPr>
        <w:t xml:space="preserve">Auto </w:t>
      </w:r>
      <w:hyperlink w:anchor="AUTO_2002_3" w:history="1">
        <w:r w:rsidRPr="000C3DF9">
          <w:rPr>
            <w:rStyle w:val="TextoNormalCaracter"/>
          </w:rPr>
          <w:t>3/2002</w:t>
        </w:r>
      </w:hyperlink>
      <w:r w:rsidRPr="000C3DF9">
        <w:rPr>
          <w:rStyle w:val="TextoNormalCaracter"/>
        </w:rPr>
        <w:t>.</w:t>
      </w:r>
    </w:p>
    <w:p w:rsidR="000C3DF9" w:rsidRPr="000C3DF9" w:rsidRDefault="000C3DF9" w:rsidP="000C3DF9">
      <w:pPr>
        <w:pStyle w:val="TextoNormalSangraFrancesa"/>
        <w:rPr>
          <w:rStyle w:val="TextoNormalCaracter"/>
        </w:rPr>
      </w:pPr>
      <w:bookmarkStart w:id="1625" w:name="DESCRIPTORALFABETICO737"/>
      <w:r w:rsidRPr="000C3DF9">
        <w:rPr>
          <w:rStyle w:val="TextoNormalNegritaCaracter"/>
        </w:rPr>
        <w:t>STC 46/2002</w:t>
      </w:r>
      <w:bookmarkEnd w:id="1625"/>
      <w:r w:rsidRPr="000C3DF9">
        <w:rPr>
          <w:rStyle w:val="TextoNormalCaracter"/>
        </w:rPr>
        <w:t xml:space="preserve">, </w:t>
      </w:r>
    </w:p>
    <w:p w:rsidR="000C3DF9" w:rsidRPr="000C3DF9" w:rsidRDefault="000C3DF9" w:rsidP="000C3DF9">
      <w:pPr>
        <w:pStyle w:val="TextoNormalSangraFrancesa"/>
        <w:rPr>
          <w:rStyle w:val="TextoNormalCaracter"/>
        </w:rPr>
      </w:pPr>
      <w:r w:rsidRPr="000C3DF9">
        <w:rPr>
          <w:rStyle w:val="TextoNormalCursivaCaracter"/>
        </w:rPr>
        <w:t xml:space="preserve">    Distingue, </w:t>
      </w:r>
      <w:r w:rsidRPr="000C3DF9">
        <w:rPr>
          <w:rStyle w:val="TextoNormalCaracter"/>
        </w:rPr>
        <w:t xml:space="preserve">Sentencia </w:t>
      </w:r>
      <w:hyperlink w:anchor="SENTENCIA_2002_52" w:history="1">
        <w:r w:rsidRPr="000C3DF9">
          <w:rPr>
            <w:rStyle w:val="TextoNormalCaracter"/>
          </w:rPr>
          <w:t>52/2002</w:t>
        </w:r>
      </w:hyperlink>
      <w:r w:rsidRPr="000C3DF9">
        <w:rPr>
          <w:rStyle w:val="TextoNormalCaracter"/>
        </w:rPr>
        <w:t>, f. 8.</w:t>
      </w:r>
    </w:p>
    <w:p w:rsidR="000C3DF9" w:rsidRPr="000C3DF9" w:rsidRDefault="000C3DF9" w:rsidP="000C3DF9">
      <w:pPr>
        <w:pStyle w:val="TextoNormalSangraFrancesa"/>
        <w:rPr>
          <w:rStyle w:val="TextoNormalCaracter"/>
        </w:rPr>
      </w:pPr>
      <w:bookmarkStart w:id="1626" w:name="DESCRIPTORALFABETICO571"/>
      <w:r w:rsidRPr="000C3DF9">
        <w:rPr>
          <w:rStyle w:val="TextoNormalNegritaCaracter"/>
        </w:rPr>
        <w:t>Subasta de bienes embargados</w:t>
      </w:r>
      <w:bookmarkEnd w:id="1626"/>
      <w:r w:rsidRPr="000C3DF9">
        <w:rPr>
          <w:rStyle w:val="TextoNormalCaracter"/>
        </w:rPr>
        <w:t xml:space="preserve">, Auto </w:t>
      </w:r>
      <w:hyperlink w:anchor="AUTO_2002_49" w:history="1">
        <w:r w:rsidRPr="000C3DF9">
          <w:rPr>
            <w:rStyle w:val="TextoNormalCaracter"/>
          </w:rPr>
          <w:t>49/2002</w:t>
        </w:r>
      </w:hyperlink>
      <w:r w:rsidRPr="000C3DF9">
        <w:rPr>
          <w:rStyle w:val="TextoNormalCaracter"/>
        </w:rPr>
        <w:t>.</w:t>
      </w:r>
    </w:p>
    <w:p w:rsidR="000C3DF9" w:rsidRPr="000C3DF9" w:rsidRDefault="000C3DF9" w:rsidP="000C3DF9">
      <w:pPr>
        <w:pStyle w:val="TextoNormalSangraFrancesa"/>
        <w:rPr>
          <w:rStyle w:val="TextoNormalCaracter"/>
        </w:rPr>
      </w:pPr>
      <w:bookmarkStart w:id="1627" w:name="DESCRIPTORALFABETICO387"/>
      <w:r w:rsidRPr="000C3DF9">
        <w:rPr>
          <w:rStyle w:val="TextoNormalNegritaCaracter"/>
        </w:rPr>
        <w:t>Subvenciones autonómicas</w:t>
      </w:r>
      <w:bookmarkEnd w:id="1627"/>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ff. 2 a 10.</w:t>
      </w:r>
    </w:p>
    <w:p w:rsidR="000C3DF9" w:rsidRPr="000C3DF9" w:rsidRDefault="000C3DF9" w:rsidP="000C3DF9">
      <w:pPr>
        <w:pStyle w:val="TextoNormalSangraFrancesa"/>
        <w:rPr>
          <w:rStyle w:val="TextoNormalNegritaCaracter"/>
        </w:rPr>
      </w:pPr>
      <w:r w:rsidRPr="000C3DF9">
        <w:rPr>
          <w:rStyle w:val="TextoNormalCursivaCaracter"/>
        </w:rPr>
        <w:t>Subvenciones de las Comunidades Autónomas</w:t>
      </w:r>
      <w:r>
        <w:t xml:space="preserve"> véase </w:t>
      </w:r>
      <w:hyperlink w:anchor="DESCRIPTORALFABETICO387" w:history="1">
        <w:r w:rsidRPr="000C3DF9">
          <w:rPr>
            <w:rStyle w:val="TextoNormalNegritaCaracter"/>
          </w:rPr>
          <w:t>Subvenciones autonómicas</w:t>
        </w:r>
      </w:hyperlink>
    </w:p>
    <w:p w:rsidR="000C3DF9" w:rsidRPr="000C3DF9" w:rsidRDefault="000C3DF9" w:rsidP="000C3DF9">
      <w:pPr>
        <w:pStyle w:val="TextoNormalSangraFrancesa"/>
        <w:rPr>
          <w:rStyle w:val="TextoNormalCaracter"/>
        </w:rPr>
      </w:pPr>
      <w:bookmarkStart w:id="1628" w:name="DESCRIPTORALFABETICO386"/>
      <w:r w:rsidRPr="000C3DF9">
        <w:rPr>
          <w:rStyle w:val="TextoNormalNegritaCaracter"/>
        </w:rPr>
        <w:t>Subvenciones en materia laboral</w:t>
      </w:r>
      <w:bookmarkEnd w:id="1628"/>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18.</w:t>
      </w:r>
    </w:p>
    <w:p w:rsidR="000C3DF9" w:rsidRPr="000C3DF9" w:rsidRDefault="000C3DF9" w:rsidP="000C3DF9">
      <w:pPr>
        <w:pStyle w:val="TextoNormalSangraFrancesa"/>
        <w:rPr>
          <w:rStyle w:val="TextoNormalCaracter"/>
        </w:rPr>
      </w:pPr>
      <w:bookmarkStart w:id="1629" w:name="DESCRIPTORALFABETICO289"/>
      <w:r w:rsidRPr="000C3DF9">
        <w:rPr>
          <w:rStyle w:val="TextoNormalNegritaCaracter"/>
        </w:rPr>
        <w:t>Sucesión de Administraciones públicas</w:t>
      </w:r>
      <w:bookmarkEnd w:id="1629"/>
      <w:r w:rsidRPr="000C3DF9">
        <w:rPr>
          <w:rStyle w:val="TextoNormalCaracter"/>
        </w:rPr>
        <w:t xml:space="preserve">, Sentencia </w:t>
      </w:r>
      <w:hyperlink w:anchor="SENTENCIA_2002_89" w:history="1">
        <w:r w:rsidRPr="000C3DF9">
          <w:rPr>
            <w:rStyle w:val="TextoNormalCaracter"/>
          </w:rPr>
          <w:t>89/2002</w:t>
        </w:r>
      </w:hyperlink>
      <w:r w:rsidRPr="000C3DF9">
        <w:rPr>
          <w:rStyle w:val="TextoNormalCaracter"/>
        </w:rPr>
        <w:t>, f. 4.</w:t>
      </w:r>
    </w:p>
    <w:p w:rsidR="000C3DF9" w:rsidRPr="000C3DF9" w:rsidRDefault="000C3DF9" w:rsidP="000C3DF9">
      <w:pPr>
        <w:pStyle w:val="TextoNormalSangraFrancesa"/>
        <w:rPr>
          <w:rStyle w:val="TextoNormalCaracter"/>
        </w:rPr>
      </w:pPr>
      <w:bookmarkStart w:id="1630" w:name="DESCRIPTORALFABETICO455"/>
      <w:r w:rsidRPr="000C3DF9">
        <w:rPr>
          <w:rStyle w:val="TextoNormalNegritaCaracter"/>
        </w:rPr>
        <w:t>Sucesión de normas sancionadoras</w:t>
      </w:r>
      <w:bookmarkEnd w:id="1630"/>
      <w:r w:rsidRPr="000C3DF9">
        <w:rPr>
          <w:rStyle w:val="TextoNormalCaracter"/>
        </w:rPr>
        <w:t xml:space="preserve">, Sentencia </w:t>
      </w:r>
      <w:hyperlink w:anchor="SENTENCIA_2002_75" w:history="1">
        <w:r w:rsidRPr="000C3DF9">
          <w:rPr>
            <w:rStyle w:val="TextoNormalCaracter"/>
          </w:rPr>
          <w:t>75/2002</w:t>
        </w:r>
      </w:hyperlink>
      <w:r w:rsidRPr="000C3DF9">
        <w:rPr>
          <w:rStyle w:val="TextoNormalCaracter"/>
        </w:rPr>
        <w:t>, f. 4.</w:t>
      </w:r>
    </w:p>
    <w:p w:rsidR="000C3DF9" w:rsidRPr="000C3DF9" w:rsidRDefault="000C3DF9" w:rsidP="000C3DF9">
      <w:pPr>
        <w:pStyle w:val="TextoNormalSangraFrancesa"/>
        <w:rPr>
          <w:rStyle w:val="TextoNormalNegritaCaracter"/>
        </w:rPr>
      </w:pPr>
      <w:r w:rsidRPr="000C3DF9">
        <w:rPr>
          <w:rStyle w:val="TextoNormalCursivaCaracter"/>
        </w:rPr>
        <w:t>Supletoriedad del Derecho estatal</w:t>
      </w:r>
      <w:r>
        <w:t xml:space="preserve"> véase </w:t>
      </w:r>
      <w:hyperlink w:anchor="DESCRIPTORALFABETICO439" w:history="1">
        <w:r w:rsidRPr="000C3DF9">
          <w:rPr>
            <w:rStyle w:val="TextoNormalNegritaCaracter"/>
          </w:rPr>
          <w:t>Derecho supletorio estatal</w:t>
        </w:r>
      </w:hyperlink>
    </w:p>
    <w:p w:rsidR="000C3DF9" w:rsidRPr="000C3DF9" w:rsidRDefault="000C3DF9" w:rsidP="000C3DF9">
      <w:pPr>
        <w:pStyle w:val="TextoNormalSangraFrancesa"/>
        <w:rPr>
          <w:rStyle w:val="TextoNormalCaracter"/>
        </w:rPr>
      </w:pPr>
      <w:bookmarkStart w:id="1631" w:name="DESCRIPTORALFABETICO297"/>
      <w:r w:rsidRPr="000C3DF9">
        <w:rPr>
          <w:rStyle w:val="TextoNormalNegritaCaracter"/>
        </w:rPr>
        <w:t>Supremo intérprete de la legalidad ordinaria</w:t>
      </w:r>
      <w:bookmarkEnd w:id="1631"/>
      <w:r w:rsidRPr="000C3DF9">
        <w:rPr>
          <w:rStyle w:val="TextoNormalCaracter"/>
        </w:rPr>
        <w:t xml:space="preserve">, Sentencia </w:t>
      </w:r>
      <w:hyperlink w:anchor="SENTENCIA_2002_77" w:history="1">
        <w:r w:rsidRPr="000C3DF9">
          <w:rPr>
            <w:rStyle w:val="TextoNormalCaracter"/>
          </w:rPr>
          <w:t>77/2002</w:t>
        </w:r>
      </w:hyperlink>
      <w:r w:rsidRPr="000C3DF9">
        <w:rPr>
          <w:rStyle w:val="TextoNormalCaracter"/>
        </w:rPr>
        <w:t>, f. 5.</w:t>
      </w:r>
    </w:p>
    <w:p w:rsidR="000C3DF9" w:rsidRPr="000C3DF9" w:rsidRDefault="000C3DF9" w:rsidP="000C3DF9">
      <w:pPr>
        <w:pStyle w:val="TextoNormalSangraFrancesa"/>
        <w:rPr>
          <w:rStyle w:val="TextoNormalCaracter"/>
        </w:rPr>
      </w:pPr>
      <w:bookmarkStart w:id="1632" w:name="DESCRIPTORALFABETICO284"/>
      <w:r w:rsidRPr="000C3DF9">
        <w:rPr>
          <w:rStyle w:val="TextoNormalNegritaCaracter"/>
        </w:rPr>
        <w:t>Supresión de corporaciones de Derecho público</w:t>
      </w:r>
      <w:bookmarkEnd w:id="1632"/>
      <w:r w:rsidRPr="000C3DF9">
        <w:rPr>
          <w:rStyle w:val="TextoNormalCaracter"/>
        </w:rPr>
        <w:t xml:space="preserve">, Sentencia </w:t>
      </w:r>
      <w:hyperlink w:anchor="SENTENCIA_2002_11" w:history="1">
        <w:r w:rsidRPr="000C3DF9">
          <w:rPr>
            <w:rStyle w:val="TextoNormalCaracter"/>
          </w:rPr>
          <w:t>11/2002</w:t>
        </w:r>
      </w:hyperlink>
      <w:r w:rsidRPr="000C3DF9">
        <w:rPr>
          <w:rStyle w:val="TextoNormalCaracter"/>
        </w:rPr>
        <w:t>, ff. 5, 7.</w:t>
      </w:r>
    </w:p>
    <w:p w:rsidR="000C3DF9" w:rsidRPr="000C3DF9" w:rsidRDefault="000C3DF9" w:rsidP="000C3DF9">
      <w:pPr>
        <w:pStyle w:val="TextoNormalSangraFrancesa"/>
        <w:rPr>
          <w:rStyle w:val="TextoNormalCaracter"/>
        </w:rPr>
      </w:pPr>
      <w:bookmarkStart w:id="1633" w:name="DESCRIPTORALFABETICO181"/>
      <w:r w:rsidRPr="000C3DF9">
        <w:rPr>
          <w:rStyle w:val="TextoNormalNegritaCaracter"/>
        </w:rPr>
        <w:t>Suspensión cautelar de resoluciones administrativas</w:t>
      </w:r>
      <w:bookmarkEnd w:id="1633"/>
      <w:r w:rsidRPr="000C3DF9">
        <w:rPr>
          <w:rStyle w:val="TextoNormalCaracter"/>
        </w:rPr>
        <w:t xml:space="preserve">, Autos </w:t>
      </w:r>
      <w:hyperlink w:anchor="AUTO_2002_15" w:history="1">
        <w:r w:rsidRPr="000C3DF9">
          <w:rPr>
            <w:rStyle w:val="TextoNormalCaracter"/>
          </w:rPr>
          <w:t>15/2002</w:t>
        </w:r>
      </w:hyperlink>
      <w:r w:rsidRPr="000C3DF9">
        <w:rPr>
          <w:rStyle w:val="TextoNormalCaracter"/>
        </w:rPr>
        <w:t xml:space="preserve">; </w:t>
      </w:r>
      <w:hyperlink w:anchor="AUTO_2002_34" w:history="1">
        <w:r w:rsidRPr="000C3DF9">
          <w:rPr>
            <w:rStyle w:val="TextoNormalCaracter"/>
          </w:rPr>
          <w:t>34/2002</w:t>
        </w:r>
      </w:hyperlink>
      <w:r w:rsidRPr="000C3DF9">
        <w:rPr>
          <w:rStyle w:val="TextoNormalCaracter"/>
        </w:rPr>
        <w:t xml:space="preserve">; </w:t>
      </w:r>
      <w:hyperlink w:anchor="AUTO_2002_40" w:history="1">
        <w:r w:rsidRPr="000C3DF9">
          <w:rPr>
            <w:rStyle w:val="TextoNormalCaracter"/>
          </w:rPr>
          <w:t>40/2002</w:t>
        </w:r>
      </w:hyperlink>
      <w:r w:rsidRPr="000C3DF9">
        <w:rPr>
          <w:rStyle w:val="TextoNormalCaracter"/>
        </w:rPr>
        <w:t xml:space="preserve">; </w:t>
      </w:r>
      <w:hyperlink w:anchor="AUTO_2002_67" w:history="1">
        <w:r w:rsidRPr="000C3DF9">
          <w:rPr>
            <w:rStyle w:val="TextoNormalCaracter"/>
          </w:rPr>
          <w:t>67/2002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No suspende, </w:t>
      </w:r>
      <w:r w:rsidRPr="000C3DF9">
        <w:rPr>
          <w:rStyle w:val="TextoNormalCaracter"/>
        </w:rPr>
        <w:t xml:space="preserve">Auto </w:t>
      </w:r>
      <w:hyperlink w:anchor="AUTO_2002_46" w:history="1">
        <w:r w:rsidRPr="000C3DF9">
          <w:rPr>
            <w:rStyle w:val="TextoNormalCaracter"/>
          </w:rPr>
          <w:t>46/2002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Suspende, </w:t>
      </w:r>
      <w:r w:rsidRPr="000C3DF9">
        <w:rPr>
          <w:rStyle w:val="TextoNormalCaracter"/>
        </w:rPr>
        <w:t xml:space="preserve">Autos </w:t>
      </w:r>
      <w:hyperlink w:anchor="AUTO_2002_15" w:history="1">
        <w:r w:rsidRPr="000C3DF9">
          <w:rPr>
            <w:rStyle w:val="TextoNormalCaracter"/>
          </w:rPr>
          <w:t>15/2002</w:t>
        </w:r>
      </w:hyperlink>
      <w:r w:rsidRPr="000C3DF9">
        <w:rPr>
          <w:rStyle w:val="TextoNormalCaracter"/>
        </w:rPr>
        <w:t xml:space="preserve">; </w:t>
      </w:r>
      <w:hyperlink w:anchor="AUTO_2002_34" w:history="1">
        <w:r w:rsidRPr="000C3DF9">
          <w:rPr>
            <w:rStyle w:val="TextoNormalCaracter"/>
          </w:rPr>
          <w:t>34/2002</w:t>
        </w:r>
      </w:hyperlink>
      <w:r w:rsidRPr="000C3DF9">
        <w:rPr>
          <w:rStyle w:val="TextoNormalCaracter"/>
        </w:rPr>
        <w:t xml:space="preserve">; </w:t>
      </w:r>
      <w:hyperlink w:anchor="AUTO_2002_40" w:history="1">
        <w:r w:rsidRPr="000C3DF9">
          <w:rPr>
            <w:rStyle w:val="TextoNormalCaracter"/>
          </w:rPr>
          <w:t>40/2002</w:t>
        </w:r>
      </w:hyperlink>
      <w:r w:rsidRPr="000C3DF9">
        <w:rPr>
          <w:rStyle w:val="TextoNormalCaracter"/>
        </w:rPr>
        <w:t>.</w:t>
      </w:r>
    </w:p>
    <w:p w:rsidR="000C3DF9" w:rsidRPr="000C3DF9" w:rsidRDefault="000C3DF9" w:rsidP="000C3DF9">
      <w:pPr>
        <w:pStyle w:val="TextoNormalSangraFrancesa"/>
        <w:rPr>
          <w:rStyle w:val="TextoNormalCaracter"/>
        </w:rPr>
      </w:pPr>
      <w:bookmarkStart w:id="1634" w:name="DESCRIPTORALFABETICO183"/>
      <w:r w:rsidRPr="000C3DF9">
        <w:rPr>
          <w:rStyle w:val="TextoNormalNegritaCaracter"/>
        </w:rPr>
        <w:t>Suspensión cautelar de resoluciones civiles</w:t>
      </w:r>
      <w:bookmarkEnd w:id="1634"/>
      <w:r w:rsidRPr="000C3DF9">
        <w:rPr>
          <w:rStyle w:val="TextoNormalCaracter"/>
        </w:rPr>
        <w:t xml:space="preserve">, Autos </w:t>
      </w:r>
      <w:hyperlink w:anchor="AUTO_2002_21" w:history="1">
        <w:r w:rsidRPr="000C3DF9">
          <w:rPr>
            <w:rStyle w:val="TextoNormalCaracter"/>
          </w:rPr>
          <w:t>21/2002</w:t>
        </w:r>
      </w:hyperlink>
      <w:r w:rsidRPr="000C3DF9">
        <w:rPr>
          <w:rStyle w:val="TextoNormalCaracter"/>
        </w:rPr>
        <w:t xml:space="preserve">; </w:t>
      </w:r>
      <w:hyperlink w:anchor="AUTO_2002_49" w:history="1">
        <w:r w:rsidRPr="000C3DF9">
          <w:rPr>
            <w:rStyle w:val="TextoNormalCaracter"/>
          </w:rPr>
          <w:t>49/2002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No suspende, </w:t>
      </w:r>
      <w:r w:rsidRPr="000C3DF9">
        <w:rPr>
          <w:rStyle w:val="TextoNormalCaracter"/>
        </w:rPr>
        <w:t xml:space="preserve">Auto </w:t>
      </w:r>
      <w:hyperlink w:anchor="AUTO_2002_21" w:history="1">
        <w:r w:rsidRPr="000C3DF9">
          <w:rPr>
            <w:rStyle w:val="TextoNormalCaracter"/>
          </w:rPr>
          <w:t>21/2002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Suspende, </w:t>
      </w:r>
      <w:r w:rsidRPr="000C3DF9">
        <w:rPr>
          <w:rStyle w:val="TextoNormalCaracter"/>
        </w:rPr>
        <w:t xml:space="preserve">Auto </w:t>
      </w:r>
      <w:hyperlink w:anchor="AUTO_2002_49" w:history="1">
        <w:r w:rsidRPr="000C3DF9">
          <w:rPr>
            <w:rStyle w:val="TextoNormalCaracter"/>
          </w:rPr>
          <w:t>49/2002</w:t>
        </w:r>
      </w:hyperlink>
      <w:r w:rsidRPr="000C3DF9">
        <w:rPr>
          <w:rStyle w:val="TextoNormalCaracter"/>
        </w:rPr>
        <w:t>.</w:t>
      </w:r>
    </w:p>
    <w:p w:rsidR="000C3DF9" w:rsidRPr="000C3DF9" w:rsidRDefault="000C3DF9" w:rsidP="000C3DF9">
      <w:pPr>
        <w:pStyle w:val="TextoNormalSangraFrancesa"/>
        <w:rPr>
          <w:rStyle w:val="TextoNormalCaracter"/>
        </w:rPr>
      </w:pPr>
      <w:bookmarkStart w:id="1635" w:name="DESCRIPTORALFABETICO189"/>
      <w:r w:rsidRPr="000C3DF9">
        <w:rPr>
          <w:rStyle w:val="TextoNormalNegritaCaracter"/>
        </w:rPr>
        <w:t>Suspensión cautelar de resoluciones parlamentarias</w:t>
      </w:r>
      <w:bookmarkEnd w:id="1635"/>
      <w:r w:rsidRPr="000C3DF9">
        <w:rPr>
          <w:rStyle w:val="TextoNormalCaracter"/>
        </w:rPr>
        <w:t xml:space="preserve">, Auto </w:t>
      </w:r>
      <w:hyperlink w:anchor="AUTO_2002_18" w:history="1">
        <w:r w:rsidRPr="000C3DF9">
          <w:rPr>
            <w:rStyle w:val="TextoNormalCaracter"/>
          </w:rPr>
          <w:t>18/2002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No suspende, </w:t>
      </w:r>
      <w:r w:rsidRPr="000C3DF9">
        <w:rPr>
          <w:rStyle w:val="TextoNormalCaracter"/>
        </w:rPr>
        <w:t xml:space="preserve">Auto </w:t>
      </w:r>
      <w:hyperlink w:anchor="AUTO_2002_18" w:history="1">
        <w:r w:rsidRPr="000C3DF9">
          <w:rPr>
            <w:rStyle w:val="TextoNormalCaracter"/>
          </w:rPr>
          <w:t>18/2002</w:t>
        </w:r>
      </w:hyperlink>
      <w:r w:rsidRPr="000C3DF9">
        <w:rPr>
          <w:rStyle w:val="TextoNormalCaracter"/>
        </w:rPr>
        <w:t>.</w:t>
      </w:r>
    </w:p>
    <w:p w:rsidR="000C3DF9" w:rsidRPr="000C3DF9" w:rsidRDefault="000C3DF9" w:rsidP="000C3DF9">
      <w:pPr>
        <w:pStyle w:val="TextoNormalSangraFrancesa"/>
        <w:rPr>
          <w:rStyle w:val="TextoNormalCaracter"/>
        </w:rPr>
      </w:pPr>
      <w:bookmarkStart w:id="1636" w:name="DESCRIPTORALFABETICO186"/>
      <w:r w:rsidRPr="000C3DF9">
        <w:rPr>
          <w:rStyle w:val="TextoNormalNegritaCaracter"/>
        </w:rPr>
        <w:t>Suspensión cautelar de resoluciones penales</w:t>
      </w:r>
      <w:bookmarkEnd w:id="1636"/>
      <w:r w:rsidRPr="000C3DF9">
        <w:rPr>
          <w:rStyle w:val="TextoNormalCaracter"/>
        </w:rPr>
        <w:t xml:space="preserve">, Autos </w:t>
      </w:r>
      <w:hyperlink w:anchor="AUTO_2002_2" w:history="1">
        <w:r w:rsidRPr="000C3DF9">
          <w:rPr>
            <w:rStyle w:val="TextoNormalCaracter"/>
          </w:rPr>
          <w:t>2/2002</w:t>
        </w:r>
      </w:hyperlink>
      <w:r w:rsidRPr="000C3DF9">
        <w:rPr>
          <w:rStyle w:val="TextoNormalCaracter"/>
        </w:rPr>
        <w:t xml:space="preserve">; </w:t>
      </w:r>
      <w:hyperlink w:anchor="AUTO_2002_66" w:history="1">
        <w:r w:rsidRPr="000C3DF9">
          <w:rPr>
            <w:rStyle w:val="TextoNormalCaracter"/>
          </w:rPr>
          <w:t>66/2002</w:t>
        </w:r>
      </w:hyperlink>
      <w:r w:rsidRPr="000C3DF9">
        <w:rPr>
          <w:rStyle w:val="TextoNormalCaracter"/>
        </w:rPr>
        <w:t xml:space="preserve">; </w:t>
      </w:r>
      <w:hyperlink w:anchor="AUTO_2002_71" w:history="1">
        <w:r w:rsidRPr="000C3DF9">
          <w:rPr>
            <w:rStyle w:val="TextoNormalCaracter"/>
          </w:rPr>
          <w:t>71/2002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No suspende, </w:t>
      </w:r>
      <w:r w:rsidRPr="000C3DF9">
        <w:rPr>
          <w:rStyle w:val="TextoNormalCaracter"/>
        </w:rPr>
        <w:t xml:space="preserve">Autos </w:t>
      </w:r>
      <w:hyperlink w:anchor="AUTO_2002_16" w:history="1">
        <w:r w:rsidRPr="000C3DF9">
          <w:rPr>
            <w:rStyle w:val="TextoNormalCaracter"/>
          </w:rPr>
          <w:t>16/2002</w:t>
        </w:r>
      </w:hyperlink>
      <w:r w:rsidRPr="000C3DF9">
        <w:rPr>
          <w:rStyle w:val="TextoNormalCaracter"/>
        </w:rPr>
        <w:t xml:space="preserve">; </w:t>
      </w:r>
      <w:hyperlink w:anchor="AUTO_2002_22" w:history="1">
        <w:r w:rsidRPr="000C3DF9">
          <w:rPr>
            <w:rStyle w:val="TextoNormalCaracter"/>
          </w:rPr>
          <w:t>22/2002</w:t>
        </w:r>
      </w:hyperlink>
      <w:r w:rsidRPr="000C3DF9">
        <w:rPr>
          <w:rStyle w:val="TextoNormalCaracter"/>
        </w:rPr>
        <w:t xml:space="preserve">; </w:t>
      </w:r>
      <w:hyperlink w:anchor="AUTO_2002_66" w:history="1">
        <w:r w:rsidRPr="000C3DF9">
          <w:rPr>
            <w:rStyle w:val="TextoNormalCaracter"/>
          </w:rPr>
          <w:t>66/2002</w:t>
        </w:r>
      </w:hyperlink>
      <w:r w:rsidRPr="000C3DF9">
        <w:rPr>
          <w:rStyle w:val="TextoNormalCaracter"/>
        </w:rPr>
        <w:t xml:space="preserve">; </w:t>
      </w:r>
      <w:hyperlink w:anchor="AUTO_2002_71" w:history="1">
        <w:r w:rsidRPr="000C3DF9">
          <w:rPr>
            <w:rStyle w:val="TextoNormalCaracter"/>
          </w:rPr>
          <w:t>71/2002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Suspende, </w:t>
      </w:r>
      <w:r w:rsidRPr="000C3DF9">
        <w:rPr>
          <w:rStyle w:val="TextoNormalCaracter"/>
        </w:rPr>
        <w:t xml:space="preserve">Autos </w:t>
      </w:r>
      <w:hyperlink w:anchor="AUTO_2002_2" w:history="1">
        <w:r w:rsidRPr="000C3DF9">
          <w:rPr>
            <w:rStyle w:val="TextoNormalCaracter"/>
          </w:rPr>
          <w:t>2/2002</w:t>
        </w:r>
      </w:hyperlink>
      <w:r w:rsidRPr="000C3DF9">
        <w:rPr>
          <w:rStyle w:val="TextoNormalCaracter"/>
        </w:rPr>
        <w:t xml:space="preserve">; </w:t>
      </w:r>
      <w:hyperlink w:anchor="AUTO_2002_22" w:history="1">
        <w:r w:rsidRPr="000C3DF9">
          <w:rPr>
            <w:rStyle w:val="TextoNormalCaracter"/>
          </w:rPr>
          <w:t>22/2002</w:t>
        </w:r>
      </w:hyperlink>
      <w:r w:rsidRPr="000C3DF9">
        <w:rPr>
          <w:rStyle w:val="TextoNormalCaracter"/>
        </w:rPr>
        <w:t>.</w:t>
      </w:r>
    </w:p>
    <w:p w:rsidR="000C3DF9" w:rsidRPr="000C3DF9" w:rsidRDefault="000C3DF9" w:rsidP="000C3DF9">
      <w:pPr>
        <w:pStyle w:val="TextoNormalSangraFrancesa"/>
        <w:rPr>
          <w:rStyle w:val="TextoNormalCaracter"/>
        </w:rPr>
      </w:pPr>
      <w:bookmarkStart w:id="1637" w:name="DESCRIPTORALFABETICO184"/>
      <w:r w:rsidRPr="000C3DF9">
        <w:rPr>
          <w:rStyle w:val="TextoNormalNegritaCaracter"/>
        </w:rPr>
        <w:t>Suspensión cautelar de sentencias civiles</w:t>
      </w:r>
      <w:bookmarkEnd w:id="1637"/>
      <w:r w:rsidRPr="000C3DF9">
        <w:rPr>
          <w:rStyle w:val="TextoNormalCaracter"/>
        </w:rPr>
        <w:t xml:space="preserve">, Auto </w:t>
      </w:r>
      <w:hyperlink w:anchor="AUTO_2002_64" w:history="1">
        <w:r w:rsidRPr="000C3DF9">
          <w:rPr>
            <w:rStyle w:val="TextoNormalCaracter"/>
          </w:rPr>
          <w:t>64/2002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No suspende, </w:t>
      </w:r>
      <w:r w:rsidRPr="000C3DF9">
        <w:rPr>
          <w:rStyle w:val="TextoNormalCaracter"/>
        </w:rPr>
        <w:t xml:space="preserve">Auto </w:t>
      </w:r>
      <w:hyperlink w:anchor="AUTO_2002_64" w:history="1">
        <w:r w:rsidRPr="000C3DF9">
          <w:rPr>
            <w:rStyle w:val="TextoNormalCaracter"/>
          </w:rPr>
          <w:t>64/2002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Suspende, </w:t>
      </w:r>
      <w:r w:rsidRPr="000C3DF9">
        <w:rPr>
          <w:rStyle w:val="TextoNormalCaracter"/>
        </w:rPr>
        <w:t xml:space="preserve">Auto </w:t>
      </w:r>
      <w:hyperlink w:anchor="AUTO_2002_7" w:history="1">
        <w:r w:rsidRPr="000C3DF9">
          <w:rPr>
            <w:rStyle w:val="TextoNormalCaracter"/>
          </w:rPr>
          <w:t>7/2002</w:t>
        </w:r>
      </w:hyperlink>
      <w:r w:rsidRPr="000C3DF9">
        <w:rPr>
          <w:rStyle w:val="TextoNormalCaracter"/>
        </w:rPr>
        <w:t>.</w:t>
      </w:r>
    </w:p>
    <w:p w:rsidR="000C3DF9" w:rsidRPr="000C3DF9" w:rsidRDefault="000C3DF9" w:rsidP="000C3DF9">
      <w:pPr>
        <w:pStyle w:val="TextoNormalSangraFrancesa"/>
        <w:rPr>
          <w:rStyle w:val="TextoNormalCaracter"/>
        </w:rPr>
      </w:pPr>
      <w:bookmarkStart w:id="1638" w:name="DESCRIPTORALFABETICO185"/>
      <w:r w:rsidRPr="000C3DF9">
        <w:rPr>
          <w:rStyle w:val="TextoNormalNegritaCaracter"/>
        </w:rPr>
        <w:t>Suspensión cautelar de sentencias contencioso-administrativas</w:t>
      </w:r>
      <w:bookmarkEnd w:id="1638"/>
      <w:r w:rsidRPr="000C3DF9">
        <w:rPr>
          <w:rStyle w:val="TextoNormalCaracter"/>
        </w:rPr>
        <w:t xml:space="preserve">, Auto </w:t>
      </w:r>
      <w:hyperlink w:anchor="AUTO_2002_9" w:history="1">
        <w:r w:rsidRPr="000C3DF9">
          <w:rPr>
            <w:rStyle w:val="TextoNormalCaracter"/>
          </w:rPr>
          <w:t>9/2002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No suspende, </w:t>
      </w:r>
      <w:r w:rsidRPr="000C3DF9">
        <w:rPr>
          <w:rStyle w:val="TextoNormalCaracter"/>
        </w:rPr>
        <w:t xml:space="preserve">Auto </w:t>
      </w:r>
      <w:hyperlink w:anchor="AUTO_2002_9" w:history="1">
        <w:r w:rsidRPr="000C3DF9">
          <w:rPr>
            <w:rStyle w:val="TextoNormalCaracter"/>
          </w:rPr>
          <w:t>9/2002</w:t>
        </w:r>
      </w:hyperlink>
      <w:r w:rsidRPr="000C3DF9">
        <w:rPr>
          <w:rStyle w:val="TextoNormalCaracter"/>
        </w:rPr>
        <w:t>.</w:t>
      </w:r>
    </w:p>
    <w:p w:rsidR="000C3DF9" w:rsidRPr="000C3DF9" w:rsidRDefault="000C3DF9" w:rsidP="000C3DF9">
      <w:pPr>
        <w:pStyle w:val="TextoNormalSangraFrancesa"/>
        <w:rPr>
          <w:rStyle w:val="TextoNormalCaracter"/>
        </w:rPr>
      </w:pPr>
      <w:bookmarkStart w:id="1639" w:name="DESCRIPTORALFABETICO187"/>
      <w:r w:rsidRPr="000C3DF9">
        <w:rPr>
          <w:rStyle w:val="TextoNormalNegritaCaracter"/>
        </w:rPr>
        <w:t>Suspensión cautelar de sentencias penales</w:t>
      </w:r>
      <w:bookmarkEnd w:id="1639"/>
      <w:r w:rsidRPr="000C3DF9">
        <w:rPr>
          <w:rStyle w:val="TextoNormalCaracter"/>
        </w:rPr>
        <w:t xml:space="preserve">, Autos </w:t>
      </w:r>
      <w:hyperlink w:anchor="AUTO_2002_1" w:history="1">
        <w:r w:rsidRPr="000C3DF9">
          <w:rPr>
            <w:rStyle w:val="TextoNormalCaracter"/>
          </w:rPr>
          <w:t>1/2002</w:t>
        </w:r>
      </w:hyperlink>
      <w:r w:rsidRPr="000C3DF9">
        <w:rPr>
          <w:rStyle w:val="TextoNormalCaracter"/>
        </w:rPr>
        <w:t xml:space="preserve">; </w:t>
      </w:r>
      <w:hyperlink w:anchor="AUTO_2002_22" w:history="1">
        <w:r w:rsidRPr="000C3DF9">
          <w:rPr>
            <w:rStyle w:val="TextoNormalCaracter"/>
          </w:rPr>
          <w:t>22/2002</w:t>
        </w:r>
      </w:hyperlink>
      <w:r w:rsidRPr="000C3DF9">
        <w:rPr>
          <w:rStyle w:val="TextoNormalCaracter"/>
        </w:rPr>
        <w:t xml:space="preserve">; </w:t>
      </w:r>
      <w:hyperlink w:anchor="AUTO_2002_25" w:history="1">
        <w:r w:rsidRPr="000C3DF9">
          <w:rPr>
            <w:rStyle w:val="TextoNormalCaracter"/>
          </w:rPr>
          <w:t>25/2002</w:t>
        </w:r>
      </w:hyperlink>
      <w:r w:rsidRPr="000C3DF9">
        <w:rPr>
          <w:rStyle w:val="TextoNormalCaracter"/>
        </w:rPr>
        <w:t xml:space="preserve">; </w:t>
      </w:r>
      <w:hyperlink w:anchor="AUTO_2002_35" w:history="1">
        <w:r w:rsidRPr="000C3DF9">
          <w:rPr>
            <w:rStyle w:val="TextoNormalCaracter"/>
          </w:rPr>
          <w:t>35/2002</w:t>
        </w:r>
      </w:hyperlink>
      <w:r w:rsidRPr="000C3DF9">
        <w:rPr>
          <w:rStyle w:val="TextoNormalCaracter"/>
        </w:rPr>
        <w:t xml:space="preserve">; </w:t>
      </w:r>
      <w:hyperlink w:anchor="AUTO_2002_37" w:history="1">
        <w:r w:rsidRPr="000C3DF9">
          <w:rPr>
            <w:rStyle w:val="TextoNormalCaracter"/>
          </w:rPr>
          <w:t>37/2002</w:t>
        </w:r>
      </w:hyperlink>
      <w:r w:rsidRPr="000C3DF9">
        <w:rPr>
          <w:rStyle w:val="TextoNormalCaracter"/>
        </w:rPr>
        <w:t xml:space="preserve">; </w:t>
      </w:r>
      <w:hyperlink w:anchor="AUTO_2002_65" w:history="1">
        <w:r w:rsidRPr="000C3DF9">
          <w:rPr>
            <w:rStyle w:val="TextoNormalCaracter"/>
          </w:rPr>
          <w:t>65/2002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No suspende, </w:t>
      </w:r>
      <w:r w:rsidRPr="000C3DF9">
        <w:rPr>
          <w:rStyle w:val="TextoNormalCaracter"/>
        </w:rPr>
        <w:t xml:space="preserve">Autos </w:t>
      </w:r>
      <w:hyperlink w:anchor="AUTO_2002_22" w:history="1">
        <w:r w:rsidRPr="000C3DF9">
          <w:rPr>
            <w:rStyle w:val="TextoNormalCaracter"/>
          </w:rPr>
          <w:t>22/2002</w:t>
        </w:r>
      </w:hyperlink>
      <w:r w:rsidRPr="000C3DF9">
        <w:rPr>
          <w:rStyle w:val="TextoNormalCaracter"/>
        </w:rPr>
        <w:t xml:space="preserve">; </w:t>
      </w:r>
      <w:hyperlink w:anchor="AUTO_2002_25" w:history="1">
        <w:r w:rsidRPr="000C3DF9">
          <w:rPr>
            <w:rStyle w:val="TextoNormalCaracter"/>
          </w:rPr>
          <w:t>25/2002</w:t>
        </w:r>
      </w:hyperlink>
      <w:r w:rsidRPr="000C3DF9">
        <w:rPr>
          <w:rStyle w:val="TextoNormalCaracter"/>
        </w:rPr>
        <w:t xml:space="preserve">; </w:t>
      </w:r>
      <w:hyperlink w:anchor="AUTO_2002_35" w:history="1">
        <w:r w:rsidRPr="000C3DF9">
          <w:rPr>
            <w:rStyle w:val="TextoNormalCaracter"/>
          </w:rPr>
          <w:t>35/2002</w:t>
        </w:r>
      </w:hyperlink>
      <w:r w:rsidRPr="000C3DF9">
        <w:rPr>
          <w:rStyle w:val="TextoNormalCaracter"/>
        </w:rPr>
        <w:t xml:space="preserve">; </w:t>
      </w:r>
      <w:hyperlink w:anchor="AUTO_2002_37" w:history="1">
        <w:r w:rsidRPr="000C3DF9">
          <w:rPr>
            <w:rStyle w:val="TextoNormalCaracter"/>
          </w:rPr>
          <w:t>37/2002</w:t>
        </w:r>
      </w:hyperlink>
      <w:r w:rsidRPr="000C3DF9">
        <w:rPr>
          <w:rStyle w:val="TextoNormalCaracter"/>
        </w:rPr>
        <w:t xml:space="preserve">; </w:t>
      </w:r>
      <w:hyperlink w:anchor="AUTO_2002_41" w:history="1">
        <w:r w:rsidRPr="000C3DF9">
          <w:rPr>
            <w:rStyle w:val="TextoNormalCaracter"/>
          </w:rPr>
          <w:t>41/2002</w:t>
        </w:r>
      </w:hyperlink>
      <w:r w:rsidRPr="000C3DF9">
        <w:rPr>
          <w:rStyle w:val="TextoNormalCaracter"/>
        </w:rPr>
        <w:t xml:space="preserve">; </w:t>
      </w:r>
      <w:hyperlink w:anchor="AUTO_2002_58" w:history="1">
        <w:r w:rsidRPr="000C3DF9">
          <w:rPr>
            <w:rStyle w:val="TextoNormalCaracter"/>
          </w:rPr>
          <w:t>58/2002</w:t>
        </w:r>
      </w:hyperlink>
      <w:r w:rsidRPr="000C3DF9">
        <w:rPr>
          <w:rStyle w:val="TextoNormalCaracter"/>
        </w:rPr>
        <w:t xml:space="preserve">; </w:t>
      </w:r>
      <w:hyperlink w:anchor="AUTO_2002_63" w:history="1">
        <w:r w:rsidRPr="000C3DF9">
          <w:rPr>
            <w:rStyle w:val="TextoNormalCaracter"/>
          </w:rPr>
          <w:t>63/2002</w:t>
        </w:r>
      </w:hyperlink>
      <w:r w:rsidRPr="000C3DF9">
        <w:rPr>
          <w:rStyle w:val="TextoNormalCaracter"/>
        </w:rPr>
        <w:t xml:space="preserve">; </w:t>
      </w:r>
      <w:hyperlink w:anchor="AUTO_2002_65" w:history="1">
        <w:r w:rsidRPr="000C3DF9">
          <w:rPr>
            <w:rStyle w:val="TextoNormalCaracter"/>
          </w:rPr>
          <w:t>65/2002</w:t>
        </w:r>
      </w:hyperlink>
      <w:r w:rsidRPr="000C3DF9">
        <w:rPr>
          <w:rStyle w:val="TextoNormalCaracter"/>
        </w:rPr>
        <w:t xml:space="preserve">; </w:t>
      </w:r>
      <w:hyperlink w:anchor="AUTO_2002_69" w:history="1">
        <w:r w:rsidRPr="000C3DF9">
          <w:rPr>
            <w:rStyle w:val="TextoNormalCaracter"/>
          </w:rPr>
          <w:t>69/2002</w:t>
        </w:r>
      </w:hyperlink>
      <w:r w:rsidRPr="000C3DF9">
        <w:rPr>
          <w:rStyle w:val="TextoNormalCaracter"/>
        </w:rPr>
        <w:t>.</w:t>
      </w:r>
    </w:p>
    <w:p w:rsidR="000C3DF9" w:rsidRPr="000C3DF9" w:rsidRDefault="000C3DF9" w:rsidP="000C3DF9">
      <w:pPr>
        <w:pStyle w:val="TextoNormalSangraFrancesa"/>
        <w:rPr>
          <w:rStyle w:val="TextoNormalCaracter"/>
        </w:rPr>
      </w:pPr>
      <w:r w:rsidRPr="000C3DF9">
        <w:rPr>
          <w:rStyle w:val="TextoNormalCursivaCaracter"/>
        </w:rPr>
        <w:t xml:space="preserve">    Suspende, </w:t>
      </w:r>
      <w:r w:rsidRPr="000C3DF9">
        <w:rPr>
          <w:rStyle w:val="TextoNormalCaracter"/>
        </w:rPr>
        <w:t xml:space="preserve">Autos </w:t>
      </w:r>
      <w:hyperlink w:anchor="AUTO_2002_22" w:history="1">
        <w:r w:rsidRPr="000C3DF9">
          <w:rPr>
            <w:rStyle w:val="TextoNormalCaracter"/>
          </w:rPr>
          <w:t>22/2002</w:t>
        </w:r>
      </w:hyperlink>
      <w:r w:rsidRPr="000C3DF9">
        <w:rPr>
          <w:rStyle w:val="TextoNormalCaracter"/>
        </w:rPr>
        <w:t xml:space="preserve">; </w:t>
      </w:r>
      <w:hyperlink w:anchor="AUTO_2002_41" w:history="1">
        <w:r w:rsidRPr="000C3DF9">
          <w:rPr>
            <w:rStyle w:val="TextoNormalCaracter"/>
          </w:rPr>
          <w:t>41/2002</w:t>
        </w:r>
      </w:hyperlink>
      <w:r w:rsidRPr="000C3DF9">
        <w:rPr>
          <w:rStyle w:val="TextoNormalCaracter"/>
        </w:rPr>
        <w:t xml:space="preserve">; </w:t>
      </w:r>
      <w:hyperlink w:anchor="AUTO_2002_58" w:history="1">
        <w:r w:rsidRPr="000C3DF9">
          <w:rPr>
            <w:rStyle w:val="TextoNormalCaracter"/>
          </w:rPr>
          <w:t>58/2002</w:t>
        </w:r>
      </w:hyperlink>
      <w:r w:rsidRPr="000C3DF9">
        <w:rPr>
          <w:rStyle w:val="TextoNormalCaracter"/>
        </w:rPr>
        <w:t xml:space="preserve">; </w:t>
      </w:r>
      <w:hyperlink w:anchor="AUTO_2002_62" w:history="1">
        <w:r w:rsidRPr="000C3DF9">
          <w:rPr>
            <w:rStyle w:val="TextoNormalCaracter"/>
          </w:rPr>
          <w:t>62/2002</w:t>
        </w:r>
      </w:hyperlink>
      <w:r w:rsidRPr="000C3DF9">
        <w:rPr>
          <w:rStyle w:val="TextoNormalCaracter"/>
        </w:rPr>
        <w:t xml:space="preserve">; </w:t>
      </w:r>
      <w:hyperlink w:anchor="AUTO_2002_65" w:history="1">
        <w:r w:rsidRPr="000C3DF9">
          <w:rPr>
            <w:rStyle w:val="TextoNormalCaracter"/>
          </w:rPr>
          <w:t>65/2002</w:t>
        </w:r>
      </w:hyperlink>
      <w:r w:rsidRPr="000C3DF9">
        <w:rPr>
          <w:rStyle w:val="TextoNormalCaracter"/>
        </w:rPr>
        <w:t>.</w:t>
      </w:r>
    </w:p>
    <w:p w:rsidR="000C3DF9" w:rsidRPr="000C3DF9" w:rsidRDefault="000C3DF9" w:rsidP="000C3DF9">
      <w:pPr>
        <w:pStyle w:val="TextoNormalSangraFrancesa"/>
        <w:rPr>
          <w:rStyle w:val="TextoNormalCaracter"/>
        </w:rPr>
      </w:pPr>
      <w:bookmarkStart w:id="1640" w:name="DESCRIPTORALFABETICO354"/>
      <w:r w:rsidRPr="000C3DF9">
        <w:rPr>
          <w:rStyle w:val="TextoNormalNegritaCaracter"/>
        </w:rPr>
        <w:t>Suspensión de actos administrativos</w:t>
      </w:r>
      <w:bookmarkEnd w:id="1640"/>
      <w:r w:rsidRPr="000C3DF9">
        <w:rPr>
          <w:rStyle w:val="TextoNormalCaracter"/>
        </w:rPr>
        <w:t xml:space="preserve">, Sentencia </w:t>
      </w:r>
      <w:hyperlink w:anchor="SENTENCIA_2002_92" w:history="1">
        <w:r w:rsidRPr="000C3DF9">
          <w:rPr>
            <w:rStyle w:val="TextoNormalCaracter"/>
          </w:rPr>
          <w:t>92/2002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41" w:name="DESCRIPTORALFABETICO190"/>
      <w:r w:rsidRPr="000C3DF9">
        <w:rPr>
          <w:rStyle w:val="TextoNormalNegritaCaracter"/>
        </w:rPr>
        <w:t>Suspensión de disposiciones de las Comunidades Autónomas</w:t>
      </w:r>
      <w:bookmarkEnd w:id="1641"/>
      <w:r w:rsidRPr="000C3DF9">
        <w:rPr>
          <w:rStyle w:val="TextoNormalCaracter"/>
        </w:rPr>
        <w:t xml:space="preserve">, Autos </w:t>
      </w:r>
      <w:hyperlink w:anchor="AUTO_2002_5" w:history="1">
        <w:r w:rsidRPr="000C3DF9">
          <w:rPr>
            <w:rStyle w:val="TextoNormalCaracter"/>
          </w:rPr>
          <w:t>5/2002</w:t>
        </w:r>
      </w:hyperlink>
      <w:r w:rsidRPr="000C3DF9">
        <w:rPr>
          <w:rStyle w:val="TextoNormalCaracter"/>
        </w:rPr>
        <w:t xml:space="preserve">; </w:t>
      </w:r>
      <w:hyperlink w:anchor="AUTO_2002_20" w:history="1">
        <w:r w:rsidRPr="000C3DF9">
          <w:rPr>
            <w:rStyle w:val="TextoNormalCaracter"/>
          </w:rPr>
          <w:t>20/2002</w:t>
        </w:r>
      </w:hyperlink>
      <w:r w:rsidRPr="000C3DF9">
        <w:rPr>
          <w:rStyle w:val="TextoNormalCaracter"/>
        </w:rPr>
        <w:t xml:space="preserve">; </w:t>
      </w:r>
      <w:hyperlink w:anchor="AUTO_2002_39" w:history="1">
        <w:r w:rsidRPr="000C3DF9">
          <w:rPr>
            <w:rStyle w:val="TextoNormalCaracter"/>
          </w:rPr>
          <w:t>39/2002</w:t>
        </w:r>
      </w:hyperlink>
      <w:r w:rsidRPr="000C3DF9">
        <w:rPr>
          <w:rStyle w:val="TextoNormalCaracter"/>
        </w:rPr>
        <w:t xml:space="preserve">; </w:t>
      </w:r>
      <w:hyperlink w:anchor="AUTO_2002_47" w:history="1">
        <w:r w:rsidRPr="000C3DF9">
          <w:rPr>
            <w:rStyle w:val="TextoNormalCaracter"/>
          </w:rPr>
          <w:t>47/2002</w:t>
        </w:r>
      </w:hyperlink>
      <w:r w:rsidRPr="000C3DF9">
        <w:rPr>
          <w:rStyle w:val="TextoNormalCaracter"/>
        </w:rPr>
        <w:t xml:space="preserve">; </w:t>
      </w:r>
      <w:hyperlink w:anchor="AUTO_2002_61" w:history="1">
        <w:r w:rsidRPr="000C3DF9">
          <w:rPr>
            <w:rStyle w:val="TextoNormalCaracter"/>
          </w:rPr>
          <w:t>61/2002</w:t>
        </w:r>
      </w:hyperlink>
      <w:r w:rsidRPr="000C3DF9">
        <w:rPr>
          <w:rStyle w:val="TextoNormalCaracter"/>
        </w:rPr>
        <w:t>.</w:t>
      </w:r>
    </w:p>
    <w:p w:rsidR="000C3DF9" w:rsidRPr="000C3DF9" w:rsidRDefault="000C3DF9" w:rsidP="000C3DF9">
      <w:pPr>
        <w:pStyle w:val="TextoNormalSangraFrancesa"/>
        <w:rPr>
          <w:rStyle w:val="TextoNormalCaracter"/>
        </w:rPr>
      </w:pPr>
      <w:bookmarkStart w:id="1642" w:name="DESCRIPTORALFABETICO457"/>
      <w:r w:rsidRPr="000C3DF9">
        <w:rPr>
          <w:rStyle w:val="TextoNormalNegritaCaracter"/>
        </w:rPr>
        <w:t>Suspensión de la pena por enfermedad grave e incurable</w:t>
      </w:r>
      <w:bookmarkEnd w:id="1642"/>
      <w:r w:rsidRPr="000C3DF9">
        <w:rPr>
          <w:rStyle w:val="TextoNormalCaracter"/>
        </w:rPr>
        <w:t xml:space="preserve">, Sentencia </w:t>
      </w:r>
      <w:hyperlink w:anchor="SENTENCIA_2002_5" w:history="1">
        <w:r w:rsidRPr="000C3DF9">
          <w:rPr>
            <w:rStyle w:val="TextoNormalCaracter"/>
          </w:rPr>
          <w:t>5/2002</w:t>
        </w:r>
      </w:hyperlink>
      <w:r w:rsidRPr="000C3DF9">
        <w:rPr>
          <w:rStyle w:val="TextoNormalCaracter"/>
        </w:rPr>
        <w:t>, f. 4.</w:t>
      </w:r>
    </w:p>
    <w:p w:rsidR="000C3DF9" w:rsidRPr="000C3DF9" w:rsidRDefault="000C3DF9" w:rsidP="000C3DF9">
      <w:pPr>
        <w:pStyle w:val="TextoNormalSangraFrancesa"/>
        <w:rPr>
          <w:rStyle w:val="TextoNormalCaracter"/>
        </w:rPr>
      </w:pPr>
      <w:bookmarkStart w:id="1643" w:name="DESCRIPTORALFABETICO356"/>
      <w:r w:rsidRPr="000C3DF9">
        <w:rPr>
          <w:rStyle w:val="TextoNormalNegritaCaracter"/>
        </w:rPr>
        <w:t>Suspensión de licencia de auto-taxi</w:t>
      </w:r>
      <w:bookmarkEnd w:id="1643"/>
      <w:r w:rsidRPr="000C3DF9">
        <w:rPr>
          <w:rStyle w:val="TextoNormalCaracter"/>
        </w:rPr>
        <w:t xml:space="preserve">, Auto </w:t>
      </w:r>
      <w:hyperlink w:anchor="AUTO_2002_67" w:history="1">
        <w:r w:rsidRPr="000C3DF9">
          <w:rPr>
            <w:rStyle w:val="TextoNormalCaracter"/>
          </w:rPr>
          <w:t>67/2002</w:t>
        </w:r>
      </w:hyperlink>
      <w:r w:rsidRPr="000C3DF9">
        <w:rPr>
          <w:rStyle w:val="TextoNormalCaracter"/>
        </w:rPr>
        <w:t>.</w:t>
      </w:r>
    </w:p>
    <w:p w:rsidR="000C3DF9" w:rsidRPr="000C3DF9" w:rsidRDefault="000C3DF9" w:rsidP="000C3DF9">
      <w:pPr>
        <w:pStyle w:val="TextoNormalSangraFrancesa"/>
        <w:rPr>
          <w:rStyle w:val="TextoNormalCaracter"/>
        </w:rPr>
      </w:pPr>
      <w:bookmarkStart w:id="1644" w:name="DESCRIPTORALFABETICO368"/>
      <w:r w:rsidRPr="000C3DF9">
        <w:rPr>
          <w:rStyle w:val="TextoNormalNegritaCaracter"/>
        </w:rPr>
        <w:t>Suspensión de permiso de conducir</w:t>
      </w:r>
      <w:bookmarkEnd w:id="1644"/>
      <w:r w:rsidRPr="000C3DF9">
        <w:rPr>
          <w:rStyle w:val="TextoNormalCaracter"/>
        </w:rPr>
        <w:t xml:space="preserve">, Autos </w:t>
      </w:r>
      <w:hyperlink w:anchor="AUTO_2002_58" w:history="1">
        <w:r w:rsidRPr="000C3DF9">
          <w:rPr>
            <w:rStyle w:val="TextoNormalCaracter"/>
          </w:rPr>
          <w:t>58/2002</w:t>
        </w:r>
      </w:hyperlink>
      <w:r w:rsidRPr="000C3DF9">
        <w:rPr>
          <w:rStyle w:val="TextoNormalCaracter"/>
        </w:rPr>
        <w:t xml:space="preserve">; </w:t>
      </w:r>
      <w:hyperlink w:anchor="AUTO_2002_62" w:history="1">
        <w:r w:rsidRPr="000C3DF9">
          <w:rPr>
            <w:rStyle w:val="TextoNormalCaracter"/>
          </w:rPr>
          <w:t>62/2002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T</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645" w:name="DESCRIPTORALFABETICO499"/>
      <w:r w:rsidRPr="000C3DF9">
        <w:rPr>
          <w:rStyle w:val="TextoNormalNegritaCaracter"/>
        </w:rPr>
        <w:t>Telecomunicaciones</w:t>
      </w:r>
      <w:bookmarkEnd w:id="1645"/>
      <w:r w:rsidRPr="000C3DF9">
        <w:rPr>
          <w:rStyle w:val="TextoNormalCaracter"/>
        </w:rPr>
        <w:t xml:space="preserve">, Auto </w:t>
      </w:r>
      <w:hyperlink w:anchor="AUTO_2002_38" w:history="1">
        <w:r w:rsidRPr="000C3DF9">
          <w:rPr>
            <w:rStyle w:val="TextoNormalCaracter"/>
          </w:rPr>
          <w:t>38/2002</w:t>
        </w:r>
      </w:hyperlink>
      <w:r w:rsidRPr="000C3DF9">
        <w:rPr>
          <w:rStyle w:val="TextoNormalCaracter"/>
        </w:rPr>
        <w:t>.</w:t>
      </w:r>
    </w:p>
    <w:p w:rsidR="000C3DF9" w:rsidRPr="000C3DF9" w:rsidRDefault="000C3DF9" w:rsidP="000C3DF9">
      <w:pPr>
        <w:pStyle w:val="TextoNormalSangraFrancesa"/>
        <w:rPr>
          <w:rStyle w:val="TextoNormalCaracter"/>
        </w:rPr>
      </w:pPr>
      <w:bookmarkStart w:id="1646" w:name="DESCRIPTORALFABETICO156"/>
      <w:r w:rsidRPr="000C3DF9">
        <w:rPr>
          <w:rStyle w:val="TextoNormalNegritaCaracter"/>
        </w:rPr>
        <w:t>Teoría general de los derechos fundamentales</w:t>
      </w:r>
      <w:bookmarkEnd w:id="1646"/>
      <w:r w:rsidRPr="000C3DF9">
        <w:rPr>
          <w:rStyle w:val="TextoNormalCaracter"/>
        </w:rPr>
        <w:t xml:space="preserve">, Sentencias </w:t>
      </w:r>
      <w:hyperlink w:anchor="SENTENCIA_2002_5" w:history="1">
        <w:r w:rsidRPr="000C3DF9">
          <w:rPr>
            <w:rStyle w:val="TextoNormalCaracter"/>
          </w:rPr>
          <w:t>5/2002</w:t>
        </w:r>
      </w:hyperlink>
      <w:r w:rsidRPr="000C3DF9">
        <w:rPr>
          <w:rStyle w:val="TextoNormalCaracter"/>
        </w:rPr>
        <w:t xml:space="preserve">, f. 4; </w:t>
      </w:r>
      <w:hyperlink w:anchor="SENTENCIA_2002_41" w:history="1">
        <w:r w:rsidRPr="000C3DF9">
          <w:rPr>
            <w:rStyle w:val="TextoNormalCaracter"/>
          </w:rPr>
          <w:t>41/2002</w:t>
        </w:r>
      </w:hyperlink>
      <w:r w:rsidRPr="000C3DF9">
        <w:rPr>
          <w:rStyle w:val="TextoNormalCaracter"/>
        </w:rPr>
        <w:t xml:space="preserve">, f. 3; </w:t>
      </w:r>
      <w:hyperlink w:anchor="SENTENCIA_2002_53" w:history="1">
        <w:r w:rsidRPr="000C3DF9">
          <w:rPr>
            <w:rStyle w:val="TextoNormalCaracter"/>
          </w:rPr>
          <w:t>53/2002</w:t>
        </w:r>
      </w:hyperlink>
      <w:r w:rsidRPr="000C3DF9">
        <w:rPr>
          <w:rStyle w:val="TextoNormalCaracter"/>
        </w:rPr>
        <w:t>, f. 12.</w:t>
      </w:r>
    </w:p>
    <w:p w:rsidR="000C3DF9" w:rsidRPr="000C3DF9" w:rsidRDefault="000C3DF9" w:rsidP="000C3DF9">
      <w:pPr>
        <w:pStyle w:val="TextoNormalSangraFrancesa"/>
        <w:rPr>
          <w:rStyle w:val="TextoNormalCaracter"/>
        </w:rPr>
      </w:pPr>
      <w:bookmarkStart w:id="1647" w:name="DESCRIPTORALFABETICO625"/>
      <w:r w:rsidRPr="000C3DF9">
        <w:rPr>
          <w:rStyle w:val="TextoNormalNegritaCaracter"/>
        </w:rPr>
        <w:t>Término inicial</w:t>
      </w:r>
      <w:bookmarkEnd w:id="1647"/>
      <w:r w:rsidRPr="000C3DF9">
        <w:rPr>
          <w:rStyle w:val="TextoNormalCaracter"/>
        </w:rPr>
        <w:t xml:space="preserve">, Sentencia </w:t>
      </w:r>
      <w:hyperlink w:anchor="SENTENCIA_2002_88" w:history="1">
        <w:r w:rsidRPr="000C3DF9">
          <w:rPr>
            <w:rStyle w:val="TextoNormalCaracter"/>
          </w:rPr>
          <w:t>88/2002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48" w:name="DESCRIPTORALFABETICO347"/>
      <w:r w:rsidRPr="000C3DF9">
        <w:rPr>
          <w:rStyle w:val="TextoNormalNegritaCaracter"/>
        </w:rPr>
        <w:t>Territorio</w:t>
      </w:r>
      <w:bookmarkEnd w:id="1648"/>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7.</w:t>
      </w:r>
    </w:p>
    <w:p w:rsidR="000C3DF9" w:rsidRPr="000C3DF9" w:rsidRDefault="000C3DF9" w:rsidP="000C3DF9">
      <w:pPr>
        <w:pStyle w:val="TextoNormalSangraFrancesa"/>
        <w:rPr>
          <w:rStyle w:val="TextoNormalCaracter"/>
        </w:rPr>
      </w:pPr>
      <w:bookmarkStart w:id="1649" w:name="DESCRIPTORALFABETICO350"/>
      <w:r w:rsidRPr="000C3DF9">
        <w:rPr>
          <w:rStyle w:val="TextoNormalNegritaCaracter"/>
        </w:rPr>
        <w:t>Territorios históricos</w:t>
      </w:r>
      <w:bookmarkEnd w:id="1649"/>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VP II.</w:t>
      </w:r>
    </w:p>
    <w:p w:rsidR="000C3DF9" w:rsidRPr="000C3DF9" w:rsidRDefault="000C3DF9" w:rsidP="000C3DF9">
      <w:pPr>
        <w:pStyle w:val="TextoNormalSangraFrancesa"/>
        <w:rPr>
          <w:rStyle w:val="TextoNormalCaracter"/>
        </w:rPr>
      </w:pPr>
      <w:bookmarkStart w:id="1650" w:name="DESCRIPTORALFABETICO599"/>
      <w:r w:rsidRPr="000C3DF9">
        <w:rPr>
          <w:rStyle w:val="TextoNormalNegritaCaracter"/>
        </w:rPr>
        <w:t>Testimonio de referencia</w:t>
      </w:r>
      <w:bookmarkEnd w:id="1650"/>
      <w:r w:rsidRPr="000C3DF9">
        <w:rPr>
          <w:rStyle w:val="TextoNormalCaracter"/>
        </w:rPr>
        <w:t xml:space="preserve">, Sentencias </w:t>
      </w:r>
      <w:hyperlink w:anchor="SENTENCIA_2002_68" w:history="1">
        <w:r w:rsidRPr="000C3DF9">
          <w:rPr>
            <w:rStyle w:val="TextoNormalCaracter"/>
          </w:rPr>
          <w:t>68/2002</w:t>
        </w:r>
      </w:hyperlink>
      <w:r w:rsidRPr="000C3DF9">
        <w:rPr>
          <w:rStyle w:val="TextoNormalCaracter"/>
        </w:rPr>
        <w:t xml:space="preserve">, f. 10; </w:t>
      </w:r>
      <w:hyperlink w:anchor="SENTENCIA_2002_94" w:history="1">
        <w:r w:rsidRPr="000C3DF9">
          <w:rPr>
            <w:rStyle w:val="TextoNormalCaracter"/>
          </w:rPr>
          <w:t>94/2002</w:t>
        </w:r>
      </w:hyperlink>
      <w:r w:rsidRPr="000C3DF9">
        <w:rPr>
          <w:rStyle w:val="TextoNormalCaracter"/>
        </w:rPr>
        <w:t>, f. 5.</w:t>
      </w:r>
    </w:p>
    <w:p w:rsidR="000C3DF9" w:rsidRPr="000C3DF9" w:rsidRDefault="000C3DF9" w:rsidP="000C3DF9">
      <w:pPr>
        <w:pStyle w:val="TextoNormalSangraFrancesa"/>
        <w:rPr>
          <w:rStyle w:val="TextoNormalCaracter"/>
        </w:rPr>
      </w:pPr>
      <w:bookmarkStart w:id="1651" w:name="DESCRIPTORALFABETICO371"/>
      <w:r w:rsidRPr="000C3DF9">
        <w:rPr>
          <w:rStyle w:val="TextoNormalNegritaCaracter"/>
        </w:rPr>
        <w:t>Titularidad de los bienes de dominio público</w:t>
      </w:r>
      <w:bookmarkEnd w:id="1651"/>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9 c).</w:t>
      </w:r>
    </w:p>
    <w:p w:rsidR="000C3DF9" w:rsidRPr="000C3DF9" w:rsidRDefault="000C3DF9" w:rsidP="000C3DF9">
      <w:pPr>
        <w:pStyle w:val="TextoNormalSangraFrancesa"/>
        <w:rPr>
          <w:rStyle w:val="TextoNormalCaracter"/>
        </w:rPr>
      </w:pPr>
      <w:bookmarkStart w:id="1652" w:name="DESCRIPTORALFABETICO162"/>
      <w:r w:rsidRPr="000C3DF9">
        <w:rPr>
          <w:rStyle w:val="TextoNormalNegritaCaracter"/>
        </w:rPr>
        <w:t>Titularidad de los derechos fundamentales</w:t>
      </w:r>
      <w:bookmarkEnd w:id="1652"/>
      <w:r w:rsidRPr="000C3DF9">
        <w:rPr>
          <w:rStyle w:val="TextoNormalCaracter"/>
        </w:rPr>
        <w:t xml:space="preserve">, Sentencia </w:t>
      </w:r>
      <w:hyperlink w:anchor="SENTENCIA_2002_69" w:history="1">
        <w:r w:rsidRPr="000C3DF9">
          <w:rPr>
            <w:rStyle w:val="TextoNormalCaracter"/>
          </w:rPr>
          <w:t>69/2002</w:t>
        </w:r>
      </w:hyperlink>
      <w:r w:rsidRPr="000C3DF9">
        <w:rPr>
          <w:rStyle w:val="TextoNormalCaracter"/>
        </w:rPr>
        <w:t>, f. 5.</w:t>
      </w:r>
    </w:p>
    <w:p w:rsidR="000C3DF9" w:rsidRPr="000C3DF9" w:rsidRDefault="000C3DF9" w:rsidP="000C3DF9">
      <w:pPr>
        <w:pStyle w:val="TextoNormalSangraFrancesa"/>
        <w:rPr>
          <w:rStyle w:val="TextoNormalNegritaCaracter"/>
        </w:rPr>
      </w:pPr>
      <w:r w:rsidRPr="000C3DF9">
        <w:rPr>
          <w:rStyle w:val="TextoNormalCursivaCaracter"/>
        </w:rPr>
        <w:t>Titularidad por las personas jurídicas de Derecho público</w:t>
      </w:r>
      <w:r>
        <w:t xml:space="preserve"> véase </w:t>
      </w:r>
      <w:hyperlink w:anchor="DESCRIPTORALFABETICO163" w:history="1">
        <w:r w:rsidRPr="000C3DF9">
          <w:rPr>
            <w:rStyle w:val="TextoNormalNegritaCaracter"/>
          </w:rPr>
          <w:t>Titularidad por las personas jurídicas públicas</w:t>
        </w:r>
      </w:hyperlink>
    </w:p>
    <w:p w:rsidR="000C3DF9" w:rsidRPr="000C3DF9" w:rsidRDefault="000C3DF9" w:rsidP="000C3DF9">
      <w:pPr>
        <w:pStyle w:val="TextoNormalSangraFrancesa"/>
        <w:rPr>
          <w:rStyle w:val="TextoNormalCaracter"/>
        </w:rPr>
      </w:pPr>
      <w:bookmarkStart w:id="1653" w:name="DESCRIPTORALFABETICO163"/>
      <w:r w:rsidRPr="000C3DF9">
        <w:rPr>
          <w:rStyle w:val="TextoNormalNegritaCaracter"/>
        </w:rPr>
        <w:t>Titularidad por las personas jurídicas públicas</w:t>
      </w:r>
      <w:bookmarkEnd w:id="1653"/>
      <w:r w:rsidRPr="000C3DF9">
        <w:rPr>
          <w:rStyle w:val="TextoNormalCaracter"/>
        </w:rPr>
        <w:t xml:space="preserve">, Sentencia </w:t>
      </w:r>
      <w:hyperlink w:anchor="SENTENCIA_2002_63" w:history="1">
        <w:r w:rsidRPr="000C3DF9">
          <w:rPr>
            <w:rStyle w:val="TextoNormalCaracter"/>
          </w:rPr>
          <w:t>63/2002</w:t>
        </w:r>
      </w:hyperlink>
      <w:r w:rsidRPr="000C3DF9">
        <w:rPr>
          <w:rStyle w:val="TextoNormalCaracter"/>
        </w:rPr>
        <w:t>, f. 2.</w:t>
      </w:r>
    </w:p>
    <w:p w:rsidR="000C3DF9" w:rsidRPr="000C3DF9" w:rsidRDefault="000C3DF9" w:rsidP="000C3DF9">
      <w:pPr>
        <w:pStyle w:val="TextoNormalSangraFrancesa"/>
        <w:rPr>
          <w:rStyle w:val="TextoNormalCaracter"/>
        </w:rPr>
      </w:pPr>
      <w:bookmarkStart w:id="1654" w:name="DESCRIPTORALFABETICO164"/>
      <w:r w:rsidRPr="000C3DF9">
        <w:rPr>
          <w:rStyle w:val="TextoNormalNegritaCaracter"/>
        </w:rPr>
        <w:t>Titularidad por los nacionales</w:t>
      </w:r>
      <w:bookmarkEnd w:id="1654"/>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4 b).</w:t>
      </w:r>
    </w:p>
    <w:p w:rsidR="000C3DF9" w:rsidRPr="000C3DF9" w:rsidRDefault="000C3DF9" w:rsidP="000C3DF9">
      <w:pPr>
        <w:pStyle w:val="TextoNormalSangraFrancesa"/>
        <w:rPr>
          <w:rStyle w:val="TextoNormalCaracter"/>
        </w:rPr>
      </w:pPr>
      <w:bookmarkStart w:id="1655" w:name="DESCRIPTORALFABETICO165"/>
      <w:r w:rsidRPr="000C3DF9">
        <w:rPr>
          <w:rStyle w:val="TextoNormalNegritaCaracter"/>
        </w:rPr>
        <w:t>Titularidad por los poderes públicos</w:t>
      </w:r>
      <w:bookmarkEnd w:id="1655"/>
      <w:r w:rsidRPr="000C3DF9">
        <w:rPr>
          <w:rStyle w:val="TextoNormalCaracter"/>
        </w:rPr>
        <w:t xml:space="preserve">, Sentencia </w:t>
      </w:r>
      <w:hyperlink w:anchor="SENTENCIA_2002_56" w:history="1">
        <w:r w:rsidRPr="000C3DF9">
          <w:rPr>
            <w:rStyle w:val="TextoNormalCaracter"/>
          </w:rPr>
          <w:t>56/2002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56" w:name="DESCRIPTORALFABETICO12"/>
      <w:r w:rsidRPr="000C3DF9">
        <w:rPr>
          <w:rStyle w:val="TextoNormalNegritaCaracter"/>
        </w:rPr>
        <w:t>Títulos competenciales</w:t>
      </w:r>
      <w:bookmarkEnd w:id="1656"/>
      <w:r w:rsidRPr="000C3DF9">
        <w:rPr>
          <w:rStyle w:val="TextoNormalCaracter"/>
        </w:rPr>
        <w:t xml:space="preserve">, Sentencia </w:t>
      </w:r>
      <w:hyperlink w:anchor="SENTENCIA_2002_37" w:history="1">
        <w:r w:rsidRPr="000C3DF9">
          <w:rPr>
            <w:rStyle w:val="TextoNormalCaracter"/>
          </w:rPr>
          <w:t>37/2002</w:t>
        </w:r>
      </w:hyperlink>
      <w:r w:rsidRPr="000C3DF9">
        <w:rPr>
          <w:rStyle w:val="TextoNormalCaracter"/>
        </w:rPr>
        <w:t>, f. 13.</w:t>
      </w:r>
    </w:p>
    <w:p w:rsidR="000C3DF9" w:rsidRPr="000C3DF9" w:rsidRDefault="000C3DF9" w:rsidP="000C3DF9">
      <w:pPr>
        <w:pStyle w:val="TextoNormalSangraFrancesa"/>
        <w:rPr>
          <w:rStyle w:val="TextoNormalCaracter"/>
        </w:rPr>
      </w:pPr>
      <w:bookmarkStart w:id="1657" w:name="DESCRIPTORALFABETICO395"/>
      <w:r w:rsidRPr="000C3DF9">
        <w:rPr>
          <w:rStyle w:val="TextoNormalNegritaCaracter"/>
        </w:rPr>
        <w:t>Topes máximos a los incrementos retributivos de los empleados públicos</w:t>
      </w:r>
      <w:bookmarkEnd w:id="1657"/>
      <w:r w:rsidRPr="000C3DF9">
        <w:rPr>
          <w:rStyle w:val="TextoNormalCaracter"/>
        </w:rPr>
        <w:t xml:space="preserve">, Sentencia </w:t>
      </w:r>
      <w:hyperlink w:anchor="SENTENCIA_2002_24" w:history="1">
        <w:r w:rsidRPr="000C3DF9">
          <w:rPr>
            <w:rStyle w:val="TextoNormalCaracter"/>
          </w:rPr>
          <w:t>24/2002</w:t>
        </w:r>
      </w:hyperlink>
      <w:r w:rsidRPr="000C3DF9">
        <w:rPr>
          <w:rStyle w:val="TextoNormalCaracter"/>
        </w:rPr>
        <w:t>, f. 5.</w:t>
      </w:r>
    </w:p>
    <w:p w:rsidR="000C3DF9" w:rsidRPr="000C3DF9" w:rsidRDefault="000C3DF9" w:rsidP="000C3DF9">
      <w:pPr>
        <w:pStyle w:val="TextoNormalSangraFrancesa"/>
        <w:rPr>
          <w:rStyle w:val="TextoNormalCaracter"/>
        </w:rPr>
      </w:pPr>
      <w:bookmarkStart w:id="1658" w:name="DESCRIPTORALFABETICO512"/>
      <w:r w:rsidRPr="000C3DF9">
        <w:rPr>
          <w:rStyle w:val="TextoNormalNegritaCaracter"/>
        </w:rPr>
        <w:t>Tráfico</w:t>
      </w:r>
      <w:bookmarkEnd w:id="1658"/>
      <w:r w:rsidRPr="000C3DF9">
        <w:rPr>
          <w:rStyle w:val="TextoNormalCaracter"/>
        </w:rPr>
        <w:t xml:space="preserve">, 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Caracter"/>
        </w:rPr>
      </w:pPr>
      <w:bookmarkStart w:id="1659" w:name="DESCRIPTORALFABETICO209"/>
      <w:r w:rsidRPr="000C3DF9">
        <w:rPr>
          <w:rStyle w:val="TextoNormalNegritaCaracter"/>
        </w:rPr>
        <w:t>Trámite de audiencia a las partes defectuoso</w:t>
      </w:r>
      <w:bookmarkEnd w:id="1659"/>
      <w:r w:rsidRPr="000C3DF9">
        <w:rPr>
          <w:rStyle w:val="TextoNormalCaracter"/>
        </w:rPr>
        <w:t xml:space="preserve">, Auto </w:t>
      </w:r>
      <w:hyperlink w:anchor="AUTO_2002_72" w:history="1">
        <w:r w:rsidRPr="000C3DF9">
          <w:rPr>
            <w:rStyle w:val="TextoNormalCaracter"/>
          </w:rPr>
          <w:t>72/2002</w:t>
        </w:r>
      </w:hyperlink>
      <w:r w:rsidRPr="000C3DF9">
        <w:rPr>
          <w:rStyle w:val="TextoNormalCaracter"/>
        </w:rPr>
        <w:t>.</w:t>
      </w:r>
    </w:p>
    <w:p w:rsidR="000C3DF9" w:rsidRPr="000C3DF9" w:rsidRDefault="000C3DF9" w:rsidP="000C3DF9">
      <w:pPr>
        <w:pStyle w:val="TextoNormalSangraFrancesa"/>
        <w:rPr>
          <w:rStyle w:val="TextoNormalCaracter"/>
        </w:rPr>
      </w:pPr>
      <w:bookmarkStart w:id="1660" w:name="DESCRIPTORALFABETICO10"/>
      <w:r w:rsidRPr="000C3DF9">
        <w:rPr>
          <w:rStyle w:val="TextoNormalNegritaCaracter"/>
        </w:rPr>
        <w:t>Transferencia de competencias</w:t>
      </w:r>
      <w:bookmarkEnd w:id="1660"/>
      <w:r w:rsidRPr="000C3DF9">
        <w:rPr>
          <w:rStyle w:val="TextoNormalCaracter"/>
        </w:rPr>
        <w:t xml:space="preserve">, Auto </w:t>
      </w:r>
      <w:hyperlink w:anchor="AUTO_2002_26" w:history="1">
        <w:r w:rsidRPr="000C3DF9">
          <w:rPr>
            <w:rStyle w:val="TextoNormalCaracter"/>
          </w:rPr>
          <w:t>26/2002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Transferencia de competencias del Estado a las Comunidades Autónomas</w:t>
      </w:r>
      <w:r>
        <w:t xml:space="preserve"> véase </w:t>
      </w:r>
      <w:hyperlink w:anchor="DESCRIPTORALFABETICO10" w:history="1">
        <w:r w:rsidRPr="000C3DF9">
          <w:rPr>
            <w:rStyle w:val="TextoNormalNegritaCaracter"/>
          </w:rPr>
          <w:t>Transferencia de competencias</w:t>
        </w:r>
      </w:hyperlink>
    </w:p>
    <w:p w:rsidR="000C3DF9" w:rsidRPr="000C3DF9" w:rsidRDefault="000C3DF9" w:rsidP="000C3DF9">
      <w:pPr>
        <w:pStyle w:val="TextoNormalSangraFrancesa"/>
        <w:rPr>
          <w:rStyle w:val="TextoNormalNegritaCaracter"/>
        </w:rPr>
      </w:pPr>
      <w:r w:rsidRPr="000C3DF9">
        <w:rPr>
          <w:rStyle w:val="TextoNormalCursivaCaracter"/>
        </w:rPr>
        <w:t>Transferencia de servicios</w:t>
      </w:r>
      <w:r>
        <w:t xml:space="preserve"> véase </w:t>
      </w:r>
      <w:hyperlink w:anchor="DESCRIPTORALFABETICO11" w:history="1">
        <w:r w:rsidRPr="000C3DF9">
          <w:rPr>
            <w:rStyle w:val="TextoNormalNegritaCaracter"/>
          </w:rPr>
          <w:t>Traspaso de servicios</w:t>
        </w:r>
      </w:hyperlink>
    </w:p>
    <w:p w:rsidR="000C3DF9" w:rsidRPr="000C3DF9" w:rsidRDefault="000C3DF9" w:rsidP="000C3DF9">
      <w:pPr>
        <w:pStyle w:val="TextoNormalSangraFrancesa"/>
        <w:rPr>
          <w:rStyle w:val="TextoNormalCaracter"/>
        </w:rPr>
      </w:pPr>
      <w:bookmarkStart w:id="1661" w:name="DESCRIPTORALFABETICO416"/>
      <w:r w:rsidRPr="000C3DF9">
        <w:rPr>
          <w:rStyle w:val="TextoNormalNegritaCaracter"/>
        </w:rPr>
        <w:t>Transposición de directivas de la Unión Europea</w:t>
      </w:r>
      <w:bookmarkEnd w:id="1661"/>
      <w:r w:rsidRPr="000C3DF9">
        <w:rPr>
          <w:rStyle w:val="TextoNormalCaracter"/>
        </w:rPr>
        <w:t xml:space="preserve">, Sentencia </w:t>
      </w:r>
      <w:hyperlink w:anchor="SENTENCIA_2002_75" w:history="1">
        <w:r w:rsidRPr="000C3DF9">
          <w:rPr>
            <w:rStyle w:val="TextoNormalCaracter"/>
          </w:rPr>
          <w:t>75/2002</w:t>
        </w:r>
      </w:hyperlink>
      <w:r w:rsidRPr="000C3DF9">
        <w:rPr>
          <w:rStyle w:val="TextoNormalCaracter"/>
        </w:rPr>
        <w:t>, f. 6.</w:t>
      </w:r>
    </w:p>
    <w:p w:rsidR="000C3DF9" w:rsidRPr="000C3DF9" w:rsidRDefault="000C3DF9" w:rsidP="000C3DF9">
      <w:pPr>
        <w:pStyle w:val="TextoNormalSangraFrancesa"/>
        <w:rPr>
          <w:rStyle w:val="TextoNormalCaracter"/>
        </w:rPr>
      </w:pPr>
      <w:bookmarkStart w:id="1662" w:name="DESCRIPTORALFABETICO399"/>
      <w:r w:rsidRPr="000C3DF9">
        <w:rPr>
          <w:rStyle w:val="TextoNormalNegritaCaracter"/>
        </w:rPr>
        <w:t>Traslado de industrias</w:t>
      </w:r>
      <w:bookmarkEnd w:id="1662"/>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63" w:name="DESCRIPTORALFABETICO11"/>
      <w:r w:rsidRPr="000C3DF9">
        <w:rPr>
          <w:rStyle w:val="TextoNormalNegritaCaracter"/>
        </w:rPr>
        <w:t>Traspaso de servicios</w:t>
      </w:r>
      <w:bookmarkEnd w:id="1663"/>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 f. 14.</w:t>
      </w:r>
    </w:p>
    <w:p w:rsidR="000C3DF9" w:rsidRPr="000C3DF9" w:rsidRDefault="000C3DF9" w:rsidP="000C3DF9">
      <w:pPr>
        <w:pStyle w:val="TextoNormalSangraFrancesa"/>
        <w:rPr>
          <w:rStyle w:val="TextoNormalCaracter"/>
        </w:rPr>
      </w:pPr>
      <w:bookmarkStart w:id="1664" w:name="DESCRIPTORALFABETICO422"/>
      <w:r w:rsidRPr="000C3DF9">
        <w:rPr>
          <w:rStyle w:val="TextoNormalNegritaCaracter"/>
        </w:rPr>
        <w:t>Tratados internacionales no son canon de constitucionalidad autónomos</w:t>
      </w:r>
      <w:bookmarkEnd w:id="1664"/>
      <w:r w:rsidRPr="000C3DF9">
        <w:rPr>
          <w:rStyle w:val="TextoNormalCaracter"/>
        </w:rPr>
        <w:t xml:space="preserve">, Sentencia </w:t>
      </w:r>
      <w:hyperlink w:anchor="SENTENCIA_2002_41" w:history="1">
        <w:r w:rsidRPr="000C3DF9">
          <w:rPr>
            <w:rStyle w:val="TextoNormalCaracter"/>
          </w:rPr>
          <w:t>41/2002</w:t>
        </w:r>
      </w:hyperlink>
      <w:r w:rsidRPr="000C3DF9">
        <w:rPr>
          <w:rStyle w:val="TextoNormalCaracter"/>
        </w:rPr>
        <w:t>, f. 2.</w:t>
      </w:r>
    </w:p>
    <w:p w:rsidR="000C3DF9" w:rsidRPr="000C3DF9" w:rsidRDefault="000C3DF9" w:rsidP="000C3DF9">
      <w:pPr>
        <w:pStyle w:val="TextoNormalSangraFrancesa"/>
        <w:rPr>
          <w:rStyle w:val="TextoNormalCaracter"/>
        </w:rPr>
      </w:pPr>
      <w:bookmarkStart w:id="1665" w:name="DESCRIPTORALFABETICO60"/>
      <w:r w:rsidRPr="000C3DF9">
        <w:rPr>
          <w:rStyle w:val="TextoNormalNegritaCaracter"/>
        </w:rPr>
        <w:t>Tratamiento diferenciado</w:t>
      </w:r>
      <w:bookmarkEnd w:id="1665"/>
      <w:r w:rsidRPr="000C3DF9">
        <w:rPr>
          <w:rStyle w:val="TextoNormalCaracter"/>
        </w:rPr>
        <w:t xml:space="preserve">, Sentencia </w:t>
      </w:r>
      <w:hyperlink w:anchor="SENTENCIA_2002_57" w:history="1">
        <w:r w:rsidRPr="000C3DF9">
          <w:rPr>
            <w:rStyle w:val="TextoNormalCaracter"/>
          </w:rPr>
          <w:t>57/2002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666" w:name="DESCRIPTORALFABETICO61"/>
      <w:r w:rsidRPr="000C3DF9">
        <w:rPr>
          <w:rStyle w:val="TextoNormalNegritaCaracter"/>
        </w:rPr>
        <w:t>Tratamiento diferenciado entre uniones matrimoniales y no matrimoniales</w:t>
      </w:r>
      <w:bookmarkEnd w:id="1666"/>
      <w:r w:rsidRPr="000C3DF9">
        <w:rPr>
          <w:rStyle w:val="TextoNormalCaracter"/>
        </w:rPr>
        <w:t xml:space="preserve">, Sentencia </w:t>
      </w:r>
      <w:hyperlink w:anchor="SENTENCIA_2002_21" w:history="1">
        <w:r w:rsidRPr="000C3DF9">
          <w:rPr>
            <w:rStyle w:val="TextoNormalCaracter"/>
          </w:rPr>
          <w:t>21/2002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667" w:name="DESCRIPTORALFABETICO62"/>
      <w:r w:rsidRPr="000C3DF9">
        <w:rPr>
          <w:rStyle w:val="TextoNormalNegritaCaracter"/>
        </w:rPr>
        <w:t>Tratamiento legal diferenciado</w:t>
      </w:r>
      <w:bookmarkEnd w:id="1667"/>
      <w:r w:rsidRPr="000C3DF9">
        <w:rPr>
          <w:rStyle w:val="TextoNormalCaracter"/>
        </w:rPr>
        <w:t xml:space="preserve">, Sentencias </w:t>
      </w:r>
      <w:hyperlink w:anchor="SENTENCIA_2002_9" w:history="1">
        <w:r w:rsidRPr="000C3DF9">
          <w:rPr>
            <w:rStyle w:val="TextoNormalCaracter"/>
          </w:rPr>
          <w:t>9/2002</w:t>
        </w:r>
      </w:hyperlink>
      <w:r w:rsidRPr="000C3DF9">
        <w:rPr>
          <w:rStyle w:val="TextoNormalCaracter"/>
        </w:rPr>
        <w:t xml:space="preserve">, f. 3; </w:t>
      </w:r>
      <w:hyperlink w:anchor="SENTENCIA_2002_49" w:history="1">
        <w:r w:rsidRPr="000C3DF9">
          <w:rPr>
            <w:rStyle w:val="TextoNormalCaracter"/>
          </w:rPr>
          <w:t>49/2002</w:t>
        </w:r>
      </w:hyperlink>
      <w:r w:rsidRPr="000C3DF9">
        <w:rPr>
          <w:rStyle w:val="TextoNormalCaracter"/>
        </w:rPr>
        <w:t>, f. 2.</w:t>
      </w:r>
    </w:p>
    <w:p w:rsidR="000C3DF9" w:rsidRPr="000C3DF9" w:rsidRDefault="000C3DF9" w:rsidP="000C3DF9">
      <w:pPr>
        <w:pStyle w:val="TextoNormalSangraFrancesa"/>
        <w:rPr>
          <w:rStyle w:val="TextoNormalCaracter"/>
        </w:rPr>
      </w:pPr>
      <w:bookmarkStart w:id="1668" w:name="DESCRIPTORALFABETICO40"/>
      <w:r w:rsidRPr="000C3DF9">
        <w:rPr>
          <w:rStyle w:val="TextoNormalNegritaCaracter"/>
        </w:rPr>
        <w:t>Tributación de matrimonios con hijos</w:t>
      </w:r>
      <w:bookmarkEnd w:id="1668"/>
      <w:r w:rsidRPr="000C3DF9">
        <w:rPr>
          <w:rStyle w:val="TextoNormalCaracter"/>
        </w:rPr>
        <w:t xml:space="preserve">, Sentencia </w:t>
      </w:r>
      <w:hyperlink w:anchor="SENTENCIA_2002_21" w:history="1">
        <w:r w:rsidRPr="000C3DF9">
          <w:rPr>
            <w:rStyle w:val="TextoNormalCaracter"/>
          </w:rPr>
          <w:t>21/2002</w:t>
        </w:r>
      </w:hyperlink>
      <w:r w:rsidRPr="000C3DF9">
        <w:rPr>
          <w:rStyle w:val="TextoNormalCaracter"/>
        </w:rPr>
        <w:t>, ff. 3, 4.</w:t>
      </w:r>
    </w:p>
    <w:p w:rsidR="000C3DF9" w:rsidRPr="000C3DF9" w:rsidRDefault="000C3DF9" w:rsidP="000C3DF9">
      <w:pPr>
        <w:pStyle w:val="TextoNormalSangraFrancesa"/>
        <w:rPr>
          <w:rStyle w:val="TextoNormalCaracter"/>
        </w:rPr>
      </w:pPr>
      <w:bookmarkStart w:id="1669" w:name="DESCRIPTORALFABETICO39"/>
      <w:r w:rsidRPr="000C3DF9">
        <w:rPr>
          <w:rStyle w:val="TextoNormalNegritaCaracter"/>
        </w:rPr>
        <w:t>Tributos</w:t>
      </w:r>
      <w:bookmarkEnd w:id="1669"/>
      <w:r w:rsidRPr="000C3DF9">
        <w:rPr>
          <w:rStyle w:val="TextoNormalCaracter"/>
        </w:rPr>
        <w:t xml:space="preserve">, Auto </w:t>
      </w:r>
      <w:hyperlink w:anchor="AUTO_2002_5" w:history="1">
        <w:r w:rsidRPr="000C3DF9">
          <w:rPr>
            <w:rStyle w:val="TextoNormalCaracter"/>
          </w:rPr>
          <w:t>5/2002</w:t>
        </w:r>
      </w:hyperlink>
      <w:r w:rsidRPr="000C3DF9">
        <w:rPr>
          <w:rStyle w:val="TextoNormalCaracter"/>
        </w:rPr>
        <w:t>.</w:t>
      </w:r>
    </w:p>
    <w:p w:rsidR="000C3DF9" w:rsidRPr="000C3DF9" w:rsidRDefault="000C3DF9" w:rsidP="000C3DF9">
      <w:pPr>
        <w:pStyle w:val="TextoNormalSangraFrancesa"/>
        <w:rPr>
          <w:rStyle w:val="TextoNormalCaracter"/>
        </w:rPr>
      </w:pPr>
      <w:bookmarkStart w:id="1670" w:name="DESCRIPTORALFABETICO41"/>
      <w:r w:rsidRPr="000C3DF9">
        <w:rPr>
          <w:rStyle w:val="TextoNormalNegritaCaracter"/>
        </w:rPr>
        <w:t>Tributos autonómicos</w:t>
      </w:r>
      <w:bookmarkEnd w:id="1670"/>
      <w:r w:rsidRPr="000C3DF9">
        <w:rPr>
          <w:rStyle w:val="TextoNormalCaracter"/>
        </w:rPr>
        <w:t xml:space="preserve">, Auto </w:t>
      </w:r>
      <w:hyperlink w:anchor="AUTO_2002_5" w:history="1">
        <w:r w:rsidRPr="000C3DF9">
          <w:rPr>
            <w:rStyle w:val="TextoNormalCaracter"/>
          </w:rPr>
          <w:t>5/2002</w:t>
        </w:r>
      </w:hyperlink>
      <w:r w:rsidRPr="000C3DF9">
        <w:rPr>
          <w:rStyle w:val="TextoNormalCaracter"/>
        </w:rPr>
        <w:t>.</w:t>
      </w:r>
    </w:p>
    <w:p w:rsidR="000C3DF9" w:rsidRPr="000C3DF9" w:rsidRDefault="000C3DF9" w:rsidP="000C3DF9">
      <w:pPr>
        <w:pStyle w:val="TextoNormalSangraFrancesa"/>
        <w:rPr>
          <w:rStyle w:val="TextoNormalNegritaCaracter"/>
        </w:rPr>
      </w:pPr>
      <w:r w:rsidRPr="000C3DF9">
        <w:rPr>
          <w:rStyle w:val="TextoNormalCursivaCaracter"/>
        </w:rPr>
        <w:t>Tributos propios</w:t>
      </w:r>
      <w:r>
        <w:t xml:space="preserve"> véase </w:t>
      </w:r>
      <w:hyperlink w:anchor="DESCRIPTORALFABETICO41" w:history="1">
        <w:r w:rsidRPr="000C3DF9">
          <w:rPr>
            <w:rStyle w:val="TextoNormalNegritaCaracter"/>
          </w:rPr>
          <w:t>Tributos autonómicos</w:t>
        </w:r>
      </w:hyperlink>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U</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671" w:name="DESCRIPTORALFABETICO27"/>
      <w:r w:rsidRPr="000C3DF9">
        <w:rPr>
          <w:rStyle w:val="TextoNormalNegritaCaracter"/>
        </w:rPr>
        <w:t>Unidad de mercado</w:t>
      </w:r>
      <w:bookmarkEnd w:id="1671"/>
      <w:r w:rsidRPr="000C3DF9">
        <w:rPr>
          <w:rStyle w:val="TextoNormalCaracter"/>
        </w:rPr>
        <w:t xml:space="preserve">, Sentencia </w:t>
      </w:r>
      <w:hyperlink w:anchor="SENTENCIA_2002_96" w:history="1">
        <w:r w:rsidRPr="000C3DF9">
          <w:rPr>
            <w:rStyle w:val="TextoNormalCaracter"/>
          </w:rPr>
          <w:t>96/2002</w:t>
        </w:r>
      </w:hyperlink>
      <w:r w:rsidRPr="000C3DF9">
        <w:rPr>
          <w:rStyle w:val="TextoNormalCaracter"/>
        </w:rPr>
        <w:t>, f. 11.</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V</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672" w:name="DESCRIPTORALFABETICO602"/>
      <w:r w:rsidRPr="000C3DF9">
        <w:rPr>
          <w:rStyle w:val="TextoNormalNegritaCaracter"/>
        </w:rPr>
        <w:t>Valor probatorio de diligencias sumariales</w:t>
      </w:r>
      <w:bookmarkEnd w:id="1672"/>
      <w:r w:rsidRPr="000C3DF9">
        <w:rPr>
          <w:rStyle w:val="TextoNormalCaracter"/>
        </w:rPr>
        <w:t xml:space="preserve">, Sentencias </w:t>
      </w:r>
      <w:hyperlink w:anchor="SENTENCIA_2002_2" w:history="1">
        <w:r w:rsidRPr="000C3DF9">
          <w:rPr>
            <w:rStyle w:val="TextoNormalCaracter"/>
          </w:rPr>
          <w:t>2/2002</w:t>
        </w:r>
      </w:hyperlink>
      <w:r w:rsidRPr="000C3DF9">
        <w:rPr>
          <w:rStyle w:val="TextoNormalCaracter"/>
        </w:rPr>
        <w:t xml:space="preserve">, f. 6; </w:t>
      </w:r>
      <w:hyperlink w:anchor="SENTENCIA_2002_12" w:history="1">
        <w:r w:rsidRPr="000C3DF9">
          <w:rPr>
            <w:rStyle w:val="TextoNormalCaracter"/>
          </w:rPr>
          <w:t>12/2002</w:t>
        </w:r>
      </w:hyperlink>
      <w:r w:rsidRPr="000C3DF9">
        <w:rPr>
          <w:rStyle w:val="TextoNormalCaracter"/>
        </w:rPr>
        <w:t xml:space="preserve">, f. 4; </w:t>
      </w:r>
      <w:hyperlink w:anchor="SENTENCIA_2002_57" w:history="1">
        <w:r w:rsidRPr="000C3DF9">
          <w:rPr>
            <w:rStyle w:val="TextoNormalCaracter"/>
          </w:rPr>
          <w:t>57/2002</w:t>
        </w:r>
      </w:hyperlink>
      <w:r w:rsidRPr="000C3DF9">
        <w:rPr>
          <w:rStyle w:val="TextoNormalCaracter"/>
        </w:rPr>
        <w:t>, f. 3.</w:t>
      </w:r>
    </w:p>
    <w:p w:rsidR="000C3DF9" w:rsidRPr="000C3DF9" w:rsidRDefault="000C3DF9" w:rsidP="000C3DF9">
      <w:pPr>
        <w:pStyle w:val="TextoNormalSangraFrancesa"/>
        <w:rPr>
          <w:rStyle w:val="TextoNormalCaracter"/>
        </w:rPr>
      </w:pPr>
      <w:r w:rsidRPr="000C3DF9">
        <w:rPr>
          <w:rStyle w:val="TextoNormalCaracter"/>
        </w:rPr>
        <w:t xml:space="preserve">    Auto </w:t>
      </w:r>
      <w:hyperlink w:anchor="AUTO_2002_11" w:history="1">
        <w:r w:rsidRPr="000C3DF9">
          <w:rPr>
            <w:rStyle w:val="TextoNormalCaracter"/>
          </w:rPr>
          <w:t>11/2002</w:t>
        </w:r>
      </w:hyperlink>
      <w:r w:rsidRPr="000C3DF9">
        <w:rPr>
          <w:rStyle w:val="TextoNormalCaracter"/>
        </w:rPr>
        <w:t>.</w:t>
      </w:r>
    </w:p>
    <w:p w:rsidR="000C3DF9" w:rsidRPr="000C3DF9" w:rsidRDefault="000C3DF9" w:rsidP="000C3DF9">
      <w:pPr>
        <w:pStyle w:val="TextoNormalSangraFrancesa"/>
        <w:rPr>
          <w:rStyle w:val="TextoNormalCaracter"/>
        </w:rPr>
      </w:pPr>
      <w:bookmarkStart w:id="1673" w:name="DESCRIPTORALFABETICO600"/>
      <w:r w:rsidRPr="000C3DF9">
        <w:rPr>
          <w:rStyle w:val="TextoNormalNegritaCaracter"/>
        </w:rPr>
        <w:t>Valoración de la prueba</w:t>
      </w:r>
      <w:bookmarkEnd w:id="1673"/>
      <w:r w:rsidRPr="000C3DF9">
        <w:rPr>
          <w:rStyle w:val="TextoNormalCaracter"/>
        </w:rPr>
        <w:t xml:space="preserve">, Sentencia </w:t>
      </w:r>
      <w:hyperlink w:anchor="SENTENCIA_2002_57" w:history="1">
        <w:r w:rsidRPr="000C3DF9">
          <w:rPr>
            <w:rStyle w:val="TextoNormalCaracter"/>
          </w:rPr>
          <w:t>57/2002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674" w:name="DESCRIPTORALFABETICO603"/>
      <w:r w:rsidRPr="000C3DF9">
        <w:rPr>
          <w:rStyle w:val="TextoNormalNegritaCaracter"/>
        </w:rPr>
        <w:t>Valoración de los testimonios</w:t>
      </w:r>
      <w:bookmarkEnd w:id="1674"/>
      <w:r w:rsidRPr="000C3DF9">
        <w:rPr>
          <w:rStyle w:val="TextoNormalCaracter"/>
        </w:rPr>
        <w:t xml:space="preserve">, Sentencia </w:t>
      </w:r>
      <w:hyperlink w:anchor="SENTENCIA_2002_57" w:history="1">
        <w:r w:rsidRPr="000C3DF9">
          <w:rPr>
            <w:rStyle w:val="TextoNormalCaracter"/>
          </w:rPr>
          <w:t>57/2002</w:t>
        </w:r>
      </w:hyperlink>
      <w:r w:rsidRPr="000C3DF9">
        <w:rPr>
          <w:rStyle w:val="TextoNormalCaracter"/>
        </w:rPr>
        <w:t>, f. 2.</w:t>
      </w:r>
    </w:p>
    <w:p w:rsidR="000C3DF9" w:rsidRPr="000C3DF9" w:rsidRDefault="000C3DF9" w:rsidP="000C3DF9">
      <w:pPr>
        <w:pStyle w:val="TextoNormalSangraFrancesa"/>
        <w:rPr>
          <w:rStyle w:val="TextoNormalCaracter"/>
        </w:rPr>
      </w:pPr>
      <w:bookmarkStart w:id="1675" w:name="DESCRIPTORALFABETICO335"/>
      <w:r w:rsidRPr="000C3DF9">
        <w:rPr>
          <w:rStyle w:val="TextoNormalNegritaCaracter"/>
        </w:rPr>
        <w:t>Valores constitucionales</w:t>
      </w:r>
      <w:bookmarkEnd w:id="1675"/>
      <w:r w:rsidRPr="000C3DF9">
        <w:rPr>
          <w:rStyle w:val="TextoNormalCaracter"/>
        </w:rPr>
        <w:t xml:space="preserve">, Sentencia </w:t>
      </w:r>
      <w:hyperlink w:anchor="SENTENCIA_2002_53" w:history="1">
        <w:r w:rsidRPr="000C3DF9">
          <w:rPr>
            <w:rStyle w:val="TextoNormalCaracter"/>
          </w:rPr>
          <w:t>53/2002</w:t>
        </w:r>
      </w:hyperlink>
      <w:r w:rsidRPr="000C3DF9">
        <w:rPr>
          <w:rStyle w:val="TextoNormalCaracter"/>
        </w:rPr>
        <w:t>, f. 10.</w:t>
      </w:r>
    </w:p>
    <w:p w:rsidR="000C3DF9" w:rsidRPr="000C3DF9" w:rsidRDefault="000C3DF9" w:rsidP="000C3DF9">
      <w:pPr>
        <w:pStyle w:val="TextoNormalSangraFrancesa"/>
        <w:rPr>
          <w:rStyle w:val="TextoNormalCaracter"/>
        </w:rPr>
      </w:pPr>
      <w:bookmarkStart w:id="1676" w:name="DESCRIPTORALFABETICO151"/>
      <w:r w:rsidRPr="000C3DF9">
        <w:rPr>
          <w:rStyle w:val="TextoNormalNegritaCaracter"/>
        </w:rPr>
        <w:t>Veracidad de la información</w:t>
      </w:r>
      <w:bookmarkEnd w:id="1676"/>
      <w:r w:rsidRPr="000C3DF9">
        <w:rPr>
          <w:rStyle w:val="TextoNormalCaracter"/>
        </w:rPr>
        <w:t xml:space="preserve">, Sentencias </w:t>
      </w:r>
      <w:hyperlink w:anchor="SENTENCIA_2002_46" w:history="1">
        <w:r w:rsidRPr="000C3DF9">
          <w:rPr>
            <w:rStyle w:val="TextoNormalCaracter"/>
          </w:rPr>
          <w:t>46/2002</w:t>
        </w:r>
      </w:hyperlink>
      <w:r w:rsidRPr="000C3DF9">
        <w:rPr>
          <w:rStyle w:val="TextoNormalCaracter"/>
        </w:rPr>
        <w:t xml:space="preserve">, f. 6; </w:t>
      </w:r>
      <w:hyperlink w:anchor="SENTENCIA_2002_47" w:history="1">
        <w:r w:rsidRPr="000C3DF9">
          <w:rPr>
            <w:rStyle w:val="TextoNormalCaracter"/>
          </w:rPr>
          <w:t>47/2002</w:t>
        </w:r>
      </w:hyperlink>
      <w:r w:rsidRPr="000C3DF9">
        <w:rPr>
          <w:rStyle w:val="TextoNormalCaracter"/>
        </w:rPr>
        <w:t xml:space="preserve">, ff. 3, 4; </w:t>
      </w:r>
      <w:hyperlink w:anchor="SENTENCIA_2002_52" w:history="1">
        <w:r w:rsidRPr="000C3DF9">
          <w:rPr>
            <w:rStyle w:val="TextoNormalCaracter"/>
          </w:rPr>
          <w:t>52/2002</w:t>
        </w:r>
      </w:hyperlink>
      <w:r w:rsidRPr="000C3DF9">
        <w:rPr>
          <w:rStyle w:val="TextoNormalCaracter"/>
        </w:rPr>
        <w:t xml:space="preserve">, f. 5; </w:t>
      </w:r>
      <w:hyperlink w:anchor="SENTENCIA_2002_76" w:history="1">
        <w:r w:rsidRPr="000C3DF9">
          <w:rPr>
            <w:rStyle w:val="TextoNormalCaracter"/>
          </w:rPr>
          <w:t>76/2002</w:t>
        </w:r>
      </w:hyperlink>
      <w:r w:rsidRPr="000C3DF9">
        <w:rPr>
          <w:rStyle w:val="TextoNormalCaracter"/>
        </w:rPr>
        <w:t>, f. 4.</w:t>
      </w:r>
    </w:p>
    <w:p w:rsidR="000C3DF9" w:rsidRPr="000C3DF9" w:rsidRDefault="000C3DF9" w:rsidP="000C3DF9">
      <w:pPr>
        <w:pStyle w:val="TextoNormalSangraFrancesa"/>
        <w:rPr>
          <w:rStyle w:val="TextoNormalCaracter"/>
        </w:rPr>
      </w:pPr>
      <w:bookmarkStart w:id="1677" w:name="DESCRIPTORALFABETICO315"/>
      <w:r w:rsidRPr="000C3DF9">
        <w:rPr>
          <w:rStyle w:val="TextoNormalNegritaCaracter"/>
        </w:rPr>
        <w:t>Veto a proyectos de ley</w:t>
      </w:r>
      <w:bookmarkEnd w:id="1677"/>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6.</w:t>
      </w:r>
    </w:p>
    <w:p w:rsidR="000C3DF9" w:rsidRPr="000C3DF9" w:rsidRDefault="000C3DF9" w:rsidP="000C3DF9">
      <w:pPr>
        <w:pStyle w:val="TextoNormalSangraFrancesa"/>
        <w:rPr>
          <w:rStyle w:val="TextoNormalCaracter"/>
        </w:rPr>
      </w:pPr>
      <w:bookmarkStart w:id="1678" w:name="DESCRIPTORALFABETICO304"/>
      <w:r w:rsidRPr="000C3DF9">
        <w:rPr>
          <w:rStyle w:val="TextoNormalNegritaCaracter"/>
        </w:rPr>
        <w:t>Vicios en el procedimiento legislativo</w:t>
      </w:r>
      <w:bookmarkEnd w:id="1678"/>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2.</w:t>
      </w:r>
    </w:p>
    <w:p w:rsidR="000C3DF9" w:rsidRPr="000C3DF9" w:rsidRDefault="000C3DF9" w:rsidP="000C3DF9">
      <w:pPr>
        <w:pStyle w:val="TextoNormalSangraFrancesa"/>
        <w:rPr>
          <w:rStyle w:val="TextoNormalNegritaCaracter"/>
        </w:rPr>
      </w:pPr>
      <w:r w:rsidRPr="000C3DF9">
        <w:rPr>
          <w:rStyle w:val="TextoNormalCursivaCaracter"/>
        </w:rPr>
        <w:t>Vida familiar</w:t>
      </w:r>
      <w:r>
        <w:t xml:space="preserve"> véase </w:t>
      </w:r>
      <w:hyperlink w:anchor="DESCRIPTORALFABETICO382" w:history="1">
        <w:r w:rsidRPr="000C3DF9">
          <w:rPr>
            <w:rStyle w:val="TextoNormalNegritaCaracter"/>
          </w:rPr>
          <w:t>Convivencia familiar</w:t>
        </w:r>
      </w:hyperlink>
    </w:p>
    <w:p w:rsidR="000C3DF9" w:rsidRPr="000C3DF9" w:rsidRDefault="000C3DF9" w:rsidP="000C3DF9">
      <w:pPr>
        <w:pStyle w:val="TextoNormalSangraFrancesa"/>
        <w:rPr>
          <w:rStyle w:val="TextoNormalCaracter"/>
        </w:rPr>
      </w:pPr>
      <w:bookmarkStart w:id="1679" w:name="DESCRIPTORALFABETICO604"/>
      <w:r w:rsidRPr="000C3DF9">
        <w:rPr>
          <w:rStyle w:val="TextoNormalNegritaCaracter"/>
        </w:rPr>
        <w:t>Vista pública</w:t>
      </w:r>
      <w:bookmarkEnd w:id="1679"/>
      <w:r w:rsidRPr="000C3DF9">
        <w:rPr>
          <w:rStyle w:val="TextoNormalCaracter"/>
        </w:rPr>
        <w:t xml:space="preserve">, Sentencia </w:t>
      </w:r>
      <w:hyperlink w:anchor="SENTENCIA_2002_70" w:history="1">
        <w:r w:rsidRPr="000C3DF9">
          <w:rPr>
            <w:rStyle w:val="TextoNormalCaracter"/>
          </w:rPr>
          <w:t>70/2002</w:t>
        </w:r>
      </w:hyperlink>
      <w:r w:rsidRPr="000C3DF9">
        <w:rPr>
          <w:rStyle w:val="TextoNormalCaracter"/>
        </w:rPr>
        <w:t>, f. 6.</w:t>
      </w:r>
    </w:p>
    <w:p w:rsidR="000C3DF9" w:rsidRPr="000C3DF9" w:rsidRDefault="000C3DF9" w:rsidP="000C3DF9">
      <w:pPr>
        <w:pStyle w:val="TextoNormalSangraFrancesa"/>
        <w:rPr>
          <w:rStyle w:val="TextoNormalCaracter"/>
        </w:rPr>
      </w:pPr>
      <w:bookmarkStart w:id="1680" w:name="DESCRIPTORALFABETICO658"/>
      <w:r w:rsidRPr="000C3DF9">
        <w:rPr>
          <w:rStyle w:val="TextoNormalNegritaCaracter"/>
        </w:rPr>
        <w:t>Votaciones judiciales</w:t>
      </w:r>
      <w:bookmarkEnd w:id="1680"/>
      <w:r w:rsidRPr="000C3DF9">
        <w:rPr>
          <w:rStyle w:val="TextoNormalCaracter"/>
        </w:rPr>
        <w:t xml:space="preserve">, Sentencia </w:t>
      </w:r>
      <w:hyperlink w:anchor="SENTENCIA_2002_51" w:history="1">
        <w:r w:rsidRPr="000C3DF9">
          <w:rPr>
            <w:rStyle w:val="TextoNormalCaracter"/>
          </w:rPr>
          <w:t>51/2002</w:t>
        </w:r>
      </w:hyperlink>
      <w:r w:rsidRPr="000C3DF9">
        <w:rPr>
          <w:rStyle w:val="TextoNormalCaracter"/>
        </w:rPr>
        <w:t>, f. 3.</w:t>
      </w:r>
    </w:p>
    <w:p w:rsidR="000C3DF9" w:rsidRPr="000C3DF9" w:rsidRDefault="000C3DF9" w:rsidP="000C3DF9">
      <w:pPr>
        <w:pStyle w:val="TextoNormalSangraFrancesa"/>
        <w:rPr>
          <w:rStyle w:val="TextoNormalCaracter"/>
        </w:rPr>
      </w:pPr>
      <w:bookmarkStart w:id="1681" w:name="DESCRIPTORALFABETICO279"/>
      <w:r w:rsidRPr="000C3DF9">
        <w:rPr>
          <w:rStyle w:val="TextoNormalNegritaCaracter"/>
        </w:rPr>
        <w:t>Voto particular, formulado uno</w:t>
      </w:r>
      <w:bookmarkEnd w:id="1681"/>
      <w:r w:rsidRPr="000C3DF9">
        <w:rPr>
          <w:rStyle w:val="TextoNormalCaracter"/>
        </w:rPr>
        <w:t xml:space="preserve">, Sentencias </w:t>
      </w:r>
      <w:hyperlink w:anchor="SENTENCIA_2002_33" w:history="1">
        <w:r w:rsidRPr="000C3DF9">
          <w:rPr>
            <w:rStyle w:val="TextoNormalCaracter"/>
          </w:rPr>
          <w:t>33/2002</w:t>
        </w:r>
      </w:hyperlink>
      <w:r w:rsidRPr="000C3DF9">
        <w:rPr>
          <w:rStyle w:val="TextoNormalCaracter"/>
        </w:rPr>
        <w:t xml:space="preserve">; </w:t>
      </w:r>
      <w:hyperlink w:anchor="SENTENCIA_2002_38" w:history="1">
        <w:r w:rsidRPr="000C3DF9">
          <w:rPr>
            <w:rStyle w:val="TextoNormalCaracter"/>
          </w:rPr>
          <w:t>38/2002</w:t>
        </w:r>
      </w:hyperlink>
      <w:r w:rsidRPr="000C3DF9">
        <w:rPr>
          <w:rStyle w:val="TextoNormalCaracter"/>
        </w:rPr>
        <w:t xml:space="preserve">; </w:t>
      </w:r>
      <w:hyperlink w:anchor="SENTENCIA_2002_50" w:history="1">
        <w:r w:rsidRPr="000C3DF9">
          <w:rPr>
            <w:rStyle w:val="TextoNormalCaracter"/>
          </w:rPr>
          <w:t>50/2002</w:t>
        </w:r>
      </w:hyperlink>
      <w:r w:rsidRPr="000C3DF9">
        <w:rPr>
          <w:rStyle w:val="TextoNormalCaracter"/>
        </w:rPr>
        <w:t xml:space="preserve">; </w:t>
      </w:r>
      <w:hyperlink w:anchor="SENTENCIA_2002_67" w:history="1">
        <w:r w:rsidRPr="000C3DF9">
          <w:rPr>
            <w:rStyle w:val="TextoNormalCaracter"/>
          </w:rPr>
          <w:t>67/2002</w:t>
        </w:r>
      </w:hyperlink>
      <w:r w:rsidRPr="000C3DF9">
        <w:rPr>
          <w:rStyle w:val="TextoNormalCaracter"/>
        </w:rPr>
        <w:t xml:space="preserve">; </w:t>
      </w:r>
      <w:hyperlink w:anchor="SENTENCIA_2002_71" w:history="1">
        <w:r w:rsidRPr="000C3DF9">
          <w:rPr>
            <w:rStyle w:val="TextoNormalCaracter"/>
          </w:rPr>
          <w:t>71/2002</w:t>
        </w:r>
      </w:hyperlink>
      <w:r w:rsidRPr="000C3DF9">
        <w:rPr>
          <w:rStyle w:val="TextoNormalCaracter"/>
        </w:rPr>
        <w:t xml:space="preserve">; </w:t>
      </w:r>
      <w:hyperlink w:anchor="SENTENCIA_2002_79" w:history="1">
        <w:r w:rsidRPr="000C3DF9">
          <w:rPr>
            <w:rStyle w:val="TextoNormalCaracter"/>
          </w:rPr>
          <w:t>79/2002</w:t>
        </w:r>
      </w:hyperlink>
      <w:r w:rsidRPr="000C3DF9">
        <w:rPr>
          <w:rStyle w:val="TextoNormalCaracter"/>
        </w:rPr>
        <w:t xml:space="preserve">; </w:t>
      </w:r>
      <w:hyperlink w:anchor="SENTENCIA_2002_81" w:history="1">
        <w:r w:rsidRPr="000C3DF9">
          <w:rPr>
            <w:rStyle w:val="TextoNormalCaracter"/>
          </w:rPr>
          <w:t>81/2002</w:t>
        </w:r>
      </w:hyperlink>
      <w:r w:rsidRPr="000C3DF9">
        <w:rPr>
          <w:rStyle w:val="TextoNormalCaracter"/>
        </w:rPr>
        <w:t>.</w:t>
      </w:r>
    </w:p>
    <w:p w:rsidR="000C3DF9" w:rsidRPr="000C3DF9" w:rsidRDefault="000C3DF9" w:rsidP="000C3DF9">
      <w:pPr>
        <w:pStyle w:val="TextoNormalSangraFrancesa"/>
        <w:rPr>
          <w:rStyle w:val="TextoNormalCaracter"/>
        </w:rPr>
      </w:pPr>
      <w:bookmarkStart w:id="1682" w:name="DESCRIPTORALFABETICO280"/>
      <w:r w:rsidRPr="000C3DF9">
        <w:rPr>
          <w:rStyle w:val="TextoNormalNegritaCaracter"/>
        </w:rPr>
        <w:t>Votos particulares, formulados cuatro</w:t>
      </w:r>
      <w:bookmarkEnd w:id="1682"/>
      <w:r w:rsidRPr="000C3DF9">
        <w:rPr>
          <w:rStyle w:val="TextoNormalCaracter"/>
        </w:rPr>
        <w:t xml:space="preserve">, Sentencia </w:t>
      </w:r>
      <w:hyperlink w:anchor="SENTENCIA_2002_95" w:history="1">
        <w:r w:rsidRPr="000C3DF9">
          <w:rPr>
            <w:rStyle w:val="TextoNormalCaracter"/>
          </w:rPr>
          <w:t>95/2002</w:t>
        </w:r>
      </w:hyperlink>
      <w:r w:rsidRPr="000C3DF9">
        <w:rPr>
          <w:rStyle w:val="TextoNormalCaracter"/>
        </w:rPr>
        <w:t>.</w:t>
      </w:r>
    </w:p>
    <w:p w:rsidR="000C3DF9" w:rsidRPr="000C3DF9" w:rsidRDefault="000C3DF9" w:rsidP="000C3DF9">
      <w:pPr>
        <w:pStyle w:val="TextoNormalSangraFrancesa"/>
        <w:rPr>
          <w:rStyle w:val="TextoNormalCaracter"/>
        </w:rPr>
      </w:pPr>
      <w:bookmarkStart w:id="1683" w:name="DESCRIPTORALFABETICO281"/>
      <w:r w:rsidRPr="000C3DF9">
        <w:rPr>
          <w:rStyle w:val="TextoNormalNegritaCaracter"/>
        </w:rPr>
        <w:t xml:space="preserve">Votos particulares, formulados dos </w:t>
      </w:r>
      <w:bookmarkEnd w:id="1683"/>
      <w:r w:rsidRPr="000C3DF9">
        <w:rPr>
          <w:rStyle w:val="TextoNormalCaracter"/>
        </w:rPr>
        <w:t xml:space="preserve">, Sentencias </w:t>
      </w:r>
      <w:hyperlink w:anchor="SENTENCIA_2002_11" w:history="1">
        <w:r w:rsidRPr="000C3DF9">
          <w:rPr>
            <w:rStyle w:val="TextoNormalCaracter"/>
          </w:rPr>
          <w:t>11/2002</w:t>
        </w:r>
      </w:hyperlink>
      <w:r w:rsidRPr="000C3DF9">
        <w:rPr>
          <w:rStyle w:val="TextoNormalCaracter"/>
        </w:rPr>
        <w:t xml:space="preserve">; </w:t>
      </w:r>
      <w:hyperlink w:anchor="SENTENCIA_2002_53" w:history="1">
        <w:r w:rsidRPr="000C3DF9">
          <w:rPr>
            <w:rStyle w:val="TextoNormalCaracter"/>
          </w:rPr>
          <w:t>53/2002</w:t>
        </w:r>
      </w:hyperlink>
      <w:r w:rsidRPr="000C3DF9">
        <w:rPr>
          <w:rStyle w:val="TextoNormalCaracter"/>
        </w:rPr>
        <w:t xml:space="preserve">; </w:t>
      </w:r>
      <w:hyperlink w:anchor="SENTENCIA_2002_96" w:history="1">
        <w:r w:rsidRPr="000C3DF9">
          <w:rPr>
            <w:rStyle w:val="TextoNormalCaracter"/>
          </w:rPr>
          <w:t>96/2002</w:t>
        </w:r>
      </w:hyperlink>
      <w:r w:rsidRPr="000C3DF9">
        <w:rPr>
          <w:rStyle w:val="TextoNormalCaracter"/>
        </w:rPr>
        <w:t>.</w:t>
      </w:r>
    </w:p>
    <w:p w:rsidR="000C3DF9" w:rsidRDefault="000C3DF9" w:rsidP="000C3DF9">
      <w:pPr>
        <w:pStyle w:val="TextoNormalSangraFrancesa"/>
      </w:pPr>
    </w:p>
    <w:p w:rsidR="000C3DF9" w:rsidRDefault="000C3DF9" w:rsidP="000C3DF9">
      <w:pPr>
        <w:pStyle w:val="TextoNormalSangraFrancesa"/>
      </w:pPr>
    </w:p>
    <w:p w:rsidR="000C3DF9" w:rsidRDefault="000C3DF9" w:rsidP="000C3DF9">
      <w:pPr>
        <w:pStyle w:val="TextoNormalNegritaCentrado"/>
      </w:pPr>
      <w:r>
        <w:t>Z</w:t>
      </w:r>
    </w:p>
    <w:p w:rsidR="000C3DF9" w:rsidRDefault="000C3DF9" w:rsidP="000C3DF9">
      <w:pPr>
        <w:pStyle w:val="TextoNormalNegritaCentrado"/>
      </w:pPr>
    </w:p>
    <w:p w:rsidR="000C3DF9" w:rsidRDefault="000C3DF9" w:rsidP="000C3DF9">
      <w:pPr>
        <w:pStyle w:val="TextoNormalNegritaCentrado"/>
      </w:pPr>
    </w:p>
    <w:p w:rsidR="000C3DF9" w:rsidRDefault="000C3DF9" w:rsidP="000C3DF9">
      <w:pPr>
        <w:pStyle w:val="TextoNormalNegritaCentrado"/>
      </w:pPr>
    </w:p>
    <w:p w:rsidR="000C3DF9" w:rsidRPr="000C3DF9" w:rsidRDefault="000C3DF9" w:rsidP="000C3DF9">
      <w:pPr>
        <w:pStyle w:val="TextoNormalSangraFrancesa"/>
        <w:rPr>
          <w:rStyle w:val="TextoNormalCaracter"/>
        </w:rPr>
      </w:pPr>
      <w:bookmarkStart w:id="1684" w:name="DESCRIPTORALFABETICO373"/>
      <w:r w:rsidRPr="000C3DF9">
        <w:rPr>
          <w:rStyle w:val="TextoNormalNegritaCaracter"/>
        </w:rPr>
        <w:t>Zona marítimo terrestre</w:t>
      </w:r>
      <w:bookmarkEnd w:id="1684"/>
      <w:r w:rsidRPr="000C3DF9">
        <w:rPr>
          <w:rStyle w:val="TextoNormalCaracter"/>
        </w:rPr>
        <w:t xml:space="preserve">, Sentencia </w:t>
      </w:r>
      <w:hyperlink w:anchor="SENTENCIA_2002_38" w:history="1">
        <w:r w:rsidRPr="000C3DF9">
          <w:rPr>
            <w:rStyle w:val="TextoNormalCaracter"/>
          </w:rPr>
          <w:t>38/2002</w:t>
        </w:r>
      </w:hyperlink>
      <w:r w:rsidRPr="000C3DF9">
        <w:rPr>
          <w:rStyle w:val="TextoNormalCaracter"/>
        </w:rPr>
        <w:t>, f. 6.</w:t>
      </w:r>
    </w:p>
    <w:p w:rsidR="000C3DF9" w:rsidRPr="000C3DF9" w:rsidRDefault="000C3DF9" w:rsidP="000C3DF9">
      <w:pPr>
        <w:pStyle w:val="TextoNormalSangraFrancesa"/>
        <w:rPr>
          <w:rStyle w:val="TextoNormalCaracter"/>
        </w:rPr>
      </w:pPr>
      <w:bookmarkStart w:id="1685" w:name="DESCRIPTORALFABETICO406"/>
      <w:r w:rsidRPr="000C3DF9">
        <w:rPr>
          <w:rStyle w:val="TextoNormalNegritaCaracter"/>
        </w:rPr>
        <w:t>Zonas de protección especial</w:t>
      </w:r>
      <w:bookmarkEnd w:id="1685"/>
      <w:r w:rsidRPr="000C3DF9">
        <w:rPr>
          <w:rStyle w:val="TextoNormalCaracter"/>
        </w:rPr>
        <w:t xml:space="preserve">, Sentencia </w:t>
      </w:r>
      <w:hyperlink w:anchor="SENTENCIA_2002_97" w:history="1">
        <w:r w:rsidRPr="000C3DF9">
          <w:rPr>
            <w:rStyle w:val="TextoNormalCaracter"/>
          </w:rPr>
          <w:t>97/2002</w:t>
        </w:r>
      </w:hyperlink>
      <w:r w:rsidRPr="000C3DF9">
        <w:rPr>
          <w:rStyle w:val="TextoNormalCaracter"/>
        </w:rPr>
        <w:t>, f. 9.</w:t>
      </w:r>
    </w:p>
    <w:p w:rsidR="000C3DF9" w:rsidRDefault="000C3DF9">
      <w:pPr>
        <w:rPr>
          <w:rFonts w:ascii="Times New Roman" w:eastAsia="Times New Roman" w:hAnsi="Times New Roman" w:cs="Times New Roman"/>
          <w:sz w:val="24"/>
          <w:szCs w:val="24"/>
          <w:lang w:eastAsia="es-ES"/>
        </w:rPr>
      </w:pPr>
      <w:r>
        <w:br w:type="page"/>
      </w:r>
    </w:p>
    <w:p w:rsidR="000C3DF9" w:rsidRDefault="000C3DF9" w:rsidP="000C3DF9">
      <w:pPr>
        <w:pStyle w:val="TextoNormalSangraFrancesa"/>
      </w:pPr>
    </w:p>
    <w:p w:rsidR="00231B75" w:rsidRDefault="00231B75" w:rsidP="00231B75">
      <w:pPr>
        <w:pStyle w:val="TextoNormalSangraFrancesa"/>
      </w:pPr>
    </w:p>
    <w:p w:rsidR="00231B75" w:rsidRDefault="00231B75" w:rsidP="00231B75">
      <w:pPr>
        <w:pStyle w:val="TextoNormalSangraFrancesa"/>
      </w:pPr>
    </w:p>
    <w:p w:rsidR="00231B75" w:rsidRDefault="00231B75" w:rsidP="00231B75">
      <w:pPr>
        <w:pStyle w:val="TextoNormalSangraFrancesa"/>
      </w:pPr>
    </w:p>
    <w:p w:rsidR="00231B75" w:rsidRDefault="00231B75" w:rsidP="00231B75">
      <w:pPr>
        <w:pStyle w:val="TextoNormalSangraFrancesa"/>
      </w:pPr>
    </w:p>
    <w:p w:rsidR="00231B75" w:rsidRDefault="00231B75" w:rsidP="00231B75">
      <w:pPr>
        <w:pStyle w:val="TextoNormalSangraFrancesa"/>
      </w:pPr>
    </w:p>
    <w:p w:rsidR="00231B75" w:rsidRDefault="00231B75" w:rsidP="00231B75">
      <w:pPr>
        <w:pStyle w:val="TextoNormalSangraFrancesa"/>
      </w:pPr>
    </w:p>
    <w:p w:rsidR="00231B75" w:rsidRDefault="00231B75" w:rsidP="00231B75">
      <w:pPr>
        <w:pStyle w:val="TextoNormalSangraFrancesa"/>
      </w:pPr>
    </w:p>
    <w:p w:rsidR="00231B75" w:rsidRDefault="00231B75" w:rsidP="00231B75">
      <w:pPr>
        <w:pStyle w:val="Ttulondice"/>
      </w:pPr>
      <w:bookmarkStart w:id="1686" w:name="ACRONIMOS"/>
      <w:r>
        <w:t>8. ABREVIATURAS Y ACRÓNIMOS</w:t>
      </w:r>
    </w:p>
    <w:bookmarkEnd w:id="1686"/>
    <w:p w:rsidR="00231B75" w:rsidRDefault="00231B75" w:rsidP="00231B75">
      <w:pPr>
        <w:pStyle w:val="Ttulondice"/>
      </w:pPr>
    </w:p>
    <w:p w:rsidR="00231B75" w:rsidRDefault="00231B75" w:rsidP="00231B75">
      <w:pPr>
        <w:pStyle w:val="Ttulondice"/>
      </w:pPr>
    </w:p>
    <w:p w:rsidR="00231B75" w:rsidRDefault="00231B75" w:rsidP="00231B75">
      <w:pPr>
        <w:pStyle w:val="Ttulondice"/>
      </w:pPr>
    </w:p>
    <w:p w:rsidR="00231B75" w:rsidRDefault="00231B75" w:rsidP="00231B75">
      <w:pPr>
        <w:pStyle w:val="Ttulondice"/>
      </w:pPr>
    </w:p>
    <w:p w:rsidR="00231B75" w:rsidRDefault="00231B75" w:rsidP="00231B75">
      <w:pPr>
        <w:pStyle w:val="TextoAbreviaturas"/>
      </w:pPr>
      <w:r>
        <w:t>AMA</w:t>
      </w:r>
      <w:r>
        <w:tab/>
        <w:t>Agencia del Medio Ambiente</w:t>
      </w:r>
    </w:p>
    <w:p w:rsidR="00231B75" w:rsidRDefault="00231B75" w:rsidP="00231B75">
      <w:pPr>
        <w:pStyle w:val="TextoAbreviaturas"/>
      </w:pPr>
      <w:r>
        <w:t>ANFC</w:t>
      </w:r>
      <w:r>
        <w:tab/>
        <w:t>Acuerdos nacionales de formación continua</w:t>
      </w:r>
    </w:p>
    <w:p w:rsidR="00231B75" w:rsidRDefault="00231B75" w:rsidP="00231B75">
      <w:pPr>
        <w:pStyle w:val="TextoAbreviaturas"/>
      </w:pPr>
      <w:r>
        <w:t>ATC</w:t>
      </w:r>
      <w:r>
        <w:tab/>
        <w:t>Auto del Tribunal Constitucional</w:t>
      </w:r>
    </w:p>
    <w:p w:rsidR="00231B75" w:rsidRDefault="00231B75" w:rsidP="00231B75">
      <w:pPr>
        <w:pStyle w:val="TextoAbreviaturas"/>
      </w:pPr>
      <w:r>
        <w:t>AATC</w:t>
      </w:r>
      <w:r>
        <w:tab/>
        <w:t>Autos del Tribunal Constitucional</w:t>
      </w:r>
    </w:p>
    <w:p w:rsidR="00231B75" w:rsidRDefault="00231B75" w:rsidP="00231B75">
      <w:pPr>
        <w:pStyle w:val="TextoAbreviaturas"/>
      </w:pPr>
      <w:r>
        <w:t>ATS</w:t>
      </w:r>
      <w:r>
        <w:tab/>
        <w:t>Auto del Tribunal Supremo</w:t>
      </w:r>
    </w:p>
    <w:p w:rsidR="00231B75" w:rsidRDefault="00231B75" w:rsidP="00231B75">
      <w:pPr>
        <w:pStyle w:val="TextoAbreviaturas"/>
      </w:pPr>
      <w:r>
        <w:t>BNG</w:t>
      </w:r>
      <w:r>
        <w:tab/>
        <w:t>Bloque Nacionalista Galego</w:t>
      </w:r>
    </w:p>
    <w:p w:rsidR="00231B75" w:rsidRDefault="00231B75" w:rsidP="00231B75">
      <w:pPr>
        <w:pStyle w:val="TextoAbreviaturas"/>
      </w:pPr>
      <w:r>
        <w:t>BOE</w:t>
      </w:r>
      <w:r>
        <w:tab/>
        <w:t>Boletín Oficial del Estado</w:t>
      </w:r>
    </w:p>
    <w:p w:rsidR="00231B75" w:rsidRDefault="00231B75" w:rsidP="00231B75">
      <w:pPr>
        <w:pStyle w:val="TextoAbreviaturas"/>
      </w:pPr>
      <w:r>
        <w:t>BOPA</w:t>
      </w:r>
      <w:r>
        <w:tab/>
        <w:t>Boletín Oficial del Principado de Asturias</w:t>
      </w:r>
    </w:p>
    <w:p w:rsidR="00231B75" w:rsidRDefault="00231B75" w:rsidP="00231B75">
      <w:pPr>
        <w:pStyle w:val="TextoAbreviaturas"/>
      </w:pPr>
      <w:r>
        <w:t>BOPV</w:t>
      </w:r>
      <w:r>
        <w:tab/>
        <w:t>Boletín Oficial del País Vasco</w:t>
      </w:r>
    </w:p>
    <w:p w:rsidR="00231B75" w:rsidRDefault="00231B75" w:rsidP="00231B75">
      <w:pPr>
        <w:pStyle w:val="TextoAbreviaturas"/>
      </w:pPr>
      <w:r>
        <w:t>CC</w:t>
      </w:r>
      <w:r>
        <w:tab/>
        <w:t>Código civil</w:t>
      </w:r>
    </w:p>
    <w:p w:rsidR="00231B75" w:rsidRDefault="00231B75" w:rsidP="00231B75">
      <w:pPr>
        <w:pStyle w:val="TextoAbreviaturas"/>
      </w:pPr>
      <w:r>
        <w:t>CCOO</w:t>
      </w:r>
      <w:r>
        <w:tab/>
        <w:t>Comisiones Obreras</w:t>
      </w:r>
    </w:p>
    <w:p w:rsidR="00231B75" w:rsidRDefault="00231B75" w:rsidP="00231B75">
      <w:pPr>
        <w:pStyle w:val="TextoAbreviaturas"/>
      </w:pPr>
      <w:r>
        <w:t>CD</w:t>
      </w:r>
      <w:r>
        <w:tab/>
        <w:t>Congreso de los Diputados</w:t>
      </w:r>
    </w:p>
    <w:p w:rsidR="00231B75" w:rsidRDefault="00231B75" w:rsidP="00231B75">
      <w:pPr>
        <w:pStyle w:val="TextoAbreviaturas"/>
      </w:pPr>
      <w:r>
        <w:t>CE</w:t>
      </w:r>
      <w:r>
        <w:tab/>
        <w:t>Constitución española</w:t>
      </w:r>
    </w:p>
    <w:p w:rsidR="00231B75" w:rsidRDefault="00231B75" w:rsidP="00231B75">
      <w:pPr>
        <w:pStyle w:val="TextoAbreviaturas"/>
      </w:pPr>
      <w:r>
        <w:t>CECOP</w:t>
      </w:r>
      <w:r>
        <w:tab/>
        <w:t>Centro de coordinación operativa de protección civil</w:t>
      </w:r>
    </w:p>
    <w:p w:rsidR="00231B75" w:rsidRDefault="00231B75" w:rsidP="00231B75">
      <w:pPr>
        <w:pStyle w:val="TextoAbreviaturas"/>
      </w:pPr>
      <w:r>
        <w:t>CEDH</w:t>
      </w:r>
      <w:r>
        <w:tab/>
        <w:t>Convenio europeo para la protección de los derechos humanos y de las libertades fundamentales</w:t>
      </w:r>
    </w:p>
    <w:p w:rsidR="00231B75" w:rsidRDefault="00231B75" w:rsidP="00231B75">
      <w:pPr>
        <w:pStyle w:val="TextoAbreviaturas"/>
      </w:pPr>
      <w:r>
        <w:t>CEE</w:t>
      </w:r>
      <w:r>
        <w:tab/>
        <w:t>Comunidad Económica Europea</w:t>
      </w:r>
    </w:p>
    <w:p w:rsidR="00231B75" w:rsidRDefault="00231B75" w:rsidP="00231B75">
      <w:pPr>
        <w:pStyle w:val="TextoAbreviaturas"/>
      </w:pPr>
      <w:r>
        <w:t>CEOE</w:t>
      </w:r>
      <w:r>
        <w:tab/>
        <w:t>Confederación española de organizaciones empresariales</w:t>
      </w:r>
    </w:p>
    <w:p w:rsidR="00231B75" w:rsidRDefault="00231B75" w:rsidP="00231B75">
      <w:pPr>
        <w:pStyle w:val="TextoAbreviaturas"/>
      </w:pPr>
      <w:r>
        <w:t>CEPYME</w:t>
      </w:r>
      <w:r>
        <w:tab/>
        <w:t>Confederación española de la pequeña y mediana empresa</w:t>
      </w:r>
    </w:p>
    <w:p w:rsidR="00231B75" w:rsidRDefault="00231B75" w:rsidP="00231B75">
      <w:pPr>
        <w:pStyle w:val="TextoAbreviaturas"/>
      </w:pPr>
      <w:r>
        <w:t>CIG</w:t>
      </w:r>
      <w:r>
        <w:tab/>
        <w:t>Confederación intersindical gallega</w:t>
      </w:r>
    </w:p>
    <w:p w:rsidR="00231B75" w:rsidRDefault="00231B75" w:rsidP="00231B75">
      <w:pPr>
        <w:pStyle w:val="TextoAbreviaturas"/>
      </w:pPr>
      <w:r>
        <w:t>CMAC</w:t>
      </w:r>
      <w:r>
        <w:tab/>
        <w:t>Centro de Mediación, Arbitraje y Conciliación</w:t>
      </w:r>
    </w:p>
    <w:p w:rsidR="00231B75" w:rsidRDefault="00231B75" w:rsidP="00231B75">
      <w:pPr>
        <w:pStyle w:val="TextoAbreviaturas"/>
      </w:pPr>
      <w:r>
        <w:t>CP</w:t>
      </w:r>
      <w:r>
        <w:tab/>
        <w:t>Código penal</w:t>
      </w:r>
    </w:p>
    <w:p w:rsidR="00231B75" w:rsidRDefault="00231B75" w:rsidP="00231B75">
      <w:pPr>
        <w:pStyle w:val="TextoAbreviaturas"/>
      </w:pPr>
      <w:r>
        <w:t>CSIF</w:t>
      </w:r>
      <w:r>
        <w:tab/>
        <w:t>Confederación Sindical Independiente de Funcionarios</w:t>
      </w:r>
    </w:p>
    <w:p w:rsidR="00231B75" w:rsidRDefault="00231B75" w:rsidP="00231B75">
      <w:pPr>
        <w:pStyle w:val="TextoAbreviaturas"/>
      </w:pPr>
      <w:r>
        <w:t>EAAnd</w:t>
      </w:r>
      <w:r>
        <w:tab/>
        <w:t>Estatuto de Autonomía para Andalucía</w:t>
      </w:r>
    </w:p>
    <w:p w:rsidR="00231B75" w:rsidRDefault="00231B75" w:rsidP="00231B75">
      <w:pPr>
        <w:pStyle w:val="TextoAbreviaturas"/>
      </w:pPr>
      <w:r>
        <w:t>EAC</w:t>
      </w:r>
      <w:r>
        <w:tab/>
        <w:t>Estatuto de Autonomía de Cataluña</w:t>
      </w:r>
    </w:p>
    <w:p w:rsidR="00231B75" w:rsidRDefault="00231B75" w:rsidP="00231B75">
      <w:pPr>
        <w:pStyle w:val="TextoAbreviaturas"/>
      </w:pPr>
      <w:r>
        <w:t>EAIB</w:t>
      </w:r>
      <w:r>
        <w:tab/>
        <w:t>Estatuto de Autonomía de las Illes Balears</w:t>
      </w:r>
    </w:p>
    <w:p w:rsidR="00231B75" w:rsidRDefault="00231B75" w:rsidP="00231B75">
      <w:pPr>
        <w:pStyle w:val="TextoAbreviaturas"/>
      </w:pPr>
      <w:r>
        <w:t>EAPV</w:t>
      </w:r>
      <w:r>
        <w:tab/>
        <w:t>Estatuto de Autonomía para el País Vasco</w:t>
      </w:r>
    </w:p>
    <w:p w:rsidR="00231B75" w:rsidRDefault="00231B75" w:rsidP="00231B75">
      <w:pPr>
        <w:pStyle w:val="TextoAbreviaturas"/>
      </w:pPr>
      <w:r>
        <w:t>EAR</w:t>
      </w:r>
      <w:r>
        <w:tab/>
        <w:t>Estatuto de Autonomía de La Rioja</w:t>
      </w:r>
    </w:p>
    <w:p w:rsidR="00231B75" w:rsidRDefault="00231B75" w:rsidP="00231B75">
      <w:pPr>
        <w:pStyle w:val="TextoAbreviaturas"/>
      </w:pPr>
      <w:r>
        <w:t>ESO</w:t>
      </w:r>
      <w:r>
        <w:tab/>
        <w:t>Enseñanza Secundaria Obligatoria</w:t>
      </w:r>
    </w:p>
    <w:p w:rsidR="00231B75" w:rsidRDefault="00231B75" w:rsidP="00231B75">
      <w:pPr>
        <w:pStyle w:val="TextoAbreviaturas"/>
      </w:pPr>
      <w:r>
        <w:t>ETA</w:t>
      </w:r>
      <w:r>
        <w:tab/>
        <w:t>Euskadi Ta Askatasuna</w:t>
      </w:r>
    </w:p>
    <w:p w:rsidR="00231B75" w:rsidRDefault="00231B75" w:rsidP="00231B75">
      <w:pPr>
        <w:pStyle w:val="TextoAbreviaturas"/>
      </w:pPr>
      <w:r>
        <w:t>FJ</w:t>
      </w:r>
      <w:r>
        <w:tab/>
        <w:t>Fundamento jurídico</w:t>
      </w:r>
    </w:p>
    <w:p w:rsidR="00231B75" w:rsidRDefault="00231B75" w:rsidP="00231B75">
      <w:pPr>
        <w:pStyle w:val="TextoAbreviaturas"/>
      </w:pPr>
      <w:r>
        <w:t>FFJJ</w:t>
      </w:r>
      <w:r>
        <w:tab/>
        <w:t>Fundamentos jurídicos</w:t>
      </w:r>
    </w:p>
    <w:p w:rsidR="00231B75" w:rsidRDefault="00231B75" w:rsidP="00231B75">
      <w:pPr>
        <w:pStyle w:val="TextoAbreviaturas"/>
      </w:pPr>
      <w:r>
        <w:lastRenderedPageBreak/>
        <w:t>FOGASA</w:t>
      </w:r>
      <w:r>
        <w:tab/>
        <w:t>Fondo de Garantía Salarial</w:t>
      </w:r>
    </w:p>
    <w:p w:rsidR="00231B75" w:rsidRDefault="00231B75" w:rsidP="00231B75">
      <w:pPr>
        <w:pStyle w:val="TextoAbreviaturas"/>
      </w:pPr>
      <w:r>
        <w:t>FORCEM</w:t>
      </w:r>
      <w:r>
        <w:tab/>
        <w:t>Fundación tripartita para la formación en el empleo</w:t>
      </w:r>
    </w:p>
    <w:p w:rsidR="00231B75" w:rsidRDefault="00231B75" w:rsidP="00231B75">
      <w:pPr>
        <w:pStyle w:val="TextoAbreviaturas"/>
      </w:pPr>
      <w:r>
        <w:t>IAE</w:t>
      </w:r>
      <w:r>
        <w:tab/>
        <w:t>Impuesto sobre actividades económicas</w:t>
      </w:r>
    </w:p>
    <w:p w:rsidR="00231B75" w:rsidRDefault="00231B75" w:rsidP="00231B75">
      <w:pPr>
        <w:pStyle w:val="TextoAbreviaturas"/>
      </w:pPr>
      <w:r>
        <w:t>IASS</w:t>
      </w:r>
      <w:r>
        <w:tab/>
        <w:t>Instituto Andaluz de Servicios Sociales</w:t>
      </w:r>
    </w:p>
    <w:p w:rsidR="00231B75" w:rsidRDefault="00231B75" w:rsidP="00231B75">
      <w:pPr>
        <w:pStyle w:val="TextoAbreviaturas"/>
      </w:pPr>
      <w:r>
        <w:t>IBI</w:t>
      </w:r>
      <w:r>
        <w:tab/>
        <w:t>Impuesto sobre bienes inmuebles</w:t>
      </w:r>
    </w:p>
    <w:p w:rsidR="00231B75" w:rsidRDefault="00231B75" w:rsidP="00231B75">
      <w:pPr>
        <w:pStyle w:val="TextoAbreviaturas"/>
      </w:pPr>
      <w:r>
        <w:t>IDEA</w:t>
      </w:r>
      <w:r>
        <w:tab/>
        <w:t>Instituto para la Diversificación y Ahorro de la Energía</w:t>
      </w:r>
    </w:p>
    <w:p w:rsidR="00231B75" w:rsidRDefault="00231B75" w:rsidP="00231B75">
      <w:pPr>
        <w:pStyle w:val="TextoAbreviaturas"/>
      </w:pPr>
      <w:r>
        <w:t>IMAC</w:t>
      </w:r>
      <w:r>
        <w:tab/>
        <w:t>Instituto de Mediación, Arbitraje y Conciliación</w:t>
      </w:r>
    </w:p>
    <w:p w:rsidR="00231B75" w:rsidRDefault="00231B75" w:rsidP="00231B75">
      <w:pPr>
        <w:pStyle w:val="TextoAbreviaturas"/>
      </w:pPr>
      <w:r>
        <w:t>INEM</w:t>
      </w:r>
      <w:r>
        <w:tab/>
        <w:t>Instituto Nacional de Empleo</w:t>
      </w:r>
    </w:p>
    <w:p w:rsidR="00231B75" w:rsidRDefault="00231B75" w:rsidP="00231B75">
      <w:pPr>
        <w:pStyle w:val="TextoAbreviaturas"/>
      </w:pPr>
      <w:r>
        <w:t>INSALUD</w:t>
      </w:r>
      <w:r>
        <w:tab/>
        <w:t>Instituto Nacional de la Salud</w:t>
      </w:r>
    </w:p>
    <w:p w:rsidR="00231B75" w:rsidRDefault="00231B75" w:rsidP="00231B75">
      <w:pPr>
        <w:pStyle w:val="TextoAbreviaturas"/>
      </w:pPr>
      <w:r>
        <w:t>INSS</w:t>
      </w:r>
      <w:r>
        <w:tab/>
        <w:t>Instituto Nacional de la Seguridad Social</w:t>
      </w:r>
    </w:p>
    <w:p w:rsidR="00231B75" w:rsidRDefault="00231B75" w:rsidP="00231B75">
      <w:pPr>
        <w:pStyle w:val="TextoAbreviaturas"/>
      </w:pPr>
      <w:r>
        <w:t>IPC</w:t>
      </w:r>
      <w:r>
        <w:tab/>
        <w:t>Índice de precios al consumo</w:t>
      </w:r>
    </w:p>
    <w:p w:rsidR="00231B75" w:rsidRDefault="00231B75" w:rsidP="00231B75">
      <w:pPr>
        <w:pStyle w:val="TextoAbreviaturas"/>
      </w:pPr>
      <w:r>
        <w:t>IRPF</w:t>
      </w:r>
      <w:r>
        <w:tab/>
        <w:t>Impuesto sobre la renta de las personas físicas</w:t>
      </w:r>
    </w:p>
    <w:p w:rsidR="00231B75" w:rsidRDefault="00231B75" w:rsidP="00231B75">
      <w:pPr>
        <w:pStyle w:val="TextoAbreviaturas"/>
      </w:pPr>
      <w:r>
        <w:t>IRYDA</w:t>
      </w:r>
      <w:r>
        <w:tab/>
        <w:t>Instituto para la reforma y desarrollo agrario</w:t>
      </w:r>
    </w:p>
    <w:p w:rsidR="00231B75" w:rsidRDefault="00231B75" w:rsidP="00231B75">
      <w:pPr>
        <w:pStyle w:val="TextoAbreviaturas"/>
      </w:pPr>
      <w:r>
        <w:t>IVA</w:t>
      </w:r>
      <w:r>
        <w:tab/>
        <w:t>Impuesto sobre el valor añadido</w:t>
      </w:r>
    </w:p>
    <w:p w:rsidR="00231B75" w:rsidRDefault="00231B75" w:rsidP="00231B75">
      <w:pPr>
        <w:pStyle w:val="TextoAbreviaturas"/>
      </w:pPr>
      <w:r>
        <w:t>LAJG</w:t>
      </w:r>
      <w:r>
        <w:tab/>
        <w:t>Ley de asistencia jurídica gratuita</w:t>
      </w:r>
    </w:p>
    <w:p w:rsidR="00231B75" w:rsidRDefault="00231B75" w:rsidP="00231B75">
      <w:pPr>
        <w:pStyle w:val="TextoAbreviaturas"/>
      </w:pPr>
      <w:r>
        <w:t>LBE</w:t>
      </w:r>
      <w:r>
        <w:tab/>
        <w:t>Ley básica de empleo</w:t>
      </w:r>
    </w:p>
    <w:p w:rsidR="00231B75" w:rsidRDefault="00231B75" w:rsidP="00231B75">
      <w:pPr>
        <w:pStyle w:val="TextoAbreviaturas"/>
      </w:pPr>
      <w:r>
        <w:t>LBRL</w:t>
      </w:r>
      <w:r>
        <w:tab/>
        <w:t>Ley reguladora de las bases de régimen local</w:t>
      </w:r>
    </w:p>
    <w:p w:rsidR="00231B75" w:rsidRDefault="00231B75" w:rsidP="00231B75">
      <w:pPr>
        <w:pStyle w:val="TextoAbreviaturas"/>
      </w:pPr>
      <w:r>
        <w:t>LCD</w:t>
      </w:r>
      <w:r>
        <w:tab/>
        <w:t>Ley de competencia desleal</w:t>
      </w:r>
    </w:p>
    <w:p w:rsidR="00231B75" w:rsidRDefault="00231B75" w:rsidP="00231B75">
      <w:pPr>
        <w:pStyle w:val="TextoAbreviaturas"/>
      </w:pPr>
      <w:r>
        <w:t>LCEN</w:t>
      </w:r>
      <w:r>
        <w:tab/>
        <w:t>Ley de conservación de los espacios naturales y de la flora y fauna silvestres</w:t>
      </w:r>
    </w:p>
    <w:p w:rsidR="00231B75" w:rsidRDefault="00231B75" w:rsidP="00231B75">
      <w:pPr>
        <w:pStyle w:val="TextoAbreviaturas"/>
      </w:pPr>
      <w:r>
        <w:t>LCS</w:t>
      </w:r>
      <w:r>
        <w:tab/>
        <w:t>Ley de contrato de seguro</w:t>
      </w:r>
    </w:p>
    <w:p w:rsidR="00231B75" w:rsidRDefault="00231B75" w:rsidP="00231B75">
      <w:pPr>
        <w:pStyle w:val="TextoAbreviaturas"/>
      </w:pPr>
      <w:r>
        <w:t>LDA</w:t>
      </w:r>
      <w:r>
        <w:tab/>
        <w:t>Ley reguladora del derecho de asilo</w:t>
      </w:r>
    </w:p>
    <w:p w:rsidR="00231B75" w:rsidRDefault="00231B75" w:rsidP="00231B75">
      <w:pPr>
        <w:pStyle w:val="TextoAbreviaturas"/>
      </w:pPr>
      <w:r>
        <w:t>LEC</w:t>
      </w:r>
      <w:r>
        <w:tab/>
        <w:t>Ley de enjuiciamiento civil</w:t>
      </w:r>
    </w:p>
    <w:p w:rsidR="00231B75" w:rsidRDefault="00231B75" w:rsidP="00231B75">
      <w:pPr>
        <w:pStyle w:val="TextoAbreviaturas"/>
      </w:pPr>
      <w:r>
        <w:t>LECrim</w:t>
      </w:r>
      <w:r>
        <w:tab/>
        <w:t>Ley de enjuiciamiento criminal</w:t>
      </w:r>
    </w:p>
    <w:p w:rsidR="00231B75" w:rsidRDefault="00231B75" w:rsidP="00231B75">
      <w:pPr>
        <w:pStyle w:val="TextoAbreviaturas"/>
      </w:pPr>
      <w:r>
        <w:t>LET</w:t>
      </w:r>
      <w:r>
        <w:tab/>
        <w:t>Ley del estatuto de los trabajadores</w:t>
      </w:r>
    </w:p>
    <w:p w:rsidR="00231B75" w:rsidRDefault="00231B75" w:rsidP="00231B75">
      <w:pPr>
        <w:pStyle w:val="TextoAbreviaturas"/>
      </w:pPr>
      <w:r>
        <w:t>LFCE</w:t>
      </w:r>
      <w:r>
        <w:tab/>
        <w:t>Ley de funcionarios civiles del Estado</w:t>
      </w:r>
    </w:p>
    <w:p w:rsidR="00231B75" w:rsidRDefault="00231B75" w:rsidP="00231B75">
      <w:pPr>
        <w:pStyle w:val="TextoAbreviaturas"/>
      </w:pPr>
      <w:r>
        <w:t>LGSS</w:t>
      </w:r>
      <w:r>
        <w:tab/>
        <w:t>Ley general de la Seguridad Social</w:t>
      </w:r>
    </w:p>
    <w:p w:rsidR="00231B75" w:rsidRDefault="00231B75" w:rsidP="00231B75">
      <w:pPr>
        <w:pStyle w:val="TextoAbreviaturas"/>
      </w:pPr>
      <w:r>
        <w:t>LGT</w:t>
      </w:r>
      <w:r>
        <w:tab/>
        <w:t>Ley general tributaria</w:t>
      </w:r>
    </w:p>
    <w:p w:rsidR="00231B75" w:rsidRDefault="00231B75" w:rsidP="00231B75">
      <w:pPr>
        <w:pStyle w:val="TextoAbreviaturas"/>
      </w:pPr>
      <w:r>
        <w:t>LH</w:t>
      </w:r>
      <w:r>
        <w:tab/>
        <w:t>Ley hipotecaria</w:t>
      </w:r>
    </w:p>
    <w:p w:rsidR="00231B75" w:rsidRDefault="00231B75" w:rsidP="00231B75">
      <w:pPr>
        <w:pStyle w:val="TextoAbreviaturas"/>
      </w:pPr>
      <w:r>
        <w:t>LHL</w:t>
      </w:r>
      <w:r>
        <w:tab/>
        <w:t>Ley reguladora de haciendas locales</w:t>
      </w:r>
    </w:p>
    <w:p w:rsidR="00231B75" w:rsidRDefault="00231B75" w:rsidP="00231B75">
      <w:pPr>
        <w:pStyle w:val="TextoAbreviaturas"/>
      </w:pPr>
      <w:r>
        <w:t>LIPAP</w:t>
      </w:r>
      <w:r>
        <w:tab/>
        <w:t>Ley de incompatibilidades del personal al servicio de las Administraciones públicas</w:t>
      </w:r>
    </w:p>
    <w:p w:rsidR="00231B75" w:rsidRDefault="00231B75" w:rsidP="00231B75">
      <w:pPr>
        <w:pStyle w:val="TextoAbreviaturas"/>
      </w:pPr>
      <w:r>
        <w:t>LIRPF</w:t>
      </w:r>
      <w:r>
        <w:tab/>
        <w:t>Ley del impuesto sobre la renta de las personas físicas</w:t>
      </w:r>
    </w:p>
    <w:p w:rsidR="00231B75" w:rsidRDefault="00231B75" w:rsidP="00231B75">
      <w:pPr>
        <w:pStyle w:val="TextoAbreviaturas"/>
      </w:pPr>
      <w:r>
        <w:t>LJCA</w:t>
      </w:r>
      <w:r>
        <w:tab/>
        <w:t>Ley reguladora de la jurisdicción contencioso-administrativa</w:t>
      </w:r>
    </w:p>
    <w:p w:rsidR="00231B75" w:rsidRDefault="00231B75" w:rsidP="00231B75">
      <w:pPr>
        <w:pStyle w:val="TextoAbreviaturas"/>
      </w:pPr>
      <w:r>
        <w:t>LOFCA</w:t>
      </w:r>
      <w:r>
        <w:tab/>
        <w:t>Ley Orgánica de financiación de las Comunidades Autónomas</w:t>
      </w:r>
    </w:p>
    <w:p w:rsidR="00231B75" w:rsidRDefault="00231B75" w:rsidP="00231B75">
      <w:pPr>
        <w:pStyle w:val="TextoAbreviaturas"/>
      </w:pPr>
      <w:r>
        <w:t>LOGSE</w:t>
      </w:r>
      <w:r>
        <w:tab/>
        <w:t>Ley Orgánica de ordenación general del sistema educativo</w:t>
      </w:r>
    </w:p>
    <w:p w:rsidR="00231B75" w:rsidRDefault="00231B75" w:rsidP="00231B75">
      <w:pPr>
        <w:pStyle w:val="TextoAbreviaturas"/>
      </w:pPr>
      <w:r>
        <w:t>LOJM</w:t>
      </w:r>
      <w:r>
        <w:tab/>
        <w:t>Ley Orgánica reguladora de la competencia y el procedimiento de los Juzgados de Menores</w:t>
      </w:r>
    </w:p>
    <w:p w:rsidR="00231B75" w:rsidRDefault="00231B75" w:rsidP="00231B75">
      <w:pPr>
        <w:pStyle w:val="TextoAbreviaturas"/>
      </w:pPr>
      <w:r>
        <w:t>LOLS</w:t>
      </w:r>
      <w:r>
        <w:tab/>
        <w:t>Ley Orgánica de libertad sindical</w:t>
      </w:r>
    </w:p>
    <w:p w:rsidR="00231B75" w:rsidRDefault="00231B75" w:rsidP="00231B75">
      <w:pPr>
        <w:pStyle w:val="TextoAbreviaturas"/>
      </w:pPr>
      <w:r>
        <w:t>LOPJ</w:t>
      </w:r>
      <w:r>
        <w:tab/>
        <w:t>Ley Orgánica del Poder Judicial</w:t>
      </w:r>
    </w:p>
    <w:p w:rsidR="00231B75" w:rsidRDefault="00231B75" w:rsidP="00231B75">
      <w:pPr>
        <w:pStyle w:val="TextoAbreviaturas"/>
      </w:pPr>
      <w:r>
        <w:t>LOPM</w:t>
      </w:r>
      <w:r>
        <w:tab/>
        <w:t>Ley Orgánica procesal militar</w:t>
      </w:r>
    </w:p>
    <w:p w:rsidR="00231B75" w:rsidRDefault="00231B75" w:rsidP="00231B75">
      <w:pPr>
        <w:pStyle w:val="TextoAbreviaturas"/>
      </w:pPr>
      <w:r>
        <w:t>LORAFNA</w:t>
      </w:r>
      <w:r>
        <w:tab/>
        <w:t>Ley Orgánica de reintegración y amejoramiento del régimen foral de Navarra</w:t>
      </w:r>
    </w:p>
    <w:p w:rsidR="00231B75" w:rsidRDefault="00231B75" w:rsidP="00231B75">
      <w:pPr>
        <w:pStyle w:val="TextoAbreviaturas"/>
      </w:pPr>
      <w:r>
        <w:t>LOREG</w:t>
      </w:r>
      <w:r>
        <w:tab/>
        <w:t>Ley Orgánica del régimen electoral general</w:t>
      </w:r>
    </w:p>
    <w:p w:rsidR="00231B75" w:rsidRDefault="00231B75" w:rsidP="00231B75">
      <w:pPr>
        <w:pStyle w:val="TextoAbreviaturas"/>
      </w:pPr>
      <w:r>
        <w:t>LOTC</w:t>
      </w:r>
      <w:r>
        <w:tab/>
        <w:t>Ley Orgánica del Tribunal Constitucional</w:t>
      </w:r>
    </w:p>
    <w:p w:rsidR="00231B75" w:rsidRDefault="00231B75" w:rsidP="00231B75">
      <w:pPr>
        <w:pStyle w:val="TextoAbreviaturas"/>
      </w:pPr>
      <w:r>
        <w:t>LPC</w:t>
      </w:r>
      <w:r>
        <w:tab/>
        <w:t>Ley de régimen jurídico de las Administraciones públicas y del procedimiento administrativo común</w:t>
      </w:r>
    </w:p>
    <w:p w:rsidR="00231B75" w:rsidRDefault="00231B75" w:rsidP="00231B75">
      <w:pPr>
        <w:pStyle w:val="TextoAbreviaturas"/>
      </w:pPr>
      <w:r>
        <w:t>LPL</w:t>
      </w:r>
      <w:r>
        <w:tab/>
        <w:t>Ley de procedimiento laboral</w:t>
      </w:r>
    </w:p>
    <w:p w:rsidR="00231B75" w:rsidRDefault="00231B75" w:rsidP="00231B75">
      <w:pPr>
        <w:pStyle w:val="TextoAbreviaturas"/>
      </w:pPr>
      <w:r>
        <w:lastRenderedPageBreak/>
        <w:t>LRC</w:t>
      </w:r>
      <w:r>
        <w:tab/>
        <w:t>Ley sobre responsabilidad civil y seguro en la circulación de vehículos a motor (Decreto 632/1968, de 21 de marzo, redactado por la Ley 30/1995, de 8 de noviembre)</w:t>
      </w:r>
    </w:p>
    <w:p w:rsidR="00231B75" w:rsidRDefault="00231B75" w:rsidP="00231B75">
      <w:pPr>
        <w:pStyle w:val="TextoAbreviaturas"/>
      </w:pPr>
      <w:r>
        <w:t>LRL</w:t>
      </w:r>
      <w:r>
        <w:tab/>
        <w:t>Ley de régimen local (Ley de 1955; texto refundido de 1986)</w:t>
      </w:r>
    </w:p>
    <w:p w:rsidR="00231B75" w:rsidRDefault="00231B75" w:rsidP="00231B75">
      <w:pPr>
        <w:pStyle w:val="TextoAbreviaturas"/>
      </w:pPr>
      <w:r>
        <w:t>LRSV</w:t>
      </w:r>
      <w:r>
        <w:tab/>
        <w:t>Ley de las Cortes Generales 6/1998, de 13 de abril, sobre régimen del suelo y valoraciones</w:t>
      </w:r>
    </w:p>
    <w:p w:rsidR="00231B75" w:rsidRDefault="00231B75" w:rsidP="00231B75">
      <w:pPr>
        <w:pStyle w:val="TextoAbreviaturas"/>
      </w:pPr>
      <w:r>
        <w:t>LS</w:t>
      </w:r>
      <w:r>
        <w:tab/>
        <w:t>Ley sobre régimen del suelo y ordenación urbana</w:t>
      </w:r>
    </w:p>
    <w:p w:rsidR="00231B75" w:rsidRDefault="00231B75" w:rsidP="00231B75">
      <w:pPr>
        <w:pStyle w:val="TextoAbreviaturas"/>
      </w:pPr>
      <w:r>
        <w:t>OIT</w:t>
      </w:r>
      <w:r>
        <w:tab/>
        <w:t>Organización Internacional del Trabajo</w:t>
      </w:r>
    </w:p>
    <w:p w:rsidR="00231B75" w:rsidRDefault="00231B75" w:rsidP="00231B75">
      <w:pPr>
        <w:pStyle w:val="TextoAbreviaturas"/>
      </w:pPr>
      <w:r>
        <w:t>PBEN</w:t>
      </w:r>
      <w:r>
        <w:tab/>
        <w:t>Plan básico de emergencia nuclear</w:t>
      </w:r>
    </w:p>
    <w:p w:rsidR="00231B75" w:rsidRDefault="00231B75" w:rsidP="00231B75">
      <w:pPr>
        <w:pStyle w:val="TextoAbreviaturas"/>
      </w:pPr>
      <w:r>
        <w:t>PENTA</w:t>
      </w:r>
      <w:r>
        <w:tab/>
        <w:t>Plan de emergencia nuclear de la zona de Tarragona</w:t>
      </w:r>
    </w:p>
    <w:p w:rsidR="00231B75" w:rsidRDefault="00231B75" w:rsidP="00231B75">
      <w:pPr>
        <w:pStyle w:val="TextoAbreviaturas"/>
      </w:pPr>
      <w:r>
        <w:t>PIDCP</w:t>
      </w:r>
      <w:r>
        <w:tab/>
        <w:t>Pacto internacional de derechos civiles y políticos</w:t>
      </w:r>
    </w:p>
    <w:p w:rsidR="00231B75" w:rsidRDefault="00231B75" w:rsidP="00231B75">
      <w:pPr>
        <w:pStyle w:val="TextoAbreviaturas"/>
      </w:pPr>
      <w:r>
        <w:t>PIDESC</w:t>
      </w:r>
      <w:r>
        <w:tab/>
        <w:t>Pacto internacional de derechos económicos, sociales y culturales</w:t>
      </w:r>
    </w:p>
    <w:p w:rsidR="00231B75" w:rsidRDefault="00231B75" w:rsidP="00231B75">
      <w:pPr>
        <w:pStyle w:val="TextoAbreviaturas"/>
      </w:pPr>
      <w:r>
        <w:t>PORN</w:t>
      </w:r>
      <w:r>
        <w:tab/>
        <w:t>Plan de ordenación de los recursos naturales</w:t>
      </w:r>
    </w:p>
    <w:p w:rsidR="00231B75" w:rsidRDefault="00231B75" w:rsidP="00231B75">
      <w:pPr>
        <w:pStyle w:val="TextoAbreviaturas"/>
      </w:pPr>
      <w:r>
        <w:t>PP</w:t>
      </w:r>
      <w:r>
        <w:tab/>
        <w:t>Partido Popular</w:t>
      </w:r>
    </w:p>
    <w:p w:rsidR="00231B75" w:rsidRDefault="00231B75" w:rsidP="00231B75">
      <w:pPr>
        <w:pStyle w:val="TextoAbreviaturas"/>
      </w:pPr>
      <w:r>
        <w:t>PSOE</w:t>
      </w:r>
      <w:r>
        <w:tab/>
        <w:t>Partido Socialista Obrero Español</w:t>
      </w:r>
    </w:p>
    <w:p w:rsidR="00231B75" w:rsidRDefault="00231B75" w:rsidP="00231B75">
      <w:pPr>
        <w:pStyle w:val="TextoAbreviaturas"/>
      </w:pPr>
      <w:r>
        <w:t>RCD</w:t>
      </w:r>
      <w:r>
        <w:tab/>
        <w:t>Reglamento del Congreso de los Diputados</w:t>
      </w:r>
    </w:p>
    <w:p w:rsidR="00231B75" w:rsidRDefault="00231B75" w:rsidP="00231B75">
      <w:pPr>
        <w:pStyle w:val="TextoAbreviaturas"/>
      </w:pPr>
      <w:r>
        <w:t>RH</w:t>
      </w:r>
      <w:r>
        <w:tab/>
        <w:t>Reglamento hipotecario</w:t>
      </w:r>
    </w:p>
    <w:p w:rsidR="00231B75" w:rsidRDefault="00231B75" w:rsidP="00231B75">
      <w:pPr>
        <w:pStyle w:val="TextoAbreviaturas"/>
      </w:pPr>
      <w:r>
        <w:t>RP</w:t>
      </w:r>
      <w:r>
        <w:tab/>
        <w:t>Reglamento penitenciario</w:t>
      </w:r>
    </w:p>
    <w:p w:rsidR="00231B75" w:rsidRDefault="00231B75" w:rsidP="00231B75">
      <w:pPr>
        <w:pStyle w:val="TextoAbreviaturas"/>
      </w:pPr>
      <w:r>
        <w:t>RPT</w:t>
      </w:r>
      <w:r>
        <w:tab/>
        <w:t>Relación de puestos de trabajo</w:t>
      </w:r>
    </w:p>
    <w:p w:rsidR="00231B75" w:rsidRDefault="00231B75" w:rsidP="00231B75">
      <w:pPr>
        <w:pStyle w:val="TextoAbreviaturas"/>
      </w:pPr>
      <w:r>
        <w:t>RS</w:t>
      </w:r>
      <w:r>
        <w:tab/>
        <w:t>Reglamento del Senado</w:t>
      </w:r>
    </w:p>
    <w:p w:rsidR="00231B75" w:rsidRDefault="00231B75" w:rsidP="00231B75">
      <w:pPr>
        <w:pStyle w:val="TextoAbreviaturas"/>
      </w:pPr>
      <w:r>
        <w:t>SALEM</w:t>
      </w:r>
      <w:r>
        <w:tab/>
        <w:t>Sala de Emergencias del Consejo de Seguridad Nuclear</w:t>
      </w:r>
    </w:p>
    <w:p w:rsidR="00231B75" w:rsidRDefault="00231B75" w:rsidP="00231B75">
      <w:pPr>
        <w:pStyle w:val="TextoAbreviaturas"/>
      </w:pPr>
      <w:r>
        <w:t>SOVI</w:t>
      </w:r>
      <w:r>
        <w:tab/>
        <w:t>Seguro obligatorio de vejez e invalidez</w:t>
      </w:r>
    </w:p>
    <w:p w:rsidR="00231B75" w:rsidRDefault="00231B75" w:rsidP="00231B75">
      <w:pPr>
        <w:pStyle w:val="TextoAbreviaturas"/>
      </w:pPr>
      <w:r>
        <w:t>STC</w:t>
      </w:r>
      <w:r>
        <w:tab/>
        <w:t>Sentencia del Tribunal Constitucional</w:t>
      </w:r>
    </w:p>
    <w:p w:rsidR="00231B75" w:rsidRDefault="00231B75" w:rsidP="00231B75">
      <w:pPr>
        <w:pStyle w:val="TextoAbreviaturas"/>
      </w:pPr>
      <w:r>
        <w:t>SSTC</w:t>
      </w:r>
      <w:r>
        <w:tab/>
        <w:t>Sentencias del Tribunal Constitucional</w:t>
      </w:r>
    </w:p>
    <w:p w:rsidR="00231B75" w:rsidRDefault="00231B75" w:rsidP="00231B75">
      <w:pPr>
        <w:pStyle w:val="TextoAbreviaturas"/>
      </w:pPr>
      <w:r>
        <w:t>STEDH</w:t>
      </w:r>
      <w:r>
        <w:tab/>
        <w:t>Sentencia del Tribunal Europeo de Derechos Humanos</w:t>
      </w:r>
    </w:p>
    <w:p w:rsidR="00231B75" w:rsidRDefault="00231B75" w:rsidP="00231B75">
      <w:pPr>
        <w:pStyle w:val="TextoAbreviaturas"/>
      </w:pPr>
      <w:r>
        <w:t>SSTEDH</w:t>
      </w:r>
      <w:r>
        <w:tab/>
        <w:t>Sentencias del Tribunal Europeo de Derechos Humanos</w:t>
      </w:r>
    </w:p>
    <w:p w:rsidR="00231B75" w:rsidRDefault="00231B75" w:rsidP="00231B75">
      <w:pPr>
        <w:pStyle w:val="TextoAbreviaturas"/>
      </w:pPr>
      <w:r>
        <w:t>STJCE</w:t>
      </w:r>
      <w:r>
        <w:tab/>
        <w:t>Sentencia del Tribunal de Justicia de las Comunidades Europeas</w:t>
      </w:r>
    </w:p>
    <w:p w:rsidR="00231B75" w:rsidRDefault="00231B75" w:rsidP="00231B75">
      <w:pPr>
        <w:pStyle w:val="TextoAbreviaturas"/>
      </w:pPr>
      <w:r>
        <w:t>STS</w:t>
      </w:r>
      <w:r>
        <w:tab/>
        <w:t>Sentencia del Tribunal Supremo</w:t>
      </w:r>
    </w:p>
    <w:p w:rsidR="00231B75" w:rsidRDefault="00231B75" w:rsidP="00231B75">
      <w:pPr>
        <w:pStyle w:val="TextoAbreviaturas"/>
      </w:pPr>
      <w:r>
        <w:t>SSTS</w:t>
      </w:r>
      <w:r>
        <w:tab/>
        <w:t>Sentencias del Tribunal Supremo</w:t>
      </w:r>
    </w:p>
    <w:p w:rsidR="00231B75" w:rsidRDefault="00231B75" w:rsidP="00231B75">
      <w:pPr>
        <w:pStyle w:val="TextoAbreviaturas"/>
      </w:pPr>
      <w:r>
        <w:t>TCE</w:t>
      </w:r>
      <w:r>
        <w:tab/>
        <w:t>Tratado constitutivo de la Comunidad Europea</w:t>
      </w:r>
    </w:p>
    <w:p w:rsidR="00231B75" w:rsidRDefault="00231B75" w:rsidP="00231B75">
      <w:pPr>
        <w:pStyle w:val="TextoAbreviaturas"/>
      </w:pPr>
      <w:r>
        <w:t>TGSS</w:t>
      </w:r>
      <w:r>
        <w:tab/>
        <w:t>Tesorería General de la Seguridad Social</w:t>
      </w:r>
    </w:p>
    <w:p w:rsidR="00231B75" w:rsidRDefault="00231B75" w:rsidP="00231B75">
      <w:pPr>
        <w:pStyle w:val="TextoAbreviaturas"/>
      </w:pPr>
      <w:r>
        <w:t>UE</w:t>
      </w:r>
      <w:r>
        <w:tab/>
        <w:t>Unión Europea</w:t>
      </w:r>
    </w:p>
    <w:p w:rsidR="00231B75" w:rsidRDefault="00231B75" w:rsidP="00231B75">
      <w:pPr>
        <w:pStyle w:val="TextoAbreviaturas"/>
      </w:pPr>
      <w:r>
        <w:t>UGT</w:t>
      </w:r>
      <w:r>
        <w:tab/>
        <w:t>Unión General de Trabajadores</w:t>
      </w:r>
    </w:p>
    <w:p w:rsidR="00231B75" w:rsidRDefault="00231B75" w:rsidP="00231B75">
      <w:pPr>
        <w:pStyle w:val="TextoAbreviaturas"/>
      </w:pPr>
      <w:r>
        <w:t>URE</w:t>
      </w:r>
      <w:r>
        <w:tab/>
        <w:t>Unidad de recaudación ejecutiva</w:t>
      </w:r>
    </w:p>
    <w:p w:rsidR="00231B75" w:rsidRDefault="00231B75" w:rsidP="00231B75">
      <w:pPr>
        <w:pStyle w:val="TextoAbreviaturas"/>
      </w:pPr>
      <w:r>
        <w:t>USTEA</w:t>
      </w:r>
      <w:r>
        <w:tab/>
        <w:t>Unión de Sindicatos de trabajadores y trabajadoras de Andalucía</w:t>
      </w:r>
    </w:p>
    <w:p w:rsidR="00231B75" w:rsidRDefault="00231B75" w:rsidP="00231B75">
      <w:pPr>
        <w:pStyle w:val="TextoAbreviaturas"/>
      </w:pPr>
    </w:p>
    <w:sectPr w:rsidR="00231B75" w:rsidSect="00795BA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AEB" w:rsidRDefault="00D83AEB" w:rsidP="0025129F">
      <w:pPr>
        <w:spacing w:after="0" w:line="240" w:lineRule="auto"/>
      </w:pPr>
      <w:r>
        <w:separator/>
      </w:r>
    </w:p>
  </w:endnote>
  <w:endnote w:type="continuationSeparator" w:id="0">
    <w:p w:rsidR="00D83AEB" w:rsidRDefault="00D83AEB" w:rsidP="00251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EB" w:rsidRDefault="00D83AEB" w:rsidP="00795BA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7DF5">
      <w:rPr>
        <w:rStyle w:val="Nmerodepgina"/>
        <w:noProof/>
      </w:rPr>
      <w:t>1857</w:t>
    </w:r>
    <w:r>
      <w:rPr>
        <w:rStyle w:val="Nmerodepgina"/>
      </w:rPr>
      <w:fldChar w:fldCharType="end"/>
    </w:r>
  </w:p>
  <w:p w:rsidR="00D83AEB" w:rsidRDefault="00D83AEB" w:rsidP="00795BA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EB" w:rsidRDefault="00D83AEB" w:rsidP="00795BA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7DF5">
      <w:rPr>
        <w:rStyle w:val="Nmerodepgina"/>
        <w:noProof/>
      </w:rPr>
      <w:t>1859</w:t>
    </w:r>
    <w:r>
      <w:rPr>
        <w:rStyle w:val="Nmerodepgina"/>
      </w:rPr>
      <w:fldChar w:fldCharType="end"/>
    </w:r>
  </w:p>
  <w:p w:rsidR="00D83AEB" w:rsidRDefault="00D83AEB" w:rsidP="00795BA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EB" w:rsidRDefault="00D83A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AEB" w:rsidRDefault="00D83AEB" w:rsidP="0025129F">
      <w:pPr>
        <w:spacing w:after="0" w:line="240" w:lineRule="auto"/>
      </w:pPr>
      <w:r>
        <w:separator/>
      </w:r>
    </w:p>
  </w:footnote>
  <w:footnote w:type="continuationSeparator" w:id="0">
    <w:p w:rsidR="00D83AEB" w:rsidRDefault="00D83AEB" w:rsidP="00251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EB" w:rsidRDefault="00D83AE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EB" w:rsidRDefault="00D83AEB" w:rsidP="00795BAF">
    <w:pPr>
      <w:pStyle w:val="Cabecera"/>
    </w:pPr>
    <w:r>
      <w:t>JURISPRUDENCIA CONSTITUCIONAL - Tomo: enero a abril 2002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EB" w:rsidRDefault="00D83A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C83"/>
    <w:rsid w:val="0009550B"/>
    <w:rsid w:val="000B622C"/>
    <w:rsid w:val="000C3DF9"/>
    <w:rsid w:val="000C58C0"/>
    <w:rsid w:val="000F56B7"/>
    <w:rsid w:val="001C09AE"/>
    <w:rsid w:val="00225B2B"/>
    <w:rsid w:val="00231B75"/>
    <w:rsid w:val="00234C06"/>
    <w:rsid w:val="0025129F"/>
    <w:rsid w:val="002F78F5"/>
    <w:rsid w:val="003A406C"/>
    <w:rsid w:val="003B5FAF"/>
    <w:rsid w:val="005934C0"/>
    <w:rsid w:val="005B36A2"/>
    <w:rsid w:val="00627746"/>
    <w:rsid w:val="0065158D"/>
    <w:rsid w:val="007132CA"/>
    <w:rsid w:val="00735DBB"/>
    <w:rsid w:val="00795BAF"/>
    <w:rsid w:val="007F4918"/>
    <w:rsid w:val="00883DC2"/>
    <w:rsid w:val="0092328B"/>
    <w:rsid w:val="009F4496"/>
    <w:rsid w:val="00A4474A"/>
    <w:rsid w:val="00B10B99"/>
    <w:rsid w:val="00B20160"/>
    <w:rsid w:val="00BB03C1"/>
    <w:rsid w:val="00BD5C83"/>
    <w:rsid w:val="00C7511F"/>
    <w:rsid w:val="00CB7E02"/>
    <w:rsid w:val="00CD5468"/>
    <w:rsid w:val="00CE7C5E"/>
    <w:rsid w:val="00CE7DF5"/>
    <w:rsid w:val="00D83AEB"/>
    <w:rsid w:val="00E95B71"/>
    <w:rsid w:val="00EB49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C61303C-DF4A-41FF-BE4B-2835385E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C83"/>
  </w:style>
  <w:style w:type="paragraph" w:styleId="Ttulo1">
    <w:name w:val="heading 1"/>
    <w:basedOn w:val="Normal"/>
    <w:next w:val="Normal"/>
    <w:link w:val="Ttulo1Car"/>
    <w:uiPriority w:val="9"/>
    <w:rsid w:val="00BD5C83"/>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BD5C83"/>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BD5C83"/>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BD5C83"/>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BD5C83"/>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BD5C83"/>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5C8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BD5C83"/>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BD5C83"/>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BD5C8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D5C8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D5C83"/>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BD5C83"/>
    <w:pPr>
      <w:spacing w:after="0" w:line="240" w:lineRule="auto"/>
    </w:pPr>
  </w:style>
  <w:style w:type="paragraph" w:styleId="Textocomentario">
    <w:name w:val="annotation text"/>
    <w:basedOn w:val="Normal"/>
    <w:link w:val="TextocomentarioCar"/>
    <w:uiPriority w:val="99"/>
    <w:semiHidden/>
    <w:rsid w:val="00BD5C83"/>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D5C83"/>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BD5C83"/>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BD5C83"/>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BD5C83"/>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BD5C83"/>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BD5C83"/>
    <w:rPr>
      <w:rFonts w:ascii="Times New Roman" w:hAnsi="Times New Roman"/>
      <w:i w:val="0"/>
      <w:sz w:val="24"/>
    </w:rPr>
  </w:style>
  <w:style w:type="character" w:customStyle="1" w:styleId="TtuloBOECar">
    <w:name w:val="Título BOE Car"/>
    <w:basedOn w:val="Fuentedeprrafopredeter"/>
    <w:link w:val="TtuloBOE"/>
    <w:rsid w:val="00BD5C83"/>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BD5C83"/>
    <w:rPr>
      <w:rFonts w:ascii="Times New Roman" w:hAnsi="Times New Roman"/>
      <w:i/>
      <w:sz w:val="24"/>
    </w:rPr>
  </w:style>
  <w:style w:type="paragraph" w:customStyle="1" w:styleId="Extracto">
    <w:name w:val="Extracto"/>
    <w:basedOn w:val="Normal"/>
    <w:link w:val="ExtractoCar"/>
    <w:qFormat/>
    <w:rsid w:val="00BD5C83"/>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BD5C83"/>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BD5C83"/>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BD5C83"/>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BD5C83"/>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BD5C83"/>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BD5C83"/>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BD5C83"/>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BD5C83"/>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BD5C83"/>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BD5C83"/>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BD5C83"/>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BD5C83"/>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BD5C83"/>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BD5C83"/>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BD5C83"/>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BD5C83"/>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BD5C83"/>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BD5C83"/>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BD5C83"/>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BD5C83"/>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BD5C83"/>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BD5C83"/>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BD5C83"/>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BD5C83"/>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BD5C83"/>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BD5C83"/>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BD5C83"/>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BD5C83"/>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BD5C83"/>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BD5C83"/>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BD5C83"/>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BD5C83"/>
  </w:style>
  <w:style w:type="paragraph" w:customStyle="1" w:styleId="SntesisAnaltica">
    <w:name w:val="Síntesis Analítica"/>
    <w:basedOn w:val="ParrafoNormal"/>
    <w:link w:val="SntesisAnalticaCar"/>
    <w:qFormat/>
    <w:rsid w:val="00BD5C83"/>
    <w:rPr>
      <w:i/>
    </w:rPr>
  </w:style>
  <w:style w:type="character" w:customStyle="1" w:styleId="ParrafoNormalCar">
    <w:name w:val="Parrafo Normal Car"/>
    <w:basedOn w:val="Fuentedeprrafopredeter"/>
    <w:link w:val="ParrafoNormal"/>
    <w:rsid w:val="00BD5C83"/>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BD5C83"/>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BD5C83"/>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BD5C83"/>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BD5C83"/>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BD5C83"/>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BD5C83"/>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BD5C83"/>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BD5C83"/>
    <w:rPr>
      <w:rFonts w:ascii="Tahoma" w:eastAsia="Times New Roman" w:hAnsi="Tahoma" w:cs="Tahoma"/>
      <w:sz w:val="16"/>
      <w:szCs w:val="16"/>
      <w:lang w:eastAsia="es-ES"/>
    </w:rPr>
  </w:style>
  <w:style w:type="paragraph" w:customStyle="1" w:styleId="Portada1">
    <w:name w:val="Portada 1"/>
    <w:basedOn w:val="Normal"/>
    <w:link w:val="Portada1Car"/>
    <w:qFormat/>
    <w:rsid w:val="00BD5C83"/>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BD5C83"/>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BD5C83"/>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BD5C83"/>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BD5C83"/>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BD5C83"/>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BD5C83"/>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BD5C83"/>
    <w:rPr>
      <w:rFonts w:ascii="Times New Roman" w:hAnsi="Times New Roman"/>
      <w:sz w:val="24"/>
    </w:rPr>
  </w:style>
  <w:style w:type="paragraph" w:customStyle="1" w:styleId="Prueba">
    <w:name w:val="Prueba"/>
    <w:basedOn w:val="Normal"/>
    <w:link w:val="PruebaCar"/>
    <w:qFormat/>
    <w:rsid w:val="00BD5C83"/>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BD5C83"/>
    <w:rPr>
      <w:rFonts w:ascii="Times New Roman" w:hAnsi="Times New Roman" w:cs="Times New Roman"/>
      <w:sz w:val="24"/>
      <w:szCs w:val="24"/>
    </w:rPr>
  </w:style>
  <w:style w:type="paragraph" w:customStyle="1" w:styleId="Paginas">
    <w:name w:val="Paginas"/>
    <w:basedOn w:val="Prueba"/>
    <w:link w:val="PaginasCar"/>
    <w:qFormat/>
    <w:rsid w:val="00BD5C83"/>
  </w:style>
  <w:style w:type="character" w:customStyle="1" w:styleId="PaginasCar">
    <w:name w:val="Paginas Car"/>
    <w:basedOn w:val="PruebaCar"/>
    <w:link w:val="Paginas"/>
    <w:rsid w:val="00BD5C83"/>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BD5C83"/>
    <w:pPr>
      <w:ind w:left="568" w:hanging="284"/>
    </w:pPr>
  </w:style>
  <w:style w:type="paragraph" w:customStyle="1" w:styleId="SangriaIzquierdaArticulo">
    <w:name w:val="Sangria Izquierda Articulo"/>
    <w:basedOn w:val="SangriaFrancesaArticulo"/>
    <w:link w:val="SangriaIzquierdaArticuloCar"/>
    <w:qFormat/>
    <w:rsid w:val="00BD5C83"/>
    <w:pPr>
      <w:ind w:firstLine="0"/>
    </w:pPr>
  </w:style>
  <w:style w:type="character" w:customStyle="1" w:styleId="SangriaFrancesaArticuloCar">
    <w:name w:val="Sangria Francesa Articulo Car"/>
    <w:basedOn w:val="ParrafoNormalCar"/>
    <w:link w:val="SangriaFrancesaArticulo"/>
    <w:rsid w:val="00BD5C83"/>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BD5C83"/>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BD5C83"/>
    <w:pPr>
      <w:tabs>
        <w:tab w:val="left" w:pos="1134"/>
      </w:tabs>
      <w:ind w:left="-567"/>
    </w:pPr>
  </w:style>
  <w:style w:type="character" w:customStyle="1" w:styleId="DescriptoresJerarquicoNegritaCar">
    <w:name w:val="Descriptores Jerarquico Negrita Car"/>
    <w:basedOn w:val="TextoNormalNegritaCar"/>
    <w:link w:val="DescriptoresJerarquicoNegrita"/>
    <w:rsid w:val="00BD5C83"/>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BD5C83"/>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BD5C83"/>
    <w:rPr>
      <w:rFonts w:ascii="Times New Roman" w:hAnsi="Times New Roman"/>
      <w:b/>
      <w:i/>
      <w:sz w:val="24"/>
    </w:rPr>
  </w:style>
  <w:style w:type="paragraph" w:customStyle="1" w:styleId="EntradandiceSumario">
    <w:name w:val="Entrada Índice Sumario"/>
    <w:basedOn w:val="EntradandiceSentencia"/>
    <w:qFormat/>
    <w:rsid w:val="00BD5C83"/>
    <w:pPr>
      <w:tabs>
        <w:tab w:val="clear" w:pos="8080"/>
        <w:tab w:val="right" w:leader="dot" w:pos="7371"/>
      </w:tabs>
      <w:spacing w:line="260" w:lineRule="exact"/>
      <w:ind w:right="0"/>
    </w:pPr>
  </w:style>
  <w:style w:type="paragraph" w:customStyle="1" w:styleId="FechasPortadaGaceta">
    <w:name w:val="Fechas Portada Gaceta"/>
    <w:basedOn w:val="Normal"/>
    <w:qFormat/>
    <w:rsid w:val="00BD5C83"/>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BD5C83"/>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BD5C83"/>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BD5C83"/>
    <w:rPr>
      <w:rFonts w:ascii="Times New Roman" w:hAnsi="Times New Roman"/>
      <w:color w:val="A7599E"/>
      <w:sz w:val="24"/>
    </w:rPr>
  </w:style>
  <w:style w:type="character" w:customStyle="1" w:styleId="SntesisAnalticaTtulo">
    <w:name w:val="Síntesis Analítica Título"/>
    <w:basedOn w:val="SntesisDescriptivaTtulo"/>
    <w:uiPriority w:val="1"/>
    <w:qFormat/>
    <w:rsid w:val="00BD5C83"/>
    <w:rPr>
      <w:rFonts w:ascii="Times New Roman" w:hAnsi="Times New Roman"/>
      <w:i w:val="0"/>
      <w:color w:val="A7599E"/>
      <w:sz w:val="24"/>
    </w:rPr>
  </w:style>
  <w:style w:type="paragraph" w:customStyle="1" w:styleId="CabeceraGaceta">
    <w:name w:val="Cabecera Gaceta"/>
    <w:next w:val="Normal"/>
    <w:link w:val="CabeceraGacetaCar"/>
    <w:qFormat/>
    <w:rsid w:val="00BD5C83"/>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BD5C83"/>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BD5C83"/>
    <w:pPr>
      <w:spacing w:after="1800"/>
    </w:pPr>
  </w:style>
  <w:style w:type="character" w:styleId="nfasis">
    <w:name w:val="Emphasis"/>
    <w:basedOn w:val="Fuentedeprrafopredeter"/>
    <w:uiPriority w:val="20"/>
    <w:qFormat/>
    <w:rsid w:val="00BD5C83"/>
    <w:rPr>
      <w:i/>
      <w:iCs/>
    </w:rPr>
  </w:style>
  <w:style w:type="character" w:styleId="Hipervnculo">
    <w:name w:val="Hyperlink"/>
    <w:basedOn w:val="Fuentedeprrafopredeter"/>
    <w:uiPriority w:val="99"/>
    <w:unhideWhenUsed/>
    <w:rsid w:val="00BD5C83"/>
    <w:rPr>
      <w:b w:val="0"/>
      <w:color w:val="000000" w:themeColor="text1"/>
      <w:u w:val="none"/>
    </w:rPr>
  </w:style>
  <w:style w:type="paragraph" w:customStyle="1" w:styleId="SntesisDescriptivaConSeparacion">
    <w:name w:val="Síntesis Descriptiva Con Separacion"/>
    <w:basedOn w:val="SntesisDescriptiva"/>
    <w:qFormat/>
    <w:rsid w:val="00BD5C83"/>
    <w:pPr>
      <w:spacing w:after="600"/>
    </w:pPr>
  </w:style>
  <w:style w:type="paragraph" w:customStyle="1" w:styleId="SntesisAnalticaConSeparacin">
    <w:name w:val="Síntesis Analítica Con Separación"/>
    <w:basedOn w:val="SntesisAnaltica"/>
    <w:qFormat/>
    <w:rsid w:val="00BD5C83"/>
    <w:pPr>
      <w:spacing w:after="600"/>
    </w:pPr>
  </w:style>
  <w:style w:type="paragraph" w:customStyle="1" w:styleId="TtuloListado">
    <w:name w:val="Título Listado"/>
    <w:basedOn w:val="TextoNormal"/>
    <w:qFormat/>
    <w:rsid w:val="00BD5C83"/>
    <w:pPr>
      <w:spacing w:line="360" w:lineRule="auto"/>
      <w:jc w:val="center"/>
    </w:pPr>
    <w:rPr>
      <w:b/>
      <w:u w:val="single"/>
    </w:rPr>
  </w:style>
  <w:style w:type="paragraph" w:customStyle="1" w:styleId="TextoNormalCentradoCursiva">
    <w:name w:val="Texto Normal Centrado Cursiva"/>
    <w:basedOn w:val="TextoNormalCentrado"/>
    <w:qFormat/>
    <w:rsid w:val="00BD5C83"/>
    <w:rPr>
      <w:i/>
    </w:rPr>
  </w:style>
  <w:style w:type="paragraph" w:customStyle="1" w:styleId="TextoConBorde">
    <w:name w:val="Texto Con Borde"/>
    <w:qFormat/>
    <w:rsid w:val="00BD5C83"/>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BD5C83"/>
    <w:rPr>
      <w:sz w:val="148"/>
    </w:rPr>
  </w:style>
  <w:style w:type="paragraph" w:customStyle="1" w:styleId="TextoNormalNegritaCentradoSubrayado">
    <w:name w:val="Texto Normal Negrita Centrado Subrayado"/>
    <w:basedOn w:val="TextoNormalNegritaCentrado"/>
    <w:qFormat/>
    <w:rsid w:val="00BD5C83"/>
    <w:rPr>
      <w:sz w:val="28"/>
      <w:u w:val="single"/>
    </w:rPr>
  </w:style>
  <w:style w:type="paragraph" w:customStyle="1" w:styleId="TextoIndiceNivel2">
    <w:name w:val="TextoIndice Nivel2"/>
    <w:basedOn w:val="TextoNormalNegritaCentrado"/>
    <w:qFormat/>
    <w:rsid w:val="00BD5C83"/>
    <w:rPr>
      <w:sz w:val="36"/>
    </w:rPr>
  </w:style>
  <w:style w:type="character" w:customStyle="1" w:styleId="TextoNormalNegritaCentradoSombreado">
    <w:name w:val="Texto Normal Negrita Centrado Sombreado"/>
    <w:basedOn w:val="TextoNormalNegritaCaracter"/>
    <w:uiPriority w:val="1"/>
    <w:qFormat/>
    <w:rsid w:val="00BD5C83"/>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BD5C83"/>
    <w:rPr>
      <w:sz w:val="26"/>
    </w:rPr>
  </w:style>
  <w:style w:type="character" w:customStyle="1" w:styleId="ndiceJerrquicoDescriptor">
    <w:name w:val="Índice Jerárquico Descriptor"/>
    <w:basedOn w:val="TextoNormalCar"/>
    <w:uiPriority w:val="1"/>
    <w:qFormat/>
    <w:rsid w:val="00BD5C83"/>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BD5C83"/>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BD5C83"/>
    <w:pPr>
      <w:ind w:left="0"/>
    </w:pPr>
    <w:rPr>
      <w:sz w:val="28"/>
    </w:rPr>
  </w:style>
  <w:style w:type="character" w:styleId="Hipervnculovisitado">
    <w:name w:val="FollowedHyperlink"/>
    <w:basedOn w:val="Fuentedeprrafopredeter"/>
    <w:uiPriority w:val="99"/>
    <w:semiHidden/>
    <w:unhideWhenUsed/>
    <w:rsid w:val="00BD5C83"/>
    <w:rPr>
      <w:color w:val="auto"/>
      <w:u w:val="none"/>
    </w:rPr>
  </w:style>
  <w:style w:type="paragraph" w:customStyle="1" w:styleId="EntradandiceSumarioNivel2">
    <w:name w:val="Entrada Índice Sumario Nivel2"/>
    <w:basedOn w:val="EntradandiceSumario"/>
    <w:qFormat/>
    <w:rsid w:val="00BD5C83"/>
    <w:pPr>
      <w:spacing w:line="240" w:lineRule="exact"/>
      <w:ind w:firstLine="113"/>
    </w:pPr>
    <w:rPr>
      <w:sz w:val="23"/>
    </w:rPr>
  </w:style>
  <w:style w:type="paragraph" w:customStyle="1" w:styleId="TtuloSumariondices">
    <w:name w:val="Título Sumario Índices"/>
    <w:basedOn w:val="TextoNormal"/>
    <w:qFormat/>
    <w:rsid w:val="00BD5C83"/>
    <w:pPr>
      <w:ind w:firstLine="0"/>
      <w:jc w:val="center"/>
    </w:pPr>
    <w:rPr>
      <w:sz w:val="32"/>
    </w:rPr>
  </w:style>
  <w:style w:type="paragraph" w:styleId="Cierre">
    <w:name w:val="Closing"/>
    <w:basedOn w:val="Normal"/>
    <w:link w:val="CierreCar"/>
    <w:uiPriority w:val="99"/>
    <w:unhideWhenUsed/>
    <w:rsid w:val="00BD5C83"/>
    <w:pPr>
      <w:spacing w:after="0" w:line="240" w:lineRule="auto"/>
      <w:ind w:left="4252"/>
    </w:pPr>
  </w:style>
  <w:style w:type="character" w:customStyle="1" w:styleId="CierreCar">
    <w:name w:val="Cierre Car"/>
    <w:basedOn w:val="Fuentedeprrafopredeter"/>
    <w:link w:val="Cierre"/>
    <w:uiPriority w:val="99"/>
    <w:rsid w:val="00BD5C83"/>
  </w:style>
  <w:style w:type="paragraph" w:styleId="Cita">
    <w:name w:val="Quote"/>
    <w:basedOn w:val="Normal"/>
    <w:next w:val="Normal"/>
    <w:link w:val="CitaCar"/>
    <w:uiPriority w:val="29"/>
    <w:qFormat/>
    <w:rsid w:val="00BD5C8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D5C83"/>
    <w:rPr>
      <w:i/>
      <w:iCs/>
      <w:color w:val="404040" w:themeColor="text1" w:themeTint="BF"/>
    </w:rPr>
  </w:style>
  <w:style w:type="paragraph" w:customStyle="1" w:styleId="Cabecera">
    <w:name w:val="Cabecera"/>
    <w:link w:val="CabeceraCar"/>
    <w:qFormat/>
    <w:rsid w:val="00BD5C83"/>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BD5C83"/>
    <w:rPr>
      <w:rFonts w:ascii="Arial" w:hAnsi="Arial"/>
      <w:b/>
      <w:iCs/>
      <w:color w:val="538135"/>
      <w:sz w:val="20"/>
    </w:rPr>
  </w:style>
  <w:style w:type="paragraph" w:customStyle="1" w:styleId="TtuloSumarioResoluciones">
    <w:name w:val="Título Sumario Resoluciones"/>
    <w:basedOn w:val="TextoNormal"/>
    <w:link w:val="TtuloSumarioResolucionesCar"/>
    <w:qFormat/>
    <w:rsid w:val="00BD5C83"/>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BD5C83"/>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BD5C83"/>
    <w:rPr>
      <w:rFonts w:ascii="Times New Roman" w:hAnsi="Times New Roman"/>
      <w:b/>
      <w:color w:val="538135"/>
      <w:sz w:val="32"/>
    </w:rPr>
  </w:style>
  <w:style w:type="paragraph" w:styleId="Encabezado">
    <w:name w:val="header"/>
    <w:basedOn w:val="Normal"/>
    <w:link w:val="EncabezadoCar"/>
    <w:uiPriority w:val="99"/>
    <w:unhideWhenUsed/>
    <w:rsid w:val="002512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5129F"/>
  </w:style>
  <w:style w:type="paragraph" w:styleId="Piedepgina">
    <w:name w:val="footer"/>
    <w:basedOn w:val="Normal"/>
    <w:link w:val="PiedepginaCar"/>
    <w:uiPriority w:val="99"/>
    <w:unhideWhenUsed/>
    <w:rsid w:val="002512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5129F"/>
  </w:style>
  <w:style w:type="character" w:styleId="Nmerodepgina">
    <w:name w:val="page number"/>
    <w:basedOn w:val="Fuentedeprrafopredeter"/>
    <w:uiPriority w:val="99"/>
    <w:semiHidden/>
    <w:unhideWhenUsed/>
    <w:rsid w:val="00795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6</Pages>
  <Words>965769</Words>
  <Characters>5311732</Characters>
  <Application>Microsoft Office Word</Application>
  <DocSecurity>0</DocSecurity>
  <Lines>44264</Lines>
  <Paragraphs>12529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2019-03-08T10:00:00Z</cp:lastPrinted>
  <dcterms:created xsi:type="dcterms:W3CDTF">2017-03-30T05:52:00Z</dcterms:created>
  <dcterms:modified xsi:type="dcterms:W3CDTF">2019-03-08T10:01:00Z</dcterms:modified>
</cp:coreProperties>
</file>